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D1E3E" w14:textId="77777777" w:rsidR="002C2BC2" w:rsidRPr="00A73AA7" w:rsidRDefault="002C2BC2" w:rsidP="008C7C6A">
      <w:pPr>
        <w:spacing w:line="360" w:lineRule="auto"/>
        <w:jc w:val="center"/>
        <w:rPr>
          <w:rFonts w:ascii="Calibri" w:hAnsi="Calibri" w:cs="Calibri"/>
          <w:b/>
          <w:color w:val="C00000"/>
          <w:spacing w:val="1"/>
          <w:sz w:val="22"/>
          <w:szCs w:val="22"/>
          <w:u w:val="single"/>
          <w:lang w:val="sq-AL"/>
        </w:rPr>
      </w:pPr>
      <w:r w:rsidRPr="00A73AA7">
        <w:rPr>
          <w:rFonts w:ascii="Calibri" w:hAnsi="Calibri" w:cs="Calibri"/>
          <w:b/>
          <w:color w:val="C00000"/>
          <w:spacing w:val="1"/>
          <w:sz w:val="22"/>
          <w:szCs w:val="22"/>
          <w:u w:val="single"/>
          <w:lang w:val="sq-AL"/>
        </w:rPr>
        <w:t>RAPORT</w:t>
      </w:r>
    </w:p>
    <w:p w14:paraId="414E3705" w14:textId="378975B3" w:rsidR="00B17164" w:rsidRPr="00A73AA7" w:rsidRDefault="008439E3" w:rsidP="008C7C6A">
      <w:pPr>
        <w:spacing w:line="360" w:lineRule="auto"/>
        <w:jc w:val="center"/>
        <w:rPr>
          <w:rFonts w:ascii="Calibri" w:hAnsi="Calibri" w:cs="Calibri"/>
          <w:b/>
          <w:color w:val="C00000"/>
          <w:spacing w:val="1"/>
          <w:sz w:val="22"/>
          <w:szCs w:val="22"/>
          <w:u w:val="single"/>
          <w:lang w:val="sq-AL"/>
        </w:rPr>
      </w:pPr>
      <w:r w:rsidRPr="00A73AA7">
        <w:rPr>
          <w:rFonts w:ascii="Calibri" w:hAnsi="Calibri" w:cs="Calibri"/>
          <w:b/>
          <w:color w:val="C00000"/>
          <w:spacing w:val="1"/>
          <w:sz w:val="22"/>
          <w:szCs w:val="22"/>
          <w:u w:val="single"/>
          <w:lang w:val="sq-AL"/>
        </w:rPr>
        <w:t>MBI</w:t>
      </w:r>
      <w:r w:rsidR="00B8083D" w:rsidRPr="00A73AA7">
        <w:rPr>
          <w:rFonts w:ascii="Calibri" w:hAnsi="Calibri" w:cs="Calibri"/>
          <w:b/>
          <w:color w:val="C00000"/>
          <w:spacing w:val="1"/>
          <w:sz w:val="22"/>
          <w:szCs w:val="22"/>
          <w:u w:val="single"/>
          <w:lang w:val="sq-AL"/>
        </w:rPr>
        <w:t xml:space="preserve"> </w:t>
      </w:r>
      <w:r w:rsidRPr="00A73AA7">
        <w:rPr>
          <w:rFonts w:ascii="Calibri" w:hAnsi="Calibri" w:cs="Calibri"/>
          <w:b/>
          <w:color w:val="C00000"/>
          <w:spacing w:val="1"/>
          <w:sz w:val="22"/>
          <w:szCs w:val="22"/>
          <w:u w:val="single"/>
          <w:lang w:val="sq-AL"/>
        </w:rPr>
        <w:t>P</w:t>
      </w:r>
      <w:r w:rsidR="00410EEB" w:rsidRPr="00A73AA7">
        <w:rPr>
          <w:rFonts w:ascii="Calibri" w:hAnsi="Calibri" w:cs="Calibri"/>
          <w:b/>
          <w:color w:val="C00000"/>
          <w:spacing w:val="1"/>
          <w:sz w:val="22"/>
          <w:szCs w:val="22"/>
          <w:u w:val="single"/>
          <w:lang w:val="sq-AL"/>
        </w:rPr>
        <w:t>Ë</w:t>
      </w:r>
      <w:r w:rsidRPr="00A73AA7">
        <w:rPr>
          <w:rFonts w:ascii="Calibri" w:hAnsi="Calibri" w:cs="Calibri"/>
          <w:b/>
          <w:color w:val="C00000"/>
          <w:spacing w:val="1"/>
          <w:sz w:val="22"/>
          <w:szCs w:val="22"/>
          <w:u w:val="single"/>
          <w:lang w:val="sq-AL"/>
        </w:rPr>
        <w:t xml:space="preserve">RDORIMIN </w:t>
      </w:r>
      <w:r w:rsidRPr="00A73AA7">
        <w:rPr>
          <w:rFonts w:ascii="Calibri" w:hAnsi="Calibri" w:cs="Calibri"/>
          <w:b/>
          <w:color w:val="C00000"/>
          <w:sz w:val="22"/>
          <w:szCs w:val="22"/>
          <w:u w:val="single"/>
          <w:lang w:val="sq-AL"/>
        </w:rPr>
        <w:t xml:space="preserve">E </w:t>
      </w:r>
      <w:r w:rsidRPr="00A73AA7">
        <w:rPr>
          <w:rFonts w:ascii="Calibri" w:hAnsi="Calibri" w:cs="Calibri"/>
          <w:b/>
          <w:color w:val="C00000"/>
          <w:spacing w:val="1"/>
          <w:sz w:val="22"/>
          <w:szCs w:val="22"/>
          <w:u w:val="single"/>
          <w:lang w:val="sq-AL"/>
        </w:rPr>
        <w:t>FOND</w:t>
      </w:r>
      <w:r w:rsidR="004B0300" w:rsidRPr="00A73AA7">
        <w:rPr>
          <w:rFonts w:ascii="Calibri" w:hAnsi="Calibri" w:cs="Calibri"/>
          <w:b/>
          <w:color w:val="C00000"/>
          <w:spacing w:val="1"/>
          <w:sz w:val="22"/>
          <w:szCs w:val="22"/>
          <w:u w:val="single"/>
          <w:lang w:val="sq-AL"/>
        </w:rPr>
        <w:t>EVE</w:t>
      </w:r>
      <w:r w:rsidRPr="00A73AA7">
        <w:rPr>
          <w:rFonts w:ascii="Calibri" w:hAnsi="Calibri" w:cs="Calibri"/>
          <w:b/>
          <w:color w:val="C00000"/>
          <w:spacing w:val="1"/>
          <w:sz w:val="22"/>
          <w:szCs w:val="22"/>
          <w:u w:val="single"/>
          <w:lang w:val="sq-AL"/>
        </w:rPr>
        <w:t xml:space="preserve"> REZERV</w:t>
      </w:r>
      <w:r w:rsidR="00410EEB" w:rsidRPr="00A73AA7">
        <w:rPr>
          <w:rFonts w:ascii="Calibri" w:hAnsi="Calibri" w:cs="Calibri"/>
          <w:b/>
          <w:color w:val="C00000"/>
          <w:spacing w:val="1"/>
          <w:sz w:val="22"/>
          <w:szCs w:val="22"/>
          <w:u w:val="single"/>
          <w:lang w:val="sq-AL"/>
        </w:rPr>
        <w:t>Ë</w:t>
      </w:r>
      <w:r w:rsidRPr="00A73AA7">
        <w:rPr>
          <w:rFonts w:ascii="Calibri" w:hAnsi="Calibri" w:cs="Calibri"/>
          <w:b/>
          <w:color w:val="C00000"/>
          <w:spacing w:val="1"/>
          <w:sz w:val="22"/>
          <w:szCs w:val="22"/>
          <w:u w:val="single"/>
          <w:lang w:val="sq-AL"/>
        </w:rPr>
        <w:t xml:space="preserve"> T</w:t>
      </w:r>
      <w:r w:rsidR="00410EEB" w:rsidRPr="00A73AA7">
        <w:rPr>
          <w:rFonts w:ascii="Calibri" w:hAnsi="Calibri" w:cs="Calibri"/>
          <w:b/>
          <w:color w:val="C00000"/>
          <w:spacing w:val="1"/>
          <w:sz w:val="22"/>
          <w:szCs w:val="22"/>
          <w:u w:val="single"/>
          <w:lang w:val="sq-AL"/>
        </w:rPr>
        <w:t>Ë</w:t>
      </w:r>
      <w:r w:rsidR="002549C7" w:rsidRPr="00A73AA7">
        <w:rPr>
          <w:rFonts w:ascii="Calibri" w:hAnsi="Calibri" w:cs="Calibri"/>
          <w:b/>
          <w:color w:val="C00000"/>
          <w:spacing w:val="1"/>
          <w:sz w:val="22"/>
          <w:szCs w:val="22"/>
          <w:u w:val="single"/>
          <w:lang w:val="sq-AL"/>
        </w:rPr>
        <w:t xml:space="preserve"> </w:t>
      </w:r>
      <w:r w:rsidR="00863EC6" w:rsidRPr="00A73AA7">
        <w:rPr>
          <w:rFonts w:ascii="Calibri" w:hAnsi="Calibri" w:cs="Calibri"/>
          <w:b/>
          <w:color w:val="C00000"/>
          <w:spacing w:val="1"/>
          <w:sz w:val="22"/>
          <w:szCs w:val="22"/>
          <w:u w:val="single"/>
          <w:lang w:val="sq-AL"/>
        </w:rPr>
        <w:t>BUXHETIT T</w:t>
      </w:r>
      <w:r w:rsidR="00410EEB" w:rsidRPr="00A73AA7">
        <w:rPr>
          <w:rFonts w:ascii="Calibri" w:hAnsi="Calibri" w:cs="Calibri"/>
          <w:b/>
          <w:color w:val="C00000"/>
          <w:spacing w:val="1"/>
          <w:sz w:val="22"/>
          <w:szCs w:val="22"/>
          <w:u w:val="single"/>
          <w:lang w:val="sq-AL"/>
        </w:rPr>
        <w:t>Ë</w:t>
      </w:r>
      <w:r w:rsidR="00863EC6" w:rsidRPr="00A73AA7">
        <w:rPr>
          <w:rFonts w:ascii="Calibri" w:hAnsi="Calibri" w:cs="Calibri"/>
          <w:b/>
          <w:color w:val="C00000"/>
          <w:spacing w:val="1"/>
          <w:sz w:val="22"/>
          <w:szCs w:val="22"/>
          <w:u w:val="single"/>
          <w:lang w:val="sq-AL"/>
        </w:rPr>
        <w:t xml:space="preserve"> SHTETIT</w:t>
      </w:r>
    </w:p>
    <w:p w14:paraId="70A19673" w14:textId="1E0B3508" w:rsidR="003C1E2B" w:rsidRPr="00A73AA7" w:rsidRDefault="00901CC8" w:rsidP="008C7C6A">
      <w:pPr>
        <w:spacing w:line="360" w:lineRule="auto"/>
        <w:jc w:val="center"/>
        <w:rPr>
          <w:rFonts w:ascii="Calibri" w:hAnsi="Calibri" w:cs="Calibri"/>
          <w:b/>
          <w:color w:val="C00000"/>
          <w:sz w:val="22"/>
          <w:szCs w:val="22"/>
          <w:u w:val="single"/>
          <w:lang w:val="sq-AL"/>
        </w:rPr>
      </w:pPr>
      <w:r w:rsidRPr="00A73AA7">
        <w:rPr>
          <w:rFonts w:ascii="Calibri" w:hAnsi="Calibri" w:cs="Calibri"/>
          <w:b/>
          <w:color w:val="C00000"/>
          <w:sz w:val="22"/>
          <w:szCs w:val="22"/>
          <w:u w:val="single"/>
          <w:lang w:val="sq-AL"/>
        </w:rPr>
        <w:t>GJAT</w:t>
      </w:r>
      <w:r w:rsidR="00051DFF" w:rsidRPr="00A73AA7">
        <w:rPr>
          <w:rFonts w:ascii="Calibri" w:hAnsi="Calibri" w:cs="Calibri"/>
          <w:b/>
          <w:color w:val="C00000"/>
          <w:sz w:val="22"/>
          <w:szCs w:val="22"/>
          <w:u w:val="single"/>
          <w:lang w:val="sq-AL"/>
        </w:rPr>
        <w:t>Ë</w:t>
      </w:r>
      <w:r w:rsidR="000F3BCA" w:rsidRPr="00A73AA7">
        <w:rPr>
          <w:rFonts w:ascii="Calibri" w:hAnsi="Calibri" w:cs="Calibri"/>
          <w:b/>
          <w:color w:val="C00000"/>
          <w:sz w:val="22"/>
          <w:szCs w:val="22"/>
          <w:u w:val="single"/>
          <w:lang w:val="sq-AL"/>
        </w:rPr>
        <w:t xml:space="preserve"> </w:t>
      </w:r>
      <w:r w:rsidR="00051DFF" w:rsidRPr="00A73AA7">
        <w:rPr>
          <w:rFonts w:ascii="Calibri" w:hAnsi="Calibri" w:cs="Calibri"/>
          <w:b/>
          <w:color w:val="C00000"/>
          <w:sz w:val="22"/>
          <w:szCs w:val="22"/>
          <w:u w:val="single"/>
          <w:lang w:val="sq-AL"/>
        </w:rPr>
        <w:t>PERIUDHËS 1 JANAR</w:t>
      </w:r>
      <w:r w:rsidR="00A73AA7" w:rsidRPr="00A73AA7">
        <w:rPr>
          <w:rFonts w:ascii="Calibri" w:hAnsi="Calibri" w:cs="Calibri"/>
          <w:b/>
          <w:color w:val="C00000"/>
          <w:sz w:val="22"/>
          <w:szCs w:val="22"/>
          <w:u w:val="single"/>
          <w:lang w:val="sq-AL"/>
        </w:rPr>
        <w:t xml:space="preserve"> </w:t>
      </w:r>
      <w:r w:rsidR="00051DFF" w:rsidRPr="00A73AA7">
        <w:rPr>
          <w:rFonts w:ascii="Calibri" w:hAnsi="Calibri" w:cs="Calibri"/>
          <w:b/>
          <w:color w:val="C00000"/>
          <w:sz w:val="22"/>
          <w:szCs w:val="22"/>
          <w:u w:val="single"/>
          <w:lang w:val="sq-AL"/>
        </w:rPr>
        <w:t>-</w:t>
      </w:r>
      <w:r w:rsidR="007C54E0" w:rsidRPr="00A73AA7">
        <w:rPr>
          <w:rFonts w:ascii="Calibri" w:hAnsi="Calibri" w:cs="Calibri"/>
          <w:b/>
          <w:color w:val="C00000"/>
          <w:sz w:val="22"/>
          <w:szCs w:val="22"/>
          <w:u w:val="single"/>
          <w:lang w:val="sq-AL"/>
        </w:rPr>
        <w:t xml:space="preserve"> </w:t>
      </w:r>
      <w:r w:rsidR="00F02205" w:rsidRPr="00A73AA7">
        <w:rPr>
          <w:rFonts w:ascii="Calibri" w:hAnsi="Calibri" w:cs="Calibri"/>
          <w:b/>
          <w:color w:val="C00000"/>
          <w:sz w:val="22"/>
          <w:szCs w:val="22"/>
          <w:u w:val="single"/>
          <w:lang w:val="sq-AL"/>
        </w:rPr>
        <w:t>31</w:t>
      </w:r>
      <w:r w:rsidR="000F3BCA" w:rsidRPr="00A73AA7">
        <w:rPr>
          <w:rFonts w:ascii="Calibri" w:hAnsi="Calibri" w:cs="Calibri"/>
          <w:b/>
          <w:color w:val="C00000"/>
          <w:sz w:val="22"/>
          <w:szCs w:val="22"/>
          <w:u w:val="single"/>
          <w:lang w:val="sq-AL"/>
        </w:rPr>
        <w:t xml:space="preserve"> </w:t>
      </w:r>
      <w:r w:rsidR="00A73AA7" w:rsidRPr="00A73AA7">
        <w:rPr>
          <w:rFonts w:ascii="Calibri" w:hAnsi="Calibri" w:cs="Calibri"/>
          <w:b/>
          <w:color w:val="C00000"/>
          <w:sz w:val="22"/>
          <w:szCs w:val="22"/>
          <w:u w:val="single"/>
          <w:lang w:val="sq-AL"/>
        </w:rPr>
        <w:t>DHJETOR</w:t>
      </w:r>
      <w:r w:rsidR="000F3BCA" w:rsidRPr="00A73AA7">
        <w:rPr>
          <w:rFonts w:ascii="Calibri" w:hAnsi="Calibri" w:cs="Calibri"/>
          <w:b/>
          <w:color w:val="C00000"/>
          <w:sz w:val="22"/>
          <w:szCs w:val="22"/>
          <w:u w:val="single"/>
          <w:lang w:val="sq-AL"/>
        </w:rPr>
        <w:t xml:space="preserve"> </w:t>
      </w:r>
      <w:r w:rsidR="00DA0A2E" w:rsidRPr="00A73AA7">
        <w:rPr>
          <w:rFonts w:ascii="Calibri" w:hAnsi="Calibri" w:cs="Calibri"/>
          <w:b/>
          <w:color w:val="C00000"/>
          <w:sz w:val="22"/>
          <w:szCs w:val="22"/>
          <w:u w:val="single"/>
          <w:lang w:val="sq-AL"/>
        </w:rPr>
        <w:t>20</w:t>
      </w:r>
      <w:r w:rsidR="00532079" w:rsidRPr="00A73AA7">
        <w:rPr>
          <w:rFonts w:ascii="Calibri" w:hAnsi="Calibri" w:cs="Calibri"/>
          <w:b/>
          <w:color w:val="C00000"/>
          <w:sz w:val="22"/>
          <w:szCs w:val="22"/>
          <w:u w:val="single"/>
          <w:lang w:val="sq-AL"/>
        </w:rPr>
        <w:t>2</w:t>
      </w:r>
      <w:r w:rsidR="000F3BCA" w:rsidRPr="00A73AA7">
        <w:rPr>
          <w:rFonts w:ascii="Calibri" w:hAnsi="Calibri" w:cs="Calibri"/>
          <w:b/>
          <w:color w:val="C00000"/>
          <w:sz w:val="22"/>
          <w:szCs w:val="22"/>
          <w:u w:val="single"/>
          <w:lang w:val="sq-AL"/>
        </w:rPr>
        <w:t>5</w:t>
      </w:r>
    </w:p>
    <w:p w14:paraId="17643A4F" w14:textId="77777777" w:rsidR="006A4BA5" w:rsidRPr="00A73AA7" w:rsidRDefault="00931113" w:rsidP="001534B8">
      <w:pPr>
        <w:pStyle w:val="ListParagraph"/>
        <w:numPr>
          <w:ilvl w:val="0"/>
          <w:numId w:val="3"/>
        </w:numPr>
        <w:spacing w:after="0" w:line="360" w:lineRule="auto"/>
        <w:rPr>
          <w:rFonts w:cs="Calibri"/>
          <w:b/>
          <w:color w:val="C00000"/>
          <w:szCs w:val="22"/>
          <w:u w:val="single"/>
          <w:lang w:val="sq-AL"/>
        </w:rPr>
      </w:pPr>
      <w:r w:rsidRPr="00A73AA7">
        <w:rPr>
          <w:rFonts w:cs="Calibri"/>
          <w:b/>
          <w:color w:val="C00000"/>
          <w:szCs w:val="22"/>
          <w:u w:val="single"/>
          <w:lang w:val="sq-AL"/>
        </w:rPr>
        <w:t>FONDI REZERVË</w:t>
      </w:r>
    </w:p>
    <w:p w14:paraId="7B1DA77D" w14:textId="437E18B3" w:rsidR="00B17164" w:rsidRPr="00A73AA7" w:rsidRDefault="008439E3" w:rsidP="002549C7">
      <w:pPr>
        <w:spacing w:line="276" w:lineRule="auto"/>
        <w:jc w:val="both"/>
        <w:rPr>
          <w:rFonts w:ascii="Calibri" w:hAnsi="Calibri" w:cs="Calibri"/>
          <w:spacing w:val="-1"/>
          <w:sz w:val="22"/>
          <w:szCs w:val="22"/>
          <w:lang w:val="sq-AL"/>
        </w:rPr>
      </w:pPr>
      <w:r w:rsidRPr="00A73AA7">
        <w:rPr>
          <w:rFonts w:ascii="Calibri" w:hAnsi="Calibri" w:cs="Calibri"/>
          <w:spacing w:val="-1"/>
          <w:sz w:val="22"/>
          <w:szCs w:val="22"/>
          <w:lang w:val="sq-AL"/>
        </w:rPr>
        <w:t>N</w:t>
      </w:r>
      <w:r w:rsidR="00410EEB" w:rsidRPr="00A73AA7">
        <w:rPr>
          <w:rFonts w:ascii="Calibri" w:hAnsi="Calibri" w:cs="Calibri"/>
          <w:spacing w:val="-1"/>
          <w:sz w:val="22"/>
          <w:szCs w:val="22"/>
          <w:lang w:val="sq-AL"/>
        </w:rPr>
        <w:t>ë</w:t>
      </w:r>
      <w:r w:rsidR="000F3BCA" w:rsidRPr="00A73AA7">
        <w:rPr>
          <w:rFonts w:ascii="Calibri" w:hAnsi="Calibri" w:cs="Calibri"/>
          <w:spacing w:val="-1"/>
          <w:sz w:val="22"/>
          <w:szCs w:val="22"/>
          <w:lang w:val="sq-AL"/>
        </w:rPr>
        <w:t xml:space="preserve"> </w:t>
      </w:r>
      <w:r w:rsidR="00950FB7" w:rsidRPr="00A73AA7">
        <w:rPr>
          <w:rFonts w:ascii="Calibri" w:hAnsi="Calibri" w:cs="Calibri"/>
          <w:spacing w:val="-1"/>
          <w:sz w:val="22"/>
          <w:szCs w:val="22"/>
          <w:lang w:val="sq-AL"/>
        </w:rPr>
        <w:t>mbështetje</w:t>
      </w:r>
      <w:r w:rsidRPr="00A73AA7">
        <w:rPr>
          <w:rFonts w:ascii="Calibri" w:hAnsi="Calibri" w:cs="Calibri"/>
          <w:spacing w:val="-1"/>
          <w:sz w:val="22"/>
          <w:szCs w:val="22"/>
          <w:lang w:val="sq-AL"/>
        </w:rPr>
        <w:t xml:space="preserve"> t</w:t>
      </w:r>
      <w:r w:rsidR="00410EEB" w:rsidRPr="00A73AA7">
        <w:rPr>
          <w:rFonts w:ascii="Calibri" w:hAnsi="Calibri" w:cs="Calibri"/>
          <w:spacing w:val="-1"/>
          <w:sz w:val="22"/>
          <w:szCs w:val="22"/>
          <w:lang w:val="sq-AL"/>
        </w:rPr>
        <w:t>ë</w:t>
      </w:r>
      <w:r w:rsidRPr="00A73AA7">
        <w:rPr>
          <w:rFonts w:ascii="Calibri" w:hAnsi="Calibri" w:cs="Calibri"/>
          <w:spacing w:val="-1"/>
          <w:sz w:val="22"/>
          <w:szCs w:val="22"/>
          <w:lang w:val="sq-AL"/>
        </w:rPr>
        <w:t xml:space="preserve"> nenit </w:t>
      </w:r>
      <w:r w:rsidR="00502D53" w:rsidRPr="00A73AA7">
        <w:rPr>
          <w:rFonts w:ascii="Calibri" w:hAnsi="Calibri" w:cs="Calibri"/>
          <w:spacing w:val="-1"/>
          <w:sz w:val="22"/>
          <w:szCs w:val="22"/>
          <w:lang w:val="sq-AL"/>
        </w:rPr>
        <w:t>5</w:t>
      </w:r>
      <w:r w:rsidRPr="00A73AA7">
        <w:rPr>
          <w:rFonts w:ascii="Calibri" w:hAnsi="Calibri" w:cs="Calibri"/>
          <w:spacing w:val="-1"/>
          <w:sz w:val="22"/>
          <w:szCs w:val="22"/>
          <w:lang w:val="sq-AL"/>
        </w:rPr>
        <w:t xml:space="preserve"> t</w:t>
      </w:r>
      <w:r w:rsidR="00410EEB" w:rsidRPr="00A73AA7">
        <w:rPr>
          <w:rFonts w:ascii="Calibri" w:hAnsi="Calibri" w:cs="Calibri"/>
          <w:spacing w:val="-1"/>
          <w:sz w:val="22"/>
          <w:szCs w:val="22"/>
          <w:lang w:val="sq-AL"/>
        </w:rPr>
        <w:t>ë</w:t>
      </w:r>
      <w:r w:rsidR="000F3BCA" w:rsidRPr="00A73AA7">
        <w:rPr>
          <w:rFonts w:ascii="Calibri" w:hAnsi="Calibri" w:cs="Calibri"/>
          <w:spacing w:val="-1"/>
          <w:sz w:val="22"/>
          <w:szCs w:val="22"/>
          <w:lang w:val="sq-AL"/>
        </w:rPr>
        <w:t xml:space="preserve"> </w:t>
      </w:r>
      <w:r w:rsidR="003F077A" w:rsidRPr="00A73AA7">
        <w:rPr>
          <w:rFonts w:ascii="Calibri" w:hAnsi="Calibri" w:cs="Calibri"/>
          <w:spacing w:val="-1"/>
          <w:sz w:val="22"/>
          <w:szCs w:val="22"/>
          <w:lang w:val="sq-AL"/>
        </w:rPr>
        <w:t>L</w:t>
      </w:r>
      <w:r w:rsidRPr="00A73AA7">
        <w:rPr>
          <w:rFonts w:ascii="Calibri" w:hAnsi="Calibri" w:cs="Calibri"/>
          <w:spacing w:val="-1"/>
          <w:sz w:val="22"/>
          <w:szCs w:val="22"/>
          <w:lang w:val="sq-AL"/>
        </w:rPr>
        <w:t xml:space="preserve">igjit </w:t>
      </w:r>
      <w:r w:rsidR="00170E5F" w:rsidRPr="00A73AA7">
        <w:rPr>
          <w:rFonts w:ascii="Calibri" w:hAnsi="Calibri" w:cs="Calibri"/>
          <w:spacing w:val="-1"/>
          <w:sz w:val="22"/>
          <w:szCs w:val="22"/>
          <w:lang w:val="sq-AL"/>
        </w:rPr>
        <w:t>n</w:t>
      </w:r>
      <w:r w:rsidRPr="00A73AA7">
        <w:rPr>
          <w:rFonts w:ascii="Calibri" w:hAnsi="Calibri" w:cs="Calibri"/>
          <w:spacing w:val="-1"/>
          <w:sz w:val="22"/>
          <w:szCs w:val="22"/>
          <w:lang w:val="sq-AL"/>
        </w:rPr>
        <w:t>r.</w:t>
      </w:r>
      <w:r w:rsidR="00B736A2" w:rsidRPr="00A73AA7">
        <w:rPr>
          <w:rFonts w:ascii="Calibri" w:hAnsi="Calibri" w:cs="Calibri"/>
          <w:spacing w:val="-1"/>
          <w:sz w:val="22"/>
          <w:szCs w:val="22"/>
          <w:lang w:val="sq-AL"/>
        </w:rPr>
        <w:t xml:space="preserve"> </w:t>
      </w:r>
      <w:r w:rsidR="00502D53" w:rsidRPr="00A73AA7">
        <w:rPr>
          <w:rFonts w:ascii="Calibri" w:hAnsi="Calibri" w:cs="Calibri"/>
          <w:spacing w:val="-1"/>
          <w:sz w:val="22"/>
          <w:szCs w:val="22"/>
          <w:lang w:val="sq-AL"/>
        </w:rPr>
        <w:t>9936</w:t>
      </w:r>
      <w:r w:rsidRPr="00A73AA7">
        <w:rPr>
          <w:rFonts w:ascii="Calibri" w:hAnsi="Calibri" w:cs="Calibri"/>
          <w:spacing w:val="-1"/>
          <w:sz w:val="22"/>
          <w:szCs w:val="22"/>
          <w:lang w:val="sq-AL"/>
        </w:rPr>
        <w:t xml:space="preserve"> dat</w:t>
      </w:r>
      <w:r w:rsidR="00410EEB" w:rsidRPr="00A73AA7">
        <w:rPr>
          <w:rFonts w:ascii="Calibri" w:hAnsi="Calibri" w:cs="Calibri"/>
          <w:spacing w:val="-1"/>
          <w:sz w:val="22"/>
          <w:szCs w:val="22"/>
          <w:lang w:val="sq-AL"/>
        </w:rPr>
        <w:t>ë</w:t>
      </w:r>
      <w:r w:rsidRPr="00A73AA7">
        <w:rPr>
          <w:rFonts w:ascii="Calibri" w:hAnsi="Calibri" w:cs="Calibri"/>
          <w:spacing w:val="-1"/>
          <w:sz w:val="22"/>
          <w:szCs w:val="22"/>
          <w:lang w:val="sq-AL"/>
        </w:rPr>
        <w:t xml:space="preserve"> 2</w:t>
      </w:r>
      <w:r w:rsidR="00502D53" w:rsidRPr="00A73AA7">
        <w:rPr>
          <w:rFonts w:ascii="Calibri" w:hAnsi="Calibri" w:cs="Calibri"/>
          <w:spacing w:val="-1"/>
          <w:sz w:val="22"/>
          <w:szCs w:val="22"/>
          <w:lang w:val="sq-AL"/>
        </w:rPr>
        <w:t>6.</w:t>
      </w:r>
      <w:r w:rsidR="001534B8" w:rsidRPr="00A73AA7">
        <w:rPr>
          <w:rFonts w:ascii="Calibri" w:hAnsi="Calibri" w:cs="Calibri"/>
          <w:spacing w:val="-1"/>
          <w:sz w:val="22"/>
          <w:szCs w:val="22"/>
          <w:lang w:val="sq-AL"/>
        </w:rPr>
        <w:t>0</w:t>
      </w:r>
      <w:r w:rsidR="00502D53" w:rsidRPr="00A73AA7">
        <w:rPr>
          <w:rFonts w:ascii="Calibri" w:hAnsi="Calibri" w:cs="Calibri"/>
          <w:spacing w:val="-1"/>
          <w:sz w:val="22"/>
          <w:szCs w:val="22"/>
          <w:lang w:val="sq-AL"/>
        </w:rPr>
        <w:t>6.2008</w:t>
      </w:r>
      <w:r w:rsidR="000F3BCA" w:rsidRPr="00A73AA7">
        <w:rPr>
          <w:rFonts w:ascii="Calibri" w:hAnsi="Calibri" w:cs="Calibri"/>
          <w:spacing w:val="-1"/>
          <w:sz w:val="22"/>
          <w:szCs w:val="22"/>
          <w:lang w:val="sq-AL"/>
        </w:rPr>
        <w:t xml:space="preserve"> </w:t>
      </w:r>
      <w:r w:rsidR="00502D53" w:rsidRPr="00A73AA7">
        <w:rPr>
          <w:rFonts w:ascii="Calibri" w:hAnsi="Calibri" w:cs="Calibri"/>
          <w:spacing w:val="-1"/>
          <w:sz w:val="22"/>
          <w:szCs w:val="22"/>
          <w:lang w:val="sq-AL"/>
        </w:rPr>
        <w:t>“</w:t>
      </w:r>
      <w:r w:rsidRPr="00A73AA7">
        <w:rPr>
          <w:rFonts w:ascii="Calibri" w:hAnsi="Calibri" w:cs="Calibri"/>
          <w:i/>
          <w:spacing w:val="-1"/>
          <w:sz w:val="22"/>
          <w:szCs w:val="22"/>
          <w:lang w:val="sq-AL"/>
        </w:rPr>
        <w:t>P</w:t>
      </w:r>
      <w:r w:rsidR="00410EEB" w:rsidRPr="00A73AA7">
        <w:rPr>
          <w:rFonts w:ascii="Calibri" w:hAnsi="Calibri" w:cs="Calibri"/>
          <w:i/>
          <w:spacing w:val="-1"/>
          <w:sz w:val="22"/>
          <w:szCs w:val="22"/>
          <w:lang w:val="sq-AL"/>
        </w:rPr>
        <w:t>ë</w:t>
      </w:r>
      <w:r w:rsidRPr="00A73AA7">
        <w:rPr>
          <w:rFonts w:ascii="Calibri" w:hAnsi="Calibri" w:cs="Calibri"/>
          <w:i/>
          <w:spacing w:val="-1"/>
          <w:sz w:val="22"/>
          <w:szCs w:val="22"/>
          <w:lang w:val="sq-AL"/>
        </w:rPr>
        <w:t xml:space="preserve">r </w:t>
      </w:r>
      <w:r w:rsidR="00502D53" w:rsidRPr="00A73AA7">
        <w:rPr>
          <w:rFonts w:ascii="Calibri" w:hAnsi="Calibri" w:cs="Calibri"/>
          <w:i/>
          <w:spacing w:val="-1"/>
          <w:sz w:val="22"/>
          <w:szCs w:val="22"/>
          <w:lang w:val="sq-AL"/>
        </w:rPr>
        <w:t>menaxhimin e sistemit buxhetor n</w:t>
      </w:r>
      <w:r w:rsidR="00410EEB" w:rsidRPr="00A73AA7">
        <w:rPr>
          <w:rFonts w:ascii="Calibri" w:hAnsi="Calibri" w:cs="Calibri"/>
          <w:i/>
          <w:spacing w:val="-1"/>
          <w:sz w:val="22"/>
          <w:szCs w:val="22"/>
          <w:lang w:val="sq-AL"/>
        </w:rPr>
        <w:t>ë</w:t>
      </w:r>
      <w:r w:rsidR="00502D53" w:rsidRPr="00A73AA7">
        <w:rPr>
          <w:rFonts w:ascii="Calibri" w:hAnsi="Calibri" w:cs="Calibri"/>
          <w:i/>
          <w:spacing w:val="-1"/>
          <w:sz w:val="22"/>
          <w:szCs w:val="22"/>
          <w:lang w:val="sq-AL"/>
        </w:rPr>
        <w:t xml:space="preserve"> Republik</w:t>
      </w:r>
      <w:r w:rsidR="00410EEB" w:rsidRPr="00A73AA7">
        <w:rPr>
          <w:rFonts w:ascii="Calibri" w:hAnsi="Calibri" w:cs="Calibri"/>
          <w:i/>
          <w:spacing w:val="-1"/>
          <w:sz w:val="22"/>
          <w:szCs w:val="22"/>
          <w:lang w:val="sq-AL"/>
        </w:rPr>
        <w:t>ë</w:t>
      </w:r>
      <w:r w:rsidR="00502D53" w:rsidRPr="00A73AA7">
        <w:rPr>
          <w:rFonts w:ascii="Calibri" w:hAnsi="Calibri" w:cs="Calibri"/>
          <w:i/>
          <w:spacing w:val="-1"/>
          <w:sz w:val="22"/>
          <w:szCs w:val="22"/>
          <w:lang w:val="sq-AL"/>
        </w:rPr>
        <w:t xml:space="preserve">n e </w:t>
      </w:r>
      <w:r w:rsidR="00950FB7" w:rsidRPr="00A73AA7">
        <w:rPr>
          <w:rFonts w:ascii="Calibri" w:hAnsi="Calibri" w:cs="Calibri"/>
          <w:i/>
          <w:spacing w:val="-1"/>
          <w:sz w:val="22"/>
          <w:szCs w:val="22"/>
          <w:lang w:val="sq-AL"/>
        </w:rPr>
        <w:t>Shqipërisë</w:t>
      </w:r>
      <w:r w:rsidR="003F077A" w:rsidRPr="00A73AA7">
        <w:rPr>
          <w:rFonts w:ascii="Calibri" w:hAnsi="Calibri" w:cs="Calibri"/>
          <w:i/>
          <w:spacing w:val="-1"/>
          <w:sz w:val="22"/>
          <w:szCs w:val="22"/>
          <w:lang w:val="sq-AL"/>
        </w:rPr>
        <w:t>,</w:t>
      </w:r>
      <w:r w:rsidR="00693295" w:rsidRPr="00A73AA7">
        <w:rPr>
          <w:rFonts w:ascii="Calibri" w:hAnsi="Calibri" w:cs="Calibri"/>
          <w:i/>
          <w:spacing w:val="-1"/>
          <w:sz w:val="22"/>
          <w:szCs w:val="22"/>
          <w:lang w:val="sq-AL"/>
        </w:rPr>
        <w:t xml:space="preserve"> t</w:t>
      </w:r>
      <w:r w:rsidR="00A252A6" w:rsidRPr="00A73AA7">
        <w:rPr>
          <w:rFonts w:ascii="Calibri" w:hAnsi="Calibri" w:cs="Calibri"/>
          <w:i/>
          <w:spacing w:val="-1"/>
          <w:sz w:val="22"/>
          <w:szCs w:val="22"/>
          <w:lang w:val="sq-AL"/>
        </w:rPr>
        <w:t>ë</w:t>
      </w:r>
      <w:r w:rsidR="00693295" w:rsidRPr="00A73AA7">
        <w:rPr>
          <w:rFonts w:ascii="Calibri" w:hAnsi="Calibri" w:cs="Calibri"/>
          <w:i/>
          <w:spacing w:val="-1"/>
          <w:sz w:val="22"/>
          <w:szCs w:val="22"/>
          <w:lang w:val="sq-AL"/>
        </w:rPr>
        <w:t xml:space="preserve"> ndryshuar</w:t>
      </w:r>
      <w:r w:rsidR="003F077A" w:rsidRPr="00A73AA7">
        <w:rPr>
          <w:rFonts w:ascii="Calibri" w:hAnsi="Calibri" w:cs="Calibri"/>
          <w:i/>
          <w:spacing w:val="-1"/>
          <w:sz w:val="22"/>
          <w:szCs w:val="22"/>
          <w:lang w:val="sq-AL"/>
        </w:rPr>
        <w:t>”</w:t>
      </w:r>
      <w:r w:rsidR="00693295" w:rsidRPr="00A73AA7">
        <w:rPr>
          <w:rFonts w:ascii="Calibri" w:hAnsi="Calibri" w:cs="Calibri"/>
          <w:spacing w:val="-1"/>
          <w:sz w:val="22"/>
          <w:szCs w:val="22"/>
          <w:lang w:val="sq-AL"/>
        </w:rPr>
        <w:t xml:space="preserve">, </w:t>
      </w:r>
      <w:r w:rsidR="00502D53" w:rsidRPr="00A73AA7">
        <w:rPr>
          <w:rFonts w:ascii="Calibri" w:hAnsi="Calibri" w:cs="Calibri"/>
          <w:spacing w:val="-1"/>
          <w:sz w:val="22"/>
          <w:szCs w:val="22"/>
          <w:lang w:val="sq-AL"/>
        </w:rPr>
        <w:t>buxheti i shtetit p</w:t>
      </w:r>
      <w:r w:rsidR="00410EEB" w:rsidRPr="00A73AA7">
        <w:rPr>
          <w:rFonts w:ascii="Calibri" w:hAnsi="Calibri" w:cs="Calibri"/>
          <w:spacing w:val="-1"/>
          <w:sz w:val="22"/>
          <w:szCs w:val="22"/>
          <w:lang w:val="sq-AL"/>
        </w:rPr>
        <w:t>ë</w:t>
      </w:r>
      <w:r w:rsidR="00502D53" w:rsidRPr="00A73AA7">
        <w:rPr>
          <w:rFonts w:ascii="Calibri" w:hAnsi="Calibri" w:cs="Calibri"/>
          <w:spacing w:val="-1"/>
          <w:sz w:val="22"/>
          <w:szCs w:val="22"/>
          <w:lang w:val="sq-AL"/>
        </w:rPr>
        <w:t xml:space="preserve">rfshin </w:t>
      </w:r>
      <w:r w:rsidR="00863EC6" w:rsidRPr="00A73AA7">
        <w:rPr>
          <w:rFonts w:ascii="Calibri" w:hAnsi="Calibri" w:cs="Calibri"/>
          <w:spacing w:val="-1"/>
          <w:sz w:val="22"/>
          <w:szCs w:val="22"/>
          <w:lang w:val="sq-AL"/>
        </w:rPr>
        <w:t xml:space="preserve">edhe </w:t>
      </w:r>
      <w:r w:rsidR="00502D53" w:rsidRPr="00A73AA7">
        <w:rPr>
          <w:rFonts w:ascii="Calibri" w:hAnsi="Calibri" w:cs="Calibri"/>
          <w:spacing w:val="-1"/>
          <w:sz w:val="22"/>
          <w:szCs w:val="22"/>
          <w:lang w:val="sq-AL"/>
        </w:rPr>
        <w:t>nj</w:t>
      </w:r>
      <w:r w:rsidR="00410EEB" w:rsidRPr="00A73AA7">
        <w:rPr>
          <w:rFonts w:ascii="Calibri" w:hAnsi="Calibri" w:cs="Calibri"/>
          <w:spacing w:val="-1"/>
          <w:sz w:val="22"/>
          <w:szCs w:val="22"/>
          <w:lang w:val="sq-AL"/>
        </w:rPr>
        <w:t>ë</w:t>
      </w:r>
      <w:r w:rsidR="009A4906" w:rsidRPr="00A73AA7">
        <w:rPr>
          <w:rFonts w:ascii="Calibri" w:hAnsi="Calibri" w:cs="Calibri"/>
          <w:spacing w:val="-1"/>
          <w:sz w:val="22"/>
          <w:szCs w:val="22"/>
          <w:lang w:val="sq-AL"/>
        </w:rPr>
        <w:t xml:space="preserve"> </w:t>
      </w:r>
      <w:r w:rsidRPr="00A73AA7">
        <w:rPr>
          <w:rFonts w:ascii="Calibri" w:hAnsi="Calibri" w:cs="Calibri"/>
          <w:spacing w:val="-1"/>
          <w:sz w:val="22"/>
          <w:szCs w:val="22"/>
          <w:lang w:val="sq-AL"/>
        </w:rPr>
        <w:t>fond rezerv</w:t>
      </w:r>
      <w:r w:rsidR="00410EEB" w:rsidRPr="00A73AA7">
        <w:rPr>
          <w:rFonts w:ascii="Calibri" w:hAnsi="Calibri" w:cs="Calibri"/>
          <w:spacing w:val="-1"/>
          <w:sz w:val="22"/>
          <w:szCs w:val="22"/>
          <w:lang w:val="sq-AL"/>
        </w:rPr>
        <w:t>ë</w:t>
      </w:r>
      <w:r w:rsidRPr="00A73AA7">
        <w:rPr>
          <w:rFonts w:ascii="Calibri" w:hAnsi="Calibri" w:cs="Calibri"/>
          <w:spacing w:val="-1"/>
          <w:sz w:val="22"/>
          <w:szCs w:val="22"/>
          <w:lang w:val="sq-AL"/>
        </w:rPr>
        <w:t xml:space="preserve"> i </w:t>
      </w:r>
      <w:r w:rsidR="00502D53" w:rsidRPr="00A73AA7">
        <w:rPr>
          <w:rFonts w:ascii="Calibri" w:hAnsi="Calibri" w:cs="Calibri"/>
          <w:spacing w:val="-1"/>
          <w:sz w:val="22"/>
          <w:szCs w:val="22"/>
          <w:lang w:val="sq-AL"/>
        </w:rPr>
        <w:t>cili p</w:t>
      </w:r>
      <w:r w:rsidR="00410EEB" w:rsidRPr="00A73AA7">
        <w:rPr>
          <w:rFonts w:ascii="Calibri" w:hAnsi="Calibri" w:cs="Calibri"/>
          <w:spacing w:val="-1"/>
          <w:sz w:val="22"/>
          <w:szCs w:val="22"/>
          <w:lang w:val="sq-AL"/>
        </w:rPr>
        <w:t>ë</w:t>
      </w:r>
      <w:r w:rsidR="00502D53" w:rsidRPr="00A73AA7">
        <w:rPr>
          <w:rFonts w:ascii="Calibri" w:hAnsi="Calibri" w:cs="Calibri"/>
          <w:spacing w:val="-1"/>
          <w:sz w:val="22"/>
          <w:szCs w:val="22"/>
          <w:lang w:val="sq-AL"/>
        </w:rPr>
        <w:t>rdoret p</w:t>
      </w:r>
      <w:r w:rsidR="00410EEB" w:rsidRPr="00A73AA7">
        <w:rPr>
          <w:rFonts w:ascii="Calibri" w:hAnsi="Calibri" w:cs="Calibri"/>
          <w:spacing w:val="-1"/>
          <w:sz w:val="22"/>
          <w:szCs w:val="22"/>
          <w:lang w:val="sq-AL"/>
        </w:rPr>
        <w:t>ë</w:t>
      </w:r>
      <w:r w:rsidR="00502D53" w:rsidRPr="00A73AA7">
        <w:rPr>
          <w:rFonts w:ascii="Calibri" w:hAnsi="Calibri" w:cs="Calibri"/>
          <w:spacing w:val="-1"/>
          <w:sz w:val="22"/>
          <w:szCs w:val="22"/>
          <w:lang w:val="sq-AL"/>
        </w:rPr>
        <w:t>r rastet e financimit t</w:t>
      </w:r>
      <w:r w:rsidR="00410EEB" w:rsidRPr="00A73AA7">
        <w:rPr>
          <w:rFonts w:ascii="Calibri" w:hAnsi="Calibri" w:cs="Calibri"/>
          <w:spacing w:val="-1"/>
          <w:sz w:val="22"/>
          <w:szCs w:val="22"/>
          <w:lang w:val="sq-AL"/>
        </w:rPr>
        <w:t>ë</w:t>
      </w:r>
      <w:r w:rsidR="00502D53" w:rsidRPr="00A73AA7">
        <w:rPr>
          <w:rFonts w:ascii="Calibri" w:hAnsi="Calibri" w:cs="Calibri"/>
          <w:spacing w:val="-1"/>
          <w:sz w:val="22"/>
          <w:szCs w:val="22"/>
          <w:lang w:val="sq-AL"/>
        </w:rPr>
        <w:t xml:space="preserve"> shpenzimeve</w:t>
      </w:r>
      <w:r w:rsidR="000C60CC" w:rsidRPr="00A73AA7">
        <w:rPr>
          <w:rFonts w:ascii="Calibri" w:hAnsi="Calibri" w:cs="Calibri"/>
          <w:spacing w:val="-1"/>
          <w:sz w:val="22"/>
          <w:szCs w:val="22"/>
          <w:lang w:val="sq-AL"/>
        </w:rPr>
        <w:t>,</w:t>
      </w:r>
      <w:r w:rsidR="00502D53" w:rsidRPr="00A73AA7">
        <w:rPr>
          <w:rFonts w:ascii="Calibri" w:hAnsi="Calibri" w:cs="Calibri"/>
          <w:spacing w:val="-1"/>
          <w:sz w:val="22"/>
          <w:szCs w:val="22"/>
          <w:lang w:val="sq-AL"/>
        </w:rPr>
        <w:t xml:space="preserve"> q</w:t>
      </w:r>
      <w:r w:rsidR="00410EEB" w:rsidRPr="00A73AA7">
        <w:rPr>
          <w:rFonts w:ascii="Calibri" w:hAnsi="Calibri" w:cs="Calibri"/>
          <w:spacing w:val="-1"/>
          <w:sz w:val="22"/>
          <w:szCs w:val="22"/>
          <w:lang w:val="sq-AL"/>
        </w:rPr>
        <w:t>ë</w:t>
      </w:r>
      <w:r w:rsidR="00E62514" w:rsidRPr="00A73AA7">
        <w:rPr>
          <w:rFonts w:ascii="Calibri" w:hAnsi="Calibri" w:cs="Calibri"/>
          <w:spacing w:val="-1"/>
          <w:sz w:val="22"/>
          <w:szCs w:val="22"/>
          <w:lang w:val="sq-AL"/>
        </w:rPr>
        <w:t xml:space="preserve"> n</w:t>
      </w:r>
      <w:r w:rsidR="00502D53" w:rsidRPr="00A73AA7">
        <w:rPr>
          <w:rFonts w:ascii="Calibri" w:hAnsi="Calibri" w:cs="Calibri"/>
          <w:spacing w:val="-1"/>
          <w:sz w:val="22"/>
          <w:szCs w:val="22"/>
          <w:lang w:val="sq-AL"/>
        </w:rPr>
        <w:t>uk njihen dhe jan</w:t>
      </w:r>
      <w:r w:rsidR="00410EEB" w:rsidRPr="00A73AA7">
        <w:rPr>
          <w:rFonts w:ascii="Calibri" w:hAnsi="Calibri" w:cs="Calibri"/>
          <w:spacing w:val="-1"/>
          <w:sz w:val="22"/>
          <w:szCs w:val="22"/>
          <w:lang w:val="sq-AL"/>
        </w:rPr>
        <w:t>ë</w:t>
      </w:r>
      <w:r w:rsidR="00502D53" w:rsidRPr="00A73AA7">
        <w:rPr>
          <w:rFonts w:ascii="Calibri" w:hAnsi="Calibri" w:cs="Calibri"/>
          <w:spacing w:val="-1"/>
          <w:sz w:val="22"/>
          <w:szCs w:val="22"/>
          <w:lang w:val="sq-AL"/>
        </w:rPr>
        <w:t xml:space="preserve"> t</w:t>
      </w:r>
      <w:r w:rsidR="00410EEB" w:rsidRPr="00A73AA7">
        <w:rPr>
          <w:rFonts w:ascii="Calibri" w:hAnsi="Calibri" w:cs="Calibri"/>
          <w:spacing w:val="-1"/>
          <w:sz w:val="22"/>
          <w:szCs w:val="22"/>
          <w:lang w:val="sq-AL"/>
        </w:rPr>
        <w:t>ë</w:t>
      </w:r>
      <w:r w:rsidR="00502D53" w:rsidRPr="00A73AA7">
        <w:rPr>
          <w:rFonts w:ascii="Calibri" w:hAnsi="Calibri" w:cs="Calibri"/>
          <w:spacing w:val="-1"/>
          <w:sz w:val="22"/>
          <w:szCs w:val="22"/>
          <w:lang w:val="sq-AL"/>
        </w:rPr>
        <w:t xml:space="preserve"> pamundura t</w:t>
      </w:r>
      <w:r w:rsidR="00410EEB" w:rsidRPr="00A73AA7">
        <w:rPr>
          <w:rFonts w:ascii="Calibri" w:hAnsi="Calibri" w:cs="Calibri"/>
          <w:spacing w:val="-1"/>
          <w:sz w:val="22"/>
          <w:szCs w:val="22"/>
          <w:lang w:val="sq-AL"/>
        </w:rPr>
        <w:t>ë</w:t>
      </w:r>
      <w:r w:rsidR="00502D53" w:rsidRPr="00A73AA7">
        <w:rPr>
          <w:rFonts w:ascii="Calibri" w:hAnsi="Calibri" w:cs="Calibri"/>
          <w:spacing w:val="-1"/>
          <w:sz w:val="22"/>
          <w:szCs w:val="22"/>
          <w:lang w:val="sq-AL"/>
        </w:rPr>
        <w:t xml:space="preserve"> parashikohen gjat</w:t>
      </w:r>
      <w:r w:rsidR="00410EEB" w:rsidRPr="00A73AA7">
        <w:rPr>
          <w:rFonts w:ascii="Calibri" w:hAnsi="Calibri" w:cs="Calibri"/>
          <w:spacing w:val="-1"/>
          <w:sz w:val="22"/>
          <w:szCs w:val="22"/>
          <w:lang w:val="sq-AL"/>
        </w:rPr>
        <w:t>ë</w:t>
      </w:r>
      <w:r w:rsidR="00502D53" w:rsidRPr="00A73AA7">
        <w:rPr>
          <w:rFonts w:ascii="Calibri" w:hAnsi="Calibri" w:cs="Calibri"/>
          <w:spacing w:val="-1"/>
          <w:sz w:val="22"/>
          <w:szCs w:val="22"/>
          <w:lang w:val="sq-AL"/>
        </w:rPr>
        <w:t xml:space="preserve"> procesit t</w:t>
      </w:r>
      <w:r w:rsidR="00410EEB" w:rsidRPr="00A73AA7">
        <w:rPr>
          <w:rFonts w:ascii="Calibri" w:hAnsi="Calibri" w:cs="Calibri"/>
          <w:spacing w:val="-1"/>
          <w:sz w:val="22"/>
          <w:szCs w:val="22"/>
          <w:lang w:val="sq-AL"/>
        </w:rPr>
        <w:t>ë</w:t>
      </w:r>
      <w:r w:rsidR="009A4906" w:rsidRPr="00A73AA7">
        <w:rPr>
          <w:rFonts w:ascii="Calibri" w:hAnsi="Calibri" w:cs="Calibri"/>
          <w:spacing w:val="-1"/>
          <w:sz w:val="22"/>
          <w:szCs w:val="22"/>
          <w:lang w:val="sq-AL"/>
        </w:rPr>
        <w:t xml:space="preserve"> </w:t>
      </w:r>
      <w:r w:rsidR="00950FB7" w:rsidRPr="00A73AA7">
        <w:rPr>
          <w:rFonts w:ascii="Calibri" w:hAnsi="Calibri" w:cs="Calibri"/>
          <w:spacing w:val="-1"/>
          <w:sz w:val="22"/>
          <w:szCs w:val="22"/>
          <w:lang w:val="sq-AL"/>
        </w:rPr>
        <w:t>përgatitjes</w:t>
      </w:r>
      <w:r w:rsidR="00502D53" w:rsidRPr="00A73AA7">
        <w:rPr>
          <w:rFonts w:ascii="Calibri" w:hAnsi="Calibri" w:cs="Calibri"/>
          <w:spacing w:val="-1"/>
          <w:sz w:val="22"/>
          <w:szCs w:val="22"/>
          <w:lang w:val="sq-AL"/>
        </w:rPr>
        <w:t xml:space="preserve"> s</w:t>
      </w:r>
      <w:r w:rsidR="00410EEB" w:rsidRPr="00A73AA7">
        <w:rPr>
          <w:rFonts w:ascii="Calibri" w:hAnsi="Calibri" w:cs="Calibri"/>
          <w:spacing w:val="-1"/>
          <w:sz w:val="22"/>
          <w:szCs w:val="22"/>
          <w:lang w:val="sq-AL"/>
        </w:rPr>
        <w:t>ë</w:t>
      </w:r>
      <w:r w:rsidR="00502D53" w:rsidRPr="00A73AA7">
        <w:rPr>
          <w:rFonts w:ascii="Calibri" w:hAnsi="Calibri" w:cs="Calibri"/>
          <w:spacing w:val="-1"/>
          <w:sz w:val="22"/>
          <w:szCs w:val="22"/>
          <w:lang w:val="sq-AL"/>
        </w:rPr>
        <w:t xml:space="preserve"> buxhetit</w:t>
      </w:r>
      <w:r w:rsidR="000C60CC" w:rsidRPr="00A73AA7">
        <w:rPr>
          <w:rFonts w:ascii="Calibri" w:hAnsi="Calibri" w:cs="Calibri"/>
          <w:spacing w:val="-1"/>
          <w:sz w:val="22"/>
          <w:szCs w:val="22"/>
          <w:lang w:val="sq-AL"/>
        </w:rPr>
        <w:t>.</w:t>
      </w:r>
      <w:r w:rsidR="009A4906" w:rsidRPr="00A73AA7">
        <w:rPr>
          <w:rFonts w:ascii="Calibri" w:hAnsi="Calibri" w:cs="Calibri"/>
          <w:spacing w:val="-1"/>
          <w:sz w:val="22"/>
          <w:szCs w:val="22"/>
          <w:lang w:val="sq-AL"/>
        </w:rPr>
        <w:t xml:space="preserve"> </w:t>
      </w:r>
      <w:r w:rsidR="000C60CC" w:rsidRPr="00A73AA7">
        <w:rPr>
          <w:rFonts w:ascii="Calibri" w:hAnsi="Calibri" w:cs="Calibri"/>
          <w:spacing w:val="-1"/>
          <w:sz w:val="22"/>
          <w:szCs w:val="22"/>
          <w:lang w:val="sq-AL"/>
        </w:rPr>
        <w:t>Miratimi i p</w:t>
      </w:r>
      <w:r w:rsidR="00410EEB" w:rsidRPr="00A73AA7">
        <w:rPr>
          <w:rFonts w:ascii="Calibri" w:hAnsi="Calibri" w:cs="Calibri"/>
          <w:spacing w:val="-1"/>
          <w:sz w:val="22"/>
          <w:szCs w:val="22"/>
          <w:lang w:val="sq-AL"/>
        </w:rPr>
        <w:t>ë</w:t>
      </w:r>
      <w:r w:rsidRPr="00A73AA7">
        <w:rPr>
          <w:rFonts w:ascii="Calibri" w:hAnsi="Calibri" w:cs="Calibri"/>
          <w:spacing w:val="-1"/>
          <w:sz w:val="22"/>
          <w:szCs w:val="22"/>
          <w:lang w:val="sq-AL"/>
        </w:rPr>
        <w:t>rdorimi</w:t>
      </w:r>
      <w:r w:rsidR="000C60CC" w:rsidRPr="00A73AA7">
        <w:rPr>
          <w:rFonts w:ascii="Calibri" w:hAnsi="Calibri" w:cs="Calibri"/>
          <w:spacing w:val="-1"/>
          <w:sz w:val="22"/>
          <w:szCs w:val="22"/>
          <w:lang w:val="sq-AL"/>
        </w:rPr>
        <w:t>t t</w:t>
      </w:r>
      <w:r w:rsidR="00410EEB" w:rsidRPr="00A73AA7">
        <w:rPr>
          <w:rFonts w:ascii="Calibri" w:hAnsi="Calibri" w:cs="Calibri"/>
          <w:spacing w:val="-1"/>
          <w:sz w:val="22"/>
          <w:szCs w:val="22"/>
          <w:lang w:val="sq-AL"/>
        </w:rPr>
        <w:t>ë</w:t>
      </w:r>
      <w:r w:rsidRPr="00A73AA7">
        <w:rPr>
          <w:rFonts w:ascii="Calibri" w:hAnsi="Calibri" w:cs="Calibri"/>
          <w:spacing w:val="-1"/>
          <w:sz w:val="22"/>
          <w:szCs w:val="22"/>
          <w:lang w:val="sq-AL"/>
        </w:rPr>
        <w:t xml:space="preserve"> tij b</w:t>
      </w:r>
      <w:r w:rsidR="00410EEB" w:rsidRPr="00A73AA7">
        <w:rPr>
          <w:rFonts w:ascii="Calibri" w:hAnsi="Calibri" w:cs="Calibri"/>
          <w:spacing w:val="-1"/>
          <w:sz w:val="22"/>
          <w:szCs w:val="22"/>
          <w:lang w:val="sq-AL"/>
        </w:rPr>
        <w:t>ë</w:t>
      </w:r>
      <w:r w:rsidRPr="00A73AA7">
        <w:rPr>
          <w:rFonts w:ascii="Calibri" w:hAnsi="Calibri" w:cs="Calibri"/>
          <w:spacing w:val="-1"/>
          <w:sz w:val="22"/>
          <w:szCs w:val="22"/>
          <w:lang w:val="sq-AL"/>
        </w:rPr>
        <w:t xml:space="preserve">het me </w:t>
      </w:r>
      <w:r w:rsidR="004C70C3" w:rsidRPr="00A73AA7">
        <w:rPr>
          <w:rFonts w:ascii="Calibri" w:hAnsi="Calibri" w:cs="Calibri"/>
          <w:spacing w:val="-1"/>
          <w:sz w:val="22"/>
          <w:szCs w:val="22"/>
          <w:lang w:val="sq-AL"/>
        </w:rPr>
        <w:t>V</w:t>
      </w:r>
      <w:r w:rsidRPr="00A73AA7">
        <w:rPr>
          <w:rFonts w:ascii="Calibri" w:hAnsi="Calibri" w:cs="Calibri"/>
          <w:spacing w:val="-1"/>
          <w:sz w:val="22"/>
          <w:szCs w:val="22"/>
          <w:lang w:val="sq-AL"/>
        </w:rPr>
        <w:t>endim t</w:t>
      </w:r>
      <w:r w:rsidR="00410EEB" w:rsidRPr="00A73AA7">
        <w:rPr>
          <w:rFonts w:ascii="Calibri" w:hAnsi="Calibri" w:cs="Calibri"/>
          <w:spacing w:val="-1"/>
          <w:sz w:val="22"/>
          <w:szCs w:val="22"/>
          <w:lang w:val="sq-AL"/>
        </w:rPr>
        <w:t>ë</w:t>
      </w:r>
      <w:r w:rsidR="009A4906" w:rsidRPr="00A73AA7">
        <w:rPr>
          <w:rFonts w:ascii="Calibri" w:hAnsi="Calibri" w:cs="Calibri"/>
          <w:spacing w:val="-1"/>
          <w:sz w:val="22"/>
          <w:szCs w:val="22"/>
          <w:lang w:val="sq-AL"/>
        </w:rPr>
        <w:t xml:space="preserve"> </w:t>
      </w:r>
      <w:r w:rsidRPr="00A73AA7">
        <w:rPr>
          <w:rFonts w:ascii="Calibri" w:hAnsi="Calibri" w:cs="Calibri"/>
          <w:spacing w:val="-1"/>
          <w:sz w:val="22"/>
          <w:szCs w:val="22"/>
          <w:lang w:val="sq-AL"/>
        </w:rPr>
        <w:t>K</w:t>
      </w:r>
      <w:r w:rsidR="00410EEB" w:rsidRPr="00A73AA7">
        <w:rPr>
          <w:rFonts w:ascii="Calibri" w:hAnsi="Calibri" w:cs="Calibri"/>
          <w:spacing w:val="-1"/>
          <w:sz w:val="22"/>
          <w:szCs w:val="22"/>
          <w:lang w:val="sq-AL"/>
        </w:rPr>
        <w:t>ë</w:t>
      </w:r>
      <w:r w:rsidRPr="00A73AA7">
        <w:rPr>
          <w:rFonts w:ascii="Calibri" w:hAnsi="Calibri" w:cs="Calibri"/>
          <w:spacing w:val="-1"/>
          <w:sz w:val="22"/>
          <w:szCs w:val="22"/>
          <w:lang w:val="sq-AL"/>
        </w:rPr>
        <w:t>shillit t</w:t>
      </w:r>
      <w:r w:rsidR="00410EEB" w:rsidRPr="00A73AA7">
        <w:rPr>
          <w:rFonts w:ascii="Calibri" w:hAnsi="Calibri" w:cs="Calibri"/>
          <w:spacing w:val="-1"/>
          <w:sz w:val="22"/>
          <w:szCs w:val="22"/>
          <w:lang w:val="sq-AL"/>
        </w:rPr>
        <w:t>ë</w:t>
      </w:r>
      <w:r w:rsidRPr="00A73AA7">
        <w:rPr>
          <w:rFonts w:ascii="Calibri" w:hAnsi="Calibri" w:cs="Calibri"/>
          <w:spacing w:val="-1"/>
          <w:sz w:val="22"/>
          <w:szCs w:val="22"/>
          <w:lang w:val="sq-AL"/>
        </w:rPr>
        <w:t xml:space="preserve"> Ministrave</w:t>
      </w:r>
      <w:r w:rsidR="00A369BE" w:rsidRPr="00A73AA7">
        <w:rPr>
          <w:rFonts w:ascii="Calibri" w:hAnsi="Calibri" w:cs="Calibri"/>
          <w:spacing w:val="-1"/>
          <w:sz w:val="22"/>
          <w:szCs w:val="22"/>
          <w:lang w:val="sq-AL"/>
        </w:rPr>
        <w:t>.</w:t>
      </w:r>
    </w:p>
    <w:p w14:paraId="3BAF5F7F" w14:textId="226F5DC5" w:rsidR="002C16F3" w:rsidRPr="00A73AA7" w:rsidRDefault="00147246" w:rsidP="002549C7">
      <w:pPr>
        <w:pStyle w:val="ListParagraph"/>
        <w:numPr>
          <w:ilvl w:val="0"/>
          <w:numId w:val="20"/>
        </w:numPr>
        <w:spacing w:before="240" w:line="276" w:lineRule="auto"/>
        <w:rPr>
          <w:rFonts w:cs="Calibri"/>
          <w:bCs/>
          <w:szCs w:val="22"/>
          <w:lang w:val="sq-AL"/>
        </w:rPr>
      </w:pPr>
      <w:r w:rsidRPr="00A73AA7">
        <w:rPr>
          <w:rFonts w:cs="Calibri"/>
          <w:b/>
          <w:szCs w:val="22"/>
          <w:lang w:val="sq-AL"/>
        </w:rPr>
        <w:t xml:space="preserve">Fondi Rezervë </w:t>
      </w:r>
      <w:r w:rsidR="00B403E6" w:rsidRPr="00A73AA7">
        <w:rPr>
          <w:rFonts w:cs="Calibri"/>
          <w:b/>
          <w:szCs w:val="22"/>
          <w:lang w:val="sq-AL"/>
        </w:rPr>
        <w:t>i</w:t>
      </w:r>
      <w:r w:rsidRPr="00A73AA7">
        <w:rPr>
          <w:rFonts w:cs="Calibri"/>
          <w:b/>
          <w:szCs w:val="22"/>
          <w:lang w:val="sq-AL"/>
        </w:rPr>
        <w:t xml:space="preserve"> Buxhetit të Shtetit</w:t>
      </w:r>
      <w:r w:rsidR="009A4906" w:rsidRPr="00A73AA7">
        <w:rPr>
          <w:rFonts w:cs="Calibri"/>
          <w:b/>
          <w:szCs w:val="22"/>
          <w:lang w:val="sq-AL"/>
        </w:rPr>
        <w:t xml:space="preserve"> </w:t>
      </w:r>
      <w:r w:rsidR="00B403E6" w:rsidRPr="00A73AA7">
        <w:rPr>
          <w:rFonts w:cs="Calibri"/>
          <w:szCs w:val="22"/>
          <w:lang w:val="sq-AL"/>
        </w:rPr>
        <w:t xml:space="preserve">u miratua përmes </w:t>
      </w:r>
      <w:r w:rsidR="00C362E0" w:rsidRPr="00A73AA7">
        <w:rPr>
          <w:rFonts w:cs="Calibri"/>
          <w:bCs/>
          <w:szCs w:val="22"/>
          <w:lang w:val="sq-AL"/>
        </w:rPr>
        <w:t>Ligji</w:t>
      </w:r>
      <w:r w:rsidR="00B403E6" w:rsidRPr="00A73AA7">
        <w:rPr>
          <w:rFonts w:cs="Calibri"/>
          <w:bCs/>
          <w:szCs w:val="22"/>
          <w:lang w:val="sq-AL"/>
        </w:rPr>
        <w:t>t</w:t>
      </w:r>
      <w:r w:rsidR="00C362E0" w:rsidRPr="00A73AA7">
        <w:rPr>
          <w:rFonts w:cs="Calibri"/>
          <w:bCs/>
          <w:szCs w:val="22"/>
          <w:lang w:val="sq-AL"/>
        </w:rPr>
        <w:t xml:space="preserve"> nr.</w:t>
      </w:r>
      <w:r w:rsidR="00B736A2" w:rsidRPr="00A73AA7">
        <w:rPr>
          <w:rFonts w:cs="Calibri"/>
          <w:szCs w:val="22"/>
          <w:lang w:val="sq-AL"/>
        </w:rPr>
        <w:t>115</w:t>
      </w:r>
      <w:r w:rsidR="002C16F3" w:rsidRPr="00A73AA7">
        <w:rPr>
          <w:rFonts w:cs="Calibri"/>
          <w:szCs w:val="22"/>
          <w:lang w:val="sq-AL"/>
        </w:rPr>
        <w:t>/202</w:t>
      </w:r>
      <w:r w:rsidR="00B736A2" w:rsidRPr="00A73AA7">
        <w:rPr>
          <w:rFonts w:cs="Calibri"/>
          <w:szCs w:val="22"/>
          <w:lang w:val="sq-AL"/>
        </w:rPr>
        <w:t>4</w:t>
      </w:r>
      <w:r w:rsidR="002C16F3" w:rsidRPr="00A73AA7">
        <w:rPr>
          <w:rFonts w:cs="Calibri"/>
          <w:szCs w:val="22"/>
          <w:lang w:val="sq-AL"/>
        </w:rPr>
        <w:t xml:space="preserve"> “</w:t>
      </w:r>
      <w:r w:rsidR="002C16F3" w:rsidRPr="00A73AA7">
        <w:rPr>
          <w:rFonts w:cs="Calibri"/>
          <w:i/>
          <w:szCs w:val="22"/>
          <w:lang w:val="sq-AL"/>
        </w:rPr>
        <w:t>Për buxhetin e vitit 202</w:t>
      </w:r>
      <w:r w:rsidR="00B736A2" w:rsidRPr="00A73AA7">
        <w:rPr>
          <w:rFonts w:cs="Calibri"/>
          <w:i/>
          <w:szCs w:val="22"/>
          <w:lang w:val="sq-AL"/>
        </w:rPr>
        <w:t>5</w:t>
      </w:r>
      <w:r w:rsidR="002C16F3" w:rsidRPr="00A73AA7">
        <w:rPr>
          <w:rFonts w:cs="Calibri"/>
          <w:szCs w:val="22"/>
          <w:lang w:val="sq-AL"/>
        </w:rPr>
        <w:t>”</w:t>
      </w:r>
      <w:r w:rsidR="00C362E0" w:rsidRPr="00A73AA7">
        <w:rPr>
          <w:rFonts w:cs="Calibri"/>
          <w:szCs w:val="22"/>
          <w:lang w:val="sq-AL"/>
        </w:rPr>
        <w:t xml:space="preserve"> në masën </w:t>
      </w:r>
      <w:r w:rsidR="00B8083D" w:rsidRPr="00A73AA7">
        <w:rPr>
          <w:rFonts w:cs="Calibri"/>
          <w:szCs w:val="22"/>
          <w:lang w:val="sq-AL"/>
        </w:rPr>
        <w:t>6.7</w:t>
      </w:r>
      <w:r w:rsidR="00B736A2" w:rsidRPr="00A73AA7">
        <w:rPr>
          <w:rFonts w:cs="Calibri"/>
          <w:bCs/>
          <w:szCs w:val="22"/>
          <w:lang w:val="sq-AL"/>
        </w:rPr>
        <w:t xml:space="preserve"> </w:t>
      </w:r>
      <w:r w:rsidR="002C16F3" w:rsidRPr="00A73AA7">
        <w:rPr>
          <w:rFonts w:cs="Calibri"/>
          <w:bCs/>
          <w:szCs w:val="22"/>
          <w:lang w:val="sq-AL"/>
        </w:rPr>
        <w:t xml:space="preserve">miliardë lekë, </w:t>
      </w:r>
      <w:r w:rsidR="00B403E6" w:rsidRPr="00A73AA7">
        <w:rPr>
          <w:rFonts w:cs="Calibri"/>
          <w:szCs w:val="22"/>
          <w:lang w:val="sq-AL"/>
        </w:rPr>
        <w:t>ku</w:t>
      </w:r>
      <w:r w:rsidR="001C7799" w:rsidRPr="00A73AA7">
        <w:rPr>
          <w:rFonts w:cs="Calibri"/>
          <w:szCs w:val="22"/>
          <w:lang w:val="sq-AL"/>
        </w:rPr>
        <w:t xml:space="preserve"> Neni 14 përcakton përdorimin i tij si më</w:t>
      </w:r>
      <w:r w:rsidR="00B8083D" w:rsidRPr="00A73AA7">
        <w:rPr>
          <w:rFonts w:cs="Calibri"/>
          <w:szCs w:val="22"/>
          <w:lang w:val="sq-AL"/>
        </w:rPr>
        <w:t xml:space="preserve"> </w:t>
      </w:r>
      <w:r w:rsidR="001C7799" w:rsidRPr="00A73AA7">
        <w:rPr>
          <w:rFonts w:cs="Calibri"/>
          <w:szCs w:val="22"/>
          <w:lang w:val="sq-AL"/>
        </w:rPr>
        <w:t>poshtë:</w:t>
      </w:r>
    </w:p>
    <w:p w14:paraId="51EF52FE" w14:textId="62EBA7A2" w:rsidR="004B0300" w:rsidRPr="00A73AA7" w:rsidRDefault="00B736A2" w:rsidP="002549C7">
      <w:pPr>
        <w:pStyle w:val="ListParagraph"/>
        <w:numPr>
          <w:ilvl w:val="0"/>
          <w:numId w:val="4"/>
        </w:numPr>
        <w:spacing w:after="0" w:line="276" w:lineRule="auto"/>
        <w:rPr>
          <w:rFonts w:cs="Calibri"/>
          <w:bCs/>
          <w:i/>
          <w:szCs w:val="22"/>
          <w:lang w:val="sq-AL"/>
        </w:rPr>
      </w:pPr>
      <w:bookmarkStart w:id="0" w:name="_Hlk210729876"/>
      <w:r w:rsidRPr="00A73AA7">
        <w:rPr>
          <w:rFonts w:cs="Calibri"/>
          <w:bCs/>
          <w:i/>
          <w:szCs w:val="22"/>
          <w:lang w:val="sq-AL"/>
        </w:rPr>
        <w:t>3 000</w:t>
      </w:r>
      <w:r w:rsidR="004B0300" w:rsidRPr="00A73AA7">
        <w:rPr>
          <w:rFonts w:cs="Calibri"/>
          <w:bCs/>
          <w:i/>
          <w:szCs w:val="22"/>
          <w:lang w:val="sq-AL"/>
        </w:rPr>
        <w:t xml:space="preserve"> milionë lekë për raste të paparashikuara të njësive të qeverisjes së përgjithshme; </w:t>
      </w:r>
    </w:p>
    <w:p w14:paraId="654FBB87" w14:textId="69E01D0A" w:rsidR="004B0300" w:rsidRPr="00A73AA7" w:rsidRDefault="00B736A2" w:rsidP="002549C7">
      <w:pPr>
        <w:pStyle w:val="ListParagraph"/>
        <w:numPr>
          <w:ilvl w:val="0"/>
          <w:numId w:val="4"/>
        </w:numPr>
        <w:spacing w:line="276" w:lineRule="auto"/>
        <w:rPr>
          <w:rFonts w:cs="Calibri"/>
          <w:bCs/>
          <w:i/>
          <w:szCs w:val="22"/>
          <w:lang w:val="sq-AL"/>
        </w:rPr>
      </w:pPr>
      <w:r w:rsidRPr="00A73AA7">
        <w:rPr>
          <w:rFonts w:cs="Calibri"/>
          <w:bCs/>
          <w:i/>
          <w:szCs w:val="22"/>
          <w:lang w:val="sq-AL"/>
        </w:rPr>
        <w:t>2 500</w:t>
      </w:r>
      <w:r w:rsidR="004B0300" w:rsidRPr="00A73AA7">
        <w:rPr>
          <w:rFonts w:cs="Calibri"/>
          <w:bCs/>
          <w:i/>
          <w:szCs w:val="22"/>
          <w:lang w:val="sq-AL"/>
        </w:rPr>
        <w:t xml:space="preserve"> milionë lekë për </w:t>
      </w:r>
      <w:r w:rsidR="003E47CD" w:rsidRPr="00A73AA7">
        <w:rPr>
          <w:rFonts w:cs="Calibri"/>
          <w:bCs/>
          <w:i/>
          <w:szCs w:val="22"/>
          <w:lang w:val="sq-AL"/>
        </w:rPr>
        <w:t>p</w:t>
      </w:r>
      <w:r w:rsidR="005B33EC" w:rsidRPr="00A73AA7">
        <w:rPr>
          <w:rFonts w:cs="Calibri"/>
          <w:bCs/>
          <w:i/>
          <w:szCs w:val="22"/>
          <w:lang w:val="sq-AL"/>
        </w:rPr>
        <w:t>ë</w:t>
      </w:r>
      <w:r w:rsidR="003E47CD" w:rsidRPr="00A73AA7">
        <w:rPr>
          <w:rFonts w:cs="Calibri"/>
          <w:bCs/>
          <w:i/>
          <w:szCs w:val="22"/>
          <w:lang w:val="sq-AL"/>
        </w:rPr>
        <w:t>rballimin e kostos s</w:t>
      </w:r>
      <w:r w:rsidR="005B33EC" w:rsidRPr="00A73AA7">
        <w:rPr>
          <w:rFonts w:cs="Calibri"/>
          <w:bCs/>
          <w:i/>
          <w:szCs w:val="22"/>
          <w:lang w:val="sq-AL"/>
        </w:rPr>
        <w:t>ë</w:t>
      </w:r>
      <w:r w:rsidR="003E47CD" w:rsidRPr="00A73AA7">
        <w:rPr>
          <w:rFonts w:cs="Calibri"/>
          <w:bCs/>
          <w:i/>
          <w:szCs w:val="22"/>
          <w:lang w:val="sq-AL"/>
        </w:rPr>
        <w:t xml:space="preserve"> zgjedhjeve</w:t>
      </w:r>
      <w:r w:rsidRPr="00A73AA7">
        <w:rPr>
          <w:rFonts w:cs="Calibri"/>
          <w:bCs/>
          <w:i/>
          <w:szCs w:val="22"/>
          <w:lang w:val="sq-AL"/>
        </w:rPr>
        <w:t xml:space="preserve"> t</w:t>
      </w:r>
      <w:r w:rsidR="00B8083D" w:rsidRPr="00A73AA7">
        <w:rPr>
          <w:rFonts w:cs="Calibri"/>
          <w:bCs/>
          <w:i/>
          <w:szCs w:val="22"/>
          <w:lang w:val="sq-AL"/>
        </w:rPr>
        <w:t>ë</w:t>
      </w:r>
      <w:r w:rsidRPr="00A73AA7">
        <w:rPr>
          <w:rFonts w:cs="Calibri"/>
          <w:bCs/>
          <w:i/>
          <w:szCs w:val="22"/>
          <w:lang w:val="sq-AL"/>
        </w:rPr>
        <w:t xml:space="preserve"> p</w:t>
      </w:r>
      <w:r w:rsidR="00B8083D" w:rsidRPr="00A73AA7">
        <w:rPr>
          <w:rFonts w:cs="Calibri"/>
          <w:bCs/>
          <w:i/>
          <w:szCs w:val="22"/>
          <w:lang w:val="sq-AL"/>
        </w:rPr>
        <w:t>ë</w:t>
      </w:r>
      <w:r w:rsidRPr="00A73AA7">
        <w:rPr>
          <w:rFonts w:cs="Calibri"/>
          <w:bCs/>
          <w:i/>
          <w:szCs w:val="22"/>
          <w:lang w:val="sq-AL"/>
        </w:rPr>
        <w:t>rgjithshme.</w:t>
      </w:r>
    </w:p>
    <w:bookmarkEnd w:id="0"/>
    <w:p w14:paraId="4B729886" w14:textId="0C5B345C" w:rsidR="008F6191" w:rsidRPr="00A73AA7" w:rsidRDefault="00B736A2" w:rsidP="002549C7">
      <w:pPr>
        <w:pStyle w:val="ListParagraph"/>
        <w:numPr>
          <w:ilvl w:val="0"/>
          <w:numId w:val="4"/>
        </w:numPr>
        <w:spacing w:line="276" w:lineRule="auto"/>
        <w:rPr>
          <w:rFonts w:cs="Calibri"/>
          <w:bCs/>
          <w:i/>
          <w:szCs w:val="22"/>
          <w:lang w:val="sq-AL"/>
        </w:rPr>
      </w:pPr>
      <w:r w:rsidRPr="00A73AA7">
        <w:rPr>
          <w:rFonts w:cs="Calibri"/>
          <w:bCs/>
          <w:i/>
          <w:szCs w:val="22"/>
          <w:lang w:val="sq-AL"/>
        </w:rPr>
        <w:t>1 200 milionë lekësh përdoret për projekte/aktivitete të njësive të qeverisjes qendrore në kuadër të planit të rritjes me Bashkimin Evropian me vendim të Këshillit të Ministrave.</w:t>
      </w:r>
    </w:p>
    <w:p w14:paraId="7D8D2FAB" w14:textId="128A28B4" w:rsidR="008F6191" w:rsidRPr="00A73AA7" w:rsidRDefault="008F6191" w:rsidP="002549C7">
      <w:pPr>
        <w:pStyle w:val="ListParagraph"/>
        <w:numPr>
          <w:ilvl w:val="0"/>
          <w:numId w:val="20"/>
        </w:numPr>
        <w:spacing w:line="276" w:lineRule="auto"/>
        <w:rPr>
          <w:rFonts w:cs="Calibri"/>
          <w:bCs/>
          <w:i/>
          <w:szCs w:val="22"/>
          <w:lang w:val="sq-AL"/>
        </w:rPr>
      </w:pPr>
      <w:r w:rsidRPr="00A73AA7">
        <w:rPr>
          <w:rFonts w:cs="Calibri"/>
          <w:bCs/>
          <w:iCs/>
          <w:szCs w:val="22"/>
          <w:lang w:val="sq-AL"/>
        </w:rPr>
        <w:t>Me AN nr 6 “</w:t>
      </w:r>
      <w:bookmarkStart w:id="1" w:name="_Hlk213854549"/>
      <w:r w:rsidRPr="00A73AA7">
        <w:rPr>
          <w:rFonts w:cs="Calibri"/>
          <w:bCs/>
          <w:iCs/>
          <w:szCs w:val="22"/>
          <w:lang w:val="sq-AL"/>
        </w:rPr>
        <w:t>P</w:t>
      </w:r>
      <w:r w:rsidR="0055288E" w:rsidRPr="00A73AA7">
        <w:rPr>
          <w:rFonts w:cs="Calibri"/>
          <w:bCs/>
          <w:iCs/>
          <w:szCs w:val="22"/>
          <w:lang w:val="sq-AL"/>
        </w:rPr>
        <w:t>ë</w:t>
      </w:r>
      <w:r w:rsidRPr="00A73AA7">
        <w:rPr>
          <w:rFonts w:cs="Calibri"/>
          <w:bCs/>
          <w:iCs/>
          <w:szCs w:val="22"/>
          <w:lang w:val="sq-AL"/>
        </w:rPr>
        <w:t>r disa ndryshime dhe shtesa n</w:t>
      </w:r>
      <w:r w:rsidR="0055288E" w:rsidRPr="00A73AA7">
        <w:rPr>
          <w:rFonts w:cs="Calibri"/>
          <w:bCs/>
          <w:iCs/>
          <w:szCs w:val="22"/>
          <w:lang w:val="sq-AL"/>
        </w:rPr>
        <w:t>ë</w:t>
      </w:r>
      <w:r w:rsidRPr="00A73AA7">
        <w:rPr>
          <w:rFonts w:cs="Calibri"/>
          <w:bCs/>
          <w:iCs/>
          <w:szCs w:val="22"/>
          <w:lang w:val="sq-AL"/>
        </w:rPr>
        <w:t xml:space="preserve"> Ligjin nr. 115/2024 ”P</w:t>
      </w:r>
      <w:r w:rsidR="0055288E" w:rsidRPr="00A73AA7">
        <w:rPr>
          <w:rFonts w:cs="Calibri"/>
          <w:bCs/>
          <w:iCs/>
          <w:szCs w:val="22"/>
          <w:lang w:val="sq-AL"/>
        </w:rPr>
        <w:t>ë</w:t>
      </w:r>
      <w:r w:rsidRPr="00A73AA7">
        <w:rPr>
          <w:rFonts w:cs="Calibri"/>
          <w:bCs/>
          <w:iCs/>
          <w:szCs w:val="22"/>
          <w:lang w:val="sq-AL"/>
        </w:rPr>
        <w:t xml:space="preserve">r buxhetin e vitit 2025”, </w:t>
      </w:r>
      <w:bookmarkEnd w:id="1"/>
      <w:r w:rsidRPr="00A73AA7">
        <w:rPr>
          <w:rFonts w:cs="Calibri"/>
          <w:spacing w:val="-1"/>
          <w:szCs w:val="22"/>
          <w:lang w:val="sq-AL"/>
        </w:rPr>
        <w:t xml:space="preserve">neni </w:t>
      </w:r>
      <w:bookmarkStart w:id="2" w:name="_Hlk213854569"/>
      <w:r w:rsidRPr="00A73AA7">
        <w:rPr>
          <w:rFonts w:cs="Calibri"/>
          <w:spacing w:val="-1"/>
          <w:szCs w:val="22"/>
          <w:lang w:val="sq-AL"/>
        </w:rPr>
        <w:t>14 u ndryshua duke p</w:t>
      </w:r>
      <w:r w:rsidR="0055288E" w:rsidRPr="00A73AA7">
        <w:rPr>
          <w:rFonts w:cs="Calibri"/>
          <w:spacing w:val="-1"/>
          <w:szCs w:val="22"/>
          <w:lang w:val="sq-AL"/>
        </w:rPr>
        <w:t>ë</w:t>
      </w:r>
      <w:r w:rsidRPr="00A73AA7">
        <w:rPr>
          <w:rFonts w:cs="Calibri"/>
          <w:spacing w:val="-1"/>
          <w:szCs w:val="22"/>
          <w:lang w:val="sq-AL"/>
        </w:rPr>
        <w:t>rcaktuar p</w:t>
      </w:r>
      <w:r w:rsidR="0055288E" w:rsidRPr="00A73AA7">
        <w:rPr>
          <w:rFonts w:cs="Calibri"/>
          <w:spacing w:val="-1"/>
          <w:szCs w:val="22"/>
          <w:lang w:val="sq-AL"/>
        </w:rPr>
        <w:t>ë</w:t>
      </w:r>
      <w:r w:rsidRPr="00A73AA7">
        <w:rPr>
          <w:rFonts w:cs="Calibri"/>
          <w:spacing w:val="-1"/>
          <w:szCs w:val="22"/>
          <w:lang w:val="sq-AL"/>
        </w:rPr>
        <w:t>rdorimin e Fondit Rezerv</w:t>
      </w:r>
      <w:r w:rsidR="0055288E" w:rsidRPr="00A73AA7">
        <w:rPr>
          <w:rFonts w:cs="Calibri"/>
          <w:spacing w:val="-1"/>
          <w:szCs w:val="22"/>
          <w:lang w:val="sq-AL"/>
        </w:rPr>
        <w:t>ë</w:t>
      </w:r>
      <w:r w:rsidRPr="00A73AA7">
        <w:rPr>
          <w:rFonts w:cs="Calibri"/>
          <w:spacing w:val="-1"/>
          <w:szCs w:val="22"/>
          <w:lang w:val="sq-AL"/>
        </w:rPr>
        <w:t xml:space="preserve"> si m</w:t>
      </w:r>
      <w:r w:rsidR="0055288E" w:rsidRPr="00A73AA7">
        <w:rPr>
          <w:rFonts w:cs="Calibri"/>
          <w:spacing w:val="-1"/>
          <w:szCs w:val="22"/>
          <w:lang w:val="sq-AL"/>
        </w:rPr>
        <w:t>ë</w:t>
      </w:r>
      <w:r w:rsidRPr="00A73AA7">
        <w:rPr>
          <w:rFonts w:cs="Calibri"/>
          <w:spacing w:val="-1"/>
          <w:szCs w:val="22"/>
          <w:lang w:val="sq-AL"/>
        </w:rPr>
        <w:t xml:space="preserve"> posht</w:t>
      </w:r>
      <w:r w:rsidR="0055288E" w:rsidRPr="00A73AA7">
        <w:rPr>
          <w:rFonts w:cs="Calibri"/>
          <w:spacing w:val="-1"/>
          <w:szCs w:val="22"/>
          <w:lang w:val="sq-AL"/>
        </w:rPr>
        <w:t>ë</w:t>
      </w:r>
      <w:r w:rsidRPr="00A73AA7">
        <w:rPr>
          <w:rFonts w:cs="Calibri"/>
          <w:spacing w:val="-1"/>
          <w:szCs w:val="22"/>
          <w:lang w:val="sq-AL"/>
        </w:rPr>
        <w:t>:</w:t>
      </w:r>
    </w:p>
    <w:bookmarkEnd w:id="2"/>
    <w:p w14:paraId="60401C04" w14:textId="2254D5B2" w:rsidR="008F6191" w:rsidRPr="00A73AA7" w:rsidRDefault="008F6191" w:rsidP="002549C7">
      <w:pPr>
        <w:pStyle w:val="ListParagraph"/>
        <w:spacing w:line="276" w:lineRule="auto"/>
        <w:ind w:left="360"/>
        <w:rPr>
          <w:rFonts w:cs="Calibri"/>
          <w:bCs/>
          <w:i/>
          <w:szCs w:val="22"/>
          <w:lang w:val="sq-AL"/>
        </w:rPr>
      </w:pPr>
      <w:r w:rsidRPr="00A73AA7">
        <w:rPr>
          <w:rFonts w:cs="Calibri"/>
          <w:bCs/>
          <w:i/>
          <w:szCs w:val="22"/>
          <w:lang w:val="sq-AL"/>
        </w:rPr>
        <w:t>a)</w:t>
      </w:r>
      <w:r w:rsidRPr="00A73AA7">
        <w:rPr>
          <w:rFonts w:cs="Calibri"/>
          <w:bCs/>
          <w:i/>
          <w:szCs w:val="22"/>
          <w:lang w:val="sq-AL"/>
        </w:rPr>
        <w:tab/>
      </w:r>
      <w:bookmarkStart w:id="3" w:name="_Hlk213854585"/>
      <w:r w:rsidRPr="00A73AA7">
        <w:rPr>
          <w:rFonts w:cs="Calibri"/>
          <w:bCs/>
          <w:i/>
          <w:szCs w:val="22"/>
          <w:lang w:val="sq-AL"/>
        </w:rPr>
        <w:t xml:space="preserve">4 200 milionë lekë për raste të paparashikuara të njësive të qeverisjes së përgjithshme; </w:t>
      </w:r>
    </w:p>
    <w:p w14:paraId="0D4477A0" w14:textId="167FAA02" w:rsidR="008F6191" w:rsidRPr="00A73AA7" w:rsidRDefault="008F6191" w:rsidP="002549C7">
      <w:pPr>
        <w:pStyle w:val="ListParagraph"/>
        <w:spacing w:line="276" w:lineRule="auto"/>
        <w:ind w:left="360"/>
        <w:rPr>
          <w:rFonts w:cs="Calibri"/>
          <w:bCs/>
          <w:i/>
          <w:szCs w:val="22"/>
          <w:lang w:val="sq-AL"/>
        </w:rPr>
      </w:pPr>
      <w:r w:rsidRPr="00A73AA7">
        <w:rPr>
          <w:rFonts w:cs="Calibri"/>
          <w:bCs/>
          <w:i/>
          <w:szCs w:val="22"/>
          <w:lang w:val="sq-AL"/>
        </w:rPr>
        <w:t>b)</w:t>
      </w:r>
      <w:r w:rsidRPr="00A73AA7">
        <w:rPr>
          <w:rFonts w:cs="Calibri"/>
          <w:bCs/>
          <w:i/>
          <w:szCs w:val="22"/>
          <w:lang w:val="sq-AL"/>
        </w:rPr>
        <w:tab/>
        <w:t>2 500 milionë lekë për përballimin e kostos së zgjedhjeve të përgjithshme.</w:t>
      </w:r>
    </w:p>
    <w:bookmarkEnd w:id="3"/>
    <w:p w14:paraId="20BBB94C" w14:textId="2122C94F" w:rsidR="00F02205" w:rsidRPr="00A73AA7" w:rsidRDefault="00F02205" w:rsidP="002549C7">
      <w:pPr>
        <w:pStyle w:val="ListParagraph"/>
        <w:numPr>
          <w:ilvl w:val="0"/>
          <w:numId w:val="20"/>
        </w:numPr>
        <w:spacing w:line="276" w:lineRule="auto"/>
        <w:rPr>
          <w:rFonts w:cs="Calibri"/>
          <w:bCs/>
          <w:i/>
          <w:szCs w:val="22"/>
          <w:lang w:val="sq-AL"/>
        </w:rPr>
      </w:pPr>
      <w:r w:rsidRPr="00A73AA7">
        <w:rPr>
          <w:rFonts w:cs="Calibri"/>
          <w:bCs/>
          <w:i/>
          <w:szCs w:val="22"/>
          <w:lang w:val="sq-AL"/>
        </w:rPr>
        <w:t>Me AN nr.10 dat</w:t>
      </w:r>
      <w:r w:rsidR="006B729A" w:rsidRPr="00A73AA7">
        <w:rPr>
          <w:rFonts w:cs="Calibri"/>
          <w:bCs/>
          <w:i/>
          <w:szCs w:val="22"/>
          <w:lang w:val="sq-AL"/>
        </w:rPr>
        <w:t>ë</w:t>
      </w:r>
      <w:r w:rsidRPr="00A73AA7">
        <w:rPr>
          <w:rFonts w:cs="Calibri"/>
          <w:bCs/>
          <w:i/>
          <w:szCs w:val="22"/>
          <w:lang w:val="sq-AL"/>
        </w:rPr>
        <w:t xml:space="preserve"> 8.10.2025 “</w:t>
      </w:r>
      <w:r w:rsidRPr="00A73AA7">
        <w:rPr>
          <w:rFonts w:cs="Calibri"/>
          <w:bCs/>
          <w:iCs/>
          <w:szCs w:val="22"/>
          <w:lang w:val="sq-AL"/>
        </w:rPr>
        <w:t>Për disa ndryshime dhe shtesa në Ligjin nr. 115/2024 ”Për buxhetin e vitit 2025”, t</w:t>
      </w:r>
      <w:r w:rsidR="006B729A" w:rsidRPr="00A73AA7">
        <w:rPr>
          <w:rFonts w:cs="Calibri"/>
          <w:bCs/>
          <w:iCs/>
          <w:szCs w:val="22"/>
          <w:lang w:val="sq-AL"/>
        </w:rPr>
        <w:t>ë</w:t>
      </w:r>
      <w:r w:rsidRPr="00A73AA7">
        <w:rPr>
          <w:rFonts w:cs="Calibri"/>
          <w:bCs/>
          <w:iCs/>
          <w:szCs w:val="22"/>
          <w:lang w:val="sq-AL"/>
        </w:rPr>
        <w:t xml:space="preserve"> ndryshuar, neni 14 </w:t>
      </w:r>
      <w:r w:rsidRPr="00A73AA7">
        <w:rPr>
          <w:rFonts w:cs="Calibri"/>
          <w:spacing w:val="-1"/>
          <w:szCs w:val="22"/>
          <w:lang w:val="sq-AL"/>
        </w:rPr>
        <w:t>u ndryshua duke përcaktuar përdorimin e Fondit Rezervë si më poshtë:</w:t>
      </w:r>
    </w:p>
    <w:p w14:paraId="67DC3CC2" w14:textId="59EB2E93" w:rsidR="00F02205" w:rsidRPr="00A73AA7" w:rsidRDefault="00F02205" w:rsidP="002549C7">
      <w:pPr>
        <w:pStyle w:val="ListParagraph"/>
        <w:spacing w:line="276" w:lineRule="auto"/>
        <w:ind w:left="360"/>
        <w:rPr>
          <w:rFonts w:cs="Calibri"/>
          <w:bCs/>
          <w:i/>
          <w:szCs w:val="22"/>
          <w:lang w:val="sq-AL"/>
        </w:rPr>
      </w:pPr>
      <w:r w:rsidRPr="00A73AA7">
        <w:rPr>
          <w:rFonts w:cs="Calibri"/>
          <w:bCs/>
          <w:i/>
          <w:szCs w:val="22"/>
          <w:lang w:val="sq-AL"/>
        </w:rPr>
        <w:t xml:space="preserve">a)   2 900 milionë lekë për raste të paparashikuara të njësive të qeverisjes së përgjithshme; </w:t>
      </w:r>
    </w:p>
    <w:p w14:paraId="778C384E" w14:textId="0713BE2A" w:rsidR="00F02205" w:rsidRPr="00A73AA7" w:rsidRDefault="00F02205" w:rsidP="002549C7">
      <w:pPr>
        <w:pStyle w:val="ListParagraph"/>
        <w:spacing w:line="276" w:lineRule="auto"/>
        <w:ind w:left="360"/>
        <w:rPr>
          <w:rFonts w:cs="Calibri"/>
          <w:bCs/>
          <w:i/>
          <w:szCs w:val="22"/>
          <w:lang w:val="sq-AL"/>
        </w:rPr>
      </w:pPr>
      <w:r w:rsidRPr="00A73AA7">
        <w:rPr>
          <w:rFonts w:cs="Calibri"/>
          <w:bCs/>
          <w:i/>
          <w:szCs w:val="22"/>
          <w:lang w:val="sq-AL"/>
        </w:rPr>
        <w:t>b)</w:t>
      </w:r>
      <w:r w:rsidRPr="00A73AA7">
        <w:rPr>
          <w:rFonts w:cs="Calibri"/>
          <w:bCs/>
          <w:i/>
          <w:szCs w:val="22"/>
          <w:lang w:val="sq-AL"/>
        </w:rPr>
        <w:tab/>
        <w:t>2 500 milionë lekë për përballimin e kostos së zgjedhjeve të përgjithshme.</w:t>
      </w:r>
    </w:p>
    <w:p w14:paraId="3EDA2167" w14:textId="13830D13" w:rsidR="005D2849" w:rsidRPr="00A73AA7" w:rsidRDefault="009D2A1D" w:rsidP="002549C7">
      <w:pPr>
        <w:spacing w:before="240" w:line="276" w:lineRule="auto"/>
        <w:jc w:val="both"/>
        <w:rPr>
          <w:rFonts w:ascii="Calibri" w:hAnsi="Calibri" w:cs="Calibri"/>
          <w:sz w:val="22"/>
          <w:szCs w:val="22"/>
          <w:lang w:val="sq-AL"/>
        </w:rPr>
      </w:pPr>
      <w:r w:rsidRPr="00A73AA7">
        <w:rPr>
          <w:rFonts w:ascii="Calibri" w:hAnsi="Calibri" w:cs="Calibri"/>
          <w:spacing w:val="-1"/>
          <w:sz w:val="22"/>
          <w:szCs w:val="22"/>
          <w:lang w:val="sq-AL"/>
        </w:rPr>
        <w:t xml:space="preserve">Deri në datën </w:t>
      </w:r>
      <w:r w:rsidR="00F02205" w:rsidRPr="00A73AA7">
        <w:rPr>
          <w:rFonts w:ascii="Calibri" w:hAnsi="Calibri" w:cs="Calibri"/>
          <w:spacing w:val="-1"/>
          <w:sz w:val="22"/>
          <w:szCs w:val="22"/>
          <w:lang w:val="sq-AL"/>
        </w:rPr>
        <w:t>3</w:t>
      </w:r>
      <w:r w:rsidR="0097300E" w:rsidRPr="00A73AA7">
        <w:rPr>
          <w:rFonts w:ascii="Calibri" w:hAnsi="Calibri" w:cs="Calibri"/>
          <w:spacing w:val="-1"/>
          <w:sz w:val="22"/>
          <w:szCs w:val="22"/>
          <w:lang w:val="sq-AL"/>
        </w:rPr>
        <w:t>1.1</w:t>
      </w:r>
      <w:r w:rsidR="00A73AA7">
        <w:rPr>
          <w:rFonts w:ascii="Calibri" w:hAnsi="Calibri" w:cs="Calibri"/>
          <w:spacing w:val="-1"/>
          <w:sz w:val="22"/>
          <w:szCs w:val="22"/>
          <w:lang w:val="sq-AL"/>
        </w:rPr>
        <w:t>2</w:t>
      </w:r>
      <w:r w:rsidR="00532079" w:rsidRPr="00A73AA7">
        <w:rPr>
          <w:rFonts w:ascii="Calibri" w:hAnsi="Calibri" w:cs="Calibri"/>
          <w:spacing w:val="-1"/>
          <w:sz w:val="22"/>
          <w:szCs w:val="22"/>
          <w:lang w:val="sq-AL"/>
        </w:rPr>
        <w:t>.</w:t>
      </w:r>
      <w:r w:rsidR="00CF183B" w:rsidRPr="00A73AA7">
        <w:rPr>
          <w:rFonts w:ascii="Calibri" w:hAnsi="Calibri" w:cs="Calibri"/>
          <w:spacing w:val="-1"/>
          <w:sz w:val="22"/>
          <w:szCs w:val="22"/>
          <w:lang w:val="sq-AL"/>
        </w:rPr>
        <w:t>20</w:t>
      </w:r>
      <w:r w:rsidR="00532079" w:rsidRPr="00A73AA7">
        <w:rPr>
          <w:rFonts w:ascii="Calibri" w:hAnsi="Calibri" w:cs="Calibri"/>
          <w:spacing w:val="-1"/>
          <w:sz w:val="22"/>
          <w:szCs w:val="22"/>
          <w:lang w:val="sq-AL"/>
        </w:rPr>
        <w:t>2</w:t>
      </w:r>
      <w:r w:rsidR="00B736A2" w:rsidRPr="00A73AA7">
        <w:rPr>
          <w:rFonts w:ascii="Calibri" w:hAnsi="Calibri" w:cs="Calibri"/>
          <w:spacing w:val="-1"/>
          <w:sz w:val="22"/>
          <w:szCs w:val="22"/>
          <w:lang w:val="sq-AL"/>
        </w:rPr>
        <w:t>5</w:t>
      </w:r>
      <w:r w:rsidR="00CF183B" w:rsidRPr="00A73AA7">
        <w:rPr>
          <w:rFonts w:ascii="Calibri" w:hAnsi="Calibri" w:cs="Calibri"/>
          <w:spacing w:val="-1"/>
          <w:sz w:val="22"/>
          <w:szCs w:val="22"/>
          <w:lang w:val="sq-AL"/>
        </w:rPr>
        <w:t xml:space="preserve">, </w:t>
      </w:r>
      <w:r w:rsidR="00CF183B" w:rsidRPr="00A73AA7">
        <w:rPr>
          <w:rFonts w:ascii="Calibri" w:hAnsi="Calibri" w:cs="Calibri"/>
          <w:b/>
          <w:bCs/>
          <w:spacing w:val="-1"/>
          <w:sz w:val="22"/>
          <w:szCs w:val="22"/>
          <w:lang w:val="sq-AL"/>
        </w:rPr>
        <w:t>Fondi Rezervë i Buxhetit të Shtetit</w:t>
      </w:r>
      <w:r w:rsidR="00B736A2" w:rsidRPr="00A73AA7">
        <w:rPr>
          <w:rFonts w:ascii="Calibri" w:hAnsi="Calibri" w:cs="Calibri"/>
          <w:b/>
          <w:bCs/>
          <w:spacing w:val="-1"/>
          <w:sz w:val="22"/>
          <w:szCs w:val="22"/>
          <w:lang w:val="sq-AL"/>
        </w:rPr>
        <w:t xml:space="preserve"> </w:t>
      </w:r>
      <w:r w:rsidR="00AC561A" w:rsidRPr="00A73AA7">
        <w:rPr>
          <w:rFonts w:ascii="Calibri" w:hAnsi="Calibri" w:cs="Calibri"/>
          <w:b/>
          <w:bCs/>
          <w:spacing w:val="-1"/>
          <w:sz w:val="22"/>
          <w:szCs w:val="22"/>
          <w:lang w:val="sq-AL"/>
        </w:rPr>
        <w:t>i planifikuar p</w:t>
      </w:r>
      <w:r w:rsidR="00F34287" w:rsidRPr="00A73AA7">
        <w:rPr>
          <w:rFonts w:ascii="Calibri" w:hAnsi="Calibri" w:cs="Calibri"/>
          <w:b/>
          <w:bCs/>
          <w:spacing w:val="-1"/>
          <w:sz w:val="22"/>
          <w:szCs w:val="22"/>
          <w:lang w:val="sq-AL"/>
        </w:rPr>
        <w:t>ë</w:t>
      </w:r>
      <w:r w:rsidR="00AC561A" w:rsidRPr="00A73AA7">
        <w:rPr>
          <w:rFonts w:ascii="Calibri" w:hAnsi="Calibri" w:cs="Calibri"/>
          <w:b/>
          <w:bCs/>
          <w:spacing w:val="-1"/>
          <w:sz w:val="22"/>
          <w:szCs w:val="22"/>
          <w:lang w:val="sq-AL"/>
        </w:rPr>
        <w:t>r raste t</w:t>
      </w:r>
      <w:r w:rsidR="00F34287" w:rsidRPr="00A73AA7">
        <w:rPr>
          <w:rFonts w:ascii="Calibri" w:hAnsi="Calibri" w:cs="Calibri"/>
          <w:b/>
          <w:bCs/>
          <w:spacing w:val="-1"/>
          <w:sz w:val="22"/>
          <w:szCs w:val="22"/>
          <w:lang w:val="sq-AL"/>
        </w:rPr>
        <w:t>ë</w:t>
      </w:r>
      <w:r w:rsidR="00AC561A" w:rsidRPr="00A73AA7">
        <w:rPr>
          <w:rFonts w:ascii="Calibri" w:hAnsi="Calibri" w:cs="Calibri"/>
          <w:b/>
          <w:bCs/>
          <w:spacing w:val="-1"/>
          <w:sz w:val="22"/>
          <w:szCs w:val="22"/>
          <w:lang w:val="sq-AL"/>
        </w:rPr>
        <w:t xml:space="preserve"> paparashikuara</w:t>
      </w:r>
      <w:r w:rsidR="00AC561A" w:rsidRPr="00A73AA7">
        <w:rPr>
          <w:rFonts w:ascii="Calibri" w:hAnsi="Calibri" w:cs="Calibri"/>
          <w:spacing w:val="-1"/>
          <w:sz w:val="22"/>
          <w:szCs w:val="22"/>
          <w:lang w:val="sq-AL"/>
        </w:rPr>
        <w:t xml:space="preserve">, </w:t>
      </w:r>
      <w:r w:rsidR="0062754E" w:rsidRPr="00A73AA7">
        <w:rPr>
          <w:rFonts w:ascii="Calibri" w:hAnsi="Calibri" w:cs="Calibri"/>
          <w:spacing w:val="-1"/>
          <w:sz w:val="22"/>
          <w:szCs w:val="22"/>
          <w:lang w:val="sq-AL"/>
        </w:rPr>
        <w:t xml:space="preserve">prej </w:t>
      </w:r>
      <w:r w:rsidR="00F02205" w:rsidRPr="00A73AA7">
        <w:rPr>
          <w:rFonts w:ascii="Calibri" w:hAnsi="Calibri" w:cs="Calibri"/>
          <w:spacing w:val="-1"/>
          <w:sz w:val="22"/>
          <w:szCs w:val="22"/>
          <w:lang w:val="sq-AL"/>
        </w:rPr>
        <w:t>2.9</w:t>
      </w:r>
      <w:r w:rsidR="0062754E" w:rsidRPr="00A73AA7">
        <w:rPr>
          <w:rFonts w:ascii="Calibri" w:hAnsi="Calibri" w:cs="Calibri"/>
          <w:spacing w:val="-1"/>
          <w:sz w:val="22"/>
          <w:szCs w:val="22"/>
          <w:lang w:val="sq-AL"/>
        </w:rPr>
        <w:t xml:space="preserve"> </w:t>
      </w:r>
      <w:r w:rsidR="00B736A2" w:rsidRPr="00A73AA7">
        <w:rPr>
          <w:rFonts w:ascii="Calibri" w:hAnsi="Calibri" w:cs="Calibri"/>
          <w:spacing w:val="-1"/>
          <w:sz w:val="22"/>
          <w:szCs w:val="22"/>
          <w:lang w:val="sq-AL"/>
        </w:rPr>
        <w:t>miliard</w:t>
      </w:r>
      <w:r w:rsidR="00B8083D" w:rsidRPr="00A73AA7">
        <w:rPr>
          <w:rFonts w:ascii="Calibri" w:hAnsi="Calibri" w:cs="Calibri"/>
          <w:spacing w:val="-1"/>
          <w:sz w:val="22"/>
          <w:szCs w:val="22"/>
          <w:lang w:val="sq-AL"/>
        </w:rPr>
        <w:t>ë</w:t>
      </w:r>
      <w:r w:rsidR="0062754E" w:rsidRPr="00A73AA7">
        <w:rPr>
          <w:rFonts w:ascii="Calibri" w:hAnsi="Calibri" w:cs="Calibri"/>
          <w:spacing w:val="-1"/>
          <w:sz w:val="22"/>
          <w:szCs w:val="22"/>
          <w:lang w:val="sq-AL"/>
        </w:rPr>
        <w:t xml:space="preserve"> lekësh,</w:t>
      </w:r>
      <w:r w:rsidR="007C54E0" w:rsidRPr="00A73AA7">
        <w:rPr>
          <w:rFonts w:ascii="Calibri" w:hAnsi="Calibri" w:cs="Calibri"/>
          <w:spacing w:val="-1"/>
          <w:sz w:val="22"/>
          <w:szCs w:val="22"/>
          <w:lang w:val="sq-AL"/>
        </w:rPr>
        <w:t xml:space="preserve"> </w:t>
      </w:r>
      <w:r w:rsidR="00CF183B" w:rsidRPr="00A73AA7">
        <w:rPr>
          <w:rFonts w:ascii="Calibri" w:hAnsi="Calibri" w:cs="Calibri"/>
          <w:sz w:val="22"/>
          <w:szCs w:val="22"/>
          <w:lang w:val="sq-AL"/>
        </w:rPr>
        <w:t xml:space="preserve">është përdorur nëpërmjet </w:t>
      </w:r>
      <w:r w:rsidR="00A73AA7">
        <w:rPr>
          <w:rFonts w:ascii="Calibri" w:hAnsi="Calibri" w:cs="Calibri"/>
          <w:sz w:val="22"/>
          <w:szCs w:val="22"/>
          <w:lang w:val="sq-AL"/>
        </w:rPr>
        <w:t>12</w:t>
      </w:r>
      <w:r w:rsidR="00AB0070" w:rsidRPr="00A73AA7">
        <w:rPr>
          <w:rFonts w:ascii="Calibri" w:hAnsi="Calibri" w:cs="Calibri"/>
          <w:sz w:val="22"/>
          <w:szCs w:val="22"/>
          <w:lang w:val="sq-AL"/>
        </w:rPr>
        <w:t xml:space="preserve"> V</w:t>
      </w:r>
      <w:r w:rsidR="00CF183B" w:rsidRPr="00A73AA7">
        <w:rPr>
          <w:rFonts w:ascii="Calibri" w:hAnsi="Calibri" w:cs="Calibri"/>
          <w:spacing w:val="-1"/>
          <w:sz w:val="22"/>
          <w:szCs w:val="22"/>
          <w:lang w:val="sq-AL"/>
        </w:rPr>
        <w:t xml:space="preserve">endimeve të Këshillit të </w:t>
      </w:r>
      <w:r w:rsidR="00CF183B" w:rsidRPr="00A73AA7">
        <w:rPr>
          <w:rFonts w:ascii="Calibri" w:hAnsi="Calibri" w:cs="Calibri"/>
          <w:spacing w:val="7"/>
          <w:sz w:val="22"/>
          <w:szCs w:val="22"/>
          <w:lang w:val="sq-AL"/>
        </w:rPr>
        <w:t>Ministrave</w:t>
      </w:r>
      <w:r w:rsidR="0016286B" w:rsidRPr="00A73AA7">
        <w:rPr>
          <w:rFonts w:ascii="Calibri" w:hAnsi="Calibri" w:cs="Calibri"/>
          <w:spacing w:val="7"/>
          <w:sz w:val="22"/>
          <w:szCs w:val="22"/>
          <w:lang w:val="sq-AL"/>
        </w:rPr>
        <w:t>(</w:t>
      </w:r>
      <w:r w:rsidR="001534B8" w:rsidRPr="00A73AA7">
        <w:rPr>
          <w:rFonts w:ascii="Calibri" w:hAnsi="Calibri" w:cs="Calibri"/>
          <w:spacing w:val="7"/>
          <w:sz w:val="22"/>
          <w:szCs w:val="22"/>
          <w:lang w:val="sq-AL"/>
        </w:rPr>
        <w:t>V</w:t>
      </w:r>
      <w:r w:rsidR="0016286B" w:rsidRPr="00A73AA7">
        <w:rPr>
          <w:rFonts w:ascii="Calibri" w:hAnsi="Calibri" w:cs="Calibri"/>
          <w:spacing w:val="7"/>
          <w:sz w:val="22"/>
          <w:szCs w:val="22"/>
          <w:lang w:val="sq-AL"/>
        </w:rPr>
        <w:t>KM)</w:t>
      </w:r>
      <w:r w:rsidR="00FD56E2" w:rsidRPr="00A73AA7">
        <w:rPr>
          <w:rFonts w:ascii="Calibri" w:hAnsi="Calibri" w:cs="Calibri"/>
          <w:spacing w:val="7"/>
          <w:sz w:val="22"/>
          <w:szCs w:val="22"/>
          <w:lang w:val="sq-AL"/>
        </w:rPr>
        <w:t xml:space="preserve"> </w:t>
      </w:r>
      <w:r w:rsidR="00A048C2" w:rsidRPr="00A73AA7">
        <w:rPr>
          <w:rFonts w:ascii="Calibri" w:hAnsi="Calibri" w:cs="Calibri"/>
          <w:spacing w:val="7"/>
          <w:sz w:val="22"/>
          <w:szCs w:val="22"/>
          <w:lang w:val="sq-AL"/>
        </w:rPr>
        <w:t>me vler</w:t>
      </w:r>
      <w:r w:rsidR="00B92D75" w:rsidRPr="00A73AA7">
        <w:rPr>
          <w:rFonts w:ascii="Calibri" w:hAnsi="Calibri" w:cs="Calibri"/>
          <w:spacing w:val="7"/>
          <w:sz w:val="22"/>
          <w:szCs w:val="22"/>
          <w:lang w:val="sq-AL"/>
        </w:rPr>
        <w:t>ë</w:t>
      </w:r>
      <w:r w:rsidR="00A048C2" w:rsidRPr="00A73AA7">
        <w:rPr>
          <w:rFonts w:ascii="Calibri" w:hAnsi="Calibri" w:cs="Calibri"/>
          <w:spacing w:val="7"/>
          <w:sz w:val="22"/>
          <w:szCs w:val="22"/>
          <w:lang w:val="sq-AL"/>
        </w:rPr>
        <w:t xml:space="preserve"> totale</w:t>
      </w:r>
      <w:r w:rsidR="00CF183B" w:rsidRPr="00A73AA7">
        <w:rPr>
          <w:rFonts w:ascii="Calibri" w:hAnsi="Calibri" w:cs="Calibri"/>
          <w:spacing w:val="7"/>
          <w:sz w:val="22"/>
          <w:szCs w:val="22"/>
          <w:lang w:val="sq-AL"/>
        </w:rPr>
        <w:t xml:space="preserve"> prej</w:t>
      </w:r>
      <w:r w:rsidR="0062754E" w:rsidRPr="00A73AA7">
        <w:rPr>
          <w:rFonts w:ascii="Calibri" w:hAnsi="Calibri" w:cs="Calibri"/>
          <w:spacing w:val="7"/>
          <w:sz w:val="22"/>
          <w:szCs w:val="22"/>
          <w:lang w:val="sq-AL"/>
        </w:rPr>
        <w:t xml:space="preserve"> </w:t>
      </w:r>
      <w:r w:rsidR="00B25CC6" w:rsidRPr="00A73AA7">
        <w:rPr>
          <w:rFonts w:ascii="Calibri" w:hAnsi="Calibri" w:cs="Calibri"/>
          <w:spacing w:val="7"/>
          <w:sz w:val="22"/>
          <w:szCs w:val="22"/>
          <w:lang w:val="sq-AL"/>
        </w:rPr>
        <w:t xml:space="preserve">2 </w:t>
      </w:r>
      <w:r w:rsidR="00A73AA7">
        <w:rPr>
          <w:rFonts w:ascii="Calibri" w:hAnsi="Calibri" w:cs="Calibri"/>
          <w:spacing w:val="7"/>
          <w:sz w:val="22"/>
          <w:szCs w:val="22"/>
          <w:lang w:val="sq-AL"/>
        </w:rPr>
        <w:t>430</w:t>
      </w:r>
      <w:r w:rsidR="0097300E" w:rsidRPr="00A73AA7">
        <w:rPr>
          <w:rFonts w:ascii="Calibri" w:hAnsi="Calibri" w:cs="Calibri"/>
          <w:spacing w:val="7"/>
          <w:sz w:val="22"/>
          <w:szCs w:val="22"/>
          <w:lang w:val="sq-AL"/>
        </w:rPr>
        <w:t xml:space="preserve"> </w:t>
      </w:r>
      <w:r w:rsidR="00CF183B" w:rsidRPr="00A73AA7">
        <w:rPr>
          <w:rFonts w:ascii="Calibri" w:hAnsi="Calibri" w:cs="Calibri"/>
          <w:spacing w:val="7"/>
          <w:sz w:val="22"/>
          <w:szCs w:val="22"/>
          <w:lang w:val="sq-AL"/>
        </w:rPr>
        <w:t>milionë</w:t>
      </w:r>
      <w:r w:rsidR="00CF183B" w:rsidRPr="00A73AA7">
        <w:rPr>
          <w:rFonts w:ascii="Calibri" w:hAnsi="Calibri" w:cs="Calibri"/>
          <w:sz w:val="22"/>
          <w:szCs w:val="22"/>
          <w:lang w:val="sq-AL"/>
        </w:rPr>
        <w:t xml:space="preserve"> lekësh, ose në rreth </w:t>
      </w:r>
      <w:r w:rsidR="00B25CC6" w:rsidRPr="00A73AA7">
        <w:rPr>
          <w:rFonts w:ascii="Calibri" w:hAnsi="Calibri" w:cs="Calibri"/>
          <w:sz w:val="22"/>
          <w:szCs w:val="22"/>
          <w:lang w:val="sq-AL"/>
        </w:rPr>
        <w:t>8</w:t>
      </w:r>
      <w:r w:rsidR="00A73AA7">
        <w:rPr>
          <w:rFonts w:ascii="Calibri" w:hAnsi="Calibri" w:cs="Calibri"/>
          <w:sz w:val="22"/>
          <w:szCs w:val="22"/>
          <w:lang w:val="sq-AL"/>
        </w:rPr>
        <w:t>4</w:t>
      </w:r>
      <w:r w:rsidR="00CF183B" w:rsidRPr="00A73AA7">
        <w:rPr>
          <w:rFonts w:ascii="Calibri" w:hAnsi="Calibri" w:cs="Calibri"/>
          <w:sz w:val="22"/>
          <w:szCs w:val="22"/>
          <w:lang w:val="sq-AL"/>
        </w:rPr>
        <w:t xml:space="preserve">% të </w:t>
      </w:r>
      <w:r w:rsidR="00A048C2" w:rsidRPr="00A73AA7">
        <w:rPr>
          <w:rFonts w:ascii="Calibri" w:hAnsi="Calibri" w:cs="Calibri"/>
          <w:sz w:val="22"/>
          <w:szCs w:val="22"/>
          <w:lang w:val="sq-AL"/>
        </w:rPr>
        <w:t>planit</w:t>
      </w:r>
      <w:r w:rsidR="00CF183B" w:rsidRPr="00A73AA7">
        <w:rPr>
          <w:rFonts w:ascii="Calibri" w:hAnsi="Calibri" w:cs="Calibri"/>
          <w:sz w:val="22"/>
          <w:szCs w:val="22"/>
          <w:lang w:val="sq-AL"/>
        </w:rPr>
        <w:t>.</w:t>
      </w:r>
    </w:p>
    <w:p w14:paraId="514053D1" w14:textId="77777777" w:rsidR="0062754E" w:rsidRPr="00A73AA7" w:rsidRDefault="0062754E" w:rsidP="002549C7">
      <w:pPr>
        <w:spacing w:line="360" w:lineRule="auto"/>
        <w:rPr>
          <w:rFonts w:ascii="Calibri" w:hAnsi="Calibri" w:cs="Calibri"/>
          <w:i/>
          <w:iCs/>
          <w:sz w:val="22"/>
          <w:szCs w:val="22"/>
          <w:lang w:val="sq-AL"/>
        </w:rPr>
      </w:pPr>
    </w:p>
    <w:p w14:paraId="2BDC6C3E" w14:textId="67ADDE5D" w:rsidR="00060800" w:rsidRPr="00A73AA7" w:rsidRDefault="000D68E1" w:rsidP="002549C7">
      <w:pPr>
        <w:spacing w:line="360" w:lineRule="auto"/>
        <w:rPr>
          <w:rFonts w:ascii="Calibri" w:hAnsi="Calibri" w:cs="Calibri"/>
          <w:i/>
          <w:sz w:val="22"/>
          <w:szCs w:val="22"/>
          <w:lang w:val="sq-AL"/>
        </w:rPr>
      </w:pPr>
      <w:r w:rsidRPr="00A73AA7">
        <w:rPr>
          <w:rFonts w:ascii="Calibri" w:hAnsi="Calibri" w:cs="Calibri"/>
          <w:i/>
          <w:iCs/>
          <w:sz w:val="22"/>
          <w:szCs w:val="22"/>
          <w:lang w:val="sq-AL"/>
        </w:rPr>
        <w:t>Tabela 1:</w:t>
      </w:r>
      <w:r w:rsidR="00412F62">
        <w:rPr>
          <w:rFonts w:ascii="Calibri" w:hAnsi="Calibri" w:cs="Calibri"/>
          <w:i/>
          <w:iCs/>
          <w:sz w:val="22"/>
          <w:szCs w:val="22"/>
          <w:lang w:val="sq-AL"/>
        </w:rPr>
        <w:t xml:space="preserve"> </w:t>
      </w:r>
      <w:r w:rsidR="00384EF7" w:rsidRPr="00A73AA7">
        <w:rPr>
          <w:rFonts w:ascii="Calibri" w:hAnsi="Calibri" w:cs="Calibri"/>
          <w:i/>
          <w:iCs/>
          <w:sz w:val="22"/>
          <w:szCs w:val="22"/>
          <w:lang w:val="sq-AL"/>
        </w:rPr>
        <w:t>P</w:t>
      </w:r>
      <w:r w:rsidR="007E0672" w:rsidRPr="00A73AA7">
        <w:rPr>
          <w:rFonts w:ascii="Calibri" w:hAnsi="Calibri" w:cs="Calibri"/>
          <w:i/>
          <w:iCs/>
          <w:sz w:val="22"/>
          <w:szCs w:val="22"/>
          <w:lang w:val="sq-AL"/>
        </w:rPr>
        <w:t>ë</w:t>
      </w:r>
      <w:r w:rsidR="00384EF7" w:rsidRPr="00A73AA7">
        <w:rPr>
          <w:rFonts w:ascii="Calibri" w:hAnsi="Calibri" w:cs="Calibri"/>
          <w:i/>
          <w:iCs/>
          <w:sz w:val="22"/>
          <w:szCs w:val="22"/>
          <w:lang w:val="sq-AL"/>
        </w:rPr>
        <w:t>rdorimi i fondit rezerv</w:t>
      </w:r>
      <w:r w:rsidR="00B34994" w:rsidRPr="00A73AA7">
        <w:rPr>
          <w:rFonts w:ascii="Calibri" w:hAnsi="Calibri" w:cs="Calibri"/>
          <w:i/>
          <w:iCs/>
          <w:sz w:val="22"/>
          <w:szCs w:val="22"/>
          <w:lang w:val="sq-AL"/>
        </w:rPr>
        <w:t>ë</w:t>
      </w:r>
      <w:r w:rsidR="00FD56E2" w:rsidRPr="00A73AA7">
        <w:rPr>
          <w:rFonts w:ascii="Calibri" w:hAnsi="Calibri" w:cs="Calibri"/>
          <w:i/>
          <w:iCs/>
          <w:sz w:val="22"/>
          <w:szCs w:val="22"/>
          <w:lang w:val="sq-AL"/>
        </w:rPr>
        <w:t xml:space="preserve"> </w:t>
      </w:r>
      <w:r w:rsidR="0072017E" w:rsidRPr="00A73AA7">
        <w:rPr>
          <w:rFonts w:ascii="Calibri" w:hAnsi="Calibri" w:cs="Calibri"/>
          <w:i/>
          <w:iCs/>
          <w:sz w:val="22"/>
          <w:szCs w:val="22"/>
          <w:lang w:val="sq-AL"/>
        </w:rPr>
        <w:t xml:space="preserve">deri </w:t>
      </w:r>
      <w:r w:rsidR="00AB0070" w:rsidRPr="00A73AA7">
        <w:rPr>
          <w:rFonts w:ascii="Calibri" w:hAnsi="Calibri" w:cs="Calibri"/>
          <w:i/>
          <w:iCs/>
          <w:sz w:val="22"/>
          <w:szCs w:val="22"/>
          <w:lang w:val="sq-AL"/>
        </w:rPr>
        <w:t>m</w:t>
      </w:r>
      <w:r w:rsidR="00337E1F" w:rsidRPr="00A73AA7">
        <w:rPr>
          <w:rFonts w:ascii="Calibri" w:hAnsi="Calibri" w:cs="Calibri"/>
          <w:i/>
          <w:iCs/>
          <w:sz w:val="22"/>
          <w:szCs w:val="22"/>
          <w:lang w:val="sq-AL"/>
        </w:rPr>
        <w:t>ë</w:t>
      </w:r>
      <w:r w:rsidR="00FD56E2" w:rsidRPr="00A73AA7">
        <w:rPr>
          <w:rFonts w:ascii="Calibri" w:hAnsi="Calibri" w:cs="Calibri"/>
          <w:i/>
          <w:iCs/>
          <w:sz w:val="22"/>
          <w:szCs w:val="22"/>
          <w:lang w:val="sq-AL"/>
        </w:rPr>
        <w:t xml:space="preserve"> </w:t>
      </w:r>
      <w:r w:rsidR="00F02205" w:rsidRPr="00A73AA7">
        <w:rPr>
          <w:rFonts w:ascii="Calibri" w:hAnsi="Calibri" w:cs="Calibri"/>
          <w:b/>
          <w:bCs/>
          <w:i/>
          <w:iCs/>
          <w:sz w:val="22"/>
          <w:szCs w:val="22"/>
          <w:lang w:val="sq-AL"/>
        </w:rPr>
        <w:t>3</w:t>
      </w:r>
      <w:r w:rsidR="0097300E" w:rsidRPr="00A73AA7">
        <w:rPr>
          <w:rFonts w:ascii="Calibri" w:hAnsi="Calibri" w:cs="Calibri"/>
          <w:b/>
          <w:i/>
          <w:iCs/>
          <w:sz w:val="22"/>
          <w:szCs w:val="22"/>
          <w:lang w:val="sq-AL"/>
        </w:rPr>
        <w:t>1.1</w:t>
      </w:r>
      <w:r w:rsidR="00A73AA7">
        <w:rPr>
          <w:rFonts w:ascii="Calibri" w:hAnsi="Calibri" w:cs="Calibri"/>
          <w:b/>
          <w:i/>
          <w:iCs/>
          <w:sz w:val="22"/>
          <w:szCs w:val="22"/>
          <w:lang w:val="sq-AL"/>
        </w:rPr>
        <w:t>2</w:t>
      </w:r>
      <w:r w:rsidR="006E0FFE" w:rsidRPr="00A73AA7">
        <w:rPr>
          <w:rFonts w:ascii="Calibri" w:hAnsi="Calibri" w:cs="Calibri"/>
          <w:b/>
          <w:i/>
          <w:iCs/>
          <w:sz w:val="22"/>
          <w:szCs w:val="22"/>
          <w:lang w:val="sq-AL"/>
        </w:rPr>
        <w:t>.202</w:t>
      </w:r>
      <w:r w:rsidR="00FD56E2" w:rsidRPr="00A73AA7">
        <w:rPr>
          <w:rFonts w:ascii="Calibri" w:hAnsi="Calibri" w:cs="Calibri"/>
          <w:b/>
          <w:i/>
          <w:iCs/>
          <w:sz w:val="22"/>
          <w:szCs w:val="22"/>
          <w:lang w:val="sq-AL"/>
        </w:rPr>
        <w:t>5</w:t>
      </w:r>
      <w:r w:rsidRPr="00A73AA7">
        <w:rPr>
          <w:rFonts w:ascii="Calibri" w:hAnsi="Calibri" w:cs="Calibri"/>
          <w:i/>
          <w:iCs/>
          <w:sz w:val="22"/>
          <w:szCs w:val="22"/>
          <w:lang w:val="sq-AL"/>
        </w:rPr>
        <w:t xml:space="preserve"> (në milionë lekë)</w:t>
      </w:r>
    </w:p>
    <w:tbl>
      <w:tblPr>
        <w:tblW w:w="10707" w:type="dxa"/>
        <w:jc w:val="center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shd w:val="clear" w:color="auto" w:fill="FBD4B4"/>
        <w:tblLook w:val="01E0" w:firstRow="1" w:lastRow="1" w:firstColumn="1" w:lastColumn="1" w:noHBand="0" w:noVBand="0"/>
      </w:tblPr>
      <w:tblGrid>
        <w:gridCol w:w="2265"/>
        <w:gridCol w:w="1928"/>
        <w:gridCol w:w="2010"/>
        <w:gridCol w:w="1985"/>
        <w:gridCol w:w="2519"/>
      </w:tblGrid>
      <w:tr w:rsidR="00930178" w:rsidRPr="00A73AA7" w14:paraId="5DB17E41" w14:textId="77777777" w:rsidTr="001534B8">
        <w:trPr>
          <w:trHeight w:val="211"/>
          <w:jc w:val="center"/>
        </w:trPr>
        <w:tc>
          <w:tcPr>
            <w:tcW w:w="2265" w:type="dxa"/>
            <w:vMerge w:val="restart"/>
            <w:shd w:val="clear" w:color="auto" w:fill="DAEEF3" w:themeFill="accent5" w:themeFillTint="33"/>
            <w:vAlign w:val="center"/>
          </w:tcPr>
          <w:p w14:paraId="42314EE8" w14:textId="77777777" w:rsidR="00343BC8" w:rsidRPr="00A73AA7" w:rsidRDefault="00930178" w:rsidP="00745CBB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sq-AL"/>
              </w:rPr>
            </w:pPr>
            <w:r w:rsidRPr="00A73AA7">
              <w:rPr>
                <w:rFonts w:ascii="Calibri" w:hAnsi="Calibri" w:cs="Calibri"/>
                <w:bCs/>
                <w:sz w:val="22"/>
                <w:szCs w:val="22"/>
                <w:lang w:val="sq-AL"/>
              </w:rPr>
              <w:t>Fondi Rezervë</w:t>
            </w:r>
          </w:p>
          <w:p w14:paraId="78ACDF96" w14:textId="77777777" w:rsidR="00930178" w:rsidRPr="00A73AA7" w:rsidRDefault="006A4BA5" w:rsidP="00745CBB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sq-AL"/>
              </w:rPr>
            </w:pPr>
            <w:r w:rsidRPr="00A73AA7">
              <w:rPr>
                <w:rFonts w:ascii="Calibri" w:hAnsi="Calibri" w:cs="Calibri"/>
                <w:bCs/>
                <w:sz w:val="22"/>
                <w:szCs w:val="22"/>
                <w:lang w:val="sq-AL"/>
              </w:rPr>
              <w:t>i Buxhetit të Shtetit</w:t>
            </w:r>
          </w:p>
          <w:p w14:paraId="1B0A7E5F" w14:textId="587B565F" w:rsidR="00343BC8" w:rsidRPr="00A73AA7" w:rsidRDefault="00343BC8" w:rsidP="00745CBB">
            <w:pPr>
              <w:jc w:val="center"/>
              <w:rPr>
                <w:rFonts w:ascii="Calibri" w:hAnsi="Calibri" w:cs="Calibri"/>
                <w:sz w:val="22"/>
                <w:szCs w:val="22"/>
                <w:lang w:val="sq-AL"/>
              </w:rPr>
            </w:pPr>
            <w:r w:rsidRPr="00A73AA7">
              <w:rPr>
                <w:rFonts w:ascii="Calibri" w:hAnsi="Calibri" w:cs="Calibri"/>
                <w:bCs/>
                <w:sz w:val="22"/>
                <w:szCs w:val="22"/>
                <w:lang w:val="sq-AL"/>
              </w:rPr>
              <w:t>20</w:t>
            </w:r>
            <w:r w:rsidR="00235A68" w:rsidRPr="00A73AA7">
              <w:rPr>
                <w:rFonts w:ascii="Calibri" w:hAnsi="Calibri" w:cs="Calibri"/>
                <w:bCs/>
                <w:sz w:val="22"/>
                <w:szCs w:val="22"/>
                <w:lang w:val="sq-AL"/>
              </w:rPr>
              <w:t>2</w:t>
            </w:r>
            <w:r w:rsidR="00FD56E2" w:rsidRPr="00A73AA7">
              <w:rPr>
                <w:rFonts w:ascii="Calibri" w:hAnsi="Calibri" w:cs="Calibri"/>
                <w:bCs/>
                <w:sz w:val="22"/>
                <w:szCs w:val="22"/>
                <w:lang w:val="sq-AL"/>
              </w:rPr>
              <w:t>5</w:t>
            </w:r>
          </w:p>
        </w:tc>
        <w:tc>
          <w:tcPr>
            <w:tcW w:w="1928" w:type="dxa"/>
            <w:shd w:val="clear" w:color="auto" w:fill="DAEEF3" w:themeFill="accent5" w:themeFillTint="33"/>
            <w:vAlign w:val="center"/>
          </w:tcPr>
          <w:p w14:paraId="7C9EC62B" w14:textId="77777777" w:rsidR="000D68E1" w:rsidRPr="00A73AA7" w:rsidRDefault="00930178" w:rsidP="00745CBB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sq-AL"/>
              </w:rPr>
            </w:pPr>
            <w:r w:rsidRPr="00A73AA7">
              <w:rPr>
                <w:rFonts w:ascii="Calibri" w:hAnsi="Calibri" w:cs="Calibri"/>
                <w:bCs/>
                <w:sz w:val="22"/>
                <w:szCs w:val="22"/>
                <w:lang w:val="sq-AL"/>
              </w:rPr>
              <w:t xml:space="preserve">Miratuar </w:t>
            </w:r>
            <w:r w:rsidR="000D68E1" w:rsidRPr="00A73AA7">
              <w:rPr>
                <w:rFonts w:ascii="Calibri" w:hAnsi="Calibri" w:cs="Calibri"/>
                <w:bCs/>
                <w:sz w:val="22"/>
                <w:szCs w:val="22"/>
                <w:lang w:val="sq-AL"/>
              </w:rPr>
              <w:t xml:space="preserve">me ligj </w:t>
            </w:r>
          </w:p>
          <w:p w14:paraId="722560A5" w14:textId="2B58C90F" w:rsidR="00930178" w:rsidRPr="00A73AA7" w:rsidRDefault="00930178" w:rsidP="00745CBB">
            <w:pPr>
              <w:jc w:val="center"/>
              <w:rPr>
                <w:rFonts w:ascii="Calibri" w:hAnsi="Calibri" w:cs="Calibri"/>
                <w:sz w:val="22"/>
                <w:szCs w:val="22"/>
                <w:lang w:val="sq-AL"/>
              </w:rPr>
            </w:pPr>
            <w:r w:rsidRPr="00A73AA7">
              <w:rPr>
                <w:rFonts w:ascii="Calibri" w:hAnsi="Calibri" w:cs="Calibri"/>
                <w:bCs/>
                <w:sz w:val="22"/>
                <w:szCs w:val="22"/>
                <w:lang w:val="sq-AL"/>
              </w:rPr>
              <w:t>për vitin 20</w:t>
            </w:r>
            <w:r w:rsidR="00235A68" w:rsidRPr="00A73AA7">
              <w:rPr>
                <w:rFonts w:ascii="Calibri" w:hAnsi="Calibri" w:cs="Calibri"/>
                <w:bCs/>
                <w:sz w:val="22"/>
                <w:szCs w:val="22"/>
                <w:lang w:val="sq-AL"/>
              </w:rPr>
              <w:t>2</w:t>
            </w:r>
            <w:r w:rsidR="00FD56E2" w:rsidRPr="00A73AA7">
              <w:rPr>
                <w:rFonts w:ascii="Calibri" w:hAnsi="Calibri" w:cs="Calibri"/>
                <w:bCs/>
                <w:sz w:val="22"/>
                <w:szCs w:val="22"/>
                <w:lang w:val="sq-AL"/>
              </w:rPr>
              <w:t>5</w:t>
            </w:r>
          </w:p>
        </w:tc>
        <w:tc>
          <w:tcPr>
            <w:tcW w:w="2010" w:type="dxa"/>
            <w:shd w:val="clear" w:color="auto" w:fill="DAEEF3" w:themeFill="accent5" w:themeFillTint="33"/>
            <w:vAlign w:val="center"/>
          </w:tcPr>
          <w:p w14:paraId="1EF9920E" w14:textId="1F913EF5" w:rsidR="00930178" w:rsidRPr="00A73AA7" w:rsidRDefault="00930178" w:rsidP="00745CBB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sq-AL"/>
              </w:rPr>
            </w:pPr>
            <w:r w:rsidRPr="00A73AA7">
              <w:rPr>
                <w:rFonts w:ascii="Calibri" w:hAnsi="Calibri" w:cs="Calibri"/>
                <w:bCs/>
                <w:sz w:val="22"/>
                <w:szCs w:val="22"/>
                <w:lang w:val="sq-AL"/>
              </w:rPr>
              <w:t xml:space="preserve">Përdorur me </w:t>
            </w:r>
            <w:r w:rsidR="006A4BA5" w:rsidRPr="00A73AA7">
              <w:rPr>
                <w:rFonts w:ascii="Calibri" w:hAnsi="Calibri" w:cs="Calibri"/>
                <w:bCs/>
                <w:sz w:val="22"/>
                <w:szCs w:val="22"/>
                <w:lang w:val="sq-AL"/>
              </w:rPr>
              <w:t>VKM</w:t>
            </w:r>
            <w:r w:rsidR="009C123F" w:rsidRPr="00A73AA7">
              <w:rPr>
                <w:rFonts w:ascii="Calibri" w:hAnsi="Calibri" w:cs="Calibri"/>
                <w:bCs/>
                <w:sz w:val="22"/>
                <w:szCs w:val="22"/>
                <w:lang w:val="sq-AL"/>
              </w:rPr>
              <w:t xml:space="preserve"> </w:t>
            </w:r>
            <w:r w:rsidR="0072017E" w:rsidRPr="00A73AA7">
              <w:rPr>
                <w:rFonts w:ascii="Calibri" w:hAnsi="Calibri" w:cs="Calibri"/>
                <w:bCs/>
                <w:sz w:val="22"/>
                <w:szCs w:val="22"/>
                <w:lang w:val="sq-AL"/>
              </w:rPr>
              <w:t xml:space="preserve">deri </w:t>
            </w:r>
            <w:r w:rsidR="00B25CC6" w:rsidRPr="00A73AA7">
              <w:rPr>
                <w:rFonts w:ascii="Calibri" w:hAnsi="Calibri" w:cs="Calibri"/>
                <w:bCs/>
                <w:sz w:val="22"/>
                <w:szCs w:val="22"/>
                <w:lang w:val="sq-AL"/>
              </w:rPr>
              <w:t>3</w:t>
            </w:r>
            <w:r w:rsidR="0097300E" w:rsidRPr="00A73AA7">
              <w:rPr>
                <w:rFonts w:ascii="Calibri" w:hAnsi="Calibri" w:cs="Calibri"/>
                <w:bCs/>
                <w:sz w:val="22"/>
                <w:szCs w:val="22"/>
                <w:lang w:val="sq-AL"/>
              </w:rPr>
              <w:t>1.1</w:t>
            </w:r>
            <w:r w:rsidR="00A73AA7">
              <w:rPr>
                <w:rFonts w:ascii="Calibri" w:hAnsi="Calibri" w:cs="Calibri"/>
                <w:bCs/>
                <w:sz w:val="22"/>
                <w:szCs w:val="22"/>
                <w:lang w:val="sq-AL"/>
              </w:rPr>
              <w:t>2</w:t>
            </w:r>
            <w:r w:rsidR="0062754E" w:rsidRPr="00A73AA7">
              <w:rPr>
                <w:rFonts w:ascii="Calibri" w:hAnsi="Calibri" w:cs="Calibri"/>
                <w:bCs/>
                <w:sz w:val="22"/>
                <w:szCs w:val="22"/>
                <w:lang w:val="sq-AL"/>
              </w:rPr>
              <w:t>.202</w:t>
            </w:r>
            <w:r w:rsidR="00FD56E2" w:rsidRPr="00A73AA7">
              <w:rPr>
                <w:rFonts w:ascii="Calibri" w:hAnsi="Calibri" w:cs="Calibri"/>
                <w:bCs/>
                <w:sz w:val="22"/>
                <w:szCs w:val="22"/>
                <w:lang w:val="sq-AL"/>
              </w:rPr>
              <w:t>5</w:t>
            </w:r>
          </w:p>
        </w:tc>
        <w:tc>
          <w:tcPr>
            <w:tcW w:w="1985" w:type="dxa"/>
            <w:shd w:val="clear" w:color="auto" w:fill="DAEEF3" w:themeFill="accent5" w:themeFillTint="33"/>
            <w:vAlign w:val="center"/>
          </w:tcPr>
          <w:p w14:paraId="6764DD27" w14:textId="77777777" w:rsidR="000D68E1" w:rsidRPr="00A73AA7" w:rsidRDefault="00930178" w:rsidP="00745CBB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sq-AL"/>
              </w:rPr>
            </w:pPr>
            <w:r w:rsidRPr="00A73AA7">
              <w:rPr>
                <w:rFonts w:ascii="Calibri" w:hAnsi="Calibri" w:cs="Calibri"/>
                <w:bCs/>
                <w:sz w:val="22"/>
                <w:szCs w:val="22"/>
                <w:lang w:val="sq-AL"/>
              </w:rPr>
              <w:t>Mbetur</w:t>
            </w:r>
            <w:r w:rsidR="006A4BA5" w:rsidRPr="00A73AA7">
              <w:rPr>
                <w:rFonts w:ascii="Calibri" w:hAnsi="Calibri" w:cs="Calibri"/>
                <w:bCs/>
                <w:sz w:val="22"/>
                <w:szCs w:val="22"/>
                <w:lang w:val="sq-AL"/>
              </w:rPr>
              <w:t xml:space="preserve"> pa p</w:t>
            </w:r>
            <w:r w:rsidR="000D68E1" w:rsidRPr="00A73AA7">
              <w:rPr>
                <w:rFonts w:ascii="Calibri" w:hAnsi="Calibri" w:cs="Calibri"/>
                <w:bCs/>
                <w:sz w:val="22"/>
                <w:szCs w:val="22"/>
                <w:lang w:val="sq-AL"/>
              </w:rPr>
              <w:t>ë</w:t>
            </w:r>
            <w:r w:rsidR="006A4BA5" w:rsidRPr="00A73AA7">
              <w:rPr>
                <w:rFonts w:ascii="Calibri" w:hAnsi="Calibri" w:cs="Calibri"/>
                <w:bCs/>
                <w:sz w:val="22"/>
                <w:szCs w:val="22"/>
                <w:lang w:val="sq-AL"/>
              </w:rPr>
              <w:t>rdorur</w:t>
            </w:r>
          </w:p>
          <w:p w14:paraId="2385189B" w14:textId="2245B2AA" w:rsidR="00930178" w:rsidRPr="00A73AA7" w:rsidRDefault="0072017E" w:rsidP="00745CBB">
            <w:pPr>
              <w:jc w:val="center"/>
              <w:rPr>
                <w:rFonts w:ascii="Calibri" w:hAnsi="Calibri" w:cs="Calibri"/>
                <w:sz w:val="22"/>
                <w:szCs w:val="22"/>
                <w:lang w:val="sq-AL"/>
              </w:rPr>
            </w:pPr>
            <w:r w:rsidRPr="00A73AA7">
              <w:rPr>
                <w:rFonts w:ascii="Calibri" w:hAnsi="Calibri" w:cs="Calibri"/>
                <w:bCs/>
                <w:sz w:val="22"/>
                <w:szCs w:val="22"/>
                <w:lang w:val="sq-AL"/>
              </w:rPr>
              <w:t xml:space="preserve">me </w:t>
            </w:r>
            <w:r w:rsidR="00B25CC6" w:rsidRPr="00A73AA7">
              <w:rPr>
                <w:rFonts w:ascii="Calibri" w:hAnsi="Calibri" w:cs="Calibri"/>
                <w:bCs/>
                <w:sz w:val="22"/>
                <w:szCs w:val="22"/>
                <w:lang w:val="sq-AL"/>
              </w:rPr>
              <w:t>3</w:t>
            </w:r>
            <w:r w:rsidR="0097300E" w:rsidRPr="00A73AA7">
              <w:rPr>
                <w:rFonts w:ascii="Calibri" w:hAnsi="Calibri" w:cs="Calibri"/>
                <w:bCs/>
                <w:sz w:val="22"/>
                <w:szCs w:val="22"/>
                <w:lang w:val="sq-AL"/>
              </w:rPr>
              <w:t>1.1</w:t>
            </w:r>
            <w:r w:rsidR="00A73AA7">
              <w:rPr>
                <w:rFonts w:ascii="Calibri" w:hAnsi="Calibri" w:cs="Calibri"/>
                <w:bCs/>
                <w:sz w:val="22"/>
                <w:szCs w:val="22"/>
                <w:lang w:val="sq-AL"/>
              </w:rPr>
              <w:t>2</w:t>
            </w:r>
            <w:r w:rsidR="008053EE" w:rsidRPr="00A73AA7">
              <w:rPr>
                <w:rFonts w:ascii="Calibri" w:hAnsi="Calibri" w:cs="Calibri"/>
                <w:bCs/>
                <w:sz w:val="22"/>
                <w:szCs w:val="22"/>
                <w:lang w:val="sq-AL"/>
              </w:rPr>
              <w:t>.202</w:t>
            </w:r>
            <w:r w:rsidR="00FD56E2" w:rsidRPr="00A73AA7">
              <w:rPr>
                <w:rFonts w:ascii="Calibri" w:hAnsi="Calibri" w:cs="Calibri"/>
                <w:bCs/>
                <w:sz w:val="22"/>
                <w:szCs w:val="22"/>
                <w:lang w:val="sq-AL"/>
              </w:rPr>
              <w:t>5</w:t>
            </w:r>
          </w:p>
        </w:tc>
        <w:tc>
          <w:tcPr>
            <w:tcW w:w="2519" w:type="dxa"/>
            <w:shd w:val="clear" w:color="auto" w:fill="DAEEF3" w:themeFill="accent5" w:themeFillTint="33"/>
            <w:vAlign w:val="center"/>
          </w:tcPr>
          <w:p w14:paraId="440DBA51" w14:textId="77777777" w:rsidR="00930178" w:rsidRPr="00A73AA7" w:rsidRDefault="00930178" w:rsidP="00745CBB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sq-AL"/>
              </w:rPr>
            </w:pPr>
            <w:r w:rsidRPr="00A73AA7">
              <w:rPr>
                <w:rFonts w:ascii="Calibri" w:hAnsi="Calibri" w:cs="Calibri"/>
                <w:bCs/>
                <w:sz w:val="22"/>
                <w:szCs w:val="22"/>
                <w:lang w:val="sq-AL"/>
              </w:rPr>
              <w:t>Përqindja (Përdorur/</w:t>
            </w:r>
            <w:r w:rsidR="000D68E1" w:rsidRPr="00A73AA7">
              <w:rPr>
                <w:rFonts w:ascii="Calibri" w:hAnsi="Calibri" w:cs="Calibri"/>
                <w:bCs/>
                <w:sz w:val="22"/>
                <w:szCs w:val="22"/>
                <w:lang w:val="sq-AL"/>
              </w:rPr>
              <w:t>Planifikuar</w:t>
            </w:r>
            <w:r w:rsidRPr="00A73AA7">
              <w:rPr>
                <w:rFonts w:ascii="Calibri" w:hAnsi="Calibri" w:cs="Calibri"/>
                <w:bCs/>
                <w:sz w:val="22"/>
                <w:szCs w:val="22"/>
                <w:lang w:val="sq-AL"/>
              </w:rPr>
              <w:t>)</w:t>
            </w:r>
          </w:p>
        </w:tc>
      </w:tr>
      <w:tr w:rsidR="00930178" w:rsidRPr="00A73AA7" w14:paraId="5080C755" w14:textId="77777777" w:rsidTr="001534B8">
        <w:trPr>
          <w:trHeight w:val="110"/>
          <w:jc w:val="center"/>
        </w:trPr>
        <w:tc>
          <w:tcPr>
            <w:tcW w:w="2265" w:type="dxa"/>
            <w:vMerge/>
            <w:shd w:val="clear" w:color="auto" w:fill="DAEEF3" w:themeFill="accent5" w:themeFillTint="33"/>
          </w:tcPr>
          <w:p w14:paraId="7D4572BB" w14:textId="77777777" w:rsidR="00930178" w:rsidRPr="00A73AA7" w:rsidRDefault="00930178" w:rsidP="00745CBB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sq-AL"/>
              </w:rPr>
            </w:pPr>
          </w:p>
        </w:tc>
        <w:tc>
          <w:tcPr>
            <w:tcW w:w="1928" w:type="dxa"/>
            <w:shd w:val="clear" w:color="auto" w:fill="DAEEF3" w:themeFill="accent5" w:themeFillTint="33"/>
          </w:tcPr>
          <w:p w14:paraId="6C4F5815" w14:textId="77777777" w:rsidR="000D68E1" w:rsidRPr="00A73AA7" w:rsidRDefault="000D68E1" w:rsidP="00745CBB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sq-AL"/>
              </w:rPr>
            </w:pPr>
          </w:p>
          <w:p w14:paraId="3AF30A0D" w14:textId="3E0B19D3" w:rsidR="00930178" w:rsidRPr="00A73AA7" w:rsidRDefault="00B25CC6" w:rsidP="00745CBB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sq-AL"/>
              </w:rPr>
            </w:pPr>
            <w:r w:rsidRPr="00A73AA7">
              <w:rPr>
                <w:rFonts w:ascii="Calibri" w:hAnsi="Calibri" w:cs="Calibri"/>
                <w:bCs/>
                <w:sz w:val="22"/>
                <w:szCs w:val="22"/>
                <w:lang w:val="sq-AL"/>
              </w:rPr>
              <w:t>2 900</w:t>
            </w:r>
          </w:p>
        </w:tc>
        <w:tc>
          <w:tcPr>
            <w:tcW w:w="2010" w:type="dxa"/>
            <w:shd w:val="clear" w:color="auto" w:fill="DAEEF3" w:themeFill="accent5" w:themeFillTint="33"/>
          </w:tcPr>
          <w:p w14:paraId="18D56845" w14:textId="77777777" w:rsidR="00930178" w:rsidRPr="00A73AA7" w:rsidRDefault="00930178" w:rsidP="00745CBB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sq-AL"/>
              </w:rPr>
            </w:pPr>
          </w:p>
          <w:p w14:paraId="4E0DE6D9" w14:textId="090E3DFD" w:rsidR="00783CBE" w:rsidRPr="00A73AA7" w:rsidRDefault="00FD56E2" w:rsidP="00745CBB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sq-AL"/>
              </w:rPr>
            </w:pPr>
            <w:r w:rsidRPr="00A73AA7">
              <w:rPr>
                <w:rFonts w:ascii="Calibri" w:hAnsi="Calibri" w:cs="Calibri"/>
                <w:bCs/>
                <w:sz w:val="22"/>
                <w:szCs w:val="22"/>
                <w:lang w:val="sq-AL"/>
              </w:rPr>
              <w:t xml:space="preserve">2 </w:t>
            </w:r>
            <w:r w:rsidR="00A73AA7">
              <w:rPr>
                <w:rFonts w:ascii="Calibri" w:hAnsi="Calibri" w:cs="Calibri"/>
                <w:bCs/>
                <w:sz w:val="22"/>
                <w:szCs w:val="22"/>
                <w:lang w:val="sq-AL"/>
              </w:rPr>
              <w:t>430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14:paraId="065DED20" w14:textId="77777777" w:rsidR="00930178" w:rsidRPr="00A73AA7" w:rsidRDefault="00930178" w:rsidP="00745CBB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sq-AL"/>
              </w:rPr>
            </w:pPr>
          </w:p>
          <w:p w14:paraId="5C5E9361" w14:textId="5BDFD00A" w:rsidR="00783CBE" w:rsidRPr="00A73AA7" w:rsidRDefault="00A73AA7" w:rsidP="00745CBB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sq-AL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sq-AL"/>
              </w:rPr>
              <w:t>469.7</w:t>
            </w:r>
          </w:p>
        </w:tc>
        <w:tc>
          <w:tcPr>
            <w:tcW w:w="2519" w:type="dxa"/>
            <w:shd w:val="clear" w:color="auto" w:fill="DAEEF3" w:themeFill="accent5" w:themeFillTint="33"/>
          </w:tcPr>
          <w:p w14:paraId="3348D744" w14:textId="77777777" w:rsidR="00930178" w:rsidRPr="00A73AA7" w:rsidRDefault="00930178" w:rsidP="00745CBB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sq-AL"/>
              </w:rPr>
            </w:pPr>
          </w:p>
          <w:p w14:paraId="0C771C2E" w14:textId="34C200FA" w:rsidR="00783CBE" w:rsidRPr="00A73AA7" w:rsidRDefault="00A73AA7" w:rsidP="00745CBB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sq-AL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sq-AL"/>
              </w:rPr>
              <w:t>84</w:t>
            </w:r>
            <w:r w:rsidR="0097300E" w:rsidRPr="00A73AA7">
              <w:rPr>
                <w:rFonts w:ascii="Calibri" w:hAnsi="Calibri" w:cs="Calibri"/>
                <w:bCs/>
                <w:sz w:val="22"/>
                <w:szCs w:val="22"/>
                <w:lang w:val="sq-AL"/>
              </w:rPr>
              <w:t>%</w:t>
            </w:r>
          </w:p>
        </w:tc>
      </w:tr>
    </w:tbl>
    <w:p w14:paraId="23B9919F" w14:textId="75BF6CDA" w:rsidR="0097300E" w:rsidRPr="00A73AA7" w:rsidRDefault="00C80FC7" w:rsidP="008C7C6A">
      <w:pPr>
        <w:spacing w:line="360" w:lineRule="auto"/>
        <w:rPr>
          <w:rFonts w:ascii="Calibri" w:hAnsi="Calibri" w:cs="Calibri"/>
          <w:i/>
          <w:noProof/>
          <w:sz w:val="22"/>
          <w:szCs w:val="22"/>
          <w:lang w:val="sq-AL"/>
        </w:rPr>
      </w:pPr>
      <w:r w:rsidRPr="00A73AA7">
        <w:rPr>
          <w:rFonts w:ascii="Calibri" w:hAnsi="Calibri" w:cs="Calibri"/>
          <w:i/>
          <w:noProof/>
          <w:sz w:val="22"/>
          <w:szCs w:val="22"/>
          <w:lang w:val="sq-AL"/>
        </w:rPr>
        <w:t xml:space="preserve">Burimi: Ministria e Financave </w:t>
      </w:r>
    </w:p>
    <w:p w14:paraId="6CCFCBEB" w14:textId="77777777" w:rsidR="0055288E" w:rsidRPr="00A73AA7" w:rsidRDefault="0055288E" w:rsidP="00745CBB">
      <w:pPr>
        <w:spacing w:line="276" w:lineRule="auto"/>
        <w:jc w:val="both"/>
        <w:rPr>
          <w:rFonts w:ascii="Calibri" w:hAnsi="Calibri" w:cs="Calibri"/>
          <w:bCs/>
          <w:sz w:val="22"/>
          <w:szCs w:val="22"/>
          <w:lang w:val="sq-AL"/>
        </w:rPr>
      </w:pPr>
    </w:p>
    <w:p w14:paraId="000BB922" w14:textId="3A3A9DAB" w:rsidR="006A4BA5" w:rsidRPr="00A73AA7" w:rsidRDefault="00A048C2" w:rsidP="00745CBB">
      <w:pPr>
        <w:spacing w:line="276" w:lineRule="auto"/>
        <w:jc w:val="both"/>
        <w:rPr>
          <w:rFonts w:ascii="Calibri" w:hAnsi="Calibri" w:cs="Calibri"/>
          <w:bCs/>
          <w:sz w:val="22"/>
          <w:szCs w:val="22"/>
          <w:lang w:val="sq-AL"/>
        </w:rPr>
      </w:pPr>
      <w:r w:rsidRPr="00A73AA7">
        <w:rPr>
          <w:rFonts w:ascii="Calibri" w:hAnsi="Calibri" w:cs="Calibri"/>
          <w:bCs/>
          <w:sz w:val="22"/>
          <w:szCs w:val="22"/>
          <w:lang w:val="sq-AL"/>
        </w:rPr>
        <w:t>M</w:t>
      </w:r>
      <w:r w:rsidR="00B92D75" w:rsidRPr="00A73AA7">
        <w:rPr>
          <w:rFonts w:ascii="Calibri" w:hAnsi="Calibri" w:cs="Calibri"/>
          <w:bCs/>
          <w:sz w:val="22"/>
          <w:szCs w:val="22"/>
          <w:lang w:val="sq-AL"/>
        </w:rPr>
        <w:t>ë</w:t>
      </w:r>
      <w:r w:rsidRPr="00A73AA7">
        <w:rPr>
          <w:rFonts w:ascii="Calibri" w:hAnsi="Calibri" w:cs="Calibri"/>
          <w:bCs/>
          <w:sz w:val="22"/>
          <w:szCs w:val="22"/>
          <w:lang w:val="sq-AL"/>
        </w:rPr>
        <w:t xml:space="preserve"> konkretisht, nga p</w:t>
      </w:r>
      <w:r w:rsidR="00B92D75" w:rsidRPr="00A73AA7">
        <w:rPr>
          <w:rFonts w:ascii="Calibri" w:hAnsi="Calibri" w:cs="Calibri"/>
          <w:bCs/>
          <w:sz w:val="22"/>
          <w:szCs w:val="22"/>
          <w:lang w:val="sq-AL"/>
        </w:rPr>
        <w:t>ë</w:t>
      </w:r>
      <w:r w:rsidRPr="00A73AA7">
        <w:rPr>
          <w:rFonts w:ascii="Calibri" w:hAnsi="Calibri" w:cs="Calibri"/>
          <w:bCs/>
          <w:sz w:val="22"/>
          <w:szCs w:val="22"/>
          <w:lang w:val="sq-AL"/>
        </w:rPr>
        <w:t xml:space="preserve">rdorimi </w:t>
      </w:r>
      <w:r w:rsidR="0072017E" w:rsidRPr="00A73AA7">
        <w:rPr>
          <w:rFonts w:ascii="Calibri" w:hAnsi="Calibri" w:cs="Calibri"/>
          <w:bCs/>
          <w:sz w:val="22"/>
          <w:szCs w:val="22"/>
          <w:lang w:val="sq-AL"/>
        </w:rPr>
        <w:t>deri m</w:t>
      </w:r>
      <w:r w:rsidR="00AB0070" w:rsidRPr="00A73AA7">
        <w:rPr>
          <w:rFonts w:ascii="Calibri" w:hAnsi="Calibri" w:cs="Calibri"/>
          <w:bCs/>
          <w:sz w:val="22"/>
          <w:szCs w:val="22"/>
          <w:lang w:val="sq-AL"/>
        </w:rPr>
        <w:t>ë</w:t>
      </w:r>
      <w:r w:rsidR="00FD56E2" w:rsidRPr="00A73AA7">
        <w:rPr>
          <w:rFonts w:ascii="Calibri" w:hAnsi="Calibri" w:cs="Calibri"/>
          <w:bCs/>
          <w:sz w:val="22"/>
          <w:szCs w:val="22"/>
          <w:lang w:val="sq-AL"/>
        </w:rPr>
        <w:t xml:space="preserve"> </w:t>
      </w:r>
      <w:r w:rsidR="00B25CC6" w:rsidRPr="00A73AA7">
        <w:rPr>
          <w:rFonts w:ascii="Calibri" w:hAnsi="Calibri" w:cs="Calibri"/>
          <w:bCs/>
          <w:sz w:val="22"/>
          <w:szCs w:val="22"/>
          <w:lang w:val="sq-AL"/>
        </w:rPr>
        <w:t>3</w:t>
      </w:r>
      <w:r w:rsidR="0097300E" w:rsidRPr="00A73AA7">
        <w:rPr>
          <w:rFonts w:ascii="Calibri" w:hAnsi="Calibri" w:cs="Calibri"/>
          <w:bCs/>
          <w:sz w:val="22"/>
          <w:szCs w:val="22"/>
          <w:lang w:val="sq-AL"/>
        </w:rPr>
        <w:t>1.1</w:t>
      </w:r>
      <w:r w:rsidR="00A73AA7">
        <w:rPr>
          <w:rFonts w:ascii="Calibri" w:hAnsi="Calibri" w:cs="Calibri"/>
          <w:bCs/>
          <w:sz w:val="22"/>
          <w:szCs w:val="22"/>
          <w:lang w:val="sq-AL"/>
        </w:rPr>
        <w:t>2</w:t>
      </w:r>
      <w:r w:rsidR="0062754E" w:rsidRPr="00A73AA7">
        <w:rPr>
          <w:rFonts w:ascii="Calibri" w:hAnsi="Calibri" w:cs="Calibri"/>
          <w:bCs/>
          <w:sz w:val="22"/>
          <w:szCs w:val="22"/>
          <w:lang w:val="sq-AL"/>
        </w:rPr>
        <w:t>.202</w:t>
      </w:r>
      <w:r w:rsidR="00FD56E2" w:rsidRPr="00A73AA7">
        <w:rPr>
          <w:rFonts w:ascii="Calibri" w:hAnsi="Calibri" w:cs="Calibri"/>
          <w:bCs/>
          <w:sz w:val="22"/>
          <w:szCs w:val="22"/>
          <w:lang w:val="sq-AL"/>
        </w:rPr>
        <w:t>5</w:t>
      </w:r>
      <w:r w:rsidRPr="00A73AA7">
        <w:rPr>
          <w:rFonts w:ascii="Calibri" w:hAnsi="Calibri" w:cs="Calibri"/>
          <w:bCs/>
          <w:sz w:val="22"/>
          <w:szCs w:val="22"/>
          <w:lang w:val="sq-AL"/>
        </w:rPr>
        <w:t xml:space="preserve">, </w:t>
      </w:r>
      <w:r w:rsidR="0095360D" w:rsidRPr="00A73AA7">
        <w:rPr>
          <w:rFonts w:ascii="Calibri" w:hAnsi="Calibri" w:cs="Calibri"/>
          <w:bCs/>
          <w:sz w:val="22"/>
          <w:szCs w:val="22"/>
          <w:lang w:val="sq-AL"/>
        </w:rPr>
        <w:t xml:space="preserve">prej </w:t>
      </w:r>
      <w:r w:rsidR="00FD56E2" w:rsidRPr="00A73AA7">
        <w:rPr>
          <w:rFonts w:ascii="Calibri" w:hAnsi="Calibri" w:cs="Calibri"/>
          <w:bCs/>
          <w:sz w:val="22"/>
          <w:szCs w:val="22"/>
          <w:lang w:val="sq-AL"/>
        </w:rPr>
        <w:t xml:space="preserve">2 </w:t>
      </w:r>
      <w:r w:rsidR="00A73AA7">
        <w:rPr>
          <w:rFonts w:ascii="Calibri" w:hAnsi="Calibri" w:cs="Calibri"/>
          <w:bCs/>
          <w:sz w:val="22"/>
          <w:szCs w:val="22"/>
          <w:lang w:val="sq-AL"/>
        </w:rPr>
        <w:t>430</w:t>
      </w:r>
      <w:r w:rsidR="0095360D" w:rsidRPr="00A73AA7">
        <w:rPr>
          <w:rFonts w:ascii="Calibri" w:hAnsi="Calibri" w:cs="Calibri"/>
          <w:bCs/>
          <w:sz w:val="22"/>
          <w:szCs w:val="22"/>
          <w:lang w:val="sq-AL"/>
        </w:rPr>
        <w:t xml:space="preserve"> milion</w:t>
      </w:r>
      <w:r w:rsidR="004203B8" w:rsidRPr="00A73AA7">
        <w:rPr>
          <w:rFonts w:ascii="Calibri" w:hAnsi="Calibri" w:cs="Calibri"/>
          <w:bCs/>
          <w:sz w:val="22"/>
          <w:szCs w:val="22"/>
          <w:lang w:val="sq-AL"/>
        </w:rPr>
        <w:t>ë</w:t>
      </w:r>
      <w:r w:rsidR="0095360D" w:rsidRPr="00A73AA7">
        <w:rPr>
          <w:rFonts w:ascii="Calibri" w:hAnsi="Calibri" w:cs="Calibri"/>
          <w:bCs/>
          <w:sz w:val="22"/>
          <w:szCs w:val="22"/>
          <w:lang w:val="sq-AL"/>
        </w:rPr>
        <w:t xml:space="preserve"> lek</w:t>
      </w:r>
      <w:r w:rsidR="004203B8" w:rsidRPr="00A73AA7">
        <w:rPr>
          <w:rFonts w:ascii="Calibri" w:hAnsi="Calibri" w:cs="Calibri"/>
          <w:bCs/>
          <w:sz w:val="22"/>
          <w:szCs w:val="22"/>
          <w:lang w:val="sq-AL"/>
        </w:rPr>
        <w:t>ë</w:t>
      </w:r>
      <w:r w:rsidR="0095360D" w:rsidRPr="00A73AA7">
        <w:rPr>
          <w:rFonts w:ascii="Calibri" w:hAnsi="Calibri" w:cs="Calibri"/>
          <w:bCs/>
          <w:sz w:val="22"/>
          <w:szCs w:val="22"/>
          <w:lang w:val="sq-AL"/>
        </w:rPr>
        <w:t xml:space="preserve">, </w:t>
      </w:r>
      <w:r w:rsidRPr="00A73AA7">
        <w:rPr>
          <w:rFonts w:ascii="Calibri" w:hAnsi="Calibri" w:cs="Calibri"/>
          <w:bCs/>
          <w:sz w:val="22"/>
          <w:szCs w:val="22"/>
          <w:lang w:val="sq-AL"/>
        </w:rPr>
        <w:t>rezulton se</w:t>
      </w:r>
      <w:r w:rsidR="006A4BA5" w:rsidRPr="00A73AA7">
        <w:rPr>
          <w:rFonts w:ascii="Calibri" w:hAnsi="Calibri" w:cs="Calibri"/>
          <w:bCs/>
          <w:sz w:val="22"/>
          <w:szCs w:val="22"/>
          <w:lang w:val="sq-AL"/>
        </w:rPr>
        <w:t>:</w:t>
      </w:r>
    </w:p>
    <w:p w14:paraId="251B7700" w14:textId="3C09EE54" w:rsidR="00FD56E2" w:rsidRPr="00287835" w:rsidRDefault="00DB37C5" w:rsidP="00745CBB">
      <w:pPr>
        <w:pStyle w:val="ListParagraph"/>
        <w:numPr>
          <w:ilvl w:val="0"/>
          <w:numId w:val="2"/>
        </w:numPr>
        <w:spacing w:before="0" w:after="0" w:line="276" w:lineRule="auto"/>
        <w:ind w:left="630"/>
        <w:rPr>
          <w:rFonts w:cs="Calibri"/>
          <w:i/>
          <w:szCs w:val="22"/>
          <w:u w:val="single"/>
          <w:lang w:val="sq-AL"/>
        </w:rPr>
      </w:pPr>
      <w:r w:rsidRPr="00A73AA7">
        <w:rPr>
          <w:rFonts w:cs="Calibri"/>
          <w:i/>
          <w:szCs w:val="22"/>
          <w:lang w:val="sq-AL"/>
        </w:rPr>
        <w:t xml:space="preserve">Rreth </w:t>
      </w:r>
      <w:r w:rsidR="000044AB" w:rsidRPr="00A73AA7">
        <w:rPr>
          <w:rFonts w:cs="Calibri"/>
          <w:i/>
          <w:szCs w:val="22"/>
          <w:lang w:val="sq-AL"/>
        </w:rPr>
        <w:t>2 00</w:t>
      </w:r>
      <w:r w:rsidR="00A73AA7">
        <w:rPr>
          <w:rFonts w:cs="Calibri"/>
          <w:i/>
          <w:szCs w:val="22"/>
          <w:lang w:val="sq-AL"/>
        </w:rPr>
        <w:t>5</w:t>
      </w:r>
      <w:r w:rsidRPr="00A73AA7">
        <w:rPr>
          <w:rFonts w:cs="Calibri"/>
          <w:i/>
          <w:szCs w:val="22"/>
          <w:lang w:val="sq-AL"/>
        </w:rPr>
        <w:t xml:space="preserve"> milion</w:t>
      </w:r>
      <w:r w:rsidR="00453B87" w:rsidRPr="00A73AA7">
        <w:rPr>
          <w:rFonts w:cs="Calibri"/>
          <w:i/>
          <w:szCs w:val="22"/>
          <w:lang w:val="sq-AL"/>
        </w:rPr>
        <w:t>ë</w:t>
      </w:r>
      <w:r w:rsidRPr="00A73AA7">
        <w:rPr>
          <w:rFonts w:cs="Calibri"/>
          <w:i/>
          <w:szCs w:val="22"/>
          <w:lang w:val="sq-AL"/>
        </w:rPr>
        <w:t xml:space="preserve"> lek</w:t>
      </w:r>
      <w:r w:rsidR="00453B87" w:rsidRPr="00A73AA7">
        <w:rPr>
          <w:rFonts w:cs="Calibri"/>
          <w:i/>
          <w:szCs w:val="22"/>
          <w:lang w:val="sq-AL"/>
        </w:rPr>
        <w:t>ë</w:t>
      </w:r>
      <w:r w:rsidRPr="00A73AA7">
        <w:rPr>
          <w:rFonts w:cs="Calibri"/>
          <w:i/>
          <w:szCs w:val="22"/>
          <w:lang w:val="sq-AL"/>
        </w:rPr>
        <w:t xml:space="preserve"> ose </w:t>
      </w:r>
      <w:r w:rsidR="00A73AA7">
        <w:rPr>
          <w:rFonts w:cs="Calibri"/>
          <w:i/>
          <w:szCs w:val="22"/>
          <w:lang w:val="sq-AL"/>
        </w:rPr>
        <w:t>69</w:t>
      </w:r>
      <w:r w:rsidR="008D0D7F">
        <w:rPr>
          <w:rFonts w:cs="Calibri"/>
          <w:i/>
          <w:szCs w:val="22"/>
          <w:lang w:val="sq-AL"/>
        </w:rPr>
        <w:t>.1</w:t>
      </w:r>
      <w:r w:rsidR="0062754E" w:rsidRPr="00A73AA7">
        <w:rPr>
          <w:rFonts w:cs="Calibri"/>
          <w:i/>
          <w:szCs w:val="22"/>
          <w:lang w:val="sq-AL"/>
        </w:rPr>
        <w:t xml:space="preserve"> </w:t>
      </w:r>
      <w:r w:rsidR="00783CBE" w:rsidRPr="00A73AA7">
        <w:rPr>
          <w:rFonts w:cs="Calibri"/>
          <w:i/>
          <w:szCs w:val="22"/>
          <w:lang w:val="sq-AL"/>
        </w:rPr>
        <w:t>p</w:t>
      </w:r>
      <w:r w:rsidR="00FD1643" w:rsidRPr="00A73AA7">
        <w:rPr>
          <w:rFonts w:cs="Calibri"/>
          <w:i/>
          <w:szCs w:val="22"/>
          <w:lang w:val="sq-AL"/>
        </w:rPr>
        <w:t>ë</w:t>
      </w:r>
      <w:r w:rsidR="00783CBE" w:rsidRPr="00A73AA7">
        <w:rPr>
          <w:rFonts w:cs="Calibri"/>
          <w:i/>
          <w:szCs w:val="22"/>
          <w:lang w:val="sq-AL"/>
        </w:rPr>
        <w:t>rqind e planit</w:t>
      </w:r>
      <w:r w:rsidR="0027467C" w:rsidRPr="00A73AA7">
        <w:rPr>
          <w:rFonts w:cs="Calibri"/>
          <w:i/>
          <w:szCs w:val="22"/>
          <w:lang w:val="sq-AL"/>
        </w:rPr>
        <w:t xml:space="preserve"> (</w:t>
      </w:r>
      <w:r w:rsidR="0027467C" w:rsidRPr="00287835">
        <w:rPr>
          <w:rFonts w:cs="Calibri"/>
          <w:i/>
          <w:szCs w:val="22"/>
          <w:u w:val="single"/>
          <w:lang w:val="sq-AL"/>
        </w:rPr>
        <w:t>shpenzime operative</w:t>
      </w:r>
      <w:r w:rsidR="005D4DF5" w:rsidRPr="00287835">
        <w:rPr>
          <w:rFonts w:cs="Calibri"/>
          <w:i/>
          <w:szCs w:val="22"/>
          <w:u w:val="single"/>
          <w:lang w:val="sq-AL"/>
        </w:rPr>
        <w:t>, subvencion</w:t>
      </w:r>
      <w:r w:rsidR="0027467C" w:rsidRPr="00287835">
        <w:rPr>
          <w:rFonts w:cs="Calibri"/>
          <w:i/>
          <w:szCs w:val="22"/>
          <w:u w:val="single"/>
          <w:lang w:val="sq-AL"/>
        </w:rPr>
        <w:t xml:space="preserve"> dhe transferta të brendshme</w:t>
      </w:r>
      <w:r w:rsidRPr="00287835">
        <w:rPr>
          <w:rFonts w:cs="Calibri"/>
          <w:i/>
          <w:szCs w:val="22"/>
          <w:u w:val="single"/>
          <w:lang w:val="sq-AL"/>
        </w:rPr>
        <w:t xml:space="preserve"> e t</w:t>
      </w:r>
      <w:r w:rsidR="00453B87" w:rsidRPr="00287835">
        <w:rPr>
          <w:rFonts w:cs="Calibri"/>
          <w:i/>
          <w:szCs w:val="22"/>
          <w:u w:val="single"/>
          <w:lang w:val="sq-AL"/>
        </w:rPr>
        <w:t>ë</w:t>
      </w:r>
      <w:r w:rsidRPr="00287835">
        <w:rPr>
          <w:rFonts w:cs="Calibri"/>
          <w:i/>
          <w:szCs w:val="22"/>
          <w:u w:val="single"/>
          <w:lang w:val="sq-AL"/>
        </w:rPr>
        <w:t xml:space="preserve"> jashtme</w:t>
      </w:r>
      <w:r w:rsidR="0027467C" w:rsidRPr="00287835">
        <w:rPr>
          <w:rFonts w:cs="Calibri"/>
          <w:i/>
          <w:szCs w:val="22"/>
          <w:u w:val="single"/>
          <w:lang w:val="sq-AL"/>
        </w:rPr>
        <w:t>)</w:t>
      </w:r>
    </w:p>
    <w:p w14:paraId="6BE6E422" w14:textId="60B63096" w:rsidR="00FD56E2" w:rsidRPr="00287835" w:rsidRDefault="00FD56E2" w:rsidP="00FD56E2">
      <w:pPr>
        <w:pStyle w:val="ListParagraph"/>
        <w:numPr>
          <w:ilvl w:val="0"/>
          <w:numId w:val="2"/>
        </w:numPr>
        <w:spacing w:before="0" w:after="0" w:line="276" w:lineRule="auto"/>
        <w:ind w:left="630"/>
        <w:rPr>
          <w:rFonts w:cs="Calibri"/>
          <w:i/>
          <w:szCs w:val="22"/>
          <w:u w:val="single"/>
          <w:lang w:val="sq-AL"/>
        </w:rPr>
      </w:pPr>
      <w:r w:rsidRPr="00A73AA7">
        <w:rPr>
          <w:rFonts w:cs="Calibri"/>
          <w:i/>
          <w:szCs w:val="22"/>
          <w:lang w:val="sq-AL"/>
        </w:rPr>
        <w:t xml:space="preserve">Rreth </w:t>
      </w:r>
      <w:r w:rsidR="005D4DF5">
        <w:rPr>
          <w:rFonts w:cs="Calibri"/>
          <w:i/>
          <w:szCs w:val="22"/>
          <w:lang w:val="sq-AL"/>
        </w:rPr>
        <w:t>326.4</w:t>
      </w:r>
      <w:r w:rsidRPr="00A73AA7">
        <w:rPr>
          <w:rFonts w:cs="Calibri"/>
          <w:i/>
          <w:szCs w:val="22"/>
          <w:lang w:val="sq-AL"/>
        </w:rPr>
        <w:t xml:space="preserve"> milion lekë ose </w:t>
      </w:r>
      <w:r w:rsidR="008D0D7F">
        <w:rPr>
          <w:rFonts w:cs="Calibri"/>
          <w:i/>
          <w:szCs w:val="22"/>
          <w:lang w:val="sq-AL"/>
        </w:rPr>
        <w:t>11.3</w:t>
      </w:r>
      <w:r w:rsidRPr="00A73AA7">
        <w:rPr>
          <w:rFonts w:cs="Calibri"/>
          <w:i/>
          <w:szCs w:val="22"/>
          <w:lang w:val="sq-AL"/>
        </w:rPr>
        <w:t xml:space="preserve"> përqind e planit, janë akorduar </w:t>
      </w:r>
      <w:r w:rsidRPr="00287835">
        <w:rPr>
          <w:rFonts w:cs="Calibri"/>
          <w:i/>
          <w:szCs w:val="22"/>
          <w:u w:val="single"/>
          <w:lang w:val="sq-AL"/>
        </w:rPr>
        <w:t>për shpenzime personeli.</w:t>
      </w:r>
    </w:p>
    <w:p w14:paraId="0CE348A0" w14:textId="24E4D0BD" w:rsidR="0027467C" w:rsidRPr="00287835" w:rsidRDefault="0062754E" w:rsidP="00745CBB">
      <w:pPr>
        <w:pStyle w:val="ListParagraph"/>
        <w:numPr>
          <w:ilvl w:val="0"/>
          <w:numId w:val="2"/>
        </w:numPr>
        <w:spacing w:before="0" w:after="0" w:line="276" w:lineRule="auto"/>
        <w:ind w:left="630"/>
        <w:rPr>
          <w:rFonts w:cs="Calibri"/>
          <w:i/>
          <w:szCs w:val="22"/>
          <w:u w:val="single"/>
          <w:lang w:val="sq-AL"/>
        </w:rPr>
      </w:pPr>
      <w:r w:rsidRPr="00A73AA7">
        <w:rPr>
          <w:rFonts w:cs="Calibri"/>
          <w:i/>
          <w:szCs w:val="22"/>
          <w:lang w:val="sq-AL"/>
        </w:rPr>
        <w:t xml:space="preserve">Rreth </w:t>
      </w:r>
      <w:r w:rsidR="008D0D7F">
        <w:rPr>
          <w:rFonts w:cs="Calibri"/>
          <w:i/>
          <w:szCs w:val="22"/>
          <w:lang w:val="sq-AL"/>
        </w:rPr>
        <w:t>9</w:t>
      </w:r>
      <w:r w:rsidR="00FD56E2" w:rsidRPr="00A73AA7">
        <w:rPr>
          <w:rFonts w:cs="Calibri"/>
          <w:i/>
          <w:szCs w:val="22"/>
          <w:lang w:val="sq-AL"/>
        </w:rPr>
        <w:t>8.6</w:t>
      </w:r>
      <w:r w:rsidRPr="00A73AA7">
        <w:rPr>
          <w:rFonts w:cs="Calibri"/>
          <w:i/>
          <w:szCs w:val="22"/>
          <w:lang w:val="sq-AL"/>
        </w:rPr>
        <w:t>.milion</w:t>
      </w:r>
      <w:r w:rsidR="005B33EC" w:rsidRPr="00A73AA7">
        <w:rPr>
          <w:rFonts w:cs="Calibri"/>
          <w:i/>
          <w:szCs w:val="22"/>
          <w:lang w:val="sq-AL"/>
        </w:rPr>
        <w:t>ë</w:t>
      </w:r>
      <w:r w:rsidRPr="00A73AA7">
        <w:rPr>
          <w:rFonts w:cs="Calibri"/>
          <w:i/>
          <w:szCs w:val="22"/>
          <w:lang w:val="sq-AL"/>
        </w:rPr>
        <w:t xml:space="preserve"> lek</w:t>
      </w:r>
      <w:r w:rsidR="005B33EC" w:rsidRPr="00A73AA7">
        <w:rPr>
          <w:rFonts w:cs="Calibri"/>
          <w:i/>
          <w:szCs w:val="22"/>
          <w:lang w:val="sq-AL"/>
        </w:rPr>
        <w:t>ë</w:t>
      </w:r>
      <w:r w:rsidRPr="00A73AA7">
        <w:rPr>
          <w:rFonts w:cs="Calibri"/>
          <w:i/>
          <w:szCs w:val="22"/>
          <w:lang w:val="sq-AL"/>
        </w:rPr>
        <w:t xml:space="preserve"> ose </w:t>
      </w:r>
      <w:r w:rsidR="008D0D7F">
        <w:rPr>
          <w:rFonts w:cs="Calibri"/>
          <w:i/>
          <w:szCs w:val="22"/>
          <w:lang w:val="sq-AL"/>
        </w:rPr>
        <w:t>3.4</w:t>
      </w:r>
      <w:r w:rsidRPr="00A73AA7">
        <w:rPr>
          <w:rFonts w:cs="Calibri"/>
          <w:i/>
          <w:szCs w:val="22"/>
          <w:lang w:val="sq-AL"/>
        </w:rPr>
        <w:t xml:space="preserve"> përqind e planit, janë akorduar </w:t>
      </w:r>
      <w:r w:rsidRPr="00287835">
        <w:rPr>
          <w:rFonts w:cs="Calibri"/>
          <w:i/>
          <w:szCs w:val="22"/>
          <w:u w:val="single"/>
          <w:lang w:val="sq-AL"/>
        </w:rPr>
        <w:t>për shpenzime kapitale.</w:t>
      </w:r>
    </w:p>
    <w:p w14:paraId="15114B4A" w14:textId="77777777" w:rsidR="00FD56E2" w:rsidRPr="00287835" w:rsidRDefault="00FD56E2" w:rsidP="00745CBB">
      <w:pPr>
        <w:spacing w:line="276" w:lineRule="auto"/>
        <w:jc w:val="both"/>
        <w:rPr>
          <w:rFonts w:ascii="Calibri" w:hAnsi="Calibri" w:cs="Calibri"/>
          <w:bCs/>
          <w:sz w:val="22"/>
          <w:szCs w:val="22"/>
          <w:u w:val="single"/>
          <w:lang w:val="sq-AL"/>
        </w:rPr>
      </w:pPr>
    </w:p>
    <w:p w14:paraId="5D47C287" w14:textId="270B97C2" w:rsidR="003614B4" w:rsidRDefault="00A048C2" w:rsidP="00745CBB">
      <w:pPr>
        <w:spacing w:line="276" w:lineRule="auto"/>
        <w:jc w:val="both"/>
        <w:rPr>
          <w:rFonts w:ascii="Calibri" w:hAnsi="Calibri" w:cs="Calibri"/>
          <w:bCs/>
          <w:sz w:val="22"/>
          <w:szCs w:val="22"/>
          <w:lang w:val="sq-AL"/>
        </w:rPr>
      </w:pPr>
      <w:r w:rsidRPr="00A73AA7">
        <w:rPr>
          <w:rFonts w:ascii="Calibri" w:hAnsi="Calibri" w:cs="Calibri"/>
          <w:bCs/>
          <w:sz w:val="22"/>
          <w:szCs w:val="22"/>
          <w:lang w:val="sq-AL"/>
        </w:rPr>
        <w:t>G</w:t>
      </w:r>
      <w:r w:rsidR="009D5575" w:rsidRPr="00A73AA7">
        <w:rPr>
          <w:rFonts w:ascii="Calibri" w:hAnsi="Calibri" w:cs="Calibri"/>
          <w:bCs/>
          <w:sz w:val="22"/>
          <w:szCs w:val="22"/>
          <w:lang w:val="sq-AL"/>
        </w:rPr>
        <w:t xml:space="preserve">rafiku </w:t>
      </w:r>
      <w:r w:rsidR="00235A68" w:rsidRPr="00A73AA7">
        <w:rPr>
          <w:rFonts w:ascii="Calibri" w:hAnsi="Calibri" w:cs="Calibri"/>
          <w:bCs/>
          <w:sz w:val="22"/>
          <w:szCs w:val="22"/>
          <w:lang w:val="sq-AL"/>
        </w:rPr>
        <w:t>i</w:t>
      </w:r>
      <w:r w:rsidR="007066F3" w:rsidRPr="00A73AA7">
        <w:rPr>
          <w:rFonts w:ascii="Calibri" w:hAnsi="Calibri" w:cs="Calibri"/>
          <w:bCs/>
          <w:sz w:val="22"/>
          <w:szCs w:val="22"/>
          <w:lang w:val="sq-AL"/>
        </w:rPr>
        <w:t xml:space="preserve"> </w:t>
      </w:r>
      <w:r w:rsidR="00187D35" w:rsidRPr="00A73AA7">
        <w:rPr>
          <w:rFonts w:ascii="Calibri" w:hAnsi="Calibri" w:cs="Calibri"/>
          <w:bCs/>
          <w:sz w:val="22"/>
          <w:szCs w:val="22"/>
          <w:lang w:val="sq-AL"/>
        </w:rPr>
        <w:t>mëposht</w:t>
      </w:r>
      <w:r w:rsidR="00BC7F22" w:rsidRPr="00A73AA7">
        <w:rPr>
          <w:rFonts w:ascii="Calibri" w:hAnsi="Calibri" w:cs="Calibri"/>
          <w:bCs/>
          <w:sz w:val="22"/>
          <w:szCs w:val="22"/>
          <w:lang w:val="sq-AL"/>
        </w:rPr>
        <w:t>ë</w:t>
      </w:r>
      <w:r w:rsidR="00187D35" w:rsidRPr="00A73AA7">
        <w:rPr>
          <w:rFonts w:ascii="Calibri" w:hAnsi="Calibri" w:cs="Calibri"/>
          <w:bCs/>
          <w:sz w:val="22"/>
          <w:szCs w:val="22"/>
          <w:lang w:val="sq-AL"/>
        </w:rPr>
        <w:t>m</w:t>
      </w:r>
      <w:r w:rsidR="007066F3" w:rsidRPr="00A73AA7">
        <w:rPr>
          <w:rFonts w:ascii="Calibri" w:hAnsi="Calibri" w:cs="Calibri"/>
          <w:bCs/>
          <w:sz w:val="22"/>
          <w:szCs w:val="22"/>
          <w:lang w:val="sq-AL"/>
        </w:rPr>
        <w:t xml:space="preserve"> </w:t>
      </w:r>
      <w:r w:rsidR="003C1E2B" w:rsidRPr="00A73AA7">
        <w:rPr>
          <w:rFonts w:ascii="Calibri" w:hAnsi="Calibri" w:cs="Calibri"/>
          <w:bCs/>
          <w:sz w:val="22"/>
          <w:szCs w:val="22"/>
          <w:lang w:val="sq-AL"/>
        </w:rPr>
        <w:t>paraqet</w:t>
      </w:r>
      <w:r w:rsidRPr="00A73AA7">
        <w:rPr>
          <w:rFonts w:ascii="Calibri" w:hAnsi="Calibri" w:cs="Calibri"/>
          <w:bCs/>
          <w:sz w:val="22"/>
          <w:szCs w:val="22"/>
          <w:lang w:val="sq-AL"/>
        </w:rPr>
        <w:t xml:space="preserve"> p</w:t>
      </w:r>
      <w:r w:rsidR="00B92D75" w:rsidRPr="00A73AA7">
        <w:rPr>
          <w:rFonts w:ascii="Calibri" w:hAnsi="Calibri" w:cs="Calibri"/>
          <w:bCs/>
          <w:sz w:val="22"/>
          <w:szCs w:val="22"/>
          <w:lang w:val="sq-AL"/>
        </w:rPr>
        <w:t>ë</w:t>
      </w:r>
      <w:r w:rsidRPr="00A73AA7">
        <w:rPr>
          <w:rFonts w:ascii="Calibri" w:hAnsi="Calibri" w:cs="Calibri"/>
          <w:bCs/>
          <w:sz w:val="22"/>
          <w:szCs w:val="22"/>
          <w:lang w:val="sq-AL"/>
        </w:rPr>
        <w:t>rkat</w:t>
      </w:r>
      <w:r w:rsidR="00B92D75" w:rsidRPr="00A73AA7">
        <w:rPr>
          <w:rFonts w:ascii="Calibri" w:hAnsi="Calibri" w:cs="Calibri"/>
          <w:bCs/>
          <w:sz w:val="22"/>
          <w:szCs w:val="22"/>
          <w:lang w:val="sq-AL"/>
        </w:rPr>
        <w:t>ë</w:t>
      </w:r>
      <w:r w:rsidRPr="00A73AA7">
        <w:rPr>
          <w:rFonts w:ascii="Calibri" w:hAnsi="Calibri" w:cs="Calibri"/>
          <w:bCs/>
          <w:sz w:val="22"/>
          <w:szCs w:val="22"/>
          <w:lang w:val="sq-AL"/>
        </w:rPr>
        <w:t xml:space="preserve">sisht, </w:t>
      </w:r>
      <w:r w:rsidR="009D5575" w:rsidRPr="00A73AA7">
        <w:rPr>
          <w:rFonts w:ascii="Calibri" w:hAnsi="Calibri" w:cs="Calibri"/>
          <w:bCs/>
          <w:sz w:val="22"/>
          <w:szCs w:val="22"/>
          <w:lang w:val="sq-AL"/>
        </w:rPr>
        <w:t>struktur</w:t>
      </w:r>
      <w:r w:rsidR="00B92D75" w:rsidRPr="00A73AA7">
        <w:rPr>
          <w:rFonts w:ascii="Calibri" w:hAnsi="Calibri" w:cs="Calibri"/>
          <w:bCs/>
          <w:sz w:val="22"/>
          <w:szCs w:val="22"/>
          <w:lang w:val="sq-AL"/>
        </w:rPr>
        <w:t>ë</w:t>
      </w:r>
      <w:r w:rsidRPr="00A73AA7">
        <w:rPr>
          <w:rFonts w:ascii="Calibri" w:hAnsi="Calibri" w:cs="Calibri"/>
          <w:bCs/>
          <w:sz w:val="22"/>
          <w:szCs w:val="22"/>
          <w:lang w:val="sq-AL"/>
        </w:rPr>
        <w:t>n</w:t>
      </w:r>
      <w:r w:rsidR="009D5575" w:rsidRPr="00A73AA7">
        <w:rPr>
          <w:rFonts w:ascii="Calibri" w:hAnsi="Calibri" w:cs="Calibri"/>
          <w:bCs/>
          <w:sz w:val="22"/>
          <w:szCs w:val="22"/>
          <w:lang w:val="sq-AL"/>
        </w:rPr>
        <w:t xml:space="preserve"> e p</w:t>
      </w:r>
      <w:r w:rsidR="003D2980" w:rsidRPr="00A73AA7">
        <w:rPr>
          <w:rFonts w:ascii="Calibri" w:hAnsi="Calibri" w:cs="Calibri"/>
          <w:bCs/>
          <w:sz w:val="22"/>
          <w:szCs w:val="22"/>
          <w:lang w:val="sq-AL"/>
        </w:rPr>
        <w:t>ë</w:t>
      </w:r>
      <w:r w:rsidR="009D5575" w:rsidRPr="00A73AA7">
        <w:rPr>
          <w:rFonts w:ascii="Calibri" w:hAnsi="Calibri" w:cs="Calibri"/>
          <w:bCs/>
          <w:sz w:val="22"/>
          <w:szCs w:val="22"/>
          <w:lang w:val="sq-AL"/>
        </w:rPr>
        <w:t>rdorimit t</w:t>
      </w:r>
      <w:r w:rsidR="003D2980" w:rsidRPr="00A73AA7">
        <w:rPr>
          <w:rFonts w:ascii="Calibri" w:hAnsi="Calibri" w:cs="Calibri"/>
          <w:bCs/>
          <w:sz w:val="22"/>
          <w:szCs w:val="22"/>
          <w:lang w:val="sq-AL"/>
        </w:rPr>
        <w:t>ë</w:t>
      </w:r>
      <w:r w:rsidR="004C70C3" w:rsidRPr="00A73AA7">
        <w:rPr>
          <w:rFonts w:ascii="Calibri" w:hAnsi="Calibri" w:cs="Calibri"/>
          <w:bCs/>
          <w:sz w:val="22"/>
          <w:szCs w:val="22"/>
          <w:lang w:val="sq-AL"/>
        </w:rPr>
        <w:t xml:space="preserve"> Fondit </w:t>
      </w:r>
      <w:r w:rsidR="009D5575" w:rsidRPr="00A73AA7">
        <w:rPr>
          <w:rFonts w:ascii="Calibri" w:hAnsi="Calibri" w:cs="Calibri"/>
          <w:bCs/>
          <w:sz w:val="22"/>
          <w:szCs w:val="22"/>
          <w:lang w:val="sq-AL"/>
        </w:rPr>
        <w:t>R</w:t>
      </w:r>
      <w:r w:rsidR="003D2980" w:rsidRPr="00A73AA7">
        <w:rPr>
          <w:rFonts w:ascii="Calibri" w:hAnsi="Calibri" w:cs="Calibri"/>
          <w:bCs/>
          <w:sz w:val="22"/>
          <w:szCs w:val="22"/>
          <w:lang w:val="sq-AL"/>
        </w:rPr>
        <w:t>ezerv</w:t>
      </w:r>
      <w:r w:rsidR="004C70C3" w:rsidRPr="00A73AA7">
        <w:rPr>
          <w:rFonts w:ascii="Calibri" w:hAnsi="Calibri" w:cs="Calibri"/>
          <w:bCs/>
          <w:sz w:val="22"/>
          <w:szCs w:val="22"/>
          <w:lang w:val="sq-AL"/>
        </w:rPr>
        <w:t>ë</w:t>
      </w:r>
      <w:r w:rsidR="00E62514" w:rsidRPr="00A73AA7">
        <w:rPr>
          <w:rFonts w:ascii="Calibri" w:hAnsi="Calibri" w:cs="Calibri"/>
          <w:bCs/>
          <w:sz w:val="22"/>
          <w:szCs w:val="22"/>
          <w:lang w:val="sq-AL"/>
        </w:rPr>
        <w:t xml:space="preserve"> t</w:t>
      </w:r>
      <w:r w:rsidR="000D68E1" w:rsidRPr="00A73AA7">
        <w:rPr>
          <w:rFonts w:ascii="Calibri" w:hAnsi="Calibri" w:cs="Calibri"/>
          <w:bCs/>
          <w:sz w:val="22"/>
          <w:szCs w:val="22"/>
          <w:lang w:val="sq-AL"/>
        </w:rPr>
        <w:t>ë</w:t>
      </w:r>
      <w:r w:rsidR="006A4BA5" w:rsidRPr="00A73AA7">
        <w:rPr>
          <w:rFonts w:ascii="Calibri" w:hAnsi="Calibri" w:cs="Calibri"/>
          <w:bCs/>
          <w:sz w:val="22"/>
          <w:szCs w:val="22"/>
          <w:lang w:val="sq-AL"/>
        </w:rPr>
        <w:t xml:space="preserve"> Buxhetit t</w:t>
      </w:r>
      <w:r w:rsidR="000D68E1" w:rsidRPr="00A73AA7">
        <w:rPr>
          <w:rFonts w:ascii="Calibri" w:hAnsi="Calibri" w:cs="Calibri"/>
          <w:bCs/>
          <w:sz w:val="22"/>
          <w:szCs w:val="22"/>
          <w:lang w:val="sq-AL"/>
        </w:rPr>
        <w:t>ë</w:t>
      </w:r>
      <w:r w:rsidR="006A4BA5" w:rsidRPr="00A73AA7">
        <w:rPr>
          <w:rFonts w:ascii="Calibri" w:hAnsi="Calibri" w:cs="Calibri"/>
          <w:bCs/>
          <w:sz w:val="22"/>
          <w:szCs w:val="22"/>
          <w:lang w:val="sq-AL"/>
        </w:rPr>
        <w:t xml:space="preserve"> Shtetit</w:t>
      </w:r>
      <w:r w:rsidRPr="00A73AA7">
        <w:rPr>
          <w:rFonts w:ascii="Calibri" w:hAnsi="Calibri" w:cs="Calibri"/>
          <w:bCs/>
          <w:sz w:val="22"/>
          <w:szCs w:val="22"/>
          <w:lang w:val="sq-AL"/>
        </w:rPr>
        <w:t xml:space="preserve">, </w:t>
      </w:r>
      <w:r w:rsidR="0072017E" w:rsidRPr="00A73AA7">
        <w:rPr>
          <w:rFonts w:ascii="Calibri" w:hAnsi="Calibri" w:cs="Calibri"/>
          <w:bCs/>
          <w:sz w:val="22"/>
          <w:szCs w:val="22"/>
          <w:lang w:val="sq-AL"/>
        </w:rPr>
        <w:t>deri m</w:t>
      </w:r>
      <w:r w:rsidR="00BC7F22" w:rsidRPr="00A73AA7">
        <w:rPr>
          <w:rFonts w:ascii="Calibri" w:hAnsi="Calibri" w:cs="Calibri"/>
          <w:bCs/>
          <w:sz w:val="22"/>
          <w:szCs w:val="22"/>
          <w:lang w:val="sq-AL"/>
        </w:rPr>
        <w:t>ë</w:t>
      </w:r>
      <w:r w:rsidR="00FD56E2" w:rsidRPr="00A73AA7">
        <w:rPr>
          <w:rFonts w:ascii="Calibri" w:hAnsi="Calibri" w:cs="Calibri"/>
          <w:bCs/>
          <w:sz w:val="22"/>
          <w:szCs w:val="22"/>
          <w:lang w:val="sq-AL"/>
        </w:rPr>
        <w:t xml:space="preserve"> </w:t>
      </w:r>
      <w:r w:rsidR="00B25CC6" w:rsidRPr="00A73AA7">
        <w:rPr>
          <w:rFonts w:ascii="Calibri" w:hAnsi="Calibri" w:cs="Calibri"/>
          <w:bCs/>
          <w:sz w:val="22"/>
          <w:szCs w:val="22"/>
          <w:lang w:val="sq-AL"/>
        </w:rPr>
        <w:t>3</w:t>
      </w:r>
      <w:r w:rsidR="0097300E" w:rsidRPr="00A73AA7">
        <w:rPr>
          <w:rFonts w:ascii="Calibri" w:hAnsi="Calibri" w:cs="Calibri"/>
          <w:bCs/>
          <w:sz w:val="22"/>
          <w:szCs w:val="22"/>
          <w:lang w:val="sq-AL"/>
        </w:rPr>
        <w:t>1.1</w:t>
      </w:r>
      <w:r w:rsidR="008D0D7F">
        <w:rPr>
          <w:rFonts w:ascii="Calibri" w:hAnsi="Calibri" w:cs="Calibri"/>
          <w:bCs/>
          <w:sz w:val="22"/>
          <w:szCs w:val="22"/>
          <w:lang w:val="sq-AL"/>
        </w:rPr>
        <w:t>2</w:t>
      </w:r>
      <w:r w:rsidR="0072017E" w:rsidRPr="00A73AA7">
        <w:rPr>
          <w:rFonts w:ascii="Calibri" w:hAnsi="Calibri" w:cs="Calibri"/>
          <w:bCs/>
          <w:sz w:val="22"/>
          <w:szCs w:val="22"/>
          <w:lang w:val="sq-AL"/>
        </w:rPr>
        <w:t>.20</w:t>
      </w:r>
      <w:r w:rsidR="00235A68" w:rsidRPr="00A73AA7">
        <w:rPr>
          <w:rFonts w:ascii="Calibri" w:hAnsi="Calibri" w:cs="Calibri"/>
          <w:bCs/>
          <w:sz w:val="22"/>
          <w:szCs w:val="22"/>
          <w:lang w:val="sq-AL"/>
        </w:rPr>
        <w:t>2</w:t>
      </w:r>
      <w:r w:rsidR="00FD56E2" w:rsidRPr="00A73AA7">
        <w:rPr>
          <w:rFonts w:ascii="Calibri" w:hAnsi="Calibri" w:cs="Calibri"/>
          <w:bCs/>
          <w:sz w:val="22"/>
          <w:szCs w:val="22"/>
          <w:lang w:val="sq-AL"/>
        </w:rPr>
        <w:t>5</w:t>
      </w:r>
      <w:r w:rsidRPr="00A73AA7">
        <w:rPr>
          <w:rFonts w:ascii="Calibri" w:hAnsi="Calibri" w:cs="Calibri"/>
          <w:bCs/>
          <w:sz w:val="22"/>
          <w:szCs w:val="22"/>
          <w:lang w:val="sq-AL"/>
        </w:rPr>
        <w:t>:</w:t>
      </w:r>
    </w:p>
    <w:p w14:paraId="13969DC2" w14:textId="77777777" w:rsidR="00C76185" w:rsidRDefault="00C76185" w:rsidP="00745CBB">
      <w:pPr>
        <w:spacing w:line="276" w:lineRule="auto"/>
        <w:jc w:val="both"/>
        <w:rPr>
          <w:rFonts w:ascii="Calibri" w:hAnsi="Calibri" w:cs="Calibri"/>
          <w:bCs/>
          <w:sz w:val="22"/>
          <w:szCs w:val="22"/>
          <w:lang w:val="sq-AL"/>
        </w:rPr>
      </w:pPr>
    </w:p>
    <w:p w14:paraId="620E4096" w14:textId="77777777" w:rsidR="00C76185" w:rsidRDefault="00C76185" w:rsidP="00745CBB">
      <w:pPr>
        <w:spacing w:line="276" w:lineRule="auto"/>
        <w:jc w:val="both"/>
        <w:rPr>
          <w:rFonts w:ascii="Calibri" w:hAnsi="Calibri" w:cs="Calibri"/>
          <w:bCs/>
          <w:sz w:val="22"/>
          <w:szCs w:val="22"/>
          <w:lang w:val="sq-AL"/>
        </w:rPr>
      </w:pPr>
    </w:p>
    <w:p w14:paraId="15A016A5" w14:textId="0C5C4EE0" w:rsidR="00C76185" w:rsidRDefault="00C76185" w:rsidP="00745CBB">
      <w:pPr>
        <w:spacing w:line="276" w:lineRule="auto"/>
        <w:jc w:val="both"/>
        <w:rPr>
          <w:rFonts w:ascii="Calibri" w:hAnsi="Calibri" w:cs="Calibri"/>
          <w:bCs/>
          <w:sz w:val="22"/>
          <w:szCs w:val="22"/>
          <w:lang w:val="sq-AL"/>
        </w:rPr>
      </w:pPr>
      <w:r>
        <w:rPr>
          <w:rFonts w:ascii="Calibri" w:hAnsi="Calibri" w:cs="Calibri"/>
          <w:bCs/>
          <w:sz w:val="22"/>
          <w:szCs w:val="22"/>
          <w:lang w:val="sq-AL"/>
        </w:rPr>
        <w:t xml:space="preserve"> </w:t>
      </w:r>
    </w:p>
    <w:p w14:paraId="1B9ED05D" w14:textId="78A66ED4" w:rsidR="00C76185" w:rsidRDefault="00C76185" w:rsidP="00745CBB">
      <w:pPr>
        <w:spacing w:line="276" w:lineRule="auto"/>
        <w:jc w:val="both"/>
        <w:rPr>
          <w:rFonts w:ascii="Calibri" w:hAnsi="Calibri" w:cs="Calibri"/>
          <w:bCs/>
          <w:sz w:val="22"/>
          <w:szCs w:val="22"/>
          <w:lang w:val="sq-AL"/>
        </w:rPr>
      </w:pPr>
      <w:r>
        <w:rPr>
          <w:rFonts w:ascii="Calibri" w:hAnsi="Calibri" w:cs="Calibri"/>
          <w:bCs/>
          <w:sz w:val="22"/>
          <w:szCs w:val="22"/>
          <w:lang w:val="sq-AL"/>
        </w:rPr>
        <w:lastRenderedPageBreak/>
        <w:t xml:space="preserve">                               </w:t>
      </w:r>
      <w:r>
        <w:rPr>
          <w:noProof/>
        </w:rPr>
        <w:drawing>
          <wp:inline distT="0" distB="0" distL="0" distR="0" wp14:anchorId="23F6B05B" wp14:editId="0106776A">
            <wp:extent cx="4439920" cy="2743200"/>
            <wp:effectExtent l="0" t="0" r="17780" b="0"/>
            <wp:docPr id="1158531098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59009E0" w14:textId="187D1AA6" w:rsidR="00FA49C4" w:rsidRPr="00A73AA7" w:rsidRDefault="00C76185" w:rsidP="003614B4">
      <w:pPr>
        <w:spacing w:line="276" w:lineRule="auto"/>
        <w:jc w:val="both"/>
        <w:rPr>
          <w:rFonts w:ascii="Calibri" w:hAnsi="Calibri" w:cs="Calibri"/>
          <w:bCs/>
          <w:i/>
          <w:sz w:val="22"/>
          <w:szCs w:val="22"/>
          <w:lang w:val="sq-AL"/>
        </w:rPr>
      </w:pPr>
      <w:r>
        <w:rPr>
          <w:rFonts w:ascii="Calibri" w:hAnsi="Calibri" w:cs="Calibri"/>
          <w:bCs/>
          <w:i/>
          <w:sz w:val="22"/>
          <w:szCs w:val="22"/>
          <w:lang w:val="sq-AL"/>
        </w:rPr>
        <w:t xml:space="preserve">     </w:t>
      </w:r>
      <w:r w:rsidR="00FD56E2" w:rsidRPr="00A73AA7">
        <w:rPr>
          <w:rFonts w:ascii="Calibri" w:hAnsi="Calibri" w:cs="Calibri"/>
          <w:bCs/>
          <w:i/>
          <w:sz w:val="22"/>
          <w:szCs w:val="22"/>
          <w:lang w:val="sq-AL"/>
        </w:rPr>
        <w:t xml:space="preserve">              </w:t>
      </w:r>
      <w:r w:rsidR="008D0D7F">
        <w:rPr>
          <w:rFonts w:ascii="Calibri" w:hAnsi="Calibri" w:cs="Calibri"/>
          <w:bCs/>
          <w:i/>
          <w:sz w:val="22"/>
          <w:szCs w:val="22"/>
          <w:lang w:val="sq-AL"/>
        </w:rPr>
        <w:t xml:space="preserve">          </w:t>
      </w:r>
      <w:r w:rsidR="00FD56E2" w:rsidRPr="00A73AA7">
        <w:rPr>
          <w:rFonts w:ascii="Calibri" w:hAnsi="Calibri" w:cs="Calibri"/>
          <w:bCs/>
          <w:i/>
          <w:sz w:val="22"/>
          <w:szCs w:val="22"/>
          <w:lang w:val="sq-AL"/>
        </w:rPr>
        <w:t xml:space="preserve"> </w:t>
      </w:r>
      <w:r w:rsidR="00FA49C4" w:rsidRPr="00A73AA7">
        <w:rPr>
          <w:rFonts w:ascii="Calibri" w:hAnsi="Calibri" w:cs="Calibri"/>
          <w:i/>
          <w:noProof/>
          <w:sz w:val="22"/>
          <w:szCs w:val="22"/>
          <w:lang w:val="sq-AL"/>
        </w:rPr>
        <w:t>Burimi: Ministria e Financave (20</w:t>
      </w:r>
      <w:r w:rsidR="00F4257F" w:rsidRPr="00A73AA7">
        <w:rPr>
          <w:rFonts w:ascii="Calibri" w:hAnsi="Calibri" w:cs="Calibri"/>
          <w:i/>
          <w:noProof/>
          <w:sz w:val="22"/>
          <w:szCs w:val="22"/>
          <w:lang w:val="sq-AL"/>
        </w:rPr>
        <w:t>2</w:t>
      </w:r>
      <w:r w:rsidR="00FD56E2" w:rsidRPr="00A73AA7">
        <w:rPr>
          <w:rFonts w:ascii="Calibri" w:hAnsi="Calibri" w:cs="Calibri"/>
          <w:i/>
          <w:noProof/>
          <w:sz w:val="22"/>
          <w:szCs w:val="22"/>
          <w:lang w:val="sq-AL"/>
        </w:rPr>
        <w:t>5</w:t>
      </w:r>
      <w:r w:rsidR="00FA49C4" w:rsidRPr="00A73AA7">
        <w:rPr>
          <w:rFonts w:ascii="Calibri" w:hAnsi="Calibri" w:cs="Calibri"/>
          <w:i/>
          <w:noProof/>
          <w:sz w:val="22"/>
          <w:szCs w:val="22"/>
          <w:lang w:val="sq-AL"/>
        </w:rPr>
        <w:t>);</w:t>
      </w:r>
    </w:p>
    <w:p w14:paraId="61CCCF94" w14:textId="77777777" w:rsidR="0055288E" w:rsidRPr="00A73AA7" w:rsidRDefault="0055288E" w:rsidP="00B403E6">
      <w:pPr>
        <w:spacing w:line="276" w:lineRule="auto"/>
        <w:jc w:val="both"/>
        <w:rPr>
          <w:rFonts w:ascii="Calibri" w:hAnsi="Calibri" w:cs="Calibri"/>
          <w:spacing w:val="-1"/>
          <w:sz w:val="22"/>
          <w:szCs w:val="22"/>
          <w:lang w:val="sq-AL"/>
        </w:rPr>
      </w:pPr>
    </w:p>
    <w:p w14:paraId="61D7C8DD" w14:textId="08E91181" w:rsidR="0008776B" w:rsidRDefault="00B53D60" w:rsidP="00B403E6">
      <w:pPr>
        <w:spacing w:line="276" w:lineRule="auto"/>
        <w:jc w:val="both"/>
        <w:rPr>
          <w:rFonts w:ascii="Calibri" w:hAnsi="Calibri" w:cs="Calibri"/>
          <w:spacing w:val="-1"/>
          <w:sz w:val="22"/>
          <w:szCs w:val="22"/>
          <w:lang w:val="sq-AL"/>
        </w:rPr>
      </w:pPr>
      <w:r w:rsidRPr="00A73AA7">
        <w:rPr>
          <w:rFonts w:ascii="Calibri" w:hAnsi="Calibri" w:cs="Calibri"/>
          <w:spacing w:val="-1"/>
          <w:sz w:val="22"/>
          <w:szCs w:val="22"/>
          <w:lang w:val="sq-AL"/>
        </w:rPr>
        <w:t>Nd</w:t>
      </w:r>
      <w:r w:rsidR="003D1233" w:rsidRPr="00A73AA7">
        <w:rPr>
          <w:rFonts w:ascii="Calibri" w:hAnsi="Calibri" w:cs="Calibri"/>
          <w:spacing w:val="-1"/>
          <w:sz w:val="22"/>
          <w:szCs w:val="22"/>
          <w:lang w:val="sq-AL"/>
        </w:rPr>
        <w:t>ë</w:t>
      </w:r>
      <w:r w:rsidRPr="00A73AA7">
        <w:rPr>
          <w:rFonts w:ascii="Calibri" w:hAnsi="Calibri" w:cs="Calibri"/>
          <w:spacing w:val="-1"/>
          <w:sz w:val="22"/>
          <w:szCs w:val="22"/>
          <w:lang w:val="sq-AL"/>
        </w:rPr>
        <w:t>r</w:t>
      </w:r>
      <w:r w:rsidR="001534B8" w:rsidRPr="00A73AA7">
        <w:rPr>
          <w:rFonts w:ascii="Calibri" w:hAnsi="Calibri" w:cs="Calibri"/>
          <w:spacing w:val="-1"/>
          <w:sz w:val="22"/>
          <w:szCs w:val="22"/>
          <w:lang w:val="sq-AL"/>
        </w:rPr>
        <w:t>kohë,</w:t>
      </w:r>
      <w:r w:rsidRPr="00A73AA7">
        <w:rPr>
          <w:rFonts w:ascii="Calibri" w:hAnsi="Calibri" w:cs="Calibri"/>
          <w:spacing w:val="-1"/>
          <w:sz w:val="22"/>
          <w:szCs w:val="22"/>
          <w:lang w:val="sq-AL"/>
        </w:rPr>
        <w:t xml:space="preserve"> p</w:t>
      </w:r>
      <w:r w:rsidR="003D1233" w:rsidRPr="00A73AA7">
        <w:rPr>
          <w:rFonts w:ascii="Calibri" w:hAnsi="Calibri" w:cs="Calibri"/>
          <w:spacing w:val="-1"/>
          <w:sz w:val="22"/>
          <w:szCs w:val="22"/>
          <w:lang w:val="sq-AL"/>
        </w:rPr>
        <w:t>ë</w:t>
      </w:r>
      <w:r w:rsidRPr="00A73AA7">
        <w:rPr>
          <w:rFonts w:ascii="Calibri" w:hAnsi="Calibri" w:cs="Calibri"/>
          <w:spacing w:val="-1"/>
          <w:sz w:val="22"/>
          <w:szCs w:val="22"/>
          <w:lang w:val="sq-AL"/>
        </w:rPr>
        <w:t>rdorimi i Fondit Rezerv</w:t>
      </w:r>
      <w:r w:rsidR="003D1233" w:rsidRPr="00A73AA7">
        <w:rPr>
          <w:rFonts w:ascii="Calibri" w:hAnsi="Calibri" w:cs="Calibri"/>
          <w:spacing w:val="-1"/>
          <w:sz w:val="22"/>
          <w:szCs w:val="22"/>
          <w:lang w:val="sq-AL"/>
        </w:rPr>
        <w:t>ë</w:t>
      </w:r>
      <w:r w:rsidRPr="00A73AA7">
        <w:rPr>
          <w:rFonts w:ascii="Calibri" w:hAnsi="Calibri" w:cs="Calibri"/>
          <w:spacing w:val="-1"/>
          <w:sz w:val="22"/>
          <w:szCs w:val="22"/>
          <w:lang w:val="sq-AL"/>
        </w:rPr>
        <w:t xml:space="preserve"> sipas ministrive dhe institucioneve q</w:t>
      </w:r>
      <w:r w:rsidR="0055288E" w:rsidRPr="00A73AA7">
        <w:rPr>
          <w:rFonts w:ascii="Calibri" w:hAnsi="Calibri" w:cs="Calibri"/>
          <w:spacing w:val="-1"/>
          <w:sz w:val="22"/>
          <w:szCs w:val="22"/>
          <w:lang w:val="sq-AL"/>
        </w:rPr>
        <w:t>ë</w:t>
      </w:r>
      <w:r w:rsidRPr="00A73AA7">
        <w:rPr>
          <w:rFonts w:ascii="Calibri" w:hAnsi="Calibri" w:cs="Calibri"/>
          <w:spacing w:val="-1"/>
          <w:sz w:val="22"/>
          <w:szCs w:val="22"/>
          <w:lang w:val="sq-AL"/>
        </w:rPr>
        <w:t>ndrore paraqite</w:t>
      </w:r>
      <w:r w:rsidR="00C76185">
        <w:rPr>
          <w:rFonts w:ascii="Calibri" w:hAnsi="Calibri" w:cs="Calibri"/>
          <w:spacing w:val="-1"/>
          <w:sz w:val="22"/>
          <w:szCs w:val="22"/>
          <w:lang w:val="sq-AL"/>
        </w:rPr>
        <w:t>t</w:t>
      </w:r>
      <w:r w:rsidRPr="00A73AA7">
        <w:rPr>
          <w:rFonts w:ascii="Calibri" w:hAnsi="Calibri" w:cs="Calibri"/>
          <w:spacing w:val="-1"/>
          <w:sz w:val="22"/>
          <w:szCs w:val="22"/>
          <w:lang w:val="sq-AL"/>
        </w:rPr>
        <w:t xml:space="preserve"> n</w:t>
      </w:r>
      <w:r w:rsidR="003D1233" w:rsidRPr="00A73AA7">
        <w:rPr>
          <w:rFonts w:ascii="Calibri" w:hAnsi="Calibri" w:cs="Calibri"/>
          <w:spacing w:val="-1"/>
          <w:sz w:val="22"/>
          <w:szCs w:val="22"/>
          <w:lang w:val="sq-AL"/>
        </w:rPr>
        <w:t>ë</w:t>
      </w:r>
      <w:r w:rsidRPr="00A73AA7">
        <w:rPr>
          <w:rFonts w:ascii="Calibri" w:hAnsi="Calibri" w:cs="Calibri"/>
          <w:spacing w:val="-1"/>
          <w:sz w:val="22"/>
          <w:szCs w:val="22"/>
          <w:lang w:val="sq-AL"/>
        </w:rPr>
        <w:t xml:space="preserve"> tabel</w:t>
      </w:r>
      <w:r w:rsidR="003D1233" w:rsidRPr="00A73AA7">
        <w:rPr>
          <w:rFonts w:ascii="Calibri" w:hAnsi="Calibri" w:cs="Calibri"/>
          <w:spacing w:val="-1"/>
          <w:sz w:val="22"/>
          <w:szCs w:val="22"/>
          <w:lang w:val="sq-AL"/>
        </w:rPr>
        <w:t>ë</w:t>
      </w:r>
      <w:r w:rsidRPr="00A73AA7">
        <w:rPr>
          <w:rFonts w:ascii="Calibri" w:hAnsi="Calibri" w:cs="Calibri"/>
          <w:spacing w:val="-1"/>
          <w:sz w:val="22"/>
          <w:szCs w:val="22"/>
          <w:lang w:val="sq-AL"/>
        </w:rPr>
        <w:t>n e m</w:t>
      </w:r>
      <w:r w:rsidR="003D1233" w:rsidRPr="00A73AA7">
        <w:rPr>
          <w:rFonts w:ascii="Calibri" w:hAnsi="Calibri" w:cs="Calibri"/>
          <w:spacing w:val="-1"/>
          <w:sz w:val="22"/>
          <w:szCs w:val="22"/>
          <w:lang w:val="sq-AL"/>
        </w:rPr>
        <w:t>ë</w:t>
      </w:r>
      <w:r w:rsidRPr="00A73AA7">
        <w:rPr>
          <w:rFonts w:ascii="Calibri" w:hAnsi="Calibri" w:cs="Calibri"/>
          <w:spacing w:val="-1"/>
          <w:sz w:val="22"/>
          <w:szCs w:val="22"/>
          <w:lang w:val="sq-AL"/>
        </w:rPr>
        <w:t>poshtme:</w:t>
      </w:r>
    </w:p>
    <w:p w14:paraId="757567EA" w14:textId="77777777" w:rsidR="00C76185" w:rsidRPr="00A73AA7" w:rsidRDefault="00C76185" w:rsidP="00B403E6">
      <w:pPr>
        <w:spacing w:line="276" w:lineRule="auto"/>
        <w:jc w:val="both"/>
        <w:rPr>
          <w:rFonts w:ascii="Calibri" w:hAnsi="Calibri" w:cs="Calibri"/>
          <w:spacing w:val="-1"/>
          <w:sz w:val="22"/>
          <w:szCs w:val="22"/>
          <w:lang w:val="sq-AL"/>
        </w:rPr>
      </w:pPr>
    </w:p>
    <w:p w14:paraId="2E41B51B" w14:textId="780F4FEB" w:rsidR="003A5872" w:rsidRPr="00A73AA7" w:rsidRDefault="00273493" w:rsidP="00B403E6">
      <w:pPr>
        <w:spacing w:line="276" w:lineRule="auto"/>
        <w:jc w:val="both"/>
        <w:rPr>
          <w:rFonts w:ascii="Calibri" w:hAnsi="Calibri" w:cs="Calibri"/>
          <w:bCs/>
          <w:i/>
          <w:sz w:val="22"/>
          <w:szCs w:val="22"/>
          <w:lang w:val="sq-AL"/>
        </w:rPr>
      </w:pPr>
      <w:r w:rsidRPr="00A73AA7">
        <w:rPr>
          <w:rFonts w:ascii="Calibri" w:hAnsi="Calibri" w:cs="Calibri"/>
          <w:bCs/>
          <w:i/>
          <w:sz w:val="22"/>
          <w:szCs w:val="22"/>
          <w:lang w:val="sq-AL"/>
        </w:rPr>
        <w:t xml:space="preserve">                          </w:t>
      </w:r>
      <w:r w:rsidR="003A5872" w:rsidRPr="00A73AA7">
        <w:rPr>
          <w:rFonts w:ascii="Calibri" w:hAnsi="Calibri" w:cs="Calibri"/>
          <w:bCs/>
          <w:i/>
          <w:sz w:val="22"/>
          <w:szCs w:val="22"/>
          <w:lang w:val="sq-AL"/>
        </w:rPr>
        <w:t>Përdorimi i fondit rezervë, sipas institucioneve përfituese (në 000/lekë)</w:t>
      </w:r>
      <w:r w:rsidR="00811114" w:rsidRPr="00A73AA7">
        <w:rPr>
          <w:rFonts w:ascii="Calibri" w:hAnsi="Calibri" w:cs="Calibri"/>
          <w:bCs/>
          <w:i/>
          <w:sz w:val="22"/>
          <w:szCs w:val="22"/>
          <w:lang w:val="sq-AL"/>
        </w:rPr>
        <w:t>.</w:t>
      </w:r>
    </w:p>
    <w:tbl>
      <w:tblPr>
        <w:tblStyle w:val="TableGridLight2"/>
        <w:tblW w:w="4762" w:type="pct"/>
        <w:jc w:val="center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Layout w:type="fixed"/>
        <w:tblLook w:val="04A0" w:firstRow="1" w:lastRow="0" w:firstColumn="1" w:lastColumn="0" w:noHBand="0" w:noVBand="1"/>
      </w:tblPr>
      <w:tblGrid>
        <w:gridCol w:w="924"/>
        <w:gridCol w:w="4653"/>
        <w:gridCol w:w="1350"/>
        <w:gridCol w:w="1383"/>
        <w:gridCol w:w="1485"/>
      </w:tblGrid>
      <w:tr w:rsidR="003A5872" w:rsidRPr="00A73AA7" w14:paraId="1526CFF2" w14:textId="77777777" w:rsidTr="007B511F">
        <w:trPr>
          <w:trHeight w:val="354"/>
          <w:jc w:val="center"/>
        </w:trPr>
        <w:tc>
          <w:tcPr>
            <w:tcW w:w="472" w:type="pct"/>
            <w:vMerge w:val="restart"/>
            <w:shd w:val="clear" w:color="auto" w:fill="DAEEF3" w:themeFill="accent5" w:themeFillTint="33"/>
            <w:noWrap/>
            <w:hideMark/>
          </w:tcPr>
          <w:p w14:paraId="29CD9916" w14:textId="77777777" w:rsidR="003A5872" w:rsidRPr="00A73AA7" w:rsidRDefault="003A5872" w:rsidP="00B403E6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sq-AL"/>
              </w:rPr>
            </w:pPr>
          </w:p>
          <w:p w14:paraId="4F76B762" w14:textId="77777777" w:rsidR="003A5872" w:rsidRPr="00A73AA7" w:rsidRDefault="003A5872" w:rsidP="00B403E6">
            <w:pPr>
              <w:jc w:val="center"/>
              <w:rPr>
                <w:rFonts w:ascii="Calibri" w:hAnsi="Calibri" w:cs="Calibri"/>
                <w:sz w:val="22"/>
                <w:szCs w:val="22"/>
                <w:lang w:val="sq-AL"/>
              </w:rPr>
            </w:pPr>
            <w:r w:rsidRPr="00A73AA7">
              <w:rPr>
                <w:rFonts w:ascii="Calibri" w:hAnsi="Calibri" w:cs="Calibri"/>
                <w:bCs/>
                <w:sz w:val="22"/>
                <w:szCs w:val="22"/>
                <w:lang w:val="sq-AL"/>
              </w:rPr>
              <w:t>Kodi instit.</w:t>
            </w:r>
          </w:p>
        </w:tc>
        <w:tc>
          <w:tcPr>
            <w:tcW w:w="2375" w:type="pct"/>
            <w:vMerge w:val="restart"/>
            <w:shd w:val="clear" w:color="auto" w:fill="DAEEF3" w:themeFill="accent5" w:themeFillTint="33"/>
            <w:noWrap/>
            <w:hideMark/>
          </w:tcPr>
          <w:p w14:paraId="18661501" w14:textId="77777777" w:rsidR="003A5872" w:rsidRPr="00A73AA7" w:rsidRDefault="003A5872" w:rsidP="00B403E6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sq-AL"/>
              </w:rPr>
            </w:pPr>
          </w:p>
          <w:p w14:paraId="1F407825" w14:textId="77777777" w:rsidR="003A5872" w:rsidRPr="00A73AA7" w:rsidRDefault="003A5872" w:rsidP="00B403E6">
            <w:pPr>
              <w:jc w:val="center"/>
              <w:rPr>
                <w:rFonts w:ascii="Calibri" w:hAnsi="Calibri" w:cs="Calibri"/>
                <w:sz w:val="22"/>
                <w:szCs w:val="22"/>
                <w:lang w:val="sq-AL"/>
              </w:rPr>
            </w:pPr>
            <w:r w:rsidRPr="00A73AA7">
              <w:rPr>
                <w:rFonts w:ascii="Calibri" w:hAnsi="Calibri" w:cs="Calibri"/>
                <w:bCs/>
                <w:sz w:val="22"/>
                <w:szCs w:val="22"/>
                <w:lang w:val="sq-AL"/>
              </w:rPr>
              <w:t>Emërtimi i institucionit</w:t>
            </w:r>
          </w:p>
        </w:tc>
        <w:tc>
          <w:tcPr>
            <w:tcW w:w="689" w:type="pct"/>
            <w:vMerge w:val="restart"/>
            <w:shd w:val="clear" w:color="auto" w:fill="DAEEF3" w:themeFill="accent5" w:themeFillTint="33"/>
            <w:noWrap/>
            <w:hideMark/>
          </w:tcPr>
          <w:p w14:paraId="074DE070" w14:textId="77777777" w:rsidR="003A5872" w:rsidRPr="00A73AA7" w:rsidRDefault="003A5872" w:rsidP="00B403E6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sq-AL"/>
              </w:rPr>
            </w:pPr>
            <w:r w:rsidRPr="00A73AA7">
              <w:rPr>
                <w:rFonts w:ascii="Calibri" w:hAnsi="Calibri" w:cs="Calibri"/>
                <w:bCs/>
                <w:sz w:val="22"/>
                <w:szCs w:val="22"/>
                <w:lang w:val="sq-AL"/>
              </w:rPr>
              <w:t xml:space="preserve">Numri i VKM-ve </w:t>
            </w:r>
          </w:p>
          <w:p w14:paraId="51A7D69E" w14:textId="77777777" w:rsidR="003A5872" w:rsidRPr="00A73AA7" w:rsidRDefault="003A5872" w:rsidP="00B403E6">
            <w:pPr>
              <w:jc w:val="center"/>
              <w:rPr>
                <w:rFonts w:ascii="Calibri" w:hAnsi="Calibri" w:cs="Calibri"/>
                <w:sz w:val="22"/>
                <w:szCs w:val="22"/>
                <w:lang w:val="sq-AL"/>
              </w:rPr>
            </w:pPr>
            <w:r w:rsidRPr="00A73AA7">
              <w:rPr>
                <w:rFonts w:ascii="Calibri" w:hAnsi="Calibri" w:cs="Calibri"/>
                <w:bCs/>
                <w:sz w:val="22"/>
                <w:szCs w:val="22"/>
                <w:lang w:val="sq-AL"/>
              </w:rPr>
              <w:t>të miratuara</w:t>
            </w:r>
          </w:p>
        </w:tc>
        <w:tc>
          <w:tcPr>
            <w:tcW w:w="1464" w:type="pct"/>
            <w:gridSpan w:val="2"/>
            <w:shd w:val="clear" w:color="auto" w:fill="DAEEF3" w:themeFill="accent5" w:themeFillTint="33"/>
            <w:noWrap/>
            <w:hideMark/>
          </w:tcPr>
          <w:p w14:paraId="2EE15280" w14:textId="77777777" w:rsidR="003A5872" w:rsidRPr="00A73AA7" w:rsidRDefault="003A5872" w:rsidP="00B403E6">
            <w:pPr>
              <w:jc w:val="center"/>
              <w:rPr>
                <w:rFonts w:ascii="Calibri" w:hAnsi="Calibri" w:cs="Calibri"/>
                <w:sz w:val="22"/>
                <w:szCs w:val="22"/>
                <w:lang w:val="sq-AL"/>
              </w:rPr>
            </w:pPr>
            <w:r w:rsidRPr="00A73AA7">
              <w:rPr>
                <w:rFonts w:ascii="Calibri" w:hAnsi="Calibri" w:cs="Calibri"/>
                <w:sz w:val="22"/>
                <w:szCs w:val="22"/>
                <w:lang w:val="sq-AL"/>
              </w:rPr>
              <w:t>Fondi i përdorur</w:t>
            </w:r>
          </w:p>
        </w:tc>
      </w:tr>
      <w:tr w:rsidR="003A5872" w:rsidRPr="00A73AA7" w14:paraId="4992AA14" w14:textId="77777777" w:rsidTr="00745CBB">
        <w:trPr>
          <w:trHeight w:val="476"/>
          <w:jc w:val="center"/>
        </w:trPr>
        <w:tc>
          <w:tcPr>
            <w:tcW w:w="472" w:type="pct"/>
            <w:vMerge/>
            <w:tcBorders>
              <w:bottom w:val="single" w:sz="4" w:space="0" w:color="365F91" w:themeColor="accent1" w:themeShade="BF"/>
            </w:tcBorders>
            <w:shd w:val="clear" w:color="auto" w:fill="DAEEF3" w:themeFill="accent5" w:themeFillTint="33"/>
            <w:noWrap/>
            <w:hideMark/>
          </w:tcPr>
          <w:p w14:paraId="0D04296B" w14:textId="77777777" w:rsidR="003A5872" w:rsidRPr="00A73AA7" w:rsidRDefault="003A5872" w:rsidP="00B403E6">
            <w:pPr>
              <w:jc w:val="center"/>
              <w:rPr>
                <w:rFonts w:ascii="Calibri" w:hAnsi="Calibri" w:cs="Calibri"/>
                <w:sz w:val="22"/>
                <w:szCs w:val="22"/>
                <w:lang w:val="sq-AL"/>
              </w:rPr>
            </w:pPr>
          </w:p>
        </w:tc>
        <w:tc>
          <w:tcPr>
            <w:tcW w:w="2375" w:type="pct"/>
            <w:vMerge/>
            <w:tcBorders>
              <w:bottom w:val="single" w:sz="4" w:space="0" w:color="365F91" w:themeColor="accent1" w:themeShade="BF"/>
            </w:tcBorders>
            <w:shd w:val="clear" w:color="auto" w:fill="DAEEF3" w:themeFill="accent5" w:themeFillTint="33"/>
            <w:noWrap/>
            <w:hideMark/>
          </w:tcPr>
          <w:p w14:paraId="73B5B1AE" w14:textId="77777777" w:rsidR="003A5872" w:rsidRPr="00A73AA7" w:rsidRDefault="003A5872" w:rsidP="00B403E6">
            <w:pPr>
              <w:rPr>
                <w:rFonts w:ascii="Calibri" w:hAnsi="Calibri" w:cs="Calibri"/>
                <w:sz w:val="22"/>
                <w:szCs w:val="22"/>
                <w:lang w:val="sq-AL"/>
              </w:rPr>
            </w:pPr>
          </w:p>
        </w:tc>
        <w:tc>
          <w:tcPr>
            <w:tcW w:w="689" w:type="pct"/>
            <w:vMerge/>
            <w:tcBorders>
              <w:bottom w:val="single" w:sz="4" w:space="0" w:color="365F91" w:themeColor="accent1" w:themeShade="BF"/>
            </w:tcBorders>
            <w:shd w:val="clear" w:color="auto" w:fill="DAEEF3" w:themeFill="accent5" w:themeFillTint="33"/>
            <w:noWrap/>
            <w:hideMark/>
          </w:tcPr>
          <w:p w14:paraId="1C6E48D0" w14:textId="77777777" w:rsidR="003A5872" w:rsidRPr="00A73AA7" w:rsidRDefault="003A5872" w:rsidP="00B403E6">
            <w:pPr>
              <w:jc w:val="center"/>
              <w:rPr>
                <w:rFonts w:ascii="Calibri" w:hAnsi="Calibri" w:cs="Calibri"/>
                <w:sz w:val="22"/>
                <w:szCs w:val="22"/>
                <w:lang w:val="sq-AL"/>
              </w:rPr>
            </w:pPr>
          </w:p>
        </w:tc>
        <w:tc>
          <w:tcPr>
            <w:tcW w:w="706" w:type="pct"/>
            <w:tcBorders>
              <w:bottom w:val="single" w:sz="4" w:space="0" w:color="365F91" w:themeColor="accent1" w:themeShade="BF"/>
            </w:tcBorders>
            <w:shd w:val="clear" w:color="auto" w:fill="DAEEF3" w:themeFill="accent5" w:themeFillTint="33"/>
            <w:noWrap/>
            <w:hideMark/>
          </w:tcPr>
          <w:p w14:paraId="4DEC1CEB" w14:textId="77777777" w:rsidR="003A5872" w:rsidRPr="00A73AA7" w:rsidRDefault="003A5872" w:rsidP="00B403E6">
            <w:pPr>
              <w:jc w:val="center"/>
              <w:rPr>
                <w:rFonts w:ascii="Calibri" w:hAnsi="Calibri" w:cs="Calibri"/>
                <w:sz w:val="22"/>
                <w:szCs w:val="22"/>
                <w:lang w:val="sq-AL"/>
              </w:rPr>
            </w:pPr>
            <w:r w:rsidRPr="00A73AA7">
              <w:rPr>
                <w:rFonts w:ascii="Calibri" w:hAnsi="Calibri" w:cs="Calibri"/>
                <w:sz w:val="22"/>
                <w:szCs w:val="22"/>
                <w:lang w:val="sq-AL"/>
              </w:rPr>
              <w:t>Vlera e akorduar</w:t>
            </w:r>
          </w:p>
        </w:tc>
        <w:tc>
          <w:tcPr>
            <w:tcW w:w="758" w:type="pct"/>
            <w:tcBorders>
              <w:bottom w:val="single" w:sz="4" w:space="0" w:color="365F91" w:themeColor="accent1" w:themeShade="BF"/>
            </w:tcBorders>
            <w:shd w:val="clear" w:color="auto" w:fill="DAEEF3" w:themeFill="accent5" w:themeFillTint="33"/>
            <w:noWrap/>
            <w:hideMark/>
          </w:tcPr>
          <w:p w14:paraId="761E368A" w14:textId="77777777" w:rsidR="003A5872" w:rsidRPr="00A73AA7" w:rsidRDefault="003A5872" w:rsidP="00B403E6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sq-AL"/>
              </w:rPr>
            </w:pPr>
            <w:r w:rsidRPr="00A73AA7">
              <w:rPr>
                <w:rFonts w:ascii="Calibri" w:hAnsi="Calibri" w:cs="Calibri"/>
                <w:bCs/>
                <w:sz w:val="22"/>
                <w:szCs w:val="22"/>
                <w:lang w:val="sq-AL"/>
              </w:rPr>
              <w:t xml:space="preserve">Në % </w:t>
            </w:r>
          </w:p>
          <w:p w14:paraId="001F3DCE" w14:textId="77777777" w:rsidR="003A5872" w:rsidRPr="00A73AA7" w:rsidRDefault="003A5872" w:rsidP="00B403E6">
            <w:pPr>
              <w:jc w:val="center"/>
              <w:rPr>
                <w:rFonts w:ascii="Calibri" w:hAnsi="Calibri" w:cs="Calibri"/>
                <w:sz w:val="22"/>
                <w:szCs w:val="22"/>
                <w:lang w:val="sq-AL"/>
              </w:rPr>
            </w:pPr>
            <w:r w:rsidRPr="00A73AA7">
              <w:rPr>
                <w:rFonts w:ascii="Calibri" w:hAnsi="Calibri" w:cs="Calibri"/>
                <w:bCs/>
                <w:sz w:val="22"/>
                <w:szCs w:val="22"/>
                <w:lang w:val="sq-AL"/>
              </w:rPr>
              <w:t xml:space="preserve">ndaj </w:t>
            </w:r>
            <w:r w:rsidR="00C333D4" w:rsidRPr="00A73AA7">
              <w:rPr>
                <w:rFonts w:ascii="Calibri" w:hAnsi="Calibri" w:cs="Calibri"/>
                <w:bCs/>
                <w:sz w:val="22"/>
                <w:szCs w:val="22"/>
                <w:lang w:val="sq-AL"/>
              </w:rPr>
              <w:t>totalit</w:t>
            </w:r>
          </w:p>
        </w:tc>
      </w:tr>
      <w:tr w:rsidR="0090166B" w:rsidRPr="00A73AA7" w14:paraId="07E53662" w14:textId="77777777" w:rsidTr="000E09C9">
        <w:trPr>
          <w:trHeight w:val="179"/>
          <w:jc w:val="center"/>
        </w:trPr>
        <w:tc>
          <w:tcPr>
            <w:tcW w:w="472" w:type="pct"/>
            <w:tcBorders>
              <w:bottom w:val="dotted" w:sz="4" w:space="0" w:color="365F91" w:themeColor="accent1" w:themeShade="BF"/>
              <w:right w:val="dotted" w:sz="4" w:space="0" w:color="365F91" w:themeColor="accent1" w:themeShade="BF"/>
            </w:tcBorders>
            <w:noWrap/>
          </w:tcPr>
          <w:p w14:paraId="1A939B7C" w14:textId="77777777" w:rsidR="0090166B" w:rsidRPr="00A73AA7" w:rsidRDefault="0090166B" w:rsidP="0090166B">
            <w:pPr>
              <w:jc w:val="center"/>
              <w:rPr>
                <w:rFonts w:ascii="Calibri" w:hAnsi="Calibri" w:cs="Calibri"/>
                <w:sz w:val="22"/>
                <w:szCs w:val="22"/>
                <w:lang w:val="sq-AL"/>
              </w:rPr>
            </w:pPr>
            <w:r w:rsidRPr="00A73AA7">
              <w:rPr>
                <w:rFonts w:ascii="Calibri" w:hAnsi="Calibri" w:cs="Calibri"/>
                <w:sz w:val="22"/>
                <w:szCs w:val="22"/>
                <w:lang w:val="sq-AL"/>
              </w:rPr>
              <w:t>73</w:t>
            </w:r>
          </w:p>
        </w:tc>
        <w:tc>
          <w:tcPr>
            <w:tcW w:w="2375" w:type="pct"/>
            <w:tcBorders>
              <w:left w:val="dotted" w:sz="4" w:space="0" w:color="365F91" w:themeColor="accent1" w:themeShade="BF"/>
              <w:bottom w:val="dotted" w:sz="4" w:space="0" w:color="365F91" w:themeColor="accent1" w:themeShade="BF"/>
              <w:right w:val="dotted" w:sz="4" w:space="0" w:color="365F91" w:themeColor="accent1" w:themeShade="BF"/>
            </w:tcBorders>
            <w:noWrap/>
          </w:tcPr>
          <w:p w14:paraId="2BC09A39" w14:textId="77777777" w:rsidR="0090166B" w:rsidRPr="00A73AA7" w:rsidRDefault="0090166B" w:rsidP="0090166B">
            <w:pPr>
              <w:rPr>
                <w:rFonts w:ascii="Calibri" w:hAnsi="Calibri" w:cs="Calibri"/>
                <w:sz w:val="22"/>
                <w:szCs w:val="22"/>
                <w:lang w:val="sq-AL"/>
              </w:rPr>
            </w:pPr>
            <w:r w:rsidRPr="00A73AA7">
              <w:rPr>
                <w:rFonts w:ascii="Calibri" w:hAnsi="Calibri" w:cs="Calibri"/>
                <w:sz w:val="22"/>
                <w:szCs w:val="22"/>
                <w:lang w:val="sq-AL"/>
              </w:rPr>
              <w:t>Komisioni Qendror i Zgjedhjeve</w:t>
            </w:r>
          </w:p>
        </w:tc>
        <w:tc>
          <w:tcPr>
            <w:tcW w:w="689" w:type="pct"/>
            <w:tcBorders>
              <w:left w:val="dotted" w:sz="4" w:space="0" w:color="365F91" w:themeColor="accent1" w:themeShade="BF"/>
              <w:bottom w:val="dotted" w:sz="4" w:space="0" w:color="365F91" w:themeColor="accent1" w:themeShade="BF"/>
              <w:right w:val="dotted" w:sz="4" w:space="0" w:color="365F91" w:themeColor="accent1" w:themeShade="BF"/>
            </w:tcBorders>
            <w:noWrap/>
          </w:tcPr>
          <w:p w14:paraId="16E93CB3" w14:textId="77777777" w:rsidR="0090166B" w:rsidRPr="00A73AA7" w:rsidRDefault="0090166B" w:rsidP="0090166B">
            <w:pPr>
              <w:jc w:val="center"/>
              <w:rPr>
                <w:rFonts w:ascii="Calibri" w:hAnsi="Calibri" w:cs="Calibri"/>
                <w:sz w:val="22"/>
                <w:szCs w:val="22"/>
                <w:lang w:val="sq-AL"/>
              </w:rPr>
            </w:pPr>
            <w:r w:rsidRPr="00A73AA7">
              <w:rPr>
                <w:rFonts w:ascii="Calibri" w:hAnsi="Calibri" w:cs="Calibri"/>
                <w:sz w:val="22"/>
                <w:szCs w:val="22"/>
                <w:lang w:val="sq-AL"/>
              </w:rPr>
              <w:t>1</w:t>
            </w:r>
          </w:p>
        </w:tc>
        <w:tc>
          <w:tcPr>
            <w:tcW w:w="706" w:type="pct"/>
            <w:tcBorders>
              <w:left w:val="dotted" w:sz="4" w:space="0" w:color="365F91" w:themeColor="accent1" w:themeShade="BF"/>
              <w:bottom w:val="dotted" w:sz="4" w:space="0" w:color="365F91" w:themeColor="accent1" w:themeShade="BF"/>
              <w:right w:val="dotted" w:sz="4" w:space="0" w:color="365F91" w:themeColor="accent1" w:themeShade="BF"/>
            </w:tcBorders>
            <w:noWrap/>
          </w:tcPr>
          <w:p w14:paraId="0CCA5727" w14:textId="55816324" w:rsidR="0090166B" w:rsidRPr="00A73AA7" w:rsidRDefault="0090166B" w:rsidP="0090166B">
            <w:pPr>
              <w:jc w:val="center"/>
              <w:rPr>
                <w:rFonts w:ascii="Calibri" w:hAnsi="Calibri" w:cs="Calibri"/>
                <w:sz w:val="22"/>
                <w:szCs w:val="22"/>
                <w:lang w:val="sq-AL"/>
              </w:rPr>
            </w:pPr>
            <w:r w:rsidRPr="00A73AA7">
              <w:rPr>
                <w:rFonts w:ascii="Calibri" w:hAnsi="Calibri" w:cs="Calibri"/>
                <w:sz w:val="22"/>
                <w:szCs w:val="22"/>
              </w:rPr>
              <w:t>927,212</w:t>
            </w:r>
          </w:p>
        </w:tc>
        <w:tc>
          <w:tcPr>
            <w:tcW w:w="758" w:type="pct"/>
            <w:tcBorders>
              <w:top w:val="single" w:sz="8" w:space="0" w:color="365F91"/>
              <w:left w:val="nil"/>
              <w:bottom w:val="dotted" w:sz="4" w:space="0" w:color="365F91"/>
              <w:right w:val="single" w:sz="8" w:space="0" w:color="365F91"/>
            </w:tcBorders>
            <w:shd w:val="clear" w:color="auto" w:fill="auto"/>
            <w:noWrap/>
            <w:vAlign w:val="center"/>
          </w:tcPr>
          <w:p w14:paraId="497E2884" w14:textId="704454F3" w:rsidR="0090166B" w:rsidRPr="00A73AA7" w:rsidRDefault="0090166B" w:rsidP="0090166B">
            <w:pPr>
              <w:jc w:val="center"/>
              <w:rPr>
                <w:rFonts w:ascii="Calibri" w:hAnsi="Calibri" w:cs="Calibri"/>
                <w:sz w:val="22"/>
                <w:szCs w:val="22"/>
                <w:lang w:val="sq-A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38.2%</w:t>
            </w:r>
          </w:p>
        </w:tc>
      </w:tr>
      <w:tr w:rsidR="0090166B" w:rsidRPr="00A73AA7" w14:paraId="668A7738" w14:textId="77777777" w:rsidTr="000E09C9">
        <w:trPr>
          <w:trHeight w:val="179"/>
          <w:jc w:val="center"/>
        </w:trPr>
        <w:tc>
          <w:tcPr>
            <w:tcW w:w="472" w:type="pct"/>
            <w:tcBorders>
              <w:top w:val="dotted" w:sz="4" w:space="0" w:color="365F91" w:themeColor="accent1" w:themeShade="BF"/>
              <w:bottom w:val="dotted" w:sz="4" w:space="0" w:color="365F91" w:themeColor="accent1" w:themeShade="BF"/>
              <w:right w:val="dotted" w:sz="4" w:space="0" w:color="365F91" w:themeColor="accent1" w:themeShade="BF"/>
            </w:tcBorders>
            <w:noWrap/>
          </w:tcPr>
          <w:p w14:paraId="7F640CB0" w14:textId="5A356E69" w:rsidR="0090166B" w:rsidRPr="00A73AA7" w:rsidRDefault="0090166B" w:rsidP="0090166B">
            <w:pPr>
              <w:jc w:val="center"/>
              <w:rPr>
                <w:rFonts w:ascii="Calibri" w:hAnsi="Calibri" w:cs="Calibri"/>
                <w:sz w:val="22"/>
                <w:szCs w:val="22"/>
                <w:lang w:val="sq-AL"/>
              </w:rPr>
            </w:pPr>
            <w:r w:rsidRPr="00A73AA7">
              <w:rPr>
                <w:rFonts w:ascii="Calibri" w:hAnsi="Calibri" w:cs="Calibri"/>
                <w:sz w:val="22"/>
                <w:szCs w:val="22"/>
                <w:lang w:val="sq-AL"/>
              </w:rPr>
              <w:t>11</w:t>
            </w:r>
          </w:p>
        </w:tc>
        <w:tc>
          <w:tcPr>
            <w:tcW w:w="2375" w:type="pct"/>
            <w:tcBorders>
              <w:top w:val="dotted" w:sz="4" w:space="0" w:color="365F91" w:themeColor="accent1" w:themeShade="BF"/>
              <w:left w:val="dotted" w:sz="4" w:space="0" w:color="365F91" w:themeColor="accent1" w:themeShade="BF"/>
              <w:bottom w:val="dotted" w:sz="4" w:space="0" w:color="365F91" w:themeColor="accent1" w:themeShade="BF"/>
              <w:right w:val="dotted" w:sz="4" w:space="0" w:color="365F91" w:themeColor="accent1" w:themeShade="BF"/>
            </w:tcBorders>
            <w:noWrap/>
          </w:tcPr>
          <w:p w14:paraId="3C47B9E4" w14:textId="38BE6C18" w:rsidR="0090166B" w:rsidRPr="00A73AA7" w:rsidRDefault="0090166B" w:rsidP="0090166B">
            <w:pPr>
              <w:rPr>
                <w:rFonts w:ascii="Calibri" w:hAnsi="Calibri" w:cs="Calibri"/>
                <w:sz w:val="22"/>
                <w:szCs w:val="22"/>
                <w:lang w:val="sq-AL"/>
              </w:rPr>
            </w:pPr>
            <w:r w:rsidRPr="00A73AA7">
              <w:rPr>
                <w:rFonts w:ascii="Calibri" w:hAnsi="Calibri" w:cs="Calibri"/>
                <w:sz w:val="22"/>
                <w:szCs w:val="22"/>
                <w:lang w:val="sq-AL"/>
              </w:rPr>
              <w:t>Ministria e Arsimit dhe Sportit</w:t>
            </w:r>
          </w:p>
        </w:tc>
        <w:tc>
          <w:tcPr>
            <w:tcW w:w="689" w:type="pct"/>
            <w:tcBorders>
              <w:top w:val="dotted" w:sz="4" w:space="0" w:color="365F91" w:themeColor="accent1" w:themeShade="BF"/>
              <w:left w:val="dotted" w:sz="4" w:space="0" w:color="365F91" w:themeColor="accent1" w:themeShade="BF"/>
              <w:bottom w:val="dotted" w:sz="4" w:space="0" w:color="365F91" w:themeColor="accent1" w:themeShade="BF"/>
              <w:right w:val="dotted" w:sz="4" w:space="0" w:color="365F91" w:themeColor="accent1" w:themeShade="BF"/>
            </w:tcBorders>
            <w:noWrap/>
          </w:tcPr>
          <w:p w14:paraId="26B346B5" w14:textId="77777777" w:rsidR="0090166B" w:rsidRPr="00A73AA7" w:rsidRDefault="0090166B" w:rsidP="0090166B">
            <w:pPr>
              <w:jc w:val="center"/>
              <w:rPr>
                <w:rFonts w:ascii="Calibri" w:hAnsi="Calibri" w:cs="Calibri"/>
                <w:sz w:val="22"/>
                <w:szCs w:val="22"/>
                <w:lang w:val="sq-AL"/>
              </w:rPr>
            </w:pPr>
            <w:r w:rsidRPr="00A73AA7">
              <w:rPr>
                <w:rFonts w:ascii="Calibri" w:hAnsi="Calibri" w:cs="Calibri"/>
                <w:sz w:val="22"/>
                <w:szCs w:val="22"/>
                <w:lang w:val="sq-AL"/>
              </w:rPr>
              <w:t>1</w:t>
            </w:r>
          </w:p>
        </w:tc>
        <w:tc>
          <w:tcPr>
            <w:tcW w:w="706" w:type="pct"/>
            <w:tcBorders>
              <w:top w:val="dotted" w:sz="4" w:space="0" w:color="365F91" w:themeColor="accent1" w:themeShade="BF"/>
              <w:left w:val="dotted" w:sz="4" w:space="0" w:color="365F91" w:themeColor="accent1" w:themeShade="BF"/>
              <w:bottom w:val="dotted" w:sz="4" w:space="0" w:color="365F91" w:themeColor="accent1" w:themeShade="BF"/>
              <w:right w:val="dotted" w:sz="4" w:space="0" w:color="365F91" w:themeColor="accent1" w:themeShade="BF"/>
            </w:tcBorders>
            <w:noWrap/>
          </w:tcPr>
          <w:p w14:paraId="46AC504A" w14:textId="2EF9A448" w:rsidR="0090166B" w:rsidRPr="00A73AA7" w:rsidRDefault="0090166B" w:rsidP="0090166B">
            <w:pPr>
              <w:jc w:val="center"/>
              <w:rPr>
                <w:rFonts w:ascii="Calibri" w:hAnsi="Calibri" w:cs="Calibri"/>
                <w:sz w:val="22"/>
                <w:szCs w:val="22"/>
                <w:lang w:val="sq-AL"/>
              </w:rPr>
            </w:pPr>
            <w:r w:rsidRPr="00A73AA7">
              <w:rPr>
                <w:rFonts w:ascii="Calibri" w:hAnsi="Calibri" w:cs="Calibri"/>
                <w:sz w:val="22"/>
                <w:szCs w:val="22"/>
              </w:rPr>
              <w:t>400,000</w:t>
            </w:r>
          </w:p>
        </w:tc>
        <w:tc>
          <w:tcPr>
            <w:tcW w:w="758" w:type="pct"/>
            <w:tcBorders>
              <w:top w:val="nil"/>
              <w:left w:val="nil"/>
              <w:bottom w:val="dotted" w:sz="4" w:space="0" w:color="365F91"/>
              <w:right w:val="single" w:sz="8" w:space="0" w:color="365F91"/>
            </w:tcBorders>
            <w:shd w:val="clear" w:color="auto" w:fill="auto"/>
            <w:noWrap/>
            <w:vAlign w:val="center"/>
          </w:tcPr>
          <w:p w14:paraId="5B910C1C" w14:textId="123E4B94" w:rsidR="0090166B" w:rsidRPr="00A73AA7" w:rsidRDefault="0090166B" w:rsidP="0090166B">
            <w:pPr>
              <w:jc w:val="center"/>
              <w:rPr>
                <w:rFonts w:ascii="Calibri" w:hAnsi="Calibri" w:cs="Calibri"/>
                <w:sz w:val="22"/>
                <w:szCs w:val="22"/>
                <w:lang w:val="sq-A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16.5%</w:t>
            </w:r>
          </w:p>
        </w:tc>
      </w:tr>
      <w:tr w:rsidR="0090166B" w:rsidRPr="00A73AA7" w14:paraId="2AE2BFA3" w14:textId="77777777" w:rsidTr="000E09C9">
        <w:trPr>
          <w:trHeight w:val="179"/>
          <w:jc w:val="center"/>
        </w:trPr>
        <w:tc>
          <w:tcPr>
            <w:tcW w:w="472" w:type="pct"/>
            <w:tcBorders>
              <w:top w:val="dotted" w:sz="4" w:space="0" w:color="365F91" w:themeColor="accent1" w:themeShade="BF"/>
              <w:bottom w:val="dotted" w:sz="4" w:space="0" w:color="365F91" w:themeColor="accent1" w:themeShade="BF"/>
              <w:right w:val="dotted" w:sz="4" w:space="0" w:color="365F91" w:themeColor="accent1" w:themeShade="BF"/>
            </w:tcBorders>
            <w:noWrap/>
          </w:tcPr>
          <w:p w14:paraId="690C9282" w14:textId="77777777" w:rsidR="0090166B" w:rsidRPr="00A73AA7" w:rsidRDefault="0090166B" w:rsidP="0090166B">
            <w:pPr>
              <w:jc w:val="center"/>
              <w:rPr>
                <w:rFonts w:ascii="Calibri" w:hAnsi="Calibri" w:cs="Calibri"/>
                <w:sz w:val="22"/>
                <w:szCs w:val="22"/>
                <w:lang w:val="sq-AL"/>
              </w:rPr>
            </w:pPr>
            <w:r w:rsidRPr="00A73AA7">
              <w:rPr>
                <w:rFonts w:ascii="Calibri" w:hAnsi="Calibri" w:cs="Calibri"/>
                <w:sz w:val="22"/>
                <w:szCs w:val="22"/>
                <w:lang w:val="sq-AL"/>
              </w:rPr>
              <w:t>87</w:t>
            </w:r>
          </w:p>
        </w:tc>
        <w:tc>
          <w:tcPr>
            <w:tcW w:w="2375" w:type="pct"/>
            <w:tcBorders>
              <w:top w:val="dotted" w:sz="4" w:space="0" w:color="365F91" w:themeColor="accent1" w:themeShade="BF"/>
              <w:left w:val="dotted" w:sz="4" w:space="0" w:color="365F91" w:themeColor="accent1" w:themeShade="BF"/>
              <w:bottom w:val="dotted" w:sz="4" w:space="0" w:color="365F91" w:themeColor="accent1" w:themeShade="BF"/>
              <w:right w:val="dotted" w:sz="4" w:space="0" w:color="365F91" w:themeColor="accent1" w:themeShade="BF"/>
            </w:tcBorders>
            <w:noWrap/>
          </w:tcPr>
          <w:p w14:paraId="225D6609" w14:textId="790409CC" w:rsidR="0090166B" w:rsidRPr="00A73AA7" w:rsidRDefault="0090166B" w:rsidP="0090166B">
            <w:pPr>
              <w:rPr>
                <w:rFonts w:ascii="Calibri" w:hAnsi="Calibri" w:cs="Calibri"/>
                <w:sz w:val="22"/>
                <w:szCs w:val="22"/>
                <w:lang w:val="sq-AL"/>
              </w:rPr>
            </w:pPr>
            <w:r w:rsidRPr="00A73AA7">
              <w:rPr>
                <w:rFonts w:ascii="Calibri" w:hAnsi="Calibri" w:cs="Calibri"/>
                <w:sz w:val="22"/>
                <w:szCs w:val="22"/>
                <w:lang w:val="sq-AL"/>
              </w:rPr>
              <w:t>Institucione të tjera Qeveritare (DSHQ)</w:t>
            </w:r>
          </w:p>
        </w:tc>
        <w:tc>
          <w:tcPr>
            <w:tcW w:w="689" w:type="pct"/>
            <w:tcBorders>
              <w:top w:val="dotted" w:sz="4" w:space="0" w:color="365F91" w:themeColor="accent1" w:themeShade="BF"/>
              <w:left w:val="dotted" w:sz="4" w:space="0" w:color="365F91" w:themeColor="accent1" w:themeShade="BF"/>
              <w:bottom w:val="dotted" w:sz="4" w:space="0" w:color="365F91" w:themeColor="accent1" w:themeShade="BF"/>
              <w:right w:val="dotted" w:sz="4" w:space="0" w:color="365F91" w:themeColor="accent1" w:themeShade="BF"/>
            </w:tcBorders>
            <w:noWrap/>
          </w:tcPr>
          <w:p w14:paraId="742034D1" w14:textId="1BA51769" w:rsidR="0090166B" w:rsidRPr="00A73AA7" w:rsidRDefault="0090166B" w:rsidP="0090166B">
            <w:pPr>
              <w:jc w:val="center"/>
              <w:rPr>
                <w:rFonts w:ascii="Calibri" w:hAnsi="Calibri" w:cs="Calibri"/>
                <w:sz w:val="22"/>
                <w:szCs w:val="22"/>
                <w:lang w:val="sq-AL"/>
              </w:rPr>
            </w:pPr>
            <w:r w:rsidRPr="00A73AA7">
              <w:rPr>
                <w:rFonts w:ascii="Calibri" w:hAnsi="Calibri" w:cs="Calibri"/>
                <w:sz w:val="22"/>
                <w:szCs w:val="22"/>
                <w:lang w:val="sq-AL"/>
              </w:rPr>
              <w:t>2</w:t>
            </w:r>
          </w:p>
        </w:tc>
        <w:tc>
          <w:tcPr>
            <w:tcW w:w="706" w:type="pct"/>
            <w:tcBorders>
              <w:top w:val="dotted" w:sz="4" w:space="0" w:color="365F91" w:themeColor="accent1" w:themeShade="BF"/>
              <w:left w:val="dotted" w:sz="4" w:space="0" w:color="365F91" w:themeColor="accent1" w:themeShade="BF"/>
              <w:bottom w:val="dotted" w:sz="4" w:space="0" w:color="365F91" w:themeColor="accent1" w:themeShade="BF"/>
              <w:right w:val="dotted" w:sz="4" w:space="0" w:color="365F91" w:themeColor="accent1" w:themeShade="BF"/>
            </w:tcBorders>
            <w:noWrap/>
          </w:tcPr>
          <w:p w14:paraId="1297360E" w14:textId="30087DF8" w:rsidR="0090166B" w:rsidRPr="00A73AA7" w:rsidRDefault="0090166B" w:rsidP="0090166B">
            <w:pPr>
              <w:jc w:val="center"/>
              <w:rPr>
                <w:rFonts w:ascii="Calibri" w:hAnsi="Calibri" w:cs="Calibri"/>
                <w:sz w:val="22"/>
                <w:szCs w:val="22"/>
                <w:lang w:val="sq-AL"/>
              </w:rPr>
            </w:pPr>
            <w:r w:rsidRPr="00A73AA7">
              <w:rPr>
                <w:rFonts w:ascii="Calibri" w:hAnsi="Calibri" w:cs="Calibri"/>
                <w:sz w:val="22"/>
                <w:szCs w:val="22"/>
              </w:rPr>
              <w:t>391,798</w:t>
            </w:r>
          </w:p>
        </w:tc>
        <w:tc>
          <w:tcPr>
            <w:tcW w:w="758" w:type="pct"/>
            <w:tcBorders>
              <w:top w:val="nil"/>
              <w:left w:val="nil"/>
              <w:bottom w:val="dotted" w:sz="4" w:space="0" w:color="365F91"/>
              <w:right w:val="single" w:sz="8" w:space="0" w:color="365F91"/>
            </w:tcBorders>
            <w:shd w:val="clear" w:color="auto" w:fill="auto"/>
            <w:noWrap/>
            <w:vAlign w:val="center"/>
          </w:tcPr>
          <w:p w14:paraId="4E0181F0" w14:textId="69391EA6" w:rsidR="0090166B" w:rsidRPr="00A73AA7" w:rsidRDefault="0090166B" w:rsidP="0090166B">
            <w:pPr>
              <w:jc w:val="center"/>
              <w:rPr>
                <w:rFonts w:ascii="Calibri" w:hAnsi="Calibri" w:cs="Calibri"/>
                <w:sz w:val="22"/>
                <w:szCs w:val="22"/>
                <w:lang w:val="sq-A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16.1%</w:t>
            </w:r>
          </w:p>
        </w:tc>
      </w:tr>
      <w:tr w:rsidR="0090166B" w:rsidRPr="00A73AA7" w14:paraId="030B1B3B" w14:textId="77777777" w:rsidTr="000E09C9">
        <w:trPr>
          <w:trHeight w:val="179"/>
          <w:jc w:val="center"/>
        </w:trPr>
        <w:tc>
          <w:tcPr>
            <w:tcW w:w="472" w:type="pct"/>
            <w:tcBorders>
              <w:top w:val="dotted" w:sz="4" w:space="0" w:color="365F91" w:themeColor="accent1" w:themeShade="BF"/>
              <w:bottom w:val="dotted" w:sz="4" w:space="0" w:color="365F91" w:themeColor="accent1" w:themeShade="BF"/>
              <w:right w:val="dotted" w:sz="4" w:space="0" w:color="365F91" w:themeColor="accent1" w:themeShade="BF"/>
            </w:tcBorders>
            <w:noWrap/>
          </w:tcPr>
          <w:p w14:paraId="57DE95D2" w14:textId="56F95D58" w:rsidR="0090166B" w:rsidRPr="00A73AA7" w:rsidRDefault="0090166B" w:rsidP="0090166B">
            <w:pPr>
              <w:jc w:val="center"/>
              <w:rPr>
                <w:rFonts w:ascii="Calibri" w:hAnsi="Calibri" w:cs="Calibri"/>
                <w:sz w:val="22"/>
                <w:szCs w:val="22"/>
                <w:lang w:val="sq-AL"/>
              </w:rPr>
            </w:pPr>
            <w:r w:rsidRPr="00A73AA7">
              <w:rPr>
                <w:rFonts w:ascii="Calibri" w:hAnsi="Calibri" w:cs="Calibri"/>
                <w:sz w:val="22"/>
                <w:szCs w:val="22"/>
                <w:lang w:val="sq-AL"/>
              </w:rPr>
              <w:t>14</w:t>
            </w:r>
          </w:p>
        </w:tc>
        <w:tc>
          <w:tcPr>
            <w:tcW w:w="2375" w:type="pct"/>
            <w:tcBorders>
              <w:top w:val="dotted" w:sz="4" w:space="0" w:color="365F91" w:themeColor="accent1" w:themeShade="BF"/>
              <w:left w:val="dotted" w:sz="4" w:space="0" w:color="365F91" w:themeColor="accent1" w:themeShade="BF"/>
              <w:bottom w:val="dotted" w:sz="4" w:space="0" w:color="365F91" w:themeColor="accent1" w:themeShade="BF"/>
              <w:right w:val="dotted" w:sz="4" w:space="0" w:color="365F91" w:themeColor="accent1" w:themeShade="BF"/>
            </w:tcBorders>
            <w:noWrap/>
          </w:tcPr>
          <w:p w14:paraId="11268FAE" w14:textId="7F70C376" w:rsidR="0090166B" w:rsidRPr="00A73AA7" w:rsidRDefault="0090166B" w:rsidP="0090166B">
            <w:pPr>
              <w:rPr>
                <w:rFonts w:ascii="Calibri" w:hAnsi="Calibri" w:cs="Calibri"/>
                <w:sz w:val="22"/>
                <w:szCs w:val="22"/>
                <w:lang w:val="sq-AL"/>
              </w:rPr>
            </w:pPr>
            <w:r w:rsidRPr="00A73AA7">
              <w:rPr>
                <w:rFonts w:ascii="Calibri" w:hAnsi="Calibri" w:cs="Calibri"/>
                <w:sz w:val="22"/>
                <w:szCs w:val="22"/>
                <w:lang w:val="sq-AL"/>
              </w:rPr>
              <w:t>Ministria e Drejtësise</w:t>
            </w:r>
          </w:p>
        </w:tc>
        <w:tc>
          <w:tcPr>
            <w:tcW w:w="689" w:type="pct"/>
            <w:tcBorders>
              <w:top w:val="dotted" w:sz="4" w:space="0" w:color="365F91" w:themeColor="accent1" w:themeShade="BF"/>
              <w:left w:val="dotted" w:sz="4" w:space="0" w:color="365F91" w:themeColor="accent1" w:themeShade="BF"/>
              <w:bottom w:val="dotted" w:sz="4" w:space="0" w:color="365F91" w:themeColor="accent1" w:themeShade="BF"/>
              <w:right w:val="dotted" w:sz="4" w:space="0" w:color="365F91" w:themeColor="accent1" w:themeShade="BF"/>
            </w:tcBorders>
            <w:noWrap/>
          </w:tcPr>
          <w:p w14:paraId="0F62B964" w14:textId="77777777" w:rsidR="0090166B" w:rsidRPr="00A73AA7" w:rsidRDefault="0090166B" w:rsidP="0090166B">
            <w:pPr>
              <w:jc w:val="center"/>
              <w:rPr>
                <w:rFonts w:ascii="Calibri" w:hAnsi="Calibri" w:cs="Calibri"/>
                <w:sz w:val="22"/>
                <w:szCs w:val="22"/>
                <w:lang w:val="sq-AL"/>
              </w:rPr>
            </w:pPr>
            <w:r w:rsidRPr="00A73AA7">
              <w:rPr>
                <w:rFonts w:ascii="Calibri" w:hAnsi="Calibri" w:cs="Calibri"/>
                <w:sz w:val="22"/>
                <w:szCs w:val="22"/>
                <w:lang w:val="sq-AL"/>
              </w:rPr>
              <w:t>1</w:t>
            </w:r>
          </w:p>
        </w:tc>
        <w:tc>
          <w:tcPr>
            <w:tcW w:w="706" w:type="pct"/>
            <w:tcBorders>
              <w:top w:val="dotted" w:sz="4" w:space="0" w:color="365F91" w:themeColor="accent1" w:themeShade="BF"/>
              <w:left w:val="dotted" w:sz="4" w:space="0" w:color="365F91" w:themeColor="accent1" w:themeShade="BF"/>
              <w:bottom w:val="dotted" w:sz="4" w:space="0" w:color="365F91" w:themeColor="accent1" w:themeShade="BF"/>
              <w:right w:val="dotted" w:sz="4" w:space="0" w:color="365F91" w:themeColor="accent1" w:themeShade="BF"/>
            </w:tcBorders>
            <w:noWrap/>
          </w:tcPr>
          <w:p w14:paraId="596EE720" w14:textId="3FE5C452" w:rsidR="0090166B" w:rsidRPr="00A73AA7" w:rsidRDefault="0090166B" w:rsidP="0090166B">
            <w:pPr>
              <w:jc w:val="center"/>
              <w:rPr>
                <w:rFonts w:ascii="Calibri" w:hAnsi="Calibri" w:cs="Calibri"/>
                <w:sz w:val="22"/>
                <w:szCs w:val="22"/>
                <w:lang w:val="sq-AL"/>
              </w:rPr>
            </w:pPr>
            <w:r w:rsidRPr="00A73AA7">
              <w:rPr>
                <w:rFonts w:ascii="Calibri" w:hAnsi="Calibri" w:cs="Calibri"/>
                <w:sz w:val="22"/>
                <w:szCs w:val="22"/>
              </w:rPr>
              <w:t>150,000</w:t>
            </w:r>
          </w:p>
        </w:tc>
        <w:tc>
          <w:tcPr>
            <w:tcW w:w="758" w:type="pct"/>
            <w:tcBorders>
              <w:top w:val="nil"/>
              <w:left w:val="nil"/>
              <w:bottom w:val="dotted" w:sz="4" w:space="0" w:color="365F91"/>
              <w:right w:val="single" w:sz="8" w:space="0" w:color="365F91"/>
            </w:tcBorders>
            <w:shd w:val="clear" w:color="auto" w:fill="auto"/>
            <w:noWrap/>
            <w:vAlign w:val="center"/>
          </w:tcPr>
          <w:p w14:paraId="0EA5A081" w14:textId="424F38D4" w:rsidR="0090166B" w:rsidRPr="00A73AA7" w:rsidRDefault="0090166B" w:rsidP="0090166B">
            <w:pPr>
              <w:jc w:val="center"/>
              <w:rPr>
                <w:rFonts w:ascii="Calibri" w:hAnsi="Calibri" w:cs="Calibri"/>
                <w:sz w:val="22"/>
                <w:szCs w:val="22"/>
                <w:lang w:val="sq-A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6.2%</w:t>
            </w:r>
          </w:p>
        </w:tc>
      </w:tr>
      <w:tr w:rsidR="0090166B" w:rsidRPr="00A73AA7" w14:paraId="3520CC94" w14:textId="77777777" w:rsidTr="000E09C9">
        <w:trPr>
          <w:trHeight w:val="305"/>
          <w:jc w:val="center"/>
        </w:trPr>
        <w:tc>
          <w:tcPr>
            <w:tcW w:w="472" w:type="pct"/>
            <w:tcBorders>
              <w:top w:val="dotted" w:sz="4" w:space="0" w:color="365F91" w:themeColor="accent1" w:themeShade="BF"/>
              <w:bottom w:val="dotted" w:sz="4" w:space="0" w:color="365F91" w:themeColor="accent1" w:themeShade="BF"/>
              <w:right w:val="dotted" w:sz="4" w:space="0" w:color="365F91" w:themeColor="accent1" w:themeShade="BF"/>
            </w:tcBorders>
            <w:noWrap/>
          </w:tcPr>
          <w:p w14:paraId="157566D3" w14:textId="176D00BF" w:rsidR="0090166B" w:rsidRPr="00A73AA7" w:rsidRDefault="0090166B" w:rsidP="0090166B">
            <w:pPr>
              <w:jc w:val="center"/>
              <w:rPr>
                <w:rFonts w:ascii="Calibri" w:hAnsi="Calibri" w:cs="Calibri"/>
                <w:sz w:val="22"/>
                <w:szCs w:val="22"/>
                <w:lang w:val="sq-AL"/>
              </w:rPr>
            </w:pPr>
            <w:r w:rsidRPr="00A73AA7">
              <w:rPr>
                <w:rFonts w:ascii="Calibri" w:hAnsi="Calibri" w:cs="Calibri"/>
                <w:sz w:val="22"/>
                <w:szCs w:val="22"/>
                <w:lang w:val="sq-AL"/>
              </w:rPr>
              <w:t>40</w:t>
            </w:r>
          </w:p>
        </w:tc>
        <w:tc>
          <w:tcPr>
            <w:tcW w:w="2375" w:type="pct"/>
            <w:tcBorders>
              <w:top w:val="dotted" w:sz="4" w:space="0" w:color="365F91" w:themeColor="accent1" w:themeShade="BF"/>
              <w:left w:val="dotted" w:sz="4" w:space="0" w:color="365F91" w:themeColor="accent1" w:themeShade="BF"/>
              <w:bottom w:val="dotted" w:sz="4" w:space="0" w:color="365F91" w:themeColor="accent1" w:themeShade="BF"/>
              <w:right w:val="dotted" w:sz="4" w:space="0" w:color="365F91" w:themeColor="accent1" w:themeShade="BF"/>
            </w:tcBorders>
            <w:noWrap/>
          </w:tcPr>
          <w:p w14:paraId="53F6739C" w14:textId="24499EB0" w:rsidR="0090166B" w:rsidRPr="00A73AA7" w:rsidRDefault="0090166B" w:rsidP="0090166B">
            <w:pPr>
              <w:rPr>
                <w:rFonts w:ascii="Calibri" w:hAnsi="Calibri" w:cs="Calibri"/>
                <w:sz w:val="22"/>
                <w:szCs w:val="22"/>
                <w:lang w:val="sq-AL"/>
              </w:rPr>
            </w:pPr>
            <w:r w:rsidRPr="00A73AA7">
              <w:rPr>
                <w:rFonts w:ascii="Calibri" w:hAnsi="Calibri" w:cs="Calibri"/>
                <w:sz w:val="22"/>
                <w:szCs w:val="22"/>
                <w:lang w:val="sq-AL"/>
              </w:rPr>
              <w:t>Partite Politike</w:t>
            </w:r>
          </w:p>
        </w:tc>
        <w:tc>
          <w:tcPr>
            <w:tcW w:w="689" w:type="pct"/>
            <w:tcBorders>
              <w:top w:val="dotted" w:sz="4" w:space="0" w:color="365F91" w:themeColor="accent1" w:themeShade="BF"/>
              <w:left w:val="dotted" w:sz="4" w:space="0" w:color="365F91" w:themeColor="accent1" w:themeShade="BF"/>
              <w:bottom w:val="dotted" w:sz="4" w:space="0" w:color="365F91" w:themeColor="accent1" w:themeShade="BF"/>
              <w:right w:val="dotted" w:sz="4" w:space="0" w:color="365F91" w:themeColor="accent1" w:themeShade="BF"/>
            </w:tcBorders>
            <w:noWrap/>
          </w:tcPr>
          <w:p w14:paraId="30BE0209" w14:textId="7CD6832A" w:rsidR="0090166B" w:rsidRPr="00A73AA7" w:rsidRDefault="0090166B" w:rsidP="0090166B">
            <w:pPr>
              <w:jc w:val="center"/>
              <w:rPr>
                <w:rFonts w:ascii="Calibri" w:hAnsi="Calibri" w:cs="Calibri"/>
                <w:sz w:val="22"/>
                <w:szCs w:val="22"/>
                <w:lang w:val="sq-AL"/>
              </w:rPr>
            </w:pPr>
            <w:r w:rsidRPr="00A73AA7">
              <w:rPr>
                <w:rFonts w:ascii="Calibri" w:hAnsi="Calibri" w:cs="Calibri"/>
                <w:sz w:val="22"/>
                <w:szCs w:val="22"/>
                <w:lang w:val="sq-AL"/>
              </w:rPr>
              <w:t>1</w:t>
            </w:r>
          </w:p>
        </w:tc>
        <w:tc>
          <w:tcPr>
            <w:tcW w:w="706" w:type="pct"/>
            <w:tcBorders>
              <w:top w:val="dotted" w:sz="4" w:space="0" w:color="365F91" w:themeColor="accent1" w:themeShade="BF"/>
              <w:left w:val="dotted" w:sz="4" w:space="0" w:color="365F91" w:themeColor="accent1" w:themeShade="BF"/>
              <w:bottom w:val="dotted" w:sz="4" w:space="0" w:color="365F91" w:themeColor="accent1" w:themeShade="BF"/>
              <w:right w:val="dotted" w:sz="4" w:space="0" w:color="365F91" w:themeColor="accent1" w:themeShade="BF"/>
            </w:tcBorders>
            <w:noWrap/>
          </w:tcPr>
          <w:p w14:paraId="0460EF5C" w14:textId="6CA9493D" w:rsidR="0090166B" w:rsidRPr="00A73AA7" w:rsidRDefault="0090166B" w:rsidP="0090166B">
            <w:pPr>
              <w:jc w:val="center"/>
              <w:rPr>
                <w:rFonts w:ascii="Calibri" w:hAnsi="Calibri" w:cs="Calibri"/>
                <w:sz w:val="22"/>
                <w:szCs w:val="22"/>
                <w:lang w:val="sq-AL"/>
              </w:rPr>
            </w:pPr>
            <w:r w:rsidRPr="00A73AA7">
              <w:rPr>
                <w:rFonts w:ascii="Calibri" w:hAnsi="Calibri" w:cs="Calibri"/>
                <w:sz w:val="22"/>
                <w:szCs w:val="22"/>
              </w:rPr>
              <w:t>150,000</w:t>
            </w:r>
          </w:p>
        </w:tc>
        <w:tc>
          <w:tcPr>
            <w:tcW w:w="758" w:type="pct"/>
            <w:tcBorders>
              <w:top w:val="nil"/>
              <w:left w:val="nil"/>
              <w:bottom w:val="dotted" w:sz="4" w:space="0" w:color="365F91"/>
              <w:right w:val="single" w:sz="8" w:space="0" w:color="365F91"/>
            </w:tcBorders>
            <w:shd w:val="clear" w:color="auto" w:fill="auto"/>
            <w:noWrap/>
            <w:vAlign w:val="center"/>
          </w:tcPr>
          <w:p w14:paraId="15CB58F8" w14:textId="6FEEAF62" w:rsidR="0090166B" w:rsidRPr="00A73AA7" w:rsidRDefault="0090166B" w:rsidP="0090166B">
            <w:pPr>
              <w:jc w:val="center"/>
              <w:rPr>
                <w:rFonts w:ascii="Calibri" w:hAnsi="Calibri" w:cs="Calibri"/>
                <w:sz w:val="22"/>
                <w:szCs w:val="22"/>
                <w:lang w:val="sq-A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6.2%</w:t>
            </w:r>
          </w:p>
        </w:tc>
      </w:tr>
      <w:tr w:rsidR="0090166B" w:rsidRPr="00A73AA7" w14:paraId="03AD1108" w14:textId="77777777" w:rsidTr="000E09C9">
        <w:trPr>
          <w:trHeight w:val="305"/>
          <w:jc w:val="center"/>
        </w:trPr>
        <w:tc>
          <w:tcPr>
            <w:tcW w:w="472" w:type="pct"/>
            <w:tcBorders>
              <w:top w:val="dotted" w:sz="4" w:space="0" w:color="365F91" w:themeColor="accent1" w:themeShade="BF"/>
              <w:bottom w:val="dotted" w:sz="4" w:space="0" w:color="365F91" w:themeColor="accent1" w:themeShade="BF"/>
              <w:right w:val="dotted" w:sz="4" w:space="0" w:color="365F91" w:themeColor="accent1" w:themeShade="BF"/>
            </w:tcBorders>
            <w:noWrap/>
          </w:tcPr>
          <w:p w14:paraId="5A19EEC8" w14:textId="573CC274" w:rsidR="0090166B" w:rsidRPr="00A73AA7" w:rsidRDefault="0090166B" w:rsidP="0090166B">
            <w:pPr>
              <w:jc w:val="center"/>
              <w:rPr>
                <w:rFonts w:ascii="Calibri" w:hAnsi="Calibri" w:cs="Calibri"/>
                <w:sz w:val="22"/>
                <w:szCs w:val="22"/>
                <w:lang w:val="sq-AL"/>
              </w:rPr>
            </w:pPr>
            <w:r w:rsidRPr="00A73AA7">
              <w:rPr>
                <w:rFonts w:ascii="Calibri" w:hAnsi="Calibri" w:cs="Calibri"/>
                <w:sz w:val="22"/>
                <w:szCs w:val="22"/>
                <w:lang w:val="sq-AL"/>
              </w:rPr>
              <w:t>17</w:t>
            </w:r>
          </w:p>
        </w:tc>
        <w:tc>
          <w:tcPr>
            <w:tcW w:w="2375" w:type="pct"/>
            <w:tcBorders>
              <w:top w:val="dotted" w:sz="4" w:space="0" w:color="365F91" w:themeColor="accent1" w:themeShade="BF"/>
              <w:left w:val="dotted" w:sz="4" w:space="0" w:color="365F91" w:themeColor="accent1" w:themeShade="BF"/>
              <w:bottom w:val="dotted" w:sz="4" w:space="0" w:color="365F91" w:themeColor="accent1" w:themeShade="BF"/>
              <w:right w:val="dotted" w:sz="4" w:space="0" w:color="365F91" w:themeColor="accent1" w:themeShade="BF"/>
            </w:tcBorders>
            <w:noWrap/>
          </w:tcPr>
          <w:p w14:paraId="2FEA438D" w14:textId="4EBF8183" w:rsidR="0090166B" w:rsidRPr="00A73AA7" w:rsidRDefault="0090166B" w:rsidP="0090166B">
            <w:pPr>
              <w:rPr>
                <w:rFonts w:ascii="Calibri" w:hAnsi="Calibri" w:cs="Calibri"/>
                <w:sz w:val="22"/>
                <w:szCs w:val="22"/>
                <w:lang w:val="sq-AL"/>
              </w:rPr>
            </w:pPr>
            <w:r w:rsidRPr="00A73AA7">
              <w:rPr>
                <w:rFonts w:ascii="Calibri" w:hAnsi="Calibri" w:cs="Calibri"/>
                <w:sz w:val="22"/>
                <w:szCs w:val="22"/>
                <w:lang w:val="sq-AL"/>
              </w:rPr>
              <w:t>Ministria e Mbrojtjes</w:t>
            </w:r>
          </w:p>
        </w:tc>
        <w:tc>
          <w:tcPr>
            <w:tcW w:w="689" w:type="pct"/>
            <w:tcBorders>
              <w:top w:val="dotted" w:sz="4" w:space="0" w:color="365F91" w:themeColor="accent1" w:themeShade="BF"/>
              <w:left w:val="dotted" w:sz="4" w:space="0" w:color="365F91" w:themeColor="accent1" w:themeShade="BF"/>
              <w:bottom w:val="dotted" w:sz="4" w:space="0" w:color="365F91" w:themeColor="accent1" w:themeShade="BF"/>
              <w:right w:val="dotted" w:sz="4" w:space="0" w:color="365F91" w:themeColor="accent1" w:themeShade="BF"/>
            </w:tcBorders>
            <w:noWrap/>
          </w:tcPr>
          <w:p w14:paraId="492E4A58" w14:textId="23D85343" w:rsidR="0090166B" w:rsidRPr="00A73AA7" w:rsidRDefault="0090166B" w:rsidP="0090166B">
            <w:pPr>
              <w:jc w:val="center"/>
              <w:rPr>
                <w:rFonts w:ascii="Calibri" w:hAnsi="Calibri" w:cs="Calibri"/>
                <w:sz w:val="22"/>
                <w:szCs w:val="22"/>
                <w:lang w:val="sq-AL"/>
              </w:rPr>
            </w:pPr>
            <w:r w:rsidRPr="00A73AA7">
              <w:rPr>
                <w:rFonts w:ascii="Calibri" w:hAnsi="Calibri" w:cs="Calibri"/>
                <w:sz w:val="22"/>
                <w:szCs w:val="22"/>
                <w:lang w:val="sq-AL"/>
              </w:rPr>
              <w:t>1</w:t>
            </w:r>
          </w:p>
        </w:tc>
        <w:tc>
          <w:tcPr>
            <w:tcW w:w="706" w:type="pct"/>
            <w:tcBorders>
              <w:top w:val="dotted" w:sz="4" w:space="0" w:color="365F91" w:themeColor="accent1" w:themeShade="BF"/>
              <w:left w:val="dotted" w:sz="4" w:space="0" w:color="365F91" w:themeColor="accent1" w:themeShade="BF"/>
              <w:bottom w:val="dotted" w:sz="4" w:space="0" w:color="365F91" w:themeColor="accent1" w:themeShade="BF"/>
              <w:right w:val="dotted" w:sz="4" w:space="0" w:color="365F91" w:themeColor="accent1" w:themeShade="BF"/>
            </w:tcBorders>
            <w:noWrap/>
          </w:tcPr>
          <w:p w14:paraId="0FE6EECF" w14:textId="27BFC4BD" w:rsidR="0090166B" w:rsidRPr="00A73AA7" w:rsidRDefault="0090166B" w:rsidP="009016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3AA7">
              <w:rPr>
                <w:rFonts w:ascii="Calibri" w:hAnsi="Calibri" w:cs="Calibri"/>
                <w:sz w:val="22"/>
                <w:szCs w:val="22"/>
              </w:rPr>
              <w:t>193,140</w:t>
            </w:r>
          </w:p>
        </w:tc>
        <w:tc>
          <w:tcPr>
            <w:tcW w:w="758" w:type="pct"/>
            <w:tcBorders>
              <w:top w:val="nil"/>
              <w:left w:val="nil"/>
              <w:bottom w:val="dotted" w:sz="4" w:space="0" w:color="365F91"/>
              <w:right w:val="single" w:sz="8" w:space="0" w:color="365F91"/>
            </w:tcBorders>
            <w:shd w:val="clear" w:color="auto" w:fill="auto"/>
            <w:noWrap/>
            <w:vAlign w:val="center"/>
          </w:tcPr>
          <w:p w14:paraId="296430B3" w14:textId="360061EF" w:rsidR="0090166B" w:rsidRPr="00A73AA7" w:rsidRDefault="0090166B" w:rsidP="009016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7.9%</w:t>
            </w:r>
          </w:p>
        </w:tc>
      </w:tr>
      <w:tr w:rsidR="0090166B" w:rsidRPr="00A73AA7" w14:paraId="6E7799DC" w14:textId="77777777" w:rsidTr="000E09C9">
        <w:trPr>
          <w:trHeight w:val="305"/>
          <w:jc w:val="center"/>
        </w:trPr>
        <w:tc>
          <w:tcPr>
            <w:tcW w:w="472" w:type="pct"/>
            <w:tcBorders>
              <w:top w:val="dotted" w:sz="4" w:space="0" w:color="365F91" w:themeColor="accent1" w:themeShade="BF"/>
              <w:bottom w:val="dotted" w:sz="4" w:space="0" w:color="365F91" w:themeColor="accent1" w:themeShade="BF"/>
              <w:right w:val="dotted" w:sz="4" w:space="0" w:color="365F91" w:themeColor="accent1" w:themeShade="BF"/>
            </w:tcBorders>
            <w:noWrap/>
          </w:tcPr>
          <w:p w14:paraId="2E7A3E8F" w14:textId="6CB971F2" w:rsidR="0090166B" w:rsidRPr="00A73AA7" w:rsidRDefault="0090166B" w:rsidP="0090166B">
            <w:pPr>
              <w:jc w:val="center"/>
              <w:rPr>
                <w:rFonts w:ascii="Calibri" w:hAnsi="Calibri" w:cs="Calibri"/>
                <w:sz w:val="22"/>
                <w:szCs w:val="22"/>
                <w:lang w:val="sq-AL"/>
              </w:rPr>
            </w:pPr>
            <w:r w:rsidRPr="00A73AA7">
              <w:rPr>
                <w:rFonts w:ascii="Calibri" w:hAnsi="Calibri" w:cs="Calibri"/>
                <w:sz w:val="22"/>
                <w:szCs w:val="22"/>
                <w:lang w:val="sq-AL"/>
              </w:rPr>
              <w:t>16</w:t>
            </w:r>
          </w:p>
        </w:tc>
        <w:tc>
          <w:tcPr>
            <w:tcW w:w="2375" w:type="pct"/>
            <w:tcBorders>
              <w:top w:val="dotted" w:sz="4" w:space="0" w:color="365F91" w:themeColor="accent1" w:themeShade="BF"/>
              <w:left w:val="dotted" w:sz="4" w:space="0" w:color="365F91" w:themeColor="accent1" w:themeShade="BF"/>
              <w:bottom w:val="dotted" w:sz="4" w:space="0" w:color="365F91" w:themeColor="accent1" w:themeShade="BF"/>
              <w:right w:val="dotted" w:sz="4" w:space="0" w:color="365F91" w:themeColor="accent1" w:themeShade="BF"/>
            </w:tcBorders>
            <w:noWrap/>
          </w:tcPr>
          <w:p w14:paraId="22BEBE35" w14:textId="21553E63" w:rsidR="0090166B" w:rsidRPr="00A73AA7" w:rsidRDefault="0090166B" w:rsidP="0090166B">
            <w:pPr>
              <w:rPr>
                <w:rFonts w:ascii="Calibri" w:hAnsi="Calibri" w:cs="Calibri"/>
                <w:sz w:val="22"/>
                <w:szCs w:val="22"/>
                <w:lang w:val="sq-AL"/>
              </w:rPr>
            </w:pPr>
            <w:r w:rsidRPr="00A73AA7">
              <w:rPr>
                <w:rFonts w:ascii="Calibri" w:hAnsi="Calibri" w:cs="Calibri"/>
                <w:sz w:val="22"/>
                <w:szCs w:val="22"/>
                <w:lang w:val="sq-AL"/>
              </w:rPr>
              <w:t>Ministria e Brendshme</w:t>
            </w:r>
          </w:p>
        </w:tc>
        <w:tc>
          <w:tcPr>
            <w:tcW w:w="689" w:type="pct"/>
            <w:tcBorders>
              <w:top w:val="dotted" w:sz="4" w:space="0" w:color="365F91" w:themeColor="accent1" w:themeShade="BF"/>
              <w:left w:val="dotted" w:sz="4" w:space="0" w:color="365F91" w:themeColor="accent1" w:themeShade="BF"/>
              <w:bottom w:val="dotted" w:sz="4" w:space="0" w:color="365F91" w:themeColor="accent1" w:themeShade="BF"/>
              <w:right w:val="dotted" w:sz="4" w:space="0" w:color="365F91" w:themeColor="accent1" w:themeShade="BF"/>
            </w:tcBorders>
            <w:noWrap/>
          </w:tcPr>
          <w:p w14:paraId="0A93AAF5" w14:textId="5E471DFA" w:rsidR="0090166B" w:rsidRPr="00A73AA7" w:rsidRDefault="0090166B" w:rsidP="0090166B">
            <w:pPr>
              <w:jc w:val="center"/>
              <w:rPr>
                <w:rFonts w:ascii="Calibri" w:hAnsi="Calibri" w:cs="Calibri"/>
                <w:sz w:val="22"/>
                <w:szCs w:val="22"/>
                <w:lang w:val="sq-AL"/>
              </w:rPr>
            </w:pPr>
            <w:r w:rsidRPr="00A73AA7">
              <w:rPr>
                <w:rFonts w:ascii="Calibri" w:hAnsi="Calibri" w:cs="Calibri"/>
                <w:sz w:val="22"/>
                <w:szCs w:val="22"/>
                <w:lang w:val="sq-AL"/>
              </w:rPr>
              <w:t>2</w:t>
            </w:r>
          </w:p>
        </w:tc>
        <w:tc>
          <w:tcPr>
            <w:tcW w:w="706" w:type="pct"/>
            <w:tcBorders>
              <w:top w:val="dotted" w:sz="4" w:space="0" w:color="365F91" w:themeColor="accent1" w:themeShade="BF"/>
              <w:left w:val="dotted" w:sz="4" w:space="0" w:color="365F91" w:themeColor="accent1" w:themeShade="BF"/>
              <w:bottom w:val="dotted" w:sz="4" w:space="0" w:color="365F91" w:themeColor="accent1" w:themeShade="BF"/>
              <w:right w:val="dotted" w:sz="4" w:space="0" w:color="365F91" w:themeColor="accent1" w:themeShade="BF"/>
            </w:tcBorders>
            <w:noWrap/>
          </w:tcPr>
          <w:p w14:paraId="5E123937" w14:textId="6955DAA2" w:rsidR="0090166B" w:rsidRPr="00A73AA7" w:rsidRDefault="0090166B" w:rsidP="009016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3AA7">
              <w:rPr>
                <w:rFonts w:ascii="Calibri" w:hAnsi="Calibri" w:cs="Calibri"/>
                <w:sz w:val="22"/>
                <w:szCs w:val="22"/>
              </w:rPr>
              <w:t>162,443</w:t>
            </w:r>
          </w:p>
        </w:tc>
        <w:tc>
          <w:tcPr>
            <w:tcW w:w="758" w:type="pct"/>
            <w:tcBorders>
              <w:top w:val="nil"/>
              <w:left w:val="nil"/>
              <w:bottom w:val="dotted" w:sz="4" w:space="0" w:color="365F91"/>
              <w:right w:val="single" w:sz="8" w:space="0" w:color="365F91"/>
            </w:tcBorders>
            <w:shd w:val="clear" w:color="auto" w:fill="auto"/>
            <w:noWrap/>
            <w:vAlign w:val="center"/>
          </w:tcPr>
          <w:p w14:paraId="7C29E65E" w14:textId="42D0CCBB" w:rsidR="0090166B" w:rsidRPr="00A73AA7" w:rsidRDefault="0090166B" w:rsidP="009016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6.7%</w:t>
            </w:r>
          </w:p>
        </w:tc>
      </w:tr>
      <w:tr w:rsidR="0090166B" w:rsidRPr="00A73AA7" w14:paraId="6396C727" w14:textId="77777777" w:rsidTr="000E09C9">
        <w:trPr>
          <w:trHeight w:val="305"/>
          <w:jc w:val="center"/>
        </w:trPr>
        <w:tc>
          <w:tcPr>
            <w:tcW w:w="472" w:type="pct"/>
            <w:tcBorders>
              <w:top w:val="dotted" w:sz="4" w:space="0" w:color="365F91" w:themeColor="accent1" w:themeShade="BF"/>
              <w:bottom w:val="dotted" w:sz="4" w:space="0" w:color="365F91" w:themeColor="accent1" w:themeShade="BF"/>
              <w:right w:val="dotted" w:sz="4" w:space="0" w:color="365F91" w:themeColor="accent1" w:themeShade="BF"/>
            </w:tcBorders>
            <w:noWrap/>
          </w:tcPr>
          <w:p w14:paraId="3C3158DD" w14:textId="5DD9AF0A" w:rsidR="0090166B" w:rsidRPr="00A73AA7" w:rsidRDefault="0090166B" w:rsidP="0090166B">
            <w:pPr>
              <w:jc w:val="center"/>
              <w:rPr>
                <w:rFonts w:ascii="Calibri" w:hAnsi="Calibri" w:cs="Calibri"/>
                <w:sz w:val="22"/>
                <w:szCs w:val="22"/>
                <w:lang w:val="sq-AL"/>
              </w:rPr>
            </w:pPr>
            <w:r>
              <w:rPr>
                <w:rFonts w:ascii="Calibri" w:hAnsi="Calibri" w:cs="Calibri"/>
                <w:sz w:val="22"/>
                <w:szCs w:val="22"/>
                <w:lang w:val="sq-AL"/>
              </w:rPr>
              <w:t>06</w:t>
            </w:r>
          </w:p>
        </w:tc>
        <w:tc>
          <w:tcPr>
            <w:tcW w:w="2375" w:type="pct"/>
            <w:tcBorders>
              <w:top w:val="dotted" w:sz="4" w:space="0" w:color="365F91" w:themeColor="accent1" w:themeShade="BF"/>
              <w:left w:val="dotted" w:sz="4" w:space="0" w:color="365F91" w:themeColor="accent1" w:themeShade="BF"/>
              <w:bottom w:val="dotted" w:sz="4" w:space="0" w:color="365F91" w:themeColor="accent1" w:themeShade="BF"/>
              <w:right w:val="dotted" w:sz="4" w:space="0" w:color="365F91" w:themeColor="accent1" w:themeShade="BF"/>
            </w:tcBorders>
            <w:noWrap/>
          </w:tcPr>
          <w:p w14:paraId="4C2AF239" w14:textId="45438732" w:rsidR="0090166B" w:rsidRPr="00A73AA7" w:rsidRDefault="0090166B" w:rsidP="0090166B">
            <w:pPr>
              <w:rPr>
                <w:rFonts w:ascii="Calibri" w:hAnsi="Calibri" w:cs="Calibri"/>
                <w:sz w:val="22"/>
                <w:szCs w:val="22"/>
                <w:lang w:val="sq-AL"/>
              </w:rPr>
            </w:pPr>
            <w:r>
              <w:rPr>
                <w:rFonts w:ascii="Calibri" w:hAnsi="Calibri" w:cs="Calibri"/>
                <w:sz w:val="22"/>
                <w:szCs w:val="22"/>
                <w:lang w:val="sq-AL"/>
              </w:rPr>
              <w:t>Ministria e Infrastruktures dhe Energjisë</w:t>
            </w:r>
          </w:p>
        </w:tc>
        <w:tc>
          <w:tcPr>
            <w:tcW w:w="689" w:type="pct"/>
            <w:tcBorders>
              <w:top w:val="dotted" w:sz="4" w:space="0" w:color="365F91" w:themeColor="accent1" w:themeShade="BF"/>
              <w:left w:val="dotted" w:sz="4" w:space="0" w:color="365F91" w:themeColor="accent1" w:themeShade="BF"/>
              <w:bottom w:val="dotted" w:sz="4" w:space="0" w:color="365F91" w:themeColor="accent1" w:themeShade="BF"/>
              <w:right w:val="dotted" w:sz="4" w:space="0" w:color="365F91" w:themeColor="accent1" w:themeShade="BF"/>
            </w:tcBorders>
            <w:noWrap/>
          </w:tcPr>
          <w:p w14:paraId="269B49AD" w14:textId="4AA66F5E" w:rsidR="0090166B" w:rsidRPr="00A73AA7" w:rsidRDefault="0090166B" w:rsidP="0090166B">
            <w:pPr>
              <w:jc w:val="center"/>
              <w:rPr>
                <w:rFonts w:ascii="Calibri" w:hAnsi="Calibri" w:cs="Calibri"/>
                <w:sz w:val="22"/>
                <w:szCs w:val="22"/>
                <w:lang w:val="sq-AL"/>
              </w:rPr>
            </w:pPr>
            <w:r>
              <w:rPr>
                <w:rFonts w:ascii="Calibri" w:hAnsi="Calibri" w:cs="Calibri"/>
                <w:sz w:val="22"/>
                <w:szCs w:val="22"/>
                <w:lang w:val="sq-AL"/>
              </w:rPr>
              <w:t>1</w:t>
            </w:r>
          </w:p>
        </w:tc>
        <w:tc>
          <w:tcPr>
            <w:tcW w:w="706" w:type="pct"/>
            <w:tcBorders>
              <w:top w:val="dotted" w:sz="4" w:space="0" w:color="365F91" w:themeColor="accent1" w:themeShade="BF"/>
              <w:left w:val="dotted" w:sz="4" w:space="0" w:color="365F91" w:themeColor="accent1" w:themeShade="BF"/>
              <w:bottom w:val="dotted" w:sz="4" w:space="0" w:color="365F91" w:themeColor="accent1" w:themeShade="BF"/>
              <w:right w:val="dotted" w:sz="4" w:space="0" w:color="365F91" w:themeColor="accent1" w:themeShade="BF"/>
            </w:tcBorders>
            <w:noWrap/>
          </w:tcPr>
          <w:p w14:paraId="2E664AF0" w14:textId="133D8283" w:rsidR="0090166B" w:rsidRPr="00A73AA7" w:rsidRDefault="0090166B" w:rsidP="0090166B">
            <w:pPr>
              <w:jc w:val="center"/>
              <w:rPr>
                <w:rFonts w:ascii="Calibri" w:hAnsi="Calibri" w:cs="Calibri"/>
                <w:sz w:val="22"/>
                <w:szCs w:val="22"/>
                <w:lang w:val="sq-AL"/>
              </w:rPr>
            </w:pPr>
            <w:r>
              <w:rPr>
                <w:rFonts w:ascii="Calibri" w:hAnsi="Calibri" w:cs="Calibri"/>
                <w:sz w:val="22"/>
                <w:szCs w:val="22"/>
                <w:lang w:val="sq-AL"/>
              </w:rPr>
              <w:t>50,000</w:t>
            </w:r>
          </w:p>
        </w:tc>
        <w:tc>
          <w:tcPr>
            <w:tcW w:w="758" w:type="pct"/>
            <w:tcBorders>
              <w:top w:val="nil"/>
              <w:left w:val="nil"/>
              <w:bottom w:val="dotted" w:sz="4" w:space="0" w:color="365F91"/>
              <w:right w:val="single" w:sz="8" w:space="0" w:color="365F91"/>
            </w:tcBorders>
            <w:shd w:val="clear" w:color="auto" w:fill="auto"/>
            <w:noWrap/>
            <w:vAlign w:val="center"/>
          </w:tcPr>
          <w:p w14:paraId="2555B1E8" w14:textId="5F4AF926" w:rsidR="0090166B" w:rsidRPr="00A73AA7" w:rsidRDefault="0090166B" w:rsidP="0090166B">
            <w:pPr>
              <w:jc w:val="center"/>
              <w:rPr>
                <w:rFonts w:ascii="Calibri" w:hAnsi="Calibri" w:cs="Calibri"/>
                <w:sz w:val="22"/>
                <w:szCs w:val="22"/>
                <w:lang w:val="sq-A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2.1%</w:t>
            </w:r>
          </w:p>
        </w:tc>
      </w:tr>
      <w:tr w:rsidR="0090166B" w:rsidRPr="00A73AA7" w14:paraId="23387C1D" w14:textId="77777777" w:rsidTr="000E09C9">
        <w:trPr>
          <w:trHeight w:val="305"/>
          <w:jc w:val="center"/>
        </w:trPr>
        <w:tc>
          <w:tcPr>
            <w:tcW w:w="472" w:type="pct"/>
            <w:tcBorders>
              <w:top w:val="dotted" w:sz="4" w:space="0" w:color="365F91" w:themeColor="accent1" w:themeShade="BF"/>
              <w:bottom w:val="dotted" w:sz="4" w:space="0" w:color="365F91" w:themeColor="accent1" w:themeShade="BF"/>
              <w:right w:val="dotted" w:sz="4" w:space="0" w:color="365F91" w:themeColor="accent1" w:themeShade="BF"/>
            </w:tcBorders>
            <w:noWrap/>
          </w:tcPr>
          <w:p w14:paraId="5C2059E8" w14:textId="7C2DAAD2" w:rsidR="0090166B" w:rsidRPr="00A73AA7" w:rsidRDefault="0090166B" w:rsidP="0090166B">
            <w:pPr>
              <w:jc w:val="center"/>
              <w:rPr>
                <w:rFonts w:ascii="Calibri" w:hAnsi="Calibri" w:cs="Calibri"/>
                <w:sz w:val="22"/>
                <w:szCs w:val="22"/>
                <w:lang w:val="sq-AL"/>
              </w:rPr>
            </w:pPr>
            <w:r w:rsidRPr="00A73AA7">
              <w:rPr>
                <w:rFonts w:ascii="Calibri" w:hAnsi="Calibri" w:cs="Calibri"/>
                <w:sz w:val="22"/>
                <w:szCs w:val="22"/>
                <w:lang w:val="sq-AL"/>
              </w:rPr>
              <w:t>10</w:t>
            </w:r>
          </w:p>
        </w:tc>
        <w:tc>
          <w:tcPr>
            <w:tcW w:w="2375" w:type="pct"/>
            <w:tcBorders>
              <w:top w:val="dotted" w:sz="4" w:space="0" w:color="365F91" w:themeColor="accent1" w:themeShade="BF"/>
              <w:left w:val="dotted" w:sz="4" w:space="0" w:color="365F91" w:themeColor="accent1" w:themeShade="BF"/>
              <w:bottom w:val="dotted" w:sz="4" w:space="0" w:color="365F91" w:themeColor="accent1" w:themeShade="BF"/>
              <w:right w:val="dotted" w:sz="4" w:space="0" w:color="365F91" w:themeColor="accent1" w:themeShade="BF"/>
            </w:tcBorders>
            <w:noWrap/>
          </w:tcPr>
          <w:p w14:paraId="60261151" w14:textId="302030A5" w:rsidR="0090166B" w:rsidRPr="00A73AA7" w:rsidRDefault="0090166B" w:rsidP="0090166B">
            <w:pPr>
              <w:rPr>
                <w:rFonts w:ascii="Calibri" w:hAnsi="Calibri" w:cs="Calibri"/>
                <w:sz w:val="22"/>
                <w:szCs w:val="22"/>
                <w:lang w:val="sq-AL"/>
              </w:rPr>
            </w:pPr>
            <w:r w:rsidRPr="00A73AA7">
              <w:rPr>
                <w:rFonts w:ascii="Calibri" w:hAnsi="Calibri" w:cs="Calibri"/>
                <w:sz w:val="22"/>
                <w:szCs w:val="22"/>
                <w:lang w:val="sq-AL"/>
              </w:rPr>
              <w:t>Ministria Financave</w:t>
            </w:r>
          </w:p>
        </w:tc>
        <w:tc>
          <w:tcPr>
            <w:tcW w:w="689" w:type="pct"/>
            <w:tcBorders>
              <w:top w:val="dotted" w:sz="4" w:space="0" w:color="365F91" w:themeColor="accent1" w:themeShade="BF"/>
              <w:left w:val="dotted" w:sz="4" w:space="0" w:color="365F91" w:themeColor="accent1" w:themeShade="BF"/>
              <w:bottom w:val="dotted" w:sz="4" w:space="0" w:color="365F91" w:themeColor="accent1" w:themeShade="BF"/>
              <w:right w:val="dotted" w:sz="4" w:space="0" w:color="365F91" w:themeColor="accent1" w:themeShade="BF"/>
            </w:tcBorders>
            <w:noWrap/>
          </w:tcPr>
          <w:p w14:paraId="2F7340D2" w14:textId="36037FB2" w:rsidR="0090166B" w:rsidRPr="00A73AA7" w:rsidRDefault="0090166B" w:rsidP="0090166B">
            <w:pPr>
              <w:jc w:val="center"/>
              <w:rPr>
                <w:rFonts w:ascii="Calibri" w:hAnsi="Calibri" w:cs="Calibri"/>
                <w:sz w:val="22"/>
                <w:szCs w:val="22"/>
                <w:lang w:val="sq-AL"/>
              </w:rPr>
            </w:pPr>
            <w:r>
              <w:rPr>
                <w:rFonts w:ascii="Calibri" w:hAnsi="Calibri" w:cs="Calibri"/>
                <w:sz w:val="22"/>
                <w:szCs w:val="22"/>
                <w:lang w:val="sq-AL"/>
              </w:rPr>
              <w:t>4</w:t>
            </w:r>
          </w:p>
        </w:tc>
        <w:tc>
          <w:tcPr>
            <w:tcW w:w="706" w:type="pct"/>
            <w:tcBorders>
              <w:top w:val="dotted" w:sz="4" w:space="0" w:color="365F91" w:themeColor="accent1" w:themeShade="BF"/>
              <w:left w:val="dotted" w:sz="4" w:space="0" w:color="365F91" w:themeColor="accent1" w:themeShade="BF"/>
              <w:bottom w:val="dotted" w:sz="4" w:space="0" w:color="365F91" w:themeColor="accent1" w:themeShade="BF"/>
              <w:right w:val="dotted" w:sz="4" w:space="0" w:color="365F91" w:themeColor="accent1" w:themeShade="BF"/>
            </w:tcBorders>
            <w:noWrap/>
          </w:tcPr>
          <w:p w14:paraId="738A7D72" w14:textId="39D9449B" w:rsidR="0090166B" w:rsidRPr="00A73AA7" w:rsidRDefault="0090166B" w:rsidP="0090166B">
            <w:pPr>
              <w:jc w:val="center"/>
              <w:rPr>
                <w:rFonts w:ascii="Calibri" w:hAnsi="Calibri" w:cs="Calibri"/>
                <w:sz w:val="22"/>
                <w:szCs w:val="22"/>
                <w:lang w:val="sq-AL"/>
              </w:rPr>
            </w:pPr>
            <w:r w:rsidRPr="00A73AA7">
              <w:rPr>
                <w:rFonts w:ascii="Calibri" w:hAnsi="Calibri" w:cs="Calibri"/>
                <w:sz w:val="22"/>
                <w:szCs w:val="22"/>
                <w:lang w:val="sq-AL"/>
              </w:rPr>
              <w:t xml:space="preserve">    </w:t>
            </w:r>
            <w:r>
              <w:rPr>
                <w:rFonts w:ascii="Calibri" w:hAnsi="Calibri" w:cs="Calibri"/>
                <w:sz w:val="22"/>
                <w:szCs w:val="22"/>
                <w:lang w:val="sq-AL"/>
              </w:rPr>
              <w:t>5,705</w:t>
            </w:r>
          </w:p>
        </w:tc>
        <w:tc>
          <w:tcPr>
            <w:tcW w:w="758" w:type="pct"/>
            <w:tcBorders>
              <w:top w:val="nil"/>
              <w:left w:val="nil"/>
              <w:bottom w:val="dotted" w:sz="4" w:space="0" w:color="365F91"/>
              <w:right w:val="single" w:sz="8" w:space="0" w:color="365F91"/>
            </w:tcBorders>
            <w:shd w:val="clear" w:color="auto" w:fill="auto"/>
            <w:noWrap/>
            <w:vAlign w:val="center"/>
          </w:tcPr>
          <w:p w14:paraId="22FB715B" w14:textId="26AEEF2A" w:rsidR="0090166B" w:rsidRPr="00A73AA7" w:rsidRDefault="0090166B" w:rsidP="0090166B">
            <w:pPr>
              <w:jc w:val="center"/>
              <w:rPr>
                <w:rFonts w:ascii="Calibri" w:hAnsi="Calibri" w:cs="Calibri"/>
                <w:sz w:val="22"/>
                <w:szCs w:val="22"/>
                <w:lang w:val="sq-A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0.2%</w:t>
            </w:r>
          </w:p>
        </w:tc>
      </w:tr>
      <w:tr w:rsidR="00180091" w:rsidRPr="00A73AA7" w14:paraId="01F7434A" w14:textId="77777777" w:rsidTr="00B403E6">
        <w:trPr>
          <w:trHeight w:val="269"/>
          <w:jc w:val="center"/>
        </w:trPr>
        <w:tc>
          <w:tcPr>
            <w:tcW w:w="472" w:type="pct"/>
            <w:tcBorders>
              <w:top w:val="dotted" w:sz="4" w:space="0" w:color="365F91" w:themeColor="accent1" w:themeShade="BF"/>
            </w:tcBorders>
            <w:shd w:val="clear" w:color="auto" w:fill="DAEEF3" w:themeFill="accent5" w:themeFillTint="33"/>
            <w:noWrap/>
          </w:tcPr>
          <w:p w14:paraId="48FE2606" w14:textId="77777777" w:rsidR="00180091" w:rsidRPr="00A73AA7" w:rsidRDefault="00180091" w:rsidP="00180091">
            <w:pPr>
              <w:jc w:val="center"/>
              <w:rPr>
                <w:rFonts w:ascii="Calibri" w:hAnsi="Calibri" w:cs="Calibri"/>
                <w:sz w:val="22"/>
                <w:szCs w:val="22"/>
                <w:lang w:val="sq-AL"/>
              </w:rPr>
            </w:pPr>
          </w:p>
        </w:tc>
        <w:tc>
          <w:tcPr>
            <w:tcW w:w="2375" w:type="pct"/>
            <w:tcBorders>
              <w:top w:val="dotted" w:sz="4" w:space="0" w:color="365F91" w:themeColor="accent1" w:themeShade="BF"/>
            </w:tcBorders>
            <w:shd w:val="clear" w:color="auto" w:fill="DAEEF3" w:themeFill="accent5" w:themeFillTint="33"/>
            <w:noWrap/>
          </w:tcPr>
          <w:p w14:paraId="59058494" w14:textId="77777777" w:rsidR="00180091" w:rsidRPr="00A73AA7" w:rsidRDefault="00180091" w:rsidP="00180091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sq-AL"/>
              </w:rPr>
            </w:pPr>
            <w:r w:rsidRPr="00A73AA7">
              <w:rPr>
                <w:rFonts w:ascii="Calibri" w:hAnsi="Calibri" w:cs="Calibri"/>
                <w:b/>
                <w:sz w:val="22"/>
                <w:szCs w:val="22"/>
                <w:lang w:val="sq-AL"/>
              </w:rPr>
              <w:t>TOTALI</w:t>
            </w:r>
          </w:p>
        </w:tc>
        <w:tc>
          <w:tcPr>
            <w:tcW w:w="689" w:type="pct"/>
            <w:tcBorders>
              <w:top w:val="dotted" w:sz="4" w:space="0" w:color="365F91" w:themeColor="accent1" w:themeShade="BF"/>
            </w:tcBorders>
            <w:shd w:val="clear" w:color="auto" w:fill="DAEEF3" w:themeFill="accent5" w:themeFillTint="33"/>
            <w:noWrap/>
          </w:tcPr>
          <w:p w14:paraId="43BBF7C9" w14:textId="56B7011C" w:rsidR="00180091" w:rsidRPr="00A73AA7" w:rsidRDefault="00180091" w:rsidP="00180091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sq-AL"/>
              </w:rPr>
            </w:pPr>
          </w:p>
        </w:tc>
        <w:tc>
          <w:tcPr>
            <w:tcW w:w="706" w:type="pct"/>
            <w:tcBorders>
              <w:top w:val="dotted" w:sz="4" w:space="0" w:color="365F91" w:themeColor="accent1" w:themeShade="BF"/>
            </w:tcBorders>
            <w:shd w:val="clear" w:color="auto" w:fill="DAEEF3" w:themeFill="accent5" w:themeFillTint="33"/>
            <w:noWrap/>
          </w:tcPr>
          <w:p w14:paraId="1D1DA194" w14:textId="63D33365" w:rsidR="00180091" w:rsidRPr="00A73AA7" w:rsidRDefault="00FA6919" w:rsidP="00180091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sq-AL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q-AL"/>
              </w:rPr>
              <w:t>2 430 298</w:t>
            </w:r>
          </w:p>
        </w:tc>
        <w:tc>
          <w:tcPr>
            <w:tcW w:w="758" w:type="pct"/>
            <w:tcBorders>
              <w:top w:val="dotted" w:sz="4" w:space="0" w:color="365F91" w:themeColor="accent1" w:themeShade="BF"/>
            </w:tcBorders>
            <w:shd w:val="clear" w:color="auto" w:fill="DAEEF3" w:themeFill="accent5" w:themeFillTint="33"/>
            <w:noWrap/>
          </w:tcPr>
          <w:p w14:paraId="14CC7027" w14:textId="77777777" w:rsidR="00180091" w:rsidRPr="00A73AA7" w:rsidRDefault="00180091" w:rsidP="00180091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sq-AL"/>
              </w:rPr>
            </w:pPr>
            <w:r w:rsidRPr="00A73AA7">
              <w:rPr>
                <w:rFonts w:ascii="Calibri" w:hAnsi="Calibri" w:cs="Calibri"/>
                <w:b/>
                <w:sz w:val="22"/>
                <w:szCs w:val="22"/>
                <w:lang w:val="sq-AL"/>
              </w:rPr>
              <w:t>100%</w:t>
            </w:r>
          </w:p>
        </w:tc>
      </w:tr>
    </w:tbl>
    <w:p w14:paraId="05DD2D6D" w14:textId="61CD5D2B" w:rsidR="003A5872" w:rsidRDefault="00C76185" w:rsidP="008C7C6A">
      <w:pPr>
        <w:spacing w:line="360" w:lineRule="auto"/>
        <w:rPr>
          <w:rFonts w:ascii="Calibri" w:hAnsi="Calibri" w:cs="Calibri"/>
          <w:i/>
          <w:noProof/>
          <w:sz w:val="22"/>
          <w:szCs w:val="22"/>
          <w:lang w:val="sq-AL"/>
        </w:rPr>
      </w:pPr>
      <w:r>
        <w:rPr>
          <w:rFonts w:ascii="Calibri" w:hAnsi="Calibri" w:cs="Calibri"/>
          <w:i/>
          <w:noProof/>
          <w:sz w:val="22"/>
          <w:szCs w:val="22"/>
          <w:lang w:val="sq-AL"/>
        </w:rPr>
        <w:t xml:space="preserve">    </w:t>
      </w:r>
      <w:r w:rsidR="003A5872" w:rsidRPr="00A73AA7">
        <w:rPr>
          <w:rFonts w:ascii="Calibri" w:hAnsi="Calibri" w:cs="Calibri"/>
          <w:i/>
          <w:noProof/>
          <w:sz w:val="22"/>
          <w:szCs w:val="22"/>
          <w:lang w:val="sq-AL"/>
        </w:rPr>
        <w:t>Burimi: Ministria e Financave (20</w:t>
      </w:r>
      <w:r w:rsidR="00B328F5" w:rsidRPr="00A73AA7">
        <w:rPr>
          <w:rFonts w:ascii="Calibri" w:hAnsi="Calibri" w:cs="Calibri"/>
          <w:i/>
          <w:noProof/>
          <w:sz w:val="22"/>
          <w:szCs w:val="22"/>
          <w:lang w:val="sq-AL"/>
        </w:rPr>
        <w:t>2</w:t>
      </w:r>
      <w:r w:rsidR="00863F58" w:rsidRPr="00A73AA7">
        <w:rPr>
          <w:rFonts w:ascii="Calibri" w:hAnsi="Calibri" w:cs="Calibri"/>
          <w:i/>
          <w:noProof/>
          <w:sz w:val="22"/>
          <w:szCs w:val="22"/>
          <w:lang w:val="sq-AL"/>
        </w:rPr>
        <w:t>5</w:t>
      </w:r>
      <w:r w:rsidR="003A5872" w:rsidRPr="00A73AA7">
        <w:rPr>
          <w:rFonts w:ascii="Calibri" w:hAnsi="Calibri" w:cs="Calibri"/>
          <w:i/>
          <w:noProof/>
          <w:sz w:val="22"/>
          <w:szCs w:val="22"/>
          <w:lang w:val="sq-AL"/>
        </w:rPr>
        <w:t>)</w:t>
      </w:r>
      <w:r w:rsidR="003A5872" w:rsidRPr="00A73AA7">
        <w:rPr>
          <w:rFonts w:ascii="Calibri" w:hAnsi="Calibri" w:cs="Calibri"/>
          <w:i/>
          <w:noProof/>
          <w:sz w:val="22"/>
          <w:szCs w:val="22"/>
          <w:lang w:val="sq-AL"/>
        </w:rPr>
        <w:tab/>
      </w:r>
    </w:p>
    <w:p w14:paraId="3C015980" w14:textId="4CAE32ED" w:rsidR="0010787D" w:rsidRPr="00A73AA7" w:rsidRDefault="0010787D" w:rsidP="002549C7">
      <w:pPr>
        <w:spacing w:line="276" w:lineRule="auto"/>
        <w:jc w:val="both"/>
        <w:rPr>
          <w:rFonts w:ascii="Calibri" w:hAnsi="Calibri" w:cs="Calibri"/>
          <w:bCs/>
          <w:iCs/>
          <w:sz w:val="22"/>
          <w:szCs w:val="22"/>
          <w:lang w:val="sq-AL"/>
        </w:rPr>
      </w:pPr>
      <w:r w:rsidRPr="00A73AA7">
        <w:rPr>
          <w:rFonts w:ascii="Calibri" w:hAnsi="Calibri" w:cs="Calibri"/>
          <w:bCs/>
          <w:iCs/>
          <w:sz w:val="22"/>
          <w:szCs w:val="22"/>
          <w:lang w:val="sq-AL"/>
        </w:rPr>
        <w:t>N</w:t>
      </w:r>
      <w:r w:rsidR="00410EEB" w:rsidRPr="00A73AA7">
        <w:rPr>
          <w:rFonts w:ascii="Calibri" w:hAnsi="Calibri" w:cs="Calibri"/>
          <w:bCs/>
          <w:iCs/>
          <w:sz w:val="22"/>
          <w:szCs w:val="22"/>
          <w:lang w:val="sq-AL"/>
        </w:rPr>
        <w:t>ë</w:t>
      </w:r>
      <w:r w:rsidRPr="00A73AA7">
        <w:rPr>
          <w:rFonts w:ascii="Calibri" w:hAnsi="Calibri" w:cs="Calibri"/>
          <w:bCs/>
          <w:iCs/>
          <w:sz w:val="22"/>
          <w:szCs w:val="22"/>
          <w:lang w:val="sq-AL"/>
        </w:rPr>
        <w:t xml:space="preserve"> m</w:t>
      </w:r>
      <w:r w:rsidR="00410EEB" w:rsidRPr="00A73AA7">
        <w:rPr>
          <w:rFonts w:ascii="Calibri" w:hAnsi="Calibri" w:cs="Calibri"/>
          <w:bCs/>
          <w:iCs/>
          <w:sz w:val="22"/>
          <w:szCs w:val="22"/>
          <w:lang w:val="sq-AL"/>
        </w:rPr>
        <w:t>ë</w:t>
      </w:r>
      <w:r w:rsidRPr="00A73AA7">
        <w:rPr>
          <w:rFonts w:ascii="Calibri" w:hAnsi="Calibri" w:cs="Calibri"/>
          <w:bCs/>
          <w:iCs/>
          <w:sz w:val="22"/>
          <w:szCs w:val="22"/>
          <w:lang w:val="sq-AL"/>
        </w:rPr>
        <w:t>nyr</w:t>
      </w:r>
      <w:r w:rsidR="004C70C3" w:rsidRPr="00A73AA7">
        <w:rPr>
          <w:rFonts w:ascii="Calibri" w:hAnsi="Calibri" w:cs="Calibri"/>
          <w:bCs/>
          <w:iCs/>
          <w:sz w:val="22"/>
          <w:szCs w:val="22"/>
          <w:lang w:val="sq-AL"/>
        </w:rPr>
        <w:t>ë</w:t>
      </w:r>
      <w:r w:rsidRPr="00A73AA7">
        <w:rPr>
          <w:rFonts w:ascii="Calibri" w:hAnsi="Calibri" w:cs="Calibri"/>
          <w:bCs/>
          <w:iCs/>
          <w:sz w:val="22"/>
          <w:szCs w:val="22"/>
          <w:lang w:val="sq-AL"/>
        </w:rPr>
        <w:t xml:space="preserve"> analitike rezulton se:</w:t>
      </w:r>
    </w:p>
    <w:p w14:paraId="66AE04E7" w14:textId="5180DD56" w:rsidR="005F0A5D" w:rsidRPr="00A73AA7" w:rsidRDefault="00863F58" w:rsidP="00C76185">
      <w:pPr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i/>
          <w:iCs/>
          <w:sz w:val="22"/>
          <w:szCs w:val="22"/>
          <w:lang w:val="sq-AL"/>
        </w:rPr>
      </w:pPr>
      <w:r w:rsidRPr="00A73AA7">
        <w:rPr>
          <w:rFonts w:ascii="Calibri" w:hAnsi="Calibri" w:cs="Calibri"/>
          <w:iCs/>
          <w:sz w:val="22"/>
          <w:szCs w:val="22"/>
          <w:lang w:val="sq-AL"/>
        </w:rPr>
        <w:t>927.2</w:t>
      </w:r>
      <w:r w:rsidR="0068624F" w:rsidRPr="00A73AA7">
        <w:rPr>
          <w:rFonts w:ascii="Calibri" w:hAnsi="Calibri" w:cs="Calibri"/>
          <w:iCs/>
          <w:sz w:val="22"/>
          <w:szCs w:val="22"/>
          <w:lang w:val="sq-AL"/>
        </w:rPr>
        <w:t xml:space="preserve"> milionë lekë janë akorduar për </w:t>
      </w:r>
      <w:r w:rsidR="00AE514A" w:rsidRPr="00A73AA7">
        <w:rPr>
          <w:rFonts w:ascii="Calibri" w:hAnsi="Calibri" w:cs="Calibri"/>
          <w:iCs/>
          <w:sz w:val="22"/>
          <w:szCs w:val="22"/>
          <w:lang w:val="sq-AL"/>
        </w:rPr>
        <w:t>Komisionin Qendror t</w:t>
      </w:r>
      <w:r w:rsidR="005B33EC" w:rsidRPr="00A73AA7">
        <w:rPr>
          <w:rFonts w:ascii="Calibri" w:hAnsi="Calibri" w:cs="Calibri"/>
          <w:iCs/>
          <w:sz w:val="22"/>
          <w:szCs w:val="22"/>
          <w:lang w:val="sq-AL"/>
        </w:rPr>
        <w:t>ë</w:t>
      </w:r>
      <w:r w:rsidR="00AE514A" w:rsidRPr="00A73AA7">
        <w:rPr>
          <w:rFonts w:ascii="Calibri" w:hAnsi="Calibri" w:cs="Calibri"/>
          <w:iCs/>
          <w:sz w:val="22"/>
          <w:szCs w:val="22"/>
          <w:lang w:val="sq-AL"/>
        </w:rPr>
        <w:t xml:space="preserve"> Zgjedhjeve </w:t>
      </w:r>
      <w:r w:rsidR="0068624F" w:rsidRPr="00A73AA7">
        <w:rPr>
          <w:rFonts w:ascii="Calibri" w:hAnsi="Calibri" w:cs="Calibri"/>
          <w:iCs/>
          <w:sz w:val="22"/>
          <w:szCs w:val="22"/>
          <w:lang w:val="sq-AL"/>
        </w:rPr>
        <w:t>nëpërmjet VKM</w:t>
      </w:r>
      <w:r w:rsidR="00AE514A" w:rsidRPr="00A73AA7">
        <w:rPr>
          <w:rFonts w:ascii="Calibri" w:hAnsi="Calibri" w:cs="Calibri"/>
          <w:iCs/>
          <w:sz w:val="22"/>
          <w:szCs w:val="22"/>
          <w:lang w:val="sq-AL"/>
        </w:rPr>
        <w:t xml:space="preserve"> nr.</w:t>
      </w:r>
      <w:r w:rsidR="005F0A5D" w:rsidRPr="00A73AA7">
        <w:rPr>
          <w:rFonts w:ascii="Calibri" w:hAnsi="Calibri" w:cs="Calibri"/>
          <w:iCs/>
          <w:sz w:val="22"/>
          <w:szCs w:val="22"/>
          <w:lang w:val="sq-AL"/>
        </w:rPr>
        <w:t>152</w:t>
      </w:r>
      <w:r w:rsidR="00AE514A" w:rsidRPr="00A73AA7">
        <w:rPr>
          <w:rFonts w:ascii="Calibri" w:hAnsi="Calibri" w:cs="Calibri"/>
          <w:iCs/>
          <w:sz w:val="22"/>
          <w:szCs w:val="22"/>
          <w:lang w:val="sq-AL"/>
        </w:rPr>
        <w:t xml:space="preserve"> dat</w:t>
      </w:r>
      <w:r w:rsidR="00B8083D" w:rsidRPr="00A73AA7">
        <w:rPr>
          <w:rFonts w:ascii="Calibri" w:hAnsi="Calibri" w:cs="Calibri"/>
          <w:iCs/>
          <w:sz w:val="22"/>
          <w:szCs w:val="22"/>
          <w:lang w:val="sq-AL"/>
        </w:rPr>
        <w:t>ë</w:t>
      </w:r>
      <w:r w:rsidR="00AE514A" w:rsidRPr="00A73AA7">
        <w:rPr>
          <w:rFonts w:ascii="Calibri" w:hAnsi="Calibri" w:cs="Calibri"/>
          <w:iCs/>
          <w:sz w:val="22"/>
          <w:szCs w:val="22"/>
          <w:lang w:val="sq-AL"/>
        </w:rPr>
        <w:t xml:space="preserve"> </w:t>
      </w:r>
      <w:r w:rsidR="005F0A5D" w:rsidRPr="00A73AA7">
        <w:rPr>
          <w:rFonts w:ascii="Calibri" w:hAnsi="Calibri" w:cs="Calibri"/>
          <w:iCs/>
          <w:sz w:val="22"/>
          <w:szCs w:val="22"/>
          <w:lang w:val="sq-AL"/>
        </w:rPr>
        <w:t>06.03.2025</w:t>
      </w:r>
      <w:r w:rsidR="00AE514A" w:rsidRPr="00A73AA7">
        <w:rPr>
          <w:rFonts w:ascii="Calibri" w:hAnsi="Calibri" w:cs="Calibri"/>
          <w:iCs/>
          <w:sz w:val="22"/>
          <w:szCs w:val="22"/>
          <w:lang w:val="sq-AL"/>
        </w:rPr>
        <w:t xml:space="preserve"> </w:t>
      </w:r>
      <w:r w:rsidR="005F0A5D" w:rsidRPr="00A73AA7">
        <w:rPr>
          <w:rFonts w:ascii="Calibri" w:hAnsi="Calibri" w:cs="Calibri"/>
          <w:iCs/>
          <w:sz w:val="22"/>
          <w:szCs w:val="22"/>
          <w:lang w:val="sq-AL"/>
        </w:rPr>
        <w:t>"</w:t>
      </w:r>
      <w:r w:rsidR="005F0A5D" w:rsidRPr="00A73AA7">
        <w:rPr>
          <w:rFonts w:ascii="Calibri" w:hAnsi="Calibri" w:cs="Calibri"/>
          <w:i/>
          <w:sz w:val="22"/>
          <w:szCs w:val="22"/>
          <w:lang w:val="sq-AL"/>
        </w:rPr>
        <w:t>Për një shtesë fondi në buxhetin e vitit 2025, miratuar për KQZ, për organizimin e zgjedhjeve për Kuvend të datës 11 Maj 2025</w:t>
      </w:r>
      <w:r w:rsidR="005F0A5D" w:rsidRPr="00A73AA7">
        <w:rPr>
          <w:rFonts w:ascii="Calibri" w:hAnsi="Calibri" w:cs="Calibri"/>
          <w:iCs/>
          <w:sz w:val="22"/>
          <w:szCs w:val="22"/>
          <w:lang w:val="sq-AL"/>
        </w:rPr>
        <w:t>".</w:t>
      </w:r>
    </w:p>
    <w:p w14:paraId="7D7AA64C" w14:textId="487814B1" w:rsidR="005F0A5D" w:rsidRPr="00A73AA7" w:rsidRDefault="005F0A5D" w:rsidP="00C76185">
      <w:pPr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i/>
          <w:sz w:val="22"/>
          <w:szCs w:val="22"/>
          <w:lang w:val="sq-AL"/>
        </w:rPr>
      </w:pPr>
      <w:r w:rsidRPr="00A73AA7">
        <w:rPr>
          <w:rFonts w:ascii="Calibri" w:hAnsi="Calibri" w:cs="Calibri"/>
          <w:iCs/>
          <w:sz w:val="22"/>
          <w:szCs w:val="22"/>
          <w:lang w:val="sq-AL"/>
        </w:rPr>
        <w:t>400</w:t>
      </w:r>
      <w:r w:rsidR="00BB42CC" w:rsidRPr="00A73AA7">
        <w:rPr>
          <w:rFonts w:ascii="Calibri" w:hAnsi="Calibri" w:cs="Calibri"/>
          <w:iCs/>
          <w:sz w:val="22"/>
          <w:szCs w:val="22"/>
          <w:lang w:val="sq-AL"/>
        </w:rPr>
        <w:t xml:space="preserve"> milion</w:t>
      </w:r>
      <w:r w:rsidR="005B33EC" w:rsidRPr="00A73AA7">
        <w:rPr>
          <w:rFonts w:ascii="Calibri" w:hAnsi="Calibri" w:cs="Calibri"/>
          <w:iCs/>
          <w:sz w:val="22"/>
          <w:szCs w:val="22"/>
          <w:lang w:val="sq-AL"/>
        </w:rPr>
        <w:t>ë</w:t>
      </w:r>
      <w:r w:rsidR="00BB42CC" w:rsidRPr="00A73AA7">
        <w:rPr>
          <w:rFonts w:ascii="Calibri" w:hAnsi="Calibri" w:cs="Calibri"/>
          <w:iCs/>
          <w:sz w:val="22"/>
          <w:szCs w:val="22"/>
          <w:lang w:val="sq-AL"/>
        </w:rPr>
        <w:t xml:space="preserve"> lek</w:t>
      </w:r>
      <w:r w:rsidR="005B33EC" w:rsidRPr="00A73AA7">
        <w:rPr>
          <w:rFonts w:ascii="Calibri" w:hAnsi="Calibri" w:cs="Calibri"/>
          <w:iCs/>
          <w:sz w:val="22"/>
          <w:szCs w:val="22"/>
          <w:lang w:val="sq-AL"/>
        </w:rPr>
        <w:t>ë</w:t>
      </w:r>
      <w:r w:rsidR="00BB42CC" w:rsidRPr="00A73AA7">
        <w:rPr>
          <w:rFonts w:ascii="Calibri" w:hAnsi="Calibri" w:cs="Calibri"/>
          <w:iCs/>
          <w:sz w:val="22"/>
          <w:szCs w:val="22"/>
          <w:lang w:val="sq-AL"/>
        </w:rPr>
        <w:t xml:space="preserve"> p</w:t>
      </w:r>
      <w:r w:rsidR="005B33EC" w:rsidRPr="00A73AA7">
        <w:rPr>
          <w:rFonts w:ascii="Calibri" w:hAnsi="Calibri" w:cs="Calibri"/>
          <w:iCs/>
          <w:sz w:val="22"/>
          <w:szCs w:val="22"/>
          <w:lang w:val="sq-AL"/>
        </w:rPr>
        <w:t>ë</w:t>
      </w:r>
      <w:r w:rsidR="00BB42CC" w:rsidRPr="00A73AA7">
        <w:rPr>
          <w:rFonts w:ascii="Calibri" w:hAnsi="Calibri" w:cs="Calibri"/>
          <w:iCs/>
          <w:sz w:val="22"/>
          <w:szCs w:val="22"/>
          <w:lang w:val="sq-AL"/>
        </w:rPr>
        <w:t>r M</w:t>
      </w:r>
      <w:r w:rsidRPr="00A73AA7">
        <w:rPr>
          <w:rFonts w:ascii="Calibri" w:hAnsi="Calibri" w:cs="Calibri"/>
          <w:iCs/>
          <w:sz w:val="22"/>
          <w:szCs w:val="22"/>
          <w:lang w:val="sq-AL"/>
        </w:rPr>
        <w:t>AS</w:t>
      </w:r>
      <w:r w:rsidR="00BB42CC" w:rsidRPr="00A73AA7">
        <w:rPr>
          <w:rFonts w:ascii="Calibri" w:hAnsi="Calibri" w:cs="Calibri"/>
          <w:iCs/>
          <w:sz w:val="22"/>
          <w:szCs w:val="22"/>
          <w:lang w:val="sq-AL"/>
        </w:rPr>
        <w:t xml:space="preserve"> me VKM nr.</w:t>
      </w:r>
      <w:r w:rsidRPr="00A73AA7">
        <w:rPr>
          <w:rFonts w:ascii="Calibri" w:hAnsi="Calibri" w:cs="Calibri"/>
          <w:iCs/>
          <w:sz w:val="22"/>
          <w:szCs w:val="22"/>
          <w:lang w:val="sq-AL"/>
        </w:rPr>
        <w:t>147</w:t>
      </w:r>
      <w:r w:rsidR="00BB42CC" w:rsidRPr="00A73AA7">
        <w:rPr>
          <w:rFonts w:ascii="Calibri" w:hAnsi="Calibri" w:cs="Calibri"/>
          <w:iCs/>
          <w:sz w:val="22"/>
          <w:szCs w:val="22"/>
          <w:lang w:val="sq-AL"/>
        </w:rPr>
        <w:t xml:space="preserve"> dat</w:t>
      </w:r>
      <w:r w:rsidR="00B8083D" w:rsidRPr="00A73AA7">
        <w:rPr>
          <w:rFonts w:ascii="Calibri" w:hAnsi="Calibri" w:cs="Calibri"/>
          <w:iCs/>
          <w:sz w:val="22"/>
          <w:szCs w:val="22"/>
          <w:lang w:val="sq-AL"/>
        </w:rPr>
        <w:t>ë</w:t>
      </w:r>
      <w:r w:rsidR="00BB42CC" w:rsidRPr="00A73AA7">
        <w:rPr>
          <w:rFonts w:ascii="Calibri" w:hAnsi="Calibri" w:cs="Calibri"/>
          <w:iCs/>
          <w:sz w:val="22"/>
          <w:szCs w:val="22"/>
          <w:lang w:val="sq-AL"/>
        </w:rPr>
        <w:t xml:space="preserve"> </w:t>
      </w:r>
      <w:r w:rsidRPr="00A73AA7">
        <w:rPr>
          <w:rFonts w:ascii="Calibri" w:hAnsi="Calibri" w:cs="Calibri"/>
          <w:iCs/>
          <w:sz w:val="22"/>
          <w:szCs w:val="22"/>
          <w:lang w:val="sq-AL"/>
        </w:rPr>
        <w:t>06.03</w:t>
      </w:r>
      <w:r w:rsidR="00BB42CC" w:rsidRPr="00A73AA7">
        <w:rPr>
          <w:rFonts w:ascii="Calibri" w:hAnsi="Calibri" w:cs="Calibri"/>
          <w:iCs/>
          <w:sz w:val="22"/>
          <w:szCs w:val="22"/>
          <w:lang w:val="sq-AL"/>
        </w:rPr>
        <w:t>.202</w:t>
      </w:r>
      <w:r w:rsidRPr="00A73AA7">
        <w:rPr>
          <w:rFonts w:ascii="Calibri" w:hAnsi="Calibri" w:cs="Calibri"/>
          <w:iCs/>
          <w:sz w:val="22"/>
          <w:szCs w:val="22"/>
          <w:lang w:val="sq-AL"/>
        </w:rPr>
        <w:t>5</w:t>
      </w:r>
      <w:r w:rsidR="00BB42CC" w:rsidRPr="00A73AA7">
        <w:rPr>
          <w:rFonts w:ascii="Calibri" w:hAnsi="Calibri" w:cs="Calibri"/>
          <w:iCs/>
          <w:sz w:val="22"/>
          <w:szCs w:val="22"/>
          <w:lang w:val="sq-AL"/>
        </w:rPr>
        <w:t xml:space="preserve"> </w:t>
      </w:r>
      <w:r w:rsidRPr="00A73AA7">
        <w:rPr>
          <w:rFonts w:ascii="Calibri" w:hAnsi="Calibri" w:cs="Calibri"/>
          <w:iCs/>
          <w:sz w:val="22"/>
          <w:szCs w:val="22"/>
          <w:lang w:val="sq-AL"/>
        </w:rPr>
        <w:t>"</w:t>
      </w:r>
      <w:r w:rsidRPr="00A73AA7">
        <w:rPr>
          <w:rFonts w:ascii="Calibri" w:hAnsi="Calibri" w:cs="Calibri"/>
          <w:i/>
          <w:sz w:val="22"/>
          <w:szCs w:val="22"/>
          <w:lang w:val="sq-AL"/>
        </w:rPr>
        <w:t>Për një shtesë fondi në Buxhetin e vitit 2025, miratuar për MAS, për financimin e këstit të dytë të kontratës për realizimin e tri tureve të para të 'Giro D'Italia 2025" në RSH"</w:t>
      </w:r>
      <w:r w:rsidR="00273493" w:rsidRPr="00A73AA7">
        <w:rPr>
          <w:rFonts w:ascii="Calibri" w:hAnsi="Calibri" w:cs="Calibri"/>
          <w:i/>
          <w:sz w:val="22"/>
          <w:szCs w:val="22"/>
          <w:lang w:val="sq-AL"/>
        </w:rPr>
        <w:t>.</w:t>
      </w:r>
    </w:p>
    <w:p w14:paraId="174B75FB" w14:textId="628914FF" w:rsidR="00180091" w:rsidRPr="00A73AA7" w:rsidRDefault="005F0A5D" w:rsidP="002549C7">
      <w:pPr>
        <w:numPr>
          <w:ilvl w:val="0"/>
          <w:numId w:val="24"/>
        </w:numPr>
        <w:spacing w:line="276" w:lineRule="auto"/>
        <w:jc w:val="both"/>
        <w:rPr>
          <w:rFonts w:ascii="Calibri" w:hAnsi="Calibri" w:cs="Calibri"/>
          <w:i/>
          <w:iCs/>
          <w:sz w:val="22"/>
          <w:szCs w:val="22"/>
          <w:lang w:val="sq-AL"/>
        </w:rPr>
      </w:pPr>
      <w:r w:rsidRPr="00A73AA7">
        <w:rPr>
          <w:rFonts w:ascii="Calibri" w:hAnsi="Calibri" w:cs="Calibri"/>
          <w:iCs/>
          <w:sz w:val="22"/>
          <w:szCs w:val="22"/>
          <w:lang w:val="sq-AL"/>
        </w:rPr>
        <w:t>3</w:t>
      </w:r>
      <w:r w:rsidR="0055288E" w:rsidRPr="00A73AA7">
        <w:rPr>
          <w:rFonts w:ascii="Calibri" w:hAnsi="Calibri" w:cs="Calibri"/>
          <w:iCs/>
          <w:sz w:val="22"/>
          <w:szCs w:val="22"/>
          <w:lang w:val="sq-AL"/>
        </w:rPr>
        <w:t>91.7</w:t>
      </w:r>
      <w:r w:rsidR="001D23F7" w:rsidRPr="00A73AA7">
        <w:rPr>
          <w:rFonts w:ascii="Calibri" w:hAnsi="Calibri" w:cs="Calibri"/>
          <w:iCs/>
          <w:sz w:val="22"/>
          <w:szCs w:val="22"/>
          <w:lang w:val="sq-AL"/>
        </w:rPr>
        <w:t xml:space="preserve"> milion</w:t>
      </w:r>
      <w:r w:rsidR="00FD1643" w:rsidRPr="00A73AA7">
        <w:rPr>
          <w:rFonts w:ascii="Calibri" w:hAnsi="Calibri" w:cs="Calibri"/>
          <w:iCs/>
          <w:sz w:val="22"/>
          <w:szCs w:val="22"/>
          <w:lang w:val="sq-AL"/>
        </w:rPr>
        <w:t>ë</w:t>
      </w:r>
      <w:r w:rsidR="001D23F7" w:rsidRPr="00A73AA7">
        <w:rPr>
          <w:rFonts w:ascii="Calibri" w:hAnsi="Calibri" w:cs="Calibri"/>
          <w:iCs/>
          <w:sz w:val="22"/>
          <w:szCs w:val="22"/>
          <w:lang w:val="sq-AL"/>
        </w:rPr>
        <w:t xml:space="preserve"> lek</w:t>
      </w:r>
      <w:r w:rsidR="00FD1643" w:rsidRPr="00A73AA7">
        <w:rPr>
          <w:rFonts w:ascii="Calibri" w:hAnsi="Calibri" w:cs="Calibri"/>
          <w:iCs/>
          <w:sz w:val="22"/>
          <w:szCs w:val="22"/>
          <w:lang w:val="sq-AL"/>
        </w:rPr>
        <w:t>ë</w:t>
      </w:r>
      <w:r w:rsidR="001D23F7" w:rsidRPr="00A73AA7">
        <w:rPr>
          <w:rFonts w:ascii="Calibri" w:hAnsi="Calibri" w:cs="Calibri"/>
          <w:iCs/>
          <w:sz w:val="22"/>
          <w:szCs w:val="22"/>
          <w:lang w:val="sq-AL"/>
        </w:rPr>
        <w:t xml:space="preserve"> jan</w:t>
      </w:r>
      <w:r w:rsidR="00FD1643" w:rsidRPr="00A73AA7">
        <w:rPr>
          <w:rFonts w:ascii="Calibri" w:hAnsi="Calibri" w:cs="Calibri"/>
          <w:iCs/>
          <w:sz w:val="22"/>
          <w:szCs w:val="22"/>
          <w:lang w:val="sq-AL"/>
        </w:rPr>
        <w:t>ë</w:t>
      </w:r>
      <w:r w:rsidR="001D23F7" w:rsidRPr="00A73AA7">
        <w:rPr>
          <w:rFonts w:ascii="Calibri" w:hAnsi="Calibri" w:cs="Calibri"/>
          <w:iCs/>
          <w:sz w:val="22"/>
          <w:szCs w:val="22"/>
          <w:lang w:val="sq-AL"/>
        </w:rPr>
        <w:t xml:space="preserve"> akorduar </w:t>
      </w:r>
      <w:r w:rsidR="005D7B37" w:rsidRPr="00A73AA7">
        <w:rPr>
          <w:rFonts w:ascii="Calibri" w:hAnsi="Calibri" w:cs="Calibri"/>
          <w:iCs/>
          <w:sz w:val="22"/>
          <w:szCs w:val="22"/>
          <w:lang w:val="sq-AL"/>
        </w:rPr>
        <w:t>p</w:t>
      </w:r>
      <w:r w:rsidR="00FD1643" w:rsidRPr="00A73AA7">
        <w:rPr>
          <w:rFonts w:ascii="Calibri" w:hAnsi="Calibri" w:cs="Calibri"/>
          <w:iCs/>
          <w:sz w:val="22"/>
          <w:szCs w:val="22"/>
          <w:lang w:val="sq-AL"/>
        </w:rPr>
        <w:t>ë</w:t>
      </w:r>
      <w:r w:rsidR="005D7B37" w:rsidRPr="00A73AA7">
        <w:rPr>
          <w:rFonts w:ascii="Calibri" w:hAnsi="Calibri" w:cs="Calibri"/>
          <w:iCs/>
          <w:sz w:val="22"/>
          <w:szCs w:val="22"/>
          <w:lang w:val="sq-AL"/>
        </w:rPr>
        <w:t xml:space="preserve">r </w:t>
      </w:r>
      <w:r w:rsidR="00BB42CC" w:rsidRPr="00A73AA7">
        <w:rPr>
          <w:rFonts w:ascii="Calibri" w:hAnsi="Calibri" w:cs="Calibri"/>
          <w:iCs/>
          <w:sz w:val="22"/>
          <w:szCs w:val="22"/>
          <w:lang w:val="sq-AL"/>
        </w:rPr>
        <w:t xml:space="preserve">“Institucionet e tjera Qeveritare”, </w:t>
      </w:r>
      <w:r w:rsidR="00287835">
        <w:rPr>
          <w:rFonts w:ascii="Calibri" w:hAnsi="Calibri" w:cs="Calibri"/>
          <w:iCs/>
          <w:sz w:val="22"/>
          <w:szCs w:val="22"/>
          <w:lang w:val="sq-AL"/>
        </w:rPr>
        <w:t>e konkretisht</w:t>
      </w:r>
      <w:r w:rsidR="00180091" w:rsidRPr="00A73AA7">
        <w:rPr>
          <w:rFonts w:ascii="Calibri" w:hAnsi="Calibri" w:cs="Calibri"/>
          <w:iCs/>
          <w:sz w:val="22"/>
          <w:szCs w:val="22"/>
          <w:lang w:val="sq-AL"/>
        </w:rPr>
        <w:t>:</w:t>
      </w:r>
    </w:p>
    <w:p w14:paraId="138CBCE1" w14:textId="3454F1C2" w:rsidR="00180091" w:rsidRPr="008B4C07" w:rsidRDefault="00180091" w:rsidP="00287835">
      <w:pPr>
        <w:pStyle w:val="ListParagraph"/>
        <w:numPr>
          <w:ilvl w:val="0"/>
          <w:numId w:val="29"/>
        </w:numPr>
        <w:spacing w:line="276" w:lineRule="auto"/>
        <w:rPr>
          <w:rFonts w:cs="Calibri"/>
          <w:i/>
          <w:szCs w:val="22"/>
          <w:lang w:val="sq-AL"/>
        </w:rPr>
      </w:pPr>
      <w:r w:rsidRPr="008B4C07">
        <w:rPr>
          <w:rFonts w:cs="Calibri"/>
          <w:i/>
          <w:szCs w:val="22"/>
          <w:lang w:val="sq-AL"/>
        </w:rPr>
        <w:t>360 milion lek</w:t>
      </w:r>
      <w:r w:rsidR="006B729A" w:rsidRPr="008B4C07">
        <w:rPr>
          <w:rFonts w:cs="Calibri"/>
          <w:i/>
          <w:szCs w:val="22"/>
          <w:lang w:val="sq-AL"/>
        </w:rPr>
        <w:t>ë</w:t>
      </w:r>
      <w:r w:rsidRPr="008B4C07">
        <w:rPr>
          <w:rFonts w:cs="Calibri"/>
          <w:i/>
          <w:szCs w:val="22"/>
          <w:lang w:val="sq-AL"/>
        </w:rPr>
        <w:t xml:space="preserve"> me VKM nr.</w:t>
      </w:r>
      <w:r w:rsidR="005F0A5D" w:rsidRPr="008B4C07">
        <w:rPr>
          <w:rFonts w:cs="Calibri"/>
          <w:i/>
          <w:szCs w:val="22"/>
          <w:lang w:val="sq-AL"/>
        </w:rPr>
        <w:t>200</w:t>
      </w:r>
      <w:r w:rsidR="00BB42CC" w:rsidRPr="008B4C07">
        <w:rPr>
          <w:rFonts w:cs="Calibri"/>
          <w:i/>
          <w:szCs w:val="22"/>
          <w:lang w:val="sq-AL"/>
        </w:rPr>
        <w:t xml:space="preserve"> d</w:t>
      </w:r>
      <w:r w:rsidR="00745CBB" w:rsidRPr="008B4C07">
        <w:rPr>
          <w:rFonts w:cs="Calibri"/>
          <w:i/>
          <w:szCs w:val="22"/>
          <w:lang w:val="sq-AL"/>
        </w:rPr>
        <w:t>a</w:t>
      </w:r>
      <w:r w:rsidR="00BB42CC" w:rsidRPr="008B4C07">
        <w:rPr>
          <w:rFonts w:cs="Calibri"/>
          <w:i/>
          <w:szCs w:val="22"/>
          <w:lang w:val="sq-AL"/>
        </w:rPr>
        <w:t>t</w:t>
      </w:r>
      <w:r w:rsidR="00745CBB" w:rsidRPr="008B4C07">
        <w:rPr>
          <w:rFonts w:cs="Calibri"/>
          <w:i/>
          <w:szCs w:val="22"/>
          <w:lang w:val="sq-AL"/>
        </w:rPr>
        <w:t>e</w:t>
      </w:r>
      <w:r w:rsidR="005F0A5D" w:rsidRPr="008B4C07">
        <w:rPr>
          <w:rFonts w:cs="Calibri"/>
          <w:i/>
          <w:szCs w:val="22"/>
          <w:lang w:val="sq-AL"/>
        </w:rPr>
        <w:t xml:space="preserve"> 04</w:t>
      </w:r>
      <w:r w:rsidR="00BB42CC" w:rsidRPr="008B4C07">
        <w:rPr>
          <w:rFonts w:cs="Calibri"/>
          <w:i/>
          <w:szCs w:val="22"/>
          <w:lang w:val="sq-AL"/>
        </w:rPr>
        <w:t>.</w:t>
      </w:r>
      <w:r w:rsidR="005F0A5D" w:rsidRPr="008B4C07">
        <w:rPr>
          <w:rFonts w:cs="Calibri"/>
          <w:i/>
          <w:szCs w:val="22"/>
          <w:lang w:val="sq-AL"/>
        </w:rPr>
        <w:t>04.</w:t>
      </w:r>
      <w:r w:rsidR="00BB42CC" w:rsidRPr="008B4C07">
        <w:rPr>
          <w:rFonts w:cs="Calibri"/>
          <w:i/>
          <w:szCs w:val="22"/>
          <w:lang w:val="sq-AL"/>
        </w:rPr>
        <w:t>202</w:t>
      </w:r>
      <w:r w:rsidR="005F0A5D" w:rsidRPr="008B4C07">
        <w:rPr>
          <w:rFonts w:cs="Calibri"/>
          <w:i/>
          <w:szCs w:val="22"/>
          <w:lang w:val="sq-AL"/>
        </w:rPr>
        <w:t>5</w:t>
      </w:r>
      <w:r w:rsidR="00BB42CC" w:rsidRPr="008B4C07">
        <w:rPr>
          <w:rFonts w:cs="Calibri"/>
          <w:i/>
          <w:szCs w:val="22"/>
          <w:lang w:val="sq-AL"/>
        </w:rPr>
        <w:t xml:space="preserve"> </w:t>
      </w:r>
      <w:r w:rsidR="005F0A5D" w:rsidRPr="008B4C07">
        <w:rPr>
          <w:rFonts w:cs="Calibri"/>
          <w:i/>
          <w:szCs w:val="22"/>
          <w:lang w:val="sq-AL"/>
        </w:rPr>
        <w:t>"Për një shtesë fondi në buxhetin e vitit 2025,miratuar për MB dhe DSHQ, për përballimin</w:t>
      </w:r>
      <w:r w:rsidR="00636954" w:rsidRPr="008B4C07">
        <w:rPr>
          <w:rFonts w:cs="Calibri"/>
          <w:i/>
          <w:szCs w:val="22"/>
          <w:lang w:val="sq-AL"/>
        </w:rPr>
        <w:t xml:space="preserve"> </w:t>
      </w:r>
      <w:r w:rsidR="005F0A5D" w:rsidRPr="008B4C07">
        <w:rPr>
          <w:rFonts w:cs="Calibri"/>
          <w:i/>
          <w:szCs w:val="22"/>
          <w:lang w:val="sq-AL"/>
        </w:rPr>
        <w:t>e shpenzimeve të organizimit të takimit të nivelit të lartë të komunitetit politik evropian (EPC), të datës 16 Maj 2025”</w:t>
      </w:r>
      <w:r w:rsidR="0055288E" w:rsidRPr="008B4C07">
        <w:rPr>
          <w:rFonts w:cs="Calibri"/>
          <w:i/>
          <w:szCs w:val="22"/>
          <w:lang w:val="sq-AL"/>
        </w:rPr>
        <w:t>, si edhe me VKM nr</w:t>
      </w:r>
      <w:r w:rsidR="00636954" w:rsidRPr="008B4C07">
        <w:rPr>
          <w:rFonts w:cs="Calibri"/>
          <w:i/>
          <w:szCs w:val="22"/>
          <w:lang w:val="sq-AL"/>
        </w:rPr>
        <w:t>.</w:t>
      </w:r>
      <w:r w:rsidR="0055288E" w:rsidRPr="008B4C07">
        <w:rPr>
          <w:rFonts w:cs="Calibri"/>
          <w:i/>
          <w:szCs w:val="22"/>
          <w:lang w:val="sq-AL"/>
        </w:rPr>
        <w:t xml:space="preserve"> 556 datë 1.10.2025”Për një shtesë fondi në buxhetin e vitit 2025, miratuar për DSHQ, për përballimin e shpenzimeve të Organizimit të Forumit të Investimeve midis vendeve të Bashkimit Evropian dhe Vendeve të Ballkanit Perëndimor që do të zhvillohet në Tiranë në datë 13-14 Tetor 2025</w:t>
      </w:r>
      <w:r w:rsidRPr="008B4C07">
        <w:rPr>
          <w:rFonts w:cs="Calibri"/>
          <w:i/>
          <w:szCs w:val="22"/>
          <w:lang w:val="sq-AL"/>
        </w:rPr>
        <w:t>.</w:t>
      </w:r>
    </w:p>
    <w:p w14:paraId="0FF9CD6F" w14:textId="2403B651" w:rsidR="00BB42CC" w:rsidRPr="008B4C07" w:rsidRDefault="00180091" w:rsidP="002549C7">
      <w:pPr>
        <w:pStyle w:val="ListParagraph"/>
        <w:numPr>
          <w:ilvl w:val="0"/>
          <w:numId w:val="25"/>
        </w:numPr>
        <w:spacing w:line="276" w:lineRule="auto"/>
        <w:rPr>
          <w:rFonts w:cs="Calibri"/>
          <w:i/>
          <w:szCs w:val="22"/>
          <w:lang w:val="sq-AL"/>
        </w:rPr>
      </w:pPr>
      <w:r w:rsidRPr="008B4C07">
        <w:rPr>
          <w:rFonts w:cs="Calibri"/>
          <w:i/>
          <w:szCs w:val="22"/>
          <w:lang w:val="sq-AL"/>
        </w:rPr>
        <w:lastRenderedPageBreak/>
        <w:t>31.7 milion lek</w:t>
      </w:r>
      <w:r w:rsidR="006B729A" w:rsidRPr="008B4C07">
        <w:rPr>
          <w:rFonts w:cs="Calibri"/>
          <w:i/>
          <w:szCs w:val="22"/>
          <w:lang w:val="sq-AL"/>
        </w:rPr>
        <w:t>ë</w:t>
      </w:r>
      <w:r w:rsidRPr="008B4C07">
        <w:rPr>
          <w:rFonts w:cs="Calibri"/>
          <w:i/>
          <w:szCs w:val="22"/>
          <w:lang w:val="sq-AL"/>
        </w:rPr>
        <w:t xml:space="preserve"> me VKM nr 556 dat</w:t>
      </w:r>
      <w:r w:rsidR="006B729A" w:rsidRPr="008B4C07">
        <w:rPr>
          <w:rFonts w:cs="Calibri"/>
          <w:i/>
          <w:szCs w:val="22"/>
          <w:lang w:val="sq-AL"/>
        </w:rPr>
        <w:t>ë</w:t>
      </w:r>
      <w:r w:rsidRPr="008B4C07">
        <w:rPr>
          <w:rFonts w:cs="Calibri"/>
          <w:i/>
          <w:szCs w:val="22"/>
          <w:lang w:val="sq-AL"/>
        </w:rPr>
        <w:t xml:space="preserve"> 1.10.2025 “Për një shtesë fondi në buxhetin e vitit 2025, miratuar për DSHQ, për përballimin e shpenzimeve të Organizimit të Forumit të Investimeve midis vendeve të Bashkimit Evropian dhe Vendeve të Ballkanit Perëndimor që do të zhvillohet në Tiranë në datë 13-14 Tetor 2025.</w:t>
      </w:r>
    </w:p>
    <w:p w14:paraId="48E982B8" w14:textId="0238CCDD" w:rsidR="00273493" w:rsidRPr="00A73AA7" w:rsidRDefault="00273493" w:rsidP="002549C7">
      <w:pPr>
        <w:numPr>
          <w:ilvl w:val="0"/>
          <w:numId w:val="24"/>
        </w:numPr>
        <w:spacing w:line="276" w:lineRule="auto"/>
        <w:jc w:val="both"/>
        <w:rPr>
          <w:rFonts w:ascii="Calibri" w:hAnsi="Calibri" w:cs="Calibri"/>
          <w:i/>
          <w:iCs/>
          <w:sz w:val="22"/>
          <w:szCs w:val="22"/>
          <w:lang w:val="sq-AL"/>
        </w:rPr>
      </w:pPr>
      <w:r w:rsidRPr="00A73AA7">
        <w:rPr>
          <w:rFonts w:ascii="Calibri" w:hAnsi="Calibri" w:cs="Calibri"/>
          <w:sz w:val="22"/>
          <w:szCs w:val="22"/>
          <w:lang w:val="sq-AL"/>
        </w:rPr>
        <w:t>150 milion</w:t>
      </w:r>
      <w:r w:rsidR="00B8083D" w:rsidRPr="00A73AA7">
        <w:rPr>
          <w:rFonts w:ascii="Calibri" w:hAnsi="Calibri" w:cs="Calibri"/>
          <w:sz w:val="22"/>
          <w:szCs w:val="22"/>
          <w:lang w:val="sq-AL"/>
        </w:rPr>
        <w:t>ë</w:t>
      </w:r>
      <w:r w:rsidRPr="00A73AA7">
        <w:rPr>
          <w:rFonts w:ascii="Calibri" w:hAnsi="Calibri" w:cs="Calibri"/>
          <w:sz w:val="22"/>
          <w:szCs w:val="22"/>
          <w:lang w:val="sq-AL"/>
        </w:rPr>
        <w:t xml:space="preserve"> lek</w:t>
      </w:r>
      <w:r w:rsidR="00B8083D" w:rsidRPr="00A73AA7">
        <w:rPr>
          <w:rFonts w:ascii="Calibri" w:hAnsi="Calibri" w:cs="Calibri"/>
          <w:sz w:val="22"/>
          <w:szCs w:val="22"/>
          <w:lang w:val="sq-AL"/>
        </w:rPr>
        <w:t>ë</w:t>
      </w:r>
      <w:r w:rsidRPr="00A73AA7">
        <w:rPr>
          <w:rFonts w:ascii="Calibri" w:hAnsi="Calibri" w:cs="Calibri"/>
          <w:sz w:val="22"/>
          <w:szCs w:val="22"/>
          <w:lang w:val="sq-AL"/>
        </w:rPr>
        <w:t xml:space="preserve"> jan</w:t>
      </w:r>
      <w:r w:rsidR="00B8083D" w:rsidRPr="00A73AA7">
        <w:rPr>
          <w:rFonts w:ascii="Calibri" w:hAnsi="Calibri" w:cs="Calibri"/>
          <w:sz w:val="22"/>
          <w:szCs w:val="22"/>
          <w:lang w:val="sq-AL"/>
        </w:rPr>
        <w:t>ë</w:t>
      </w:r>
      <w:r w:rsidRPr="00A73AA7">
        <w:rPr>
          <w:rFonts w:ascii="Calibri" w:hAnsi="Calibri" w:cs="Calibri"/>
          <w:sz w:val="22"/>
          <w:szCs w:val="22"/>
          <w:lang w:val="sq-AL"/>
        </w:rPr>
        <w:t xml:space="preserve"> akorduar p</w:t>
      </w:r>
      <w:r w:rsidR="00B8083D" w:rsidRPr="00A73AA7">
        <w:rPr>
          <w:rFonts w:ascii="Calibri" w:hAnsi="Calibri" w:cs="Calibri"/>
          <w:sz w:val="22"/>
          <w:szCs w:val="22"/>
          <w:lang w:val="sq-AL"/>
        </w:rPr>
        <w:t>ë</w:t>
      </w:r>
      <w:r w:rsidRPr="00A73AA7">
        <w:rPr>
          <w:rFonts w:ascii="Calibri" w:hAnsi="Calibri" w:cs="Calibri"/>
          <w:sz w:val="22"/>
          <w:szCs w:val="22"/>
          <w:lang w:val="sq-AL"/>
        </w:rPr>
        <w:t>r Ministrin</w:t>
      </w:r>
      <w:r w:rsidR="00B8083D" w:rsidRPr="00A73AA7">
        <w:rPr>
          <w:rFonts w:ascii="Calibri" w:hAnsi="Calibri" w:cs="Calibri"/>
          <w:sz w:val="22"/>
          <w:szCs w:val="22"/>
          <w:lang w:val="sq-AL"/>
        </w:rPr>
        <w:t>ë</w:t>
      </w:r>
      <w:r w:rsidRPr="00A73AA7">
        <w:rPr>
          <w:rFonts w:ascii="Calibri" w:hAnsi="Calibri" w:cs="Calibri"/>
          <w:sz w:val="22"/>
          <w:szCs w:val="22"/>
          <w:lang w:val="sq-AL"/>
        </w:rPr>
        <w:t xml:space="preserve"> e Drejt</w:t>
      </w:r>
      <w:r w:rsidR="00B8083D" w:rsidRPr="00A73AA7">
        <w:rPr>
          <w:rFonts w:ascii="Calibri" w:hAnsi="Calibri" w:cs="Calibri"/>
          <w:sz w:val="22"/>
          <w:szCs w:val="22"/>
          <w:lang w:val="sq-AL"/>
        </w:rPr>
        <w:t>ë</w:t>
      </w:r>
      <w:r w:rsidRPr="00A73AA7">
        <w:rPr>
          <w:rFonts w:ascii="Calibri" w:hAnsi="Calibri" w:cs="Calibri"/>
          <w:sz w:val="22"/>
          <w:szCs w:val="22"/>
          <w:lang w:val="sq-AL"/>
        </w:rPr>
        <w:t>sis</w:t>
      </w:r>
      <w:r w:rsidR="00B8083D" w:rsidRPr="00A73AA7">
        <w:rPr>
          <w:rFonts w:ascii="Calibri" w:hAnsi="Calibri" w:cs="Calibri"/>
          <w:sz w:val="22"/>
          <w:szCs w:val="22"/>
          <w:lang w:val="sq-AL"/>
        </w:rPr>
        <w:t>ë</w:t>
      </w:r>
      <w:r w:rsidRPr="00A73AA7">
        <w:rPr>
          <w:rFonts w:ascii="Calibri" w:hAnsi="Calibri" w:cs="Calibri"/>
          <w:sz w:val="22"/>
          <w:szCs w:val="22"/>
          <w:lang w:val="sq-AL"/>
        </w:rPr>
        <w:t xml:space="preserve"> me VKM-n</w:t>
      </w:r>
      <w:r w:rsidR="00B8083D" w:rsidRPr="00A73AA7">
        <w:rPr>
          <w:rFonts w:ascii="Calibri" w:hAnsi="Calibri" w:cs="Calibri"/>
          <w:sz w:val="22"/>
          <w:szCs w:val="22"/>
          <w:lang w:val="sq-AL"/>
        </w:rPr>
        <w:t>ë</w:t>
      </w:r>
      <w:r w:rsidRPr="00A73AA7">
        <w:rPr>
          <w:rFonts w:ascii="Calibri" w:hAnsi="Calibri" w:cs="Calibri"/>
          <w:sz w:val="22"/>
          <w:szCs w:val="22"/>
          <w:lang w:val="sq-AL"/>
        </w:rPr>
        <w:t xml:space="preserve"> nr. 66 dat</w:t>
      </w:r>
      <w:r w:rsidR="00B8083D" w:rsidRPr="00A73AA7">
        <w:rPr>
          <w:rFonts w:ascii="Calibri" w:hAnsi="Calibri" w:cs="Calibri"/>
          <w:sz w:val="22"/>
          <w:szCs w:val="22"/>
          <w:lang w:val="sq-AL"/>
        </w:rPr>
        <w:t>ë</w:t>
      </w:r>
      <w:r w:rsidRPr="00A73AA7">
        <w:rPr>
          <w:rFonts w:ascii="Calibri" w:hAnsi="Calibri" w:cs="Calibri"/>
          <w:sz w:val="22"/>
          <w:szCs w:val="22"/>
          <w:lang w:val="sq-AL"/>
        </w:rPr>
        <w:t xml:space="preserve"> 29.01.2025 </w:t>
      </w:r>
      <w:r w:rsidRPr="00A73AA7">
        <w:rPr>
          <w:rFonts w:ascii="Calibri" w:hAnsi="Calibri" w:cs="Calibri"/>
          <w:i/>
          <w:iCs/>
          <w:sz w:val="22"/>
          <w:szCs w:val="22"/>
          <w:lang w:val="sq-AL"/>
        </w:rPr>
        <w:t>“Për një shtesë fondi në buxhetin e vitit 2025, miratuar për Ministrinë e Drejtësisë, për organizimin e Kongresit Botëror të së Drejtës 2027, Tiranë".</w:t>
      </w:r>
    </w:p>
    <w:p w14:paraId="6716B09F" w14:textId="466E3241" w:rsidR="00B56C7F" w:rsidRPr="00A73AA7" w:rsidRDefault="00B56C7F" w:rsidP="002549C7">
      <w:pPr>
        <w:numPr>
          <w:ilvl w:val="0"/>
          <w:numId w:val="24"/>
        </w:numPr>
        <w:spacing w:line="276" w:lineRule="auto"/>
        <w:jc w:val="both"/>
        <w:rPr>
          <w:rFonts w:ascii="Calibri" w:hAnsi="Calibri" w:cs="Calibri"/>
          <w:i/>
          <w:iCs/>
          <w:sz w:val="22"/>
          <w:szCs w:val="22"/>
          <w:lang w:val="sq-AL"/>
        </w:rPr>
      </w:pPr>
      <w:r w:rsidRPr="00A73AA7">
        <w:rPr>
          <w:rFonts w:ascii="Calibri" w:hAnsi="Calibri" w:cs="Calibri"/>
          <w:sz w:val="22"/>
          <w:szCs w:val="22"/>
          <w:lang w:val="sq-AL"/>
        </w:rPr>
        <w:t>150</w:t>
      </w:r>
      <w:r w:rsidR="0055288E" w:rsidRPr="00A73AA7">
        <w:rPr>
          <w:rFonts w:ascii="Calibri" w:hAnsi="Calibri" w:cs="Calibri"/>
          <w:sz w:val="22"/>
          <w:szCs w:val="22"/>
          <w:lang w:val="sq-AL"/>
        </w:rPr>
        <w:t xml:space="preserve"> </w:t>
      </w:r>
      <w:r w:rsidRPr="00A73AA7">
        <w:rPr>
          <w:rFonts w:ascii="Calibri" w:hAnsi="Calibri" w:cs="Calibri"/>
          <w:sz w:val="22"/>
          <w:szCs w:val="22"/>
          <w:lang w:val="sq-AL"/>
        </w:rPr>
        <w:t>milion</w:t>
      </w:r>
      <w:r w:rsidR="00B8083D" w:rsidRPr="00A73AA7">
        <w:rPr>
          <w:rFonts w:ascii="Calibri" w:hAnsi="Calibri" w:cs="Calibri"/>
          <w:sz w:val="22"/>
          <w:szCs w:val="22"/>
          <w:lang w:val="sq-AL"/>
        </w:rPr>
        <w:t>ë</w:t>
      </w:r>
      <w:r w:rsidRPr="00A73AA7">
        <w:rPr>
          <w:rFonts w:ascii="Calibri" w:hAnsi="Calibri" w:cs="Calibri"/>
          <w:sz w:val="22"/>
          <w:szCs w:val="22"/>
          <w:lang w:val="sq-AL"/>
        </w:rPr>
        <w:t xml:space="preserve"> lek</w:t>
      </w:r>
      <w:r w:rsidR="00B8083D" w:rsidRPr="00A73AA7">
        <w:rPr>
          <w:rFonts w:ascii="Calibri" w:hAnsi="Calibri" w:cs="Calibri"/>
          <w:sz w:val="22"/>
          <w:szCs w:val="22"/>
          <w:lang w:val="sq-AL"/>
        </w:rPr>
        <w:t>ë</w:t>
      </w:r>
      <w:r w:rsidRPr="00A73AA7">
        <w:rPr>
          <w:rFonts w:ascii="Calibri" w:hAnsi="Calibri" w:cs="Calibri"/>
          <w:sz w:val="22"/>
          <w:szCs w:val="22"/>
          <w:lang w:val="sq-AL"/>
        </w:rPr>
        <w:t xml:space="preserve"> jan</w:t>
      </w:r>
      <w:r w:rsidR="00B8083D" w:rsidRPr="00A73AA7">
        <w:rPr>
          <w:rFonts w:ascii="Calibri" w:hAnsi="Calibri" w:cs="Calibri"/>
          <w:sz w:val="22"/>
          <w:szCs w:val="22"/>
          <w:lang w:val="sq-AL"/>
        </w:rPr>
        <w:t>ë</w:t>
      </w:r>
      <w:r w:rsidRPr="00A73AA7">
        <w:rPr>
          <w:rFonts w:ascii="Calibri" w:hAnsi="Calibri" w:cs="Calibri"/>
          <w:sz w:val="22"/>
          <w:szCs w:val="22"/>
          <w:lang w:val="sq-AL"/>
        </w:rPr>
        <w:t xml:space="preserve"> akorduar p</w:t>
      </w:r>
      <w:r w:rsidR="00B8083D" w:rsidRPr="00A73AA7">
        <w:rPr>
          <w:rFonts w:ascii="Calibri" w:hAnsi="Calibri" w:cs="Calibri"/>
          <w:sz w:val="22"/>
          <w:szCs w:val="22"/>
          <w:lang w:val="sq-AL"/>
        </w:rPr>
        <w:t>ë</w:t>
      </w:r>
      <w:r w:rsidRPr="00A73AA7">
        <w:rPr>
          <w:rFonts w:ascii="Calibri" w:hAnsi="Calibri" w:cs="Calibri"/>
          <w:sz w:val="22"/>
          <w:szCs w:val="22"/>
          <w:lang w:val="sq-AL"/>
        </w:rPr>
        <w:t>r partit</w:t>
      </w:r>
      <w:r w:rsidR="00B8083D" w:rsidRPr="00A73AA7">
        <w:rPr>
          <w:rFonts w:ascii="Calibri" w:hAnsi="Calibri" w:cs="Calibri"/>
          <w:sz w:val="22"/>
          <w:szCs w:val="22"/>
          <w:lang w:val="sq-AL"/>
        </w:rPr>
        <w:t>ë</w:t>
      </w:r>
      <w:r w:rsidRPr="00A73AA7">
        <w:rPr>
          <w:rFonts w:ascii="Calibri" w:hAnsi="Calibri" w:cs="Calibri"/>
          <w:sz w:val="22"/>
          <w:szCs w:val="22"/>
          <w:lang w:val="sq-AL"/>
        </w:rPr>
        <w:t xml:space="preserve"> politike me VKM-n</w:t>
      </w:r>
      <w:r w:rsidR="00B8083D" w:rsidRPr="00A73AA7">
        <w:rPr>
          <w:rFonts w:ascii="Calibri" w:hAnsi="Calibri" w:cs="Calibri"/>
          <w:sz w:val="22"/>
          <w:szCs w:val="22"/>
          <w:lang w:val="sq-AL"/>
        </w:rPr>
        <w:t>ë</w:t>
      </w:r>
      <w:r w:rsidRPr="00A73AA7">
        <w:rPr>
          <w:rFonts w:ascii="Calibri" w:hAnsi="Calibri" w:cs="Calibri"/>
          <w:sz w:val="22"/>
          <w:szCs w:val="22"/>
          <w:lang w:val="sq-AL"/>
        </w:rPr>
        <w:t xml:space="preserve"> nr.199, dat</w:t>
      </w:r>
      <w:r w:rsidR="00B8083D" w:rsidRPr="00A73AA7">
        <w:rPr>
          <w:rFonts w:ascii="Calibri" w:hAnsi="Calibri" w:cs="Calibri"/>
          <w:sz w:val="22"/>
          <w:szCs w:val="22"/>
          <w:lang w:val="sq-AL"/>
        </w:rPr>
        <w:t>ë</w:t>
      </w:r>
      <w:r w:rsidRPr="00A73AA7">
        <w:rPr>
          <w:rFonts w:ascii="Calibri" w:hAnsi="Calibri" w:cs="Calibri"/>
          <w:sz w:val="22"/>
          <w:szCs w:val="22"/>
          <w:lang w:val="sq-AL"/>
        </w:rPr>
        <w:t xml:space="preserve"> 04.04.2025</w:t>
      </w:r>
      <w:r w:rsidRPr="00A73AA7">
        <w:rPr>
          <w:rFonts w:ascii="Calibri" w:hAnsi="Calibri" w:cs="Calibri"/>
          <w:i/>
          <w:iCs/>
          <w:sz w:val="22"/>
          <w:szCs w:val="22"/>
          <w:lang w:val="sq-AL"/>
        </w:rPr>
        <w:t xml:space="preserve"> "Për një shtesë fondi në programin</w:t>
      </w:r>
      <w:r w:rsidR="006B729A" w:rsidRPr="00A73AA7">
        <w:rPr>
          <w:rFonts w:ascii="Calibri" w:hAnsi="Calibri" w:cs="Calibri"/>
          <w:i/>
          <w:iCs/>
          <w:sz w:val="22"/>
          <w:szCs w:val="22"/>
          <w:lang w:val="sq-AL"/>
        </w:rPr>
        <w:t xml:space="preserve"> </w:t>
      </w:r>
      <w:r w:rsidRPr="00A73AA7">
        <w:rPr>
          <w:rFonts w:ascii="Calibri" w:hAnsi="Calibri" w:cs="Calibri"/>
          <w:i/>
          <w:iCs/>
          <w:sz w:val="22"/>
          <w:szCs w:val="22"/>
          <w:lang w:val="sq-AL"/>
        </w:rPr>
        <w:t>''Mbështetje për partitë politike', për financimin e fushatës zgjedhore të subjekteve pjesëmarrëse në zgjedhjet për kuvend të datës 11 maj 2025”.</w:t>
      </w:r>
      <w:r w:rsidR="00FA6919">
        <w:rPr>
          <w:rFonts w:ascii="Calibri" w:hAnsi="Calibri" w:cs="Calibri"/>
          <w:i/>
          <w:iCs/>
          <w:sz w:val="22"/>
          <w:szCs w:val="22"/>
          <w:lang w:val="sq-AL"/>
        </w:rPr>
        <w:t xml:space="preserve"> Ky vendim </w:t>
      </w:r>
      <w:r w:rsidR="00C76185">
        <w:rPr>
          <w:rFonts w:ascii="Calibri" w:hAnsi="Calibri" w:cs="Calibri"/>
          <w:i/>
          <w:iCs/>
          <w:sz w:val="22"/>
          <w:szCs w:val="22"/>
          <w:lang w:val="sq-AL"/>
        </w:rPr>
        <w:t>ë</w:t>
      </w:r>
      <w:r w:rsidR="00FA6919">
        <w:rPr>
          <w:rFonts w:ascii="Calibri" w:hAnsi="Calibri" w:cs="Calibri"/>
          <w:i/>
          <w:iCs/>
          <w:sz w:val="22"/>
          <w:szCs w:val="22"/>
          <w:lang w:val="sq-AL"/>
        </w:rPr>
        <w:t>sht</w:t>
      </w:r>
      <w:r w:rsidR="00C76185">
        <w:rPr>
          <w:rFonts w:ascii="Calibri" w:hAnsi="Calibri" w:cs="Calibri"/>
          <w:i/>
          <w:iCs/>
          <w:sz w:val="22"/>
          <w:szCs w:val="22"/>
          <w:lang w:val="sq-AL"/>
        </w:rPr>
        <w:t>ë</w:t>
      </w:r>
      <w:r w:rsidR="00FA6919">
        <w:rPr>
          <w:rFonts w:ascii="Calibri" w:hAnsi="Calibri" w:cs="Calibri"/>
          <w:i/>
          <w:iCs/>
          <w:sz w:val="22"/>
          <w:szCs w:val="22"/>
          <w:lang w:val="sq-AL"/>
        </w:rPr>
        <w:t xml:space="preserve"> akorduar </w:t>
      </w:r>
      <w:r w:rsidR="00247BF1">
        <w:rPr>
          <w:rFonts w:ascii="Calibri" w:hAnsi="Calibri" w:cs="Calibri"/>
          <w:i/>
          <w:iCs/>
          <w:sz w:val="22"/>
          <w:szCs w:val="22"/>
          <w:lang w:val="sq-AL"/>
        </w:rPr>
        <w:t>n</w:t>
      </w:r>
      <w:r w:rsidR="00C76185">
        <w:rPr>
          <w:rFonts w:ascii="Calibri" w:hAnsi="Calibri" w:cs="Calibri"/>
          <w:i/>
          <w:iCs/>
          <w:sz w:val="22"/>
          <w:szCs w:val="22"/>
          <w:lang w:val="sq-AL"/>
        </w:rPr>
        <w:t>ë</w:t>
      </w:r>
      <w:r w:rsidR="00247BF1">
        <w:rPr>
          <w:rFonts w:ascii="Calibri" w:hAnsi="Calibri" w:cs="Calibri"/>
          <w:i/>
          <w:iCs/>
          <w:sz w:val="22"/>
          <w:szCs w:val="22"/>
          <w:lang w:val="sq-AL"/>
        </w:rPr>
        <w:t xml:space="preserve"> mas</w:t>
      </w:r>
      <w:r w:rsidR="00C76185">
        <w:rPr>
          <w:rFonts w:ascii="Calibri" w:hAnsi="Calibri" w:cs="Calibri"/>
          <w:i/>
          <w:iCs/>
          <w:sz w:val="22"/>
          <w:szCs w:val="22"/>
          <w:lang w:val="sq-AL"/>
        </w:rPr>
        <w:t>ë</w:t>
      </w:r>
      <w:r w:rsidR="00247BF1">
        <w:rPr>
          <w:rFonts w:ascii="Calibri" w:hAnsi="Calibri" w:cs="Calibri"/>
          <w:i/>
          <w:iCs/>
          <w:sz w:val="22"/>
          <w:szCs w:val="22"/>
          <w:lang w:val="sq-AL"/>
        </w:rPr>
        <w:t>n 131.2 milion lek</w:t>
      </w:r>
      <w:r w:rsidR="00C76185">
        <w:rPr>
          <w:rFonts w:ascii="Calibri" w:hAnsi="Calibri" w:cs="Calibri"/>
          <w:i/>
          <w:iCs/>
          <w:sz w:val="22"/>
          <w:szCs w:val="22"/>
          <w:lang w:val="sq-AL"/>
        </w:rPr>
        <w:t>ë</w:t>
      </w:r>
      <w:r w:rsidR="00247BF1">
        <w:rPr>
          <w:rFonts w:ascii="Calibri" w:hAnsi="Calibri" w:cs="Calibri"/>
          <w:i/>
          <w:iCs/>
          <w:sz w:val="22"/>
          <w:szCs w:val="22"/>
          <w:lang w:val="sq-AL"/>
        </w:rPr>
        <w:t>, n</w:t>
      </w:r>
      <w:r w:rsidR="00C76185">
        <w:rPr>
          <w:rFonts w:ascii="Calibri" w:hAnsi="Calibri" w:cs="Calibri"/>
          <w:i/>
          <w:iCs/>
          <w:sz w:val="22"/>
          <w:szCs w:val="22"/>
          <w:lang w:val="sq-AL"/>
        </w:rPr>
        <w:t>ë</w:t>
      </w:r>
      <w:r w:rsidR="00247BF1">
        <w:rPr>
          <w:rFonts w:ascii="Calibri" w:hAnsi="Calibri" w:cs="Calibri"/>
          <w:i/>
          <w:iCs/>
          <w:sz w:val="22"/>
          <w:szCs w:val="22"/>
          <w:lang w:val="sq-AL"/>
        </w:rPr>
        <w:t xml:space="preserve"> mb</w:t>
      </w:r>
      <w:r w:rsidR="00C76185">
        <w:rPr>
          <w:rFonts w:ascii="Calibri" w:hAnsi="Calibri" w:cs="Calibri"/>
          <w:i/>
          <w:iCs/>
          <w:sz w:val="22"/>
          <w:szCs w:val="22"/>
          <w:lang w:val="sq-AL"/>
        </w:rPr>
        <w:t>ë</w:t>
      </w:r>
      <w:r w:rsidR="00247BF1">
        <w:rPr>
          <w:rFonts w:ascii="Calibri" w:hAnsi="Calibri" w:cs="Calibri"/>
          <w:i/>
          <w:iCs/>
          <w:sz w:val="22"/>
          <w:szCs w:val="22"/>
          <w:lang w:val="sq-AL"/>
        </w:rPr>
        <w:t>shtetje t</w:t>
      </w:r>
      <w:r w:rsidR="00C76185">
        <w:rPr>
          <w:rFonts w:ascii="Calibri" w:hAnsi="Calibri" w:cs="Calibri"/>
          <w:i/>
          <w:iCs/>
          <w:sz w:val="22"/>
          <w:szCs w:val="22"/>
          <w:lang w:val="sq-AL"/>
        </w:rPr>
        <w:t>ë</w:t>
      </w:r>
      <w:r w:rsidR="00247BF1">
        <w:rPr>
          <w:rFonts w:ascii="Calibri" w:hAnsi="Calibri" w:cs="Calibri"/>
          <w:i/>
          <w:iCs/>
          <w:sz w:val="22"/>
          <w:szCs w:val="22"/>
          <w:lang w:val="sq-AL"/>
        </w:rPr>
        <w:t xml:space="preserve"> k</w:t>
      </w:r>
      <w:r w:rsidR="00C76185">
        <w:rPr>
          <w:rFonts w:ascii="Calibri" w:hAnsi="Calibri" w:cs="Calibri"/>
          <w:i/>
          <w:iCs/>
          <w:sz w:val="22"/>
          <w:szCs w:val="22"/>
          <w:lang w:val="sq-AL"/>
        </w:rPr>
        <w:t>ë</w:t>
      </w:r>
      <w:r w:rsidR="00247BF1">
        <w:rPr>
          <w:rFonts w:ascii="Calibri" w:hAnsi="Calibri" w:cs="Calibri"/>
          <w:i/>
          <w:iCs/>
          <w:sz w:val="22"/>
          <w:szCs w:val="22"/>
          <w:lang w:val="sq-AL"/>
        </w:rPr>
        <w:t>rkes</w:t>
      </w:r>
      <w:r w:rsidR="00C76185">
        <w:rPr>
          <w:rFonts w:ascii="Calibri" w:hAnsi="Calibri" w:cs="Calibri"/>
          <w:i/>
          <w:iCs/>
          <w:sz w:val="22"/>
          <w:szCs w:val="22"/>
          <w:lang w:val="sq-AL"/>
        </w:rPr>
        <w:t>ë</w:t>
      </w:r>
      <w:r w:rsidR="00247BF1">
        <w:rPr>
          <w:rFonts w:ascii="Calibri" w:hAnsi="Calibri" w:cs="Calibri"/>
          <w:i/>
          <w:iCs/>
          <w:sz w:val="22"/>
          <w:szCs w:val="22"/>
          <w:lang w:val="sq-AL"/>
        </w:rPr>
        <w:t>s s</w:t>
      </w:r>
      <w:r w:rsidR="00C76185">
        <w:rPr>
          <w:rFonts w:ascii="Calibri" w:hAnsi="Calibri" w:cs="Calibri"/>
          <w:i/>
          <w:iCs/>
          <w:sz w:val="22"/>
          <w:szCs w:val="22"/>
          <w:lang w:val="sq-AL"/>
        </w:rPr>
        <w:t>ë</w:t>
      </w:r>
      <w:r w:rsidR="00247BF1">
        <w:rPr>
          <w:rFonts w:ascii="Calibri" w:hAnsi="Calibri" w:cs="Calibri"/>
          <w:i/>
          <w:iCs/>
          <w:sz w:val="22"/>
          <w:szCs w:val="22"/>
          <w:lang w:val="sq-AL"/>
        </w:rPr>
        <w:t xml:space="preserve"> paraqitur nga KQZ.</w:t>
      </w:r>
    </w:p>
    <w:p w14:paraId="02205272" w14:textId="53EBCFD7" w:rsidR="00180091" w:rsidRPr="00A73AA7" w:rsidRDefault="00180091" w:rsidP="002549C7">
      <w:pPr>
        <w:numPr>
          <w:ilvl w:val="0"/>
          <w:numId w:val="24"/>
        </w:numPr>
        <w:spacing w:line="276" w:lineRule="auto"/>
        <w:jc w:val="both"/>
        <w:rPr>
          <w:rFonts w:ascii="Calibri" w:hAnsi="Calibri" w:cs="Calibri"/>
          <w:i/>
          <w:iCs/>
          <w:sz w:val="22"/>
          <w:szCs w:val="22"/>
          <w:lang w:val="sq-AL"/>
        </w:rPr>
      </w:pPr>
      <w:r w:rsidRPr="00A73AA7">
        <w:rPr>
          <w:rFonts w:ascii="Calibri" w:hAnsi="Calibri" w:cs="Calibri"/>
          <w:sz w:val="22"/>
          <w:szCs w:val="22"/>
          <w:lang w:val="sq-AL"/>
        </w:rPr>
        <w:t>193 milion lek</w:t>
      </w:r>
      <w:r w:rsidR="006B729A" w:rsidRPr="00A73AA7">
        <w:rPr>
          <w:rFonts w:ascii="Calibri" w:hAnsi="Calibri" w:cs="Calibri"/>
          <w:sz w:val="22"/>
          <w:szCs w:val="22"/>
          <w:lang w:val="sq-AL"/>
        </w:rPr>
        <w:t>ë</w:t>
      </w:r>
      <w:r w:rsidRPr="00A73AA7">
        <w:rPr>
          <w:rFonts w:ascii="Calibri" w:hAnsi="Calibri" w:cs="Calibri"/>
          <w:sz w:val="22"/>
          <w:szCs w:val="22"/>
          <w:lang w:val="sq-AL"/>
        </w:rPr>
        <w:t xml:space="preserve"> jan</w:t>
      </w:r>
      <w:r w:rsidR="006B729A" w:rsidRPr="00A73AA7">
        <w:rPr>
          <w:rFonts w:ascii="Calibri" w:hAnsi="Calibri" w:cs="Calibri"/>
          <w:sz w:val="22"/>
          <w:szCs w:val="22"/>
          <w:lang w:val="sq-AL"/>
        </w:rPr>
        <w:t>ë</w:t>
      </w:r>
      <w:r w:rsidRPr="00A73AA7">
        <w:rPr>
          <w:rFonts w:ascii="Calibri" w:hAnsi="Calibri" w:cs="Calibri"/>
          <w:sz w:val="22"/>
          <w:szCs w:val="22"/>
          <w:lang w:val="sq-AL"/>
        </w:rPr>
        <w:t xml:space="preserve"> akorduar p</w:t>
      </w:r>
      <w:r w:rsidR="006B729A" w:rsidRPr="00A73AA7">
        <w:rPr>
          <w:rFonts w:ascii="Calibri" w:hAnsi="Calibri" w:cs="Calibri"/>
          <w:sz w:val="22"/>
          <w:szCs w:val="22"/>
          <w:lang w:val="sq-AL"/>
        </w:rPr>
        <w:t>ë</w:t>
      </w:r>
      <w:r w:rsidRPr="00A73AA7">
        <w:rPr>
          <w:rFonts w:ascii="Calibri" w:hAnsi="Calibri" w:cs="Calibri"/>
          <w:sz w:val="22"/>
          <w:szCs w:val="22"/>
          <w:lang w:val="sq-AL"/>
        </w:rPr>
        <w:t>r Ministrin</w:t>
      </w:r>
      <w:r w:rsidR="006B729A" w:rsidRPr="00A73AA7">
        <w:rPr>
          <w:rFonts w:ascii="Calibri" w:hAnsi="Calibri" w:cs="Calibri"/>
          <w:sz w:val="22"/>
          <w:szCs w:val="22"/>
          <w:lang w:val="sq-AL"/>
        </w:rPr>
        <w:t>ë</w:t>
      </w:r>
      <w:r w:rsidRPr="00A73AA7">
        <w:rPr>
          <w:rFonts w:ascii="Calibri" w:hAnsi="Calibri" w:cs="Calibri"/>
          <w:sz w:val="22"/>
          <w:szCs w:val="22"/>
          <w:lang w:val="sq-AL"/>
        </w:rPr>
        <w:t xml:space="preserve"> e Mbrojtjes  me VKM nr. </w:t>
      </w:r>
      <w:bookmarkStart w:id="4" w:name="_Hlk214373943"/>
      <w:r w:rsidRPr="00A73AA7">
        <w:rPr>
          <w:rFonts w:ascii="Calibri" w:hAnsi="Calibri" w:cs="Calibri"/>
          <w:sz w:val="22"/>
          <w:szCs w:val="22"/>
          <w:lang w:val="sq-AL"/>
        </w:rPr>
        <w:t>483 dat</w:t>
      </w:r>
      <w:r w:rsidR="006B729A" w:rsidRPr="00A73AA7">
        <w:rPr>
          <w:rFonts w:ascii="Calibri" w:hAnsi="Calibri" w:cs="Calibri"/>
          <w:sz w:val="22"/>
          <w:szCs w:val="22"/>
          <w:lang w:val="sq-AL"/>
        </w:rPr>
        <w:t>ë</w:t>
      </w:r>
      <w:r w:rsidRPr="00A73AA7">
        <w:rPr>
          <w:rFonts w:ascii="Calibri" w:hAnsi="Calibri" w:cs="Calibri"/>
          <w:sz w:val="22"/>
          <w:szCs w:val="22"/>
          <w:lang w:val="sq-AL"/>
        </w:rPr>
        <w:t xml:space="preserve"> 2.9.2025</w:t>
      </w:r>
      <w:r w:rsidR="006B729A" w:rsidRPr="00A73AA7">
        <w:rPr>
          <w:rFonts w:ascii="Calibri" w:hAnsi="Calibri" w:cs="Calibri"/>
          <w:sz w:val="22"/>
          <w:szCs w:val="22"/>
          <w:lang w:val="sq-AL"/>
        </w:rPr>
        <w:t xml:space="preserve"> ”</w:t>
      </w:r>
      <w:r w:rsidRPr="00A73AA7">
        <w:rPr>
          <w:rFonts w:ascii="Calibri" w:hAnsi="Calibri" w:cs="Calibri"/>
          <w:i/>
          <w:iCs/>
          <w:sz w:val="22"/>
          <w:szCs w:val="22"/>
          <w:lang w:val="sq-AL"/>
        </w:rPr>
        <w:t>Për dhënie shpërblimi personelit të angazhuar në operacionet për shuarjen e zjarreve gjatë vitit 2025</w:t>
      </w:r>
      <w:bookmarkEnd w:id="4"/>
      <w:r w:rsidRPr="00A73AA7">
        <w:rPr>
          <w:rFonts w:ascii="Calibri" w:hAnsi="Calibri" w:cs="Calibri"/>
          <w:i/>
          <w:iCs/>
          <w:sz w:val="22"/>
          <w:szCs w:val="22"/>
          <w:lang w:val="sq-AL"/>
        </w:rPr>
        <w:t>"</w:t>
      </w:r>
      <w:r w:rsidR="006B729A" w:rsidRPr="00A73AA7">
        <w:rPr>
          <w:rFonts w:ascii="Calibri" w:hAnsi="Calibri" w:cs="Calibri"/>
          <w:i/>
          <w:iCs/>
          <w:sz w:val="22"/>
          <w:szCs w:val="22"/>
          <w:lang w:val="sq-AL"/>
        </w:rPr>
        <w:t>.</w:t>
      </w:r>
      <w:r w:rsidRPr="00A73AA7">
        <w:rPr>
          <w:rFonts w:ascii="Calibri" w:hAnsi="Calibri" w:cs="Calibri"/>
          <w:i/>
          <w:iCs/>
          <w:sz w:val="22"/>
          <w:szCs w:val="22"/>
          <w:lang w:val="sq-AL"/>
        </w:rPr>
        <w:t xml:space="preserve"> </w:t>
      </w:r>
    </w:p>
    <w:p w14:paraId="1F6A8759" w14:textId="189147F2" w:rsidR="00180091" w:rsidRPr="00A73AA7" w:rsidRDefault="00180091" w:rsidP="002549C7">
      <w:pPr>
        <w:numPr>
          <w:ilvl w:val="0"/>
          <w:numId w:val="24"/>
        </w:numPr>
        <w:spacing w:line="276" w:lineRule="auto"/>
        <w:jc w:val="both"/>
        <w:rPr>
          <w:rFonts w:ascii="Calibri" w:hAnsi="Calibri" w:cs="Calibri"/>
          <w:i/>
          <w:iCs/>
          <w:sz w:val="22"/>
          <w:szCs w:val="22"/>
          <w:lang w:val="sq-AL"/>
        </w:rPr>
      </w:pPr>
      <w:r w:rsidRPr="00A73AA7">
        <w:rPr>
          <w:rFonts w:ascii="Calibri" w:hAnsi="Calibri" w:cs="Calibri"/>
          <w:sz w:val="22"/>
          <w:szCs w:val="22"/>
          <w:lang w:val="sq-AL"/>
        </w:rPr>
        <w:t>162.4 milion lek</w:t>
      </w:r>
      <w:r w:rsidR="006B729A" w:rsidRPr="00A73AA7">
        <w:rPr>
          <w:rFonts w:ascii="Calibri" w:hAnsi="Calibri" w:cs="Calibri"/>
          <w:sz w:val="22"/>
          <w:szCs w:val="22"/>
          <w:lang w:val="sq-AL"/>
        </w:rPr>
        <w:t>ë</w:t>
      </w:r>
      <w:r w:rsidRPr="00A73AA7">
        <w:rPr>
          <w:rFonts w:ascii="Calibri" w:hAnsi="Calibri" w:cs="Calibri"/>
          <w:sz w:val="22"/>
          <w:szCs w:val="22"/>
          <w:lang w:val="sq-AL"/>
        </w:rPr>
        <w:t xml:space="preserve"> jan</w:t>
      </w:r>
      <w:r w:rsidR="006B729A" w:rsidRPr="00A73AA7">
        <w:rPr>
          <w:rFonts w:ascii="Calibri" w:hAnsi="Calibri" w:cs="Calibri"/>
          <w:sz w:val="22"/>
          <w:szCs w:val="22"/>
          <w:lang w:val="sq-AL"/>
        </w:rPr>
        <w:t>ë</w:t>
      </w:r>
      <w:r w:rsidRPr="00A73AA7">
        <w:rPr>
          <w:rFonts w:ascii="Calibri" w:hAnsi="Calibri" w:cs="Calibri"/>
          <w:sz w:val="22"/>
          <w:szCs w:val="22"/>
          <w:lang w:val="sq-AL"/>
        </w:rPr>
        <w:t xml:space="preserve"> akorduar p</w:t>
      </w:r>
      <w:r w:rsidR="006B729A" w:rsidRPr="00A73AA7">
        <w:rPr>
          <w:rFonts w:ascii="Calibri" w:hAnsi="Calibri" w:cs="Calibri"/>
          <w:sz w:val="22"/>
          <w:szCs w:val="22"/>
          <w:lang w:val="sq-AL"/>
        </w:rPr>
        <w:t>ë</w:t>
      </w:r>
      <w:r w:rsidRPr="00A73AA7">
        <w:rPr>
          <w:rFonts w:ascii="Calibri" w:hAnsi="Calibri" w:cs="Calibri"/>
          <w:sz w:val="22"/>
          <w:szCs w:val="22"/>
          <w:lang w:val="sq-AL"/>
        </w:rPr>
        <w:t>r Ministrinë e Brendshme me dy VKM si m</w:t>
      </w:r>
      <w:r w:rsidR="006B729A" w:rsidRPr="00A73AA7">
        <w:rPr>
          <w:rFonts w:ascii="Calibri" w:hAnsi="Calibri" w:cs="Calibri"/>
          <w:sz w:val="22"/>
          <w:szCs w:val="22"/>
          <w:lang w:val="sq-AL"/>
        </w:rPr>
        <w:t>ë</w:t>
      </w:r>
      <w:r w:rsidRPr="00A73AA7">
        <w:rPr>
          <w:rFonts w:ascii="Calibri" w:hAnsi="Calibri" w:cs="Calibri"/>
          <w:sz w:val="22"/>
          <w:szCs w:val="22"/>
          <w:lang w:val="sq-AL"/>
        </w:rPr>
        <w:t xml:space="preserve"> posht</w:t>
      </w:r>
      <w:r w:rsidR="006B729A" w:rsidRPr="00A73AA7">
        <w:rPr>
          <w:rFonts w:ascii="Calibri" w:hAnsi="Calibri" w:cs="Calibri"/>
          <w:sz w:val="22"/>
          <w:szCs w:val="22"/>
          <w:lang w:val="sq-AL"/>
        </w:rPr>
        <w:t>ë</w:t>
      </w:r>
      <w:r w:rsidRPr="00A73AA7">
        <w:rPr>
          <w:rFonts w:ascii="Calibri" w:hAnsi="Calibri" w:cs="Calibri"/>
          <w:i/>
          <w:iCs/>
          <w:sz w:val="22"/>
          <w:szCs w:val="22"/>
          <w:lang w:val="sq-AL"/>
        </w:rPr>
        <w:t>:</w:t>
      </w:r>
    </w:p>
    <w:p w14:paraId="327A6E85" w14:textId="2B0A8346" w:rsidR="00B56C7F" w:rsidRPr="008B4C07" w:rsidRDefault="00B56C7F" w:rsidP="002549C7">
      <w:pPr>
        <w:pStyle w:val="ListParagraph"/>
        <w:numPr>
          <w:ilvl w:val="0"/>
          <w:numId w:val="25"/>
        </w:numPr>
        <w:spacing w:line="276" w:lineRule="auto"/>
        <w:rPr>
          <w:rFonts w:cs="Calibri"/>
          <w:i/>
          <w:iCs/>
          <w:szCs w:val="22"/>
          <w:lang w:val="sq-AL"/>
        </w:rPr>
      </w:pPr>
      <w:r w:rsidRPr="008B4C07">
        <w:rPr>
          <w:rFonts w:cs="Calibri"/>
          <w:i/>
          <w:iCs/>
          <w:szCs w:val="22"/>
          <w:lang w:val="sq-AL"/>
        </w:rPr>
        <w:t>92.8 milion</w:t>
      </w:r>
      <w:r w:rsidR="00B8083D" w:rsidRPr="008B4C07">
        <w:rPr>
          <w:rFonts w:cs="Calibri"/>
          <w:i/>
          <w:iCs/>
          <w:szCs w:val="22"/>
          <w:lang w:val="sq-AL"/>
        </w:rPr>
        <w:t>ë</w:t>
      </w:r>
      <w:r w:rsidRPr="008B4C07">
        <w:rPr>
          <w:rFonts w:cs="Calibri"/>
          <w:i/>
          <w:iCs/>
          <w:szCs w:val="22"/>
          <w:lang w:val="sq-AL"/>
        </w:rPr>
        <w:t xml:space="preserve"> lek</w:t>
      </w:r>
      <w:r w:rsidR="00B8083D" w:rsidRPr="008B4C07">
        <w:rPr>
          <w:rFonts w:cs="Calibri"/>
          <w:i/>
          <w:iCs/>
          <w:szCs w:val="22"/>
          <w:lang w:val="sq-AL"/>
        </w:rPr>
        <w:t>ë</w:t>
      </w:r>
      <w:r w:rsidRPr="008B4C07">
        <w:rPr>
          <w:rFonts w:cs="Calibri"/>
          <w:i/>
          <w:iCs/>
          <w:szCs w:val="22"/>
          <w:lang w:val="sq-AL"/>
        </w:rPr>
        <w:t xml:space="preserve"> jan</w:t>
      </w:r>
      <w:r w:rsidR="00B8083D" w:rsidRPr="008B4C07">
        <w:rPr>
          <w:rFonts w:cs="Calibri"/>
          <w:i/>
          <w:iCs/>
          <w:szCs w:val="22"/>
          <w:lang w:val="sq-AL"/>
        </w:rPr>
        <w:t>ë</w:t>
      </w:r>
      <w:r w:rsidRPr="008B4C07">
        <w:rPr>
          <w:rFonts w:cs="Calibri"/>
          <w:i/>
          <w:iCs/>
          <w:szCs w:val="22"/>
          <w:lang w:val="sq-AL"/>
        </w:rPr>
        <w:t xml:space="preserve"> akorduar me VKM-n</w:t>
      </w:r>
      <w:r w:rsidR="00B8083D" w:rsidRPr="008B4C07">
        <w:rPr>
          <w:rFonts w:cs="Calibri"/>
          <w:i/>
          <w:iCs/>
          <w:szCs w:val="22"/>
          <w:lang w:val="sq-AL"/>
        </w:rPr>
        <w:t>ë</w:t>
      </w:r>
      <w:r w:rsidRPr="008B4C07">
        <w:rPr>
          <w:rFonts w:cs="Calibri"/>
          <w:i/>
          <w:iCs/>
          <w:szCs w:val="22"/>
          <w:lang w:val="sq-AL"/>
        </w:rPr>
        <w:t xml:space="preserve"> nr.200, dat</w:t>
      </w:r>
      <w:r w:rsidR="00B8083D" w:rsidRPr="008B4C07">
        <w:rPr>
          <w:rFonts w:cs="Calibri"/>
          <w:i/>
          <w:iCs/>
          <w:szCs w:val="22"/>
          <w:lang w:val="sq-AL"/>
        </w:rPr>
        <w:t>ë</w:t>
      </w:r>
      <w:r w:rsidRPr="008B4C07">
        <w:rPr>
          <w:rFonts w:cs="Calibri"/>
          <w:i/>
          <w:iCs/>
          <w:szCs w:val="22"/>
          <w:lang w:val="sq-AL"/>
        </w:rPr>
        <w:t xml:space="preserve"> 04.04.2025 “Për një shtesë fondi në buxhetin e vitit 2025,</w:t>
      </w:r>
      <w:r w:rsidR="006B729A" w:rsidRPr="008B4C07">
        <w:rPr>
          <w:rFonts w:cs="Calibri"/>
          <w:i/>
          <w:iCs/>
          <w:szCs w:val="22"/>
          <w:lang w:val="sq-AL"/>
        </w:rPr>
        <w:t xml:space="preserve"> </w:t>
      </w:r>
      <w:r w:rsidRPr="008B4C07">
        <w:rPr>
          <w:rFonts w:cs="Calibri"/>
          <w:i/>
          <w:iCs/>
          <w:szCs w:val="22"/>
          <w:lang w:val="sq-AL"/>
        </w:rPr>
        <w:t>miratuar për MB dhe DSHQ, për përballimine shpenzimeve të organizimit të takimit të nivelit të lartë të komunitetit politik evropian (EPC), të datës 16 Maj 2025.</w:t>
      </w:r>
    </w:p>
    <w:p w14:paraId="69633191" w14:textId="4558E482" w:rsidR="00180091" w:rsidRPr="008B4C07" w:rsidRDefault="00180091" w:rsidP="002549C7">
      <w:pPr>
        <w:pStyle w:val="ListParagraph"/>
        <w:numPr>
          <w:ilvl w:val="0"/>
          <w:numId w:val="25"/>
        </w:numPr>
        <w:spacing w:line="276" w:lineRule="auto"/>
        <w:rPr>
          <w:rFonts w:cs="Calibri"/>
          <w:i/>
          <w:iCs/>
          <w:szCs w:val="22"/>
          <w:lang w:val="sq-AL"/>
        </w:rPr>
      </w:pPr>
      <w:r w:rsidRPr="008B4C07">
        <w:rPr>
          <w:rFonts w:cs="Calibri"/>
          <w:i/>
          <w:iCs/>
          <w:szCs w:val="22"/>
          <w:lang w:val="sq-AL"/>
        </w:rPr>
        <w:t>69.6 milion lek</w:t>
      </w:r>
      <w:r w:rsidR="006B729A" w:rsidRPr="008B4C07">
        <w:rPr>
          <w:rFonts w:cs="Calibri"/>
          <w:i/>
          <w:iCs/>
          <w:szCs w:val="22"/>
          <w:lang w:val="sq-AL"/>
        </w:rPr>
        <w:t>ë</w:t>
      </w:r>
      <w:r w:rsidRPr="008B4C07">
        <w:rPr>
          <w:rFonts w:cs="Calibri"/>
          <w:i/>
          <w:iCs/>
          <w:szCs w:val="22"/>
          <w:lang w:val="sq-AL"/>
        </w:rPr>
        <w:t xml:space="preserve"> jan</w:t>
      </w:r>
      <w:r w:rsidR="006B729A" w:rsidRPr="008B4C07">
        <w:rPr>
          <w:rFonts w:cs="Calibri"/>
          <w:i/>
          <w:iCs/>
          <w:szCs w:val="22"/>
          <w:lang w:val="sq-AL"/>
        </w:rPr>
        <w:t>ë</w:t>
      </w:r>
      <w:r w:rsidRPr="008B4C07">
        <w:rPr>
          <w:rFonts w:cs="Calibri"/>
          <w:i/>
          <w:iCs/>
          <w:szCs w:val="22"/>
          <w:lang w:val="sq-AL"/>
        </w:rPr>
        <w:t xml:space="preserve"> akorduar </w:t>
      </w:r>
      <w:r w:rsidR="00635EFE" w:rsidRPr="008B4C07">
        <w:rPr>
          <w:rFonts w:cs="Calibri"/>
          <w:i/>
          <w:iCs/>
          <w:szCs w:val="22"/>
          <w:lang w:val="sq-AL"/>
        </w:rPr>
        <w:t>me VKM nr. 483 dat</w:t>
      </w:r>
      <w:r w:rsidR="006B729A" w:rsidRPr="008B4C07">
        <w:rPr>
          <w:rFonts w:cs="Calibri"/>
          <w:i/>
          <w:iCs/>
          <w:szCs w:val="22"/>
          <w:lang w:val="sq-AL"/>
        </w:rPr>
        <w:t>ë</w:t>
      </w:r>
      <w:r w:rsidR="00635EFE" w:rsidRPr="008B4C07">
        <w:rPr>
          <w:rFonts w:cs="Calibri"/>
          <w:i/>
          <w:iCs/>
          <w:szCs w:val="22"/>
          <w:lang w:val="sq-AL"/>
        </w:rPr>
        <w:t xml:space="preserve"> 2.9.2025” Për dhënie shpërblimi personelit të angazhuar në operacionet për shuarjen e zjarreve gjatë vitit 2025</w:t>
      </w:r>
    </w:p>
    <w:p w14:paraId="0CA2261D" w14:textId="57B9DF9A" w:rsidR="00247BF1" w:rsidRPr="00412F62" w:rsidRDefault="00247BF1" w:rsidP="00247BF1">
      <w:pPr>
        <w:pStyle w:val="ListParagraph"/>
        <w:numPr>
          <w:ilvl w:val="0"/>
          <w:numId w:val="28"/>
        </w:numPr>
        <w:spacing w:line="276" w:lineRule="auto"/>
        <w:rPr>
          <w:rFonts w:cs="Calibri"/>
          <w:i/>
          <w:iCs/>
          <w:szCs w:val="22"/>
          <w:lang w:val="sq-AL"/>
        </w:rPr>
      </w:pPr>
      <w:r>
        <w:rPr>
          <w:rFonts w:cs="Calibri"/>
          <w:szCs w:val="22"/>
          <w:lang w:val="sq-AL"/>
        </w:rPr>
        <w:t>50 milion lek</w:t>
      </w:r>
      <w:r w:rsidR="00C76185">
        <w:rPr>
          <w:rFonts w:cs="Calibri"/>
          <w:szCs w:val="22"/>
          <w:lang w:val="sq-AL"/>
        </w:rPr>
        <w:t>ë</w:t>
      </w:r>
      <w:r>
        <w:rPr>
          <w:rFonts w:cs="Calibri"/>
          <w:szCs w:val="22"/>
          <w:lang w:val="sq-AL"/>
        </w:rPr>
        <w:t xml:space="preserve"> jan</w:t>
      </w:r>
      <w:r w:rsidR="00C76185">
        <w:rPr>
          <w:rFonts w:cs="Calibri"/>
          <w:szCs w:val="22"/>
          <w:lang w:val="sq-AL"/>
        </w:rPr>
        <w:t>ë</w:t>
      </w:r>
      <w:r>
        <w:rPr>
          <w:rFonts w:cs="Calibri"/>
          <w:szCs w:val="22"/>
          <w:lang w:val="sq-AL"/>
        </w:rPr>
        <w:t xml:space="preserve"> akorduar me VKM-n</w:t>
      </w:r>
      <w:r w:rsidR="00C76185">
        <w:rPr>
          <w:rFonts w:cs="Calibri"/>
          <w:szCs w:val="22"/>
          <w:lang w:val="sq-AL"/>
        </w:rPr>
        <w:t>ë</w:t>
      </w:r>
      <w:r>
        <w:rPr>
          <w:rFonts w:cs="Calibri"/>
          <w:szCs w:val="22"/>
          <w:lang w:val="sq-AL"/>
        </w:rPr>
        <w:t xml:space="preserve"> nr. 821 dat</w:t>
      </w:r>
      <w:r w:rsidR="00C76185">
        <w:rPr>
          <w:rFonts w:cs="Calibri"/>
          <w:szCs w:val="22"/>
          <w:lang w:val="sq-AL"/>
        </w:rPr>
        <w:t>ë</w:t>
      </w:r>
      <w:r>
        <w:rPr>
          <w:rFonts w:cs="Calibri"/>
          <w:szCs w:val="22"/>
          <w:lang w:val="sq-AL"/>
        </w:rPr>
        <w:t xml:space="preserve"> 30.12.2025 “</w:t>
      </w:r>
      <w:r w:rsidRPr="00247BF1">
        <w:rPr>
          <w:rFonts w:cs="Calibri"/>
          <w:i/>
          <w:iCs/>
          <w:szCs w:val="22"/>
          <w:lang w:val="sq-AL"/>
        </w:rPr>
        <w:t>P</w:t>
      </w:r>
      <w:r w:rsidR="00C76185">
        <w:rPr>
          <w:rFonts w:cs="Calibri"/>
          <w:i/>
          <w:iCs/>
          <w:szCs w:val="22"/>
          <w:lang w:val="sq-AL"/>
        </w:rPr>
        <w:t>ë</w:t>
      </w:r>
      <w:r w:rsidRPr="00247BF1">
        <w:rPr>
          <w:rFonts w:cs="Calibri"/>
          <w:i/>
          <w:iCs/>
          <w:szCs w:val="22"/>
          <w:lang w:val="sq-AL"/>
        </w:rPr>
        <w:t>r nj</w:t>
      </w:r>
      <w:r w:rsidR="00C76185">
        <w:rPr>
          <w:rFonts w:cs="Calibri"/>
          <w:i/>
          <w:iCs/>
          <w:szCs w:val="22"/>
          <w:lang w:val="sq-AL"/>
        </w:rPr>
        <w:t>ë</w:t>
      </w:r>
      <w:r w:rsidRPr="00247BF1">
        <w:rPr>
          <w:rFonts w:cs="Calibri"/>
          <w:i/>
          <w:iCs/>
          <w:szCs w:val="22"/>
          <w:lang w:val="sq-AL"/>
        </w:rPr>
        <w:t xml:space="preserve"> shtes</w:t>
      </w:r>
      <w:r w:rsidR="00C76185">
        <w:rPr>
          <w:rFonts w:cs="Calibri"/>
          <w:i/>
          <w:iCs/>
          <w:szCs w:val="22"/>
          <w:lang w:val="sq-AL"/>
        </w:rPr>
        <w:t>ë</w:t>
      </w:r>
      <w:r w:rsidRPr="00247BF1">
        <w:rPr>
          <w:rFonts w:cs="Calibri"/>
          <w:i/>
          <w:iCs/>
          <w:szCs w:val="22"/>
          <w:lang w:val="sq-AL"/>
        </w:rPr>
        <w:t xml:space="preserve"> n</w:t>
      </w:r>
      <w:r w:rsidR="00C76185">
        <w:rPr>
          <w:rFonts w:cs="Calibri"/>
          <w:i/>
          <w:iCs/>
          <w:szCs w:val="22"/>
          <w:lang w:val="sq-AL"/>
        </w:rPr>
        <w:t>ë</w:t>
      </w:r>
      <w:r w:rsidRPr="00247BF1">
        <w:rPr>
          <w:rFonts w:cs="Calibri"/>
          <w:i/>
          <w:iCs/>
          <w:szCs w:val="22"/>
          <w:lang w:val="sq-AL"/>
        </w:rPr>
        <w:t xml:space="preserve"> Vendimin nr.684 dat</w:t>
      </w:r>
      <w:r w:rsidR="00C76185">
        <w:rPr>
          <w:rFonts w:cs="Calibri"/>
          <w:i/>
          <w:iCs/>
          <w:szCs w:val="22"/>
          <w:lang w:val="sq-AL"/>
        </w:rPr>
        <w:t>ë</w:t>
      </w:r>
      <w:r w:rsidRPr="00247BF1">
        <w:rPr>
          <w:rFonts w:cs="Calibri"/>
          <w:i/>
          <w:iCs/>
          <w:szCs w:val="22"/>
          <w:lang w:val="sq-AL"/>
        </w:rPr>
        <w:t xml:space="preserve"> 6.11.2024 t</w:t>
      </w:r>
      <w:r w:rsidR="00C76185">
        <w:rPr>
          <w:rFonts w:cs="Calibri"/>
          <w:i/>
          <w:iCs/>
          <w:szCs w:val="22"/>
          <w:lang w:val="sq-AL"/>
        </w:rPr>
        <w:t>ë</w:t>
      </w:r>
      <w:r w:rsidRPr="00247BF1">
        <w:rPr>
          <w:rFonts w:cs="Calibri"/>
          <w:i/>
          <w:iCs/>
          <w:szCs w:val="22"/>
          <w:lang w:val="sq-AL"/>
        </w:rPr>
        <w:t xml:space="preserve"> K</w:t>
      </w:r>
      <w:r w:rsidR="00C76185">
        <w:rPr>
          <w:rFonts w:cs="Calibri"/>
          <w:i/>
          <w:iCs/>
          <w:szCs w:val="22"/>
          <w:lang w:val="sq-AL"/>
        </w:rPr>
        <w:t>ë</w:t>
      </w:r>
      <w:r w:rsidRPr="00247BF1">
        <w:rPr>
          <w:rFonts w:cs="Calibri"/>
          <w:i/>
          <w:iCs/>
          <w:szCs w:val="22"/>
          <w:lang w:val="sq-AL"/>
        </w:rPr>
        <w:t>shillit t</w:t>
      </w:r>
      <w:r w:rsidR="00C76185">
        <w:rPr>
          <w:rFonts w:cs="Calibri"/>
          <w:i/>
          <w:iCs/>
          <w:szCs w:val="22"/>
          <w:lang w:val="sq-AL"/>
        </w:rPr>
        <w:t>ë</w:t>
      </w:r>
      <w:r w:rsidRPr="00247BF1">
        <w:rPr>
          <w:rFonts w:cs="Calibri"/>
          <w:i/>
          <w:iCs/>
          <w:szCs w:val="22"/>
          <w:lang w:val="sq-AL"/>
        </w:rPr>
        <w:t xml:space="preserve"> Ministrave, ‘P</w:t>
      </w:r>
      <w:r w:rsidR="00C76185">
        <w:rPr>
          <w:rFonts w:cs="Calibri"/>
          <w:i/>
          <w:iCs/>
          <w:szCs w:val="22"/>
          <w:lang w:val="sq-AL"/>
        </w:rPr>
        <w:t>ë</w:t>
      </w:r>
      <w:r w:rsidRPr="00247BF1">
        <w:rPr>
          <w:rFonts w:cs="Calibri"/>
          <w:i/>
          <w:iCs/>
          <w:szCs w:val="22"/>
          <w:lang w:val="sq-AL"/>
        </w:rPr>
        <w:t>r krijimin e shoq</w:t>
      </w:r>
      <w:r w:rsidR="00C76185">
        <w:rPr>
          <w:rFonts w:cs="Calibri"/>
          <w:i/>
          <w:iCs/>
          <w:szCs w:val="22"/>
          <w:lang w:val="sq-AL"/>
        </w:rPr>
        <w:t>ë</w:t>
      </w:r>
      <w:r w:rsidRPr="00247BF1">
        <w:rPr>
          <w:rFonts w:cs="Calibri"/>
          <w:i/>
          <w:iCs/>
          <w:szCs w:val="22"/>
          <w:lang w:val="sq-AL"/>
        </w:rPr>
        <w:t>ris</w:t>
      </w:r>
      <w:r w:rsidR="00C76185">
        <w:rPr>
          <w:rFonts w:cs="Calibri"/>
          <w:i/>
          <w:iCs/>
          <w:szCs w:val="22"/>
          <w:lang w:val="sq-AL"/>
        </w:rPr>
        <w:t>ë</w:t>
      </w:r>
      <w:r w:rsidRPr="00247BF1">
        <w:rPr>
          <w:rFonts w:cs="Calibri"/>
          <w:i/>
          <w:iCs/>
          <w:szCs w:val="22"/>
          <w:lang w:val="sq-AL"/>
        </w:rPr>
        <w:t xml:space="preserve"> aksionare Enti Komb</w:t>
      </w:r>
      <w:r w:rsidR="00C76185">
        <w:rPr>
          <w:rFonts w:cs="Calibri"/>
          <w:i/>
          <w:iCs/>
          <w:szCs w:val="22"/>
          <w:lang w:val="sq-AL"/>
        </w:rPr>
        <w:t>ë</w:t>
      </w:r>
      <w:r w:rsidRPr="00247BF1">
        <w:rPr>
          <w:rFonts w:cs="Calibri"/>
          <w:i/>
          <w:iCs/>
          <w:szCs w:val="22"/>
          <w:lang w:val="sq-AL"/>
        </w:rPr>
        <w:t>star i Operimit Rrugor, sh.a</w:t>
      </w:r>
      <w:r>
        <w:rPr>
          <w:rFonts w:cs="Calibri"/>
          <w:szCs w:val="22"/>
          <w:lang w:val="sq-AL"/>
        </w:rPr>
        <w:t>”.</w:t>
      </w:r>
    </w:p>
    <w:p w14:paraId="356D1B03" w14:textId="040521AE" w:rsidR="00412F62" w:rsidRPr="00412F62" w:rsidRDefault="00412F62" w:rsidP="00247BF1">
      <w:pPr>
        <w:pStyle w:val="ListParagraph"/>
        <w:numPr>
          <w:ilvl w:val="0"/>
          <w:numId w:val="28"/>
        </w:numPr>
        <w:spacing w:line="276" w:lineRule="auto"/>
        <w:rPr>
          <w:rFonts w:cs="Calibri"/>
          <w:i/>
          <w:iCs/>
          <w:szCs w:val="22"/>
          <w:lang w:val="sq-AL"/>
        </w:rPr>
      </w:pPr>
      <w:r>
        <w:rPr>
          <w:rFonts w:cs="Calibri"/>
          <w:szCs w:val="22"/>
          <w:lang w:val="sq-AL"/>
        </w:rPr>
        <w:t>5.7 milion lek</w:t>
      </w:r>
      <w:r w:rsidR="00C76185">
        <w:rPr>
          <w:rFonts w:cs="Calibri"/>
          <w:szCs w:val="22"/>
          <w:lang w:val="sq-AL"/>
        </w:rPr>
        <w:t>ë</w:t>
      </w:r>
      <w:r>
        <w:rPr>
          <w:rFonts w:cs="Calibri"/>
          <w:szCs w:val="22"/>
          <w:lang w:val="sq-AL"/>
        </w:rPr>
        <w:t xml:space="preserve"> jan</w:t>
      </w:r>
      <w:r w:rsidR="00C76185">
        <w:rPr>
          <w:rFonts w:cs="Calibri"/>
          <w:szCs w:val="22"/>
          <w:lang w:val="sq-AL"/>
        </w:rPr>
        <w:t>ë</w:t>
      </w:r>
      <w:r>
        <w:rPr>
          <w:rFonts w:cs="Calibri"/>
          <w:szCs w:val="22"/>
          <w:lang w:val="sq-AL"/>
        </w:rPr>
        <w:t xml:space="preserve"> akorduar p</w:t>
      </w:r>
      <w:r w:rsidR="00C76185">
        <w:rPr>
          <w:rFonts w:cs="Calibri"/>
          <w:szCs w:val="22"/>
          <w:lang w:val="sq-AL"/>
        </w:rPr>
        <w:t>ë</w:t>
      </w:r>
      <w:r>
        <w:rPr>
          <w:rFonts w:cs="Calibri"/>
          <w:szCs w:val="22"/>
          <w:lang w:val="sq-AL"/>
        </w:rPr>
        <w:t>r Ministrin</w:t>
      </w:r>
      <w:r w:rsidR="00C76185">
        <w:rPr>
          <w:rFonts w:cs="Calibri"/>
          <w:szCs w:val="22"/>
          <w:lang w:val="sq-AL"/>
        </w:rPr>
        <w:t>ë</w:t>
      </w:r>
      <w:r>
        <w:rPr>
          <w:rFonts w:cs="Calibri"/>
          <w:szCs w:val="22"/>
          <w:lang w:val="sq-AL"/>
        </w:rPr>
        <w:t xml:space="preserve"> e Financave n</w:t>
      </w:r>
      <w:r w:rsidR="00C76185">
        <w:rPr>
          <w:rFonts w:cs="Calibri"/>
          <w:szCs w:val="22"/>
          <w:lang w:val="sq-AL"/>
        </w:rPr>
        <w:t>ë</w:t>
      </w:r>
      <w:r>
        <w:rPr>
          <w:rFonts w:cs="Calibri"/>
          <w:szCs w:val="22"/>
          <w:lang w:val="sq-AL"/>
        </w:rPr>
        <w:t>p</w:t>
      </w:r>
      <w:r w:rsidR="00C76185">
        <w:rPr>
          <w:rFonts w:cs="Calibri"/>
          <w:szCs w:val="22"/>
          <w:lang w:val="sq-AL"/>
        </w:rPr>
        <w:t>ë</w:t>
      </w:r>
      <w:r>
        <w:rPr>
          <w:rFonts w:cs="Calibri"/>
          <w:szCs w:val="22"/>
          <w:lang w:val="sq-AL"/>
        </w:rPr>
        <w:t>rmjet tre VKM-ve si m</w:t>
      </w:r>
      <w:r w:rsidR="00C76185">
        <w:rPr>
          <w:rFonts w:cs="Calibri"/>
          <w:szCs w:val="22"/>
          <w:lang w:val="sq-AL"/>
        </w:rPr>
        <w:t>ë</w:t>
      </w:r>
      <w:r>
        <w:rPr>
          <w:rFonts w:cs="Calibri"/>
          <w:szCs w:val="22"/>
          <w:lang w:val="sq-AL"/>
        </w:rPr>
        <w:t xml:space="preserve"> posht</w:t>
      </w:r>
      <w:r w:rsidR="00C76185">
        <w:rPr>
          <w:rFonts w:cs="Calibri"/>
          <w:szCs w:val="22"/>
          <w:lang w:val="sq-AL"/>
        </w:rPr>
        <w:t>ë</w:t>
      </w:r>
      <w:r>
        <w:rPr>
          <w:rFonts w:cs="Calibri"/>
          <w:szCs w:val="22"/>
          <w:lang w:val="sq-AL"/>
        </w:rPr>
        <w:t>:</w:t>
      </w:r>
    </w:p>
    <w:p w14:paraId="01CC2E29" w14:textId="7B27BA96" w:rsidR="00412F62" w:rsidRPr="008B4C07" w:rsidRDefault="00412F62" w:rsidP="00412F62">
      <w:pPr>
        <w:pStyle w:val="ListParagraph"/>
        <w:numPr>
          <w:ilvl w:val="0"/>
          <w:numId w:val="25"/>
        </w:numPr>
        <w:spacing w:line="276" w:lineRule="auto"/>
        <w:rPr>
          <w:rFonts w:cs="Calibri"/>
          <w:i/>
          <w:iCs/>
          <w:szCs w:val="22"/>
          <w:lang w:val="sq-AL"/>
        </w:rPr>
      </w:pPr>
      <w:r w:rsidRPr="008B4C07">
        <w:rPr>
          <w:rFonts w:cs="Calibri"/>
          <w:i/>
          <w:iCs/>
          <w:szCs w:val="22"/>
          <w:lang w:val="sq-AL"/>
        </w:rPr>
        <w:t>1.7 milion lek</w:t>
      </w:r>
      <w:r w:rsidR="00C76185" w:rsidRPr="008B4C07">
        <w:rPr>
          <w:rFonts w:cs="Calibri"/>
          <w:i/>
          <w:iCs/>
          <w:szCs w:val="22"/>
          <w:lang w:val="sq-AL"/>
        </w:rPr>
        <w:t>ë</w:t>
      </w:r>
      <w:r w:rsidRPr="008B4C07">
        <w:rPr>
          <w:rFonts w:cs="Calibri"/>
          <w:i/>
          <w:iCs/>
          <w:szCs w:val="22"/>
          <w:lang w:val="sq-AL"/>
        </w:rPr>
        <w:t xml:space="preserve"> me VKM-n</w:t>
      </w:r>
      <w:r w:rsidR="00C76185" w:rsidRPr="008B4C07">
        <w:rPr>
          <w:rFonts w:cs="Calibri"/>
          <w:i/>
          <w:iCs/>
          <w:szCs w:val="22"/>
          <w:lang w:val="sq-AL"/>
        </w:rPr>
        <w:t>ë</w:t>
      </w:r>
      <w:r w:rsidRPr="008B4C07">
        <w:rPr>
          <w:rFonts w:cs="Calibri"/>
          <w:i/>
          <w:iCs/>
          <w:szCs w:val="22"/>
          <w:lang w:val="sq-AL"/>
        </w:rPr>
        <w:t xml:space="preserve"> nr. 547 dat</w:t>
      </w:r>
      <w:r w:rsidR="00C76185" w:rsidRPr="008B4C07">
        <w:rPr>
          <w:rFonts w:cs="Calibri"/>
          <w:i/>
          <w:iCs/>
          <w:szCs w:val="22"/>
          <w:lang w:val="sq-AL"/>
        </w:rPr>
        <w:t>ë</w:t>
      </w:r>
      <w:r w:rsidRPr="008B4C07">
        <w:rPr>
          <w:rFonts w:cs="Calibri"/>
          <w:i/>
          <w:iCs/>
          <w:szCs w:val="22"/>
          <w:lang w:val="sq-AL"/>
        </w:rPr>
        <w:t xml:space="preserve"> 1.10.2025 "Për ekzekutimin e VGJEDNJ dt 16.7.2024, për cështjen "Meli dhe S</w:t>
      </w:r>
      <w:r w:rsidR="00C76185" w:rsidRPr="008B4C07">
        <w:rPr>
          <w:rFonts w:cs="Calibri"/>
          <w:i/>
          <w:iCs/>
          <w:szCs w:val="22"/>
          <w:lang w:val="sq-AL"/>
        </w:rPr>
        <w:t>w</w:t>
      </w:r>
      <w:r w:rsidRPr="008B4C07">
        <w:rPr>
          <w:rFonts w:cs="Calibri"/>
          <w:i/>
          <w:iCs/>
          <w:szCs w:val="22"/>
          <w:lang w:val="sq-AL"/>
        </w:rPr>
        <w:t>inkels family bre</w:t>
      </w:r>
      <w:r w:rsidR="00C76185" w:rsidRPr="008B4C07">
        <w:rPr>
          <w:rFonts w:cs="Calibri"/>
          <w:i/>
          <w:iCs/>
          <w:szCs w:val="22"/>
          <w:lang w:val="sq-AL"/>
        </w:rPr>
        <w:t>w</w:t>
      </w:r>
      <w:r w:rsidRPr="008B4C07">
        <w:rPr>
          <w:rFonts w:cs="Calibri"/>
          <w:i/>
          <w:iCs/>
          <w:szCs w:val="22"/>
          <w:lang w:val="sq-AL"/>
        </w:rPr>
        <w:t>ers N.V kund</w:t>
      </w:r>
      <w:r w:rsidR="00C76185" w:rsidRPr="008B4C07">
        <w:rPr>
          <w:rFonts w:cs="Calibri"/>
          <w:i/>
          <w:iCs/>
          <w:szCs w:val="22"/>
          <w:lang w:val="sq-AL"/>
        </w:rPr>
        <w:t>ë</w:t>
      </w:r>
      <w:r w:rsidRPr="008B4C07">
        <w:rPr>
          <w:rFonts w:cs="Calibri"/>
          <w:i/>
          <w:iCs/>
          <w:szCs w:val="22"/>
          <w:lang w:val="sq-AL"/>
        </w:rPr>
        <w:t>r Shqip</w:t>
      </w:r>
      <w:r w:rsidR="00C76185" w:rsidRPr="008B4C07">
        <w:rPr>
          <w:rFonts w:cs="Calibri"/>
          <w:i/>
          <w:iCs/>
          <w:szCs w:val="22"/>
          <w:lang w:val="sq-AL"/>
        </w:rPr>
        <w:t>ë</w:t>
      </w:r>
      <w:r w:rsidRPr="008B4C07">
        <w:rPr>
          <w:rFonts w:cs="Calibri"/>
          <w:i/>
          <w:iCs/>
          <w:szCs w:val="22"/>
          <w:lang w:val="sq-AL"/>
        </w:rPr>
        <w:t>ris</w:t>
      </w:r>
      <w:r w:rsidR="00C76185" w:rsidRPr="008B4C07">
        <w:rPr>
          <w:rFonts w:cs="Calibri"/>
          <w:i/>
          <w:iCs/>
          <w:szCs w:val="22"/>
          <w:lang w:val="sq-AL"/>
        </w:rPr>
        <w:t>ë</w:t>
      </w:r>
      <w:r w:rsidRPr="008B4C07">
        <w:rPr>
          <w:rFonts w:cs="Calibri"/>
          <w:i/>
          <w:iCs/>
          <w:szCs w:val="22"/>
          <w:lang w:val="sq-AL"/>
        </w:rPr>
        <w:t>".</w:t>
      </w:r>
    </w:p>
    <w:p w14:paraId="5E4FA5E3" w14:textId="4D48D3A7" w:rsidR="00412F62" w:rsidRPr="008B4C07" w:rsidRDefault="00412F62" w:rsidP="00412F62">
      <w:pPr>
        <w:pStyle w:val="ListParagraph"/>
        <w:numPr>
          <w:ilvl w:val="0"/>
          <w:numId w:val="25"/>
        </w:numPr>
        <w:spacing w:line="276" w:lineRule="auto"/>
        <w:rPr>
          <w:rFonts w:cs="Calibri"/>
          <w:i/>
          <w:iCs/>
          <w:szCs w:val="22"/>
          <w:lang w:val="sq-AL"/>
        </w:rPr>
      </w:pPr>
      <w:r w:rsidRPr="008B4C07">
        <w:rPr>
          <w:rFonts w:cs="Calibri"/>
          <w:i/>
          <w:iCs/>
          <w:szCs w:val="22"/>
          <w:lang w:val="sq-AL"/>
        </w:rPr>
        <w:t>1.4 milion lek</w:t>
      </w:r>
      <w:r w:rsidR="00C76185" w:rsidRPr="008B4C07">
        <w:rPr>
          <w:rFonts w:cs="Calibri"/>
          <w:i/>
          <w:iCs/>
          <w:szCs w:val="22"/>
          <w:lang w:val="sq-AL"/>
        </w:rPr>
        <w:t>ë</w:t>
      </w:r>
      <w:r w:rsidRPr="008B4C07">
        <w:rPr>
          <w:rFonts w:cs="Calibri"/>
          <w:i/>
          <w:iCs/>
          <w:szCs w:val="22"/>
          <w:lang w:val="sq-AL"/>
        </w:rPr>
        <w:t xml:space="preserve"> me VKM-n</w:t>
      </w:r>
      <w:r w:rsidR="00C76185" w:rsidRPr="008B4C07">
        <w:rPr>
          <w:rFonts w:cs="Calibri"/>
          <w:i/>
          <w:iCs/>
          <w:szCs w:val="22"/>
          <w:lang w:val="sq-AL"/>
        </w:rPr>
        <w:t>ë</w:t>
      </w:r>
      <w:r w:rsidRPr="008B4C07">
        <w:rPr>
          <w:rFonts w:cs="Calibri"/>
          <w:i/>
          <w:iCs/>
          <w:szCs w:val="22"/>
          <w:lang w:val="sq-AL"/>
        </w:rPr>
        <w:t xml:space="preserve"> nr. 592 dat</w:t>
      </w:r>
      <w:r w:rsidR="00C76185" w:rsidRPr="008B4C07">
        <w:rPr>
          <w:rFonts w:cs="Calibri"/>
          <w:i/>
          <w:iCs/>
          <w:szCs w:val="22"/>
          <w:lang w:val="sq-AL"/>
        </w:rPr>
        <w:t>ë</w:t>
      </w:r>
      <w:r w:rsidRPr="008B4C07">
        <w:rPr>
          <w:rFonts w:cs="Calibri"/>
          <w:i/>
          <w:iCs/>
          <w:szCs w:val="22"/>
          <w:lang w:val="sq-AL"/>
        </w:rPr>
        <w:t xml:space="preserve"> 15.10.2025 "Për ekzekutimin e VGJEDNJ dt 10.12.2024, për </w:t>
      </w:r>
      <w:r w:rsidR="008B4C07">
        <w:rPr>
          <w:rFonts w:cs="Calibri"/>
          <w:i/>
          <w:iCs/>
          <w:szCs w:val="22"/>
          <w:lang w:val="sq-AL"/>
        </w:rPr>
        <w:t>ç</w:t>
      </w:r>
      <w:r w:rsidRPr="008B4C07">
        <w:rPr>
          <w:rFonts w:cs="Calibri"/>
          <w:i/>
          <w:iCs/>
          <w:szCs w:val="22"/>
          <w:lang w:val="sq-AL"/>
        </w:rPr>
        <w:t>ështjen "Ramaj kund</w:t>
      </w:r>
      <w:r w:rsidR="00C76185" w:rsidRPr="008B4C07">
        <w:rPr>
          <w:rFonts w:cs="Calibri"/>
          <w:i/>
          <w:iCs/>
          <w:szCs w:val="22"/>
          <w:lang w:val="sq-AL"/>
        </w:rPr>
        <w:t>ë</w:t>
      </w:r>
      <w:r w:rsidRPr="008B4C07">
        <w:rPr>
          <w:rFonts w:cs="Calibri"/>
          <w:i/>
          <w:iCs/>
          <w:szCs w:val="22"/>
          <w:lang w:val="sq-AL"/>
        </w:rPr>
        <w:t>r Shqip</w:t>
      </w:r>
      <w:r w:rsidR="00C76185" w:rsidRPr="008B4C07">
        <w:rPr>
          <w:rFonts w:cs="Calibri"/>
          <w:i/>
          <w:iCs/>
          <w:szCs w:val="22"/>
          <w:lang w:val="sq-AL"/>
        </w:rPr>
        <w:t>ë</w:t>
      </w:r>
      <w:r w:rsidRPr="008B4C07">
        <w:rPr>
          <w:rFonts w:cs="Calibri"/>
          <w:i/>
          <w:iCs/>
          <w:szCs w:val="22"/>
          <w:lang w:val="sq-AL"/>
        </w:rPr>
        <w:t>ris</w:t>
      </w:r>
      <w:r w:rsidR="00C76185" w:rsidRPr="008B4C07">
        <w:rPr>
          <w:rFonts w:ascii="Segoe UI Symbol" w:hAnsi="Segoe UI Symbol" w:cs="Calibri"/>
          <w:i/>
          <w:iCs/>
          <w:szCs w:val="22"/>
          <w:lang w:eastAsia="ja-JP"/>
        </w:rPr>
        <w:t>ë</w:t>
      </w:r>
      <w:r w:rsidR="008B4C07">
        <w:rPr>
          <w:rFonts w:ascii="Segoe UI Symbol" w:hAnsi="Segoe UI Symbol" w:cs="Calibri"/>
          <w:i/>
          <w:iCs/>
          <w:szCs w:val="22"/>
          <w:lang w:eastAsia="ja-JP"/>
        </w:rPr>
        <w:t xml:space="preserve"> </w:t>
      </w:r>
      <w:r w:rsidRPr="008B4C07">
        <w:rPr>
          <w:rFonts w:cs="Calibri"/>
          <w:i/>
          <w:iCs/>
          <w:szCs w:val="22"/>
          <w:lang w:val="sq-AL"/>
        </w:rPr>
        <w:t>”.</w:t>
      </w:r>
    </w:p>
    <w:p w14:paraId="6F3A0C89" w14:textId="1DDE7200" w:rsidR="00412F62" w:rsidRPr="008B4C07" w:rsidRDefault="00412F62" w:rsidP="00412F62">
      <w:pPr>
        <w:pStyle w:val="ListParagraph"/>
        <w:numPr>
          <w:ilvl w:val="0"/>
          <w:numId w:val="25"/>
        </w:numPr>
        <w:spacing w:line="276" w:lineRule="auto"/>
        <w:rPr>
          <w:rFonts w:cs="Calibri"/>
          <w:i/>
          <w:iCs/>
          <w:szCs w:val="22"/>
          <w:lang w:val="sq-AL"/>
        </w:rPr>
      </w:pPr>
      <w:r w:rsidRPr="008B4C07">
        <w:rPr>
          <w:rFonts w:cs="Calibri"/>
          <w:i/>
          <w:iCs/>
          <w:szCs w:val="22"/>
          <w:lang w:val="sq-AL"/>
        </w:rPr>
        <w:t>1.2 milion lek</w:t>
      </w:r>
      <w:r w:rsidR="00C76185" w:rsidRPr="008B4C07">
        <w:rPr>
          <w:rFonts w:cs="Calibri"/>
          <w:i/>
          <w:iCs/>
          <w:szCs w:val="22"/>
          <w:lang w:val="sq-AL"/>
        </w:rPr>
        <w:t>ë</w:t>
      </w:r>
      <w:r w:rsidRPr="008B4C07">
        <w:rPr>
          <w:rFonts w:cs="Calibri"/>
          <w:i/>
          <w:iCs/>
          <w:szCs w:val="22"/>
          <w:lang w:val="sq-AL"/>
        </w:rPr>
        <w:t xml:space="preserve"> me VKM-n</w:t>
      </w:r>
      <w:r w:rsidR="00C76185" w:rsidRPr="008B4C07">
        <w:rPr>
          <w:rFonts w:cs="Calibri"/>
          <w:i/>
          <w:iCs/>
          <w:szCs w:val="22"/>
          <w:lang w:val="sq-AL"/>
        </w:rPr>
        <w:t>ë</w:t>
      </w:r>
      <w:r w:rsidRPr="008B4C07">
        <w:rPr>
          <w:rFonts w:cs="Calibri"/>
          <w:i/>
          <w:iCs/>
          <w:szCs w:val="22"/>
          <w:lang w:val="sq-AL"/>
        </w:rPr>
        <w:t xml:space="preserve"> nr. 652 dat</w:t>
      </w:r>
      <w:r w:rsidR="00C76185" w:rsidRPr="008B4C07">
        <w:rPr>
          <w:rFonts w:cs="Calibri"/>
          <w:i/>
          <w:iCs/>
          <w:szCs w:val="22"/>
          <w:lang w:val="sq-AL"/>
        </w:rPr>
        <w:t>ë</w:t>
      </w:r>
      <w:r w:rsidRPr="008B4C07">
        <w:rPr>
          <w:rFonts w:cs="Calibri"/>
          <w:i/>
          <w:iCs/>
          <w:szCs w:val="22"/>
          <w:lang w:val="sq-AL"/>
        </w:rPr>
        <w:t xml:space="preserve"> 12.11.2025 "Për ekzekutimin e Vendimit të Gjykatës Evropiane për të drejtat e Njeriut, dt 27.05.2025, për çështjen </w:t>
      </w:r>
      <w:r w:rsidR="00C76185" w:rsidRPr="008B4C07">
        <w:rPr>
          <w:rFonts w:cs="Calibri"/>
          <w:i/>
          <w:iCs/>
          <w:szCs w:val="22"/>
          <w:lang w:val="sq-AL"/>
        </w:rPr>
        <w:t>A</w:t>
      </w:r>
      <w:r w:rsidRPr="008B4C07">
        <w:rPr>
          <w:rFonts w:cs="Calibri"/>
          <w:i/>
          <w:iCs/>
          <w:szCs w:val="22"/>
          <w:lang w:val="sq-AL"/>
        </w:rPr>
        <w:t>RB.shpk, dhe të tjerë kundër Shqipërisë".</w:t>
      </w:r>
    </w:p>
    <w:p w14:paraId="5D3CE966" w14:textId="77777777" w:rsidR="00412F62" w:rsidRDefault="00412F62" w:rsidP="002549C7">
      <w:pPr>
        <w:spacing w:line="276" w:lineRule="auto"/>
        <w:ind w:left="720"/>
        <w:jc w:val="both"/>
        <w:rPr>
          <w:rFonts w:ascii="Calibri" w:hAnsi="Calibri" w:cs="Calibri"/>
          <w:b/>
          <w:i/>
          <w:color w:val="C00000"/>
          <w:sz w:val="22"/>
          <w:szCs w:val="22"/>
          <w:lang w:val="sq-AL"/>
        </w:rPr>
      </w:pPr>
      <w:bookmarkStart w:id="5" w:name="_Hlk130466244"/>
    </w:p>
    <w:p w14:paraId="22602117" w14:textId="376C9FD8" w:rsidR="00550764" w:rsidRPr="00A73AA7" w:rsidRDefault="00412F62" w:rsidP="002549C7">
      <w:pPr>
        <w:spacing w:line="276" w:lineRule="auto"/>
        <w:ind w:left="720"/>
        <w:jc w:val="both"/>
        <w:rPr>
          <w:rFonts w:ascii="Calibri" w:hAnsi="Calibri" w:cs="Calibri"/>
          <w:b/>
          <w:i/>
          <w:color w:val="C00000"/>
          <w:sz w:val="22"/>
          <w:szCs w:val="22"/>
          <w:lang w:val="sq-AL"/>
        </w:rPr>
      </w:pPr>
      <w:r w:rsidRPr="00A73AA7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197DA9" wp14:editId="49E8D531">
                <wp:simplePos x="0" y="0"/>
                <wp:positionH relativeFrom="margin">
                  <wp:posOffset>357505</wp:posOffset>
                </wp:positionH>
                <wp:positionV relativeFrom="paragraph">
                  <wp:posOffset>8890</wp:posOffset>
                </wp:positionV>
                <wp:extent cx="6256655" cy="485140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6655" cy="4851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accent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E98DE2" id="Rectangle 3" o:spid="_x0000_s1026" style="position:absolute;margin-left:28.15pt;margin-top:.7pt;width:492.65pt;height:38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" filled="f" strokecolor="#365f91 [2404]" strokeweight="2pt">
                <w10:wrap anchorx="margin"/>
              </v:rect>
            </w:pict>
          </mc:Fallback>
        </mc:AlternateContent>
      </w:r>
      <w:r w:rsidR="00550764" w:rsidRPr="00A73AA7">
        <w:rPr>
          <w:rFonts w:ascii="Calibri" w:hAnsi="Calibri" w:cs="Calibri"/>
          <w:b/>
          <w:i/>
          <w:color w:val="C00000"/>
          <w:sz w:val="22"/>
          <w:szCs w:val="22"/>
          <w:lang w:val="sq-AL"/>
        </w:rPr>
        <w:t xml:space="preserve">Mbështetur në sa mësipër rezulton se, në datën </w:t>
      </w:r>
      <w:r w:rsidR="00635EFE" w:rsidRPr="00A73AA7">
        <w:rPr>
          <w:rFonts w:ascii="Calibri" w:hAnsi="Calibri" w:cs="Calibri"/>
          <w:b/>
          <w:i/>
          <w:color w:val="C00000"/>
          <w:sz w:val="22"/>
          <w:szCs w:val="22"/>
          <w:lang w:val="sq-AL"/>
        </w:rPr>
        <w:t>3</w:t>
      </w:r>
      <w:r w:rsidR="0055288E" w:rsidRPr="00A73AA7">
        <w:rPr>
          <w:rFonts w:ascii="Calibri" w:hAnsi="Calibri" w:cs="Calibri"/>
          <w:b/>
          <w:i/>
          <w:color w:val="C00000"/>
          <w:sz w:val="22"/>
          <w:szCs w:val="22"/>
          <w:lang w:val="sq-AL"/>
        </w:rPr>
        <w:t>1.1</w:t>
      </w:r>
      <w:r>
        <w:rPr>
          <w:rFonts w:ascii="Calibri" w:hAnsi="Calibri" w:cs="Calibri"/>
          <w:b/>
          <w:i/>
          <w:color w:val="C00000"/>
          <w:sz w:val="22"/>
          <w:szCs w:val="22"/>
          <w:lang w:val="sq-AL"/>
        </w:rPr>
        <w:t>2</w:t>
      </w:r>
      <w:r w:rsidR="001F391C" w:rsidRPr="00A73AA7">
        <w:rPr>
          <w:rFonts w:ascii="Calibri" w:hAnsi="Calibri" w:cs="Calibri"/>
          <w:b/>
          <w:i/>
          <w:color w:val="C00000"/>
          <w:sz w:val="22"/>
          <w:szCs w:val="22"/>
          <w:lang w:val="sq-AL"/>
        </w:rPr>
        <w:t>.</w:t>
      </w:r>
      <w:r w:rsidR="00550764" w:rsidRPr="00A73AA7">
        <w:rPr>
          <w:rFonts w:ascii="Calibri" w:hAnsi="Calibri" w:cs="Calibri"/>
          <w:b/>
          <w:i/>
          <w:color w:val="C00000"/>
          <w:sz w:val="22"/>
          <w:szCs w:val="22"/>
          <w:lang w:val="sq-AL"/>
        </w:rPr>
        <w:t>20</w:t>
      </w:r>
      <w:r w:rsidR="001F391C" w:rsidRPr="00A73AA7">
        <w:rPr>
          <w:rFonts w:ascii="Calibri" w:hAnsi="Calibri" w:cs="Calibri"/>
          <w:b/>
          <w:i/>
          <w:color w:val="C00000"/>
          <w:sz w:val="22"/>
          <w:szCs w:val="22"/>
          <w:lang w:val="sq-AL"/>
        </w:rPr>
        <w:t>2</w:t>
      </w:r>
      <w:r w:rsidR="00B56C7F" w:rsidRPr="00A73AA7">
        <w:rPr>
          <w:rFonts w:ascii="Calibri" w:hAnsi="Calibri" w:cs="Calibri"/>
          <w:b/>
          <w:i/>
          <w:color w:val="C00000"/>
          <w:sz w:val="22"/>
          <w:szCs w:val="22"/>
          <w:lang w:val="sq-AL"/>
        </w:rPr>
        <w:t>5</w:t>
      </w:r>
      <w:r w:rsidR="00550764" w:rsidRPr="00A73AA7">
        <w:rPr>
          <w:rFonts w:ascii="Calibri" w:hAnsi="Calibri" w:cs="Calibri"/>
          <w:b/>
          <w:i/>
          <w:color w:val="C00000"/>
          <w:sz w:val="22"/>
          <w:szCs w:val="22"/>
          <w:lang w:val="sq-AL"/>
        </w:rPr>
        <w:t xml:space="preserve">, gjendja e papërdorur e Fondit Rezervë të buxhetit të shtetit, </w:t>
      </w:r>
      <w:r w:rsidR="00453B87" w:rsidRPr="00A73AA7">
        <w:rPr>
          <w:rFonts w:ascii="Calibri" w:hAnsi="Calibri" w:cs="Calibri"/>
          <w:b/>
          <w:i/>
          <w:color w:val="C00000"/>
          <w:sz w:val="22"/>
          <w:szCs w:val="22"/>
          <w:lang w:val="sq-AL"/>
        </w:rPr>
        <w:t>ë</w:t>
      </w:r>
      <w:r w:rsidR="00677CE8" w:rsidRPr="00A73AA7">
        <w:rPr>
          <w:rFonts w:ascii="Calibri" w:hAnsi="Calibri" w:cs="Calibri"/>
          <w:b/>
          <w:i/>
          <w:color w:val="C00000"/>
          <w:sz w:val="22"/>
          <w:szCs w:val="22"/>
          <w:lang w:val="sq-AL"/>
        </w:rPr>
        <w:t>sht</w:t>
      </w:r>
      <w:r w:rsidR="00453B87" w:rsidRPr="00A73AA7">
        <w:rPr>
          <w:rFonts w:ascii="Calibri" w:hAnsi="Calibri" w:cs="Calibri"/>
          <w:b/>
          <w:i/>
          <w:color w:val="C00000"/>
          <w:sz w:val="22"/>
          <w:szCs w:val="22"/>
          <w:lang w:val="sq-AL"/>
        </w:rPr>
        <w:t>ë</w:t>
      </w:r>
      <w:r w:rsidR="007066F3" w:rsidRPr="00A73AA7">
        <w:rPr>
          <w:rFonts w:ascii="Calibri" w:hAnsi="Calibri" w:cs="Calibri"/>
          <w:b/>
          <w:i/>
          <w:color w:val="C00000"/>
          <w:sz w:val="22"/>
          <w:szCs w:val="22"/>
          <w:lang w:val="sq-AL"/>
        </w:rPr>
        <w:t xml:space="preserve"> </w:t>
      </w:r>
      <w:r>
        <w:rPr>
          <w:rFonts w:ascii="Calibri" w:hAnsi="Calibri" w:cs="Calibri"/>
          <w:b/>
          <w:i/>
          <w:color w:val="C00000"/>
          <w:sz w:val="22"/>
          <w:szCs w:val="22"/>
          <w:u w:val="single"/>
          <w:lang w:val="sq-AL"/>
        </w:rPr>
        <w:t>469.7</w:t>
      </w:r>
      <w:r w:rsidR="0063366F" w:rsidRPr="00A73AA7">
        <w:rPr>
          <w:rFonts w:ascii="Calibri" w:hAnsi="Calibri" w:cs="Calibri"/>
          <w:b/>
          <w:i/>
          <w:color w:val="C00000"/>
          <w:sz w:val="22"/>
          <w:szCs w:val="22"/>
          <w:u w:val="single"/>
          <w:lang w:val="sq-AL"/>
        </w:rPr>
        <w:t xml:space="preserve"> mili</w:t>
      </w:r>
      <w:r w:rsidR="00BC7F22" w:rsidRPr="00A73AA7">
        <w:rPr>
          <w:rFonts w:ascii="Calibri" w:hAnsi="Calibri" w:cs="Calibri"/>
          <w:b/>
          <w:i/>
          <w:color w:val="C00000"/>
          <w:sz w:val="22"/>
          <w:szCs w:val="22"/>
          <w:u w:val="single"/>
          <w:lang w:val="sq-AL"/>
        </w:rPr>
        <w:t>onë</w:t>
      </w:r>
      <w:r w:rsidR="007066F3" w:rsidRPr="00A73AA7">
        <w:rPr>
          <w:rFonts w:ascii="Calibri" w:hAnsi="Calibri" w:cs="Calibri"/>
          <w:b/>
          <w:i/>
          <w:color w:val="C00000"/>
          <w:sz w:val="22"/>
          <w:szCs w:val="22"/>
          <w:u w:val="single"/>
          <w:lang w:val="sq-AL"/>
        </w:rPr>
        <w:t xml:space="preserve"> </w:t>
      </w:r>
      <w:r w:rsidR="00550764" w:rsidRPr="00A73AA7">
        <w:rPr>
          <w:rFonts w:ascii="Calibri" w:hAnsi="Calibri" w:cs="Calibri"/>
          <w:b/>
          <w:i/>
          <w:color w:val="C00000"/>
          <w:sz w:val="22"/>
          <w:szCs w:val="22"/>
          <w:u w:val="single"/>
          <w:lang w:val="sq-AL"/>
        </w:rPr>
        <w:t>lekë</w:t>
      </w:r>
      <w:r w:rsidR="009D3279" w:rsidRPr="00A73AA7">
        <w:rPr>
          <w:rFonts w:ascii="Calibri" w:hAnsi="Calibri" w:cs="Calibri"/>
          <w:b/>
          <w:i/>
          <w:color w:val="C00000"/>
          <w:sz w:val="22"/>
          <w:szCs w:val="22"/>
          <w:lang w:val="sq-AL"/>
        </w:rPr>
        <w:t>.</w:t>
      </w:r>
    </w:p>
    <w:bookmarkEnd w:id="5"/>
    <w:p w14:paraId="66161D93" w14:textId="77777777" w:rsidR="00636954" w:rsidRPr="00A73AA7" w:rsidRDefault="00636954" w:rsidP="002549C7">
      <w:pPr>
        <w:pStyle w:val="ListParagraph"/>
        <w:tabs>
          <w:tab w:val="left" w:pos="990"/>
        </w:tabs>
        <w:spacing w:before="240" w:line="276" w:lineRule="auto"/>
        <w:ind w:left="360"/>
        <w:rPr>
          <w:rFonts w:cs="Calibri"/>
          <w:szCs w:val="22"/>
          <w:lang w:val="sq-AL"/>
        </w:rPr>
      </w:pPr>
    </w:p>
    <w:p w14:paraId="473EF3FF" w14:textId="63936494" w:rsidR="00147246" w:rsidRPr="00A73AA7" w:rsidRDefault="00040E0F" w:rsidP="002549C7">
      <w:pPr>
        <w:pStyle w:val="ListParagraph"/>
        <w:numPr>
          <w:ilvl w:val="0"/>
          <w:numId w:val="21"/>
        </w:numPr>
        <w:tabs>
          <w:tab w:val="left" w:pos="990"/>
        </w:tabs>
        <w:spacing w:before="240" w:line="276" w:lineRule="auto"/>
        <w:rPr>
          <w:rFonts w:cs="Calibri"/>
          <w:szCs w:val="22"/>
          <w:lang w:val="sq-AL"/>
        </w:rPr>
      </w:pPr>
      <w:r w:rsidRPr="00A73AA7">
        <w:rPr>
          <w:rFonts w:cs="Calibri"/>
          <w:b/>
          <w:szCs w:val="22"/>
          <w:lang w:val="sq-AL"/>
        </w:rPr>
        <w:t>Fondi Rezerv</w:t>
      </w:r>
      <w:r w:rsidR="001939EC" w:rsidRPr="00A73AA7">
        <w:rPr>
          <w:rFonts w:cs="Calibri"/>
          <w:b/>
          <w:szCs w:val="22"/>
          <w:lang w:val="sq-AL"/>
        </w:rPr>
        <w:t>ë</w:t>
      </w:r>
      <w:r w:rsidR="00B8083D" w:rsidRPr="00A73AA7">
        <w:rPr>
          <w:rFonts w:cs="Calibri"/>
          <w:b/>
          <w:szCs w:val="22"/>
          <w:lang w:val="sq-AL"/>
        </w:rPr>
        <w:t xml:space="preserve"> </w:t>
      </w:r>
      <w:r w:rsidR="00147246" w:rsidRPr="00A73AA7">
        <w:rPr>
          <w:rFonts w:cs="Calibri"/>
          <w:b/>
          <w:szCs w:val="22"/>
          <w:lang w:val="sq-AL"/>
        </w:rPr>
        <w:t>“P</w:t>
      </w:r>
      <w:r w:rsidR="00931113" w:rsidRPr="00A73AA7">
        <w:rPr>
          <w:rFonts w:cs="Calibri"/>
          <w:b/>
          <w:szCs w:val="22"/>
          <w:lang w:val="sq-AL"/>
        </w:rPr>
        <w:t xml:space="preserve">ër përballimin e kostos </w:t>
      </w:r>
      <w:r w:rsidR="00147246" w:rsidRPr="00A73AA7">
        <w:rPr>
          <w:rFonts w:cs="Calibri"/>
          <w:b/>
          <w:szCs w:val="22"/>
          <w:lang w:val="sq-AL"/>
        </w:rPr>
        <w:t>s</w:t>
      </w:r>
      <w:r w:rsidR="00931113" w:rsidRPr="00A73AA7">
        <w:rPr>
          <w:rFonts w:cs="Calibri"/>
          <w:b/>
          <w:szCs w:val="22"/>
          <w:lang w:val="sq-AL"/>
        </w:rPr>
        <w:t>ë zgjedhje</w:t>
      </w:r>
      <w:r w:rsidR="00147246" w:rsidRPr="00A73AA7">
        <w:rPr>
          <w:rFonts w:cs="Calibri"/>
          <w:b/>
          <w:szCs w:val="22"/>
          <w:lang w:val="sq-AL"/>
        </w:rPr>
        <w:t xml:space="preserve">ve </w:t>
      </w:r>
      <w:r w:rsidR="00B8083D" w:rsidRPr="00A73AA7">
        <w:rPr>
          <w:rFonts w:cs="Calibri"/>
          <w:b/>
          <w:szCs w:val="22"/>
          <w:lang w:val="sq-AL"/>
        </w:rPr>
        <w:t>të përgjithshme</w:t>
      </w:r>
      <w:r w:rsidR="00147246" w:rsidRPr="00A73AA7">
        <w:rPr>
          <w:rFonts w:cs="Calibri"/>
          <w:b/>
          <w:szCs w:val="22"/>
          <w:lang w:val="sq-AL"/>
        </w:rPr>
        <w:t xml:space="preserve"> 202</w:t>
      </w:r>
      <w:r w:rsidR="00B56C7F" w:rsidRPr="00A73AA7">
        <w:rPr>
          <w:rFonts w:cs="Calibri"/>
          <w:b/>
          <w:szCs w:val="22"/>
          <w:lang w:val="sq-AL"/>
        </w:rPr>
        <w:t>5</w:t>
      </w:r>
      <w:r w:rsidR="00147246" w:rsidRPr="00A73AA7">
        <w:rPr>
          <w:rFonts w:cs="Calibri"/>
          <w:b/>
          <w:szCs w:val="22"/>
          <w:lang w:val="sq-AL"/>
        </w:rPr>
        <w:t>”</w:t>
      </w:r>
      <w:r w:rsidR="00B8083D" w:rsidRPr="00A73AA7">
        <w:rPr>
          <w:rFonts w:cs="Calibri"/>
          <w:b/>
          <w:szCs w:val="22"/>
          <w:lang w:val="sq-AL"/>
        </w:rPr>
        <w:t xml:space="preserve"> </w:t>
      </w:r>
      <w:r w:rsidRPr="00A73AA7">
        <w:rPr>
          <w:rFonts w:cs="Calibri"/>
          <w:szCs w:val="22"/>
          <w:lang w:val="sq-AL"/>
        </w:rPr>
        <w:t xml:space="preserve">i planifikuar prej </w:t>
      </w:r>
      <w:r w:rsidR="00B56C7F" w:rsidRPr="00A73AA7">
        <w:rPr>
          <w:rFonts w:cs="Calibri"/>
          <w:szCs w:val="22"/>
          <w:lang w:val="sq-AL"/>
        </w:rPr>
        <w:t>2 500</w:t>
      </w:r>
      <w:r w:rsidRPr="00A73AA7">
        <w:rPr>
          <w:rFonts w:cs="Calibri"/>
          <w:szCs w:val="22"/>
          <w:lang w:val="sq-AL"/>
        </w:rPr>
        <w:t xml:space="preserve"> milion</w:t>
      </w:r>
      <w:r w:rsidR="001939EC" w:rsidRPr="00A73AA7">
        <w:rPr>
          <w:rFonts w:cs="Calibri"/>
          <w:szCs w:val="22"/>
          <w:lang w:val="sq-AL"/>
        </w:rPr>
        <w:t>ë</w:t>
      </w:r>
      <w:r w:rsidRPr="00A73AA7">
        <w:rPr>
          <w:rFonts w:cs="Calibri"/>
          <w:szCs w:val="22"/>
          <w:lang w:val="sq-AL"/>
        </w:rPr>
        <w:t xml:space="preserve"> lek</w:t>
      </w:r>
      <w:r w:rsidR="001939EC" w:rsidRPr="00A73AA7">
        <w:rPr>
          <w:rFonts w:cs="Calibri"/>
          <w:szCs w:val="22"/>
          <w:lang w:val="sq-AL"/>
        </w:rPr>
        <w:t>ë</w:t>
      </w:r>
      <w:r w:rsidRPr="00A73AA7">
        <w:rPr>
          <w:rFonts w:cs="Calibri"/>
          <w:szCs w:val="22"/>
          <w:lang w:val="sq-AL"/>
        </w:rPr>
        <w:t xml:space="preserve">, </w:t>
      </w:r>
      <w:r w:rsidR="00147246" w:rsidRPr="00A73AA7">
        <w:rPr>
          <w:rFonts w:cs="Calibri"/>
          <w:szCs w:val="22"/>
          <w:lang w:val="sq-AL"/>
        </w:rPr>
        <w:t xml:space="preserve">i </w:t>
      </w:r>
      <w:r w:rsidR="00635EFE" w:rsidRPr="00A73AA7">
        <w:rPr>
          <w:rFonts w:cs="Calibri"/>
          <w:szCs w:val="22"/>
          <w:lang w:val="sq-AL"/>
        </w:rPr>
        <w:t>ë</w:t>
      </w:r>
      <w:r w:rsidR="00147246" w:rsidRPr="00A73AA7">
        <w:rPr>
          <w:rFonts w:cs="Calibri"/>
          <w:szCs w:val="22"/>
          <w:lang w:val="sq-AL"/>
        </w:rPr>
        <w:t>sht</w:t>
      </w:r>
      <w:r w:rsidR="00635EFE" w:rsidRPr="00A73AA7">
        <w:rPr>
          <w:rFonts w:cs="Calibri"/>
          <w:szCs w:val="22"/>
          <w:lang w:val="sq-AL"/>
        </w:rPr>
        <w:t>ë</w:t>
      </w:r>
      <w:r w:rsidR="00147246" w:rsidRPr="00A73AA7">
        <w:rPr>
          <w:rFonts w:cs="Calibri"/>
          <w:szCs w:val="22"/>
          <w:lang w:val="sq-AL"/>
        </w:rPr>
        <w:t xml:space="preserve"> akorduar KQZ-s</w:t>
      </w:r>
      <w:r w:rsidR="00635EFE" w:rsidRPr="00A73AA7">
        <w:rPr>
          <w:rFonts w:cs="Calibri"/>
          <w:szCs w:val="22"/>
          <w:lang w:val="sq-AL"/>
        </w:rPr>
        <w:t>ë</w:t>
      </w:r>
      <w:r w:rsidR="00B56C7F" w:rsidRPr="00A73AA7">
        <w:rPr>
          <w:rFonts w:cs="Calibri"/>
          <w:szCs w:val="22"/>
          <w:lang w:val="sq-AL"/>
        </w:rPr>
        <w:t xml:space="preserve"> </w:t>
      </w:r>
      <w:r w:rsidR="00147246" w:rsidRPr="00A73AA7">
        <w:rPr>
          <w:rFonts w:cs="Calibri"/>
          <w:szCs w:val="22"/>
          <w:lang w:val="sq-AL"/>
        </w:rPr>
        <w:t>p</w:t>
      </w:r>
      <w:r w:rsidR="00B403E6" w:rsidRPr="00A73AA7">
        <w:rPr>
          <w:rFonts w:cs="Calibri"/>
          <w:szCs w:val="22"/>
          <w:lang w:val="sq-AL"/>
        </w:rPr>
        <w:t>ë</w:t>
      </w:r>
      <w:r w:rsidR="00147246" w:rsidRPr="00A73AA7">
        <w:rPr>
          <w:rFonts w:cs="Calibri"/>
          <w:szCs w:val="22"/>
          <w:lang w:val="sq-AL"/>
        </w:rPr>
        <w:t xml:space="preserve">rmes </w:t>
      </w:r>
      <w:r w:rsidRPr="00A73AA7">
        <w:rPr>
          <w:rFonts w:cs="Calibri"/>
          <w:szCs w:val="22"/>
          <w:lang w:val="sq-AL"/>
        </w:rPr>
        <w:t>VKM nr.</w:t>
      </w:r>
      <w:r w:rsidR="00B56C7F" w:rsidRPr="00A73AA7">
        <w:rPr>
          <w:rFonts w:cs="Calibri"/>
          <w:szCs w:val="22"/>
          <w:lang w:val="sq-AL"/>
        </w:rPr>
        <w:t>47</w:t>
      </w:r>
      <w:r w:rsidR="001939EC" w:rsidRPr="00A73AA7">
        <w:rPr>
          <w:rFonts w:cs="Calibri"/>
          <w:szCs w:val="22"/>
          <w:lang w:val="sq-AL"/>
        </w:rPr>
        <w:t xml:space="preserve"> dat</w:t>
      </w:r>
      <w:r w:rsidR="00635EFE" w:rsidRPr="00A73AA7">
        <w:rPr>
          <w:rFonts w:cs="Calibri"/>
          <w:szCs w:val="22"/>
          <w:lang w:val="sq-AL"/>
        </w:rPr>
        <w:t>ë</w:t>
      </w:r>
      <w:r w:rsidR="001939EC" w:rsidRPr="00A73AA7">
        <w:rPr>
          <w:rFonts w:cs="Calibri"/>
          <w:szCs w:val="22"/>
          <w:lang w:val="sq-AL"/>
        </w:rPr>
        <w:t xml:space="preserve"> </w:t>
      </w:r>
      <w:r w:rsidR="00B56C7F" w:rsidRPr="00A73AA7">
        <w:rPr>
          <w:rFonts w:cs="Calibri"/>
          <w:szCs w:val="22"/>
          <w:lang w:val="sq-AL"/>
        </w:rPr>
        <w:t>22</w:t>
      </w:r>
      <w:r w:rsidR="001939EC" w:rsidRPr="00A73AA7">
        <w:rPr>
          <w:rFonts w:cs="Calibri"/>
          <w:szCs w:val="22"/>
          <w:lang w:val="sq-AL"/>
        </w:rPr>
        <w:t>.01.202</w:t>
      </w:r>
      <w:r w:rsidR="00B56C7F" w:rsidRPr="00A73AA7">
        <w:rPr>
          <w:rFonts w:cs="Calibri"/>
          <w:szCs w:val="22"/>
          <w:lang w:val="sq-AL"/>
        </w:rPr>
        <w:t>5</w:t>
      </w:r>
      <w:r w:rsidR="001939EC" w:rsidRPr="00A73AA7">
        <w:rPr>
          <w:rFonts w:cs="Calibri"/>
          <w:i/>
          <w:szCs w:val="22"/>
          <w:lang w:val="sq-AL"/>
        </w:rPr>
        <w:t xml:space="preserve"> “</w:t>
      </w:r>
      <w:r w:rsidR="00B8083D" w:rsidRPr="00A73AA7">
        <w:rPr>
          <w:rFonts w:cs="Calibri"/>
          <w:i/>
          <w:szCs w:val="22"/>
          <w:lang w:val="sq-AL"/>
        </w:rPr>
        <w:t>Për një shtesë fondi në buxhetin e vitit 2025, miratuar për KQZ, për organizimin e zgjedhjeve n</w:t>
      </w:r>
      <w:r w:rsidR="00635EFE" w:rsidRPr="00A73AA7">
        <w:rPr>
          <w:rFonts w:cs="Calibri"/>
          <w:i/>
          <w:szCs w:val="22"/>
          <w:lang w:val="sq-AL"/>
        </w:rPr>
        <w:t>ë</w:t>
      </w:r>
      <w:r w:rsidR="00B8083D" w:rsidRPr="00A73AA7">
        <w:rPr>
          <w:rFonts w:cs="Calibri"/>
          <w:i/>
          <w:szCs w:val="22"/>
          <w:lang w:val="sq-AL"/>
        </w:rPr>
        <w:t xml:space="preserve"> Kuvend t</w:t>
      </w:r>
      <w:r w:rsidR="0055288E" w:rsidRPr="00A73AA7">
        <w:rPr>
          <w:rFonts w:cs="Calibri"/>
          <w:i/>
          <w:szCs w:val="22"/>
          <w:lang w:val="sq-AL"/>
        </w:rPr>
        <w:t xml:space="preserve">ë </w:t>
      </w:r>
      <w:r w:rsidR="00B8083D" w:rsidRPr="00A73AA7">
        <w:rPr>
          <w:rFonts w:cs="Calibri"/>
          <w:i/>
          <w:szCs w:val="22"/>
          <w:lang w:val="sq-AL"/>
        </w:rPr>
        <w:t>dt</w:t>
      </w:r>
      <w:r w:rsidR="00636954" w:rsidRPr="00A73AA7">
        <w:rPr>
          <w:rFonts w:cs="Calibri"/>
          <w:i/>
          <w:szCs w:val="22"/>
          <w:lang w:val="sq-AL"/>
        </w:rPr>
        <w:t>.</w:t>
      </w:r>
      <w:r w:rsidR="00B8083D" w:rsidRPr="00A73AA7">
        <w:rPr>
          <w:rFonts w:cs="Calibri"/>
          <w:i/>
          <w:szCs w:val="22"/>
          <w:lang w:val="sq-AL"/>
        </w:rPr>
        <w:t xml:space="preserve"> 11 Maj 2025".</w:t>
      </w:r>
    </w:p>
    <w:p w14:paraId="55234963" w14:textId="77777777" w:rsidR="005B750E" w:rsidRPr="00A73AA7" w:rsidRDefault="005B750E" w:rsidP="002549C7">
      <w:pPr>
        <w:pStyle w:val="ListParagraph"/>
        <w:tabs>
          <w:tab w:val="left" w:pos="990"/>
        </w:tabs>
        <w:spacing w:before="240" w:line="276" w:lineRule="auto"/>
        <w:ind w:left="360"/>
        <w:rPr>
          <w:rFonts w:cs="Calibri"/>
          <w:szCs w:val="22"/>
          <w:lang w:val="sq-AL"/>
        </w:rPr>
      </w:pPr>
    </w:p>
    <w:p w14:paraId="366C4DFA" w14:textId="506C5962" w:rsidR="00E13372" w:rsidRPr="00A73AA7" w:rsidRDefault="00147246" w:rsidP="002549C7">
      <w:pPr>
        <w:pStyle w:val="ListParagraph"/>
        <w:numPr>
          <w:ilvl w:val="0"/>
          <w:numId w:val="3"/>
        </w:numPr>
        <w:spacing w:before="240" w:line="276" w:lineRule="auto"/>
        <w:rPr>
          <w:rFonts w:cs="Calibri"/>
          <w:iCs/>
          <w:szCs w:val="22"/>
          <w:lang w:val="sq-AL"/>
        </w:rPr>
      </w:pPr>
      <w:r w:rsidRPr="00A73AA7">
        <w:rPr>
          <w:rFonts w:cs="Calibri"/>
          <w:b/>
          <w:color w:val="C00000"/>
          <w:szCs w:val="22"/>
          <w:u w:val="single"/>
          <w:lang w:val="sq-AL"/>
        </w:rPr>
        <w:t>FONDI KONTIGJENC</w:t>
      </w:r>
      <w:r w:rsidR="00B403E6" w:rsidRPr="00A73AA7">
        <w:rPr>
          <w:rFonts w:cs="Calibri"/>
          <w:b/>
          <w:color w:val="C00000"/>
          <w:szCs w:val="22"/>
          <w:u w:val="single"/>
          <w:lang w:val="sq-AL"/>
        </w:rPr>
        <w:t>Ë</w:t>
      </w:r>
      <w:r w:rsidR="00600548" w:rsidRPr="00A73AA7">
        <w:rPr>
          <w:rFonts w:cs="Calibri"/>
          <w:b/>
          <w:color w:val="C00000"/>
          <w:szCs w:val="22"/>
          <w:u w:val="single"/>
          <w:lang w:val="sq-AL"/>
        </w:rPr>
        <w:t xml:space="preserve">   </w:t>
      </w:r>
      <w:r w:rsidR="0091057A" w:rsidRPr="00A73AA7">
        <w:rPr>
          <w:rFonts w:cs="Calibri"/>
          <w:b/>
          <w:iCs/>
          <w:szCs w:val="22"/>
          <w:lang w:val="sq-AL"/>
        </w:rPr>
        <w:t xml:space="preserve">Fondi </w:t>
      </w:r>
      <w:r w:rsidR="00B403E6" w:rsidRPr="00A73AA7">
        <w:rPr>
          <w:rFonts w:cs="Calibri"/>
          <w:b/>
          <w:iCs/>
          <w:szCs w:val="22"/>
          <w:lang w:val="sq-AL"/>
        </w:rPr>
        <w:t>“</w:t>
      </w:r>
      <w:r w:rsidR="0091057A" w:rsidRPr="00A73AA7">
        <w:rPr>
          <w:rFonts w:cs="Calibri"/>
          <w:b/>
          <w:iCs/>
          <w:szCs w:val="22"/>
          <w:lang w:val="sq-AL"/>
        </w:rPr>
        <w:t>Kontigjencës për risqet e borxhit</w:t>
      </w:r>
      <w:r w:rsidR="00B403E6" w:rsidRPr="00A73AA7">
        <w:rPr>
          <w:rFonts w:cs="Calibri"/>
          <w:b/>
          <w:iCs/>
          <w:szCs w:val="22"/>
          <w:lang w:val="sq-AL"/>
        </w:rPr>
        <w:t>”,</w:t>
      </w:r>
      <w:r w:rsidR="00B8083D" w:rsidRPr="00A73AA7">
        <w:rPr>
          <w:rFonts w:cs="Calibri"/>
          <w:b/>
          <w:iCs/>
          <w:szCs w:val="22"/>
          <w:lang w:val="sq-AL"/>
        </w:rPr>
        <w:t xml:space="preserve"> </w:t>
      </w:r>
      <w:r w:rsidR="00B403E6" w:rsidRPr="00A73AA7">
        <w:rPr>
          <w:rFonts w:cs="Calibri"/>
          <w:iCs/>
          <w:szCs w:val="22"/>
          <w:lang w:val="sq-AL"/>
        </w:rPr>
        <w:t xml:space="preserve">i planifikuar </w:t>
      </w:r>
      <w:r w:rsidR="0033784A" w:rsidRPr="00A73AA7">
        <w:rPr>
          <w:rFonts w:cs="Calibri"/>
          <w:iCs/>
          <w:szCs w:val="22"/>
          <w:lang w:val="sq-AL"/>
        </w:rPr>
        <w:t xml:space="preserve">në masën </w:t>
      </w:r>
      <w:r w:rsidR="00B8083D" w:rsidRPr="00A73AA7">
        <w:rPr>
          <w:rFonts w:cs="Calibri"/>
          <w:iCs/>
          <w:szCs w:val="22"/>
          <w:lang w:val="sq-AL"/>
        </w:rPr>
        <w:t>5.</w:t>
      </w:r>
      <w:r w:rsidR="00635EFE" w:rsidRPr="00A73AA7">
        <w:rPr>
          <w:rFonts w:cs="Calibri"/>
          <w:iCs/>
          <w:szCs w:val="22"/>
          <w:lang w:val="sq-AL"/>
        </w:rPr>
        <w:t>85</w:t>
      </w:r>
      <w:r w:rsidR="0033784A" w:rsidRPr="00A73AA7">
        <w:rPr>
          <w:rFonts w:cs="Calibri"/>
          <w:iCs/>
          <w:szCs w:val="22"/>
          <w:lang w:val="sq-AL"/>
        </w:rPr>
        <w:t xml:space="preserve"> mili</w:t>
      </w:r>
      <w:r w:rsidR="001770BF" w:rsidRPr="00A73AA7">
        <w:rPr>
          <w:rFonts w:cs="Calibri"/>
          <w:iCs/>
          <w:szCs w:val="22"/>
          <w:lang w:val="sq-AL"/>
        </w:rPr>
        <w:t>ard lekësh, deri m</w:t>
      </w:r>
      <w:r w:rsidR="008925C8" w:rsidRPr="00A73AA7">
        <w:rPr>
          <w:rFonts w:cs="Calibri"/>
          <w:iCs/>
          <w:szCs w:val="22"/>
          <w:lang w:val="sq-AL"/>
        </w:rPr>
        <w:t>ë</w:t>
      </w:r>
      <w:r w:rsidR="001770BF" w:rsidRPr="00A73AA7">
        <w:rPr>
          <w:rFonts w:cs="Calibri"/>
          <w:iCs/>
          <w:szCs w:val="22"/>
          <w:lang w:val="sq-AL"/>
        </w:rPr>
        <w:t xml:space="preserve"> datë </w:t>
      </w:r>
      <w:r w:rsidR="00B8083D" w:rsidRPr="00A73AA7">
        <w:rPr>
          <w:rFonts w:cs="Calibri"/>
          <w:iCs/>
          <w:szCs w:val="22"/>
          <w:lang w:val="sq-AL"/>
        </w:rPr>
        <w:t>3</w:t>
      </w:r>
      <w:r w:rsidR="00600548" w:rsidRPr="00A73AA7">
        <w:rPr>
          <w:rFonts w:cs="Calibri"/>
          <w:iCs/>
          <w:szCs w:val="22"/>
          <w:lang w:val="sq-AL"/>
        </w:rPr>
        <w:t>1</w:t>
      </w:r>
      <w:r w:rsidR="00B8083D" w:rsidRPr="00A73AA7">
        <w:rPr>
          <w:rFonts w:cs="Calibri"/>
          <w:iCs/>
          <w:szCs w:val="22"/>
          <w:lang w:val="sq-AL"/>
        </w:rPr>
        <w:t>.</w:t>
      </w:r>
      <w:r w:rsidR="006B729A" w:rsidRPr="00A73AA7">
        <w:rPr>
          <w:rFonts w:cs="Calibri"/>
          <w:iCs/>
          <w:szCs w:val="22"/>
          <w:lang w:val="sq-AL"/>
        </w:rPr>
        <w:t>1</w:t>
      </w:r>
      <w:r w:rsidR="00412F62">
        <w:rPr>
          <w:rFonts w:cs="Calibri"/>
          <w:iCs/>
          <w:szCs w:val="22"/>
          <w:lang w:val="sq-AL"/>
        </w:rPr>
        <w:t>2</w:t>
      </w:r>
      <w:r w:rsidR="00B8083D" w:rsidRPr="00A73AA7">
        <w:rPr>
          <w:rFonts w:cs="Calibri"/>
          <w:iCs/>
          <w:szCs w:val="22"/>
          <w:lang w:val="sq-AL"/>
        </w:rPr>
        <w:t>.2025</w:t>
      </w:r>
      <w:r w:rsidR="007066F3" w:rsidRPr="00A73AA7">
        <w:rPr>
          <w:rFonts w:cs="Calibri"/>
          <w:iCs/>
          <w:szCs w:val="22"/>
          <w:lang w:val="sq-AL"/>
        </w:rPr>
        <w:t xml:space="preserve"> </w:t>
      </w:r>
      <w:r w:rsidR="008925C8" w:rsidRPr="00A73AA7">
        <w:rPr>
          <w:rFonts w:cs="Calibri"/>
          <w:iCs/>
          <w:szCs w:val="22"/>
          <w:lang w:val="sq-AL"/>
        </w:rPr>
        <w:t>rezulton i papërdorur</w:t>
      </w:r>
      <w:r w:rsidR="00E13372" w:rsidRPr="00A73AA7">
        <w:rPr>
          <w:rFonts w:cs="Calibri"/>
          <w:iCs/>
          <w:szCs w:val="22"/>
          <w:lang w:val="sq-AL"/>
        </w:rPr>
        <w:t>.</w:t>
      </w:r>
    </w:p>
    <w:sectPr w:rsidR="00E13372" w:rsidRPr="00A73AA7" w:rsidSect="008244B4">
      <w:footerReference w:type="default" r:id="rId9"/>
      <w:pgSz w:w="11907" w:h="16839" w:code="9"/>
      <w:pgMar w:top="763" w:right="806" w:bottom="763" w:left="806" w:header="720" w:footer="8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AFBA2" w14:textId="77777777" w:rsidR="00E17AC2" w:rsidRDefault="00E17AC2" w:rsidP="00833F74">
      <w:r>
        <w:separator/>
      </w:r>
    </w:p>
  </w:endnote>
  <w:endnote w:type="continuationSeparator" w:id="0">
    <w:p w14:paraId="5D7E6841" w14:textId="77777777" w:rsidR="00E17AC2" w:rsidRDefault="00E17AC2" w:rsidP="00833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E5970" w14:textId="77777777" w:rsidR="00BC7F22" w:rsidRDefault="007204EE">
    <w:pPr>
      <w:pStyle w:val="Footer"/>
      <w:jc w:val="right"/>
    </w:pPr>
    <w:r>
      <w:fldChar w:fldCharType="begin"/>
    </w:r>
    <w:r w:rsidR="00BC7F22">
      <w:instrText xml:space="preserve"> PAGE   \* MERGEFORMAT </w:instrText>
    </w:r>
    <w:r>
      <w:fldChar w:fldCharType="separate"/>
    </w:r>
    <w:r w:rsidR="00A9395E">
      <w:rPr>
        <w:noProof/>
      </w:rPr>
      <w:t>2</w:t>
    </w:r>
    <w:r>
      <w:rPr>
        <w:noProof/>
      </w:rPr>
      <w:fldChar w:fldCharType="end"/>
    </w:r>
  </w:p>
  <w:p w14:paraId="4AAA0C22" w14:textId="77777777" w:rsidR="00BC7F22" w:rsidRDefault="00BC7F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51A6B" w14:textId="77777777" w:rsidR="00E17AC2" w:rsidRDefault="00E17AC2" w:rsidP="00833F74">
      <w:r>
        <w:separator/>
      </w:r>
    </w:p>
  </w:footnote>
  <w:footnote w:type="continuationSeparator" w:id="0">
    <w:p w14:paraId="16FE8805" w14:textId="77777777" w:rsidR="00E17AC2" w:rsidRDefault="00E17AC2" w:rsidP="00833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65DB4"/>
    <w:multiLevelType w:val="hybridMultilevel"/>
    <w:tmpl w:val="0D6071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82CFF"/>
    <w:multiLevelType w:val="hybridMultilevel"/>
    <w:tmpl w:val="3FDE84D4"/>
    <w:lvl w:ilvl="0" w:tplc="CC208C70">
      <w:start w:val="1"/>
      <w:numFmt w:val="bullet"/>
      <w:lvlText w:val="-"/>
      <w:lvlJc w:val="left"/>
      <w:pPr>
        <w:ind w:left="90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11325259"/>
    <w:multiLevelType w:val="hybridMultilevel"/>
    <w:tmpl w:val="5D5ACB46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13AE2691"/>
    <w:multiLevelType w:val="hybridMultilevel"/>
    <w:tmpl w:val="89BEB45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1F779B"/>
    <w:multiLevelType w:val="hybridMultilevel"/>
    <w:tmpl w:val="6C20963A"/>
    <w:lvl w:ilvl="0" w:tplc="0409000D">
      <w:start w:val="1"/>
      <w:numFmt w:val="bullet"/>
      <w:lvlText w:val=""/>
      <w:lvlJc w:val="left"/>
      <w:pPr>
        <w:ind w:left="1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5" w15:restartNumberingAfterBreak="0">
    <w:nsid w:val="26CE55B4"/>
    <w:multiLevelType w:val="hybridMultilevel"/>
    <w:tmpl w:val="FE268DCE"/>
    <w:lvl w:ilvl="0" w:tplc="8EE2051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BA626A"/>
    <w:multiLevelType w:val="hybridMultilevel"/>
    <w:tmpl w:val="761A50B8"/>
    <w:lvl w:ilvl="0" w:tplc="040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7" w15:restartNumberingAfterBreak="0">
    <w:nsid w:val="2CC12B89"/>
    <w:multiLevelType w:val="hybridMultilevel"/>
    <w:tmpl w:val="B4441242"/>
    <w:lvl w:ilvl="0" w:tplc="0409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30AA1DAF"/>
    <w:multiLevelType w:val="hybridMultilevel"/>
    <w:tmpl w:val="0F707E3A"/>
    <w:lvl w:ilvl="0" w:tplc="1E54C84E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B6E362D"/>
    <w:multiLevelType w:val="hybridMultilevel"/>
    <w:tmpl w:val="3C004F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3A2E1D"/>
    <w:multiLevelType w:val="hybridMultilevel"/>
    <w:tmpl w:val="143CB0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75534B"/>
    <w:multiLevelType w:val="hybridMultilevel"/>
    <w:tmpl w:val="3F3AF3E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EE7030"/>
    <w:multiLevelType w:val="hybridMultilevel"/>
    <w:tmpl w:val="1D4C3EA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D504CDA"/>
    <w:multiLevelType w:val="hybridMultilevel"/>
    <w:tmpl w:val="0368069C"/>
    <w:lvl w:ilvl="0" w:tplc="04488C26">
      <w:start w:val="1"/>
      <w:numFmt w:val="bullet"/>
      <w:lvlText w:val="-"/>
      <w:lvlJc w:val="left"/>
      <w:pPr>
        <w:ind w:left="99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4" w15:restartNumberingAfterBreak="0">
    <w:nsid w:val="4FC74B6A"/>
    <w:multiLevelType w:val="hybridMultilevel"/>
    <w:tmpl w:val="6BDEA9B6"/>
    <w:lvl w:ilvl="0" w:tplc="07C6B1E6">
      <w:start w:val="1"/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5" w15:restartNumberingAfterBreak="0">
    <w:nsid w:val="565E24FC"/>
    <w:multiLevelType w:val="hybridMultilevel"/>
    <w:tmpl w:val="0A80516C"/>
    <w:lvl w:ilvl="0" w:tplc="040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56C335F2"/>
    <w:multiLevelType w:val="hybridMultilevel"/>
    <w:tmpl w:val="AA3E9B92"/>
    <w:lvl w:ilvl="0" w:tplc="0409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7" w15:restartNumberingAfterBreak="0">
    <w:nsid w:val="59C81486"/>
    <w:multiLevelType w:val="hybridMultilevel"/>
    <w:tmpl w:val="06344C7A"/>
    <w:lvl w:ilvl="0" w:tplc="76F044DA">
      <w:start w:val="1"/>
      <w:numFmt w:val="bullet"/>
      <w:lvlText w:val=""/>
      <w:lvlJc w:val="left"/>
      <w:pPr>
        <w:ind w:left="630" w:hanging="360"/>
      </w:pPr>
      <w:rPr>
        <w:rFonts w:ascii="Wingdings" w:hAnsi="Wingdings" w:hint="default"/>
        <w:color w:val="auto"/>
      </w:rPr>
    </w:lvl>
    <w:lvl w:ilvl="1" w:tplc="041C0019" w:tentative="1">
      <w:start w:val="1"/>
      <w:numFmt w:val="lowerLetter"/>
      <w:lvlText w:val="%2."/>
      <w:lvlJc w:val="left"/>
      <w:pPr>
        <w:ind w:left="1620" w:hanging="360"/>
      </w:pPr>
    </w:lvl>
    <w:lvl w:ilvl="2" w:tplc="041C001B" w:tentative="1">
      <w:start w:val="1"/>
      <w:numFmt w:val="lowerRoman"/>
      <w:lvlText w:val="%3."/>
      <w:lvlJc w:val="right"/>
      <w:pPr>
        <w:ind w:left="2340" w:hanging="180"/>
      </w:pPr>
    </w:lvl>
    <w:lvl w:ilvl="3" w:tplc="041C000F" w:tentative="1">
      <w:start w:val="1"/>
      <w:numFmt w:val="decimal"/>
      <w:lvlText w:val="%4."/>
      <w:lvlJc w:val="left"/>
      <w:pPr>
        <w:ind w:left="3060" w:hanging="360"/>
      </w:pPr>
    </w:lvl>
    <w:lvl w:ilvl="4" w:tplc="041C0019" w:tentative="1">
      <w:start w:val="1"/>
      <w:numFmt w:val="lowerLetter"/>
      <w:lvlText w:val="%5."/>
      <w:lvlJc w:val="left"/>
      <w:pPr>
        <w:ind w:left="3780" w:hanging="360"/>
      </w:pPr>
    </w:lvl>
    <w:lvl w:ilvl="5" w:tplc="041C001B" w:tentative="1">
      <w:start w:val="1"/>
      <w:numFmt w:val="lowerRoman"/>
      <w:lvlText w:val="%6."/>
      <w:lvlJc w:val="right"/>
      <w:pPr>
        <w:ind w:left="4500" w:hanging="180"/>
      </w:pPr>
    </w:lvl>
    <w:lvl w:ilvl="6" w:tplc="041C000F" w:tentative="1">
      <w:start w:val="1"/>
      <w:numFmt w:val="decimal"/>
      <w:lvlText w:val="%7."/>
      <w:lvlJc w:val="left"/>
      <w:pPr>
        <w:ind w:left="5220" w:hanging="360"/>
      </w:pPr>
    </w:lvl>
    <w:lvl w:ilvl="7" w:tplc="041C0019" w:tentative="1">
      <w:start w:val="1"/>
      <w:numFmt w:val="lowerLetter"/>
      <w:lvlText w:val="%8."/>
      <w:lvlJc w:val="left"/>
      <w:pPr>
        <w:ind w:left="5940" w:hanging="360"/>
      </w:pPr>
    </w:lvl>
    <w:lvl w:ilvl="8" w:tplc="041C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5B0A5B03"/>
    <w:multiLevelType w:val="hybridMultilevel"/>
    <w:tmpl w:val="91AC03B8"/>
    <w:lvl w:ilvl="0" w:tplc="3A6A7ADA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BC6C8C"/>
    <w:multiLevelType w:val="hybridMultilevel"/>
    <w:tmpl w:val="20ACC72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44B5D49"/>
    <w:multiLevelType w:val="hybridMultilevel"/>
    <w:tmpl w:val="FD8A3740"/>
    <w:lvl w:ilvl="0" w:tplc="0409000D">
      <w:start w:val="1"/>
      <w:numFmt w:val="bullet"/>
      <w:lvlText w:val="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1" w15:restartNumberingAfterBreak="0">
    <w:nsid w:val="64B12871"/>
    <w:multiLevelType w:val="hybridMultilevel"/>
    <w:tmpl w:val="AF56EF74"/>
    <w:lvl w:ilvl="0" w:tplc="94B42054">
      <w:start w:val="1"/>
      <w:numFmt w:val="lowerLetter"/>
      <w:lvlText w:val="%1)"/>
      <w:lvlJc w:val="left"/>
      <w:pPr>
        <w:ind w:left="71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2" w15:restartNumberingAfterBreak="0">
    <w:nsid w:val="66190811"/>
    <w:multiLevelType w:val="hybridMultilevel"/>
    <w:tmpl w:val="661498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5A764B"/>
    <w:multiLevelType w:val="hybridMultilevel"/>
    <w:tmpl w:val="FCEC898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D403FD"/>
    <w:multiLevelType w:val="hybridMultilevel"/>
    <w:tmpl w:val="03F04D1C"/>
    <w:lvl w:ilvl="0" w:tplc="EAE6167C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5" w15:restartNumberingAfterBreak="0">
    <w:nsid w:val="6BB42B19"/>
    <w:multiLevelType w:val="hybridMultilevel"/>
    <w:tmpl w:val="AFB67878"/>
    <w:lvl w:ilvl="0" w:tplc="09544720">
      <w:start w:val="1"/>
      <w:numFmt w:val="lowerLetter"/>
      <w:lvlText w:val="%1)"/>
      <w:lvlJc w:val="left"/>
      <w:pPr>
        <w:ind w:left="1400" w:hanging="360"/>
      </w:pPr>
      <w:rPr>
        <w:rFonts w:ascii="Times New Roman" w:eastAsia="Calibr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6" w15:restartNumberingAfterBreak="0">
    <w:nsid w:val="70D913CC"/>
    <w:multiLevelType w:val="hybridMultilevel"/>
    <w:tmpl w:val="BA389726"/>
    <w:lvl w:ilvl="0" w:tplc="18B670B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16E47AB"/>
    <w:multiLevelType w:val="hybridMultilevel"/>
    <w:tmpl w:val="D534EB6C"/>
    <w:lvl w:ilvl="0" w:tplc="49DCE302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 w:val="0"/>
        <w:i w:val="0"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DAE4954"/>
    <w:multiLevelType w:val="hybridMultilevel"/>
    <w:tmpl w:val="F1366E0A"/>
    <w:lvl w:ilvl="0" w:tplc="FAFE9D9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 w:val="0"/>
        <w:i w:val="0"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92256174">
    <w:abstractNumId w:val="17"/>
  </w:num>
  <w:num w:numId="2" w16cid:durableId="161900556">
    <w:abstractNumId w:val="7"/>
  </w:num>
  <w:num w:numId="3" w16cid:durableId="487600299">
    <w:abstractNumId w:val="8"/>
  </w:num>
  <w:num w:numId="4" w16cid:durableId="1171331051">
    <w:abstractNumId w:val="21"/>
  </w:num>
  <w:num w:numId="5" w16cid:durableId="255596523">
    <w:abstractNumId w:val="1"/>
  </w:num>
  <w:num w:numId="6" w16cid:durableId="1783375512">
    <w:abstractNumId w:val="24"/>
  </w:num>
  <w:num w:numId="7" w16cid:durableId="386148062">
    <w:abstractNumId w:val="9"/>
  </w:num>
  <w:num w:numId="8" w16cid:durableId="448472529">
    <w:abstractNumId w:val="25"/>
  </w:num>
  <w:num w:numId="9" w16cid:durableId="240071245">
    <w:abstractNumId w:val="26"/>
  </w:num>
  <w:num w:numId="10" w16cid:durableId="1612740944">
    <w:abstractNumId w:val="20"/>
  </w:num>
  <w:num w:numId="11" w16cid:durableId="1974476793">
    <w:abstractNumId w:val="10"/>
  </w:num>
  <w:num w:numId="12" w16cid:durableId="447774171">
    <w:abstractNumId w:val="2"/>
  </w:num>
  <w:num w:numId="13" w16cid:durableId="1494643388">
    <w:abstractNumId w:val="14"/>
  </w:num>
  <w:num w:numId="14" w16cid:durableId="917791258">
    <w:abstractNumId w:val="13"/>
  </w:num>
  <w:num w:numId="15" w16cid:durableId="2097742641">
    <w:abstractNumId w:val="22"/>
  </w:num>
  <w:num w:numId="16" w16cid:durableId="1964531617">
    <w:abstractNumId w:val="0"/>
  </w:num>
  <w:num w:numId="17" w16cid:durableId="1437291824">
    <w:abstractNumId w:val="6"/>
  </w:num>
  <w:num w:numId="18" w16cid:durableId="124660996">
    <w:abstractNumId w:val="15"/>
  </w:num>
  <w:num w:numId="19" w16cid:durableId="799344014">
    <w:abstractNumId w:val="16"/>
  </w:num>
  <w:num w:numId="20" w16cid:durableId="1166897042">
    <w:abstractNumId w:val="18"/>
  </w:num>
  <w:num w:numId="21" w16cid:durableId="977686497">
    <w:abstractNumId w:val="27"/>
  </w:num>
  <w:num w:numId="22" w16cid:durableId="559940865">
    <w:abstractNumId w:val="28"/>
  </w:num>
  <w:num w:numId="23" w16cid:durableId="735781266">
    <w:abstractNumId w:val="5"/>
  </w:num>
  <w:num w:numId="24" w16cid:durableId="1864244207">
    <w:abstractNumId w:val="23"/>
  </w:num>
  <w:num w:numId="25" w16cid:durableId="314645767">
    <w:abstractNumId w:val="12"/>
  </w:num>
  <w:num w:numId="26" w16cid:durableId="155077053">
    <w:abstractNumId w:val="4"/>
  </w:num>
  <w:num w:numId="27" w16cid:durableId="1292906242">
    <w:abstractNumId w:val="3"/>
  </w:num>
  <w:num w:numId="28" w16cid:durableId="1664165391">
    <w:abstractNumId w:val="11"/>
  </w:num>
  <w:num w:numId="29" w16cid:durableId="560678858">
    <w:abstractNumId w:val="1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523"/>
    <w:rsid w:val="00000288"/>
    <w:rsid w:val="00000BE1"/>
    <w:rsid w:val="00001510"/>
    <w:rsid w:val="000044AB"/>
    <w:rsid w:val="000064B2"/>
    <w:rsid w:val="000064BF"/>
    <w:rsid w:val="00007669"/>
    <w:rsid w:val="00011526"/>
    <w:rsid w:val="00022356"/>
    <w:rsid w:val="00022A9A"/>
    <w:rsid w:val="00025A38"/>
    <w:rsid w:val="00027E70"/>
    <w:rsid w:val="0003036C"/>
    <w:rsid w:val="0003211D"/>
    <w:rsid w:val="000338AB"/>
    <w:rsid w:val="000362C1"/>
    <w:rsid w:val="00040263"/>
    <w:rsid w:val="00040316"/>
    <w:rsid w:val="000407AF"/>
    <w:rsid w:val="00040A41"/>
    <w:rsid w:val="00040E0F"/>
    <w:rsid w:val="00041981"/>
    <w:rsid w:val="000427FD"/>
    <w:rsid w:val="0004280C"/>
    <w:rsid w:val="00043E2D"/>
    <w:rsid w:val="00044861"/>
    <w:rsid w:val="000465F1"/>
    <w:rsid w:val="00046853"/>
    <w:rsid w:val="0004781F"/>
    <w:rsid w:val="00050C18"/>
    <w:rsid w:val="00051DFF"/>
    <w:rsid w:val="00052884"/>
    <w:rsid w:val="00057B1E"/>
    <w:rsid w:val="00060555"/>
    <w:rsid w:val="00060800"/>
    <w:rsid w:val="00060989"/>
    <w:rsid w:val="00063E87"/>
    <w:rsid w:val="00065EBD"/>
    <w:rsid w:val="00067C6A"/>
    <w:rsid w:val="00073760"/>
    <w:rsid w:val="000750E6"/>
    <w:rsid w:val="000766DF"/>
    <w:rsid w:val="00076BB0"/>
    <w:rsid w:val="000815E8"/>
    <w:rsid w:val="0008164B"/>
    <w:rsid w:val="0008246F"/>
    <w:rsid w:val="0008284C"/>
    <w:rsid w:val="00082AE5"/>
    <w:rsid w:val="0008653E"/>
    <w:rsid w:val="0008776B"/>
    <w:rsid w:val="0009145F"/>
    <w:rsid w:val="00091C92"/>
    <w:rsid w:val="00094787"/>
    <w:rsid w:val="000971C2"/>
    <w:rsid w:val="00097441"/>
    <w:rsid w:val="000A1FBD"/>
    <w:rsid w:val="000A4CB8"/>
    <w:rsid w:val="000A70D1"/>
    <w:rsid w:val="000A74F7"/>
    <w:rsid w:val="000A7999"/>
    <w:rsid w:val="000B14F2"/>
    <w:rsid w:val="000B4A75"/>
    <w:rsid w:val="000B55ED"/>
    <w:rsid w:val="000B6E11"/>
    <w:rsid w:val="000C0129"/>
    <w:rsid w:val="000C285E"/>
    <w:rsid w:val="000C60CC"/>
    <w:rsid w:val="000C6770"/>
    <w:rsid w:val="000C6C4D"/>
    <w:rsid w:val="000C78A3"/>
    <w:rsid w:val="000D0156"/>
    <w:rsid w:val="000D35A5"/>
    <w:rsid w:val="000D52B1"/>
    <w:rsid w:val="000D55E8"/>
    <w:rsid w:val="000D68E1"/>
    <w:rsid w:val="000D6940"/>
    <w:rsid w:val="000D7EB0"/>
    <w:rsid w:val="000E71B9"/>
    <w:rsid w:val="000F173B"/>
    <w:rsid w:val="000F2C53"/>
    <w:rsid w:val="000F3B4E"/>
    <w:rsid w:val="000F3BCA"/>
    <w:rsid w:val="000F7DEF"/>
    <w:rsid w:val="00102B98"/>
    <w:rsid w:val="001048E7"/>
    <w:rsid w:val="00105528"/>
    <w:rsid w:val="00106058"/>
    <w:rsid w:val="001061E1"/>
    <w:rsid w:val="001063E6"/>
    <w:rsid w:val="0010787D"/>
    <w:rsid w:val="00110967"/>
    <w:rsid w:val="00110A81"/>
    <w:rsid w:val="00111DA4"/>
    <w:rsid w:val="00113C69"/>
    <w:rsid w:val="0011548E"/>
    <w:rsid w:val="00115E31"/>
    <w:rsid w:val="00120974"/>
    <w:rsid w:val="00120CE2"/>
    <w:rsid w:val="001212D8"/>
    <w:rsid w:val="001216C1"/>
    <w:rsid w:val="00125EC6"/>
    <w:rsid w:val="0013004F"/>
    <w:rsid w:val="0013154C"/>
    <w:rsid w:val="00131FA4"/>
    <w:rsid w:val="001320CE"/>
    <w:rsid w:val="00133359"/>
    <w:rsid w:val="00134F8B"/>
    <w:rsid w:val="00135494"/>
    <w:rsid w:val="001377EA"/>
    <w:rsid w:val="00137C42"/>
    <w:rsid w:val="001401E6"/>
    <w:rsid w:val="00140D22"/>
    <w:rsid w:val="00141A98"/>
    <w:rsid w:val="00143435"/>
    <w:rsid w:val="001447E3"/>
    <w:rsid w:val="00144BD4"/>
    <w:rsid w:val="00145801"/>
    <w:rsid w:val="00145B9D"/>
    <w:rsid w:val="00146881"/>
    <w:rsid w:val="00147246"/>
    <w:rsid w:val="00151B76"/>
    <w:rsid w:val="001534B8"/>
    <w:rsid w:val="00154680"/>
    <w:rsid w:val="00156658"/>
    <w:rsid w:val="001604EF"/>
    <w:rsid w:val="00160FC6"/>
    <w:rsid w:val="0016286B"/>
    <w:rsid w:val="00164CE7"/>
    <w:rsid w:val="00164D79"/>
    <w:rsid w:val="00170E5F"/>
    <w:rsid w:val="00171AFA"/>
    <w:rsid w:val="00172814"/>
    <w:rsid w:val="00172ED9"/>
    <w:rsid w:val="001730FF"/>
    <w:rsid w:val="00174518"/>
    <w:rsid w:val="00175117"/>
    <w:rsid w:val="001752C9"/>
    <w:rsid w:val="00175E34"/>
    <w:rsid w:val="001770BF"/>
    <w:rsid w:val="00177A09"/>
    <w:rsid w:val="00180091"/>
    <w:rsid w:val="00183BB5"/>
    <w:rsid w:val="00184650"/>
    <w:rsid w:val="00185D87"/>
    <w:rsid w:val="00187D35"/>
    <w:rsid w:val="001910E2"/>
    <w:rsid w:val="001939EC"/>
    <w:rsid w:val="00193B90"/>
    <w:rsid w:val="001A069A"/>
    <w:rsid w:val="001A3865"/>
    <w:rsid w:val="001A598A"/>
    <w:rsid w:val="001A5D68"/>
    <w:rsid w:val="001A68DE"/>
    <w:rsid w:val="001A78DA"/>
    <w:rsid w:val="001A7E28"/>
    <w:rsid w:val="001B0C3C"/>
    <w:rsid w:val="001B16DA"/>
    <w:rsid w:val="001B7E4B"/>
    <w:rsid w:val="001C5109"/>
    <w:rsid w:val="001C561A"/>
    <w:rsid w:val="001C64BC"/>
    <w:rsid w:val="001C7799"/>
    <w:rsid w:val="001D0349"/>
    <w:rsid w:val="001D0A7B"/>
    <w:rsid w:val="001D218E"/>
    <w:rsid w:val="001D23F7"/>
    <w:rsid w:val="001D2C51"/>
    <w:rsid w:val="001D6148"/>
    <w:rsid w:val="001D6F3D"/>
    <w:rsid w:val="001D7284"/>
    <w:rsid w:val="001E05C8"/>
    <w:rsid w:val="001E26B8"/>
    <w:rsid w:val="001E4181"/>
    <w:rsid w:val="001E4520"/>
    <w:rsid w:val="001E6660"/>
    <w:rsid w:val="001E703A"/>
    <w:rsid w:val="001F1204"/>
    <w:rsid w:val="001F23AF"/>
    <w:rsid w:val="001F377D"/>
    <w:rsid w:val="001F391C"/>
    <w:rsid w:val="001F4477"/>
    <w:rsid w:val="001F5832"/>
    <w:rsid w:val="001F67B0"/>
    <w:rsid w:val="001F7962"/>
    <w:rsid w:val="0020527A"/>
    <w:rsid w:val="002067CC"/>
    <w:rsid w:val="00211873"/>
    <w:rsid w:val="00211AA4"/>
    <w:rsid w:val="00214A45"/>
    <w:rsid w:val="002153C7"/>
    <w:rsid w:val="00217391"/>
    <w:rsid w:val="00221386"/>
    <w:rsid w:val="00227824"/>
    <w:rsid w:val="00230212"/>
    <w:rsid w:val="00230745"/>
    <w:rsid w:val="002314FE"/>
    <w:rsid w:val="00234238"/>
    <w:rsid w:val="00234DC6"/>
    <w:rsid w:val="0023519D"/>
    <w:rsid w:val="00235A68"/>
    <w:rsid w:val="00235D92"/>
    <w:rsid w:val="002374D7"/>
    <w:rsid w:val="00241AB8"/>
    <w:rsid w:val="00246803"/>
    <w:rsid w:val="00246D20"/>
    <w:rsid w:val="00247BF1"/>
    <w:rsid w:val="00247CBE"/>
    <w:rsid w:val="00250392"/>
    <w:rsid w:val="00250F0E"/>
    <w:rsid w:val="00251D5D"/>
    <w:rsid w:val="00252CA7"/>
    <w:rsid w:val="002549C7"/>
    <w:rsid w:val="00254F58"/>
    <w:rsid w:val="002606F1"/>
    <w:rsid w:val="0026084B"/>
    <w:rsid w:val="00261B13"/>
    <w:rsid w:val="00262A5D"/>
    <w:rsid w:val="00262F4E"/>
    <w:rsid w:val="0026356F"/>
    <w:rsid w:val="00264B22"/>
    <w:rsid w:val="00264CE1"/>
    <w:rsid w:val="00265327"/>
    <w:rsid w:val="00266AB9"/>
    <w:rsid w:val="00266D33"/>
    <w:rsid w:val="00267767"/>
    <w:rsid w:val="0027053C"/>
    <w:rsid w:val="00270E2D"/>
    <w:rsid w:val="0027102D"/>
    <w:rsid w:val="00271824"/>
    <w:rsid w:val="00271913"/>
    <w:rsid w:val="0027202D"/>
    <w:rsid w:val="00272B23"/>
    <w:rsid w:val="00273493"/>
    <w:rsid w:val="0027467C"/>
    <w:rsid w:val="002772CC"/>
    <w:rsid w:val="00277A8B"/>
    <w:rsid w:val="00284404"/>
    <w:rsid w:val="002856E3"/>
    <w:rsid w:val="00285DAB"/>
    <w:rsid w:val="00287835"/>
    <w:rsid w:val="00287F8C"/>
    <w:rsid w:val="00290034"/>
    <w:rsid w:val="00290621"/>
    <w:rsid w:val="0029103B"/>
    <w:rsid w:val="00292756"/>
    <w:rsid w:val="00293682"/>
    <w:rsid w:val="00297840"/>
    <w:rsid w:val="002A30E3"/>
    <w:rsid w:val="002A527D"/>
    <w:rsid w:val="002A673E"/>
    <w:rsid w:val="002B0223"/>
    <w:rsid w:val="002B0776"/>
    <w:rsid w:val="002B0A8D"/>
    <w:rsid w:val="002B172B"/>
    <w:rsid w:val="002B274E"/>
    <w:rsid w:val="002B38C4"/>
    <w:rsid w:val="002B39B2"/>
    <w:rsid w:val="002B4C54"/>
    <w:rsid w:val="002C16F3"/>
    <w:rsid w:val="002C2331"/>
    <w:rsid w:val="002C28F3"/>
    <w:rsid w:val="002C2BC2"/>
    <w:rsid w:val="002C6963"/>
    <w:rsid w:val="002D186F"/>
    <w:rsid w:val="002D1E29"/>
    <w:rsid w:val="002D2696"/>
    <w:rsid w:val="002D4098"/>
    <w:rsid w:val="002D4CA0"/>
    <w:rsid w:val="002D61F4"/>
    <w:rsid w:val="002D6D9C"/>
    <w:rsid w:val="002D6F8D"/>
    <w:rsid w:val="002D79CA"/>
    <w:rsid w:val="002E3D80"/>
    <w:rsid w:val="002E74BE"/>
    <w:rsid w:val="002F1C82"/>
    <w:rsid w:val="002F24A7"/>
    <w:rsid w:val="002F59FB"/>
    <w:rsid w:val="0030054D"/>
    <w:rsid w:val="0030201C"/>
    <w:rsid w:val="00302DD1"/>
    <w:rsid w:val="00303135"/>
    <w:rsid w:val="00304BB8"/>
    <w:rsid w:val="00307250"/>
    <w:rsid w:val="00307FAC"/>
    <w:rsid w:val="00310720"/>
    <w:rsid w:val="00310932"/>
    <w:rsid w:val="00310A7B"/>
    <w:rsid w:val="00311070"/>
    <w:rsid w:val="00313324"/>
    <w:rsid w:val="00316F4D"/>
    <w:rsid w:val="00317AC9"/>
    <w:rsid w:val="00320046"/>
    <w:rsid w:val="00320C6C"/>
    <w:rsid w:val="00322A5E"/>
    <w:rsid w:val="00325BB0"/>
    <w:rsid w:val="003327A1"/>
    <w:rsid w:val="00333DBB"/>
    <w:rsid w:val="00334533"/>
    <w:rsid w:val="0033784A"/>
    <w:rsid w:val="00337E1F"/>
    <w:rsid w:val="00340EBB"/>
    <w:rsid w:val="00341677"/>
    <w:rsid w:val="00342E2C"/>
    <w:rsid w:val="003431F1"/>
    <w:rsid w:val="00343BC8"/>
    <w:rsid w:val="00343BE1"/>
    <w:rsid w:val="00343D66"/>
    <w:rsid w:val="0034543D"/>
    <w:rsid w:val="00345A68"/>
    <w:rsid w:val="00346523"/>
    <w:rsid w:val="00350003"/>
    <w:rsid w:val="00353C42"/>
    <w:rsid w:val="00354A6C"/>
    <w:rsid w:val="00356979"/>
    <w:rsid w:val="00356F1E"/>
    <w:rsid w:val="00357338"/>
    <w:rsid w:val="0035740D"/>
    <w:rsid w:val="00357D38"/>
    <w:rsid w:val="003614B4"/>
    <w:rsid w:val="003616A8"/>
    <w:rsid w:val="00361944"/>
    <w:rsid w:val="00361A33"/>
    <w:rsid w:val="00371C94"/>
    <w:rsid w:val="0037345A"/>
    <w:rsid w:val="003740CE"/>
    <w:rsid w:val="003752BC"/>
    <w:rsid w:val="00375AD9"/>
    <w:rsid w:val="003801E3"/>
    <w:rsid w:val="00382C47"/>
    <w:rsid w:val="0038465B"/>
    <w:rsid w:val="00384EF7"/>
    <w:rsid w:val="00385773"/>
    <w:rsid w:val="00385D65"/>
    <w:rsid w:val="0039099E"/>
    <w:rsid w:val="003931EF"/>
    <w:rsid w:val="003A0EF1"/>
    <w:rsid w:val="003A2583"/>
    <w:rsid w:val="003A327D"/>
    <w:rsid w:val="003A3E99"/>
    <w:rsid w:val="003A5638"/>
    <w:rsid w:val="003A5872"/>
    <w:rsid w:val="003A5B5A"/>
    <w:rsid w:val="003A5DB3"/>
    <w:rsid w:val="003A6A20"/>
    <w:rsid w:val="003B3CC2"/>
    <w:rsid w:val="003B5050"/>
    <w:rsid w:val="003B6558"/>
    <w:rsid w:val="003B6A38"/>
    <w:rsid w:val="003C1E2B"/>
    <w:rsid w:val="003C29AB"/>
    <w:rsid w:val="003C29B0"/>
    <w:rsid w:val="003C428A"/>
    <w:rsid w:val="003C5077"/>
    <w:rsid w:val="003C5B51"/>
    <w:rsid w:val="003C6657"/>
    <w:rsid w:val="003C66D2"/>
    <w:rsid w:val="003D019E"/>
    <w:rsid w:val="003D058B"/>
    <w:rsid w:val="003D0EFD"/>
    <w:rsid w:val="003D1233"/>
    <w:rsid w:val="003D2980"/>
    <w:rsid w:val="003D2B46"/>
    <w:rsid w:val="003D303C"/>
    <w:rsid w:val="003D5C81"/>
    <w:rsid w:val="003D5D63"/>
    <w:rsid w:val="003D60D2"/>
    <w:rsid w:val="003D6B3B"/>
    <w:rsid w:val="003E3BA5"/>
    <w:rsid w:val="003E46DE"/>
    <w:rsid w:val="003E47CD"/>
    <w:rsid w:val="003F077A"/>
    <w:rsid w:val="003F2E02"/>
    <w:rsid w:val="003F3796"/>
    <w:rsid w:val="003F43D7"/>
    <w:rsid w:val="003F49A9"/>
    <w:rsid w:val="004019EC"/>
    <w:rsid w:val="0040627A"/>
    <w:rsid w:val="00407299"/>
    <w:rsid w:val="00410611"/>
    <w:rsid w:val="00410EEB"/>
    <w:rsid w:val="004124AE"/>
    <w:rsid w:val="00412F62"/>
    <w:rsid w:val="004133C9"/>
    <w:rsid w:val="00413B08"/>
    <w:rsid w:val="00414C0C"/>
    <w:rsid w:val="004203B8"/>
    <w:rsid w:val="00421B95"/>
    <w:rsid w:val="00425852"/>
    <w:rsid w:val="00425BA3"/>
    <w:rsid w:val="004265EB"/>
    <w:rsid w:val="0042670C"/>
    <w:rsid w:val="0042719D"/>
    <w:rsid w:val="004271FF"/>
    <w:rsid w:val="00430CCC"/>
    <w:rsid w:val="004340B6"/>
    <w:rsid w:val="004367A7"/>
    <w:rsid w:val="004371FF"/>
    <w:rsid w:val="00437718"/>
    <w:rsid w:val="00441F50"/>
    <w:rsid w:val="00442D38"/>
    <w:rsid w:val="0044486C"/>
    <w:rsid w:val="00444A7A"/>
    <w:rsid w:val="00444B2A"/>
    <w:rsid w:val="00445999"/>
    <w:rsid w:val="00445BC4"/>
    <w:rsid w:val="00447B5A"/>
    <w:rsid w:val="00447BC1"/>
    <w:rsid w:val="00453B87"/>
    <w:rsid w:val="00454CEA"/>
    <w:rsid w:val="00456EBE"/>
    <w:rsid w:val="0046287F"/>
    <w:rsid w:val="00462E59"/>
    <w:rsid w:val="00464218"/>
    <w:rsid w:val="0046535F"/>
    <w:rsid w:val="00470C60"/>
    <w:rsid w:val="00476577"/>
    <w:rsid w:val="00477929"/>
    <w:rsid w:val="0048163C"/>
    <w:rsid w:val="00483755"/>
    <w:rsid w:val="004837E3"/>
    <w:rsid w:val="00493FE6"/>
    <w:rsid w:val="004945FC"/>
    <w:rsid w:val="00494828"/>
    <w:rsid w:val="004A1B83"/>
    <w:rsid w:val="004A22E2"/>
    <w:rsid w:val="004A254B"/>
    <w:rsid w:val="004A521C"/>
    <w:rsid w:val="004B0300"/>
    <w:rsid w:val="004B0C66"/>
    <w:rsid w:val="004B534F"/>
    <w:rsid w:val="004B69EB"/>
    <w:rsid w:val="004C1575"/>
    <w:rsid w:val="004C70C3"/>
    <w:rsid w:val="004D08A2"/>
    <w:rsid w:val="004D14D9"/>
    <w:rsid w:val="004D1B38"/>
    <w:rsid w:val="004D3F7B"/>
    <w:rsid w:val="004D476F"/>
    <w:rsid w:val="004D4BFD"/>
    <w:rsid w:val="004D573D"/>
    <w:rsid w:val="004D77C6"/>
    <w:rsid w:val="004E4763"/>
    <w:rsid w:val="004E4D14"/>
    <w:rsid w:val="004E5CE1"/>
    <w:rsid w:val="004E745D"/>
    <w:rsid w:val="004E78F5"/>
    <w:rsid w:val="004F24FB"/>
    <w:rsid w:val="004F41F2"/>
    <w:rsid w:val="004F42B5"/>
    <w:rsid w:val="004F43FD"/>
    <w:rsid w:val="004F4D10"/>
    <w:rsid w:val="004F622A"/>
    <w:rsid w:val="00500CE9"/>
    <w:rsid w:val="00501B62"/>
    <w:rsid w:val="00502244"/>
    <w:rsid w:val="00502D53"/>
    <w:rsid w:val="00503166"/>
    <w:rsid w:val="005044A0"/>
    <w:rsid w:val="00504929"/>
    <w:rsid w:val="00511001"/>
    <w:rsid w:val="00511BED"/>
    <w:rsid w:val="0051528F"/>
    <w:rsid w:val="005156BF"/>
    <w:rsid w:val="00516551"/>
    <w:rsid w:val="005171ED"/>
    <w:rsid w:val="005205D0"/>
    <w:rsid w:val="00522F56"/>
    <w:rsid w:val="005240FE"/>
    <w:rsid w:val="00526682"/>
    <w:rsid w:val="00527F1F"/>
    <w:rsid w:val="00532079"/>
    <w:rsid w:val="00536A9E"/>
    <w:rsid w:val="00536F73"/>
    <w:rsid w:val="00541F93"/>
    <w:rsid w:val="0054326C"/>
    <w:rsid w:val="00544A3D"/>
    <w:rsid w:val="00545652"/>
    <w:rsid w:val="00547DA9"/>
    <w:rsid w:val="00550023"/>
    <w:rsid w:val="00550764"/>
    <w:rsid w:val="00550A02"/>
    <w:rsid w:val="0055288E"/>
    <w:rsid w:val="00552D4A"/>
    <w:rsid w:val="005543BA"/>
    <w:rsid w:val="00554F38"/>
    <w:rsid w:val="00556B5B"/>
    <w:rsid w:val="00560D7F"/>
    <w:rsid w:val="005613A3"/>
    <w:rsid w:val="00562720"/>
    <w:rsid w:val="0056275A"/>
    <w:rsid w:val="00563729"/>
    <w:rsid w:val="00566149"/>
    <w:rsid w:val="00567D22"/>
    <w:rsid w:val="005724AC"/>
    <w:rsid w:val="00574FF4"/>
    <w:rsid w:val="005751E8"/>
    <w:rsid w:val="00581E55"/>
    <w:rsid w:val="005827C3"/>
    <w:rsid w:val="00582D82"/>
    <w:rsid w:val="0058636F"/>
    <w:rsid w:val="00590906"/>
    <w:rsid w:val="0059394E"/>
    <w:rsid w:val="005949FD"/>
    <w:rsid w:val="00597569"/>
    <w:rsid w:val="00597BEB"/>
    <w:rsid w:val="005A13A1"/>
    <w:rsid w:val="005A2B4F"/>
    <w:rsid w:val="005A312A"/>
    <w:rsid w:val="005A6741"/>
    <w:rsid w:val="005A73BD"/>
    <w:rsid w:val="005A7EA1"/>
    <w:rsid w:val="005B3066"/>
    <w:rsid w:val="005B33EC"/>
    <w:rsid w:val="005B36B5"/>
    <w:rsid w:val="005B3776"/>
    <w:rsid w:val="005B3A6C"/>
    <w:rsid w:val="005B4D98"/>
    <w:rsid w:val="005B6249"/>
    <w:rsid w:val="005B750E"/>
    <w:rsid w:val="005B77DF"/>
    <w:rsid w:val="005C0F97"/>
    <w:rsid w:val="005C15AB"/>
    <w:rsid w:val="005C28E4"/>
    <w:rsid w:val="005C31D7"/>
    <w:rsid w:val="005C4ED2"/>
    <w:rsid w:val="005C5916"/>
    <w:rsid w:val="005C6B08"/>
    <w:rsid w:val="005C79F1"/>
    <w:rsid w:val="005D0B23"/>
    <w:rsid w:val="005D1859"/>
    <w:rsid w:val="005D2849"/>
    <w:rsid w:val="005D2D84"/>
    <w:rsid w:val="005D2EA0"/>
    <w:rsid w:val="005D328C"/>
    <w:rsid w:val="005D4B01"/>
    <w:rsid w:val="005D4DF5"/>
    <w:rsid w:val="005D7B37"/>
    <w:rsid w:val="005E0C55"/>
    <w:rsid w:val="005E197C"/>
    <w:rsid w:val="005E1C96"/>
    <w:rsid w:val="005E1E42"/>
    <w:rsid w:val="005E4C49"/>
    <w:rsid w:val="005E74BC"/>
    <w:rsid w:val="005F092B"/>
    <w:rsid w:val="005F099A"/>
    <w:rsid w:val="005F0A5D"/>
    <w:rsid w:val="005F139C"/>
    <w:rsid w:val="005F3191"/>
    <w:rsid w:val="005F4DE2"/>
    <w:rsid w:val="005F4F82"/>
    <w:rsid w:val="0060032C"/>
    <w:rsid w:val="00600548"/>
    <w:rsid w:val="006006B9"/>
    <w:rsid w:val="00604C12"/>
    <w:rsid w:val="006060E3"/>
    <w:rsid w:val="006074BA"/>
    <w:rsid w:val="00611A7C"/>
    <w:rsid w:val="00612FBF"/>
    <w:rsid w:val="006136EB"/>
    <w:rsid w:val="00614513"/>
    <w:rsid w:val="006151A8"/>
    <w:rsid w:val="00617EB9"/>
    <w:rsid w:val="006205C2"/>
    <w:rsid w:val="00620844"/>
    <w:rsid w:val="0062249C"/>
    <w:rsid w:val="0062332F"/>
    <w:rsid w:val="00624763"/>
    <w:rsid w:val="00625D1D"/>
    <w:rsid w:val="0062754E"/>
    <w:rsid w:val="0063199A"/>
    <w:rsid w:val="00632F00"/>
    <w:rsid w:val="0063366F"/>
    <w:rsid w:val="00633ADB"/>
    <w:rsid w:val="0063459B"/>
    <w:rsid w:val="00635EA5"/>
    <w:rsid w:val="00635EFE"/>
    <w:rsid w:val="00636954"/>
    <w:rsid w:val="00641463"/>
    <w:rsid w:val="006450FC"/>
    <w:rsid w:val="0064572F"/>
    <w:rsid w:val="0064607A"/>
    <w:rsid w:val="0064678A"/>
    <w:rsid w:val="006476E5"/>
    <w:rsid w:val="00651689"/>
    <w:rsid w:val="00651A49"/>
    <w:rsid w:val="0065560B"/>
    <w:rsid w:val="00656B4E"/>
    <w:rsid w:val="00660E82"/>
    <w:rsid w:val="00662897"/>
    <w:rsid w:val="00664A6E"/>
    <w:rsid w:val="00664AC5"/>
    <w:rsid w:val="006674DE"/>
    <w:rsid w:val="006701D0"/>
    <w:rsid w:val="0067025C"/>
    <w:rsid w:val="00670563"/>
    <w:rsid w:val="006716DF"/>
    <w:rsid w:val="00671D2A"/>
    <w:rsid w:val="006755A4"/>
    <w:rsid w:val="006772CE"/>
    <w:rsid w:val="00677C17"/>
    <w:rsid w:val="00677CE8"/>
    <w:rsid w:val="00681C15"/>
    <w:rsid w:val="00681D40"/>
    <w:rsid w:val="00682A12"/>
    <w:rsid w:val="0068434A"/>
    <w:rsid w:val="0068624F"/>
    <w:rsid w:val="00687E84"/>
    <w:rsid w:val="00690050"/>
    <w:rsid w:val="00691699"/>
    <w:rsid w:val="006916F8"/>
    <w:rsid w:val="00693295"/>
    <w:rsid w:val="006948F6"/>
    <w:rsid w:val="006964CA"/>
    <w:rsid w:val="00697995"/>
    <w:rsid w:val="006A0765"/>
    <w:rsid w:val="006A2395"/>
    <w:rsid w:val="006A3B6B"/>
    <w:rsid w:val="006A4BA5"/>
    <w:rsid w:val="006A55B3"/>
    <w:rsid w:val="006A5CA1"/>
    <w:rsid w:val="006A6724"/>
    <w:rsid w:val="006A6EB1"/>
    <w:rsid w:val="006B32F8"/>
    <w:rsid w:val="006B4508"/>
    <w:rsid w:val="006B5DCE"/>
    <w:rsid w:val="006B6E50"/>
    <w:rsid w:val="006B71EE"/>
    <w:rsid w:val="006B729A"/>
    <w:rsid w:val="006B7A92"/>
    <w:rsid w:val="006C16FB"/>
    <w:rsid w:val="006C4266"/>
    <w:rsid w:val="006D0011"/>
    <w:rsid w:val="006D009B"/>
    <w:rsid w:val="006D513D"/>
    <w:rsid w:val="006D7517"/>
    <w:rsid w:val="006E0FFE"/>
    <w:rsid w:val="006E4731"/>
    <w:rsid w:val="006E66A8"/>
    <w:rsid w:val="006E722A"/>
    <w:rsid w:val="006F73D0"/>
    <w:rsid w:val="00701A10"/>
    <w:rsid w:val="00701F8D"/>
    <w:rsid w:val="0070459C"/>
    <w:rsid w:val="00705001"/>
    <w:rsid w:val="007066F3"/>
    <w:rsid w:val="00706CA3"/>
    <w:rsid w:val="007109ED"/>
    <w:rsid w:val="00711D06"/>
    <w:rsid w:val="00712507"/>
    <w:rsid w:val="00713152"/>
    <w:rsid w:val="00713C8B"/>
    <w:rsid w:val="00714F24"/>
    <w:rsid w:val="00714F3B"/>
    <w:rsid w:val="00717B95"/>
    <w:rsid w:val="0072017E"/>
    <w:rsid w:val="007204EE"/>
    <w:rsid w:val="007229C2"/>
    <w:rsid w:val="007246E5"/>
    <w:rsid w:val="00725D03"/>
    <w:rsid w:val="00727386"/>
    <w:rsid w:val="00736032"/>
    <w:rsid w:val="00736502"/>
    <w:rsid w:val="00736FF3"/>
    <w:rsid w:val="0074077D"/>
    <w:rsid w:val="00740CD2"/>
    <w:rsid w:val="0074426B"/>
    <w:rsid w:val="00744805"/>
    <w:rsid w:val="00745709"/>
    <w:rsid w:val="00745CBB"/>
    <w:rsid w:val="00746709"/>
    <w:rsid w:val="0074684C"/>
    <w:rsid w:val="00746EAD"/>
    <w:rsid w:val="007505E0"/>
    <w:rsid w:val="007519B5"/>
    <w:rsid w:val="00751B3F"/>
    <w:rsid w:val="0075219B"/>
    <w:rsid w:val="0075238F"/>
    <w:rsid w:val="007541D7"/>
    <w:rsid w:val="00756610"/>
    <w:rsid w:val="00761130"/>
    <w:rsid w:val="007641BB"/>
    <w:rsid w:val="00770678"/>
    <w:rsid w:val="00771D63"/>
    <w:rsid w:val="00780D71"/>
    <w:rsid w:val="00783CBE"/>
    <w:rsid w:val="00783F67"/>
    <w:rsid w:val="007858AA"/>
    <w:rsid w:val="00786E50"/>
    <w:rsid w:val="007904B5"/>
    <w:rsid w:val="00791A87"/>
    <w:rsid w:val="007944F5"/>
    <w:rsid w:val="00794D8C"/>
    <w:rsid w:val="00795D23"/>
    <w:rsid w:val="00795D6A"/>
    <w:rsid w:val="007B511F"/>
    <w:rsid w:val="007C241B"/>
    <w:rsid w:val="007C2F60"/>
    <w:rsid w:val="007C50DC"/>
    <w:rsid w:val="007C54E0"/>
    <w:rsid w:val="007C577E"/>
    <w:rsid w:val="007C5A51"/>
    <w:rsid w:val="007D0125"/>
    <w:rsid w:val="007D01C5"/>
    <w:rsid w:val="007D1D17"/>
    <w:rsid w:val="007D3317"/>
    <w:rsid w:val="007D3BDC"/>
    <w:rsid w:val="007D3D11"/>
    <w:rsid w:val="007D4B20"/>
    <w:rsid w:val="007D5864"/>
    <w:rsid w:val="007D6F1B"/>
    <w:rsid w:val="007D7869"/>
    <w:rsid w:val="007D7AFD"/>
    <w:rsid w:val="007E0672"/>
    <w:rsid w:val="007E6395"/>
    <w:rsid w:val="007E6F79"/>
    <w:rsid w:val="007E6FA3"/>
    <w:rsid w:val="007E720A"/>
    <w:rsid w:val="007E7427"/>
    <w:rsid w:val="007E754F"/>
    <w:rsid w:val="007F116B"/>
    <w:rsid w:val="007F1BCE"/>
    <w:rsid w:val="007F367D"/>
    <w:rsid w:val="007F50D9"/>
    <w:rsid w:val="007F6AE6"/>
    <w:rsid w:val="007F76E5"/>
    <w:rsid w:val="008007CC"/>
    <w:rsid w:val="00801320"/>
    <w:rsid w:val="0080146F"/>
    <w:rsid w:val="00803177"/>
    <w:rsid w:val="008046DA"/>
    <w:rsid w:val="008053EE"/>
    <w:rsid w:val="00805D4A"/>
    <w:rsid w:val="00811114"/>
    <w:rsid w:val="00812D82"/>
    <w:rsid w:val="00813909"/>
    <w:rsid w:val="00815EC9"/>
    <w:rsid w:val="00817FF0"/>
    <w:rsid w:val="00821B55"/>
    <w:rsid w:val="00821CAC"/>
    <w:rsid w:val="00823F70"/>
    <w:rsid w:val="008244B4"/>
    <w:rsid w:val="00826F61"/>
    <w:rsid w:val="00826FF1"/>
    <w:rsid w:val="008317C8"/>
    <w:rsid w:val="00833E99"/>
    <w:rsid w:val="00833F74"/>
    <w:rsid w:val="008348CB"/>
    <w:rsid w:val="008357C2"/>
    <w:rsid w:val="008375AA"/>
    <w:rsid w:val="00840BB0"/>
    <w:rsid w:val="008421A4"/>
    <w:rsid w:val="00842515"/>
    <w:rsid w:val="008439E3"/>
    <w:rsid w:val="00846FAD"/>
    <w:rsid w:val="0085452B"/>
    <w:rsid w:val="008561EC"/>
    <w:rsid w:val="008565D9"/>
    <w:rsid w:val="0085738E"/>
    <w:rsid w:val="00863EC6"/>
    <w:rsid w:val="00863F58"/>
    <w:rsid w:val="0086615B"/>
    <w:rsid w:val="00867DA2"/>
    <w:rsid w:val="00867DD4"/>
    <w:rsid w:val="00873E24"/>
    <w:rsid w:val="0088147B"/>
    <w:rsid w:val="00882B99"/>
    <w:rsid w:val="0088316B"/>
    <w:rsid w:val="008849F6"/>
    <w:rsid w:val="00886063"/>
    <w:rsid w:val="008902F4"/>
    <w:rsid w:val="00890862"/>
    <w:rsid w:val="008925C8"/>
    <w:rsid w:val="008931F7"/>
    <w:rsid w:val="008934BB"/>
    <w:rsid w:val="008A01A7"/>
    <w:rsid w:val="008A10FF"/>
    <w:rsid w:val="008A2111"/>
    <w:rsid w:val="008A21FD"/>
    <w:rsid w:val="008A3F6D"/>
    <w:rsid w:val="008A5CF0"/>
    <w:rsid w:val="008A6D60"/>
    <w:rsid w:val="008B1EE6"/>
    <w:rsid w:val="008B3E5E"/>
    <w:rsid w:val="008B3ED2"/>
    <w:rsid w:val="008B3F49"/>
    <w:rsid w:val="008B4C07"/>
    <w:rsid w:val="008B51CB"/>
    <w:rsid w:val="008C0BBC"/>
    <w:rsid w:val="008C20CE"/>
    <w:rsid w:val="008C242B"/>
    <w:rsid w:val="008C27F6"/>
    <w:rsid w:val="008C37DB"/>
    <w:rsid w:val="008C4A71"/>
    <w:rsid w:val="008C4CAF"/>
    <w:rsid w:val="008C7C6A"/>
    <w:rsid w:val="008D00C6"/>
    <w:rsid w:val="008D0D7F"/>
    <w:rsid w:val="008D30F7"/>
    <w:rsid w:val="008D3E7C"/>
    <w:rsid w:val="008D49D9"/>
    <w:rsid w:val="008E0594"/>
    <w:rsid w:val="008E2117"/>
    <w:rsid w:val="008E24F9"/>
    <w:rsid w:val="008E47DE"/>
    <w:rsid w:val="008E6FA4"/>
    <w:rsid w:val="008E73DB"/>
    <w:rsid w:val="008F09A7"/>
    <w:rsid w:val="008F48EC"/>
    <w:rsid w:val="008F6191"/>
    <w:rsid w:val="0090166B"/>
    <w:rsid w:val="00901CC8"/>
    <w:rsid w:val="00902006"/>
    <w:rsid w:val="00903A09"/>
    <w:rsid w:val="00903EB9"/>
    <w:rsid w:val="00905723"/>
    <w:rsid w:val="0090696F"/>
    <w:rsid w:val="009070FD"/>
    <w:rsid w:val="0091057A"/>
    <w:rsid w:val="00912290"/>
    <w:rsid w:val="00914583"/>
    <w:rsid w:val="00915BFA"/>
    <w:rsid w:val="0092071B"/>
    <w:rsid w:val="009218E5"/>
    <w:rsid w:val="009237BB"/>
    <w:rsid w:val="009241AE"/>
    <w:rsid w:val="00924EAB"/>
    <w:rsid w:val="00925E26"/>
    <w:rsid w:val="00926217"/>
    <w:rsid w:val="00926FC3"/>
    <w:rsid w:val="0092731B"/>
    <w:rsid w:val="00930178"/>
    <w:rsid w:val="00931113"/>
    <w:rsid w:val="009329BD"/>
    <w:rsid w:val="00934A60"/>
    <w:rsid w:val="00934E0C"/>
    <w:rsid w:val="00936174"/>
    <w:rsid w:val="00936192"/>
    <w:rsid w:val="009368D2"/>
    <w:rsid w:val="00936B5E"/>
    <w:rsid w:val="009410AD"/>
    <w:rsid w:val="0094155A"/>
    <w:rsid w:val="009437D8"/>
    <w:rsid w:val="00943901"/>
    <w:rsid w:val="00943AC5"/>
    <w:rsid w:val="00944C4A"/>
    <w:rsid w:val="00945C49"/>
    <w:rsid w:val="0095050E"/>
    <w:rsid w:val="00950FB7"/>
    <w:rsid w:val="00951891"/>
    <w:rsid w:val="00952A27"/>
    <w:rsid w:val="0095360D"/>
    <w:rsid w:val="009546C4"/>
    <w:rsid w:val="00954C7A"/>
    <w:rsid w:val="009563E1"/>
    <w:rsid w:val="00960798"/>
    <w:rsid w:val="00960FA6"/>
    <w:rsid w:val="009636E5"/>
    <w:rsid w:val="00967FAB"/>
    <w:rsid w:val="0097073F"/>
    <w:rsid w:val="00971845"/>
    <w:rsid w:val="00972466"/>
    <w:rsid w:val="00972ED7"/>
    <w:rsid w:val="0097300E"/>
    <w:rsid w:val="0097357E"/>
    <w:rsid w:val="0097476E"/>
    <w:rsid w:val="0097652D"/>
    <w:rsid w:val="0097757A"/>
    <w:rsid w:val="009801CE"/>
    <w:rsid w:val="00980A19"/>
    <w:rsid w:val="009826ED"/>
    <w:rsid w:val="0098355D"/>
    <w:rsid w:val="009835F1"/>
    <w:rsid w:val="00984BA3"/>
    <w:rsid w:val="0098569F"/>
    <w:rsid w:val="00985FB5"/>
    <w:rsid w:val="0098605E"/>
    <w:rsid w:val="00986169"/>
    <w:rsid w:val="009910CB"/>
    <w:rsid w:val="00991B1F"/>
    <w:rsid w:val="00991B87"/>
    <w:rsid w:val="009931A9"/>
    <w:rsid w:val="00995FEB"/>
    <w:rsid w:val="009A1873"/>
    <w:rsid w:val="009A22FC"/>
    <w:rsid w:val="009A3976"/>
    <w:rsid w:val="009A4017"/>
    <w:rsid w:val="009A4906"/>
    <w:rsid w:val="009A54AB"/>
    <w:rsid w:val="009B06E4"/>
    <w:rsid w:val="009B1780"/>
    <w:rsid w:val="009B17EA"/>
    <w:rsid w:val="009B1B44"/>
    <w:rsid w:val="009B2100"/>
    <w:rsid w:val="009B46D3"/>
    <w:rsid w:val="009B4EE3"/>
    <w:rsid w:val="009B780A"/>
    <w:rsid w:val="009C123F"/>
    <w:rsid w:val="009C324B"/>
    <w:rsid w:val="009C3A46"/>
    <w:rsid w:val="009C6718"/>
    <w:rsid w:val="009D0080"/>
    <w:rsid w:val="009D18D9"/>
    <w:rsid w:val="009D2A1D"/>
    <w:rsid w:val="009D3279"/>
    <w:rsid w:val="009D3CAD"/>
    <w:rsid w:val="009D3DDA"/>
    <w:rsid w:val="009D4FC4"/>
    <w:rsid w:val="009D5575"/>
    <w:rsid w:val="009D59CF"/>
    <w:rsid w:val="009D5F41"/>
    <w:rsid w:val="009E1D3D"/>
    <w:rsid w:val="009E2060"/>
    <w:rsid w:val="009E2131"/>
    <w:rsid w:val="009E27F9"/>
    <w:rsid w:val="009E403A"/>
    <w:rsid w:val="009F22A5"/>
    <w:rsid w:val="009F29E5"/>
    <w:rsid w:val="009F2C4A"/>
    <w:rsid w:val="009F3F6C"/>
    <w:rsid w:val="00A01B30"/>
    <w:rsid w:val="00A027F6"/>
    <w:rsid w:val="00A032DA"/>
    <w:rsid w:val="00A048C2"/>
    <w:rsid w:val="00A04C44"/>
    <w:rsid w:val="00A05BE2"/>
    <w:rsid w:val="00A10BDA"/>
    <w:rsid w:val="00A153F5"/>
    <w:rsid w:val="00A15AF0"/>
    <w:rsid w:val="00A16004"/>
    <w:rsid w:val="00A16160"/>
    <w:rsid w:val="00A20921"/>
    <w:rsid w:val="00A21D9E"/>
    <w:rsid w:val="00A243D8"/>
    <w:rsid w:val="00A24EA6"/>
    <w:rsid w:val="00A252A6"/>
    <w:rsid w:val="00A269F1"/>
    <w:rsid w:val="00A26BED"/>
    <w:rsid w:val="00A276A4"/>
    <w:rsid w:val="00A31E55"/>
    <w:rsid w:val="00A329E3"/>
    <w:rsid w:val="00A33C51"/>
    <w:rsid w:val="00A352D6"/>
    <w:rsid w:val="00A369BE"/>
    <w:rsid w:val="00A36FC2"/>
    <w:rsid w:val="00A40C54"/>
    <w:rsid w:val="00A427CD"/>
    <w:rsid w:val="00A42E2E"/>
    <w:rsid w:val="00A43781"/>
    <w:rsid w:val="00A46A3F"/>
    <w:rsid w:val="00A472CC"/>
    <w:rsid w:val="00A50DD9"/>
    <w:rsid w:val="00A512D3"/>
    <w:rsid w:val="00A54B1B"/>
    <w:rsid w:val="00A5754F"/>
    <w:rsid w:val="00A617E6"/>
    <w:rsid w:val="00A62949"/>
    <w:rsid w:val="00A6295A"/>
    <w:rsid w:val="00A62E01"/>
    <w:rsid w:val="00A630F1"/>
    <w:rsid w:val="00A64B09"/>
    <w:rsid w:val="00A64BD8"/>
    <w:rsid w:val="00A70973"/>
    <w:rsid w:val="00A70CB4"/>
    <w:rsid w:val="00A73AA7"/>
    <w:rsid w:val="00A74250"/>
    <w:rsid w:val="00A75BFC"/>
    <w:rsid w:val="00A769CC"/>
    <w:rsid w:val="00A773B2"/>
    <w:rsid w:val="00A77E3E"/>
    <w:rsid w:val="00A80AC9"/>
    <w:rsid w:val="00A8426D"/>
    <w:rsid w:val="00A90967"/>
    <w:rsid w:val="00A9326C"/>
    <w:rsid w:val="00A93590"/>
    <w:rsid w:val="00A9395E"/>
    <w:rsid w:val="00A947AC"/>
    <w:rsid w:val="00A94C93"/>
    <w:rsid w:val="00A95B74"/>
    <w:rsid w:val="00AA0265"/>
    <w:rsid w:val="00AA1679"/>
    <w:rsid w:val="00AA334A"/>
    <w:rsid w:val="00AA3B67"/>
    <w:rsid w:val="00AA7AED"/>
    <w:rsid w:val="00AB0005"/>
    <w:rsid w:val="00AB0070"/>
    <w:rsid w:val="00AB17BF"/>
    <w:rsid w:val="00AB21F4"/>
    <w:rsid w:val="00AB4F26"/>
    <w:rsid w:val="00AB5CA2"/>
    <w:rsid w:val="00AB77DF"/>
    <w:rsid w:val="00AC561A"/>
    <w:rsid w:val="00AC665A"/>
    <w:rsid w:val="00AD19E7"/>
    <w:rsid w:val="00AD1B8C"/>
    <w:rsid w:val="00AD372F"/>
    <w:rsid w:val="00AD582C"/>
    <w:rsid w:val="00AD65A3"/>
    <w:rsid w:val="00AD7D4A"/>
    <w:rsid w:val="00AE240E"/>
    <w:rsid w:val="00AE514A"/>
    <w:rsid w:val="00AE6D62"/>
    <w:rsid w:val="00AE762C"/>
    <w:rsid w:val="00AF0CB0"/>
    <w:rsid w:val="00AF1443"/>
    <w:rsid w:val="00AF1B63"/>
    <w:rsid w:val="00AF34D6"/>
    <w:rsid w:val="00AF41A5"/>
    <w:rsid w:val="00AF4830"/>
    <w:rsid w:val="00AF4C90"/>
    <w:rsid w:val="00B030CE"/>
    <w:rsid w:val="00B039A9"/>
    <w:rsid w:val="00B11198"/>
    <w:rsid w:val="00B128A3"/>
    <w:rsid w:val="00B12B4A"/>
    <w:rsid w:val="00B12FAA"/>
    <w:rsid w:val="00B13953"/>
    <w:rsid w:val="00B14150"/>
    <w:rsid w:val="00B17073"/>
    <w:rsid w:val="00B17164"/>
    <w:rsid w:val="00B221D6"/>
    <w:rsid w:val="00B236FF"/>
    <w:rsid w:val="00B237A9"/>
    <w:rsid w:val="00B23C37"/>
    <w:rsid w:val="00B25CC6"/>
    <w:rsid w:val="00B25DC1"/>
    <w:rsid w:val="00B26221"/>
    <w:rsid w:val="00B2772F"/>
    <w:rsid w:val="00B30316"/>
    <w:rsid w:val="00B31259"/>
    <w:rsid w:val="00B328F5"/>
    <w:rsid w:val="00B32E66"/>
    <w:rsid w:val="00B33424"/>
    <w:rsid w:val="00B33CA7"/>
    <w:rsid w:val="00B34114"/>
    <w:rsid w:val="00B34994"/>
    <w:rsid w:val="00B34F19"/>
    <w:rsid w:val="00B35D08"/>
    <w:rsid w:val="00B362CA"/>
    <w:rsid w:val="00B376FD"/>
    <w:rsid w:val="00B403E6"/>
    <w:rsid w:val="00B41543"/>
    <w:rsid w:val="00B439D2"/>
    <w:rsid w:val="00B43A33"/>
    <w:rsid w:val="00B44527"/>
    <w:rsid w:val="00B46749"/>
    <w:rsid w:val="00B475E3"/>
    <w:rsid w:val="00B50996"/>
    <w:rsid w:val="00B51E31"/>
    <w:rsid w:val="00B53D60"/>
    <w:rsid w:val="00B54FA6"/>
    <w:rsid w:val="00B553B6"/>
    <w:rsid w:val="00B55AAE"/>
    <w:rsid w:val="00B56C7F"/>
    <w:rsid w:val="00B6138F"/>
    <w:rsid w:val="00B642BB"/>
    <w:rsid w:val="00B658C6"/>
    <w:rsid w:val="00B6677D"/>
    <w:rsid w:val="00B67197"/>
    <w:rsid w:val="00B70775"/>
    <w:rsid w:val="00B71C6B"/>
    <w:rsid w:val="00B736A2"/>
    <w:rsid w:val="00B75A9E"/>
    <w:rsid w:val="00B75E39"/>
    <w:rsid w:val="00B77982"/>
    <w:rsid w:val="00B80546"/>
    <w:rsid w:val="00B8083D"/>
    <w:rsid w:val="00B80A11"/>
    <w:rsid w:val="00B80AC5"/>
    <w:rsid w:val="00B81FA8"/>
    <w:rsid w:val="00B9098A"/>
    <w:rsid w:val="00B92678"/>
    <w:rsid w:val="00B92D75"/>
    <w:rsid w:val="00B953AE"/>
    <w:rsid w:val="00B969D9"/>
    <w:rsid w:val="00B97603"/>
    <w:rsid w:val="00BA0A01"/>
    <w:rsid w:val="00BA24AB"/>
    <w:rsid w:val="00BA256E"/>
    <w:rsid w:val="00BA3BE9"/>
    <w:rsid w:val="00BA4F42"/>
    <w:rsid w:val="00BA7219"/>
    <w:rsid w:val="00BB427B"/>
    <w:rsid w:val="00BB42CC"/>
    <w:rsid w:val="00BB633E"/>
    <w:rsid w:val="00BB6492"/>
    <w:rsid w:val="00BC0617"/>
    <w:rsid w:val="00BC0DDB"/>
    <w:rsid w:val="00BC2BEB"/>
    <w:rsid w:val="00BC5529"/>
    <w:rsid w:val="00BC72B2"/>
    <w:rsid w:val="00BC7F22"/>
    <w:rsid w:val="00BD6891"/>
    <w:rsid w:val="00BD7866"/>
    <w:rsid w:val="00BD7E0F"/>
    <w:rsid w:val="00BE1120"/>
    <w:rsid w:val="00BE1310"/>
    <w:rsid w:val="00BE63A5"/>
    <w:rsid w:val="00BE73FB"/>
    <w:rsid w:val="00BE788A"/>
    <w:rsid w:val="00BF2E22"/>
    <w:rsid w:val="00C0114A"/>
    <w:rsid w:val="00C03F27"/>
    <w:rsid w:val="00C054CB"/>
    <w:rsid w:val="00C06B11"/>
    <w:rsid w:val="00C07BD3"/>
    <w:rsid w:val="00C11737"/>
    <w:rsid w:val="00C11CF5"/>
    <w:rsid w:val="00C15761"/>
    <w:rsid w:val="00C158C4"/>
    <w:rsid w:val="00C218C1"/>
    <w:rsid w:val="00C21D2B"/>
    <w:rsid w:val="00C221D6"/>
    <w:rsid w:val="00C24C77"/>
    <w:rsid w:val="00C2524C"/>
    <w:rsid w:val="00C3023D"/>
    <w:rsid w:val="00C321E1"/>
    <w:rsid w:val="00C333D4"/>
    <w:rsid w:val="00C362E0"/>
    <w:rsid w:val="00C36EB5"/>
    <w:rsid w:val="00C40356"/>
    <w:rsid w:val="00C46D06"/>
    <w:rsid w:val="00C47D27"/>
    <w:rsid w:val="00C534E3"/>
    <w:rsid w:val="00C54472"/>
    <w:rsid w:val="00C55B96"/>
    <w:rsid w:val="00C57AC9"/>
    <w:rsid w:val="00C65696"/>
    <w:rsid w:val="00C70F6C"/>
    <w:rsid w:val="00C74077"/>
    <w:rsid w:val="00C74B67"/>
    <w:rsid w:val="00C76185"/>
    <w:rsid w:val="00C80FC7"/>
    <w:rsid w:val="00C814AD"/>
    <w:rsid w:val="00C81786"/>
    <w:rsid w:val="00C83A16"/>
    <w:rsid w:val="00C94F68"/>
    <w:rsid w:val="00C95CA5"/>
    <w:rsid w:val="00CA0303"/>
    <w:rsid w:val="00CA2488"/>
    <w:rsid w:val="00CA55A8"/>
    <w:rsid w:val="00CA6A69"/>
    <w:rsid w:val="00CA76D6"/>
    <w:rsid w:val="00CB04F6"/>
    <w:rsid w:val="00CB16E4"/>
    <w:rsid w:val="00CB16FE"/>
    <w:rsid w:val="00CB241B"/>
    <w:rsid w:val="00CB349B"/>
    <w:rsid w:val="00CB4A91"/>
    <w:rsid w:val="00CB5523"/>
    <w:rsid w:val="00CC06D9"/>
    <w:rsid w:val="00CC1C2F"/>
    <w:rsid w:val="00CC1DCE"/>
    <w:rsid w:val="00CC20E0"/>
    <w:rsid w:val="00CC2F90"/>
    <w:rsid w:val="00CC3C1D"/>
    <w:rsid w:val="00CC4D5B"/>
    <w:rsid w:val="00CC5CA9"/>
    <w:rsid w:val="00CC7618"/>
    <w:rsid w:val="00CD0664"/>
    <w:rsid w:val="00CD07B1"/>
    <w:rsid w:val="00CD44B7"/>
    <w:rsid w:val="00CD6E7E"/>
    <w:rsid w:val="00CE0763"/>
    <w:rsid w:val="00CE33FB"/>
    <w:rsid w:val="00CE3FFC"/>
    <w:rsid w:val="00CE5289"/>
    <w:rsid w:val="00CE5DF4"/>
    <w:rsid w:val="00CF0323"/>
    <w:rsid w:val="00CF0496"/>
    <w:rsid w:val="00CF183B"/>
    <w:rsid w:val="00CF1FAE"/>
    <w:rsid w:val="00CF266C"/>
    <w:rsid w:val="00CF293F"/>
    <w:rsid w:val="00CF324F"/>
    <w:rsid w:val="00CF541E"/>
    <w:rsid w:val="00D0041B"/>
    <w:rsid w:val="00D01923"/>
    <w:rsid w:val="00D01C32"/>
    <w:rsid w:val="00D04599"/>
    <w:rsid w:val="00D04D7E"/>
    <w:rsid w:val="00D0500B"/>
    <w:rsid w:val="00D104B0"/>
    <w:rsid w:val="00D11294"/>
    <w:rsid w:val="00D11869"/>
    <w:rsid w:val="00D133B4"/>
    <w:rsid w:val="00D14957"/>
    <w:rsid w:val="00D14E73"/>
    <w:rsid w:val="00D15B81"/>
    <w:rsid w:val="00D15EB2"/>
    <w:rsid w:val="00D16937"/>
    <w:rsid w:val="00D233D4"/>
    <w:rsid w:val="00D23B8A"/>
    <w:rsid w:val="00D24AAC"/>
    <w:rsid w:val="00D271D6"/>
    <w:rsid w:val="00D27C76"/>
    <w:rsid w:val="00D27D29"/>
    <w:rsid w:val="00D36A29"/>
    <w:rsid w:val="00D40A9E"/>
    <w:rsid w:val="00D45E24"/>
    <w:rsid w:val="00D45F30"/>
    <w:rsid w:val="00D46456"/>
    <w:rsid w:val="00D47BD6"/>
    <w:rsid w:val="00D5159E"/>
    <w:rsid w:val="00D5306C"/>
    <w:rsid w:val="00D56724"/>
    <w:rsid w:val="00D56A68"/>
    <w:rsid w:val="00D63D2A"/>
    <w:rsid w:val="00D6457B"/>
    <w:rsid w:val="00D64C0F"/>
    <w:rsid w:val="00D655D1"/>
    <w:rsid w:val="00D673BB"/>
    <w:rsid w:val="00D70BFB"/>
    <w:rsid w:val="00D716FE"/>
    <w:rsid w:val="00D73464"/>
    <w:rsid w:val="00D74109"/>
    <w:rsid w:val="00D742F8"/>
    <w:rsid w:val="00D74DAA"/>
    <w:rsid w:val="00D755B1"/>
    <w:rsid w:val="00D75F04"/>
    <w:rsid w:val="00D81AA2"/>
    <w:rsid w:val="00D83A1B"/>
    <w:rsid w:val="00D83AC5"/>
    <w:rsid w:val="00D87D7C"/>
    <w:rsid w:val="00D87F6B"/>
    <w:rsid w:val="00D9014E"/>
    <w:rsid w:val="00D90248"/>
    <w:rsid w:val="00D918DC"/>
    <w:rsid w:val="00D92CA1"/>
    <w:rsid w:val="00D92CAB"/>
    <w:rsid w:val="00D932A8"/>
    <w:rsid w:val="00D97DE2"/>
    <w:rsid w:val="00DA0A2E"/>
    <w:rsid w:val="00DA131D"/>
    <w:rsid w:val="00DA2DA9"/>
    <w:rsid w:val="00DA4367"/>
    <w:rsid w:val="00DA4373"/>
    <w:rsid w:val="00DA480B"/>
    <w:rsid w:val="00DB07CC"/>
    <w:rsid w:val="00DB0EDD"/>
    <w:rsid w:val="00DB205A"/>
    <w:rsid w:val="00DB27D7"/>
    <w:rsid w:val="00DB37C5"/>
    <w:rsid w:val="00DB3CF5"/>
    <w:rsid w:val="00DB6404"/>
    <w:rsid w:val="00DB6FD3"/>
    <w:rsid w:val="00DC09FD"/>
    <w:rsid w:val="00DC15F8"/>
    <w:rsid w:val="00DC369A"/>
    <w:rsid w:val="00DC3734"/>
    <w:rsid w:val="00DC4401"/>
    <w:rsid w:val="00DC7B0A"/>
    <w:rsid w:val="00DE20EC"/>
    <w:rsid w:val="00DE58DA"/>
    <w:rsid w:val="00DE65DA"/>
    <w:rsid w:val="00DE70EC"/>
    <w:rsid w:val="00DE72BB"/>
    <w:rsid w:val="00DF0991"/>
    <w:rsid w:val="00DF14DD"/>
    <w:rsid w:val="00DF2339"/>
    <w:rsid w:val="00DF3166"/>
    <w:rsid w:val="00DF3AFD"/>
    <w:rsid w:val="00DF4B4D"/>
    <w:rsid w:val="00DF71EC"/>
    <w:rsid w:val="00E000ED"/>
    <w:rsid w:val="00E018E1"/>
    <w:rsid w:val="00E02385"/>
    <w:rsid w:val="00E06B72"/>
    <w:rsid w:val="00E103F6"/>
    <w:rsid w:val="00E11388"/>
    <w:rsid w:val="00E115A1"/>
    <w:rsid w:val="00E119CE"/>
    <w:rsid w:val="00E11BCF"/>
    <w:rsid w:val="00E11CAD"/>
    <w:rsid w:val="00E11D2B"/>
    <w:rsid w:val="00E13372"/>
    <w:rsid w:val="00E14164"/>
    <w:rsid w:val="00E149AB"/>
    <w:rsid w:val="00E16FEC"/>
    <w:rsid w:val="00E17149"/>
    <w:rsid w:val="00E17AC2"/>
    <w:rsid w:val="00E2007C"/>
    <w:rsid w:val="00E217E2"/>
    <w:rsid w:val="00E21B9D"/>
    <w:rsid w:val="00E2589A"/>
    <w:rsid w:val="00E25F71"/>
    <w:rsid w:val="00E267A7"/>
    <w:rsid w:val="00E270F0"/>
    <w:rsid w:val="00E277CE"/>
    <w:rsid w:val="00E32C4B"/>
    <w:rsid w:val="00E343DD"/>
    <w:rsid w:val="00E36138"/>
    <w:rsid w:val="00E37172"/>
    <w:rsid w:val="00E40B33"/>
    <w:rsid w:val="00E43293"/>
    <w:rsid w:val="00E44453"/>
    <w:rsid w:val="00E44622"/>
    <w:rsid w:val="00E44E38"/>
    <w:rsid w:val="00E45439"/>
    <w:rsid w:val="00E50383"/>
    <w:rsid w:val="00E54F47"/>
    <w:rsid w:val="00E54F5E"/>
    <w:rsid w:val="00E55E58"/>
    <w:rsid w:val="00E57D6E"/>
    <w:rsid w:val="00E609CA"/>
    <w:rsid w:val="00E619E2"/>
    <w:rsid w:val="00E61CAF"/>
    <w:rsid w:val="00E62514"/>
    <w:rsid w:val="00E64445"/>
    <w:rsid w:val="00E64807"/>
    <w:rsid w:val="00E64BE5"/>
    <w:rsid w:val="00E67501"/>
    <w:rsid w:val="00E71025"/>
    <w:rsid w:val="00E72744"/>
    <w:rsid w:val="00E72ADF"/>
    <w:rsid w:val="00E763B3"/>
    <w:rsid w:val="00E81368"/>
    <w:rsid w:val="00E8142E"/>
    <w:rsid w:val="00E82052"/>
    <w:rsid w:val="00E82CCF"/>
    <w:rsid w:val="00E82DA0"/>
    <w:rsid w:val="00E84756"/>
    <w:rsid w:val="00E84B38"/>
    <w:rsid w:val="00E8651D"/>
    <w:rsid w:val="00E869C3"/>
    <w:rsid w:val="00E917E9"/>
    <w:rsid w:val="00E92DF3"/>
    <w:rsid w:val="00E93C00"/>
    <w:rsid w:val="00E95F2A"/>
    <w:rsid w:val="00E96774"/>
    <w:rsid w:val="00E97F28"/>
    <w:rsid w:val="00EA0235"/>
    <w:rsid w:val="00EA2229"/>
    <w:rsid w:val="00EA3000"/>
    <w:rsid w:val="00EA43BD"/>
    <w:rsid w:val="00EA4CC4"/>
    <w:rsid w:val="00EA5C1D"/>
    <w:rsid w:val="00EA5D56"/>
    <w:rsid w:val="00EA7821"/>
    <w:rsid w:val="00EA79FE"/>
    <w:rsid w:val="00EA7C39"/>
    <w:rsid w:val="00EA7F3A"/>
    <w:rsid w:val="00EB4AEB"/>
    <w:rsid w:val="00EB5370"/>
    <w:rsid w:val="00EB7473"/>
    <w:rsid w:val="00EC0635"/>
    <w:rsid w:val="00EC379E"/>
    <w:rsid w:val="00EC4497"/>
    <w:rsid w:val="00EC5610"/>
    <w:rsid w:val="00EC6605"/>
    <w:rsid w:val="00ED1382"/>
    <w:rsid w:val="00ED22C0"/>
    <w:rsid w:val="00ED4112"/>
    <w:rsid w:val="00ED66D9"/>
    <w:rsid w:val="00EE16AF"/>
    <w:rsid w:val="00EE7679"/>
    <w:rsid w:val="00EE7F1D"/>
    <w:rsid w:val="00EF1466"/>
    <w:rsid w:val="00EF295E"/>
    <w:rsid w:val="00EF3186"/>
    <w:rsid w:val="00EF6BBE"/>
    <w:rsid w:val="00F0073F"/>
    <w:rsid w:val="00F02205"/>
    <w:rsid w:val="00F03D3C"/>
    <w:rsid w:val="00F040B8"/>
    <w:rsid w:val="00F04E94"/>
    <w:rsid w:val="00F060F5"/>
    <w:rsid w:val="00F065AD"/>
    <w:rsid w:val="00F14398"/>
    <w:rsid w:val="00F160FF"/>
    <w:rsid w:val="00F2079A"/>
    <w:rsid w:val="00F20B1C"/>
    <w:rsid w:val="00F215FE"/>
    <w:rsid w:val="00F248CE"/>
    <w:rsid w:val="00F26B63"/>
    <w:rsid w:val="00F26EF2"/>
    <w:rsid w:val="00F27184"/>
    <w:rsid w:val="00F27D29"/>
    <w:rsid w:val="00F308B5"/>
    <w:rsid w:val="00F341E9"/>
    <w:rsid w:val="00F34287"/>
    <w:rsid w:val="00F3450C"/>
    <w:rsid w:val="00F35CFF"/>
    <w:rsid w:val="00F37225"/>
    <w:rsid w:val="00F37A4D"/>
    <w:rsid w:val="00F401BE"/>
    <w:rsid w:val="00F4257F"/>
    <w:rsid w:val="00F4328B"/>
    <w:rsid w:val="00F4732B"/>
    <w:rsid w:val="00F50605"/>
    <w:rsid w:val="00F51C72"/>
    <w:rsid w:val="00F51CDD"/>
    <w:rsid w:val="00F52D17"/>
    <w:rsid w:val="00F54015"/>
    <w:rsid w:val="00F55CC9"/>
    <w:rsid w:val="00F56C6D"/>
    <w:rsid w:val="00F57571"/>
    <w:rsid w:val="00F63DB7"/>
    <w:rsid w:val="00F734B9"/>
    <w:rsid w:val="00F73C7F"/>
    <w:rsid w:val="00F7503C"/>
    <w:rsid w:val="00F80DD4"/>
    <w:rsid w:val="00F816A7"/>
    <w:rsid w:val="00F82664"/>
    <w:rsid w:val="00F829FE"/>
    <w:rsid w:val="00F831CD"/>
    <w:rsid w:val="00F83458"/>
    <w:rsid w:val="00F8497E"/>
    <w:rsid w:val="00F84F56"/>
    <w:rsid w:val="00F85B56"/>
    <w:rsid w:val="00F8764D"/>
    <w:rsid w:val="00F92567"/>
    <w:rsid w:val="00F948A4"/>
    <w:rsid w:val="00F977DB"/>
    <w:rsid w:val="00FA032D"/>
    <w:rsid w:val="00FA3CE9"/>
    <w:rsid w:val="00FA405C"/>
    <w:rsid w:val="00FA420E"/>
    <w:rsid w:val="00FA4363"/>
    <w:rsid w:val="00FA4840"/>
    <w:rsid w:val="00FA49C4"/>
    <w:rsid w:val="00FA6919"/>
    <w:rsid w:val="00FB047F"/>
    <w:rsid w:val="00FB0DBC"/>
    <w:rsid w:val="00FB2042"/>
    <w:rsid w:val="00FB283F"/>
    <w:rsid w:val="00FB2EBF"/>
    <w:rsid w:val="00FB344F"/>
    <w:rsid w:val="00FB47AF"/>
    <w:rsid w:val="00FB615A"/>
    <w:rsid w:val="00FB698D"/>
    <w:rsid w:val="00FC6AC9"/>
    <w:rsid w:val="00FC73CD"/>
    <w:rsid w:val="00FD0A13"/>
    <w:rsid w:val="00FD1643"/>
    <w:rsid w:val="00FD1C06"/>
    <w:rsid w:val="00FD23B9"/>
    <w:rsid w:val="00FD3DD0"/>
    <w:rsid w:val="00FD427E"/>
    <w:rsid w:val="00FD4446"/>
    <w:rsid w:val="00FD5286"/>
    <w:rsid w:val="00FD56E2"/>
    <w:rsid w:val="00FD6687"/>
    <w:rsid w:val="00FD7D18"/>
    <w:rsid w:val="00FE396D"/>
    <w:rsid w:val="00FE5471"/>
    <w:rsid w:val="00FE5D49"/>
    <w:rsid w:val="00FE670B"/>
    <w:rsid w:val="00FE707D"/>
    <w:rsid w:val="00FF4F4A"/>
    <w:rsid w:val="00FF5230"/>
    <w:rsid w:val="00FF61FC"/>
    <w:rsid w:val="00FF7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D60F62"/>
  <w15:docId w15:val="{4F044512-FBF6-4698-9919-6122CF6F0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6D20"/>
    <w:rPr>
      <w:sz w:val="24"/>
      <w:szCs w:val="24"/>
    </w:rPr>
  </w:style>
  <w:style w:type="paragraph" w:styleId="Heading1">
    <w:name w:val="heading 1"/>
    <w:basedOn w:val="Normal"/>
    <w:next w:val="Normal"/>
    <w:qFormat/>
    <w:rsid w:val="00CB5523"/>
    <w:pPr>
      <w:keepNext/>
      <w:tabs>
        <w:tab w:val="center" w:pos="5954"/>
      </w:tabs>
      <w:ind w:right="-1"/>
      <w:jc w:val="right"/>
      <w:outlineLvl w:val="0"/>
    </w:pPr>
    <w:rPr>
      <w:b/>
      <w:caps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ssageHeaderLabel">
    <w:name w:val="Message Header Label"/>
    <w:rsid w:val="00CB5523"/>
    <w:rPr>
      <w:rFonts w:ascii="Arial Black" w:hAnsi="Arial Black"/>
      <w:spacing w:val="-10"/>
      <w:sz w:val="18"/>
    </w:rPr>
  </w:style>
  <w:style w:type="paragraph" w:styleId="Subtitle">
    <w:name w:val="Subtitle"/>
    <w:basedOn w:val="Normal"/>
    <w:qFormat/>
    <w:rsid w:val="00CB5523"/>
    <w:pPr>
      <w:jc w:val="center"/>
    </w:pPr>
    <w:rPr>
      <w:b/>
      <w:bCs/>
      <w:lang w:val="it-IT"/>
    </w:rPr>
  </w:style>
  <w:style w:type="character" w:styleId="FollowedHyperlink">
    <w:name w:val="FollowedHyperlink"/>
    <w:rsid w:val="00CB5523"/>
    <w:rPr>
      <w:color w:val="800080"/>
      <w:u w:val="single"/>
    </w:rPr>
  </w:style>
  <w:style w:type="table" w:styleId="TableGrid">
    <w:name w:val="Table Grid"/>
    <w:basedOn w:val="TableNormal"/>
    <w:rsid w:val="007F11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35EA5"/>
    <w:pPr>
      <w:spacing w:before="120" w:after="120"/>
      <w:ind w:left="720"/>
      <w:contextualSpacing/>
      <w:jc w:val="both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rsid w:val="00833F7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33F7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33F7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33F74"/>
    <w:rPr>
      <w:sz w:val="24"/>
      <w:szCs w:val="24"/>
    </w:rPr>
  </w:style>
  <w:style w:type="paragraph" w:styleId="BalloonText">
    <w:name w:val="Balloon Text"/>
    <w:basedOn w:val="Normal"/>
    <w:link w:val="BalloonTextChar"/>
    <w:rsid w:val="004C70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C70C3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sid w:val="00DC369A"/>
    <w:rPr>
      <w:b/>
      <w:bCs/>
    </w:rPr>
  </w:style>
  <w:style w:type="paragraph" w:styleId="NoSpacing">
    <w:name w:val="No Spacing"/>
    <w:uiPriority w:val="1"/>
    <w:qFormat/>
    <w:rsid w:val="004A521C"/>
    <w:rPr>
      <w:rFonts w:ascii="Calibri" w:eastAsia="Calibri" w:hAnsi="Calibri"/>
      <w:sz w:val="22"/>
      <w:szCs w:val="22"/>
      <w:lang w:val="sq-AL"/>
    </w:rPr>
  </w:style>
  <w:style w:type="table" w:customStyle="1" w:styleId="TableGridLight1">
    <w:name w:val="Table Grid Light1"/>
    <w:basedOn w:val="TableNormal"/>
    <w:uiPriority w:val="40"/>
    <w:rsid w:val="00C218C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odyTextIndent">
    <w:name w:val="Body Text Indent"/>
    <w:basedOn w:val="Normal"/>
    <w:link w:val="BodyTextIndentChar"/>
    <w:semiHidden/>
    <w:unhideWhenUsed/>
    <w:rsid w:val="00DE65D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DE65DA"/>
    <w:rPr>
      <w:sz w:val="24"/>
      <w:szCs w:val="24"/>
    </w:rPr>
  </w:style>
  <w:style w:type="table" w:customStyle="1" w:styleId="TableGridLight2">
    <w:name w:val="Table Grid Light2"/>
    <w:basedOn w:val="TableNormal"/>
    <w:uiPriority w:val="40"/>
    <w:rsid w:val="003A587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fontstyle01">
    <w:name w:val="fontstyle01"/>
    <w:basedOn w:val="DefaultParagraphFont"/>
    <w:rsid w:val="005C591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hpresa.karanxha\Desktop\Viti%202025\Fondi%20Rezerve%202025\Fondi%20Rezerve%20Dhjetor2025\Fondi%20Rezerve%20Kontigjenca%2031.12.2025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9.3055555555555558E-2"/>
          <c:y val="0.38720107903178769"/>
          <c:w val="0.81388888888888888"/>
          <c:h val="0.4610936132983377"/>
        </c:manualLayout>
      </c:layout>
      <c:pie3DChart>
        <c:varyColors val="1"/>
        <c:ser>
          <c:idx val="0"/>
          <c:order val="0"/>
          <c:tx>
            <c:strRef>
              <c:f>'[Fondi Rezerve Kontigjenca 31.12.2025.xlsx] Fondi Rezerve 2025 '!$T$29</c:f>
              <c:strCache>
                <c:ptCount val="1"/>
                <c:pt idx="0">
                  <c:v>Përdorimet e Fondit Rezervë për vitin 2025</c:v>
                </c:pt>
              </c:strCache>
            </c:strRef>
          </c:tx>
          <c:dLbls>
            <c:dLbl>
              <c:idx val="0"/>
              <c:layout>
                <c:manualLayout>
                  <c:x val="3.1780839895013124E-2"/>
                  <c:y val="3.1714785651793524E-4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326,423</a:t>
                    </a:r>
                  </a:p>
                  <a:p>
                    <a:r>
                      <a:rPr lang="en-US"/>
                      <a:t> 13%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8F95-4635-AF09-598CDBEC9816}"/>
                </c:ext>
              </c:extLst>
            </c:dLbl>
            <c:dLbl>
              <c:idx val="1"/>
              <c:layout>
                <c:manualLayout>
                  <c:x val="0.17370811461067368"/>
                  <c:y val="-0.26473461650627006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2,005,215</a:t>
                    </a:r>
                  </a:p>
                  <a:p>
                    <a:r>
                      <a:rPr lang="en-US"/>
                      <a:t>83%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8F95-4635-AF09-598CDBEC9816}"/>
                </c:ext>
              </c:extLst>
            </c:dLbl>
            <c:dLbl>
              <c:idx val="2"/>
              <c:layout>
                <c:manualLayout>
                  <c:x val="-2.9254155730533684E-3"/>
                  <c:y val="5.828229804607757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98,660</a:t>
                    </a:r>
                  </a:p>
                  <a:p>
                    <a:r>
                      <a:rPr lang="en-US"/>
                      <a:t> 4%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8F95-4635-AF09-598CDBEC9816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'[Fondi Rezerve Kontigjenca 31.12.2025.xlsx] Fondi Rezerve 2025 '!$U$28:$W$28</c:f>
              <c:strCache>
                <c:ptCount val="3"/>
                <c:pt idx="0">
                  <c:v>Shpenzime personeli</c:v>
                </c:pt>
                <c:pt idx="1">
                  <c:v>Te tjera Operative</c:v>
                </c:pt>
                <c:pt idx="2">
                  <c:v>Investime</c:v>
                </c:pt>
              </c:strCache>
            </c:strRef>
          </c:cat>
          <c:val>
            <c:numRef>
              <c:f>'[Fondi Rezerve Kontigjenca 31.12.2025.xlsx] Fondi Rezerve 2025 '!$U$29:$W$29</c:f>
              <c:numCache>
                <c:formatCode>#,##0</c:formatCode>
                <c:ptCount val="3"/>
                <c:pt idx="0">
                  <c:v>326423</c:v>
                </c:pt>
                <c:pt idx="1">
                  <c:v>2005215</c:v>
                </c:pt>
                <c:pt idx="2">
                  <c:v>98660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F95-4635-AF09-598CDBEC981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95C7BB-0B6D-4619-A0A4-97AC84D0BC1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1195</Words>
  <Characters>6813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7993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luiza</dc:creator>
  <cp:lastModifiedBy>Xh A</cp:lastModifiedBy>
  <cp:revision>2</cp:revision>
  <cp:lastPrinted>2025-11-18T15:28:00Z</cp:lastPrinted>
  <dcterms:created xsi:type="dcterms:W3CDTF">2026-05-05T10:09:00Z</dcterms:created>
  <dcterms:modified xsi:type="dcterms:W3CDTF">2026-05-05T10:09:00Z</dcterms:modified>
</cp:coreProperties>
</file>