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E153" w14:textId="744AC460" w:rsidR="00D479B4" w:rsidRPr="00B644BE" w:rsidRDefault="00402DA8" w:rsidP="00402DA8">
      <w:pPr>
        <w:contextualSpacing/>
        <w:jc w:val="center"/>
        <w:rPr>
          <w:rFonts w:ascii="Times New Roman" w:eastAsiaTheme="minorEastAsia" w:hAnsi="Times New Roman" w:cstheme="minorBidi"/>
          <w:b/>
          <w:noProof/>
          <w:sz w:val="24"/>
          <w:lang w:val="sq-AL"/>
        </w:rPr>
      </w:pPr>
      <w:r w:rsidRPr="00ED12D2">
        <w:rPr>
          <w:rFonts w:ascii="Times New Roman" w:hAnsi="Times New Roman"/>
          <w:noProof/>
          <w:sz w:val="20"/>
          <w:szCs w:val="20"/>
        </w:rPr>
        <w:drawing>
          <wp:inline distT="0" distB="0" distL="0" distR="0" wp14:anchorId="735C9487" wp14:editId="41BAF069">
            <wp:extent cx="5677535" cy="600710"/>
            <wp:effectExtent l="0" t="0" r="0" b="0"/>
            <wp:docPr id="477245337" name="Picture 47724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535" cy="600710"/>
                    </a:xfrm>
                    <a:prstGeom prst="rect">
                      <a:avLst/>
                    </a:prstGeom>
                    <a:noFill/>
                    <a:ln>
                      <a:noFill/>
                    </a:ln>
                  </pic:spPr>
                </pic:pic>
              </a:graphicData>
            </a:graphic>
          </wp:inline>
        </w:drawing>
      </w:r>
    </w:p>
    <w:p w14:paraId="52E82C28" w14:textId="34903068" w:rsidR="00D479B4" w:rsidRPr="00B644BE" w:rsidRDefault="00D479B4" w:rsidP="005D6C18">
      <w:pPr>
        <w:contextualSpacing/>
        <w:jc w:val="center"/>
        <w:rPr>
          <w:rFonts w:ascii="Times New Roman" w:eastAsiaTheme="minorEastAsia" w:hAnsi="Times New Roman" w:cstheme="minorBidi"/>
          <w:b/>
          <w:noProof/>
          <w:sz w:val="24"/>
          <w:lang w:val="sq-AL"/>
        </w:rPr>
      </w:pPr>
      <w:r w:rsidRPr="00B644BE">
        <w:rPr>
          <w:rFonts w:ascii="Times New Roman" w:eastAsiaTheme="minorEastAsia" w:hAnsi="Times New Roman" w:cstheme="minorBidi"/>
          <w:b/>
          <w:noProof/>
          <w:sz w:val="24"/>
          <w:lang w:val="sq-AL"/>
        </w:rPr>
        <w:t>REPUBLIKA E SHQIPËRISË</w:t>
      </w:r>
    </w:p>
    <w:p w14:paraId="2FF2CFE0" w14:textId="1A9DC88C" w:rsidR="00D479B4" w:rsidRPr="00B644BE" w:rsidRDefault="00D479B4" w:rsidP="005D6C18">
      <w:pPr>
        <w:jc w:val="center"/>
        <w:rPr>
          <w:rFonts w:ascii="Times New Roman" w:eastAsiaTheme="minorEastAsia" w:hAnsi="Times New Roman"/>
          <w:b/>
          <w:noProof/>
          <w:sz w:val="24"/>
          <w:lang w:val="sq-AL"/>
        </w:rPr>
      </w:pPr>
      <w:r w:rsidRPr="00B644BE">
        <w:rPr>
          <w:rFonts w:ascii="Times New Roman" w:eastAsiaTheme="minorEastAsia" w:hAnsi="Times New Roman"/>
          <w:b/>
          <w:noProof/>
          <w:sz w:val="24"/>
          <w:lang w:val="sq-AL"/>
        </w:rPr>
        <w:t>MINISTRIA E FINANCAVE</w:t>
      </w:r>
    </w:p>
    <w:p w14:paraId="111D99F2" w14:textId="77777777" w:rsidR="007F44B9" w:rsidRPr="00B644BE" w:rsidRDefault="007F44B9" w:rsidP="00FC729E">
      <w:pPr>
        <w:pStyle w:val="Default"/>
        <w:spacing w:line="276" w:lineRule="auto"/>
        <w:jc w:val="center"/>
        <w:rPr>
          <w:rFonts w:ascii="Calibri" w:hAnsi="Calibri" w:cs="Calibri"/>
          <w:b/>
          <w:noProof/>
          <w:color w:val="C00000"/>
          <w:sz w:val="72"/>
          <w:lang w:val="sq-AL"/>
        </w:rPr>
      </w:pPr>
    </w:p>
    <w:p w14:paraId="37A79D06" w14:textId="77777777" w:rsidR="007F44B9" w:rsidRPr="00B644BE" w:rsidRDefault="007F44B9" w:rsidP="00FC729E">
      <w:pPr>
        <w:pStyle w:val="Default"/>
        <w:spacing w:line="276" w:lineRule="auto"/>
        <w:rPr>
          <w:rFonts w:ascii="Calibri" w:hAnsi="Calibri" w:cs="Calibri"/>
          <w:b/>
          <w:noProof/>
          <w:color w:val="C00000"/>
          <w:sz w:val="72"/>
          <w:lang w:val="sq-AL"/>
        </w:rPr>
      </w:pPr>
    </w:p>
    <w:p w14:paraId="343FCD4A" w14:textId="77777777" w:rsidR="007F44B9" w:rsidRPr="00B644BE" w:rsidRDefault="007F44B9" w:rsidP="00FC729E">
      <w:pPr>
        <w:pStyle w:val="Default"/>
        <w:spacing w:line="276" w:lineRule="auto"/>
        <w:jc w:val="center"/>
        <w:rPr>
          <w:rFonts w:ascii="Calibri" w:hAnsi="Calibri" w:cs="Calibri"/>
          <w:b/>
          <w:noProof/>
          <w:color w:val="0B5294" w:themeColor="accent1" w:themeShade="BF"/>
          <w:sz w:val="72"/>
          <w:lang w:val="sq-AL"/>
        </w:rPr>
      </w:pPr>
      <w:r w:rsidRPr="00B644BE">
        <w:rPr>
          <w:rFonts w:ascii="Calibri" w:hAnsi="Calibri" w:cs="Calibri"/>
          <w:b/>
          <w:noProof/>
          <w:color w:val="C00000"/>
          <w:sz w:val="72"/>
          <w:lang w:val="sq-AL"/>
        </w:rPr>
        <w:t>RAPORT</w:t>
      </w:r>
      <w:r w:rsidRPr="00B644BE">
        <w:rPr>
          <w:rFonts w:ascii="Calibri" w:hAnsi="Calibri" w:cs="Calibri"/>
          <w:b/>
          <w:noProof/>
          <w:color w:val="0B5294" w:themeColor="accent1" w:themeShade="BF"/>
          <w:sz w:val="72"/>
          <w:lang w:val="sq-AL"/>
        </w:rPr>
        <w:t xml:space="preserve"> </w:t>
      </w:r>
    </w:p>
    <w:p w14:paraId="0EB36F1F" w14:textId="77777777" w:rsidR="00824B1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MBI </w:t>
      </w:r>
    </w:p>
    <w:p w14:paraId="14BAA692"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ZBATIMIN E BUXHETIT </w:t>
      </w:r>
      <w:r w:rsidR="007F44B9" w:rsidRPr="00B644BE">
        <w:rPr>
          <w:rFonts w:ascii="Calibri" w:hAnsi="Calibri" w:cs="Calibri"/>
          <w:b/>
          <w:noProof/>
          <w:color w:val="0B5294" w:themeColor="accent1" w:themeShade="BF"/>
          <w:sz w:val="48"/>
          <w:lang w:val="sq-AL"/>
        </w:rPr>
        <w:t>VJETOR</w:t>
      </w:r>
      <w:r w:rsidRPr="00B644BE">
        <w:rPr>
          <w:rFonts w:ascii="Calibri" w:hAnsi="Calibri" w:cs="Calibri"/>
          <w:b/>
          <w:noProof/>
          <w:color w:val="0B5294" w:themeColor="accent1" w:themeShade="BF"/>
          <w:sz w:val="48"/>
          <w:lang w:val="sq-AL"/>
        </w:rPr>
        <w:t xml:space="preserve">, </w:t>
      </w:r>
    </w:p>
    <w:p w14:paraId="10D74A2D" w14:textId="77777777" w:rsidR="005D6C18" w:rsidRDefault="005D6C18"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DHE </w:t>
      </w:r>
    </w:p>
    <w:p w14:paraId="5794EC41" w14:textId="2E45540D"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SITUATËN MAKROEKONOMIKE</w:t>
      </w:r>
      <w:r w:rsidR="00824B19" w:rsidRPr="00B644BE">
        <w:rPr>
          <w:rFonts w:ascii="Calibri" w:hAnsi="Calibri" w:cs="Calibri"/>
          <w:b/>
          <w:noProof/>
          <w:color w:val="0B5294" w:themeColor="accent1" w:themeShade="BF"/>
          <w:sz w:val="48"/>
          <w:lang w:val="sq-AL"/>
        </w:rPr>
        <w:t xml:space="preserve"> </w:t>
      </w:r>
      <w:r w:rsidR="005D6C18">
        <w:rPr>
          <w:rFonts w:ascii="Calibri" w:hAnsi="Calibri" w:cs="Calibri"/>
          <w:b/>
          <w:noProof/>
          <w:color w:val="0B5294" w:themeColor="accent1" w:themeShade="BF"/>
          <w:sz w:val="48"/>
          <w:lang w:val="sq-AL"/>
        </w:rPr>
        <w:t xml:space="preserve">E </w:t>
      </w:r>
      <w:r w:rsidRPr="00B644BE">
        <w:rPr>
          <w:rFonts w:ascii="Calibri" w:hAnsi="Calibri" w:cs="Calibri"/>
          <w:b/>
          <w:noProof/>
          <w:color w:val="0B5294" w:themeColor="accent1" w:themeShade="BF"/>
          <w:sz w:val="48"/>
          <w:lang w:val="sq-AL"/>
        </w:rPr>
        <w:t>FISKALE</w:t>
      </w:r>
      <w:r w:rsidR="005D6C18">
        <w:rPr>
          <w:rFonts w:ascii="Calibri" w:hAnsi="Calibri" w:cs="Calibri"/>
          <w:b/>
          <w:noProof/>
          <w:color w:val="0B5294" w:themeColor="accent1" w:themeShade="BF"/>
          <w:sz w:val="48"/>
          <w:lang w:val="sq-AL"/>
        </w:rPr>
        <w:t>,</w:t>
      </w:r>
    </w:p>
    <w:p w14:paraId="073862D1"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20"/>
          <w:lang w:val="sq-AL"/>
        </w:rPr>
      </w:pPr>
    </w:p>
    <w:p w14:paraId="1933A04E" w14:textId="2C9660A4"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GJATË VITIT </w:t>
      </w:r>
      <w:r w:rsidR="00E20B9A" w:rsidRPr="00B644BE">
        <w:rPr>
          <w:rFonts w:ascii="Calibri" w:hAnsi="Calibri" w:cs="Calibri"/>
          <w:b/>
          <w:noProof/>
          <w:color w:val="C00000"/>
          <w:sz w:val="48"/>
          <w:lang w:val="sq-AL"/>
        </w:rPr>
        <w:t>202</w:t>
      </w:r>
      <w:r w:rsidR="0007775A">
        <w:rPr>
          <w:rFonts w:ascii="Calibri" w:hAnsi="Calibri" w:cs="Calibri"/>
          <w:b/>
          <w:noProof/>
          <w:color w:val="C00000"/>
          <w:sz w:val="48"/>
          <w:lang w:val="sq-AL"/>
        </w:rPr>
        <w:t>5</w:t>
      </w:r>
    </w:p>
    <w:p w14:paraId="6C998289" w14:textId="77777777" w:rsidR="007F44B9" w:rsidRPr="00B644BE" w:rsidRDefault="007F44B9" w:rsidP="00FC729E">
      <w:pPr>
        <w:pStyle w:val="Default"/>
        <w:spacing w:line="276" w:lineRule="auto"/>
        <w:jc w:val="center"/>
        <w:rPr>
          <w:rFonts w:ascii="Calibri" w:hAnsi="Calibri" w:cs="Calibri"/>
          <w:noProof/>
          <w:color w:val="auto"/>
          <w:lang w:val="sq-AL"/>
        </w:rPr>
      </w:pPr>
      <w:r w:rsidRPr="00B644BE">
        <w:rPr>
          <w:rFonts w:ascii="Calibri" w:hAnsi="Calibri" w:cs="Calibri"/>
          <w:b/>
          <w:noProof/>
          <w:color w:val="800000"/>
          <w:lang w:val="sq-AL"/>
        </w:rPr>
        <w:t>______________________________</w:t>
      </w:r>
    </w:p>
    <w:p w14:paraId="5831B66F" w14:textId="77777777" w:rsidR="007F44B9" w:rsidRPr="00B644BE" w:rsidRDefault="007F44B9" w:rsidP="00FC729E">
      <w:pPr>
        <w:pStyle w:val="Default"/>
        <w:spacing w:line="276" w:lineRule="auto"/>
        <w:jc w:val="center"/>
        <w:rPr>
          <w:rFonts w:ascii="Calibri" w:hAnsi="Calibri" w:cs="Calibri"/>
          <w:noProof/>
          <w:color w:val="auto"/>
          <w:lang w:val="sq-AL"/>
        </w:rPr>
      </w:pPr>
    </w:p>
    <w:p w14:paraId="06309320" w14:textId="77777777" w:rsidR="007F44B9" w:rsidRPr="00B644BE" w:rsidRDefault="007F44B9" w:rsidP="00FC729E">
      <w:pPr>
        <w:pStyle w:val="Default"/>
        <w:spacing w:line="276" w:lineRule="auto"/>
        <w:jc w:val="both"/>
        <w:rPr>
          <w:rFonts w:ascii="Calibri" w:hAnsi="Calibri" w:cs="Calibri"/>
          <w:noProof/>
          <w:color w:val="auto"/>
          <w:lang w:val="sq-AL"/>
        </w:rPr>
      </w:pPr>
    </w:p>
    <w:p w14:paraId="1088DB17" w14:textId="77777777" w:rsidR="007F44B9" w:rsidRPr="00B644BE" w:rsidRDefault="007F44B9" w:rsidP="00FC729E">
      <w:pPr>
        <w:pStyle w:val="Default"/>
        <w:spacing w:line="276" w:lineRule="auto"/>
        <w:jc w:val="both"/>
        <w:rPr>
          <w:rFonts w:ascii="Calibri" w:hAnsi="Calibri" w:cs="Calibri"/>
          <w:noProof/>
          <w:color w:val="auto"/>
          <w:lang w:val="sq-AL"/>
        </w:rPr>
      </w:pPr>
    </w:p>
    <w:p w14:paraId="6D49B820" w14:textId="77777777" w:rsidR="007F44B9" w:rsidRPr="00B644BE" w:rsidRDefault="007F44B9" w:rsidP="00FC729E">
      <w:pPr>
        <w:rPr>
          <w:rFonts w:cs="Calibri"/>
          <w:noProof/>
          <w:lang w:val="sq-AL"/>
        </w:rPr>
      </w:pPr>
    </w:p>
    <w:p w14:paraId="40299B5C" w14:textId="77777777" w:rsidR="007F44B9" w:rsidRPr="00B644BE" w:rsidRDefault="007F44B9" w:rsidP="00FC729E">
      <w:pPr>
        <w:rPr>
          <w:rFonts w:cs="Calibri"/>
          <w:noProof/>
          <w:lang w:val="sq-AL"/>
        </w:rPr>
      </w:pPr>
    </w:p>
    <w:p w14:paraId="2696B46D" w14:textId="77777777" w:rsidR="007F44B9" w:rsidRPr="00B644BE" w:rsidRDefault="007F44B9" w:rsidP="00FC729E">
      <w:pPr>
        <w:rPr>
          <w:rFonts w:cs="Calibri"/>
          <w:noProof/>
          <w:lang w:val="sq-AL"/>
        </w:rPr>
      </w:pPr>
    </w:p>
    <w:p w14:paraId="7E947B9B" w14:textId="2A84AE30" w:rsidR="007F44B9" w:rsidRPr="00B644BE" w:rsidRDefault="007F44B9" w:rsidP="008B6729">
      <w:pPr>
        <w:jc w:val="center"/>
        <w:rPr>
          <w:rFonts w:cs="Calibri"/>
          <w:b/>
          <w:noProof/>
          <w:color w:val="C00000"/>
          <w:sz w:val="32"/>
          <w:lang w:val="sq-AL"/>
        </w:rPr>
      </w:pPr>
      <w:r w:rsidRPr="00B644BE">
        <w:rPr>
          <w:rFonts w:cs="Calibri"/>
          <w:b/>
          <w:noProof/>
          <w:color w:val="C00000"/>
          <w:sz w:val="32"/>
          <w:lang w:val="sq-AL"/>
        </w:rPr>
        <w:t>Tiranë, Maj 20</w:t>
      </w:r>
      <w:r w:rsidR="00203A54" w:rsidRPr="00B644BE">
        <w:rPr>
          <w:rFonts w:cs="Calibri"/>
          <w:b/>
          <w:noProof/>
          <w:color w:val="C00000"/>
          <w:sz w:val="32"/>
          <w:lang w:val="sq-AL"/>
        </w:rPr>
        <w:t>2</w:t>
      </w:r>
      <w:r w:rsidR="0007775A">
        <w:rPr>
          <w:rFonts w:cs="Calibri"/>
          <w:b/>
          <w:noProof/>
          <w:color w:val="C00000"/>
          <w:sz w:val="32"/>
          <w:lang w:val="sq-AL"/>
        </w:rPr>
        <w:t>6</w:t>
      </w:r>
    </w:p>
    <w:p w14:paraId="2156EA7D" w14:textId="77777777" w:rsidR="0077678B" w:rsidRPr="00B644BE" w:rsidRDefault="0077678B" w:rsidP="00FC729E">
      <w:pPr>
        <w:rPr>
          <w:rFonts w:cs="Calibri"/>
          <w:b/>
          <w:noProof/>
          <w:color w:val="C00000"/>
          <w:sz w:val="32"/>
          <w:lang w:val="sq-AL"/>
        </w:rPr>
        <w:sectPr w:rsidR="0077678B" w:rsidRPr="00B644BE" w:rsidSect="00FF2732">
          <w:headerReference w:type="even" r:id="rId9"/>
          <w:headerReference w:type="default" r:id="rId10"/>
          <w:footerReference w:type="even" r:id="rId11"/>
          <w:footerReference w:type="default" r:id="rId12"/>
          <w:pgSz w:w="12240" w:h="15840"/>
          <w:pgMar w:top="990" w:right="907" w:bottom="810" w:left="806" w:header="270" w:footer="0" w:gutter="0"/>
          <w:cols w:space="720"/>
          <w:docGrid w:linePitch="360"/>
        </w:sectPr>
      </w:pPr>
    </w:p>
    <w:p w14:paraId="1E6E7695" w14:textId="77777777" w:rsidR="00DF1136" w:rsidRPr="00B644BE" w:rsidRDefault="00DF1136" w:rsidP="00FC729E">
      <w:pPr>
        <w:pStyle w:val="TOCHeading"/>
        <w:spacing w:before="0"/>
        <w:jc w:val="center"/>
        <w:rPr>
          <w:rFonts w:ascii="Calibri" w:hAnsi="Calibri" w:cs="Calibri"/>
          <w:noProof/>
          <w:color w:val="C00000"/>
          <w:sz w:val="36"/>
          <w:szCs w:val="24"/>
          <w:lang w:val="sq-AL"/>
        </w:rPr>
      </w:pPr>
      <w:r w:rsidRPr="00B644BE">
        <w:rPr>
          <w:rFonts w:ascii="Calibri" w:hAnsi="Calibri" w:cs="Calibri"/>
          <w:noProof/>
          <w:color w:val="C00000"/>
          <w:sz w:val="36"/>
          <w:szCs w:val="24"/>
          <w:lang w:val="sq-AL"/>
        </w:rPr>
        <w:lastRenderedPageBreak/>
        <w:t>P Ë R M B A J T J A</w:t>
      </w:r>
    </w:p>
    <w:p w14:paraId="0EC7FC50" w14:textId="77777777" w:rsidR="00153CD6" w:rsidRPr="00B0678B" w:rsidRDefault="00153CD6" w:rsidP="00153CD6">
      <w:pPr>
        <w:rPr>
          <w:noProof/>
          <w:sz w:val="2"/>
          <w:szCs w:val="2"/>
          <w:lang w:val="sq-AL"/>
        </w:rPr>
      </w:pPr>
    </w:p>
    <w:sdt>
      <w:sdtPr>
        <w:rPr>
          <w:rFonts w:eastAsiaTheme="minorEastAsia" w:cstheme="majorHAnsi"/>
          <w:bCs/>
          <w:i/>
          <w:color w:val="0F6FC6" w:themeColor="accent1"/>
          <w:sz w:val="20"/>
          <w:lang w:val="en-US"/>
        </w:rPr>
        <w:id w:val="929244835"/>
        <w:docPartObj>
          <w:docPartGallery w:val="Table of Contents"/>
          <w:docPartUnique/>
        </w:docPartObj>
      </w:sdtPr>
      <w:sdtEndPr>
        <w:rPr>
          <w:rFonts w:eastAsia="Times New Roman"/>
          <w:bCs w:val="0"/>
          <w:color w:val="17406D" w:themeColor="text2"/>
        </w:rPr>
      </w:sdtEndPr>
      <w:sdtContent>
        <w:p w14:paraId="154AB239" w14:textId="65896A24" w:rsidR="00D47A33" w:rsidRPr="004517B8" w:rsidRDefault="005209FF">
          <w:pPr>
            <w:pStyle w:val="TOC1"/>
            <w:rPr>
              <w:rStyle w:val="Hyperlink"/>
              <w:color w:val="0F6FC6" w:themeColor="accent1"/>
            </w:rPr>
          </w:pPr>
          <w:r w:rsidRPr="004517B8">
            <w:rPr>
              <w:rFonts w:cstheme="majorHAnsi"/>
              <w:color w:val="0F6FC6" w:themeColor="accent1"/>
            </w:rPr>
            <w:fldChar w:fldCharType="begin"/>
          </w:r>
          <w:r w:rsidRPr="004517B8">
            <w:rPr>
              <w:rFonts w:cstheme="majorHAnsi"/>
              <w:color w:val="0F6FC6" w:themeColor="accent1"/>
            </w:rPr>
            <w:instrText xml:space="preserve"> TOC \o "1-3" \h \z \u </w:instrText>
          </w:r>
          <w:r w:rsidRPr="004517B8">
            <w:rPr>
              <w:rFonts w:cstheme="majorHAnsi"/>
              <w:color w:val="0F6FC6" w:themeColor="accent1"/>
            </w:rPr>
            <w:fldChar w:fldCharType="separate"/>
          </w:r>
          <w:hyperlink w:anchor="_Toc229390792" w:history="1">
            <w:r w:rsidR="00D47A33" w:rsidRPr="004517B8">
              <w:rPr>
                <w:rStyle w:val="Hyperlink"/>
                <w:bCs/>
                <w:color w:val="0F6FC6" w:themeColor="accent1"/>
              </w:rPr>
              <w:t xml:space="preserve">1. </w:t>
            </w:r>
            <w:r w:rsidR="00D47A33" w:rsidRPr="004517B8">
              <w:rPr>
                <w:rFonts w:asciiTheme="minorHAnsi" w:eastAsiaTheme="minorEastAsia" w:hAnsiTheme="minorHAnsi" w:cstheme="minorBidi"/>
                <w:b w:val="0"/>
                <w:color w:val="0F6FC6" w:themeColor="accent1"/>
                <w:kern w:val="2"/>
                <w:sz w:val="24"/>
                <w:lang w:val="en-US"/>
                <w14:ligatures w14:val="standardContextual"/>
              </w:rPr>
              <w:tab/>
            </w:r>
            <w:r w:rsidR="00D47A33" w:rsidRPr="004517B8">
              <w:rPr>
                <w:rStyle w:val="Hyperlink"/>
                <w:bCs/>
                <w:color w:val="0F6FC6" w:themeColor="accent1"/>
              </w:rPr>
              <w:t>REZULTATI I BUXHETIT TË KONSOLID</w:t>
            </w:r>
            <w:r w:rsidR="00D47A33" w:rsidRPr="004517B8">
              <w:rPr>
                <w:rStyle w:val="Hyperlink"/>
                <w:bCs/>
                <w:color w:val="0F6FC6" w:themeColor="accent1"/>
              </w:rPr>
              <w:t>U</w:t>
            </w:r>
            <w:r w:rsidR="00D47A33" w:rsidRPr="004517B8">
              <w:rPr>
                <w:rStyle w:val="Hyperlink"/>
                <w:bCs/>
                <w:color w:val="0F6FC6" w:themeColor="accent1"/>
              </w:rPr>
              <w:t>AR</w:t>
            </w:r>
            <w:r w:rsidR="00D47A33" w:rsidRPr="004517B8">
              <w:rPr>
                <w:webHidden/>
                <w:color w:val="0F6FC6" w:themeColor="accent1"/>
              </w:rPr>
              <w:t>.......................................................................</w:t>
            </w:r>
            <w:r w:rsidR="00D47A33" w:rsidRPr="004517B8">
              <w:rPr>
                <w:webHidden/>
                <w:color w:val="0F6FC6" w:themeColor="accent1"/>
              </w:rPr>
              <w:fldChar w:fldCharType="begin"/>
            </w:r>
            <w:r w:rsidR="00D47A33" w:rsidRPr="004517B8">
              <w:rPr>
                <w:webHidden/>
                <w:color w:val="0F6FC6" w:themeColor="accent1"/>
              </w:rPr>
              <w:instrText xml:space="preserve"> PAGEREF _Toc229390792 \h </w:instrText>
            </w:r>
            <w:r w:rsidR="00D47A33" w:rsidRPr="004517B8">
              <w:rPr>
                <w:webHidden/>
                <w:color w:val="0F6FC6" w:themeColor="accent1"/>
              </w:rPr>
            </w:r>
            <w:r w:rsidR="00D47A33" w:rsidRPr="004517B8">
              <w:rPr>
                <w:webHidden/>
                <w:color w:val="0F6FC6" w:themeColor="accent1"/>
              </w:rPr>
              <w:fldChar w:fldCharType="separate"/>
            </w:r>
            <w:r w:rsidR="007E08AA">
              <w:rPr>
                <w:webHidden/>
                <w:color w:val="0F6FC6" w:themeColor="accent1"/>
              </w:rPr>
              <w:t>6</w:t>
            </w:r>
            <w:r w:rsidR="00D47A33" w:rsidRPr="004517B8">
              <w:rPr>
                <w:webHidden/>
                <w:color w:val="0F6FC6" w:themeColor="accent1"/>
              </w:rPr>
              <w:fldChar w:fldCharType="end"/>
            </w:r>
          </w:hyperlink>
        </w:p>
        <w:p w14:paraId="1B6F41E3" w14:textId="77777777" w:rsidR="00D47A33" w:rsidRPr="004517B8" w:rsidRDefault="00D47A33" w:rsidP="00D47A33">
          <w:pPr>
            <w:rPr>
              <w:noProof/>
              <w:color w:val="0F6FC6" w:themeColor="accent1"/>
              <w:sz w:val="12"/>
              <w:szCs w:val="14"/>
              <w:lang w:val="sq-AL"/>
            </w:rPr>
          </w:pPr>
        </w:p>
        <w:p w14:paraId="6DA3F48B" w14:textId="3CFE54F7"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793" w:history="1">
            <w:r w:rsidRPr="004517B8">
              <w:rPr>
                <w:rStyle w:val="Hyperlink"/>
                <w:bCs/>
                <w:color w:val="0F6FC6" w:themeColor="accent1"/>
              </w:rPr>
              <w:t xml:space="preserve">2. </w:t>
            </w:r>
            <w:r w:rsidRPr="004517B8">
              <w:rPr>
                <w:rFonts w:asciiTheme="minorHAnsi" w:eastAsiaTheme="minorEastAsia" w:hAnsiTheme="minorHAnsi" w:cstheme="minorBidi"/>
                <w:b w:val="0"/>
                <w:color w:val="0F6FC6" w:themeColor="accent1"/>
                <w:kern w:val="2"/>
                <w:sz w:val="24"/>
                <w:lang w:val="en-US"/>
                <w14:ligatures w14:val="standardContextual"/>
              </w:rPr>
              <w:tab/>
            </w:r>
            <w:r w:rsidRPr="004517B8">
              <w:rPr>
                <w:rStyle w:val="Hyperlink"/>
                <w:bCs/>
                <w:color w:val="0F6FC6" w:themeColor="accent1"/>
              </w:rPr>
              <w:t>PASQYRË E ZHVILLIMEV</w:t>
            </w:r>
            <w:r w:rsidRPr="004517B8">
              <w:rPr>
                <w:rStyle w:val="Hyperlink"/>
                <w:bCs/>
                <w:color w:val="0F6FC6" w:themeColor="accent1"/>
              </w:rPr>
              <w:t>E</w:t>
            </w:r>
            <w:r w:rsidRPr="004517B8">
              <w:rPr>
                <w:rStyle w:val="Hyperlink"/>
                <w:bCs/>
                <w:color w:val="0F6FC6" w:themeColor="accent1"/>
              </w:rPr>
              <w:t xml:space="preserve"> MAKROEKONOMIKE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_Toc229390793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w:t>
            </w:r>
            <w:r w:rsidRPr="004517B8">
              <w:rPr>
                <w:webHidden/>
                <w:color w:val="0F6FC6" w:themeColor="accent1"/>
              </w:rPr>
              <w:fldChar w:fldCharType="end"/>
            </w:r>
          </w:hyperlink>
        </w:p>
        <w:p w14:paraId="45E96F68" w14:textId="6F5D640A"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794" w:history="1">
            <w:r w:rsidRPr="004517B8">
              <w:rPr>
                <w:rStyle w:val="Hyperlink"/>
                <w:color w:val="0F6FC6" w:themeColor="accent1"/>
              </w:rPr>
              <w:t>2.1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Zhvillim</w:t>
            </w:r>
            <w:r w:rsidRPr="004517B8">
              <w:rPr>
                <w:rStyle w:val="Hyperlink"/>
                <w:color w:val="0F6FC6" w:themeColor="accent1"/>
              </w:rPr>
              <w:t>e</w:t>
            </w:r>
            <w:r w:rsidRPr="004517B8">
              <w:rPr>
                <w:rStyle w:val="Hyperlink"/>
                <w:color w:val="0F6FC6" w:themeColor="accent1"/>
              </w:rPr>
              <w:t>t e fundit ekonomike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_Toc229390794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w:t>
            </w:r>
            <w:r w:rsidRPr="004517B8">
              <w:rPr>
                <w:webHidden/>
                <w:color w:val="0F6FC6" w:themeColor="accent1"/>
              </w:rPr>
              <w:fldChar w:fldCharType="end"/>
            </w:r>
          </w:hyperlink>
        </w:p>
        <w:p w14:paraId="2763CCD0" w14:textId="6FDC2FFC"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795" w:history="1">
            <w:r w:rsidRPr="004517B8">
              <w:rPr>
                <w:rStyle w:val="Hyperlink"/>
                <w:iCs/>
                <w:color w:val="0F6FC6" w:themeColor="accent1"/>
              </w:rPr>
              <w:t>2.1.1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Sekto</w:t>
            </w:r>
            <w:r w:rsidRPr="004517B8">
              <w:rPr>
                <w:rStyle w:val="Hyperlink"/>
                <w:iCs/>
                <w:color w:val="0F6FC6" w:themeColor="accent1"/>
              </w:rPr>
              <w:t>r</w:t>
            </w:r>
            <w:r w:rsidRPr="004517B8">
              <w:rPr>
                <w:rStyle w:val="Hyperlink"/>
                <w:iCs/>
                <w:color w:val="0F6FC6" w:themeColor="accent1"/>
              </w:rPr>
              <w:t>i real</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_Toc229390795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w:t>
            </w:r>
            <w:r w:rsidRPr="004517B8">
              <w:rPr>
                <w:webHidden/>
                <w:color w:val="0F6FC6" w:themeColor="accent1"/>
              </w:rPr>
              <w:fldChar w:fldCharType="end"/>
            </w:r>
          </w:hyperlink>
        </w:p>
        <w:p w14:paraId="3AB50DD9" w14:textId="6434CC3C"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796" w:history="1">
            <w:r w:rsidRPr="004517B8">
              <w:rPr>
                <w:rStyle w:val="Hyperlink"/>
                <w:iCs/>
                <w:color w:val="0F6FC6" w:themeColor="accent1"/>
              </w:rPr>
              <w:t>2.1.2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Sektori</w:t>
            </w:r>
            <w:r w:rsidRPr="004517B8">
              <w:rPr>
                <w:rStyle w:val="Hyperlink"/>
                <w:iCs/>
                <w:color w:val="0F6FC6" w:themeColor="accent1"/>
              </w:rPr>
              <w:t xml:space="preserve"> </w:t>
            </w:r>
            <w:r w:rsidRPr="004517B8">
              <w:rPr>
                <w:rStyle w:val="Hyperlink"/>
                <w:iCs/>
                <w:color w:val="0F6FC6" w:themeColor="accent1"/>
              </w:rPr>
              <w:t>monetar</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_Toc229390796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8</w:t>
            </w:r>
            <w:r w:rsidRPr="004517B8">
              <w:rPr>
                <w:webHidden/>
                <w:color w:val="0F6FC6" w:themeColor="accent1"/>
              </w:rPr>
              <w:fldChar w:fldCharType="end"/>
            </w:r>
          </w:hyperlink>
        </w:p>
        <w:p w14:paraId="4EE0FFD8" w14:textId="4C716BBD"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797" w:history="1">
            <w:r w:rsidRPr="004517B8">
              <w:rPr>
                <w:rStyle w:val="Hyperlink"/>
                <w:iCs/>
                <w:color w:val="0F6FC6" w:themeColor="accent1"/>
              </w:rPr>
              <w:t>2.1.3</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Sektor</w:t>
            </w:r>
            <w:r w:rsidRPr="004517B8">
              <w:rPr>
                <w:rStyle w:val="Hyperlink"/>
                <w:iCs/>
                <w:color w:val="0F6FC6" w:themeColor="accent1"/>
              </w:rPr>
              <w:t>i</w:t>
            </w:r>
            <w:r w:rsidRPr="004517B8">
              <w:rPr>
                <w:rStyle w:val="Hyperlink"/>
                <w:iCs/>
                <w:color w:val="0F6FC6" w:themeColor="accent1"/>
              </w:rPr>
              <w:t xml:space="preserve"> i jashtëm</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_Toc229390797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9</w:t>
            </w:r>
            <w:r w:rsidRPr="004517B8">
              <w:rPr>
                <w:webHidden/>
                <w:color w:val="0F6FC6" w:themeColor="accent1"/>
              </w:rPr>
              <w:fldChar w:fldCharType="end"/>
            </w:r>
          </w:hyperlink>
        </w:p>
        <w:p w14:paraId="28C3DC49" w14:textId="623A813F" w:rsidR="00D47A33" w:rsidRPr="004517B8" w:rsidRDefault="00D47A33">
          <w:pPr>
            <w:pStyle w:val="TOC2"/>
            <w:rPr>
              <w:rStyle w:val="Hyperlink"/>
              <w:color w:val="0F6FC6" w:themeColor="accent1"/>
            </w:rPr>
          </w:pPr>
          <w:hyperlink w:anchor="_Toc229390798" w:history="1">
            <w:r w:rsidRPr="004517B8">
              <w:rPr>
                <w:rStyle w:val="Hyperlink"/>
                <w:color w:val="0F6FC6" w:themeColor="accent1"/>
              </w:rPr>
              <w:t>2.2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Krahasim</w:t>
            </w:r>
            <w:r w:rsidRPr="004517B8">
              <w:rPr>
                <w:rStyle w:val="Hyperlink"/>
                <w:color w:val="0F6FC6" w:themeColor="accent1"/>
              </w:rPr>
              <w:t>i</w:t>
            </w:r>
            <w:r w:rsidRPr="004517B8">
              <w:rPr>
                <w:rStyle w:val="Hyperlink"/>
                <w:color w:val="0F6FC6" w:themeColor="accent1"/>
              </w:rPr>
              <w:t xml:space="preserve"> me vendet e rajonit</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_Toc229390798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9</w:t>
            </w:r>
            <w:r w:rsidRPr="004517B8">
              <w:rPr>
                <w:webHidden/>
                <w:color w:val="0F6FC6" w:themeColor="accent1"/>
              </w:rPr>
              <w:fldChar w:fldCharType="end"/>
            </w:r>
          </w:hyperlink>
        </w:p>
        <w:p w14:paraId="6683C4E2" w14:textId="77777777" w:rsidR="00D47A33" w:rsidRPr="004517B8" w:rsidRDefault="00D47A33" w:rsidP="00D47A33">
          <w:pPr>
            <w:rPr>
              <w:noProof/>
              <w:color w:val="0F6FC6" w:themeColor="accent1"/>
              <w:sz w:val="12"/>
              <w:szCs w:val="14"/>
              <w:lang w:val="sq-AL"/>
            </w:rPr>
          </w:pPr>
        </w:p>
        <w:p w14:paraId="7CE695B0" w14:textId="6F81A93C" w:rsidR="00D47A33" w:rsidRPr="004517B8" w:rsidRDefault="00D47A33">
          <w:pPr>
            <w:pStyle w:val="TOC1"/>
            <w:rPr>
              <w:rStyle w:val="Hyperlink"/>
              <w:color w:val="0F6FC6" w:themeColor="accent1"/>
            </w:rPr>
          </w:pPr>
          <w:hyperlink w:anchor="_Toc229390799" w:history="1">
            <w:r w:rsidRPr="004517B8">
              <w:rPr>
                <w:rStyle w:val="Hyperlink"/>
                <w:bCs/>
                <w:color w:val="0F6FC6" w:themeColor="accent1"/>
              </w:rPr>
              <w:t>3.</w:t>
            </w:r>
            <w:r w:rsidRPr="004517B8">
              <w:rPr>
                <w:rFonts w:asciiTheme="minorHAnsi" w:eastAsiaTheme="minorEastAsia" w:hAnsiTheme="minorHAnsi" w:cstheme="minorBidi"/>
                <w:b w:val="0"/>
                <w:color w:val="0F6FC6" w:themeColor="accent1"/>
                <w:kern w:val="2"/>
                <w:sz w:val="24"/>
                <w:lang w:val="en-US"/>
                <w14:ligatures w14:val="standardContextual"/>
              </w:rPr>
              <w:tab/>
              <w:t xml:space="preserve"> </w:t>
            </w:r>
            <w:r w:rsidRPr="004517B8">
              <w:rPr>
                <w:rStyle w:val="Hyperlink"/>
                <w:bCs/>
                <w:color w:val="0F6FC6" w:themeColor="accent1"/>
              </w:rPr>
              <w:t>MENAXHI</w:t>
            </w:r>
            <w:r w:rsidRPr="004517B8">
              <w:rPr>
                <w:rStyle w:val="Hyperlink"/>
                <w:bCs/>
                <w:color w:val="0F6FC6" w:themeColor="accent1"/>
              </w:rPr>
              <w:t>M</w:t>
            </w:r>
            <w:r w:rsidRPr="004517B8">
              <w:rPr>
                <w:rStyle w:val="Hyperlink"/>
                <w:bCs/>
                <w:color w:val="0F6FC6" w:themeColor="accent1"/>
              </w:rPr>
              <w:t>I I BORXHIT PUBLIK</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_Toc229390799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12</w:t>
            </w:r>
            <w:r w:rsidRPr="004517B8">
              <w:rPr>
                <w:webHidden/>
                <w:color w:val="0F6FC6" w:themeColor="accent1"/>
              </w:rPr>
              <w:fldChar w:fldCharType="end"/>
            </w:r>
          </w:hyperlink>
        </w:p>
        <w:p w14:paraId="6C1D46FA" w14:textId="77777777" w:rsidR="00D47A33" w:rsidRPr="004517B8" w:rsidRDefault="00D47A33" w:rsidP="00D47A33">
          <w:pPr>
            <w:rPr>
              <w:noProof/>
              <w:color w:val="0F6FC6" w:themeColor="accent1"/>
              <w:sz w:val="12"/>
              <w:szCs w:val="14"/>
              <w:lang w:val="sq-AL"/>
            </w:rPr>
          </w:pPr>
        </w:p>
        <w:p w14:paraId="3509717B" w14:textId="64F4E09E"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800" w:history="1">
            <w:r w:rsidRPr="004517B8">
              <w:rPr>
                <w:rStyle w:val="Hyperlink"/>
                <w:bCs/>
                <w:color w:val="0F6FC6" w:themeColor="accent1"/>
              </w:rPr>
              <w:t>4.</w:t>
            </w:r>
            <w:r w:rsidRPr="004517B8">
              <w:rPr>
                <w:rFonts w:asciiTheme="minorHAnsi" w:eastAsiaTheme="minorEastAsia" w:hAnsiTheme="minorHAnsi" w:cstheme="minorBidi"/>
                <w:b w:val="0"/>
                <w:color w:val="0F6FC6" w:themeColor="accent1"/>
                <w:kern w:val="2"/>
                <w:sz w:val="24"/>
                <w:lang w:val="en-US"/>
                <w14:ligatures w14:val="standardContextual"/>
              </w:rPr>
              <w:tab/>
              <w:t xml:space="preserve"> </w:t>
            </w:r>
            <w:r w:rsidRPr="004517B8">
              <w:rPr>
                <w:rStyle w:val="Hyperlink"/>
                <w:bCs/>
                <w:color w:val="0F6FC6" w:themeColor="accent1"/>
              </w:rPr>
              <w:t>POLITIKA</w:t>
            </w:r>
            <w:r w:rsidRPr="004517B8">
              <w:rPr>
                <w:rStyle w:val="Hyperlink"/>
                <w:bCs/>
                <w:color w:val="0F6FC6" w:themeColor="accent1"/>
              </w:rPr>
              <w:t>T</w:t>
            </w:r>
            <w:r w:rsidRPr="004517B8">
              <w:rPr>
                <w:rStyle w:val="Hyperlink"/>
                <w:bCs/>
                <w:color w:val="0F6FC6" w:themeColor="accent1"/>
              </w:rPr>
              <w:t xml:space="preserve"> FISKALE DHE REZULTATI I MBLEDHJES SË TË ARDHURAVE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_Toc229390800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13</w:t>
            </w:r>
            <w:r w:rsidRPr="004517B8">
              <w:rPr>
                <w:webHidden/>
                <w:color w:val="0F6FC6" w:themeColor="accent1"/>
              </w:rPr>
              <w:fldChar w:fldCharType="end"/>
            </w:r>
          </w:hyperlink>
        </w:p>
        <w:p w14:paraId="46534EEE" w14:textId="6357DA18"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01" w:history="1">
            <w:r w:rsidRPr="004517B8">
              <w:rPr>
                <w:rStyle w:val="Hyperlink"/>
                <w:color w:val="0F6FC6" w:themeColor="accent1"/>
              </w:rPr>
              <w:t>4.1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Politika f</w:t>
            </w:r>
            <w:r w:rsidRPr="004517B8">
              <w:rPr>
                <w:rStyle w:val="Hyperlink"/>
                <w:color w:val="0F6FC6" w:themeColor="accent1"/>
              </w:rPr>
              <w:t>i</w:t>
            </w:r>
            <w:r w:rsidRPr="004517B8">
              <w:rPr>
                <w:rStyle w:val="Hyperlink"/>
                <w:color w:val="0F6FC6" w:themeColor="accent1"/>
              </w:rPr>
              <w:t>s</w:t>
            </w:r>
            <w:r w:rsidRPr="004517B8">
              <w:rPr>
                <w:rStyle w:val="Hyperlink"/>
                <w:color w:val="0F6FC6" w:themeColor="accent1"/>
              </w:rPr>
              <w:t>k</w:t>
            </w:r>
            <w:r w:rsidRPr="004517B8">
              <w:rPr>
                <w:rStyle w:val="Hyperlink"/>
                <w:color w:val="0F6FC6" w:themeColor="accent1"/>
              </w:rPr>
              <w:t>ale në vitin 2025 dhe efektet në buxhet e në ekonomi</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_Toc229390801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13</w:t>
            </w:r>
            <w:r w:rsidRPr="004517B8">
              <w:rPr>
                <w:webHidden/>
                <w:color w:val="0F6FC6" w:themeColor="accent1"/>
              </w:rPr>
              <w:fldChar w:fldCharType="end"/>
            </w:r>
          </w:hyperlink>
        </w:p>
        <w:p w14:paraId="0507D2BC" w14:textId="1C7E2A78"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02" w:history="1">
            <w:r w:rsidRPr="004517B8">
              <w:rPr>
                <w:rStyle w:val="Hyperlink"/>
                <w:iCs/>
                <w:color w:val="0F6FC6" w:themeColor="accent1"/>
              </w:rPr>
              <w:t>4.1.1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Efekt</w:t>
            </w:r>
            <w:r w:rsidRPr="004517B8">
              <w:rPr>
                <w:rStyle w:val="Hyperlink"/>
                <w:iCs/>
                <w:color w:val="0F6FC6" w:themeColor="accent1"/>
              </w:rPr>
              <w:t>e</w:t>
            </w:r>
            <w:r w:rsidRPr="004517B8">
              <w:rPr>
                <w:rStyle w:val="Hyperlink"/>
                <w:iCs/>
                <w:color w:val="0F6FC6" w:themeColor="accent1"/>
              </w:rPr>
              <w:t>t nga zbatimi i kalendarit të akcizës (2022–2026)</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_Toc229390802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13</w:t>
            </w:r>
            <w:r w:rsidRPr="004517B8">
              <w:rPr>
                <w:webHidden/>
                <w:color w:val="0F6FC6" w:themeColor="accent1"/>
              </w:rPr>
              <w:fldChar w:fldCharType="end"/>
            </w:r>
          </w:hyperlink>
        </w:p>
        <w:p w14:paraId="73D5055F" w14:textId="5FAD41D6"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04" w:history="1">
            <w:r w:rsidRPr="004517B8">
              <w:rPr>
                <w:rStyle w:val="Hyperlink"/>
                <w:iCs/>
                <w:color w:val="0F6FC6" w:themeColor="accent1"/>
              </w:rPr>
              <w:t>4.1.</w:t>
            </w:r>
            <w:r w:rsidR="007E08AA">
              <w:rPr>
                <w:rStyle w:val="Hyperlink"/>
                <w:iCs/>
                <w:color w:val="0F6FC6" w:themeColor="accent1"/>
              </w:rPr>
              <w:t>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Efektet nga rrit</w:t>
            </w:r>
            <w:r w:rsidRPr="004517B8">
              <w:rPr>
                <w:rStyle w:val="Hyperlink"/>
                <w:iCs/>
                <w:color w:val="0F6FC6" w:themeColor="accent1"/>
              </w:rPr>
              <w:t>j</w:t>
            </w:r>
            <w:r w:rsidRPr="004517B8">
              <w:rPr>
                <w:rStyle w:val="Hyperlink"/>
                <w:iCs/>
                <w:color w:val="0F6FC6" w:themeColor="accent1"/>
              </w:rPr>
              <w:t xml:space="preserve">a e fondit të </w:t>
            </w:r>
            <w:r w:rsidRPr="004517B8">
              <w:rPr>
                <w:rStyle w:val="Hyperlink"/>
                <w:iCs/>
                <w:color w:val="0F6FC6" w:themeColor="accent1"/>
              </w:rPr>
              <w:t>p</w:t>
            </w:r>
            <w:r w:rsidRPr="004517B8">
              <w:rPr>
                <w:rStyle w:val="Hyperlink"/>
                <w:iCs/>
                <w:color w:val="0F6FC6" w:themeColor="accent1"/>
              </w:rPr>
              <w:t>agave për administratën publike</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_Toc229390804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13</w:t>
            </w:r>
            <w:r w:rsidRPr="004517B8">
              <w:rPr>
                <w:webHidden/>
                <w:color w:val="0F6FC6" w:themeColor="accent1"/>
              </w:rPr>
              <w:fldChar w:fldCharType="end"/>
            </w:r>
          </w:hyperlink>
        </w:p>
        <w:p w14:paraId="4E3C02A0" w14:textId="42DBA947"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05" w:history="1">
            <w:r w:rsidRPr="004517B8">
              <w:rPr>
                <w:rStyle w:val="Hyperlink"/>
                <w:color w:val="0F6FC6" w:themeColor="accent1"/>
              </w:rPr>
              <w:t>4.2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 xml:space="preserve">Efektet e </w:t>
            </w:r>
            <w:r w:rsidRPr="004517B8">
              <w:rPr>
                <w:rStyle w:val="Hyperlink"/>
                <w:color w:val="0F6FC6" w:themeColor="accent1"/>
              </w:rPr>
              <w:t>z</w:t>
            </w:r>
            <w:r w:rsidRPr="004517B8">
              <w:rPr>
                <w:rStyle w:val="Hyperlink"/>
                <w:color w:val="0F6FC6" w:themeColor="accent1"/>
              </w:rPr>
              <w:t>batimit të Strategjisë Afatmesme të të Ardhurave, për vitin 2025</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_Toc229390805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13</w:t>
            </w:r>
            <w:r w:rsidRPr="004517B8">
              <w:rPr>
                <w:webHidden/>
                <w:color w:val="0F6FC6" w:themeColor="accent1"/>
              </w:rPr>
              <w:fldChar w:fldCharType="end"/>
            </w:r>
          </w:hyperlink>
        </w:p>
        <w:p w14:paraId="6F3D8A5D" w14:textId="40BB4638"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06" w:history="1">
            <w:r w:rsidRPr="004517B8">
              <w:rPr>
                <w:rStyle w:val="Hyperlink"/>
                <w:color w:val="0F6FC6" w:themeColor="accent1"/>
              </w:rPr>
              <w:t>4.3</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Të ard</w:t>
            </w:r>
            <w:r w:rsidRPr="004517B8">
              <w:rPr>
                <w:rStyle w:val="Hyperlink"/>
                <w:color w:val="0F6FC6" w:themeColor="accent1"/>
              </w:rPr>
              <w:t>h</w:t>
            </w:r>
            <w:r w:rsidRPr="004517B8">
              <w:rPr>
                <w:rStyle w:val="Hyperlink"/>
                <w:color w:val="0F6FC6" w:themeColor="accent1"/>
              </w:rPr>
              <w:t>urat e përgjithshme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_Toc229390806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15</w:t>
            </w:r>
            <w:r w:rsidRPr="004517B8">
              <w:rPr>
                <w:webHidden/>
                <w:color w:val="0F6FC6" w:themeColor="accent1"/>
              </w:rPr>
              <w:fldChar w:fldCharType="end"/>
            </w:r>
          </w:hyperlink>
        </w:p>
        <w:p w14:paraId="26F2149D" w14:textId="12FCC395"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07" w:history="1">
            <w:r w:rsidRPr="004517B8">
              <w:rPr>
                <w:rStyle w:val="Hyperlink"/>
                <w:iCs/>
                <w:color w:val="0F6FC6" w:themeColor="accent1"/>
              </w:rPr>
              <w:t>4.3.1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w:t>
            </w:r>
            <w:r w:rsidRPr="004517B8">
              <w:rPr>
                <w:rStyle w:val="Hyperlink"/>
                <w:iCs/>
                <w:color w:val="0F6FC6" w:themeColor="accent1"/>
              </w:rPr>
              <w:t>r</w:t>
            </w:r>
            <w:r w:rsidRPr="004517B8">
              <w:rPr>
                <w:rStyle w:val="Hyperlink"/>
                <w:iCs/>
                <w:color w:val="0F6FC6" w:themeColor="accent1"/>
              </w:rPr>
              <w:t>dhura</w:t>
            </w:r>
            <w:r w:rsidRPr="004517B8">
              <w:rPr>
                <w:rStyle w:val="Hyperlink"/>
                <w:iCs/>
                <w:color w:val="0F6FC6" w:themeColor="accent1"/>
              </w:rPr>
              <w:t>t</w:t>
            </w:r>
            <w:r w:rsidRPr="004517B8">
              <w:rPr>
                <w:rStyle w:val="Hyperlink"/>
                <w:iCs/>
                <w:color w:val="0F6FC6" w:themeColor="accent1"/>
              </w:rPr>
              <w:t xml:space="preserve"> nga ndihmat</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_Toc229390807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17</w:t>
            </w:r>
            <w:r w:rsidRPr="004517B8">
              <w:rPr>
                <w:webHidden/>
                <w:color w:val="0F6FC6" w:themeColor="accent1"/>
              </w:rPr>
              <w:fldChar w:fldCharType="end"/>
            </w:r>
          </w:hyperlink>
        </w:p>
        <w:p w14:paraId="300D8435" w14:textId="5DF74D08"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08" w:history="1">
            <w:r w:rsidRPr="004517B8">
              <w:rPr>
                <w:rStyle w:val="Hyperlink"/>
                <w:iCs/>
                <w:color w:val="0F6FC6" w:themeColor="accent1"/>
              </w:rPr>
              <w:t>4.3.2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w:t>
            </w:r>
            <w:r w:rsidRPr="004517B8">
              <w:rPr>
                <w:rStyle w:val="Hyperlink"/>
                <w:iCs/>
                <w:color w:val="0F6FC6" w:themeColor="accent1"/>
              </w:rPr>
              <w:t>r</w:t>
            </w:r>
            <w:r w:rsidRPr="004517B8">
              <w:rPr>
                <w:rStyle w:val="Hyperlink"/>
                <w:iCs/>
                <w:color w:val="0F6FC6" w:themeColor="accent1"/>
              </w:rPr>
              <w:t>dhurat tatimore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_Toc229390808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17</w:t>
            </w:r>
            <w:r w:rsidRPr="004517B8">
              <w:rPr>
                <w:webHidden/>
                <w:color w:val="0F6FC6" w:themeColor="accent1"/>
              </w:rPr>
              <w:fldChar w:fldCharType="end"/>
            </w:r>
          </w:hyperlink>
        </w:p>
        <w:p w14:paraId="1195AF70" w14:textId="1A469EF8"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09" w:history="1">
            <w:r w:rsidRPr="004517B8">
              <w:rPr>
                <w:rStyle w:val="Hyperlink"/>
                <w:iCs/>
                <w:color w:val="0F6FC6" w:themeColor="accent1"/>
              </w:rPr>
              <w:t>4.3.3</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ardhurat</w:t>
            </w:r>
            <w:r w:rsidRPr="004517B8">
              <w:rPr>
                <w:rStyle w:val="Hyperlink"/>
                <w:iCs/>
                <w:color w:val="0F6FC6" w:themeColor="accent1"/>
              </w:rPr>
              <w:t xml:space="preserve"> </w:t>
            </w:r>
            <w:r w:rsidRPr="004517B8">
              <w:rPr>
                <w:rStyle w:val="Hyperlink"/>
                <w:iCs/>
                <w:color w:val="0F6FC6" w:themeColor="accent1"/>
              </w:rPr>
              <w:t>n</w:t>
            </w:r>
            <w:r w:rsidRPr="004517B8">
              <w:rPr>
                <w:rStyle w:val="Hyperlink"/>
                <w:iCs/>
                <w:color w:val="0F6FC6" w:themeColor="accent1"/>
              </w:rPr>
              <w:t>g</w:t>
            </w:r>
            <w:r w:rsidRPr="004517B8">
              <w:rPr>
                <w:rStyle w:val="Hyperlink"/>
                <w:iCs/>
                <w:color w:val="0F6FC6" w:themeColor="accent1"/>
              </w:rPr>
              <w:t>a</w:t>
            </w:r>
            <w:r w:rsidRPr="004517B8">
              <w:rPr>
                <w:rStyle w:val="Hyperlink"/>
                <w:iCs/>
                <w:color w:val="0F6FC6" w:themeColor="accent1"/>
              </w:rPr>
              <w:t xml:space="preserve"> pushteti vendor</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_Toc229390809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17</w:t>
            </w:r>
            <w:r w:rsidRPr="004517B8">
              <w:rPr>
                <w:webHidden/>
                <w:color w:val="0F6FC6" w:themeColor="accent1"/>
              </w:rPr>
              <w:fldChar w:fldCharType="end"/>
            </w:r>
          </w:hyperlink>
        </w:p>
        <w:p w14:paraId="3678086C" w14:textId="551AF363"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10" w:history="1">
            <w:r w:rsidRPr="004517B8">
              <w:rPr>
                <w:rStyle w:val="Hyperlink"/>
                <w:iCs/>
                <w:color w:val="0F6FC6" w:themeColor="accent1"/>
              </w:rPr>
              <w:t>4.3.4</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ardhura</w:t>
            </w:r>
            <w:r w:rsidRPr="004517B8">
              <w:rPr>
                <w:rStyle w:val="Hyperlink"/>
                <w:iCs/>
                <w:color w:val="0F6FC6" w:themeColor="accent1"/>
              </w:rPr>
              <w:t>t</w:t>
            </w:r>
            <w:r w:rsidRPr="004517B8">
              <w:rPr>
                <w:rStyle w:val="Hyperlink"/>
                <w:iCs/>
                <w:color w:val="0F6FC6" w:themeColor="accent1"/>
              </w:rPr>
              <w:t xml:space="preserve"> nga fondet speciale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_Toc229390810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18</w:t>
            </w:r>
            <w:r w:rsidRPr="004517B8">
              <w:rPr>
                <w:webHidden/>
                <w:color w:val="0F6FC6" w:themeColor="accent1"/>
              </w:rPr>
              <w:fldChar w:fldCharType="end"/>
            </w:r>
          </w:hyperlink>
        </w:p>
        <w:p w14:paraId="35E7DB92" w14:textId="2B6A73EE"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11" w:history="1">
            <w:r w:rsidRPr="004517B8">
              <w:rPr>
                <w:rStyle w:val="Hyperlink"/>
                <w:iCs/>
                <w:color w:val="0F6FC6" w:themeColor="accent1"/>
              </w:rPr>
              <w:t>4.3.5</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ardh</w:t>
            </w:r>
            <w:r w:rsidRPr="004517B8">
              <w:rPr>
                <w:rStyle w:val="Hyperlink"/>
                <w:iCs/>
                <w:color w:val="0F6FC6" w:themeColor="accent1"/>
              </w:rPr>
              <w:t>u</w:t>
            </w:r>
            <w:r w:rsidRPr="004517B8">
              <w:rPr>
                <w:rStyle w:val="Hyperlink"/>
                <w:iCs/>
                <w:color w:val="0F6FC6" w:themeColor="accent1"/>
              </w:rPr>
              <w:t>rat jotatimore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_Toc229390811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18</w:t>
            </w:r>
            <w:r w:rsidRPr="004517B8">
              <w:rPr>
                <w:webHidden/>
                <w:color w:val="0F6FC6" w:themeColor="accent1"/>
              </w:rPr>
              <w:fldChar w:fldCharType="end"/>
            </w:r>
          </w:hyperlink>
        </w:p>
        <w:p w14:paraId="1ADF3CB1" w14:textId="022D4BDA" w:rsidR="00D47A33" w:rsidRPr="004517B8" w:rsidRDefault="00D47A33">
          <w:pPr>
            <w:pStyle w:val="TOC3"/>
            <w:rPr>
              <w:rStyle w:val="Hyperlink"/>
              <w:color w:val="0F6FC6" w:themeColor="accent1"/>
            </w:rPr>
          </w:pPr>
          <w:hyperlink w:anchor="_Toc229390812" w:history="1">
            <w:r w:rsidRPr="004517B8">
              <w:rPr>
                <w:rStyle w:val="Hyperlink"/>
                <w:iCs/>
                <w:color w:val="0F6FC6" w:themeColor="accent1"/>
              </w:rPr>
              <w:t>4.3.6</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Të ard</w:t>
            </w:r>
            <w:r w:rsidRPr="004517B8">
              <w:rPr>
                <w:rStyle w:val="Hyperlink"/>
                <w:iCs/>
                <w:color w:val="0F6FC6" w:themeColor="accent1"/>
              </w:rPr>
              <w:t>h</w:t>
            </w:r>
            <w:r w:rsidRPr="004517B8">
              <w:rPr>
                <w:rStyle w:val="Hyperlink"/>
                <w:iCs/>
                <w:color w:val="0F6FC6" w:themeColor="accent1"/>
              </w:rPr>
              <w:t>urat n</w:t>
            </w:r>
            <w:r w:rsidRPr="004517B8">
              <w:rPr>
                <w:rStyle w:val="Hyperlink"/>
                <w:iCs/>
                <w:color w:val="0F6FC6" w:themeColor="accent1"/>
              </w:rPr>
              <w:t>g</w:t>
            </w:r>
            <w:r w:rsidRPr="004517B8">
              <w:rPr>
                <w:rStyle w:val="Hyperlink"/>
                <w:iCs/>
                <w:color w:val="0F6FC6" w:themeColor="accent1"/>
              </w:rPr>
              <w:t>a tatimet dhe doganat</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_Toc229390812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19</w:t>
            </w:r>
            <w:r w:rsidRPr="004517B8">
              <w:rPr>
                <w:webHidden/>
                <w:color w:val="0F6FC6" w:themeColor="accent1"/>
              </w:rPr>
              <w:fldChar w:fldCharType="end"/>
            </w:r>
          </w:hyperlink>
        </w:p>
        <w:p w14:paraId="338EAABD" w14:textId="77777777" w:rsidR="00D47A33" w:rsidRPr="004517B8" w:rsidRDefault="00D47A33" w:rsidP="00D47A33">
          <w:pPr>
            <w:rPr>
              <w:noProof/>
              <w:color w:val="0F6FC6" w:themeColor="accent1"/>
              <w:sz w:val="12"/>
              <w:szCs w:val="14"/>
            </w:rPr>
          </w:pPr>
        </w:p>
        <w:p w14:paraId="0128252D" w14:textId="64B172B9"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813" w:history="1">
            <w:r w:rsidRPr="004517B8">
              <w:rPr>
                <w:rStyle w:val="Hyperlink"/>
                <w:bCs/>
                <w:color w:val="0F6FC6" w:themeColor="accent1"/>
              </w:rPr>
              <w:t>5</w:t>
            </w:r>
            <w:r w:rsidRPr="004517B8">
              <w:rPr>
                <w:rFonts w:asciiTheme="minorHAnsi" w:eastAsiaTheme="minorEastAsia" w:hAnsiTheme="minorHAnsi" w:cstheme="minorBidi"/>
                <w:b w:val="0"/>
                <w:color w:val="0F6FC6" w:themeColor="accent1"/>
                <w:kern w:val="2"/>
                <w:sz w:val="24"/>
                <w:lang w:val="en-US"/>
                <w14:ligatures w14:val="standardContextual"/>
              </w:rPr>
              <w:tab/>
              <w:t xml:space="preserve">. </w:t>
            </w:r>
            <w:r w:rsidRPr="004517B8">
              <w:rPr>
                <w:rStyle w:val="Hyperlink"/>
                <w:bCs/>
                <w:color w:val="0F6FC6" w:themeColor="accent1"/>
              </w:rPr>
              <w:t>SHPENZIMET</w:t>
            </w:r>
            <w:r w:rsidRPr="004517B8">
              <w:rPr>
                <w:rStyle w:val="Hyperlink"/>
                <w:bCs/>
                <w:color w:val="0F6FC6" w:themeColor="accent1"/>
              </w:rPr>
              <w:t xml:space="preserve"> </w:t>
            </w:r>
            <w:r w:rsidRPr="004517B8">
              <w:rPr>
                <w:rStyle w:val="Hyperlink"/>
                <w:bCs/>
                <w:color w:val="0F6FC6" w:themeColor="accent1"/>
              </w:rPr>
              <w:t>E PËRGJITHSHME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_Toc229390813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27</w:t>
            </w:r>
            <w:r w:rsidRPr="004517B8">
              <w:rPr>
                <w:webHidden/>
                <w:color w:val="0F6FC6" w:themeColor="accent1"/>
              </w:rPr>
              <w:fldChar w:fldCharType="end"/>
            </w:r>
          </w:hyperlink>
        </w:p>
        <w:p w14:paraId="7C26DEC6" w14:textId="0A1C1919"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14" w:history="1">
            <w:r w:rsidRPr="004517B8">
              <w:rPr>
                <w:rStyle w:val="Hyperlink"/>
                <w:color w:val="0F6FC6" w:themeColor="accent1"/>
              </w:rPr>
              <w:t>5.1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Shpenzimet sip</w:t>
            </w:r>
            <w:r w:rsidRPr="004517B8">
              <w:rPr>
                <w:rStyle w:val="Hyperlink"/>
                <w:color w:val="0F6FC6" w:themeColor="accent1"/>
              </w:rPr>
              <w:t>a</w:t>
            </w:r>
            <w:r w:rsidRPr="004517B8">
              <w:rPr>
                <w:rStyle w:val="Hyperlink"/>
                <w:color w:val="0F6FC6" w:themeColor="accent1"/>
              </w:rPr>
              <w:t>s natyrës ekonomike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27</w:t>
            </w:r>
            <w:r w:rsidRPr="004517B8">
              <w:rPr>
                <w:webHidden/>
                <w:color w:val="0F6FC6" w:themeColor="accent1"/>
              </w:rPr>
              <w:fldChar w:fldCharType="end"/>
            </w:r>
          </w:hyperlink>
        </w:p>
        <w:p w14:paraId="7A3D514E" w14:textId="224CDB46"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15" w:history="1">
            <w:r w:rsidRPr="004517B8">
              <w:rPr>
                <w:rStyle w:val="Hyperlink"/>
                <w:color w:val="0F6FC6" w:themeColor="accent1"/>
              </w:rPr>
              <w:t>5.2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Shpenzime</w:t>
            </w:r>
            <w:r w:rsidRPr="004517B8">
              <w:rPr>
                <w:rStyle w:val="Hyperlink"/>
                <w:color w:val="0F6FC6" w:themeColor="accent1"/>
              </w:rPr>
              <w:t>t</w:t>
            </w:r>
            <w:r w:rsidRPr="004517B8">
              <w:rPr>
                <w:rStyle w:val="Hyperlink"/>
                <w:color w:val="0F6FC6" w:themeColor="accent1"/>
              </w:rPr>
              <w:t xml:space="preserve"> sipas natyrës funksionale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32</w:t>
            </w:r>
            <w:r w:rsidRPr="004517B8">
              <w:rPr>
                <w:webHidden/>
                <w:color w:val="0F6FC6" w:themeColor="accent1"/>
              </w:rPr>
              <w:fldChar w:fldCharType="end"/>
            </w:r>
          </w:hyperlink>
        </w:p>
        <w:p w14:paraId="1D6520FD" w14:textId="2319D42B"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16" w:history="1">
            <w:r w:rsidRPr="004517B8">
              <w:rPr>
                <w:rStyle w:val="Hyperlink"/>
                <w:color w:val="0F6FC6" w:themeColor="accent1"/>
              </w:rPr>
              <w:t>5.3</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Ndryshi</w:t>
            </w:r>
            <w:r w:rsidRPr="004517B8">
              <w:rPr>
                <w:rStyle w:val="Hyperlink"/>
                <w:color w:val="0F6FC6" w:themeColor="accent1"/>
              </w:rPr>
              <w:t>m</w:t>
            </w:r>
            <w:r w:rsidRPr="004517B8">
              <w:rPr>
                <w:rStyle w:val="Hyperlink"/>
                <w:color w:val="0F6FC6" w:themeColor="accent1"/>
              </w:rPr>
              <w:t>et në ligjin e buxhetit 2025</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33</w:t>
            </w:r>
            <w:r w:rsidRPr="004517B8">
              <w:rPr>
                <w:webHidden/>
                <w:color w:val="0F6FC6" w:themeColor="accent1"/>
              </w:rPr>
              <w:fldChar w:fldCharType="end"/>
            </w:r>
          </w:hyperlink>
        </w:p>
        <w:p w14:paraId="4BAF42EE" w14:textId="02B766FE"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17" w:history="1">
            <w:r w:rsidRPr="004517B8">
              <w:rPr>
                <w:rStyle w:val="Hyperlink"/>
                <w:color w:val="0F6FC6" w:themeColor="accent1"/>
              </w:rPr>
              <w:t>5.4</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Rishpërn</w:t>
            </w:r>
            <w:r w:rsidRPr="004517B8">
              <w:rPr>
                <w:rStyle w:val="Hyperlink"/>
                <w:color w:val="0F6FC6" w:themeColor="accent1"/>
              </w:rPr>
              <w:t>d</w:t>
            </w:r>
            <w:r w:rsidRPr="004517B8">
              <w:rPr>
                <w:rStyle w:val="Hyperlink"/>
                <w:color w:val="0F6FC6" w:themeColor="accent1"/>
              </w:rPr>
              <w:t>arja e fondeve buxhetore me VKM</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36</w:t>
            </w:r>
            <w:r w:rsidRPr="004517B8">
              <w:rPr>
                <w:webHidden/>
                <w:color w:val="0F6FC6" w:themeColor="accent1"/>
              </w:rPr>
              <w:fldChar w:fldCharType="end"/>
            </w:r>
          </w:hyperlink>
        </w:p>
        <w:p w14:paraId="1DA78712" w14:textId="48A2AF73"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18" w:history="1">
            <w:r w:rsidRPr="004517B8">
              <w:rPr>
                <w:rStyle w:val="Hyperlink"/>
                <w:color w:val="0F6FC6" w:themeColor="accent1"/>
              </w:rPr>
              <w:t>5.5</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Rezervat</w:t>
            </w:r>
            <w:r w:rsidRPr="004517B8">
              <w:rPr>
                <w:rStyle w:val="Hyperlink"/>
                <w:color w:val="0F6FC6" w:themeColor="accent1"/>
              </w:rPr>
              <w:t xml:space="preserve"> </w:t>
            </w:r>
            <w:r w:rsidRPr="004517B8">
              <w:rPr>
                <w:rStyle w:val="Hyperlink"/>
                <w:color w:val="0F6FC6" w:themeColor="accent1"/>
              </w:rPr>
              <w:t>dhe K</w:t>
            </w:r>
            <w:r w:rsidRPr="004517B8">
              <w:rPr>
                <w:rStyle w:val="Hyperlink"/>
                <w:color w:val="0F6FC6" w:themeColor="accent1"/>
              </w:rPr>
              <w:t>o</w:t>
            </w:r>
            <w:r w:rsidRPr="004517B8">
              <w:rPr>
                <w:rStyle w:val="Hyperlink"/>
                <w:color w:val="0F6FC6" w:themeColor="accent1"/>
              </w:rPr>
              <w:t>ntigjencat</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37</w:t>
            </w:r>
            <w:r w:rsidRPr="004517B8">
              <w:rPr>
                <w:webHidden/>
                <w:color w:val="0F6FC6" w:themeColor="accent1"/>
              </w:rPr>
              <w:fldChar w:fldCharType="end"/>
            </w:r>
          </w:hyperlink>
        </w:p>
        <w:p w14:paraId="3EF57284" w14:textId="62BA9981" w:rsidR="00D47A33" w:rsidRPr="004517B8" w:rsidRDefault="00D47A33">
          <w:pPr>
            <w:pStyle w:val="TOC2"/>
            <w:rPr>
              <w:rStyle w:val="Hyperlink"/>
              <w:color w:val="0F6FC6" w:themeColor="accent1"/>
            </w:rPr>
          </w:pPr>
          <w:hyperlink w:anchor="_Toc229390819" w:history="1">
            <w:r w:rsidRPr="004517B8">
              <w:rPr>
                <w:rStyle w:val="Hyperlink"/>
                <w:color w:val="0F6FC6" w:themeColor="accent1"/>
              </w:rPr>
              <w:t>5.6</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Progra</w:t>
            </w:r>
            <w:r w:rsidRPr="004517B8">
              <w:rPr>
                <w:rStyle w:val="Hyperlink"/>
                <w:color w:val="0F6FC6" w:themeColor="accent1"/>
              </w:rPr>
              <w:t>m</w:t>
            </w:r>
            <w:r w:rsidRPr="004517B8">
              <w:rPr>
                <w:rStyle w:val="Hyperlink"/>
                <w:color w:val="0F6FC6" w:themeColor="accent1"/>
              </w:rPr>
              <w:t>i i Rindërtimit</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_Toc229390819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37</w:t>
            </w:r>
            <w:r w:rsidRPr="004517B8">
              <w:rPr>
                <w:webHidden/>
                <w:color w:val="0F6FC6" w:themeColor="accent1"/>
              </w:rPr>
              <w:fldChar w:fldCharType="end"/>
            </w:r>
          </w:hyperlink>
        </w:p>
        <w:p w14:paraId="38426BC5" w14:textId="77777777" w:rsidR="00D47A33" w:rsidRDefault="00D47A33" w:rsidP="00D47A33">
          <w:pPr>
            <w:rPr>
              <w:noProof/>
              <w:color w:val="0F6FC6" w:themeColor="accent1"/>
              <w:sz w:val="12"/>
              <w:szCs w:val="14"/>
              <w:lang w:val="sq-AL"/>
            </w:rPr>
          </w:pPr>
        </w:p>
        <w:p w14:paraId="64102860" w14:textId="77777777" w:rsidR="000103C4" w:rsidRPr="004517B8" w:rsidRDefault="000103C4" w:rsidP="00D47A33">
          <w:pPr>
            <w:rPr>
              <w:noProof/>
              <w:color w:val="0F6FC6" w:themeColor="accent1"/>
              <w:sz w:val="12"/>
              <w:szCs w:val="14"/>
              <w:lang w:val="sq-AL"/>
            </w:rPr>
          </w:pPr>
        </w:p>
        <w:p w14:paraId="6936F589" w14:textId="3310DC5E"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820" w:history="1">
            <w:r w:rsidRPr="004517B8">
              <w:rPr>
                <w:rStyle w:val="Hyperlink"/>
                <w:bCs/>
                <w:color w:val="0F6FC6" w:themeColor="accent1"/>
              </w:rPr>
              <w:t xml:space="preserve">6. </w:t>
            </w:r>
            <w:r w:rsidRPr="004517B8">
              <w:rPr>
                <w:rFonts w:asciiTheme="minorHAnsi" w:eastAsiaTheme="minorEastAsia" w:hAnsiTheme="minorHAnsi" w:cstheme="minorBidi"/>
                <w:b w:val="0"/>
                <w:color w:val="0F6FC6" w:themeColor="accent1"/>
                <w:kern w:val="2"/>
                <w:sz w:val="24"/>
                <w:lang w:val="en-US"/>
                <w14:ligatures w14:val="standardContextual"/>
              </w:rPr>
              <w:tab/>
            </w:r>
            <w:r w:rsidRPr="004517B8">
              <w:rPr>
                <w:rStyle w:val="Hyperlink"/>
                <w:bCs/>
                <w:color w:val="0F6FC6" w:themeColor="accent1"/>
              </w:rPr>
              <w:t>BUXHETI</w:t>
            </w:r>
            <w:r w:rsidRPr="004517B8">
              <w:rPr>
                <w:rStyle w:val="Hyperlink"/>
                <w:bCs/>
                <w:color w:val="0F6FC6" w:themeColor="accent1"/>
              </w:rPr>
              <w:t xml:space="preserve"> </w:t>
            </w:r>
            <w:r w:rsidRPr="004517B8">
              <w:rPr>
                <w:rStyle w:val="Hyperlink"/>
                <w:bCs/>
                <w:color w:val="0F6FC6" w:themeColor="accent1"/>
              </w:rPr>
              <w:t>VENDOR</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39</w:t>
            </w:r>
            <w:r w:rsidRPr="004517B8">
              <w:rPr>
                <w:webHidden/>
                <w:color w:val="0F6FC6" w:themeColor="accent1"/>
              </w:rPr>
              <w:fldChar w:fldCharType="end"/>
            </w:r>
          </w:hyperlink>
        </w:p>
        <w:p w14:paraId="7C7682D3" w14:textId="6D3C2690"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21" w:history="1">
            <w:r w:rsidRPr="004517B8">
              <w:rPr>
                <w:rStyle w:val="Hyperlink"/>
                <w:color w:val="0F6FC6" w:themeColor="accent1"/>
              </w:rPr>
              <w:t>6.1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 xml:space="preserve">Të ardhurat e </w:t>
            </w:r>
            <w:r w:rsidRPr="004517B8">
              <w:rPr>
                <w:rStyle w:val="Hyperlink"/>
                <w:color w:val="0F6FC6" w:themeColor="accent1"/>
              </w:rPr>
              <w:t>n</w:t>
            </w:r>
            <w:r w:rsidRPr="004517B8">
              <w:rPr>
                <w:rStyle w:val="Hyperlink"/>
                <w:color w:val="0F6FC6" w:themeColor="accent1"/>
              </w:rPr>
              <w:t>jësive të vetëqeverisjes vendore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_Toc229390821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40</w:t>
            </w:r>
            <w:r w:rsidRPr="004517B8">
              <w:rPr>
                <w:webHidden/>
                <w:color w:val="0F6FC6" w:themeColor="accent1"/>
              </w:rPr>
              <w:fldChar w:fldCharType="end"/>
            </w:r>
          </w:hyperlink>
        </w:p>
        <w:p w14:paraId="6985D4BB" w14:textId="474D36DC" w:rsidR="00D47A33" w:rsidRPr="004517B8" w:rsidRDefault="00D47A33">
          <w:pPr>
            <w:pStyle w:val="TOC2"/>
            <w:rPr>
              <w:rStyle w:val="Hyperlink"/>
              <w:color w:val="0F6FC6" w:themeColor="accent1"/>
            </w:rPr>
          </w:pPr>
          <w:hyperlink w:anchor="_Toc229390822" w:history="1">
            <w:r w:rsidRPr="004517B8">
              <w:rPr>
                <w:rStyle w:val="Hyperlink"/>
                <w:color w:val="0F6FC6" w:themeColor="accent1"/>
              </w:rPr>
              <w:t>6.2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Shpenzim</w:t>
            </w:r>
            <w:r w:rsidRPr="004517B8">
              <w:rPr>
                <w:rStyle w:val="Hyperlink"/>
                <w:color w:val="0F6FC6" w:themeColor="accent1"/>
              </w:rPr>
              <w:t>e</w:t>
            </w:r>
            <w:r w:rsidRPr="004517B8">
              <w:rPr>
                <w:rStyle w:val="Hyperlink"/>
                <w:color w:val="0F6FC6" w:themeColor="accent1"/>
              </w:rPr>
              <w:t>t e njësive të vetëqeverisjes vendore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_Toc229390822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43</w:t>
            </w:r>
            <w:r w:rsidRPr="004517B8">
              <w:rPr>
                <w:webHidden/>
                <w:color w:val="0F6FC6" w:themeColor="accent1"/>
              </w:rPr>
              <w:fldChar w:fldCharType="end"/>
            </w:r>
          </w:hyperlink>
        </w:p>
        <w:p w14:paraId="4D55A93E" w14:textId="77777777" w:rsidR="00D47A33" w:rsidRPr="004517B8" w:rsidRDefault="00D47A33" w:rsidP="00D47A33">
          <w:pPr>
            <w:rPr>
              <w:noProof/>
              <w:color w:val="0F6FC6" w:themeColor="accent1"/>
              <w:sz w:val="12"/>
              <w:szCs w:val="14"/>
              <w:lang w:val="sq-AL"/>
            </w:rPr>
          </w:pPr>
        </w:p>
        <w:p w14:paraId="4E3F0258" w14:textId="2BB560B7"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823" w:history="1">
            <w:r w:rsidRPr="004517B8">
              <w:rPr>
                <w:rStyle w:val="Hyperlink"/>
                <w:bCs/>
                <w:color w:val="0F6FC6" w:themeColor="accent1"/>
              </w:rPr>
              <w:t xml:space="preserve">7. </w:t>
            </w:r>
            <w:r w:rsidRPr="004517B8">
              <w:rPr>
                <w:rFonts w:asciiTheme="minorHAnsi" w:eastAsiaTheme="minorEastAsia" w:hAnsiTheme="minorHAnsi" w:cstheme="minorBidi"/>
                <w:b w:val="0"/>
                <w:color w:val="0F6FC6" w:themeColor="accent1"/>
                <w:kern w:val="2"/>
                <w:sz w:val="24"/>
                <w:lang w:val="en-US"/>
                <w14:ligatures w14:val="standardContextual"/>
              </w:rPr>
              <w:tab/>
            </w:r>
            <w:r w:rsidRPr="004517B8">
              <w:rPr>
                <w:rStyle w:val="Hyperlink"/>
                <w:bCs/>
                <w:color w:val="0F6FC6" w:themeColor="accent1"/>
              </w:rPr>
              <w:t>RISQET FISKAL</w:t>
            </w:r>
            <w:r w:rsidRPr="004517B8">
              <w:rPr>
                <w:rStyle w:val="Hyperlink"/>
                <w:bCs/>
                <w:color w:val="0F6FC6" w:themeColor="accent1"/>
              </w:rPr>
              <w:t>E</w:t>
            </w:r>
            <w:r w:rsidRPr="004517B8">
              <w:rPr>
                <w:rStyle w:val="Hyperlink"/>
                <w:bCs/>
                <w:color w:val="0F6FC6" w:themeColor="accent1"/>
              </w:rPr>
              <w:t xml:space="preserve"> DHE DETYRIMET KONTIGJENTE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_Toc229390823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45</w:t>
            </w:r>
            <w:r w:rsidRPr="004517B8">
              <w:rPr>
                <w:webHidden/>
                <w:color w:val="0F6FC6" w:themeColor="accent1"/>
              </w:rPr>
              <w:fldChar w:fldCharType="end"/>
            </w:r>
          </w:hyperlink>
        </w:p>
        <w:p w14:paraId="6249BFD6" w14:textId="057877B4"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24" w:history="1">
            <w:r w:rsidRPr="004517B8">
              <w:rPr>
                <w:rStyle w:val="Hyperlink"/>
                <w:color w:val="0F6FC6" w:themeColor="accent1"/>
              </w:rPr>
              <w:t>7.1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Ndër</w:t>
            </w:r>
            <w:r w:rsidRPr="004517B8">
              <w:rPr>
                <w:rStyle w:val="Hyperlink"/>
                <w:color w:val="0F6FC6" w:themeColor="accent1"/>
              </w:rPr>
              <w:t>m</w:t>
            </w:r>
            <w:r w:rsidRPr="004517B8">
              <w:rPr>
                <w:rStyle w:val="Hyperlink"/>
                <w:color w:val="0F6FC6" w:themeColor="accent1"/>
              </w:rPr>
              <w:t>arrjet shtetërore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46</w:t>
            </w:r>
            <w:r w:rsidRPr="004517B8">
              <w:rPr>
                <w:webHidden/>
                <w:color w:val="0F6FC6" w:themeColor="accent1"/>
              </w:rPr>
              <w:fldChar w:fldCharType="end"/>
            </w:r>
          </w:hyperlink>
        </w:p>
        <w:p w14:paraId="425154BA" w14:textId="39750DAA"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25" w:history="1">
            <w:r w:rsidRPr="004517B8">
              <w:rPr>
                <w:rStyle w:val="Hyperlink"/>
                <w:iCs/>
                <w:color w:val="0F6FC6" w:themeColor="accent1"/>
              </w:rPr>
              <w:t>7.1.1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Ndërmar</w:t>
            </w:r>
            <w:r w:rsidRPr="004517B8">
              <w:rPr>
                <w:rStyle w:val="Hyperlink"/>
                <w:iCs/>
                <w:color w:val="0F6FC6" w:themeColor="accent1"/>
              </w:rPr>
              <w:t>r</w:t>
            </w:r>
            <w:r w:rsidRPr="004517B8">
              <w:rPr>
                <w:rStyle w:val="Hyperlink"/>
                <w:iCs/>
                <w:color w:val="0F6FC6" w:themeColor="accent1"/>
              </w:rPr>
              <w:t>jet e Sektorit Energjetik</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_Toc229390825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47</w:t>
            </w:r>
            <w:r w:rsidRPr="004517B8">
              <w:rPr>
                <w:webHidden/>
                <w:color w:val="0F6FC6" w:themeColor="accent1"/>
              </w:rPr>
              <w:fldChar w:fldCharType="end"/>
            </w:r>
          </w:hyperlink>
        </w:p>
        <w:p w14:paraId="452C3132" w14:textId="241D249E"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26" w:history="1">
            <w:r w:rsidRPr="004517B8">
              <w:rPr>
                <w:rStyle w:val="Hyperlink"/>
                <w:iCs/>
                <w:color w:val="0F6FC6" w:themeColor="accent1"/>
              </w:rPr>
              <w:t>7.1.2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Ndë</w:t>
            </w:r>
            <w:r w:rsidRPr="004517B8">
              <w:rPr>
                <w:rStyle w:val="Hyperlink"/>
                <w:iCs/>
                <w:color w:val="0F6FC6" w:themeColor="accent1"/>
              </w:rPr>
              <w:t>r</w:t>
            </w:r>
            <w:r w:rsidRPr="004517B8">
              <w:rPr>
                <w:rStyle w:val="Hyperlink"/>
                <w:iCs/>
                <w:color w:val="0F6FC6" w:themeColor="accent1"/>
              </w:rPr>
              <w:t>marrjet e Sektorit të Ujësjellës-Kanalizimeve</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_Toc229390826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50</w:t>
            </w:r>
            <w:r w:rsidRPr="004517B8">
              <w:rPr>
                <w:webHidden/>
                <w:color w:val="0F6FC6" w:themeColor="accent1"/>
              </w:rPr>
              <w:fldChar w:fldCharType="end"/>
            </w:r>
          </w:hyperlink>
        </w:p>
        <w:p w14:paraId="4B682BE5" w14:textId="0E932E31"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27" w:history="1">
            <w:r w:rsidRPr="004517B8">
              <w:rPr>
                <w:rStyle w:val="Hyperlink"/>
                <w:color w:val="0F6FC6" w:themeColor="accent1"/>
              </w:rPr>
              <w:t>7.2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Detyrime</w:t>
            </w:r>
            <w:r w:rsidRPr="004517B8">
              <w:rPr>
                <w:rStyle w:val="Hyperlink"/>
                <w:color w:val="0F6FC6" w:themeColor="accent1"/>
              </w:rPr>
              <w:t>t</w:t>
            </w:r>
            <w:r w:rsidRPr="004517B8">
              <w:rPr>
                <w:rStyle w:val="Hyperlink"/>
                <w:color w:val="0F6FC6" w:themeColor="accent1"/>
              </w:rPr>
              <w:t xml:space="preserve"> e prapambetura të Qeverisjes së Përgjithshme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_Toc229390827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51</w:t>
            </w:r>
            <w:r w:rsidRPr="004517B8">
              <w:rPr>
                <w:webHidden/>
                <w:color w:val="0F6FC6" w:themeColor="accent1"/>
              </w:rPr>
              <w:fldChar w:fldCharType="end"/>
            </w:r>
          </w:hyperlink>
        </w:p>
        <w:p w14:paraId="7668DD22" w14:textId="4586BE0B"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28" w:history="1">
            <w:r w:rsidRPr="004517B8">
              <w:rPr>
                <w:rStyle w:val="Hyperlink"/>
                <w:iCs/>
                <w:color w:val="0F6FC6" w:themeColor="accent1"/>
              </w:rPr>
              <w:t>7.2.1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Detyrimet e pr</w:t>
            </w:r>
            <w:r w:rsidRPr="004517B8">
              <w:rPr>
                <w:rStyle w:val="Hyperlink"/>
                <w:iCs/>
                <w:color w:val="0F6FC6" w:themeColor="accent1"/>
              </w:rPr>
              <w:t>a</w:t>
            </w:r>
            <w:r w:rsidRPr="004517B8">
              <w:rPr>
                <w:rStyle w:val="Hyperlink"/>
                <w:iCs/>
                <w:color w:val="0F6FC6" w:themeColor="accent1"/>
              </w:rPr>
              <w:t>pambetura për njësitë e Qeverisjes Qendrore</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_Toc229390828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52</w:t>
            </w:r>
            <w:r w:rsidRPr="004517B8">
              <w:rPr>
                <w:webHidden/>
                <w:color w:val="0F6FC6" w:themeColor="accent1"/>
              </w:rPr>
              <w:fldChar w:fldCharType="end"/>
            </w:r>
          </w:hyperlink>
        </w:p>
        <w:p w14:paraId="2FF8659A" w14:textId="792973B0"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29" w:history="1">
            <w:r w:rsidRPr="004517B8">
              <w:rPr>
                <w:rStyle w:val="Hyperlink"/>
                <w:iCs/>
                <w:color w:val="0F6FC6" w:themeColor="accent1"/>
              </w:rPr>
              <w:t>7.2.2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Detyrime</w:t>
            </w:r>
            <w:r w:rsidRPr="004517B8">
              <w:rPr>
                <w:rStyle w:val="Hyperlink"/>
                <w:iCs/>
                <w:color w:val="0F6FC6" w:themeColor="accent1"/>
              </w:rPr>
              <w:t>t</w:t>
            </w:r>
            <w:r w:rsidRPr="004517B8">
              <w:rPr>
                <w:rStyle w:val="Hyperlink"/>
                <w:iCs/>
                <w:color w:val="0F6FC6" w:themeColor="accent1"/>
              </w:rPr>
              <w:t xml:space="preserve"> e prapambetura për njësitë e Vetëqeverisjes Vendore (NJVQV)</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_Toc229390829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54</w:t>
            </w:r>
            <w:r w:rsidRPr="004517B8">
              <w:rPr>
                <w:webHidden/>
                <w:color w:val="0F6FC6" w:themeColor="accent1"/>
              </w:rPr>
              <w:fldChar w:fldCharType="end"/>
            </w:r>
          </w:hyperlink>
        </w:p>
        <w:p w14:paraId="675E8F59" w14:textId="24895BDA"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30" w:history="1">
            <w:r w:rsidRPr="004517B8">
              <w:rPr>
                <w:rStyle w:val="Hyperlink"/>
                <w:color w:val="0F6FC6" w:themeColor="accent1"/>
              </w:rPr>
              <w:t>7.3</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Pagesat për Kon</w:t>
            </w:r>
            <w:r w:rsidRPr="004517B8">
              <w:rPr>
                <w:rStyle w:val="Hyperlink"/>
                <w:color w:val="0F6FC6" w:themeColor="accent1"/>
              </w:rPr>
              <w:t>t</w:t>
            </w:r>
            <w:r w:rsidRPr="004517B8">
              <w:rPr>
                <w:rStyle w:val="Hyperlink"/>
                <w:color w:val="0F6FC6" w:themeColor="accent1"/>
              </w:rPr>
              <w:t>ratat Koncesionare/PPP</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55</w:t>
            </w:r>
            <w:r w:rsidRPr="004517B8">
              <w:rPr>
                <w:webHidden/>
                <w:color w:val="0F6FC6" w:themeColor="accent1"/>
              </w:rPr>
              <w:fldChar w:fldCharType="end"/>
            </w:r>
          </w:hyperlink>
        </w:p>
        <w:p w14:paraId="31AE3155" w14:textId="2CA66471"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31" w:history="1">
            <w:r w:rsidRPr="004517B8">
              <w:rPr>
                <w:rStyle w:val="Hyperlink"/>
                <w:color w:val="0F6FC6" w:themeColor="accent1"/>
              </w:rPr>
              <w:t>7.4</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Detyrime të tjera Kont</w:t>
            </w:r>
            <w:r w:rsidRPr="004517B8">
              <w:rPr>
                <w:rStyle w:val="Hyperlink"/>
                <w:color w:val="0F6FC6" w:themeColor="accent1"/>
              </w:rPr>
              <w:t>i</w:t>
            </w:r>
            <w:r w:rsidRPr="004517B8">
              <w:rPr>
                <w:rStyle w:val="Hyperlink"/>
                <w:color w:val="0F6FC6" w:themeColor="accent1"/>
              </w:rPr>
              <w:t>gjente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_Toc229390831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56</w:t>
            </w:r>
            <w:r w:rsidRPr="004517B8">
              <w:rPr>
                <w:webHidden/>
                <w:color w:val="0F6FC6" w:themeColor="accent1"/>
              </w:rPr>
              <w:fldChar w:fldCharType="end"/>
            </w:r>
          </w:hyperlink>
        </w:p>
        <w:p w14:paraId="02A76838" w14:textId="163979C0"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32" w:history="1">
            <w:r w:rsidRPr="004517B8">
              <w:rPr>
                <w:rStyle w:val="Hyperlink"/>
                <w:iCs/>
                <w:color w:val="0F6FC6" w:themeColor="accent1"/>
              </w:rPr>
              <w:t>7.4.1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Vendimet e</w:t>
            </w:r>
            <w:r w:rsidRPr="004517B8">
              <w:rPr>
                <w:rStyle w:val="Hyperlink"/>
                <w:iCs/>
                <w:color w:val="0F6FC6" w:themeColor="accent1"/>
              </w:rPr>
              <w:t xml:space="preserve"> </w:t>
            </w:r>
            <w:r w:rsidRPr="004517B8">
              <w:rPr>
                <w:rStyle w:val="Hyperlink"/>
                <w:iCs/>
                <w:color w:val="0F6FC6" w:themeColor="accent1"/>
              </w:rPr>
              <w:t>Gjykatës së të Drejtave të Njeriut në Strasburg (GJEDNJ)</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_Toc229390832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56</w:t>
            </w:r>
            <w:r w:rsidRPr="004517B8">
              <w:rPr>
                <w:webHidden/>
                <w:color w:val="0F6FC6" w:themeColor="accent1"/>
              </w:rPr>
              <w:fldChar w:fldCharType="end"/>
            </w:r>
          </w:hyperlink>
        </w:p>
        <w:p w14:paraId="6B55D3C1" w14:textId="165F0642" w:rsidR="00D47A33" w:rsidRPr="004517B8" w:rsidRDefault="00D47A33">
          <w:pPr>
            <w:pStyle w:val="TOC3"/>
            <w:rPr>
              <w:rStyle w:val="Hyperlink"/>
              <w:color w:val="0F6FC6" w:themeColor="accent1"/>
            </w:rPr>
          </w:pPr>
          <w:hyperlink w:anchor="_Toc229390833" w:history="1">
            <w:r w:rsidRPr="004517B8">
              <w:rPr>
                <w:rStyle w:val="Hyperlink"/>
                <w:iCs/>
                <w:color w:val="0F6FC6" w:themeColor="accent1"/>
              </w:rPr>
              <w:t>7.4.2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iCs/>
                <w:color w:val="0F6FC6" w:themeColor="accent1"/>
              </w:rPr>
              <w:t>Vendimet e G</w:t>
            </w:r>
            <w:r w:rsidRPr="004517B8">
              <w:rPr>
                <w:rStyle w:val="Hyperlink"/>
                <w:iCs/>
                <w:color w:val="0F6FC6" w:themeColor="accent1"/>
              </w:rPr>
              <w:t>j</w:t>
            </w:r>
            <w:r w:rsidRPr="004517B8">
              <w:rPr>
                <w:rStyle w:val="Hyperlink"/>
                <w:iCs/>
                <w:color w:val="0F6FC6" w:themeColor="accent1"/>
              </w:rPr>
              <w:t>ykatës Ndërkombëtare të Arbitrazhit</w:t>
            </w:r>
            <w:r w:rsidRPr="004517B8">
              <w:rPr>
                <w:webHidden/>
                <w:color w:val="0F6FC6" w:themeColor="accent1"/>
              </w:rPr>
              <w:tab/>
            </w:r>
            <w:r w:rsidRPr="004517B8">
              <w:rPr>
                <w:webHidden/>
                <w:color w:val="0F6FC6" w:themeColor="accent1"/>
              </w:rPr>
              <w:fldChar w:fldCharType="begin"/>
            </w:r>
            <w:r w:rsidRPr="004517B8">
              <w:rPr>
                <w:webHidden/>
                <w:color w:val="0F6FC6" w:themeColor="accent1"/>
              </w:rPr>
              <w:instrText xml:space="preserve"> PAGEREF _Toc229390833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57</w:t>
            </w:r>
            <w:r w:rsidRPr="004517B8">
              <w:rPr>
                <w:webHidden/>
                <w:color w:val="0F6FC6" w:themeColor="accent1"/>
              </w:rPr>
              <w:fldChar w:fldCharType="end"/>
            </w:r>
          </w:hyperlink>
        </w:p>
        <w:p w14:paraId="46F21890" w14:textId="77777777" w:rsidR="00D47A33" w:rsidRPr="004517B8" w:rsidRDefault="00D47A33" w:rsidP="00D47A33">
          <w:pPr>
            <w:rPr>
              <w:noProof/>
              <w:color w:val="0F6FC6" w:themeColor="accent1"/>
              <w:sz w:val="12"/>
              <w:szCs w:val="14"/>
            </w:rPr>
          </w:pPr>
        </w:p>
        <w:p w14:paraId="56A981C9" w14:textId="74610DB4" w:rsidR="00D47A33" w:rsidRPr="004517B8" w:rsidRDefault="00D47A33">
          <w:pPr>
            <w:pStyle w:val="TOC1"/>
            <w:rPr>
              <w:rFonts w:asciiTheme="minorHAnsi" w:eastAsiaTheme="minorEastAsia" w:hAnsiTheme="minorHAnsi" w:cstheme="minorBidi"/>
              <w:b w:val="0"/>
              <w:color w:val="0F6FC6" w:themeColor="accent1"/>
              <w:kern w:val="2"/>
              <w:sz w:val="24"/>
              <w:lang w:val="en-US"/>
              <w14:ligatures w14:val="standardContextual"/>
            </w:rPr>
          </w:pPr>
          <w:hyperlink w:anchor="_Toc229390834" w:history="1">
            <w:r w:rsidRPr="004517B8">
              <w:rPr>
                <w:rStyle w:val="Hyperlink"/>
                <w:bCs/>
                <w:color w:val="0F6FC6" w:themeColor="accent1"/>
              </w:rPr>
              <w:t>8.</w:t>
            </w:r>
            <w:r w:rsidRPr="004517B8">
              <w:rPr>
                <w:rFonts w:asciiTheme="minorHAnsi" w:eastAsiaTheme="minorEastAsia" w:hAnsiTheme="minorHAnsi" w:cstheme="minorBidi"/>
                <w:b w:val="0"/>
                <w:color w:val="0F6FC6" w:themeColor="accent1"/>
                <w:kern w:val="2"/>
                <w:sz w:val="24"/>
                <w:lang w:val="en-US"/>
                <w14:ligatures w14:val="standardContextual"/>
              </w:rPr>
              <w:tab/>
              <w:t xml:space="preserve"> </w:t>
            </w:r>
            <w:r w:rsidRPr="004517B8">
              <w:rPr>
                <w:rStyle w:val="Hyperlink"/>
                <w:bCs/>
                <w:color w:val="0F6FC6" w:themeColor="accent1"/>
              </w:rPr>
              <w:t>SHTOJC</w:t>
            </w:r>
            <w:r w:rsidRPr="004517B8">
              <w:rPr>
                <w:rStyle w:val="Hyperlink"/>
                <w:bCs/>
                <w:color w:val="0F6FC6" w:themeColor="accent1"/>
              </w:rPr>
              <w:t>A</w:t>
            </w:r>
            <w:r w:rsidRPr="004517B8">
              <w:rPr>
                <w:rStyle w:val="Hyperlink"/>
                <w:bCs/>
                <w:color w:val="0F6FC6" w:themeColor="accent1"/>
              </w:rPr>
              <w:t>T</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59</w:t>
            </w:r>
            <w:r w:rsidRPr="004517B8">
              <w:rPr>
                <w:webHidden/>
                <w:color w:val="0F6FC6" w:themeColor="accent1"/>
              </w:rPr>
              <w:fldChar w:fldCharType="end"/>
            </w:r>
          </w:hyperlink>
        </w:p>
        <w:p w14:paraId="3FE4D15D" w14:textId="452DF8E7"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35" w:history="1">
            <w:r w:rsidRPr="004517B8">
              <w:rPr>
                <w:rStyle w:val="Hyperlink"/>
                <w:color w:val="0F6FC6" w:themeColor="accent1"/>
              </w:rPr>
              <w:t>8.1</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Shtojca 1 - Zbatimi dhe monitorimi i parimeve dhe rregullave fiskale</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59</w:t>
            </w:r>
            <w:r w:rsidRPr="004517B8">
              <w:rPr>
                <w:webHidden/>
                <w:color w:val="0F6FC6" w:themeColor="accent1"/>
              </w:rPr>
              <w:fldChar w:fldCharType="end"/>
            </w:r>
          </w:hyperlink>
        </w:p>
        <w:p w14:paraId="4840B25A" w14:textId="215DC07E"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36" w:history="1">
            <w:r w:rsidRPr="004517B8">
              <w:rPr>
                <w:rStyle w:val="Hyperlink"/>
                <w:color w:val="0F6FC6" w:themeColor="accent1"/>
              </w:rPr>
              <w:t>8.2</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Shtojca 2 - Efektet e paketës fiskale 2025</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63</w:t>
            </w:r>
            <w:r w:rsidRPr="004517B8">
              <w:rPr>
                <w:webHidden/>
                <w:color w:val="0F6FC6" w:themeColor="accent1"/>
              </w:rPr>
              <w:fldChar w:fldCharType="end"/>
            </w:r>
          </w:hyperlink>
        </w:p>
        <w:p w14:paraId="7507112A" w14:textId="29EBC725" w:rsidR="00D47A33" w:rsidRPr="004517B8" w:rsidRDefault="00D47A33">
          <w:pPr>
            <w:pStyle w:val="TOC2"/>
            <w:rPr>
              <w:rFonts w:asciiTheme="minorHAnsi" w:eastAsiaTheme="minorEastAsia" w:hAnsiTheme="minorHAnsi" w:cstheme="minorBidi"/>
              <w:b w:val="0"/>
              <w:color w:val="0F6FC6" w:themeColor="accent1"/>
              <w:kern w:val="2"/>
              <w:sz w:val="24"/>
              <w:szCs w:val="24"/>
              <w:lang w:val="en-US"/>
              <w14:ligatures w14:val="standardContextual"/>
            </w:rPr>
          </w:pPr>
          <w:hyperlink w:anchor="_Toc229390837" w:history="1">
            <w:r w:rsidRPr="004517B8">
              <w:rPr>
                <w:rStyle w:val="Hyperlink"/>
                <w:color w:val="0F6FC6" w:themeColor="accent1"/>
              </w:rPr>
              <w:t>8.3</w:t>
            </w:r>
            <w:r w:rsidRPr="004517B8">
              <w:rPr>
                <w:rFonts w:asciiTheme="minorHAnsi" w:eastAsiaTheme="minorEastAsia" w:hAnsiTheme="minorHAnsi" w:cstheme="minorBidi"/>
                <w:b w:val="0"/>
                <w:color w:val="0F6FC6" w:themeColor="accent1"/>
                <w:kern w:val="2"/>
                <w:sz w:val="24"/>
                <w:szCs w:val="24"/>
                <w:lang w:val="en-US"/>
                <w14:ligatures w14:val="standardContextual"/>
              </w:rPr>
              <w:tab/>
            </w:r>
            <w:r w:rsidRPr="004517B8">
              <w:rPr>
                <w:rStyle w:val="Hyperlink"/>
                <w:color w:val="0F6FC6" w:themeColor="accent1"/>
              </w:rPr>
              <w:t>Shtojca 3 - Treguesit kryesorë të performancës sipas ministrive të linjës</w:t>
            </w:r>
            <w:r w:rsidRPr="004517B8">
              <w:rPr>
                <w:webHidden/>
                <w:color w:val="0F6FC6" w:themeColor="accent1"/>
              </w:rPr>
              <w:t>.................................................</w:t>
            </w:r>
            <w:r w:rsidRPr="004517B8">
              <w:rPr>
                <w:webHidden/>
                <w:color w:val="0F6FC6" w:themeColor="accent1"/>
              </w:rPr>
              <w:fldChar w:fldCharType="begin"/>
            </w:r>
            <w:r w:rsidRPr="004517B8">
              <w:rPr>
                <w:webHidden/>
                <w:color w:val="0F6FC6" w:themeColor="accent1"/>
              </w:rPr>
              <w:instrText xml:space="preserve"> PAGEREF _Toc229390837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63</w:t>
            </w:r>
            <w:r w:rsidRPr="004517B8">
              <w:rPr>
                <w:webHidden/>
                <w:color w:val="0F6FC6" w:themeColor="accent1"/>
              </w:rPr>
              <w:fldChar w:fldCharType="end"/>
            </w:r>
          </w:hyperlink>
        </w:p>
        <w:p w14:paraId="2B2A7CBC" w14:textId="72436CE4"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38" w:history="1">
            <w:r w:rsidRPr="004517B8">
              <w:rPr>
                <w:rStyle w:val="Hyperlink"/>
                <w:bCs/>
                <w:color w:val="0F6FC6" w:themeColor="accent1"/>
              </w:rPr>
              <w:t>8.3.1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Shëndetësia dhe Mbrojtja Sociale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_Toc229390838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65</w:t>
            </w:r>
            <w:r w:rsidRPr="004517B8">
              <w:rPr>
                <w:webHidden/>
                <w:color w:val="0F6FC6" w:themeColor="accent1"/>
              </w:rPr>
              <w:fldChar w:fldCharType="end"/>
            </w:r>
          </w:hyperlink>
        </w:p>
        <w:p w14:paraId="17FFF12C" w14:textId="317FCAD1"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39" w:history="1">
            <w:r w:rsidRPr="004517B8">
              <w:rPr>
                <w:rStyle w:val="Hyperlink"/>
                <w:bCs/>
                <w:color w:val="0F6FC6" w:themeColor="accent1"/>
              </w:rPr>
              <w:t>8.3.2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Arsimi</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_Toc229390839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67</w:t>
            </w:r>
            <w:r w:rsidRPr="004517B8">
              <w:rPr>
                <w:webHidden/>
                <w:color w:val="0F6FC6" w:themeColor="accent1"/>
              </w:rPr>
              <w:fldChar w:fldCharType="end"/>
            </w:r>
          </w:hyperlink>
        </w:p>
        <w:p w14:paraId="50D3D34A" w14:textId="72B56D76"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0" w:history="1">
            <w:r w:rsidRPr="004517B8">
              <w:rPr>
                <w:rStyle w:val="Hyperlink"/>
                <w:bCs/>
                <w:color w:val="0F6FC6" w:themeColor="accent1"/>
              </w:rPr>
              <w:t>8.3.3</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Bujqësia dhe Zhvillimi Rural</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68</w:t>
            </w:r>
            <w:r w:rsidRPr="004517B8">
              <w:rPr>
                <w:webHidden/>
                <w:color w:val="0F6FC6" w:themeColor="accent1"/>
              </w:rPr>
              <w:fldChar w:fldCharType="end"/>
            </w:r>
          </w:hyperlink>
        </w:p>
        <w:p w14:paraId="695DA176" w14:textId="1B6F1DC5"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1" w:history="1">
            <w:r w:rsidRPr="004517B8">
              <w:rPr>
                <w:rStyle w:val="Hyperlink"/>
                <w:bCs/>
                <w:color w:val="0F6FC6" w:themeColor="accent1"/>
              </w:rPr>
              <w:t>8.3.4</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Infrastruktura dhe Energjia</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_Toc229390841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70</w:t>
            </w:r>
            <w:r w:rsidRPr="004517B8">
              <w:rPr>
                <w:webHidden/>
                <w:color w:val="0F6FC6" w:themeColor="accent1"/>
              </w:rPr>
              <w:fldChar w:fldCharType="end"/>
            </w:r>
          </w:hyperlink>
        </w:p>
        <w:p w14:paraId="48081511" w14:textId="6A94419D"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2" w:history="1">
            <w:r w:rsidRPr="004517B8">
              <w:rPr>
                <w:rStyle w:val="Hyperlink"/>
                <w:bCs/>
                <w:color w:val="0F6FC6" w:themeColor="accent1"/>
              </w:rPr>
              <w:t>8.3.5</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Kultura dhe Turizmi</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_Toc229390842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72</w:t>
            </w:r>
            <w:r w:rsidRPr="004517B8">
              <w:rPr>
                <w:webHidden/>
                <w:color w:val="0F6FC6" w:themeColor="accent1"/>
              </w:rPr>
              <w:fldChar w:fldCharType="end"/>
            </w:r>
          </w:hyperlink>
        </w:p>
        <w:p w14:paraId="791D07E9" w14:textId="6FEEF0FE"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3" w:history="1">
            <w:r w:rsidRPr="004517B8">
              <w:rPr>
                <w:rStyle w:val="Hyperlink"/>
                <w:bCs/>
                <w:color w:val="0F6FC6" w:themeColor="accent1"/>
              </w:rPr>
              <w:t>8.3.6</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Mjedisi</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_Toc229390843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74</w:t>
            </w:r>
            <w:r w:rsidRPr="004517B8">
              <w:rPr>
                <w:webHidden/>
                <w:color w:val="0F6FC6" w:themeColor="accent1"/>
              </w:rPr>
              <w:fldChar w:fldCharType="end"/>
            </w:r>
          </w:hyperlink>
        </w:p>
        <w:p w14:paraId="69C57492" w14:textId="5B49517C"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4" w:history="1">
            <w:r w:rsidRPr="004517B8">
              <w:rPr>
                <w:rStyle w:val="Hyperlink"/>
                <w:bCs/>
                <w:color w:val="0F6FC6" w:themeColor="accent1"/>
              </w:rPr>
              <w:t>8.3.7</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Drejtësia</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_Toc229390844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76</w:t>
            </w:r>
            <w:r w:rsidRPr="004517B8">
              <w:rPr>
                <w:webHidden/>
                <w:color w:val="0F6FC6" w:themeColor="accent1"/>
              </w:rPr>
              <w:fldChar w:fldCharType="end"/>
            </w:r>
          </w:hyperlink>
        </w:p>
        <w:p w14:paraId="5715F9DA" w14:textId="11BB7D1A"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5" w:history="1">
            <w:r w:rsidRPr="004517B8">
              <w:rPr>
                <w:rStyle w:val="Hyperlink"/>
                <w:bCs/>
                <w:color w:val="0F6FC6" w:themeColor="accent1"/>
              </w:rPr>
              <w:t>8.3.8</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Financat</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_Toc229390845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77</w:t>
            </w:r>
            <w:r w:rsidRPr="004517B8">
              <w:rPr>
                <w:webHidden/>
                <w:color w:val="0F6FC6" w:themeColor="accent1"/>
              </w:rPr>
              <w:fldChar w:fldCharType="end"/>
            </w:r>
          </w:hyperlink>
        </w:p>
        <w:p w14:paraId="011F00DB" w14:textId="6443536C"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6" w:history="1">
            <w:r w:rsidRPr="004517B8">
              <w:rPr>
                <w:rStyle w:val="Hyperlink"/>
                <w:bCs/>
                <w:color w:val="0F6FC6" w:themeColor="accent1"/>
              </w:rPr>
              <w:t>8.3.9</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Mbrojtja</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_Toc229390846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79</w:t>
            </w:r>
            <w:r w:rsidRPr="004517B8">
              <w:rPr>
                <w:webHidden/>
                <w:color w:val="0F6FC6" w:themeColor="accent1"/>
              </w:rPr>
              <w:fldChar w:fldCharType="end"/>
            </w:r>
          </w:hyperlink>
        </w:p>
        <w:p w14:paraId="1D70912D" w14:textId="6582FD8E"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7" w:history="1">
            <w:r w:rsidRPr="004517B8">
              <w:rPr>
                <w:rStyle w:val="Hyperlink"/>
                <w:bCs/>
                <w:color w:val="0F6FC6" w:themeColor="accent1"/>
              </w:rPr>
              <w:t>8.3.10</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Ekonomia dhe Inovacioni</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_Toc229390847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81</w:t>
            </w:r>
            <w:r w:rsidRPr="004517B8">
              <w:rPr>
                <w:webHidden/>
                <w:color w:val="0F6FC6" w:themeColor="accent1"/>
              </w:rPr>
              <w:fldChar w:fldCharType="end"/>
            </w:r>
          </w:hyperlink>
        </w:p>
        <w:p w14:paraId="027E26FF" w14:textId="0279FB46"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8" w:history="1">
            <w:r w:rsidRPr="004517B8">
              <w:rPr>
                <w:rStyle w:val="Hyperlink"/>
                <w:bCs/>
                <w:color w:val="0F6FC6" w:themeColor="accent1"/>
              </w:rPr>
              <w:t>8.3.11</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Rendi dhe Siguria Publike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_Toc229390848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83</w:t>
            </w:r>
            <w:r w:rsidRPr="004517B8">
              <w:rPr>
                <w:webHidden/>
                <w:color w:val="0F6FC6" w:themeColor="accent1"/>
              </w:rPr>
              <w:fldChar w:fldCharType="end"/>
            </w:r>
          </w:hyperlink>
        </w:p>
        <w:p w14:paraId="3CAAB3BB" w14:textId="6648C809"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49" w:history="1">
            <w:r w:rsidRPr="004517B8">
              <w:rPr>
                <w:rStyle w:val="Hyperlink"/>
                <w:bCs/>
                <w:color w:val="0F6FC6" w:themeColor="accent1"/>
              </w:rPr>
              <w:t>8.3.12</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Politika e Jashtme</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_Toc229390849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84</w:t>
            </w:r>
            <w:r w:rsidRPr="004517B8">
              <w:rPr>
                <w:webHidden/>
                <w:color w:val="0F6FC6" w:themeColor="accent1"/>
              </w:rPr>
              <w:fldChar w:fldCharType="end"/>
            </w:r>
          </w:hyperlink>
        </w:p>
        <w:p w14:paraId="7BBDD9C6" w14:textId="27F5522C" w:rsidR="00D47A33" w:rsidRPr="004517B8" w:rsidRDefault="00D47A33">
          <w:pPr>
            <w:pStyle w:val="TOC3"/>
            <w:rPr>
              <w:rFonts w:asciiTheme="minorHAnsi" w:eastAsiaTheme="minorEastAsia" w:hAnsiTheme="minorHAnsi" w:cstheme="minorBidi"/>
              <w:b w:val="0"/>
              <w:i w:val="0"/>
              <w:color w:val="0F6FC6" w:themeColor="accent1"/>
              <w:kern w:val="2"/>
              <w:sz w:val="24"/>
              <w14:ligatures w14:val="standardContextual"/>
            </w:rPr>
          </w:pPr>
          <w:hyperlink w:anchor="_Toc229390850" w:history="1">
            <w:r w:rsidRPr="004517B8">
              <w:rPr>
                <w:rStyle w:val="Hyperlink"/>
                <w:bCs/>
                <w:color w:val="0F6FC6" w:themeColor="accent1"/>
              </w:rPr>
              <w:t>8.3.13</w:t>
            </w:r>
            <w:r w:rsidRPr="004517B8">
              <w:rPr>
                <w:rFonts w:asciiTheme="minorHAnsi" w:eastAsiaTheme="minorEastAsia" w:hAnsiTheme="minorHAnsi" w:cstheme="minorBidi"/>
                <w:b w:val="0"/>
                <w:i w:val="0"/>
                <w:color w:val="0F6FC6" w:themeColor="accent1"/>
                <w:kern w:val="2"/>
                <w:sz w:val="24"/>
                <w14:ligatures w14:val="standardContextual"/>
              </w:rPr>
              <w:tab/>
            </w:r>
            <w:r w:rsidRPr="004517B8">
              <w:rPr>
                <w:rStyle w:val="Hyperlink"/>
                <w:bCs/>
                <w:color w:val="0F6FC6" w:themeColor="accent1"/>
              </w:rPr>
              <w:t>Institucionet e Sistemit të Drejtësisë</w:t>
            </w:r>
            <w:r w:rsidRPr="004517B8">
              <w:rPr>
                <w:webHidden/>
                <w:color w:val="0F6FC6" w:themeColor="accent1"/>
              </w:rPr>
              <w:tab/>
              <w:t>………………………………………………………………………………………………………</w:t>
            </w:r>
            <w:r w:rsidRPr="004517B8">
              <w:rPr>
                <w:webHidden/>
                <w:color w:val="0F6FC6" w:themeColor="accent1"/>
              </w:rPr>
              <w:fldChar w:fldCharType="begin"/>
            </w:r>
            <w:r w:rsidRPr="004517B8">
              <w:rPr>
                <w:webHidden/>
                <w:color w:val="0F6FC6" w:themeColor="accent1"/>
              </w:rPr>
              <w:instrText xml:space="preserve"> PAGEREF _Toc229390850 \h </w:instrText>
            </w:r>
            <w:r w:rsidRPr="004517B8">
              <w:rPr>
                <w:webHidden/>
                <w:color w:val="0F6FC6" w:themeColor="accent1"/>
              </w:rPr>
            </w:r>
            <w:r w:rsidRPr="004517B8">
              <w:rPr>
                <w:webHidden/>
                <w:color w:val="0F6FC6" w:themeColor="accent1"/>
              </w:rPr>
              <w:fldChar w:fldCharType="separate"/>
            </w:r>
            <w:r w:rsidR="007E08AA">
              <w:rPr>
                <w:webHidden/>
                <w:color w:val="0F6FC6" w:themeColor="accent1"/>
              </w:rPr>
              <w:t>85</w:t>
            </w:r>
            <w:r w:rsidRPr="004517B8">
              <w:rPr>
                <w:webHidden/>
                <w:color w:val="0F6FC6" w:themeColor="accent1"/>
              </w:rPr>
              <w:fldChar w:fldCharType="end"/>
            </w:r>
          </w:hyperlink>
        </w:p>
        <w:p w14:paraId="437C2AFA" w14:textId="3D586901" w:rsidR="007F44B9" w:rsidRPr="00B644BE" w:rsidRDefault="005209FF" w:rsidP="00D47A33">
          <w:pPr>
            <w:pStyle w:val="TOC3"/>
            <w:spacing w:before="0"/>
            <w:rPr>
              <w:lang w:val="sq-AL"/>
            </w:rPr>
          </w:pPr>
          <w:r w:rsidRPr="004517B8">
            <w:rPr>
              <w:rFonts w:cstheme="majorHAnsi"/>
              <w:bCs/>
              <w:color w:val="0F6FC6" w:themeColor="accent1"/>
              <w:lang w:val="sq-AL"/>
            </w:rPr>
            <w:fldChar w:fldCharType="end"/>
          </w:r>
        </w:p>
      </w:sdtContent>
    </w:sdt>
    <w:p w14:paraId="0D899F67" w14:textId="77777777" w:rsidR="00FF2732" w:rsidRPr="00B644BE" w:rsidRDefault="00FF2732" w:rsidP="00FC729E">
      <w:pPr>
        <w:rPr>
          <w:rFonts w:cs="Calibri"/>
          <w:noProof/>
          <w:lang w:val="sq-AL"/>
        </w:rPr>
        <w:sectPr w:rsidR="00FF2732" w:rsidRPr="00B644BE" w:rsidSect="00B83536">
          <w:pgSz w:w="12240" w:h="15840"/>
          <w:pgMar w:top="1440" w:right="907" w:bottom="1440" w:left="806" w:header="720" w:footer="720" w:gutter="0"/>
          <w:cols w:space="720"/>
          <w:docGrid w:linePitch="360"/>
        </w:sectPr>
      </w:pPr>
    </w:p>
    <w:p w14:paraId="7BF8C9FA" w14:textId="0CD89F70" w:rsidR="002E50F4" w:rsidRDefault="009158B4" w:rsidP="00B930C1">
      <w:pPr>
        <w:pStyle w:val="TableofFigures"/>
        <w:tabs>
          <w:tab w:val="right" w:leader="dot" w:pos="10440"/>
        </w:tabs>
        <w:spacing w:before="0"/>
        <w:jc w:val="center"/>
        <w:rPr>
          <w:rFonts w:ascii="Calibri" w:hAnsi="Calibri" w:cs="Calibri"/>
          <w:b/>
          <w:noProof/>
          <w:color w:val="C00000"/>
          <w:sz w:val="32"/>
          <w:lang w:val="sq-AL"/>
        </w:rPr>
      </w:pPr>
      <w:r w:rsidRPr="00B644BE">
        <w:rPr>
          <w:rFonts w:ascii="Calibri" w:hAnsi="Calibri" w:cs="Calibri"/>
          <w:b/>
          <w:noProof/>
          <w:color w:val="C00000"/>
          <w:sz w:val="32"/>
          <w:lang w:val="sq-AL"/>
        </w:rPr>
        <w:lastRenderedPageBreak/>
        <w:t>TABELA DHE GRAFIK</w:t>
      </w:r>
      <w:r w:rsidR="00C33B16" w:rsidRPr="00B644BE">
        <w:rPr>
          <w:rFonts w:ascii="Calibri" w:hAnsi="Calibri" w:cs="Calibri"/>
          <w:b/>
          <w:noProof/>
          <w:color w:val="C00000"/>
          <w:sz w:val="32"/>
          <w:lang w:val="sq-AL"/>
        </w:rPr>
        <w:t>Ë</w:t>
      </w:r>
    </w:p>
    <w:p w14:paraId="39E906DC" w14:textId="77777777" w:rsidR="004517B8" w:rsidRDefault="004517B8" w:rsidP="004517B8">
      <w:pPr>
        <w:rPr>
          <w:lang w:val="sq-AL"/>
        </w:rPr>
      </w:pPr>
    </w:p>
    <w:p w14:paraId="43AE8836" w14:textId="77777777" w:rsidR="004517B8" w:rsidRPr="004517B8" w:rsidRDefault="004517B8" w:rsidP="004517B8">
      <w:pPr>
        <w:rPr>
          <w:lang w:val="sq-AL"/>
        </w:rPr>
      </w:pPr>
    </w:p>
    <w:p w14:paraId="14E66BAE" w14:textId="1EC42417" w:rsidR="00A10334" w:rsidRPr="004517B8" w:rsidRDefault="009158B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r w:rsidRPr="004517B8">
        <w:rPr>
          <w:rStyle w:val="Hyperlink"/>
          <w:rFonts w:asciiTheme="majorHAnsi" w:hAnsiTheme="majorHAnsi" w:cstheme="majorHAnsi"/>
          <w:noProof/>
          <w:color w:val="0F6FC6" w:themeColor="accent1"/>
          <w:sz w:val="20"/>
          <w:szCs w:val="20"/>
          <w:lang w:val="sq-AL"/>
        </w:rPr>
        <w:fldChar w:fldCharType="begin"/>
      </w:r>
      <w:r w:rsidRPr="004517B8">
        <w:rPr>
          <w:rStyle w:val="Hyperlink"/>
          <w:rFonts w:asciiTheme="majorHAnsi" w:hAnsiTheme="majorHAnsi" w:cstheme="majorHAnsi"/>
          <w:noProof/>
          <w:color w:val="0F6FC6" w:themeColor="accent1"/>
          <w:sz w:val="20"/>
          <w:szCs w:val="20"/>
          <w:lang w:val="sq-AL"/>
        </w:rPr>
        <w:instrText xml:space="preserve"> TOC \h \z \c "Tabela" </w:instrText>
      </w:r>
      <w:r w:rsidRPr="004517B8">
        <w:rPr>
          <w:rStyle w:val="Hyperlink"/>
          <w:rFonts w:asciiTheme="majorHAnsi" w:hAnsiTheme="majorHAnsi" w:cstheme="majorHAnsi"/>
          <w:noProof/>
          <w:color w:val="0F6FC6" w:themeColor="accent1"/>
          <w:sz w:val="20"/>
          <w:szCs w:val="20"/>
          <w:lang w:val="sq-AL"/>
        </w:rPr>
        <w:fldChar w:fldCharType="separate"/>
      </w:r>
      <w:hyperlink w:anchor="_Toc229129975" w:history="1">
        <w:r w:rsidR="00A10334" w:rsidRPr="004517B8">
          <w:rPr>
            <w:rStyle w:val="Hyperlink"/>
            <w:rFonts w:asciiTheme="majorHAnsi" w:hAnsiTheme="majorHAnsi" w:cstheme="majorHAnsi"/>
            <w:noProof/>
            <w:color w:val="0F6FC6" w:themeColor="accent1"/>
            <w:sz w:val="20"/>
            <w:szCs w:val="20"/>
            <w:lang w:val="sq-AL"/>
          </w:rPr>
          <w:t>Tabela 1 Produkti i Brendshëm Bruto</w:t>
        </w:r>
        <w:r w:rsidR="00A10334" w:rsidRPr="004517B8">
          <w:rPr>
            <w:rStyle w:val="Hyperlink"/>
            <w:rFonts w:asciiTheme="majorHAnsi" w:hAnsiTheme="majorHAnsi" w:cstheme="majorHAnsi"/>
            <w:noProof/>
            <w:webHidden/>
            <w:color w:val="0F6FC6" w:themeColor="accent1"/>
            <w:sz w:val="20"/>
            <w:szCs w:val="20"/>
            <w:lang w:val="sq-AL"/>
          </w:rPr>
          <w:tab/>
        </w:r>
        <w:r w:rsidR="00A10334" w:rsidRPr="004517B8">
          <w:rPr>
            <w:rStyle w:val="Hyperlink"/>
            <w:rFonts w:asciiTheme="majorHAnsi" w:hAnsiTheme="majorHAnsi" w:cstheme="majorHAnsi"/>
            <w:noProof/>
            <w:webHidden/>
            <w:color w:val="0F6FC6" w:themeColor="accent1"/>
            <w:sz w:val="20"/>
            <w:szCs w:val="20"/>
            <w:lang w:val="sq-AL"/>
          </w:rPr>
          <w:fldChar w:fldCharType="begin"/>
        </w:r>
        <w:r w:rsidR="00A10334" w:rsidRPr="004517B8">
          <w:rPr>
            <w:rStyle w:val="Hyperlink"/>
            <w:rFonts w:asciiTheme="majorHAnsi" w:hAnsiTheme="majorHAnsi" w:cstheme="majorHAnsi"/>
            <w:noProof/>
            <w:webHidden/>
            <w:color w:val="0F6FC6" w:themeColor="accent1"/>
            <w:sz w:val="20"/>
            <w:szCs w:val="20"/>
            <w:lang w:val="sq-AL"/>
          </w:rPr>
          <w:instrText xml:space="preserve"> PAGEREF _Toc229129975 \h </w:instrText>
        </w:r>
        <w:r w:rsidR="00A10334" w:rsidRPr="004517B8">
          <w:rPr>
            <w:rStyle w:val="Hyperlink"/>
            <w:rFonts w:asciiTheme="majorHAnsi" w:hAnsiTheme="majorHAnsi" w:cstheme="majorHAnsi"/>
            <w:noProof/>
            <w:webHidden/>
            <w:color w:val="0F6FC6" w:themeColor="accent1"/>
            <w:sz w:val="20"/>
            <w:szCs w:val="20"/>
            <w:lang w:val="sq-AL"/>
          </w:rPr>
        </w:r>
        <w:r w:rsidR="00A10334"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10</w:t>
        </w:r>
        <w:r w:rsidR="00A10334" w:rsidRPr="004517B8">
          <w:rPr>
            <w:rStyle w:val="Hyperlink"/>
            <w:rFonts w:asciiTheme="majorHAnsi" w:hAnsiTheme="majorHAnsi" w:cstheme="majorHAnsi"/>
            <w:noProof/>
            <w:webHidden/>
            <w:color w:val="0F6FC6" w:themeColor="accent1"/>
            <w:sz w:val="20"/>
            <w:szCs w:val="20"/>
            <w:lang w:val="sq-AL"/>
          </w:rPr>
          <w:fldChar w:fldCharType="end"/>
        </w:r>
      </w:hyperlink>
    </w:p>
    <w:p w14:paraId="66BDB4AC" w14:textId="16F75AA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76" w:history="1">
        <w:r w:rsidRPr="004517B8">
          <w:rPr>
            <w:rStyle w:val="Hyperlink"/>
            <w:rFonts w:asciiTheme="majorHAnsi" w:hAnsiTheme="majorHAnsi" w:cstheme="majorHAnsi"/>
            <w:noProof/>
            <w:color w:val="0F6FC6" w:themeColor="accent1"/>
            <w:sz w:val="20"/>
            <w:szCs w:val="20"/>
            <w:lang w:val="sq-AL"/>
          </w:rPr>
          <w:t>Tabela 2 Norma e papunësisë</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_Toc229129976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6C908BF" w14:textId="48EA47B4"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77" w:history="1">
        <w:r w:rsidRPr="004517B8">
          <w:rPr>
            <w:rStyle w:val="Hyperlink"/>
            <w:rFonts w:asciiTheme="majorHAnsi" w:hAnsiTheme="majorHAnsi" w:cstheme="majorHAnsi"/>
            <w:noProof/>
            <w:color w:val="0F6FC6" w:themeColor="accent1"/>
            <w:sz w:val="20"/>
            <w:szCs w:val="20"/>
            <w:lang w:val="sq-AL"/>
          </w:rPr>
          <w:t>Tabela 3 Bilanci tregtar</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_Toc229129977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9614E32" w14:textId="61A08163"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78" w:history="1">
        <w:r w:rsidRPr="004517B8">
          <w:rPr>
            <w:rStyle w:val="Hyperlink"/>
            <w:rFonts w:asciiTheme="majorHAnsi" w:hAnsiTheme="majorHAnsi" w:cstheme="majorHAnsi"/>
            <w:noProof/>
            <w:color w:val="0F6FC6" w:themeColor="accent1"/>
            <w:sz w:val="20"/>
            <w:szCs w:val="20"/>
            <w:lang w:val="sq-AL"/>
          </w:rPr>
          <w:t>Tabela 4 Norma e inflacionit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_Toc229129978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501A097" w14:textId="54A49102"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79" w:history="1">
        <w:r w:rsidRPr="004517B8">
          <w:rPr>
            <w:rStyle w:val="Hyperlink"/>
            <w:rFonts w:asciiTheme="majorHAnsi" w:hAnsiTheme="majorHAnsi" w:cstheme="majorHAnsi"/>
            <w:noProof/>
            <w:color w:val="0F6FC6" w:themeColor="accent1"/>
            <w:sz w:val="20"/>
            <w:szCs w:val="20"/>
            <w:lang w:val="sq-AL"/>
          </w:rPr>
          <w:t>Tabela 5 Bilanci fiskal</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_Toc229129979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A7AA530" w14:textId="29246D87"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0" w:history="1">
        <w:r w:rsidRPr="004517B8">
          <w:rPr>
            <w:rStyle w:val="Hyperlink"/>
            <w:rFonts w:asciiTheme="majorHAnsi" w:hAnsiTheme="majorHAnsi" w:cstheme="majorHAnsi"/>
            <w:noProof/>
            <w:color w:val="0F6FC6" w:themeColor="accent1"/>
            <w:sz w:val="20"/>
            <w:szCs w:val="20"/>
            <w:lang w:val="sq-AL"/>
          </w:rPr>
          <w:t>Tabela 6 Borxhi publik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E1FDE3C" w14:textId="31E1CF2C"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1" w:history="1">
        <w:r w:rsidRPr="004517B8">
          <w:rPr>
            <w:rStyle w:val="Hyperlink"/>
            <w:rFonts w:asciiTheme="majorHAnsi" w:hAnsiTheme="majorHAnsi" w:cstheme="majorHAnsi"/>
            <w:noProof/>
            <w:color w:val="0F6FC6" w:themeColor="accent1"/>
            <w:sz w:val="20"/>
            <w:szCs w:val="20"/>
            <w:lang w:val="sq-AL"/>
          </w:rPr>
          <w:t>Tabela 7 Treguesit e të ardhurave kryesore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79D5553" w14:textId="0BB239D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2" w:history="1">
        <w:r w:rsidRPr="004517B8">
          <w:rPr>
            <w:rStyle w:val="Hyperlink"/>
            <w:rFonts w:asciiTheme="majorHAnsi" w:hAnsiTheme="majorHAnsi" w:cstheme="majorHAnsi"/>
            <w:noProof/>
            <w:color w:val="0F6FC6" w:themeColor="accent1"/>
            <w:sz w:val="20"/>
            <w:szCs w:val="20"/>
            <w:lang w:val="sq-AL"/>
          </w:rPr>
          <w:t>Tabela 8 Të ardhurat nga Adiministrata Tatimore dhe Administrata Doganat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9DF2D76" w14:textId="02C3A4B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3" w:history="1">
        <w:r w:rsidRPr="004517B8">
          <w:rPr>
            <w:rStyle w:val="Hyperlink"/>
            <w:rFonts w:asciiTheme="majorHAnsi" w:hAnsiTheme="majorHAnsi" w:cstheme="majorHAnsi"/>
            <w:noProof/>
            <w:color w:val="0F6FC6" w:themeColor="accent1"/>
            <w:sz w:val="20"/>
            <w:szCs w:val="20"/>
            <w:lang w:val="sq-AL"/>
          </w:rPr>
          <w:t>Tabela 9 Të ardhurat progresive Administrata Doganore Janar – Dhjetor 2025</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1DFFFAF" w14:textId="0F29CA7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4" w:history="1">
        <w:r w:rsidRPr="004517B8">
          <w:rPr>
            <w:rStyle w:val="Hyperlink"/>
            <w:rFonts w:asciiTheme="majorHAnsi" w:hAnsiTheme="majorHAnsi" w:cstheme="majorHAnsi"/>
            <w:noProof/>
            <w:color w:val="0F6FC6" w:themeColor="accent1"/>
            <w:sz w:val="20"/>
            <w:szCs w:val="20"/>
            <w:lang w:val="sq-AL"/>
          </w:rPr>
          <w:t>Tabela 10 Kursi i këmbimit të lekut me euron dhe dollarin</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9607AC6" w14:textId="37019DC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5" w:history="1">
        <w:r w:rsidRPr="004517B8">
          <w:rPr>
            <w:rStyle w:val="Hyperlink"/>
            <w:rFonts w:asciiTheme="majorHAnsi" w:hAnsiTheme="majorHAnsi" w:cstheme="majorHAnsi"/>
            <w:noProof/>
            <w:color w:val="0F6FC6" w:themeColor="accent1"/>
            <w:sz w:val="20"/>
            <w:szCs w:val="20"/>
            <w:lang w:val="sq-AL"/>
          </w:rPr>
          <w:t>Tabela 11 Sasitë e karburantit dhe cigareve, të hedhura për konsum, 2025/2024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552B920" w14:textId="51D92A7B"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6" w:history="1">
        <w:r w:rsidRPr="004517B8">
          <w:rPr>
            <w:rStyle w:val="Hyperlink"/>
            <w:rFonts w:asciiTheme="majorHAnsi" w:hAnsiTheme="majorHAnsi" w:cstheme="majorHAnsi"/>
            <w:noProof/>
            <w:color w:val="0F6FC6" w:themeColor="accent1"/>
            <w:sz w:val="20"/>
            <w:szCs w:val="20"/>
            <w:lang w:val="sq-AL"/>
          </w:rPr>
          <w:t>Tabela 12 Të ardhurat në akcizë nga mallrat kryesore të për vitin 2024/2025 sipas 60 grup produkteve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194DE20" w14:textId="2DB64E1C"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7" w:history="1">
        <w:r w:rsidRPr="004517B8">
          <w:rPr>
            <w:rStyle w:val="Hyperlink"/>
            <w:rFonts w:asciiTheme="majorHAnsi" w:hAnsiTheme="majorHAnsi" w:cstheme="majorHAnsi"/>
            <w:noProof/>
            <w:color w:val="0F6FC6" w:themeColor="accent1"/>
            <w:sz w:val="20"/>
            <w:szCs w:val="20"/>
            <w:lang w:val="sq-AL"/>
          </w:rPr>
          <w:t>Tabela 13 Të ardhurat progresive Administrata Tatimore Janar – Dhjetor 2025</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25</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71A568E" w14:textId="3DE2C821"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8" w:history="1">
        <w:r w:rsidRPr="004517B8">
          <w:rPr>
            <w:rStyle w:val="Hyperlink"/>
            <w:rFonts w:asciiTheme="majorHAnsi" w:hAnsiTheme="majorHAnsi" w:cstheme="majorHAnsi"/>
            <w:noProof/>
            <w:color w:val="0F6FC6" w:themeColor="accent1"/>
            <w:sz w:val="20"/>
            <w:szCs w:val="20"/>
            <w:lang w:val="sq-AL"/>
          </w:rPr>
          <w:t>Tabela 14 Shpenzimet sipas funksionit, me dhe pa shpërndarjen e të pa klasifikuarave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87752C3" w14:textId="18D7D0F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89" w:history="1">
        <w:r w:rsidRPr="004517B8">
          <w:rPr>
            <w:rStyle w:val="Hyperlink"/>
            <w:rFonts w:asciiTheme="majorHAnsi" w:hAnsiTheme="majorHAnsi" w:cstheme="majorHAnsi"/>
            <w:noProof/>
            <w:color w:val="0F6FC6" w:themeColor="accent1"/>
            <w:sz w:val="20"/>
            <w:szCs w:val="20"/>
            <w:lang w:val="sq-AL"/>
          </w:rPr>
          <w:t>Tabela 15 Rishpërndarje fondesh buxhetore me VKM (në 000/LEK)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_Toc229129989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4AEE020" w14:textId="4A822B0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0" w:history="1">
        <w:r w:rsidRPr="004517B8">
          <w:rPr>
            <w:rStyle w:val="Hyperlink"/>
            <w:rFonts w:asciiTheme="majorHAnsi" w:hAnsiTheme="majorHAnsi" w:cstheme="majorHAnsi"/>
            <w:noProof/>
            <w:color w:val="0F6FC6" w:themeColor="accent1"/>
            <w:sz w:val="20"/>
            <w:szCs w:val="20"/>
            <w:lang w:val="sq-AL"/>
          </w:rPr>
          <w:t>Tabela 16 Të ardhurat dhe shpenzimet e pushtetit vendor, sipas natyrës</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3D90AEF" w14:textId="08AE332A"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1" w:history="1">
        <w:r w:rsidRPr="004517B8">
          <w:rPr>
            <w:rStyle w:val="Hyperlink"/>
            <w:rFonts w:asciiTheme="majorHAnsi" w:hAnsiTheme="majorHAnsi" w:cstheme="majorHAnsi"/>
            <w:noProof/>
            <w:color w:val="0F6FC6" w:themeColor="accent1"/>
            <w:sz w:val="20"/>
            <w:szCs w:val="20"/>
            <w:lang w:val="sq-AL"/>
          </w:rPr>
          <w:t>Tabela 17 Matrica e riskut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8854E76" w14:textId="0FAFA9A4"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2" w:history="1">
        <w:r w:rsidRPr="004517B8">
          <w:rPr>
            <w:rStyle w:val="Hyperlink"/>
            <w:rFonts w:asciiTheme="majorHAnsi" w:hAnsiTheme="majorHAnsi" w:cstheme="majorHAnsi"/>
            <w:noProof/>
            <w:color w:val="0F6FC6" w:themeColor="accent1"/>
            <w:sz w:val="20"/>
            <w:szCs w:val="20"/>
            <w:lang w:val="sq-AL"/>
          </w:rPr>
          <w:t>Tabela 18 Të dhënat mbi impaktin e sektorit të energjisë në financat publike sipas periudhave përkatëse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D1FE454" w14:textId="249BCD84"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3" w:history="1">
        <w:r w:rsidRPr="004517B8">
          <w:rPr>
            <w:rStyle w:val="Hyperlink"/>
            <w:rFonts w:asciiTheme="majorHAnsi" w:hAnsiTheme="majorHAnsi" w:cstheme="majorHAnsi"/>
            <w:noProof/>
            <w:color w:val="0F6FC6" w:themeColor="accent1"/>
            <w:sz w:val="20"/>
            <w:szCs w:val="20"/>
            <w:lang w:val="sq-AL"/>
          </w:rPr>
          <w:t>Tabela 19 Detyrimet e ndërsjella midis ndërmarjeve të sektorit energjitik, ML/IB, MF dhe DPT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B872DBB" w14:textId="1107CC8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4" w:history="1">
        <w:r w:rsidRPr="004517B8">
          <w:rPr>
            <w:rStyle w:val="Hyperlink"/>
            <w:rFonts w:asciiTheme="majorHAnsi" w:hAnsiTheme="majorHAnsi" w:cstheme="majorHAnsi"/>
            <w:noProof/>
            <w:color w:val="0F6FC6" w:themeColor="accent1"/>
            <w:sz w:val="20"/>
            <w:szCs w:val="20"/>
            <w:lang w:val="sq-AL"/>
          </w:rPr>
          <w:t>Tabela 20 Të dhënat financiare për Sektorin Energjitik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BF20FC9" w14:textId="2AEE1E40"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5" w:history="1">
        <w:r w:rsidRPr="004517B8">
          <w:rPr>
            <w:rStyle w:val="Hyperlink"/>
            <w:rFonts w:asciiTheme="majorHAnsi" w:hAnsiTheme="majorHAnsi" w:cstheme="majorHAnsi"/>
            <w:noProof/>
            <w:color w:val="0F6FC6" w:themeColor="accent1"/>
            <w:sz w:val="20"/>
            <w:szCs w:val="20"/>
            <w:lang w:val="sq-AL"/>
          </w:rPr>
          <w:t>Tabela 21 Të dhënat financiare 12 mujore për OSHEE Group Sh.a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0547C57" w14:textId="6CCBB18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6" w:history="1">
        <w:r w:rsidRPr="004517B8">
          <w:rPr>
            <w:rStyle w:val="Hyperlink"/>
            <w:rFonts w:asciiTheme="majorHAnsi" w:hAnsiTheme="majorHAnsi" w:cstheme="majorHAnsi"/>
            <w:noProof/>
            <w:color w:val="0F6FC6" w:themeColor="accent1"/>
            <w:sz w:val="20"/>
            <w:szCs w:val="20"/>
            <w:lang w:val="sq-AL"/>
          </w:rPr>
          <w:t>Tabela 22 Të dhënat financiare 12 mujore për KESH sh.a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4330C24" w14:textId="719FDBBD"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7" w:history="1">
        <w:r w:rsidRPr="004517B8">
          <w:rPr>
            <w:rStyle w:val="Hyperlink"/>
            <w:rFonts w:asciiTheme="majorHAnsi" w:hAnsiTheme="majorHAnsi" w:cstheme="majorHAnsi"/>
            <w:noProof/>
            <w:color w:val="0F6FC6" w:themeColor="accent1"/>
            <w:sz w:val="20"/>
            <w:szCs w:val="20"/>
            <w:lang w:val="sq-AL"/>
          </w:rPr>
          <w:t>Tabela 23 Të dhënat financiare 12 mujore për OST Sh.a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565A8B4" w14:textId="34979D0C"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8" w:history="1">
        <w:r w:rsidRPr="004517B8">
          <w:rPr>
            <w:rStyle w:val="Hyperlink"/>
            <w:rFonts w:asciiTheme="majorHAnsi" w:hAnsiTheme="majorHAnsi" w:cstheme="majorHAnsi"/>
            <w:noProof/>
            <w:color w:val="0F6FC6" w:themeColor="accent1"/>
            <w:sz w:val="20"/>
            <w:szCs w:val="20"/>
            <w:lang w:val="sq-AL"/>
          </w:rPr>
          <w:t>Tabela 24 Stoku i detyrimeve të prapambetura e Sektorit Ujësjellës-Kanalizime ndaj OSHEE Group Sh.a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805E353" w14:textId="456D20E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29999" w:history="1">
        <w:r w:rsidRPr="004517B8">
          <w:rPr>
            <w:rStyle w:val="Hyperlink"/>
            <w:rFonts w:asciiTheme="majorHAnsi" w:hAnsiTheme="majorHAnsi" w:cstheme="majorHAnsi"/>
            <w:noProof/>
            <w:color w:val="0F6FC6" w:themeColor="accent1"/>
            <w:sz w:val="20"/>
            <w:szCs w:val="20"/>
            <w:lang w:val="sq-AL"/>
          </w:rPr>
          <w:t>Tabela 25 Detyrimet e prapambetura në nivel vendor sipas kategorive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_Toc229129999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4EEAA23" w14:textId="42DBEF1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0" w:history="1">
        <w:r w:rsidRPr="004517B8">
          <w:rPr>
            <w:rStyle w:val="Hyperlink"/>
            <w:rFonts w:asciiTheme="majorHAnsi" w:hAnsiTheme="majorHAnsi" w:cstheme="majorHAnsi"/>
            <w:noProof/>
            <w:color w:val="0F6FC6" w:themeColor="accent1"/>
            <w:sz w:val="20"/>
            <w:szCs w:val="20"/>
            <w:lang w:val="sq-AL"/>
          </w:rPr>
          <w:t>Tabela 26  Koncesionet/PPP-të aktive me mbështetje nga buxheti i shtetit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55</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301E964" w14:textId="55AF590D"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1" w:history="1">
        <w:r w:rsidRPr="004517B8">
          <w:rPr>
            <w:rStyle w:val="Hyperlink"/>
            <w:rFonts w:asciiTheme="majorHAnsi" w:hAnsiTheme="majorHAnsi" w:cstheme="majorHAnsi"/>
            <w:noProof/>
            <w:color w:val="0F6FC6" w:themeColor="accent1"/>
            <w:sz w:val="20"/>
            <w:szCs w:val="20"/>
            <w:lang w:val="sq-AL"/>
          </w:rPr>
          <w:t>Tabela 27 Detyrimet faktike dhe kontigjente nga vendimet e GJEDNJ (në EUR)</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B6371A6" w14:textId="74B3FBB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2" w:history="1">
        <w:r w:rsidRPr="004517B8">
          <w:rPr>
            <w:rStyle w:val="Hyperlink"/>
            <w:rFonts w:asciiTheme="majorHAnsi" w:hAnsiTheme="majorHAnsi" w:cstheme="majorHAnsi"/>
            <w:noProof/>
            <w:color w:val="0F6FC6" w:themeColor="accent1"/>
            <w:sz w:val="20"/>
            <w:szCs w:val="20"/>
            <w:lang w:val="sq-AL"/>
          </w:rPr>
          <w:t>Tabela 28 Detyrime për vendimet e Arbitrazhit Ndërkombëtar (në EUR)</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10BE2B7" w14:textId="6045D6E1"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3" w:history="1">
        <w:r w:rsidRPr="004517B8">
          <w:rPr>
            <w:rStyle w:val="Hyperlink"/>
            <w:rFonts w:asciiTheme="majorHAnsi" w:hAnsiTheme="majorHAnsi" w:cstheme="majorHAnsi"/>
            <w:noProof/>
            <w:color w:val="0F6FC6" w:themeColor="accent1"/>
            <w:sz w:val="20"/>
            <w:szCs w:val="20"/>
            <w:lang w:val="sq-AL"/>
          </w:rPr>
          <w:t>Tabela 29 Treguesit kryesorë të performancës 2024, sipas ministrive të linjës</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63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0057899" w14:textId="4ED01B43"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4" w:history="1">
        <w:r w:rsidRPr="004517B8">
          <w:rPr>
            <w:rStyle w:val="Hyperlink"/>
            <w:rFonts w:asciiTheme="majorHAnsi" w:hAnsiTheme="majorHAnsi" w:cstheme="majorHAnsi"/>
            <w:noProof/>
            <w:color w:val="0F6FC6" w:themeColor="accent1"/>
            <w:sz w:val="20"/>
            <w:szCs w:val="20"/>
            <w:lang w:val="sq-AL"/>
          </w:rPr>
          <w:t>Tabela 30 Realizimi i buxhetit 2025 për ministritë dhe institucionet qendrore (në 000/LEK)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64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CF05190" w14:textId="63772B7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5" w:history="1">
        <w:r w:rsidRPr="004517B8">
          <w:rPr>
            <w:rStyle w:val="Hyperlink"/>
            <w:rFonts w:asciiTheme="majorHAnsi" w:hAnsiTheme="majorHAnsi" w:cstheme="majorHAnsi"/>
            <w:noProof/>
            <w:color w:val="0F6FC6" w:themeColor="accent1"/>
            <w:sz w:val="20"/>
            <w:szCs w:val="20"/>
            <w:lang w:val="sq-AL"/>
          </w:rPr>
          <w:t>Tabela 31 Realizimi i buxhetit 2025 për Ministrinë e Shëndetësisë dhe Mirëqenies Sociale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65</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A75BBD4" w14:textId="4B25574C"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6" w:history="1">
        <w:r w:rsidRPr="004517B8">
          <w:rPr>
            <w:rStyle w:val="Hyperlink"/>
            <w:rFonts w:asciiTheme="majorHAnsi" w:hAnsiTheme="majorHAnsi" w:cstheme="majorHAnsi"/>
            <w:noProof/>
            <w:color w:val="0F6FC6" w:themeColor="accent1"/>
            <w:sz w:val="20"/>
            <w:szCs w:val="20"/>
            <w:lang w:val="sq-AL"/>
          </w:rPr>
          <w:t>Tabela 32 Realizimi i buxhetit 2025 për Ministrinë e Arsimit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67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1B3AEE7" w14:textId="22DF1ED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7" w:history="1">
        <w:r w:rsidRPr="004517B8">
          <w:rPr>
            <w:rStyle w:val="Hyperlink"/>
            <w:rFonts w:asciiTheme="majorHAnsi" w:hAnsiTheme="majorHAnsi" w:cstheme="majorHAnsi"/>
            <w:noProof/>
            <w:color w:val="0F6FC6" w:themeColor="accent1"/>
            <w:sz w:val="20"/>
            <w:szCs w:val="20"/>
            <w:lang w:val="sq-AL"/>
          </w:rPr>
          <w:t>Tabela 33 Realizimi i buxhetit 2025 për Ministrinë e Bujqësisë dhe Zhvillimit Rural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68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5498333" w14:textId="02BF6F8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8" w:history="1">
        <w:r w:rsidRPr="004517B8">
          <w:rPr>
            <w:rStyle w:val="Hyperlink"/>
            <w:rFonts w:asciiTheme="majorHAnsi" w:hAnsiTheme="majorHAnsi" w:cstheme="majorHAnsi"/>
            <w:noProof/>
            <w:color w:val="0F6FC6" w:themeColor="accent1"/>
            <w:sz w:val="20"/>
            <w:szCs w:val="20"/>
            <w:lang w:val="sq-AL"/>
          </w:rPr>
          <w:t>Tabela 34 Realizimi i buxhetit 2025 për Ministrinë e Infrastrukturës dhe Energjisë (në mijë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03B069B" w14:textId="44998FD1"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09" w:history="1">
        <w:r w:rsidRPr="004517B8">
          <w:rPr>
            <w:rStyle w:val="Hyperlink"/>
            <w:rFonts w:asciiTheme="majorHAnsi" w:hAnsiTheme="majorHAnsi" w:cstheme="majorHAnsi"/>
            <w:noProof/>
            <w:color w:val="0F6FC6" w:themeColor="accent1"/>
            <w:sz w:val="20"/>
            <w:szCs w:val="20"/>
            <w:lang w:val="sq-AL"/>
          </w:rPr>
          <w:t>Tabela 35 Realizimi i buxhetit 2025 për Ministrinë e Turizmit, Kulturës dhe Sportit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_Toc229130009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379424C" w14:textId="422B025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0" w:history="1">
        <w:r w:rsidRPr="004517B8">
          <w:rPr>
            <w:rStyle w:val="Hyperlink"/>
            <w:rFonts w:asciiTheme="majorHAnsi" w:hAnsiTheme="majorHAnsi" w:cstheme="majorHAnsi"/>
            <w:noProof/>
            <w:color w:val="0F6FC6" w:themeColor="accent1"/>
            <w:sz w:val="20"/>
            <w:szCs w:val="20"/>
            <w:lang w:val="sq-AL"/>
          </w:rPr>
          <w:t>Tabela 36 Realizimi i buxhetit 2025 për Ministrinë e Mjedisit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DF13D37" w14:textId="46EF907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1" w:history="1">
        <w:r w:rsidRPr="004517B8">
          <w:rPr>
            <w:rStyle w:val="Hyperlink"/>
            <w:rFonts w:asciiTheme="majorHAnsi" w:hAnsiTheme="majorHAnsi" w:cstheme="majorHAnsi"/>
            <w:noProof/>
            <w:color w:val="0F6FC6" w:themeColor="accent1"/>
            <w:sz w:val="20"/>
            <w:szCs w:val="20"/>
            <w:lang w:val="sq-AL"/>
          </w:rPr>
          <w:t>Tabela 37 Realizimi i buxhetit 2025  për Ministrinë e Drejtësisë</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AC65E7D" w14:textId="27793B32"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2" w:history="1">
        <w:r w:rsidRPr="004517B8">
          <w:rPr>
            <w:rStyle w:val="Hyperlink"/>
            <w:rFonts w:asciiTheme="majorHAnsi" w:hAnsiTheme="majorHAnsi" w:cstheme="majorHAnsi"/>
            <w:noProof/>
            <w:color w:val="0F6FC6" w:themeColor="accent1"/>
            <w:sz w:val="20"/>
            <w:szCs w:val="20"/>
            <w:lang w:val="sq-AL"/>
          </w:rPr>
          <w:t>Tabela 38 Realizimi i buxhetit 2025 për Institucionet e Drejtësisë</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85</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723D6D4" w14:textId="3060078B"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3" w:history="1">
        <w:r w:rsidRPr="004517B8">
          <w:rPr>
            <w:rStyle w:val="Hyperlink"/>
            <w:rFonts w:asciiTheme="majorHAnsi" w:hAnsiTheme="majorHAnsi" w:cstheme="majorHAnsi"/>
            <w:noProof/>
            <w:color w:val="0F6FC6" w:themeColor="accent1"/>
            <w:sz w:val="20"/>
            <w:szCs w:val="20"/>
            <w:lang w:val="sq-AL"/>
          </w:rPr>
          <w:t>Tabela 39 Realizimi i buxhetit 2025 për Ministrinë e Financave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4F52855" w14:textId="0211EC8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4" w:history="1">
        <w:r w:rsidRPr="004517B8">
          <w:rPr>
            <w:rStyle w:val="Hyperlink"/>
            <w:rFonts w:asciiTheme="majorHAnsi" w:hAnsiTheme="majorHAnsi" w:cstheme="majorHAnsi"/>
            <w:noProof/>
            <w:color w:val="0F6FC6" w:themeColor="accent1"/>
            <w:sz w:val="20"/>
            <w:szCs w:val="20"/>
            <w:lang w:val="sq-AL"/>
          </w:rPr>
          <w:t>Tabela 40 Realizimi i buxhetit 2025 për Ministrinë e Mbrojtjes</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C1909E3" w14:textId="1DDDCEF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5" w:history="1">
        <w:r w:rsidRPr="004517B8">
          <w:rPr>
            <w:rStyle w:val="Hyperlink"/>
            <w:rFonts w:asciiTheme="majorHAnsi" w:hAnsiTheme="majorHAnsi" w:cstheme="majorHAnsi"/>
            <w:noProof/>
            <w:color w:val="0F6FC6" w:themeColor="accent1"/>
            <w:sz w:val="20"/>
            <w:szCs w:val="20"/>
            <w:lang w:val="sq-AL"/>
          </w:rPr>
          <w:t>Tabela 41 Realizimi i buxhetit 2025 për Ministrinë e Ekonomisë, Kulturës dhe Inovacionit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81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79D2E77" w14:textId="6539560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6" w:history="1">
        <w:r w:rsidRPr="004517B8">
          <w:rPr>
            <w:rStyle w:val="Hyperlink"/>
            <w:rFonts w:asciiTheme="majorHAnsi" w:hAnsiTheme="majorHAnsi" w:cstheme="majorHAnsi"/>
            <w:noProof/>
            <w:color w:val="0F6FC6" w:themeColor="accent1"/>
            <w:sz w:val="20"/>
            <w:szCs w:val="20"/>
            <w:lang w:val="sq-AL"/>
          </w:rPr>
          <w:t>Tabela 42 Realizimi i buxhetit 2025 për Ministrinë e Brendshme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83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40C85BD" w14:textId="7B7EC96B"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7" w:history="1">
        <w:r w:rsidRPr="004517B8">
          <w:rPr>
            <w:rStyle w:val="Hyperlink"/>
            <w:rFonts w:asciiTheme="majorHAnsi" w:hAnsiTheme="majorHAnsi" w:cstheme="majorHAnsi"/>
            <w:noProof/>
            <w:color w:val="0F6FC6" w:themeColor="accent1"/>
            <w:sz w:val="20"/>
            <w:szCs w:val="20"/>
            <w:lang w:val="sq-AL"/>
          </w:rPr>
          <w:t>Tabela 43 Realizimi i buxhetit 2025 për Ministrinë për Evropën dhe Punët e Jashtme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84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74CE975" w14:textId="4F737CE6" w:rsidR="009158B4" w:rsidRDefault="009158B4" w:rsidP="00B14F86">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r w:rsidRPr="004517B8">
        <w:rPr>
          <w:rStyle w:val="Hyperlink"/>
          <w:rFonts w:asciiTheme="majorHAnsi" w:hAnsiTheme="majorHAnsi" w:cstheme="majorHAnsi"/>
          <w:noProof/>
          <w:color w:val="0F6FC6" w:themeColor="accent1"/>
          <w:sz w:val="20"/>
          <w:szCs w:val="20"/>
          <w:lang w:val="sq-AL"/>
        </w:rPr>
        <w:fldChar w:fldCharType="end"/>
      </w:r>
    </w:p>
    <w:p w14:paraId="59F5A1CD" w14:textId="77777777" w:rsidR="004517B8" w:rsidRDefault="004517B8" w:rsidP="004517B8">
      <w:pPr>
        <w:rPr>
          <w:lang w:val="sq-AL"/>
        </w:rPr>
      </w:pPr>
    </w:p>
    <w:p w14:paraId="56A839D1" w14:textId="799541F8" w:rsidR="00A10334" w:rsidRPr="004517B8" w:rsidRDefault="009158B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r w:rsidRPr="004517B8">
        <w:rPr>
          <w:rStyle w:val="Hyperlink"/>
          <w:rFonts w:asciiTheme="majorHAnsi" w:hAnsiTheme="majorHAnsi" w:cstheme="majorHAnsi"/>
          <w:noProof/>
          <w:color w:val="0F6FC6" w:themeColor="accent1"/>
          <w:sz w:val="20"/>
          <w:szCs w:val="20"/>
          <w:lang w:val="sq-AL"/>
        </w:rPr>
        <w:lastRenderedPageBreak/>
        <w:fldChar w:fldCharType="begin"/>
      </w:r>
      <w:r w:rsidRPr="004517B8">
        <w:rPr>
          <w:rStyle w:val="Hyperlink"/>
          <w:rFonts w:asciiTheme="majorHAnsi" w:hAnsiTheme="majorHAnsi" w:cstheme="majorHAnsi"/>
          <w:noProof/>
          <w:color w:val="0F6FC6" w:themeColor="accent1"/>
          <w:sz w:val="20"/>
          <w:szCs w:val="20"/>
          <w:lang w:val="sq-AL"/>
        </w:rPr>
        <w:instrText xml:space="preserve"> TOC \h \z \c "Grafiku" </w:instrText>
      </w:r>
      <w:r w:rsidRPr="004517B8">
        <w:rPr>
          <w:rStyle w:val="Hyperlink"/>
          <w:rFonts w:asciiTheme="majorHAnsi" w:hAnsiTheme="majorHAnsi" w:cstheme="majorHAnsi"/>
          <w:noProof/>
          <w:color w:val="0F6FC6" w:themeColor="accent1"/>
          <w:sz w:val="20"/>
          <w:szCs w:val="20"/>
          <w:lang w:val="sq-AL"/>
        </w:rPr>
        <w:fldChar w:fldCharType="separate"/>
      </w:r>
      <w:hyperlink w:anchor="_Toc229130018" w:history="1">
        <w:r w:rsidR="00A10334" w:rsidRPr="004517B8">
          <w:rPr>
            <w:rStyle w:val="Hyperlink"/>
            <w:rFonts w:asciiTheme="majorHAnsi" w:hAnsiTheme="majorHAnsi" w:cstheme="majorHAnsi"/>
            <w:noProof/>
            <w:color w:val="0F6FC6" w:themeColor="accent1"/>
            <w:sz w:val="20"/>
            <w:szCs w:val="20"/>
            <w:lang w:val="sq-AL"/>
          </w:rPr>
          <w:t>Grafiku 1 Shpenzimet e përgjithshme publike dhe të ardhurat totale ndaj PBB-së (në miliardë LEK)</w:t>
        </w:r>
        <w:r w:rsidR="00A10334" w:rsidRPr="004517B8">
          <w:rPr>
            <w:rStyle w:val="Hyperlink"/>
            <w:rFonts w:asciiTheme="majorHAnsi" w:hAnsiTheme="majorHAnsi" w:cstheme="majorHAnsi"/>
            <w:noProof/>
            <w:webHidden/>
            <w:color w:val="0F6FC6" w:themeColor="accent1"/>
            <w:sz w:val="20"/>
            <w:szCs w:val="20"/>
            <w:lang w:val="sq-AL"/>
          </w:rPr>
          <w:tab/>
        </w:r>
        <w:r w:rsidR="00A10334" w:rsidRPr="004517B8">
          <w:rPr>
            <w:rStyle w:val="Hyperlink"/>
            <w:rFonts w:asciiTheme="majorHAnsi" w:hAnsiTheme="majorHAnsi" w:cstheme="majorHAnsi"/>
            <w:noProof/>
            <w:webHidden/>
            <w:color w:val="0F6FC6" w:themeColor="accent1"/>
            <w:sz w:val="20"/>
            <w:szCs w:val="20"/>
            <w:lang w:val="sq-AL"/>
          </w:rPr>
          <w:fldChar w:fldCharType="begin"/>
        </w:r>
        <w:r w:rsidR="00A10334" w:rsidRPr="004517B8">
          <w:rPr>
            <w:rStyle w:val="Hyperlink"/>
            <w:rFonts w:asciiTheme="majorHAnsi" w:hAnsiTheme="majorHAnsi" w:cstheme="majorHAnsi"/>
            <w:noProof/>
            <w:webHidden/>
            <w:color w:val="0F6FC6" w:themeColor="accent1"/>
            <w:sz w:val="20"/>
            <w:szCs w:val="20"/>
            <w:lang w:val="sq-AL"/>
          </w:rPr>
          <w:instrText xml:space="preserve"> PAGEREF _Toc229130018 \h </w:instrText>
        </w:r>
        <w:r w:rsidR="00A10334" w:rsidRPr="004517B8">
          <w:rPr>
            <w:rStyle w:val="Hyperlink"/>
            <w:rFonts w:asciiTheme="majorHAnsi" w:hAnsiTheme="majorHAnsi" w:cstheme="majorHAnsi"/>
            <w:noProof/>
            <w:webHidden/>
            <w:color w:val="0F6FC6" w:themeColor="accent1"/>
            <w:sz w:val="20"/>
            <w:szCs w:val="20"/>
            <w:lang w:val="sq-AL"/>
          </w:rPr>
        </w:r>
        <w:r w:rsidR="00A10334"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7</w:t>
        </w:r>
        <w:r w:rsidR="00A10334" w:rsidRPr="004517B8">
          <w:rPr>
            <w:rStyle w:val="Hyperlink"/>
            <w:rFonts w:asciiTheme="majorHAnsi" w:hAnsiTheme="majorHAnsi" w:cstheme="majorHAnsi"/>
            <w:noProof/>
            <w:webHidden/>
            <w:color w:val="0F6FC6" w:themeColor="accent1"/>
            <w:sz w:val="20"/>
            <w:szCs w:val="20"/>
            <w:lang w:val="sq-AL"/>
          </w:rPr>
          <w:fldChar w:fldCharType="end"/>
        </w:r>
      </w:hyperlink>
    </w:p>
    <w:p w14:paraId="0EBEF66C" w14:textId="6DBC07AD"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19" w:history="1">
        <w:r w:rsidRPr="004517B8">
          <w:rPr>
            <w:rStyle w:val="Hyperlink"/>
            <w:rFonts w:asciiTheme="majorHAnsi" w:hAnsiTheme="majorHAnsi" w:cstheme="majorHAnsi"/>
            <w:noProof/>
            <w:color w:val="0F6FC6" w:themeColor="accent1"/>
            <w:sz w:val="20"/>
            <w:szCs w:val="20"/>
            <w:lang w:val="sq-AL"/>
          </w:rPr>
          <w:t>Grafiku 2 Të Ardhurat e përgjithshme (në miliardë LEK) ndaj PBB në vlerë e %.</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_Toc229130019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15</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F004B80" w14:textId="65A7AF70"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0" w:history="1">
        <w:r w:rsidRPr="004517B8">
          <w:rPr>
            <w:rStyle w:val="Hyperlink"/>
            <w:rFonts w:asciiTheme="majorHAnsi" w:hAnsiTheme="majorHAnsi" w:cstheme="majorHAnsi"/>
            <w:noProof/>
            <w:color w:val="0F6FC6" w:themeColor="accent1"/>
            <w:sz w:val="20"/>
            <w:szCs w:val="20"/>
            <w:lang w:val="sq-AL"/>
          </w:rPr>
          <w:t>Grafiku 3 Ecuria e zërave kryesorë të të ardhurave gjatë vitit 2026</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95D452A" w14:textId="089B8C0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1" w:history="1">
        <w:r w:rsidRPr="004517B8">
          <w:rPr>
            <w:rStyle w:val="Hyperlink"/>
            <w:rFonts w:asciiTheme="majorHAnsi" w:hAnsiTheme="majorHAnsi" w:cstheme="majorHAnsi"/>
            <w:noProof/>
            <w:color w:val="0F6FC6" w:themeColor="accent1"/>
            <w:sz w:val="20"/>
            <w:szCs w:val="20"/>
            <w:lang w:val="sq-AL"/>
          </w:rPr>
          <w:t>Grafiku 4 Të ardhurat e përgjithshme në % ndaj totalit sipas kategorive kryesore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A334A07" w14:textId="58346F12"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2" w:history="1">
        <w:r w:rsidRPr="004517B8">
          <w:rPr>
            <w:rStyle w:val="Hyperlink"/>
            <w:rFonts w:asciiTheme="majorHAnsi" w:hAnsiTheme="majorHAnsi" w:cstheme="majorHAnsi"/>
            <w:noProof/>
            <w:color w:val="0F6FC6" w:themeColor="accent1"/>
            <w:sz w:val="20"/>
            <w:szCs w:val="20"/>
            <w:lang w:val="sq-AL"/>
          </w:rPr>
          <w:t>Grafiku 5 Të ardhura nga pushteti vendor në vite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CABCC5A" w14:textId="69E6725F"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3" w:history="1">
        <w:r w:rsidRPr="004517B8">
          <w:rPr>
            <w:rStyle w:val="Hyperlink"/>
            <w:rFonts w:asciiTheme="majorHAnsi" w:hAnsiTheme="majorHAnsi" w:cstheme="majorHAnsi"/>
            <w:noProof/>
            <w:color w:val="0F6FC6" w:themeColor="accent1"/>
            <w:sz w:val="20"/>
            <w:szCs w:val="20"/>
            <w:lang w:val="sq-AL"/>
          </w:rPr>
          <w:t>Grafiku 6 Përbërja e të ardhurave nga pushteti vendor sipas zërave kryesorë (në %)</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5CB826B" w14:textId="06BA9A73"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4" w:history="1">
        <w:r w:rsidRPr="004517B8">
          <w:rPr>
            <w:rStyle w:val="Hyperlink"/>
            <w:rFonts w:asciiTheme="majorHAnsi" w:hAnsiTheme="majorHAnsi" w:cstheme="majorHAnsi"/>
            <w:noProof/>
            <w:color w:val="0F6FC6" w:themeColor="accent1"/>
            <w:sz w:val="20"/>
            <w:szCs w:val="20"/>
            <w:lang w:val="sq-AL"/>
          </w:rPr>
          <w:t>Grafiku 7 Të ardhurat nga fondet speciale në vite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B572807" w14:textId="711DE36A"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5" w:history="1">
        <w:r w:rsidRPr="004517B8">
          <w:rPr>
            <w:rStyle w:val="Hyperlink"/>
            <w:rFonts w:asciiTheme="majorHAnsi" w:hAnsiTheme="majorHAnsi" w:cstheme="majorHAnsi"/>
            <w:noProof/>
            <w:color w:val="0F6FC6" w:themeColor="accent1"/>
            <w:sz w:val="20"/>
            <w:szCs w:val="20"/>
            <w:lang w:val="sq-AL"/>
          </w:rPr>
          <w:t>Grafiku 8 Përbërja e të ardhurave nga fondet speciale (në %)</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9A75068" w14:textId="71023CF0"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6" w:history="1">
        <w:r w:rsidRPr="004517B8">
          <w:rPr>
            <w:rStyle w:val="Hyperlink"/>
            <w:rFonts w:asciiTheme="majorHAnsi" w:hAnsiTheme="majorHAnsi" w:cstheme="majorHAnsi"/>
            <w:noProof/>
            <w:color w:val="0F6FC6" w:themeColor="accent1"/>
            <w:sz w:val="20"/>
            <w:szCs w:val="20"/>
            <w:lang w:val="sq-AL"/>
          </w:rPr>
          <w:t>Grafiku 9  Përbërja e të ardhurave jotatimore (miliardë LEK) në % të realizimit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2C4AB02" w14:textId="295804D7"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7" w:history="1">
        <w:r w:rsidRPr="004517B8">
          <w:rPr>
            <w:rStyle w:val="Hyperlink"/>
            <w:rFonts w:asciiTheme="majorHAnsi" w:hAnsiTheme="majorHAnsi" w:cstheme="majorHAnsi"/>
            <w:noProof/>
            <w:color w:val="0F6FC6" w:themeColor="accent1"/>
            <w:sz w:val="20"/>
            <w:szCs w:val="20"/>
            <w:lang w:val="sq-AL"/>
          </w:rPr>
          <w:t>Grafiku 10 Të ardhura nga tatimet dhe doganat në vite (në miliardë LEK) dhe në % të PBB</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6DE11DB4" w14:textId="70DE426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8" w:history="1">
        <w:r w:rsidRPr="004517B8">
          <w:rPr>
            <w:rStyle w:val="Hyperlink"/>
            <w:rFonts w:asciiTheme="majorHAnsi" w:hAnsiTheme="majorHAnsi" w:cstheme="majorHAnsi"/>
            <w:noProof/>
            <w:color w:val="0F6FC6" w:themeColor="accent1"/>
            <w:sz w:val="20"/>
            <w:szCs w:val="20"/>
            <w:lang w:val="sq-AL"/>
          </w:rPr>
          <w:t>Grafiku 11 Të ardhurat nga zërat tatimorë në raport me të ardhurat totale nga tatimet dhe doganat për vitin 2025</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19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03D6225" w14:textId="56184AC3"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29" w:history="1">
        <w:r w:rsidRPr="004517B8">
          <w:rPr>
            <w:rStyle w:val="Hyperlink"/>
            <w:rFonts w:asciiTheme="majorHAnsi" w:hAnsiTheme="majorHAnsi" w:cstheme="majorHAnsi"/>
            <w:noProof/>
            <w:color w:val="0F6FC6" w:themeColor="accent1"/>
            <w:sz w:val="20"/>
            <w:szCs w:val="20"/>
            <w:lang w:val="sq-AL"/>
          </w:rPr>
          <w:t>Grafiku 12 Shpenzimet e përgjithshme korente dhe kapitale (miliardë  LEK) dhe ritmi i rritjes vjetore (në %)</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_Toc229130029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DEB2B09" w14:textId="7A8458A3"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0" w:history="1">
        <w:r w:rsidRPr="004517B8">
          <w:rPr>
            <w:rStyle w:val="Hyperlink"/>
            <w:rFonts w:asciiTheme="majorHAnsi" w:hAnsiTheme="majorHAnsi" w:cstheme="majorHAnsi"/>
            <w:noProof/>
            <w:color w:val="0F6FC6" w:themeColor="accent1"/>
            <w:sz w:val="20"/>
            <w:szCs w:val="20"/>
            <w:lang w:val="sq-AL"/>
          </w:rPr>
          <w:t>Grafiku 13 Shpenzimet korente dhe kapitale plan dhe fakt ndaj totalit të shpenzimeve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1DEF360" w14:textId="517252BA"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1" w:history="1">
        <w:r w:rsidRPr="004517B8">
          <w:rPr>
            <w:rStyle w:val="Hyperlink"/>
            <w:rFonts w:asciiTheme="majorHAnsi" w:hAnsiTheme="majorHAnsi" w:cstheme="majorHAnsi"/>
            <w:noProof/>
            <w:color w:val="0F6FC6" w:themeColor="accent1"/>
            <w:sz w:val="20"/>
            <w:szCs w:val="20"/>
            <w:lang w:val="sq-AL"/>
          </w:rPr>
          <w:t>Grafiku 14 Struktura e shpenzimeve korente, kapitale dhe raporti me PBB-në ndër vite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12B9480" w14:textId="7C24A9B7"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2" w:history="1">
        <w:r w:rsidRPr="004517B8">
          <w:rPr>
            <w:rStyle w:val="Hyperlink"/>
            <w:rFonts w:asciiTheme="majorHAnsi" w:hAnsiTheme="majorHAnsi" w:cstheme="majorHAnsi"/>
            <w:noProof/>
            <w:color w:val="0F6FC6" w:themeColor="accent1"/>
            <w:sz w:val="20"/>
            <w:szCs w:val="20"/>
            <w:lang w:val="sq-AL"/>
          </w:rPr>
          <w:t>Grafiku 15 Shpenzimet korente dhe ritmi i rritjes së tyre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FECB830" w14:textId="2F9C3F1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3" w:history="1">
        <w:r w:rsidRPr="004517B8">
          <w:rPr>
            <w:rStyle w:val="Hyperlink"/>
            <w:rFonts w:asciiTheme="majorHAnsi" w:hAnsiTheme="majorHAnsi" w:cstheme="majorHAnsi"/>
            <w:noProof/>
            <w:color w:val="0F6FC6" w:themeColor="accent1"/>
            <w:sz w:val="20"/>
            <w:szCs w:val="20"/>
            <w:lang w:val="sq-AL"/>
          </w:rPr>
          <w:t>Grafiku 16 Struktura e shpenzimeve korente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28</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762BA11" w14:textId="68893D7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4" w:history="1">
        <w:r w:rsidRPr="004517B8">
          <w:rPr>
            <w:rStyle w:val="Hyperlink"/>
            <w:rFonts w:asciiTheme="majorHAnsi" w:hAnsiTheme="majorHAnsi" w:cstheme="majorHAnsi"/>
            <w:noProof/>
            <w:color w:val="0F6FC6" w:themeColor="accent1"/>
            <w:sz w:val="20"/>
            <w:szCs w:val="20"/>
            <w:lang w:val="sq-AL"/>
          </w:rPr>
          <w:t>Grafiku 17 Shpenzimet e personelit në vite dhe ritmi i rritjes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188F399" w14:textId="6425426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5" w:history="1">
        <w:r w:rsidRPr="004517B8">
          <w:rPr>
            <w:rStyle w:val="Hyperlink"/>
            <w:rFonts w:asciiTheme="majorHAnsi" w:hAnsiTheme="majorHAnsi" w:cstheme="majorHAnsi"/>
            <w:noProof/>
            <w:color w:val="0F6FC6" w:themeColor="accent1"/>
            <w:sz w:val="20"/>
            <w:szCs w:val="20"/>
            <w:lang w:val="sq-AL"/>
          </w:rPr>
          <w:t>Grafiku 18 Shpenzimet për interesa në vite dhe ritmi i rritjes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7DF5EAC0" w14:textId="6F14AC12"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6" w:history="1">
        <w:r w:rsidRPr="004517B8">
          <w:rPr>
            <w:rStyle w:val="Hyperlink"/>
            <w:rFonts w:asciiTheme="majorHAnsi" w:hAnsiTheme="majorHAnsi" w:cstheme="majorHAnsi"/>
            <w:noProof/>
            <w:color w:val="0F6FC6" w:themeColor="accent1"/>
            <w:sz w:val="20"/>
            <w:szCs w:val="20"/>
            <w:lang w:val="sq-AL"/>
          </w:rPr>
          <w:t>Grafiku 19 Shpenzimet operative e të mirëmbajtjes dhe ritmi i rritjes vjetore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29</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E3BD477" w14:textId="6D7BC9B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7" w:history="1">
        <w:r w:rsidRPr="004517B8">
          <w:rPr>
            <w:rStyle w:val="Hyperlink"/>
            <w:rFonts w:asciiTheme="majorHAnsi" w:hAnsiTheme="majorHAnsi" w:cstheme="majorHAnsi"/>
            <w:noProof/>
            <w:color w:val="0F6FC6" w:themeColor="accent1"/>
            <w:sz w:val="20"/>
            <w:szCs w:val="20"/>
            <w:lang w:val="sq-AL"/>
          </w:rPr>
          <w:t>Grafiku 20 Shpenzimet për subvencione dhe ritmi i rritjes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852C341" w14:textId="13A69F1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8" w:history="1">
        <w:r w:rsidRPr="004517B8">
          <w:rPr>
            <w:rStyle w:val="Hyperlink"/>
            <w:rFonts w:asciiTheme="majorHAnsi" w:hAnsiTheme="majorHAnsi" w:cstheme="majorHAnsi"/>
            <w:noProof/>
            <w:color w:val="0F6FC6" w:themeColor="accent1"/>
            <w:sz w:val="20"/>
            <w:szCs w:val="20"/>
            <w:lang w:val="sq-AL"/>
          </w:rPr>
          <w:t>Grafiku 21 Shpenzimet për sigurimet shoqërore dhe shëndetësore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A196F46" w14:textId="328D5C5E"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39" w:history="1">
        <w:r w:rsidRPr="004517B8">
          <w:rPr>
            <w:rStyle w:val="Hyperlink"/>
            <w:rFonts w:asciiTheme="majorHAnsi" w:hAnsiTheme="majorHAnsi" w:cstheme="majorHAnsi"/>
            <w:noProof/>
            <w:color w:val="0F6FC6" w:themeColor="accent1"/>
            <w:sz w:val="20"/>
            <w:szCs w:val="20"/>
            <w:lang w:val="sq-AL"/>
          </w:rPr>
          <w:t>Grafiku 22 Shpenzimet për ndihmën ekonomike, PAK dhe papunësinë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_Toc229130039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CCEC864" w14:textId="3AD0C7D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0" w:history="1">
        <w:r w:rsidRPr="004517B8">
          <w:rPr>
            <w:rStyle w:val="Hyperlink"/>
            <w:rFonts w:asciiTheme="majorHAnsi" w:hAnsiTheme="majorHAnsi" w:cstheme="majorHAnsi"/>
            <w:noProof/>
            <w:color w:val="0F6FC6" w:themeColor="accent1"/>
            <w:sz w:val="20"/>
            <w:szCs w:val="20"/>
            <w:lang w:val="sq-AL"/>
          </w:rPr>
          <w:t>Grafiku 23 Shpenzimet Kapitale dhe burimi i financimit të tyre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32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3EA76C0" w14:textId="4EE82128"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1" w:history="1">
        <w:r w:rsidRPr="004517B8">
          <w:rPr>
            <w:rStyle w:val="Hyperlink"/>
            <w:rFonts w:asciiTheme="majorHAnsi" w:hAnsiTheme="majorHAnsi" w:cstheme="majorHAnsi"/>
            <w:noProof/>
            <w:color w:val="0F6FC6" w:themeColor="accent1"/>
            <w:sz w:val="20"/>
            <w:szCs w:val="20"/>
            <w:lang w:val="sq-AL"/>
          </w:rPr>
          <w:t>Grafiku 24 Transferta e pakushtëzuar dhe ritmi i ndryshimit në vite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40</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4DA7619" w14:textId="24C0AB6F"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2" w:history="1">
        <w:r w:rsidRPr="004517B8">
          <w:rPr>
            <w:rStyle w:val="Hyperlink"/>
            <w:rFonts w:asciiTheme="majorHAnsi" w:hAnsiTheme="majorHAnsi" w:cstheme="majorHAnsi"/>
            <w:noProof/>
            <w:color w:val="0F6FC6" w:themeColor="accent1"/>
            <w:sz w:val="20"/>
            <w:szCs w:val="20"/>
            <w:lang w:val="sq-AL"/>
          </w:rPr>
          <w:t>Grafiku 25 Realizimi i të ardhurave tatimore dhe jotatimore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BF16876" w14:textId="02813A4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3" w:history="1">
        <w:r w:rsidRPr="004517B8">
          <w:rPr>
            <w:rStyle w:val="Hyperlink"/>
            <w:rFonts w:asciiTheme="majorHAnsi" w:hAnsiTheme="majorHAnsi" w:cstheme="majorHAnsi"/>
            <w:noProof/>
            <w:color w:val="0F6FC6" w:themeColor="accent1"/>
            <w:sz w:val="20"/>
            <w:szCs w:val="20"/>
            <w:lang w:val="sq-AL"/>
          </w:rPr>
          <w:t>Grafiku 26 Të ardhurat e pushtetit vendor në vite dhe ritmi i ndryshimit</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741465E" w14:textId="387EC1EF"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4" w:history="1">
        <w:r w:rsidRPr="004517B8">
          <w:rPr>
            <w:rStyle w:val="Hyperlink"/>
            <w:rFonts w:asciiTheme="majorHAnsi" w:hAnsiTheme="majorHAnsi" w:cstheme="majorHAnsi"/>
            <w:noProof/>
            <w:color w:val="0F6FC6" w:themeColor="accent1"/>
            <w:sz w:val="20"/>
            <w:szCs w:val="20"/>
            <w:lang w:val="sq-AL"/>
          </w:rPr>
          <w:t>Grafiku 27 Të ardhurat vendore në raport me totalin e të ardhurave publike dhe PBB</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41</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E355346" w14:textId="0AC3F6C1"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5" w:history="1">
        <w:r w:rsidRPr="004517B8">
          <w:rPr>
            <w:rStyle w:val="Hyperlink"/>
            <w:rFonts w:asciiTheme="majorHAnsi" w:hAnsiTheme="majorHAnsi" w:cstheme="majorHAnsi"/>
            <w:noProof/>
            <w:color w:val="0F6FC6" w:themeColor="accent1"/>
            <w:sz w:val="20"/>
            <w:szCs w:val="20"/>
            <w:lang w:val="sq-AL"/>
          </w:rPr>
          <w:t>Grafiku 28 Të ardhurat e veta të pushtetit vendor sipas burimit në vite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EC87714" w14:textId="71F380A7"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6" w:history="1">
        <w:r w:rsidRPr="004517B8">
          <w:rPr>
            <w:rStyle w:val="Hyperlink"/>
            <w:rFonts w:asciiTheme="majorHAnsi" w:hAnsiTheme="majorHAnsi" w:cstheme="majorHAnsi"/>
            <w:noProof/>
            <w:color w:val="0F6FC6" w:themeColor="accent1"/>
            <w:sz w:val="20"/>
            <w:szCs w:val="20"/>
            <w:lang w:val="sq-AL"/>
          </w:rPr>
          <w:t>Grafiku 29 Shpenzimet e buxhetit vendor ndaj PBB, në vite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_Toc229130046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B8CFB28" w14:textId="0019064D"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7" w:history="1">
        <w:r w:rsidRPr="004517B8">
          <w:rPr>
            <w:rStyle w:val="Hyperlink"/>
            <w:rFonts w:asciiTheme="majorHAnsi" w:hAnsiTheme="majorHAnsi" w:cstheme="majorHAnsi"/>
            <w:noProof/>
            <w:color w:val="0F6FC6" w:themeColor="accent1"/>
            <w:sz w:val="20"/>
            <w:szCs w:val="20"/>
            <w:lang w:val="sq-AL"/>
          </w:rPr>
          <w:t>Grafiku 30 Shpenzimet e pushtetit vendor në vite dhe ritmi i rritjes së tyre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_Toc229130047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3A8BEC8C" w14:textId="2039DB02"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8" w:history="1">
        <w:r w:rsidRPr="004517B8">
          <w:rPr>
            <w:rStyle w:val="Hyperlink"/>
            <w:rFonts w:asciiTheme="majorHAnsi" w:hAnsiTheme="majorHAnsi" w:cstheme="majorHAnsi"/>
            <w:noProof/>
            <w:color w:val="0F6FC6" w:themeColor="accent1"/>
            <w:sz w:val="20"/>
            <w:szCs w:val="20"/>
            <w:lang w:val="sq-AL"/>
          </w:rPr>
          <w:t>Grafiku 31 Shpenzimet e pushtetit vendor sipas klasifikimit ekonomik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_Toc229130048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24FE877C" w14:textId="4D715295"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49" w:history="1">
        <w:r w:rsidRPr="004517B8">
          <w:rPr>
            <w:rStyle w:val="Hyperlink"/>
            <w:rFonts w:asciiTheme="majorHAnsi" w:hAnsiTheme="majorHAnsi" w:cstheme="majorHAnsi"/>
            <w:noProof/>
            <w:color w:val="0F6FC6" w:themeColor="accent1"/>
            <w:sz w:val="20"/>
            <w:szCs w:val="20"/>
            <w:lang w:val="sq-AL"/>
          </w:rPr>
          <w:t>Grafiku 32 Sektori quasi publik sipas numrit të ndërmarrjeve</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_Toc229130049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46</w:t>
        </w:r>
        <w:r w:rsidRPr="004517B8">
          <w:rPr>
            <w:rStyle w:val="Hyperlink"/>
            <w:rFonts w:asciiTheme="majorHAnsi" w:hAnsiTheme="majorHAnsi" w:cstheme="majorHAnsi"/>
            <w:noProof/>
            <w:webHidden/>
            <w:color w:val="0F6FC6" w:themeColor="accent1"/>
            <w:sz w:val="20"/>
            <w:szCs w:val="20"/>
            <w:lang w:val="sq-AL"/>
          </w:rPr>
          <w:fldChar w:fldCharType="end"/>
        </w:r>
      </w:hyperlink>
    </w:p>
    <w:p w14:paraId="53A0649B" w14:textId="3DAD1FA6"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0" w:history="1">
        <w:r w:rsidRPr="004517B8">
          <w:rPr>
            <w:rStyle w:val="Hyperlink"/>
            <w:rFonts w:asciiTheme="majorHAnsi" w:hAnsiTheme="majorHAnsi" w:cstheme="majorHAnsi"/>
            <w:noProof/>
            <w:color w:val="0F6FC6" w:themeColor="accent1"/>
            <w:sz w:val="20"/>
            <w:szCs w:val="20"/>
            <w:lang w:val="sq-AL"/>
          </w:rPr>
          <w:t>Grafiku 33 Ecuria e nivelit të arkëtimeve të OSHEE Group sh.a (në miliardë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_Toc229130050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B406FDD" w14:textId="61D04E0F"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1" w:history="1">
        <w:r w:rsidRPr="004517B8">
          <w:rPr>
            <w:rStyle w:val="Hyperlink"/>
            <w:rFonts w:asciiTheme="majorHAnsi" w:hAnsiTheme="majorHAnsi" w:cstheme="majorHAnsi"/>
            <w:noProof/>
            <w:color w:val="0F6FC6" w:themeColor="accent1"/>
            <w:sz w:val="20"/>
            <w:szCs w:val="20"/>
            <w:lang w:val="sq-AL"/>
          </w:rPr>
          <w:t>Grafiku 34 Ecuria e nivelit të humbjeve në rrjet për OSHEE Group sh.a (në përqind)</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_Toc229130051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47</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2105E29" w14:textId="7FC228B9"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2" w:history="1">
        <w:r w:rsidRPr="004517B8">
          <w:rPr>
            <w:rStyle w:val="Hyperlink"/>
            <w:rFonts w:asciiTheme="majorHAnsi" w:hAnsiTheme="majorHAnsi" w:cstheme="majorHAnsi"/>
            <w:noProof/>
            <w:color w:val="0F6FC6" w:themeColor="accent1"/>
            <w:sz w:val="20"/>
            <w:szCs w:val="20"/>
            <w:lang w:val="sq-AL"/>
          </w:rPr>
          <w:t>Grafiku 35 Stoku i detyrimeve të prapambetura të qeverisjes së përgjithshme, në milionë LEK.</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_Toc229130052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8F8FB73" w14:textId="02E172BB"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3" w:history="1">
        <w:r w:rsidRPr="004517B8">
          <w:rPr>
            <w:rStyle w:val="Hyperlink"/>
            <w:rFonts w:asciiTheme="majorHAnsi" w:hAnsiTheme="majorHAnsi" w:cstheme="majorHAnsi"/>
            <w:noProof/>
            <w:color w:val="0F6FC6" w:themeColor="accent1"/>
            <w:sz w:val="20"/>
            <w:szCs w:val="20"/>
            <w:lang w:val="sq-AL"/>
          </w:rPr>
          <w:t>Grafiku 36 Stoku i detyrimeve të Ministrisë së Energjisë dhe Infrastrukturës dhe ministrive të tjera</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_Toc229130053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52</w:t>
        </w:r>
        <w:r w:rsidRPr="004517B8">
          <w:rPr>
            <w:rStyle w:val="Hyperlink"/>
            <w:rFonts w:asciiTheme="majorHAnsi" w:hAnsiTheme="majorHAnsi" w:cstheme="majorHAnsi"/>
            <w:noProof/>
            <w:webHidden/>
            <w:color w:val="0F6FC6" w:themeColor="accent1"/>
            <w:sz w:val="20"/>
            <w:szCs w:val="20"/>
            <w:lang w:val="sq-AL"/>
          </w:rPr>
          <w:fldChar w:fldCharType="end"/>
        </w:r>
      </w:hyperlink>
    </w:p>
    <w:p w14:paraId="12D3393C" w14:textId="336BD3DD"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4" w:history="1">
        <w:r w:rsidRPr="004517B8">
          <w:rPr>
            <w:rStyle w:val="Hyperlink"/>
            <w:rFonts w:asciiTheme="majorHAnsi" w:hAnsiTheme="majorHAnsi" w:cstheme="majorHAnsi"/>
            <w:noProof/>
            <w:color w:val="0F6FC6" w:themeColor="accent1"/>
            <w:sz w:val="20"/>
            <w:szCs w:val="20"/>
            <w:lang w:val="sq-AL"/>
          </w:rPr>
          <w:t>Grafiku 37 Stoku i detyrimeve të prapambetura qendrore sipas zërave kryesorë</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_Toc229130054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53</w:t>
        </w:r>
        <w:r w:rsidRPr="004517B8">
          <w:rPr>
            <w:rStyle w:val="Hyperlink"/>
            <w:rFonts w:asciiTheme="majorHAnsi" w:hAnsiTheme="majorHAnsi" w:cstheme="majorHAnsi"/>
            <w:noProof/>
            <w:webHidden/>
            <w:color w:val="0F6FC6" w:themeColor="accent1"/>
            <w:sz w:val="20"/>
            <w:szCs w:val="20"/>
            <w:lang w:val="sq-AL"/>
          </w:rPr>
          <w:fldChar w:fldCharType="end"/>
        </w:r>
      </w:hyperlink>
    </w:p>
    <w:p w14:paraId="4C475DBB" w14:textId="49850C9B" w:rsidR="00A10334" w:rsidRPr="004517B8" w:rsidRDefault="00A10334" w:rsidP="00A10334">
      <w:pPr>
        <w:pStyle w:val="TableofFigures"/>
        <w:tabs>
          <w:tab w:val="right" w:leader="dot" w:pos="10430"/>
        </w:tabs>
        <w:spacing w:before="0" w:line="240" w:lineRule="auto"/>
        <w:rPr>
          <w:rStyle w:val="Hyperlink"/>
          <w:rFonts w:asciiTheme="majorHAnsi" w:hAnsiTheme="majorHAnsi" w:cstheme="majorHAnsi"/>
          <w:noProof/>
          <w:color w:val="0F6FC6" w:themeColor="accent1"/>
          <w:sz w:val="20"/>
          <w:szCs w:val="20"/>
          <w:lang w:val="sq-AL"/>
        </w:rPr>
      </w:pPr>
      <w:hyperlink w:anchor="_Toc229130055" w:history="1">
        <w:r w:rsidRPr="004517B8">
          <w:rPr>
            <w:rStyle w:val="Hyperlink"/>
            <w:rFonts w:asciiTheme="majorHAnsi" w:hAnsiTheme="majorHAnsi" w:cstheme="majorHAnsi"/>
            <w:noProof/>
            <w:color w:val="0F6FC6" w:themeColor="accent1"/>
            <w:sz w:val="20"/>
            <w:szCs w:val="20"/>
            <w:lang w:val="sq-AL"/>
          </w:rPr>
          <w:t>Grafiku 38 Stoku i detyrimeve të prapambetura vendore sipas zërave kryesorë</w:t>
        </w:r>
        <w:r w:rsidRPr="004517B8">
          <w:rPr>
            <w:rStyle w:val="Hyperlink"/>
            <w:rFonts w:asciiTheme="majorHAnsi" w:hAnsiTheme="majorHAnsi" w:cstheme="majorHAnsi"/>
            <w:noProof/>
            <w:webHidden/>
            <w:color w:val="0F6FC6" w:themeColor="accent1"/>
            <w:sz w:val="20"/>
            <w:szCs w:val="20"/>
            <w:lang w:val="sq-AL"/>
          </w:rPr>
          <w:tab/>
        </w:r>
        <w:r w:rsidRPr="004517B8">
          <w:rPr>
            <w:rStyle w:val="Hyperlink"/>
            <w:rFonts w:asciiTheme="majorHAnsi" w:hAnsiTheme="majorHAnsi" w:cstheme="majorHAnsi"/>
            <w:noProof/>
            <w:webHidden/>
            <w:color w:val="0F6FC6" w:themeColor="accent1"/>
            <w:sz w:val="20"/>
            <w:szCs w:val="20"/>
            <w:lang w:val="sq-AL"/>
          </w:rPr>
          <w:fldChar w:fldCharType="begin"/>
        </w:r>
        <w:r w:rsidRPr="004517B8">
          <w:rPr>
            <w:rStyle w:val="Hyperlink"/>
            <w:rFonts w:asciiTheme="majorHAnsi" w:hAnsiTheme="majorHAnsi" w:cstheme="majorHAnsi"/>
            <w:noProof/>
            <w:webHidden/>
            <w:color w:val="0F6FC6" w:themeColor="accent1"/>
            <w:sz w:val="20"/>
            <w:szCs w:val="20"/>
            <w:lang w:val="sq-AL"/>
          </w:rPr>
          <w:instrText xml:space="preserve"> PAGEREF _Toc229130055 \h </w:instrText>
        </w:r>
        <w:r w:rsidRPr="004517B8">
          <w:rPr>
            <w:rStyle w:val="Hyperlink"/>
            <w:rFonts w:asciiTheme="majorHAnsi" w:hAnsiTheme="majorHAnsi" w:cstheme="majorHAnsi"/>
            <w:noProof/>
            <w:webHidden/>
            <w:color w:val="0F6FC6" w:themeColor="accent1"/>
            <w:sz w:val="20"/>
            <w:szCs w:val="20"/>
            <w:lang w:val="sq-AL"/>
          </w:rPr>
        </w:r>
        <w:r w:rsidRPr="004517B8">
          <w:rPr>
            <w:rStyle w:val="Hyperlink"/>
            <w:rFonts w:asciiTheme="majorHAnsi" w:hAnsiTheme="majorHAnsi" w:cstheme="majorHAnsi"/>
            <w:noProof/>
            <w:webHidden/>
            <w:color w:val="0F6FC6" w:themeColor="accent1"/>
            <w:sz w:val="20"/>
            <w:szCs w:val="20"/>
            <w:lang w:val="sq-AL"/>
          </w:rPr>
          <w:fldChar w:fldCharType="separate"/>
        </w:r>
        <w:r w:rsidR="007E08AA">
          <w:rPr>
            <w:rStyle w:val="Hyperlink"/>
            <w:rFonts w:asciiTheme="majorHAnsi" w:hAnsiTheme="majorHAnsi" w:cstheme="majorHAnsi"/>
            <w:noProof/>
            <w:webHidden/>
            <w:color w:val="0F6FC6" w:themeColor="accent1"/>
            <w:sz w:val="20"/>
            <w:szCs w:val="20"/>
            <w:lang w:val="sq-AL"/>
          </w:rPr>
          <w:t>54</w:t>
        </w:r>
        <w:r w:rsidRPr="004517B8">
          <w:rPr>
            <w:rStyle w:val="Hyperlink"/>
            <w:rFonts w:asciiTheme="majorHAnsi" w:hAnsiTheme="majorHAnsi" w:cstheme="majorHAnsi"/>
            <w:noProof/>
            <w:webHidden/>
            <w:color w:val="0F6FC6" w:themeColor="accent1"/>
            <w:sz w:val="20"/>
            <w:szCs w:val="20"/>
            <w:lang w:val="sq-AL"/>
          </w:rPr>
          <w:fldChar w:fldCharType="end"/>
        </w:r>
      </w:hyperlink>
    </w:p>
    <w:p w14:paraId="07157BC5" w14:textId="68E3ABD8" w:rsidR="009158B4" w:rsidRPr="004517B8" w:rsidRDefault="009158B4" w:rsidP="00FF2732">
      <w:pPr>
        <w:pStyle w:val="TableofFigures"/>
        <w:tabs>
          <w:tab w:val="right" w:leader="dot" w:pos="10430"/>
        </w:tabs>
        <w:spacing w:before="0" w:line="240" w:lineRule="auto"/>
        <w:rPr>
          <w:rStyle w:val="Hyperlink"/>
          <w:rFonts w:asciiTheme="majorHAnsi" w:hAnsiTheme="majorHAnsi" w:cs="Calibri"/>
          <w:noProof/>
          <w:color w:val="0F6FC6" w:themeColor="accent1"/>
          <w:sz w:val="20"/>
          <w:szCs w:val="22"/>
          <w:lang w:val="sq-AL"/>
        </w:rPr>
      </w:pPr>
      <w:r w:rsidRPr="004517B8">
        <w:rPr>
          <w:rStyle w:val="Hyperlink"/>
          <w:rFonts w:asciiTheme="majorHAnsi" w:hAnsiTheme="majorHAnsi" w:cstheme="majorHAnsi"/>
          <w:noProof/>
          <w:color w:val="0F6FC6" w:themeColor="accent1"/>
          <w:sz w:val="20"/>
          <w:szCs w:val="20"/>
          <w:lang w:val="sq-AL"/>
        </w:rPr>
        <w:fldChar w:fldCharType="end"/>
      </w:r>
    </w:p>
    <w:p w14:paraId="5E39DFE0" w14:textId="77777777" w:rsidR="009158B4" w:rsidRPr="004517B8" w:rsidRDefault="009158B4" w:rsidP="00FC729E">
      <w:pPr>
        <w:spacing w:before="0"/>
        <w:rPr>
          <w:rFonts w:cs="Calibri"/>
          <w:noProof/>
          <w:color w:val="0F6FC6" w:themeColor="accent1"/>
          <w:szCs w:val="32"/>
          <w:lang w:val="sq-AL"/>
        </w:rPr>
        <w:sectPr w:rsidR="009158B4" w:rsidRPr="004517B8" w:rsidSect="00D60122">
          <w:pgSz w:w="12240" w:h="15840"/>
          <w:pgMar w:top="1440" w:right="900" w:bottom="1440" w:left="900" w:header="720" w:footer="720" w:gutter="0"/>
          <w:cols w:space="720"/>
          <w:docGrid w:linePitch="360"/>
        </w:sectPr>
      </w:pPr>
    </w:p>
    <w:p w14:paraId="6D4E7C24" w14:textId="77777777" w:rsidR="00FC0A43" w:rsidRPr="008B6729" w:rsidRDefault="008B6B58" w:rsidP="008B6729">
      <w:pPr>
        <w:pStyle w:val="Heading1"/>
        <w:spacing w:before="0"/>
        <w:rPr>
          <w:b/>
          <w:bCs/>
          <w:noProof/>
        </w:rPr>
      </w:pPr>
      <w:bookmarkStart w:id="0" w:name="_Toc10033256"/>
      <w:bookmarkStart w:id="1" w:name="_Toc10721393"/>
      <w:bookmarkStart w:id="2" w:name="_Toc229390792"/>
      <w:r w:rsidRPr="008B6729">
        <w:rPr>
          <w:b/>
          <w:bCs/>
          <w:noProof/>
        </w:rPr>
        <w:lastRenderedPageBreak/>
        <w:t>REZULTATI I BUXHETIT TË KONSOLIDUAR</w:t>
      </w:r>
      <w:bookmarkEnd w:id="0"/>
      <w:bookmarkEnd w:id="1"/>
      <w:bookmarkEnd w:id="2"/>
      <w:r w:rsidR="003560F2" w:rsidRPr="008B6729">
        <w:rPr>
          <w:b/>
          <w:bCs/>
          <w:noProof/>
        </w:rPr>
        <w:t xml:space="preserve"> </w:t>
      </w:r>
    </w:p>
    <w:p w14:paraId="0EDE5B6B" w14:textId="77777777" w:rsidR="00FD7D86" w:rsidRPr="008B6729" w:rsidRDefault="00FD7D86" w:rsidP="008B6729">
      <w:pPr>
        <w:pStyle w:val="Caption"/>
        <w:keepNext/>
        <w:spacing w:before="0"/>
        <w:rPr>
          <w:i w:val="0"/>
          <w:iCs w:val="0"/>
          <w:noProof/>
          <w:color w:val="auto"/>
          <w:sz w:val="12"/>
          <w:szCs w:val="12"/>
          <w:lang w:val="sq-AL"/>
        </w:rPr>
      </w:pPr>
    </w:p>
    <w:p w14:paraId="11AD012E" w14:textId="0FAF05E5" w:rsidR="00343C90" w:rsidRPr="00DF3EAB" w:rsidRDefault="00343C90" w:rsidP="00343C90">
      <w:pPr>
        <w:pStyle w:val="Caption"/>
        <w:rPr>
          <w:i w:val="0"/>
          <w:iCs w:val="0"/>
          <w:noProof/>
          <w:color w:val="auto"/>
          <w:sz w:val="22"/>
          <w:szCs w:val="24"/>
          <w:lang w:val="sq-AL"/>
        </w:rPr>
      </w:pPr>
      <w:bookmarkStart w:id="3" w:name="_Toc10033260"/>
      <w:bookmarkStart w:id="4" w:name="_Toc10721397"/>
      <w:r w:rsidRPr="00DF3EAB">
        <w:rPr>
          <w:i w:val="0"/>
          <w:iCs w:val="0"/>
          <w:noProof/>
          <w:color w:val="auto"/>
          <w:sz w:val="22"/>
          <w:szCs w:val="24"/>
          <w:lang w:val="sq-AL"/>
        </w:rPr>
        <w:t>Ekonomia e vendit ka treguar një qëndrueshmëri dhe elasticitetit të konsiderueshëm pavarësisht sfidave globale dhe presioneve inflacioniste që kanë goditur vendin gjatë viteve të fundit. Politikat e kujdesshme makroekonomike dhe fiskale kanë mbështetur një rikthim të fortë ekonomik, dhe si rezultat fondamentet kryesore ekonomike dhe financiare si dhe stabiliteti i përgjithshëm makroekonomik i vendit kanë mbetur solide. Përballë një mjedisi ekonomik sfidues, të karakterizuar nga çmime relativisht të larta, pasiguri dhe kosto të larta financimi, ekonomia ka ruajtur një normë të qëndrueshme rritjeje duke tejkaluar pritshmëritë fillestare. Performanca ekonomike gjatë kësaj periudhe ka qenë pozitive dhe relativisht e lartë, duke shfaqur një trajektore premtuese dhe pritet të vazhdojë ecurinë pozitive edhe në periudhën afatmesme.</w:t>
      </w:r>
      <w:r w:rsidR="00B0678B">
        <w:rPr>
          <w:i w:val="0"/>
          <w:iCs w:val="0"/>
          <w:noProof/>
          <w:color w:val="auto"/>
          <w:sz w:val="22"/>
          <w:szCs w:val="24"/>
          <w:lang w:val="sq-AL"/>
        </w:rPr>
        <w:t xml:space="preserve"> </w:t>
      </w:r>
    </w:p>
    <w:p w14:paraId="3512ECF2" w14:textId="77777777" w:rsidR="00343C90" w:rsidRPr="00DF3EAB" w:rsidRDefault="00343C90" w:rsidP="00343C90">
      <w:pPr>
        <w:pStyle w:val="Caption"/>
        <w:rPr>
          <w:i w:val="0"/>
          <w:iCs w:val="0"/>
          <w:noProof/>
          <w:color w:val="auto"/>
          <w:sz w:val="22"/>
          <w:szCs w:val="24"/>
          <w:lang w:val="sq-AL"/>
        </w:rPr>
      </w:pPr>
      <w:r w:rsidRPr="00DF3EAB">
        <w:rPr>
          <w:i w:val="0"/>
          <w:iCs w:val="0"/>
          <w:noProof/>
          <w:color w:val="auto"/>
          <w:sz w:val="22"/>
          <w:szCs w:val="24"/>
          <w:lang w:val="sq-AL"/>
        </w:rPr>
        <w:t xml:space="preserve">Në vitin 2023, norma e rritjes ekonomike arriti në 4.0 përqind, duke treguar një performancë të fortë. Trendi pozitiv i rritjes ka qëndruar i pandryshuar edhe gjatë vitit 2024, sërish në normën vjetore 4.0 përqind, duke tejkaluar pritshmëritë fillestare. Sipas vlerësimeve më të fundit të INSTAT, për vitin 2025 ekonomia e vendit vijoi sërish të performojë me një rritje pozitive në nivelin prej 3.8 përqind, duke qëndruar shumë pranë projeksioneve të llogaritura më parë në programin ekonomik dhe fiskal për vitin 2025 në nivelin prej 3.9 përqind të PBB-së. Kjo rritje u gjenerua kryesisht nga kërkesa e brendshme, si nga konsumi privat po ashtu edhe investimet si dhe veçanërisht nga performanca mjaft pozitive e sektorit të turizmit. Ndërkohë, kërkesa e huaj neto vlerësohet të ketë pasur efekt negativ (-0.8 </w:t>
      </w:r>
      <w:r>
        <w:rPr>
          <w:i w:val="0"/>
          <w:iCs w:val="0"/>
          <w:noProof/>
          <w:color w:val="auto"/>
          <w:sz w:val="22"/>
          <w:szCs w:val="24"/>
          <w:lang w:val="sq-AL"/>
        </w:rPr>
        <w:t xml:space="preserve">pikë </w:t>
      </w:r>
      <w:r w:rsidRPr="00DF3EAB">
        <w:rPr>
          <w:i w:val="0"/>
          <w:iCs w:val="0"/>
          <w:noProof/>
          <w:color w:val="auto"/>
          <w:sz w:val="22"/>
          <w:szCs w:val="24"/>
          <w:lang w:val="sq-AL"/>
        </w:rPr>
        <w:t>përqind</w:t>
      </w:r>
      <w:r>
        <w:rPr>
          <w:i w:val="0"/>
          <w:iCs w:val="0"/>
          <w:noProof/>
          <w:color w:val="auto"/>
          <w:sz w:val="22"/>
          <w:szCs w:val="24"/>
          <w:lang w:val="sq-AL"/>
        </w:rPr>
        <w:t>je</w:t>
      </w:r>
      <w:r w:rsidRPr="00DF3EAB">
        <w:rPr>
          <w:i w:val="0"/>
          <w:iCs w:val="0"/>
          <w:noProof/>
          <w:color w:val="auto"/>
          <w:sz w:val="22"/>
          <w:szCs w:val="24"/>
          <w:lang w:val="sq-AL"/>
        </w:rPr>
        <w:t>), ndikuar nga rritja më e shpejtë e importeve të mallrave dhe shërbimeve dhe rënia e eksporteve të mallrave</w:t>
      </w:r>
      <w:r>
        <w:rPr>
          <w:i w:val="0"/>
          <w:iCs w:val="0"/>
          <w:noProof/>
          <w:color w:val="auto"/>
          <w:sz w:val="22"/>
          <w:szCs w:val="24"/>
          <w:lang w:val="sq-AL"/>
        </w:rPr>
        <w:t>. Megjithatë, kjo prirje është pjesërisht zbutur nga performanca pozitive e eksporteve të shërbimeve, të cilat vijuan të kontribuojnë pozitivisht në aktivitetin ekonomik</w:t>
      </w:r>
      <w:r w:rsidRPr="00DF3EAB">
        <w:rPr>
          <w:i w:val="0"/>
          <w:iCs w:val="0"/>
          <w:noProof/>
          <w:color w:val="auto"/>
          <w:sz w:val="22"/>
          <w:szCs w:val="24"/>
          <w:lang w:val="sq-AL"/>
        </w:rPr>
        <w:t>.</w:t>
      </w:r>
    </w:p>
    <w:p w14:paraId="3218D256" w14:textId="77777777" w:rsidR="00343C90" w:rsidRPr="00DF3EAB" w:rsidRDefault="00343C90" w:rsidP="00343C90">
      <w:pPr>
        <w:pStyle w:val="Caption"/>
        <w:rPr>
          <w:i w:val="0"/>
          <w:iCs w:val="0"/>
          <w:noProof/>
          <w:color w:val="auto"/>
          <w:sz w:val="22"/>
          <w:szCs w:val="24"/>
          <w:lang w:val="sq-AL"/>
        </w:rPr>
      </w:pPr>
      <w:r w:rsidRPr="00DF3EAB">
        <w:rPr>
          <w:i w:val="0"/>
          <w:iCs w:val="0"/>
          <w:noProof/>
          <w:color w:val="auto"/>
          <w:sz w:val="22"/>
          <w:szCs w:val="24"/>
          <w:lang w:val="sq-AL"/>
        </w:rPr>
        <w:t>Zhvillimet në tregun e punës gjatë vitit 202</w:t>
      </w:r>
      <w:r>
        <w:rPr>
          <w:i w:val="0"/>
          <w:iCs w:val="0"/>
          <w:noProof/>
          <w:color w:val="auto"/>
          <w:sz w:val="22"/>
          <w:szCs w:val="24"/>
          <w:lang w:val="sq-AL"/>
        </w:rPr>
        <w:t xml:space="preserve">5 </w:t>
      </w:r>
      <w:r w:rsidRPr="00DF3EAB">
        <w:rPr>
          <w:i w:val="0"/>
          <w:iCs w:val="0"/>
          <w:noProof/>
          <w:color w:val="auto"/>
          <w:sz w:val="22"/>
          <w:szCs w:val="24"/>
          <w:lang w:val="sq-AL"/>
        </w:rPr>
        <w:t xml:space="preserve">kanë qenë pozitive dhe në rikuperim të vijueshëm. </w:t>
      </w:r>
      <w:r>
        <w:rPr>
          <w:i w:val="0"/>
          <w:iCs w:val="0"/>
          <w:noProof/>
          <w:color w:val="auto"/>
          <w:sz w:val="22"/>
          <w:szCs w:val="24"/>
          <w:lang w:val="sq-AL"/>
        </w:rPr>
        <w:t>S</w:t>
      </w:r>
      <w:r w:rsidRPr="00DF3EAB">
        <w:rPr>
          <w:i w:val="0"/>
          <w:iCs w:val="0"/>
          <w:noProof/>
          <w:color w:val="auto"/>
          <w:sz w:val="22"/>
          <w:szCs w:val="24"/>
          <w:lang w:val="sq-AL"/>
        </w:rPr>
        <w:t xml:space="preserve">hkalla e papunësisë shënoi </w:t>
      </w:r>
      <w:r>
        <w:rPr>
          <w:i w:val="0"/>
          <w:iCs w:val="0"/>
          <w:noProof/>
          <w:color w:val="auto"/>
          <w:sz w:val="22"/>
          <w:szCs w:val="24"/>
          <w:lang w:val="sq-AL"/>
        </w:rPr>
        <w:t xml:space="preserve">nivelin </w:t>
      </w:r>
      <w:r w:rsidRPr="00DF3EAB">
        <w:rPr>
          <w:i w:val="0"/>
          <w:iCs w:val="0"/>
          <w:noProof/>
          <w:color w:val="auto"/>
          <w:sz w:val="22"/>
          <w:szCs w:val="24"/>
          <w:lang w:val="sq-AL"/>
        </w:rPr>
        <w:t xml:space="preserve">më të ulët </w:t>
      </w:r>
      <w:r>
        <w:rPr>
          <w:i w:val="0"/>
          <w:iCs w:val="0"/>
          <w:noProof/>
          <w:color w:val="auto"/>
          <w:sz w:val="22"/>
          <w:szCs w:val="24"/>
          <w:lang w:val="sq-AL"/>
        </w:rPr>
        <w:t>historik</w:t>
      </w:r>
      <w:r w:rsidRPr="00DF3EAB">
        <w:rPr>
          <w:i w:val="0"/>
          <w:iCs w:val="0"/>
          <w:noProof/>
          <w:color w:val="auto"/>
          <w:sz w:val="22"/>
          <w:szCs w:val="24"/>
          <w:lang w:val="sq-AL"/>
        </w:rPr>
        <w:t xml:space="preserve">, duke vazhduar trendin rënës të viteve të fundit, </w:t>
      </w:r>
      <w:r>
        <w:rPr>
          <w:i w:val="0"/>
          <w:iCs w:val="0"/>
          <w:noProof/>
          <w:color w:val="auto"/>
          <w:sz w:val="22"/>
          <w:szCs w:val="24"/>
          <w:lang w:val="sq-AL"/>
        </w:rPr>
        <w:t xml:space="preserve">duke zbritur </w:t>
      </w:r>
      <w:r w:rsidRPr="00DF3EAB">
        <w:rPr>
          <w:i w:val="0"/>
          <w:iCs w:val="0"/>
          <w:noProof/>
          <w:color w:val="auto"/>
          <w:sz w:val="22"/>
          <w:szCs w:val="24"/>
          <w:lang w:val="sq-AL"/>
        </w:rPr>
        <w:t>në 8.4 përqind në vitin 2025, nga 8.6 përqind në vitin 2024 (për moshën 15 vjeç e lart).</w:t>
      </w:r>
      <w:r>
        <w:rPr>
          <w:i w:val="0"/>
          <w:iCs w:val="0"/>
          <w:noProof/>
          <w:color w:val="auto"/>
          <w:sz w:val="22"/>
          <w:szCs w:val="24"/>
          <w:lang w:val="sq-AL"/>
        </w:rPr>
        <w:t xml:space="preserve"> </w:t>
      </w:r>
      <w:r w:rsidRPr="00DF3EAB">
        <w:rPr>
          <w:i w:val="0"/>
          <w:iCs w:val="0"/>
          <w:noProof/>
          <w:color w:val="auto"/>
          <w:sz w:val="22"/>
          <w:szCs w:val="24"/>
          <w:lang w:val="sq-AL"/>
        </w:rPr>
        <w:t xml:space="preserve">Nga pikëpamja e ofertës, rritja e punësimit mund t'i atribuohet kryesisht rritjes së qëndrueshme të shkallës së pjesëmarrjes së fuqisë punëtore dhe shkallës së punësimit, duke arritur përkatësisht 76.3 përqind në vitin 2025 (krahasuar me 75.7 përqind në vitin 2024) dhe 69.3 përqind (krahasuar në 68.5 përqind në vitin 2024), për grupmoshën 15-64 vjeç. Evidencat tregojnë se ka një interes të përgjithshëm në rritje për pjesëmarrje në tregun e punës, të nxitur nga trendi rritës i pagave, duke intensifikuar kështu tendencat pozitive në ofertën e punës. </w:t>
      </w:r>
      <w:r w:rsidRPr="00835EFF">
        <w:rPr>
          <w:i w:val="0"/>
          <w:iCs w:val="0"/>
          <w:noProof/>
          <w:color w:val="auto"/>
          <w:sz w:val="22"/>
          <w:szCs w:val="24"/>
          <w:lang w:val="sq-AL"/>
        </w:rPr>
        <w:t>Paga mesatare bruto mujore u rrit me 8.7 përqind në terma vjetorë, duke reflektuar dinamika relativisht më të forta të pagave në sektorin publik (9.4 përqind), si dhe rritje të qëndrueshme të pagave në sektorin privat (8.5 përqind).</w:t>
      </w:r>
    </w:p>
    <w:p w14:paraId="7D49FF96" w14:textId="5148AD42" w:rsidR="00343C90" w:rsidRPr="00DF3EAB" w:rsidRDefault="00343C90" w:rsidP="00343C90">
      <w:pPr>
        <w:pStyle w:val="Caption"/>
        <w:rPr>
          <w:i w:val="0"/>
          <w:iCs w:val="0"/>
          <w:noProof/>
          <w:color w:val="auto"/>
          <w:sz w:val="22"/>
          <w:szCs w:val="24"/>
          <w:lang w:val="sq-AL"/>
        </w:rPr>
      </w:pPr>
      <w:r w:rsidRPr="00DF3EAB">
        <w:rPr>
          <w:i w:val="0"/>
          <w:iCs w:val="0"/>
          <w:noProof/>
          <w:color w:val="auto"/>
          <w:sz w:val="22"/>
          <w:szCs w:val="24"/>
          <w:lang w:val="sq-AL"/>
        </w:rPr>
        <w:t xml:space="preserve">Gjatë vitit 2025, Bilanci i përgjithshëm i Pagesave rezultoi pozitiv, në rritje të mjeteve të rezervës valutore në vlerën 1.13 </w:t>
      </w:r>
      <w:r w:rsidR="0056260B">
        <w:rPr>
          <w:i w:val="0"/>
          <w:iCs w:val="0"/>
          <w:noProof/>
          <w:color w:val="auto"/>
          <w:sz w:val="22"/>
          <w:szCs w:val="24"/>
          <w:lang w:val="sq-AL"/>
        </w:rPr>
        <w:t>miliardë</w:t>
      </w:r>
      <w:r w:rsidRPr="00DF3EAB">
        <w:rPr>
          <w:i w:val="0"/>
          <w:iCs w:val="0"/>
          <w:noProof/>
          <w:color w:val="auto"/>
          <w:sz w:val="22"/>
          <w:szCs w:val="24"/>
          <w:lang w:val="sq-AL"/>
        </w:rPr>
        <w:t xml:space="preserve"> euro, nga 264 </w:t>
      </w:r>
      <w:r w:rsidR="0056260B">
        <w:rPr>
          <w:i w:val="0"/>
          <w:iCs w:val="0"/>
          <w:noProof/>
          <w:color w:val="auto"/>
          <w:sz w:val="22"/>
          <w:szCs w:val="24"/>
          <w:lang w:val="sq-AL"/>
        </w:rPr>
        <w:t>milionë</w:t>
      </w:r>
      <w:r w:rsidRPr="00DF3EAB">
        <w:rPr>
          <w:i w:val="0"/>
          <w:iCs w:val="0"/>
          <w:noProof/>
          <w:color w:val="auto"/>
          <w:sz w:val="22"/>
          <w:szCs w:val="24"/>
          <w:lang w:val="sq-AL"/>
        </w:rPr>
        <w:t xml:space="preserve"> që ishte në vitin 2024. Gjithashtu, vetëm për tremujorin e katërt të 2025, BP shënoi vlerën -6 </w:t>
      </w:r>
      <w:r w:rsidR="0056260B">
        <w:rPr>
          <w:i w:val="0"/>
          <w:iCs w:val="0"/>
          <w:noProof/>
          <w:color w:val="auto"/>
          <w:sz w:val="22"/>
          <w:szCs w:val="24"/>
          <w:lang w:val="sq-AL"/>
        </w:rPr>
        <w:t>milionë</w:t>
      </w:r>
      <w:r w:rsidRPr="00DF3EAB">
        <w:rPr>
          <w:i w:val="0"/>
          <w:iCs w:val="0"/>
          <w:noProof/>
          <w:color w:val="auto"/>
          <w:sz w:val="22"/>
          <w:szCs w:val="24"/>
          <w:lang w:val="sq-AL"/>
        </w:rPr>
        <w:t xml:space="preserve"> euro, krahasuar me tremujorin e katërt të 2024 që shënoi vlerën 293 </w:t>
      </w:r>
      <w:r w:rsidR="0056260B">
        <w:rPr>
          <w:i w:val="0"/>
          <w:iCs w:val="0"/>
          <w:noProof/>
          <w:color w:val="auto"/>
          <w:sz w:val="22"/>
          <w:szCs w:val="24"/>
          <w:lang w:val="sq-AL"/>
        </w:rPr>
        <w:t>milionë</w:t>
      </w:r>
      <w:r w:rsidRPr="00DF3EAB">
        <w:rPr>
          <w:i w:val="0"/>
          <w:iCs w:val="0"/>
          <w:noProof/>
          <w:color w:val="auto"/>
          <w:sz w:val="22"/>
          <w:szCs w:val="24"/>
          <w:lang w:val="sq-AL"/>
        </w:rPr>
        <w:t xml:space="preserve"> euro. Në vitin 2025, llogaria korente regjistroi një defiçit prej -179 </w:t>
      </w:r>
      <w:r w:rsidR="0056260B">
        <w:rPr>
          <w:i w:val="0"/>
          <w:iCs w:val="0"/>
          <w:noProof/>
          <w:color w:val="auto"/>
          <w:sz w:val="22"/>
          <w:szCs w:val="24"/>
          <w:lang w:val="sq-AL"/>
        </w:rPr>
        <w:t>milionë</w:t>
      </w:r>
      <w:r w:rsidRPr="00DF3EAB">
        <w:rPr>
          <w:i w:val="0"/>
          <w:iCs w:val="0"/>
          <w:noProof/>
          <w:color w:val="auto"/>
          <w:sz w:val="22"/>
          <w:szCs w:val="24"/>
          <w:lang w:val="sq-AL"/>
        </w:rPr>
        <w:t xml:space="preserve"> euro krahasuar me vitin më parë, ku shënonte një defiçit prej -609 </w:t>
      </w:r>
      <w:r w:rsidR="0056260B">
        <w:rPr>
          <w:i w:val="0"/>
          <w:iCs w:val="0"/>
          <w:noProof/>
          <w:color w:val="auto"/>
          <w:sz w:val="22"/>
          <w:szCs w:val="24"/>
          <w:lang w:val="sq-AL"/>
        </w:rPr>
        <w:t>milionë</w:t>
      </w:r>
      <w:r w:rsidRPr="00DF3EAB">
        <w:rPr>
          <w:i w:val="0"/>
          <w:iCs w:val="0"/>
          <w:noProof/>
          <w:color w:val="auto"/>
          <w:sz w:val="22"/>
          <w:szCs w:val="24"/>
          <w:lang w:val="sq-AL"/>
        </w:rPr>
        <w:t xml:space="preserve"> euro. Gjithashtu, vetëm për tremujorin e katërt të 2025, llogaria korente u ngushtua në -254 </w:t>
      </w:r>
      <w:r w:rsidR="0056260B">
        <w:rPr>
          <w:i w:val="0"/>
          <w:iCs w:val="0"/>
          <w:noProof/>
          <w:color w:val="auto"/>
          <w:sz w:val="22"/>
          <w:szCs w:val="24"/>
          <w:lang w:val="sq-AL"/>
        </w:rPr>
        <w:t>milionë</w:t>
      </w:r>
      <w:r w:rsidRPr="00DF3EAB">
        <w:rPr>
          <w:i w:val="0"/>
          <w:iCs w:val="0"/>
          <w:noProof/>
          <w:color w:val="auto"/>
          <w:sz w:val="22"/>
          <w:szCs w:val="24"/>
          <w:lang w:val="sq-AL"/>
        </w:rPr>
        <w:t xml:space="preserve"> euro, krahasuar me tremujorin e katërt të 2024 që rezultoi -377 </w:t>
      </w:r>
      <w:r w:rsidR="0056260B">
        <w:rPr>
          <w:i w:val="0"/>
          <w:iCs w:val="0"/>
          <w:noProof/>
          <w:color w:val="auto"/>
          <w:sz w:val="22"/>
          <w:szCs w:val="24"/>
          <w:lang w:val="sq-AL"/>
        </w:rPr>
        <w:t>milionë</w:t>
      </w:r>
      <w:r w:rsidRPr="00DF3EAB">
        <w:rPr>
          <w:i w:val="0"/>
          <w:iCs w:val="0"/>
          <w:noProof/>
          <w:color w:val="auto"/>
          <w:sz w:val="22"/>
          <w:szCs w:val="24"/>
          <w:lang w:val="sq-AL"/>
        </w:rPr>
        <w:t xml:space="preserve"> euro.</w:t>
      </w:r>
    </w:p>
    <w:p w14:paraId="1ADF0F3C" w14:textId="4983712F" w:rsidR="00343C90" w:rsidRDefault="00343C90" w:rsidP="00343C90">
      <w:pPr>
        <w:pStyle w:val="Caption"/>
        <w:rPr>
          <w:i w:val="0"/>
          <w:iCs w:val="0"/>
          <w:noProof/>
          <w:color w:val="auto"/>
          <w:sz w:val="22"/>
          <w:szCs w:val="24"/>
          <w:lang w:val="sq-AL"/>
        </w:rPr>
      </w:pPr>
      <w:r w:rsidRPr="00DF3EAB">
        <w:rPr>
          <w:i w:val="0"/>
          <w:iCs w:val="0"/>
          <w:noProof/>
          <w:color w:val="auto"/>
          <w:sz w:val="22"/>
          <w:szCs w:val="24"/>
          <w:lang w:val="sq-AL"/>
        </w:rPr>
        <w:t xml:space="preserve">Përsa i përket të dhënave të tregtisë së jashtme, për vitin 2025 eksportet e mallrave arritën vlerën 346.1 </w:t>
      </w:r>
      <w:r w:rsidR="0056260B">
        <w:rPr>
          <w:i w:val="0"/>
          <w:iCs w:val="0"/>
          <w:noProof/>
          <w:color w:val="auto"/>
          <w:sz w:val="22"/>
          <w:szCs w:val="24"/>
          <w:lang w:val="sq-AL"/>
        </w:rPr>
        <w:t>miliardë</w:t>
      </w:r>
      <w:r w:rsidRPr="00DF3EAB">
        <w:rPr>
          <w:i w:val="0"/>
          <w:iCs w:val="0"/>
          <w:noProof/>
          <w:color w:val="auto"/>
          <w:sz w:val="22"/>
          <w:szCs w:val="24"/>
          <w:lang w:val="sq-AL"/>
        </w:rPr>
        <w:t xml:space="preserve"> LEK duke u ulur me 6.9%, ndërsa importet e mallrave arritën vlerën 887.3 </w:t>
      </w:r>
      <w:r w:rsidR="0056260B">
        <w:rPr>
          <w:i w:val="0"/>
          <w:iCs w:val="0"/>
          <w:noProof/>
          <w:color w:val="auto"/>
          <w:sz w:val="22"/>
          <w:szCs w:val="24"/>
          <w:lang w:val="sq-AL"/>
        </w:rPr>
        <w:t>miliardë</w:t>
      </w:r>
      <w:r w:rsidRPr="00DF3EAB">
        <w:rPr>
          <w:i w:val="0"/>
          <w:iCs w:val="0"/>
          <w:noProof/>
          <w:color w:val="auto"/>
          <w:sz w:val="22"/>
          <w:szCs w:val="24"/>
          <w:lang w:val="sq-AL"/>
        </w:rPr>
        <w:t xml:space="preserve"> LEK duke rënë me 0.8%, krahasuar me 2024. Defiçiti tregtar arriti vlerën 541.1 </w:t>
      </w:r>
      <w:r w:rsidR="0056260B">
        <w:rPr>
          <w:i w:val="0"/>
          <w:iCs w:val="0"/>
          <w:noProof/>
          <w:color w:val="auto"/>
          <w:sz w:val="22"/>
          <w:szCs w:val="24"/>
          <w:lang w:val="sq-AL"/>
        </w:rPr>
        <w:t>miliardë</w:t>
      </w:r>
      <w:r w:rsidRPr="00DF3EAB">
        <w:rPr>
          <w:i w:val="0"/>
          <w:iCs w:val="0"/>
          <w:noProof/>
          <w:color w:val="auto"/>
          <w:sz w:val="22"/>
          <w:szCs w:val="24"/>
          <w:lang w:val="sq-AL"/>
        </w:rPr>
        <w:t xml:space="preserve"> LEK, duke u rritur me 3.6%, krahasuar me të njëjtën periudhë të 2024. Shkëmbimet tregtare me vendet e BE zënë 52% të gjithë tregtisë. Në periudhën janar-dhjetor 2025, eksportet drejt vendeve të BE zunë 65.8% të eksporteve gjithsej dhe importet nga vendet e BE zunë 47.3% të importeve gjithsej. Partnerët kryesorë tregtarë janë: Italia (23.2%), Kina (12.2%), Turqia (7.6%), dhe Greqia (7.4%). </w:t>
      </w:r>
    </w:p>
    <w:p w14:paraId="7A584071" w14:textId="77777777" w:rsidR="00343C90" w:rsidRPr="00433D6D" w:rsidRDefault="00343C90" w:rsidP="00343C90">
      <w:pPr>
        <w:rPr>
          <w:lang w:val="sq-AL"/>
        </w:rPr>
      </w:pPr>
    </w:p>
    <w:p w14:paraId="26AD327A" w14:textId="7CF593E6" w:rsidR="00343C90" w:rsidRDefault="00343C90" w:rsidP="00343C90">
      <w:pPr>
        <w:pStyle w:val="Caption"/>
        <w:rPr>
          <w:i w:val="0"/>
          <w:iCs w:val="0"/>
          <w:noProof/>
          <w:color w:val="auto"/>
          <w:sz w:val="22"/>
          <w:szCs w:val="24"/>
          <w:lang w:val="sq-AL"/>
        </w:rPr>
      </w:pPr>
      <w:r w:rsidRPr="00DF3EAB">
        <w:rPr>
          <w:i w:val="0"/>
          <w:iCs w:val="0"/>
          <w:noProof/>
          <w:color w:val="auto"/>
          <w:sz w:val="22"/>
          <w:szCs w:val="24"/>
          <w:lang w:val="sq-AL"/>
        </w:rPr>
        <w:lastRenderedPageBreak/>
        <w:t xml:space="preserve">Të ardhurat totale të buxhetit të konsoliduar për vitin 2025 ishin 754.6 </w:t>
      </w:r>
      <w:r w:rsidR="0056260B">
        <w:rPr>
          <w:i w:val="0"/>
          <w:iCs w:val="0"/>
          <w:noProof/>
          <w:color w:val="auto"/>
          <w:sz w:val="22"/>
          <w:szCs w:val="24"/>
          <w:lang w:val="sq-AL"/>
        </w:rPr>
        <w:t>miliardë</w:t>
      </w:r>
      <w:r w:rsidRPr="00DF3EAB">
        <w:rPr>
          <w:i w:val="0"/>
          <w:iCs w:val="0"/>
          <w:noProof/>
          <w:color w:val="auto"/>
          <w:sz w:val="22"/>
          <w:szCs w:val="24"/>
          <w:lang w:val="sq-AL"/>
        </w:rPr>
        <w:t xml:space="preserve"> LEK (28.5% e PBB) ose rreth 6.2% më shumë se viti 2024. Në terma nominal, shpenzimet e përgjithshme publike gjatë 2025 ishin 801.7 </w:t>
      </w:r>
      <w:r w:rsidR="0056260B">
        <w:rPr>
          <w:i w:val="0"/>
          <w:iCs w:val="0"/>
          <w:noProof/>
          <w:color w:val="auto"/>
          <w:sz w:val="22"/>
          <w:szCs w:val="24"/>
          <w:lang w:val="sq-AL"/>
        </w:rPr>
        <w:t>miliardë</w:t>
      </w:r>
      <w:r w:rsidRPr="00DF3EAB">
        <w:rPr>
          <w:i w:val="0"/>
          <w:iCs w:val="0"/>
          <w:noProof/>
          <w:color w:val="auto"/>
          <w:sz w:val="22"/>
          <w:szCs w:val="24"/>
          <w:lang w:val="sq-AL"/>
        </w:rPr>
        <w:t xml:space="preserve"> LEK (30.2% e PBB) ose rreth 10% më shumë se viti 2024. Defiçiti fiskal arriti në 1.8% të PBB, nga një mesatare prej afro 1.9% në tre vitet e mëparshme, ndërsa borxhi publik arriti nivelin prej 52.9% të PBB, në rënie me pothuaj 1.3 pp nga 2024.</w:t>
      </w:r>
    </w:p>
    <w:p w14:paraId="5D763CDF" w14:textId="6F6F1029" w:rsidR="00343C90" w:rsidRPr="00B644BE" w:rsidRDefault="00343C90" w:rsidP="00343C90">
      <w:pPr>
        <w:pStyle w:val="Caption"/>
        <w:jc w:val="left"/>
        <w:rPr>
          <w:rFonts w:cs="Calibri"/>
          <w:noProof/>
          <w:lang w:val="sq-AL"/>
        </w:rPr>
      </w:pPr>
      <w:bookmarkStart w:id="5" w:name="_Toc229130018"/>
      <w:r w:rsidRPr="00B644BE">
        <w:rPr>
          <w:noProof/>
          <w:lang w:val="sq-AL"/>
        </w:rPr>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1</w:t>
      </w:r>
      <w:r w:rsidRPr="00B644BE">
        <w:rPr>
          <w:noProof/>
          <w:lang w:val="sq-AL"/>
        </w:rPr>
        <w:fldChar w:fldCharType="end"/>
      </w:r>
      <w:r w:rsidRPr="00B644BE">
        <w:rPr>
          <w:noProof/>
          <w:lang w:val="sq-AL"/>
        </w:rPr>
        <w:t xml:space="preserve"> Shpenzimet e përgjithshme publike </w:t>
      </w:r>
      <w:r>
        <w:rPr>
          <w:noProof/>
          <w:lang w:val="sq-AL"/>
        </w:rPr>
        <w:t xml:space="preserve">dhe të ardhurat totale </w:t>
      </w:r>
      <w:r w:rsidRPr="00B644BE">
        <w:rPr>
          <w:noProof/>
          <w:lang w:val="sq-AL"/>
        </w:rPr>
        <w:t xml:space="preserve">ndaj PBB-së (në </w:t>
      </w:r>
      <w:r w:rsidR="0056260B">
        <w:rPr>
          <w:noProof/>
          <w:lang w:val="sq-AL"/>
        </w:rPr>
        <w:t>miliardë</w:t>
      </w:r>
      <w:r w:rsidRPr="00B644BE">
        <w:rPr>
          <w:noProof/>
          <w:lang w:val="sq-AL"/>
        </w:rPr>
        <w:t xml:space="preserve"> LEK)</w:t>
      </w:r>
      <w:bookmarkEnd w:id="5"/>
    </w:p>
    <w:p w14:paraId="1C0A2CF4" w14:textId="77777777" w:rsidR="00343C90" w:rsidRPr="00B644BE" w:rsidRDefault="00343C90" w:rsidP="00343C90">
      <w:pPr>
        <w:spacing w:before="0"/>
        <w:jc w:val="center"/>
        <w:rPr>
          <w:rFonts w:cs="Calibri"/>
          <w:noProof/>
          <w:lang w:val="sq-AL"/>
        </w:rPr>
      </w:pPr>
      <w:r w:rsidRPr="00DF3EAB">
        <w:rPr>
          <w:noProof/>
        </w:rPr>
        <w:drawing>
          <wp:inline distT="0" distB="0" distL="0" distR="0" wp14:anchorId="146DD918" wp14:editId="552E301B">
            <wp:extent cx="5828306" cy="2131060"/>
            <wp:effectExtent l="0" t="0" r="1270" b="2540"/>
            <wp:docPr id="66042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777" cy="2131232"/>
                    </a:xfrm>
                    <a:prstGeom prst="rect">
                      <a:avLst/>
                    </a:prstGeom>
                    <a:noFill/>
                    <a:ln>
                      <a:noFill/>
                    </a:ln>
                  </pic:spPr>
                </pic:pic>
              </a:graphicData>
            </a:graphic>
          </wp:inline>
        </w:drawing>
      </w:r>
    </w:p>
    <w:p w14:paraId="4D6B3C5F" w14:textId="77777777" w:rsidR="00343C90" w:rsidRPr="006C1DC6" w:rsidRDefault="00343C90" w:rsidP="00343C90">
      <w:pPr>
        <w:spacing w:before="0"/>
        <w:ind w:firstLine="720"/>
        <w:rPr>
          <w:rFonts w:cs="Calibri"/>
          <w:bCs/>
          <w:i/>
          <w:noProof/>
          <w:sz w:val="18"/>
          <w:lang w:val="sq-AL"/>
        </w:rPr>
      </w:pPr>
      <w:r w:rsidRPr="006C1DC6">
        <w:rPr>
          <w:rFonts w:cs="Calibri"/>
          <w:bCs/>
          <w:i/>
          <w:noProof/>
          <w:sz w:val="18"/>
          <w:lang w:val="sq-AL"/>
        </w:rPr>
        <w:t>Burimi: Ministria e Financave (202</w:t>
      </w:r>
      <w:r>
        <w:rPr>
          <w:rFonts w:cs="Calibri"/>
          <w:bCs/>
          <w:i/>
          <w:noProof/>
          <w:sz w:val="18"/>
          <w:lang w:val="sq-AL"/>
        </w:rPr>
        <w:t>6</w:t>
      </w:r>
      <w:r w:rsidRPr="006C1DC6">
        <w:rPr>
          <w:rFonts w:cs="Calibri"/>
          <w:bCs/>
          <w:i/>
          <w:noProof/>
          <w:sz w:val="18"/>
          <w:lang w:val="sq-AL"/>
        </w:rPr>
        <w:t>)</w:t>
      </w:r>
    </w:p>
    <w:p w14:paraId="25F7D70A" w14:textId="66E5F3D9" w:rsidR="00343C90" w:rsidRPr="00DF3EAB" w:rsidRDefault="00343C90" w:rsidP="00343C90">
      <w:pPr>
        <w:rPr>
          <w:noProof/>
          <w:lang w:val="sq-AL"/>
        </w:rPr>
      </w:pPr>
      <w:bookmarkStart w:id="6" w:name="_Toc10033257"/>
      <w:bookmarkStart w:id="7" w:name="_Toc10721394"/>
      <w:r w:rsidRPr="00DF3EAB">
        <w:rPr>
          <w:noProof/>
          <w:lang w:val="sq-AL"/>
        </w:rPr>
        <w:t xml:space="preserve">Gjatë vitit 2025, huamarrja në terma bruto arriti në 454.0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nga e cila 78.2% (ose 355.2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u financua nga burime të brendshme dhe 21.8% (ose 98.8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nga burime të huaja. Në tregun e brendshëm, qeveria ka emetuar letra me vlerë në vlerën 355.2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nga të cilat 186.2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korrespondojnë me instrumente afatshkurtra dhe 169.1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korrespondojnë me instrumente afatgjata. Financimi neto në fund të vitit 2025 rezultoi në nivelin 49.4 </w:t>
      </w:r>
      <w:r w:rsidR="0056260B">
        <w:rPr>
          <w:noProof/>
          <w:lang w:val="sq-AL"/>
        </w:rPr>
        <w:t>miliardë</w:t>
      </w:r>
      <w:r w:rsidRPr="00DF3EAB">
        <w:rPr>
          <w:noProof/>
          <w:lang w:val="sq-AL"/>
        </w:rPr>
        <w:t xml:space="preserve"> </w:t>
      </w:r>
      <w:r w:rsidR="0056260B">
        <w:rPr>
          <w:noProof/>
          <w:lang w:val="sq-AL"/>
        </w:rPr>
        <w:t>LEK</w:t>
      </w:r>
      <w:r w:rsidRPr="00DF3EAB">
        <w:rPr>
          <w:noProof/>
          <w:lang w:val="sq-AL"/>
        </w:rPr>
        <w:t xml:space="preserve"> dhe u realizua terësisht nëpërmjet instrumenteve afatgjata si edhe u shoqërua me maturim të titujve afatshkurtër.</w:t>
      </w:r>
    </w:p>
    <w:p w14:paraId="30015BE6" w14:textId="17E96B36" w:rsidR="00343C90" w:rsidRPr="00433D6D" w:rsidRDefault="00343C90" w:rsidP="00343C90">
      <w:pPr>
        <w:rPr>
          <w:noProof/>
          <w:lang w:val="sq-AL"/>
        </w:rPr>
      </w:pPr>
      <w:r w:rsidRPr="00DF3EAB">
        <w:rPr>
          <w:noProof/>
          <w:lang w:val="sq-AL"/>
        </w:rPr>
        <w:t xml:space="preserve">Borxhi publik neto për vitin 2025 ishte 1,342.8 </w:t>
      </w:r>
      <w:r w:rsidR="0056260B">
        <w:rPr>
          <w:noProof/>
          <w:lang w:val="sq-AL"/>
        </w:rPr>
        <w:t>miliardë</w:t>
      </w:r>
      <w:r w:rsidRPr="00DF3EAB">
        <w:rPr>
          <w:noProof/>
          <w:lang w:val="sq-AL"/>
        </w:rPr>
        <w:t xml:space="preserve"> LEK ose 50.7% e PBB, në rënie nga 51.9% e PBB për vitin 2024. Stoku bruto i borxhit, që përfshin edhe likuiditetin për financimin e borxhit ndaj PBB, arriti nivelin 52.9% e PBB me një rënie me pothuaj 1.3 pp nga viti 2024, duke rezultuar më i ulët se sa pritshmëritë fillestare.</w:t>
      </w:r>
    </w:p>
    <w:p w14:paraId="3F2F420C" w14:textId="77777777" w:rsidR="00343C90" w:rsidRPr="00B644BE" w:rsidRDefault="00343C90" w:rsidP="00343C90">
      <w:pPr>
        <w:rPr>
          <w:rFonts w:cs="Calibri"/>
          <w:noProof/>
          <w:lang w:val="sq-AL"/>
        </w:rPr>
      </w:pPr>
    </w:p>
    <w:p w14:paraId="1305A8BE" w14:textId="77777777" w:rsidR="00343C90" w:rsidRDefault="00343C90" w:rsidP="0005486A">
      <w:pPr>
        <w:pStyle w:val="Heading1"/>
        <w:spacing w:before="0"/>
        <w:rPr>
          <w:b/>
          <w:bCs/>
          <w:noProof/>
        </w:rPr>
      </w:pPr>
      <w:r w:rsidRPr="0005486A">
        <w:rPr>
          <w:b/>
          <w:bCs/>
          <w:noProof/>
        </w:rPr>
        <w:t xml:space="preserve"> </w:t>
      </w:r>
      <w:bookmarkStart w:id="8" w:name="_Toc229390793"/>
      <w:r w:rsidRPr="0005486A">
        <w:rPr>
          <w:b/>
          <w:bCs/>
          <w:noProof/>
        </w:rPr>
        <w:t>PASQYRË E ZHVILLIMEVE MAKROEKONOMIK</w:t>
      </w:r>
      <w:bookmarkEnd w:id="6"/>
      <w:bookmarkEnd w:id="7"/>
      <w:r w:rsidRPr="0005486A">
        <w:rPr>
          <w:b/>
          <w:bCs/>
          <w:noProof/>
        </w:rPr>
        <w:t>E</w:t>
      </w:r>
      <w:bookmarkEnd w:id="8"/>
    </w:p>
    <w:p w14:paraId="06E4D26A" w14:textId="77777777" w:rsidR="00760B09" w:rsidRPr="00760B09" w:rsidRDefault="00760B09" w:rsidP="00760B09">
      <w:pPr>
        <w:rPr>
          <w:sz w:val="12"/>
          <w:szCs w:val="14"/>
        </w:rPr>
      </w:pPr>
    </w:p>
    <w:p w14:paraId="5B274774" w14:textId="0680DF73" w:rsidR="00343C90" w:rsidRPr="00760B09" w:rsidRDefault="00343C90" w:rsidP="00760B09">
      <w:pPr>
        <w:pStyle w:val="Heading2"/>
        <w:spacing w:before="0"/>
        <w:rPr>
          <w:color w:val="0F6FC6" w:themeColor="accent1"/>
        </w:rPr>
      </w:pPr>
      <w:bookmarkStart w:id="9" w:name="_Toc515271224"/>
      <w:bookmarkStart w:id="10" w:name="_Toc10033258"/>
      <w:bookmarkStart w:id="11" w:name="_Toc10721395"/>
      <w:bookmarkStart w:id="12" w:name="_Toc229390794"/>
      <w:proofErr w:type="spellStart"/>
      <w:r w:rsidRPr="00760B09">
        <w:rPr>
          <w:color w:val="0F6FC6" w:themeColor="accent1"/>
        </w:rPr>
        <w:t>Zhvillimet</w:t>
      </w:r>
      <w:proofErr w:type="spellEnd"/>
      <w:r w:rsidRPr="00760B09">
        <w:rPr>
          <w:color w:val="0F6FC6" w:themeColor="accent1"/>
        </w:rPr>
        <w:t xml:space="preserve"> e </w:t>
      </w:r>
      <w:proofErr w:type="spellStart"/>
      <w:r w:rsidRPr="00760B09">
        <w:rPr>
          <w:color w:val="0F6FC6" w:themeColor="accent1"/>
        </w:rPr>
        <w:t>fundit</w:t>
      </w:r>
      <w:proofErr w:type="spellEnd"/>
      <w:r w:rsidRPr="00760B09">
        <w:rPr>
          <w:color w:val="0F6FC6" w:themeColor="accent1"/>
        </w:rPr>
        <w:t xml:space="preserve"> </w:t>
      </w:r>
      <w:proofErr w:type="spellStart"/>
      <w:r w:rsidRPr="00760B09">
        <w:rPr>
          <w:color w:val="0F6FC6" w:themeColor="accent1"/>
        </w:rPr>
        <w:t>ekonomike</w:t>
      </w:r>
      <w:bookmarkEnd w:id="9"/>
      <w:bookmarkEnd w:id="10"/>
      <w:bookmarkEnd w:id="11"/>
      <w:bookmarkEnd w:id="12"/>
      <w:proofErr w:type="spellEnd"/>
    </w:p>
    <w:p w14:paraId="0CED2375" w14:textId="77777777" w:rsidR="00343C90" w:rsidRPr="00760B09" w:rsidRDefault="00343C90" w:rsidP="00760B09">
      <w:pPr>
        <w:pStyle w:val="Heading3"/>
        <w:rPr>
          <w:i/>
          <w:iCs/>
        </w:rPr>
      </w:pPr>
      <w:bookmarkStart w:id="13" w:name="_Toc229390795"/>
      <w:proofErr w:type="spellStart"/>
      <w:r w:rsidRPr="00760B09">
        <w:rPr>
          <w:i/>
          <w:iCs/>
        </w:rPr>
        <w:t>Sektori</w:t>
      </w:r>
      <w:proofErr w:type="spellEnd"/>
      <w:r w:rsidRPr="00760B09">
        <w:rPr>
          <w:i/>
          <w:iCs/>
        </w:rPr>
        <w:t xml:space="preserve"> real</w:t>
      </w:r>
      <w:bookmarkEnd w:id="13"/>
    </w:p>
    <w:p w14:paraId="0075EBB7" w14:textId="77777777" w:rsidR="00343C90" w:rsidRDefault="00343C90" w:rsidP="00343C90">
      <w:pPr>
        <w:spacing w:before="0"/>
        <w:rPr>
          <w:noProof/>
          <w:lang w:val="sq-AL"/>
        </w:rPr>
      </w:pPr>
      <w:r w:rsidRPr="00367612">
        <w:rPr>
          <w:noProof/>
          <w:lang w:val="sq-AL"/>
        </w:rPr>
        <w:t>Ekonomia e vendit shënoi një rritje reale në nivelin 3.</w:t>
      </w:r>
      <w:r>
        <w:rPr>
          <w:noProof/>
          <w:lang w:val="sq-AL"/>
        </w:rPr>
        <w:t>8</w:t>
      </w:r>
      <w:r w:rsidRPr="00367612">
        <w:rPr>
          <w:noProof/>
          <w:lang w:val="sq-AL"/>
        </w:rPr>
        <w:t xml:space="preserve">% gjatë vitit 2025, e udhëhequr kryesisht nga sektorët e shërbimeve dhe ndërtimit, ndërsa industria dhe bujqësia shënuan kontribut lehtësisht negativ. Sipas optikës së shpenzimeve, rritja është ndikuar kryesisht nga kërkesa e brendshme, e mbështetur në veçanti nga investimet dhe konsumi privat. Ndërkohë, kërkesa e huaj neto ka dhënë një kontribut lehtësisht negativ, kryesisht si pasojë e rritjes së importit të mallrave. Nga ana tjetër, eksportet e përgjithshme janë zgjeruar, të ndikuara nga rritja e eksportit të shërbimeve, ndërkohë që eksportet e mallrave shënuan rënie. </w:t>
      </w:r>
    </w:p>
    <w:p w14:paraId="46E08566" w14:textId="77777777" w:rsidR="00343C90" w:rsidRPr="00760B09" w:rsidRDefault="00343C90" w:rsidP="00343C90">
      <w:pPr>
        <w:spacing w:before="0"/>
        <w:rPr>
          <w:noProof/>
          <w:sz w:val="12"/>
          <w:szCs w:val="14"/>
          <w:lang w:val="sq-AL"/>
        </w:rPr>
      </w:pPr>
    </w:p>
    <w:p w14:paraId="2E6A838E" w14:textId="77777777" w:rsidR="00343C90" w:rsidRPr="00367612" w:rsidRDefault="00343C90" w:rsidP="00343C90">
      <w:pPr>
        <w:spacing w:before="0"/>
        <w:rPr>
          <w:noProof/>
          <w:lang w:val="sq-AL"/>
        </w:rPr>
      </w:pPr>
      <w:r w:rsidRPr="00367612">
        <w:rPr>
          <w:noProof/>
          <w:lang w:val="sq-AL"/>
        </w:rPr>
        <w:t xml:space="preserve">Sipas optikës sektoriale, kontributet kryesore në rritje kanë ardhur nga “Administrata publike, arsimi dhe shëndetësia” me rritje prej 14.29% dhe kontribut pozitiv prej 1.8 pp, ndjekur nga sektori i “Ndërtimit” me rritje prej 4.59% dhe kontribut prej 0.61 pp, si dhe nga “Aktivitetet e Pasurive të Paluajtshme” me rritje prej 8.26% dhe kontribut prej 0.46 pp. Ndërsa, sipas optikës së shpenzimeve, konsumi privat u rrit me 2.77% duke kontribuar me 1.97 pp, ndërsa investimet totale shënuan një rritje prej 5.02%, me një kontribut të konsiderueshëm në rritjen ekonomike prej +1.35 pp. </w:t>
      </w:r>
    </w:p>
    <w:p w14:paraId="4745BA4C" w14:textId="77777777" w:rsidR="00343C90" w:rsidRDefault="00343C90" w:rsidP="00343C90">
      <w:pPr>
        <w:spacing w:before="0"/>
        <w:rPr>
          <w:noProof/>
          <w:lang w:val="sq-AL"/>
        </w:rPr>
      </w:pPr>
      <w:r w:rsidRPr="00367612">
        <w:rPr>
          <w:noProof/>
          <w:lang w:val="sq-AL"/>
        </w:rPr>
        <w:lastRenderedPageBreak/>
        <w:t>Shifrat faktike 2025 për rritjen nominale të rritjes ekonomike kanë sjellë rishikime pozitive të treguesve kryesorë të borxhit dhe të defiçitit, kur për vitin 2025 treguesi i borxhit shënoi nivelin 52.9% të PBB, ndërsa treguesi i defiçitit buxhetor shënoi nivelin 1.8%. Performanca pozitive e aktivitetit ekonomik është reflektuar edhe në tregun e punës. Norma e papunësisë për grupmoshën mbi 15 vjeç është ulur në 8.3% në tremujorin e fundit, ndërsa shkalla e punësimit është rritur në 68.9% për popullsinë 15-64 vjeç. Gjithashtu, edhe paga mesatare mujore ka shënuar rritje me 8.6% në krahasim me një vit më parë, duke rezultuar në 84,100 LEK në fund të 2025.</w:t>
      </w:r>
    </w:p>
    <w:p w14:paraId="5908DC09" w14:textId="77777777" w:rsidR="00343C90" w:rsidRPr="00B644BE" w:rsidRDefault="00343C90" w:rsidP="00343C90">
      <w:pPr>
        <w:spacing w:before="0"/>
        <w:rPr>
          <w:rFonts w:cs="Calibri"/>
          <w:noProof/>
          <w:lang w:val="sq-AL"/>
        </w:rPr>
      </w:pPr>
    </w:p>
    <w:p w14:paraId="43EE2AB9" w14:textId="77777777" w:rsidR="00343C90" w:rsidRPr="00760B09" w:rsidRDefault="00343C90" w:rsidP="00760B09">
      <w:pPr>
        <w:pStyle w:val="Heading3"/>
        <w:rPr>
          <w:i/>
          <w:iCs/>
        </w:rPr>
      </w:pPr>
      <w:bookmarkStart w:id="14" w:name="_Toc229390796"/>
      <w:proofErr w:type="spellStart"/>
      <w:r w:rsidRPr="00760B09">
        <w:rPr>
          <w:i/>
          <w:iCs/>
        </w:rPr>
        <w:t>Sektori</w:t>
      </w:r>
      <w:proofErr w:type="spellEnd"/>
      <w:r w:rsidRPr="00760B09">
        <w:rPr>
          <w:i/>
          <w:iCs/>
        </w:rPr>
        <w:t xml:space="preserve"> </w:t>
      </w:r>
      <w:proofErr w:type="spellStart"/>
      <w:r w:rsidRPr="00760B09">
        <w:rPr>
          <w:i/>
          <w:iCs/>
        </w:rPr>
        <w:t>monetar</w:t>
      </w:r>
      <w:bookmarkEnd w:id="14"/>
      <w:proofErr w:type="spellEnd"/>
    </w:p>
    <w:p w14:paraId="22E9D2CD" w14:textId="22255728" w:rsidR="00343C90" w:rsidRPr="00324A80" w:rsidRDefault="00343C90" w:rsidP="00343C90">
      <w:pPr>
        <w:autoSpaceDE w:val="0"/>
        <w:autoSpaceDN w:val="0"/>
        <w:adjustRightInd w:val="0"/>
        <w:contextualSpacing/>
        <w:rPr>
          <w:rFonts w:cs="Calibri"/>
          <w:noProof/>
          <w:lang w:val="sq-AL"/>
        </w:rPr>
      </w:pPr>
      <w:r w:rsidRPr="00324A80">
        <w:rPr>
          <w:rFonts w:cs="Calibri"/>
          <w:noProof/>
          <w:lang w:val="sq-AL"/>
        </w:rPr>
        <w:t>Gjatë vitit 2025, ekonomia shqiptare u karakterizua nga nivele të ulëta inflacioni, duke shënuar normën mesatare prej  2.2%, duke mos pasur ndryshim krahasuar me një vit më parë. Inflacioni qëndroi nën objektivin prej 3% të Bankës së Shqipërisë, ndikuar nga çmimet e ulëta globale të mallrave, forcimi i Lekut dhe reduktimi i presioneve inflacioniste në ekonominë e brendshme. Ndërkohë, një rol të rëndësishëm në këtë proces ka luajtur edhe politika monetare, duke kontribuar në një balancim më të mirë të kërkesës dhe ofertës në ekonomi dhe duke mbajtur të ankoruara pritjet për inflacionin. Gjithashtu, përgjatë fundit të vitit,</w:t>
      </w:r>
      <w:r>
        <w:rPr>
          <w:rFonts w:cs="Calibri"/>
          <w:noProof/>
          <w:lang w:val="sq-AL"/>
        </w:rPr>
        <w:t xml:space="preserve"> përkatësisht në Dhjetor 2025,</w:t>
      </w:r>
      <w:r w:rsidRPr="00324A80">
        <w:rPr>
          <w:rFonts w:cs="Calibri"/>
          <w:noProof/>
          <w:lang w:val="sq-AL"/>
        </w:rPr>
        <w:t xml:space="preserve"> luhatjet e çmimeve të ushqimeve dhe të naftës në tregun ndërkombëtar kanë ndikuar drejtpërdrejt në ecurinë e inflacionit në vend, ndërsa kategoritë e tjera kanë shfaqur luhatje të vogla e të balancuara nëpër muaj: </w:t>
      </w:r>
    </w:p>
    <w:p w14:paraId="7F48C2E8"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“Ushqime dhe pije joalkoolike” me rritje vjetore të çmimit prej +1.6%, duke kontribuar me +0.56 p.p në inflacionin e përgjithshëm prej +2.3%.</w:t>
      </w:r>
    </w:p>
    <w:p w14:paraId="256A4694"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“Qira, ujë, lëndë djegëse dhe energji” me rritje vjetore të çmimit prej +4.8%, duke kontribuar me +0.96 p.p në inflacionin e përgjithshëm prej +2.3%.</w:t>
      </w:r>
    </w:p>
    <w:p w14:paraId="79225ED3"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“Mobilim, pajisje shtëpie dhe mirëmbajtje”, me rritje vjetore të çmimit prej +2.1%, duke kontribuar me +0.16 p.p në inflacionin e përgjithshëm prej +2.3%.</w:t>
      </w:r>
    </w:p>
    <w:p w14:paraId="369CB44C"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“Pije alkoolike dhe duhan” me rritje vjetore të çmimit prej +2.2%, duke kontribuar me +0.11 p.p në inflacionin e përgjithshëm prej +2.3%.</w:t>
      </w:r>
    </w:p>
    <w:p w14:paraId="34BD93F6"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“Hotele, kafene dhe restorante” me rritje vjetore të çmimit prej +2.6%, duke kontribuar me +0.15 p.p në inflacionin e përgjithshëm prej +2.3%.</w:t>
      </w:r>
    </w:p>
    <w:p w14:paraId="67E221BA"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“Veshje dhe këpucë” me rritje vjetore të çmimit prej +0.4%, duke kontribuar me +0.02 p.p në inflacionin e përgjithshëm prej +2.3%. </w:t>
      </w:r>
    </w:p>
    <w:p w14:paraId="6934C2D8" w14:textId="77777777" w:rsidR="00343C90" w:rsidRPr="00F25566" w:rsidRDefault="00343C90">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“Mallra dhe shërbime të ndryshme” me rritje vjetore të çmimit prej +1.9%, duke kontribuar me +0.10 p.p në inflacionin e përgjithshëm prej +2.3%. </w:t>
      </w:r>
    </w:p>
    <w:p w14:paraId="2823D65A" w14:textId="77777777" w:rsidR="00343C90" w:rsidRDefault="00343C90" w:rsidP="00F25566">
      <w:pPr>
        <w:autoSpaceDE w:val="0"/>
        <w:autoSpaceDN w:val="0"/>
        <w:adjustRightInd w:val="0"/>
        <w:spacing w:line="240" w:lineRule="auto"/>
        <w:contextualSpacing/>
        <w:rPr>
          <w:rFonts w:cs="Calibri"/>
          <w:noProof/>
          <w:lang w:val="sq-AL"/>
        </w:rPr>
      </w:pPr>
      <w:r w:rsidRPr="00324A80">
        <w:rPr>
          <w:rFonts w:cs="Calibri"/>
          <w:noProof/>
          <w:lang w:val="sq-AL"/>
        </w:rPr>
        <w:t xml:space="preserve">Pёrgjatё vitit 2025, kursi i këmbimit </w:t>
      </w:r>
      <w:r>
        <w:rPr>
          <w:rFonts w:cs="Calibri"/>
          <w:noProof/>
          <w:lang w:val="sq-AL"/>
        </w:rPr>
        <w:t>(</w:t>
      </w:r>
      <w:r w:rsidRPr="00324A80">
        <w:rPr>
          <w:rFonts w:cs="Calibri"/>
          <w:noProof/>
          <w:lang w:val="sq-AL"/>
        </w:rPr>
        <w:t>LEK/EUR</w:t>
      </w:r>
      <w:r>
        <w:rPr>
          <w:rFonts w:cs="Calibri"/>
          <w:noProof/>
          <w:lang w:val="sq-AL"/>
        </w:rPr>
        <w:t>)</w:t>
      </w:r>
      <w:r w:rsidRPr="00324A80">
        <w:rPr>
          <w:rFonts w:cs="Calibri"/>
          <w:noProof/>
          <w:lang w:val="sq-AL"/>
        </w:rPr>
        <w:t xml:space="preserve"> shënoi mesatarisht nivelin 97.83, ndërsa kursi ndaj dollarit </w:t>
      </w:r>
      <w:r>
        <w:rPr>
          <w:rFonts w:cs="Calibri"/>
          <w:noProof/>
          <w:lang w:val="sq-AL"/>
        </w:rPr>
        <w:t>(</w:t>
      </w:r>
      <w:r w:rsidRPr="00324A80">
        <w:rPr>
          <w:rFonts w:cs="Calibri"/>
          <w:noProof/>
          <w:lang w:val="sq-AL"/>
        </w:rPr>
        <w:t>LEK/Dollar</w:t>
      </w:r>
      <w:r>
        <w:rPr>
          <w:rFonts w:cs="Calibri"/>
          <w:noProof/>
          <w:lang w:val="sq-AL"/>
        </w:rPr>
        <w:t>)</w:t>
      </w:r>
      <w:r w:rsidRPr="00324A80">
        <w:rPr>
          <w:rFonts w:cs="Calibri"/>
          <w:noProof/>
          <w:lang w:val="sq-AL"/>
        </w:rPr>
        <w:t xml:space="preserve"> arriti në 86.80. Viti 2025, krahasuar me vitin e kaluar, ka dëshmuar një ritëm më të zbutur të mbiçmimit të monedhës shqiptare kundrejt valutave kryesore, ndikuar edhe nga ndërhyrjet e shtuara të Bankës së Shqipërisë për blerje valute. </w:t>
      </w:r>
    </w:p>
    <w:p w14:paraId="01E2F42B" w14:textId="77777777" w:rsidR="00343C90" w:rsidRPr="00F25566" w:rsidRDefault="00343C90" w:rsidP="00F25566">
      <w:pPr>
        <w:autoSpaceDE w:val="0"/>
        <w:autoSpaceDN w:val="0"/>
        <w:adjustRightInd w:val="0"/>
        <w:spacing w:line="240" w:lineRule="auto"/>
        <w:contextualSpacing/>
        <w:rPr>
          <w:rFonts w:cs="Calibri"/>
          <w:noProof/>
          <w:sz w:val="8"/>
          <w:szCs w:val="8"/>
          <w:lang w:val="sq-AL"/>
        </w:rPr>
      </w:pPr>
    </w:p>
    <w:p w14:paraId="7ABDD54F" w14:textId="77777777" w:rsidR="00343C90" w:rsidRDefault="00343C90" w:rsidP="00F25566">
      <w:pPr>
        <w:autoSpaceDE w:val="0"/>
        <w:autoSpaceDN w:val="0"/>
        <w:adjustRightInd w:val="0"/>
        <w:spacing w:line="240" w:lineRule="auto"/>
        <w:contextualSpacing/>
        <w:rPr>
          <w:rFonts w:cs="Calibri"/>
          <w:noProof/>
          <w:lang w:val="sq-AL"/>
        </w:rPr>
      </w:pPr>
      <w:r w:rsidRPr="00324A80">
        <w:rPr>
          <w:rFonts w:cs="Calibri"/>
          <w:noProof/>
          <w:lang w:val="sq-AL"/>
        </w:rPr>
        <w:t xml:space="preserve">Në dhjetor të vitit 2025, stoku total i kredive bankare pati një rritje me 12.9% krahasuar me muajin dhjetor të vitit 2024. Stoku i kredive në LEK shënoi një rritje prej 14.7%, ndërsa ai në valutë rritje prej 10.4%, krahasuar me muajin dhjetor të vitit të kaluar. Stoku i kredive akorduar korporatave jo-financiare (private dhe publike) për muajin dhjetor 2025 shënoi një rritje me 9.6%. Kredia vetëm për bizneset private jo-financiare u rrit me 9.9%, duke kontribuar pozitivisht me 5.6 p.p në ndryshimin e stokut total të kredisë. Ndërsa, stoku i kredive akorduar korporatave publike jo-financiare për muajin dhjetor të vitit 2025 ka shënuar rritje me 0.2% krahasuar me dhjetor 2024, duke mos kontribuar në ndryshimin e stokut total të kredisë. </w:t>
      </w:r>
    </w:p>
    <w:p w14:paraId="5FAD20AD" w14:textId="77777777" w:rsidR="00343C90" w:rsidRPr="00F25566" w:rsidRDefault="00343C90" w:rsidP="00F25566">
      <w:pPr>
        <w:autoSpaceDE w:val="0"/>
        <w:autoSpaceDN w:val="0"/>
        <w:adjustRightInd w:val="0"/>
        <w:spacing w:line="240" w:lineRule="auto"/>
        <w:contextualSpacing/>
        <w:rPr>
          <w:rFonts w:cs="Calibri"/>
          <w:noProof/>
          <w:sz w:val="8"/>
          <w:szCs w:val="8"/>
          <w:lang w:val="sq-AL"/>
        </w:rPr>
      </w:pPr>
    </w:p>
    <w:p w14:paraId="09A23A71" w14:textId="77777777" w:rsidR="00343C90" w:rsidRPr="00324A80" w:rsidRDefault="00343C90" w:rsidP="00F25566">
      <w:pPr>
        <w:autoSpaceDE w:val="0"/>
        <w:autoSpaceDN w:val="0"/>
        <w:adjustRightInd w:val="0"/>
        <w:spacing w:before="0" w:line="240" w:lineRule="auto"/>
        <w:contextualSpacing/>
        <w:rPr>
          <w:rFonts w:cs="Calibri"/>
          <w:noProof/>
          <w:lang w:val="sq-AL"/>
        </w:rPr>
      </w:pPr>
      <w:r w:rsidRPr="00324A80">
        <w:rPr>
          <w:rFonts w:cs="Calibri"/>
          <w:noProof/>
          <w:lang w:val="sq-AL"/>
        </w:rPr>
        <w:t xml:space="preserve">Stoku i kredive akorduar individëve deri në muajin dhjetor të vitit 2025, ka shënuar rritje prej 19.2% krahasuar me dhjetorin e vitit 2024, duke kontribuar pozitivisht në ndryshimin e stokut total të kredisë me 7.5 p.p. Në dhjetor 2025 rezulton se rreth 58.9% e totalit të stokut të kredive përbëhet nga kreditë në LEK, ndërsa pjesa tjetër prej 41.1% përbëhet nga kreditë në valutë. Niveli i kredive me probleme ndaj totalit të kredive, në fund të muajit dhjetor 2025, arriti në 3.8%. </w:t>
      </w:r>
    </w:p>
    <w:p w14:paraId="2FA8A8B0" w14:textId="77777777" w:rsidR="00343C90" w:rsidRPr="00B644BE" w:rsidRDefault="00343C90" w:rsidP="00343C90">
      <w:pPr>
        <w:autoSpaceDE w:val="0"/>
        <w:autoSpaceDN w:val="0"/>
        <w:adjustRightInd w:val="0"/>
        <w:contextualSpacing/>
        <w:rPr>
          <w:rFonts w:cs="Calibri"/>
          <w:noProof/>
          <w:sz w:val="12"/>
          <w:lang w:val="sq-AL"/>
        </w:rPr>
      </w:pPr>
    </w:p>
    <w:p w14:paraId="745C4525" w14:textId="77777777" w:rsidR="00343C90" w:rsidRPr="00760B09" w:rsidRDefault="00343C90" w:rsidP="00760B09">
      <w:pPr>
        <w:pStyle w:val="Heading3"/>
        <w:rPr>
          <w:i/>
          <w:iCs/>
        </w:rPr>
      </w:pPr>
      <w:bookmarkStart w:id="15" w:name="_Toc229390797"/>
      <w:proofErr w:type="spellStart"/>
      <w:r w:rsidRPr="00760B09">
        <w:rPr>
          <w:i/>
          <w:iCs/>
        </w:rPr>
        <w:lastRenderedPageBreak/>
        <w:t>Sektori</w:t>
      </w:r>
      <w:proofErr w:type="spellEnd"/>
      <w:r w:rsidRPr="00760B09">
        <w:rPr>
          <w:i/>
          <w:iCs/>
        </w:rPr>
        <w:t xml:space="preserve"> </w:t>
      </w:r>
      <w:proofErr w:type="spellStart"/>
      <w:r w:rsidRPr="00760B09">
        <w:rPr>
          <w:i/>
          <w:iCs/>
        </w:rPr>
        <w:t>i</w:t>
      </w:r>
      <w:proofErr w:type="spellEnd"/>
      <w:r w:rsidRPr="00760B09">
        <w:rPr>
          <w:i/>
          <w:iCs/>
        </w:rPr>
        <w:t xml:space="preserve"> </w:t>
      </w:r>
      <w:proofErr w:type="spellStart"/>
      <w:r w:rsidRPr="00760B09">
        <w:rPr>
          <w:i/>
          <w:iCs/>
        </w:rPr>
        <w:t>jashtëm</w:t>
      </w:r>
      <w:bookmarkEnd w:id="15"/>
      <w:proofErr w:type="spellEnd"/>
    </w:p>
    <w:p w14:paraId="12D59B26" w14:textId="7A14E915" w:rsidR="00343C90" w:rsidRPr="00DD160A" w:rsidRDefault="00343C90" w:rsidP="00343C90">
      <w:pPr>
        <w:rPr>
          <w:rFonts w:asciiTheme="majorHAnsi" w:hAnsiTheme="majorHAnsi" w:cstheme="majorHAnsi"/>
          <w:noProof/>
          <w:szCs w:val="22"/>
          <w:lang w:val="sq-AL"/>
        </w:rPr>
      </w:pPr>
      <w:bookmarkStart w:id="16" w:name="_Hlk138151992"/>
      <w:bookmarkStart w:id="17" w:name="_Toc515271225"/>
      <w:bookmarkStart w:id="18" w:name="_Toc10033259"/>
      <w:bookmarkStart w:id="19" w:name="_Toc10721396"/>
      <w:r w:rsidRPr="00DD160A">
        <w:rPr>
          <w:rFonts w:asciiTheme="majorHAnsi" w:hAnsiTheme="majorHAnsi" w:cstheme="majorHAnsi"/>
          <w:noProof/>
          <w:szCs w:val="22"/>
          <w:lang w:val="sq-AL"/>
        </w:rPr>
        <w:t xml:space="preserve">Eksportet e mallrave për periudhёn janar-dhjetor 2025 shënuan rënie vjetore prej -6.9% krahasuar me një vit më parë, ndёrsa vetёm pёr dhjetor 2025 shёnuan rritje  prej 5.6% nё krahasim me dhjetor 2024. Në dhjetor 2025, eksportet e mallrave arritën vlerën 26.8 </w:t>
      </w:r>
      <w:r w:rsidR="0056260B">
        <w:rPr>
          <w:rFonts w:asciiTheme="majorHAnsi" w:hAnsiTheme="majorHAnsi" w:cstheme="majorHAnsi"/>
          <w:noProof/>
          <w:szCs w:val="22"/>
          <w:lang w:val="sq-AL"/>
        </w:rPr>
        <w:t>miliardë</w:t>
      </w:r>
      <w:r w:rsidRPr="00DD160A">
        <w:rPr>
          <w:rFonts w:asciiTheme="majorHAnsi" w:hAnsiTheme="majorHAnsi" w:cstheme="majorHAnsi"/>
          <w:noProof/>
          <w:szCs w:val="22"/>
          <w:lang w:val="sq-AL"/>
        </w:rPr>
        <w:t xml:space="preserve"> LEK, duke  u rritur  me 5.6% në krahasim me të njëjtën periudhë të një viti më parë dhe shënoi një rënie prej 4.3% në terma mujor. Rritja  vjetore e eksporteve prej 5.6%, këtë muaj është ndikuar nga grupi: “minerale, lëndë djegëse, energji elektrike” me kontribut pozitiv  prej 3.0 pikë përqindje dhe me një rritje  vjetore prej 15.3%. </w:t>
      </w:r>
    </w:p>
    <w:p w14:paraId="27ADBA47" w14:textId="7509B55E" w:rsidR="00343C90" w:rsidRPr="00DD160A" w:rsidRDefault="00343C90" w:rsidP="00343C90">
      <w:pPr>
        <w:rPr>
          <w:rFonts w:asciiTheme="majorHAnsi" w:hAnsiTheme="majorHAnsi" w:cstheme="majorHAnsi"/>
          <w:noProof/>
          <w:szCs w:val="22"/>
          <w:lang w:val="sq-AL"/>
        </w:rPr>
      </w:pPr>
      <w:r w:rsidRPr="00DD160A">
        <w:rPr>
          <w:rFonts w:asciiTheme="majorHAnsi" w:hAnsiTheme="majorHAnsi" w:cstheme="majorHAnsi"/>
          <w:noProof/>
          <w:szCs w:val="22"/>
          <w:lang w:val="sq-AL"/>
        </w:rPr>
        <w:t xml:space="preserve">Importet e mallrave për periudhёn janar-dhjetor 2025 shënuan një rënie  prej -0.8% krahasuar me një vit më parё, ndërsa vetëm për muajin dhjetor 2025 importet shënuan rritje vjetore prej 1.3% në krahasim me muajin dhjetor 2024. Në dhjetor 2025 importet e mallrave arritën vlerën 79.8 </w:t>
      </w:r>
      <w:r w:rsidR="0056260B">
        <w:rPr>
          <w:rFonts w:asciiTheme="majorHAnsi" w:hAnsiTheme="majorHAnsi" w:cstheme="majorHAnsi"/>
          <w:noProof/>
          <w:szCs w:val="22"/>
          <w:lang w:val="sq-AL"/>
        </w:rPr>
        <w:t>miliardë</w:t>
      </w:r>
      <w:r w:rsidRPr="00DD160A">
        <w:rPr>
          <w:rFonts w:asciiTheme="majorHAnsi" w:hAnsiTheme="majorHAnsi" w:cstheme="majorHAnsi"/>
          <w:noProof/>
          <w:szCs w:val="22"/>
          <w:lang w:val="sq-AL"/>
        </w:rPr>
        <w:t xml:space="preserve"> LEK, duke u rritur me 1.3% në krahasim me një vit më parë dhe duke u rritur me 12.6%, në krahasim me nëntor 2025. Rritja vjetore e importeve prej 1.3%, këtë muaj është ndikuar kryesisht nga grupi: “materiale  ndërtimi dhe metale ” me kontribut pozitiv prej 1.2 pikë përqindje dhe rritje vjetore prej 10.5%.  </w:t>
      </w:r>
    </w:p>
    <w:p w14:paraId="4ECFF57B" w14:textId="47B0DF70" w:rsidR="00343C90" w:rsidRPr="00B644BE" w:rsidRDefault="00343C90" w:rsidP="00343C90">
      <w:pPr>
        <w:rPr>
          <w:rFonts w:asciiTheme="majorHAnsi" w:hAnsiTheme="majorHAnsi" w:cstheme="majorHAnsi"/>
          <w:noProof/>
          <w:szCs w:val="22"/>
          <w:lang w:val="sq-AL"/>
        </w:rPr>
      </w:pPr>
      <w:r w:rsidRPr="00DD160A">
        <w:rPr>
          <w:rFonts w:asciiTheme="majorHAnsi" w:hAnsiTheme="majorHAnsi" w:cstheme="majorHAnsi"/>
          <w:noProof/>
          <w:szCs w:val="22"/>
          <w:lang w:val="sq-AL"/>
        </w:rPr>
        <w:t xml:space="preserve">Për vitin 2025, deficiti tregtar arriti vlerën 541.14 </w:t>
      </w:r>
      <w:r w:rsidR="0056260B">
        <w:rPr>
          <w:rFonts w:asciiTheme="majorHAnsi" w:hAnsiTheme="majorHAnsi" w:cstheme="majorHAnsi"/>
          <w:noProof/>
          <w:szCs w:val="22"/>
          <w:lang w:val="sq-AL"/>
        </w:rPr>
        <w:t>miliardë</w:t>
      </w:r>
      <w:r w:rsidRPr="00DD160A">
        <w:rPr>
          <w:rFonts w:asciiTheme="majorHAnsi" w:hAnsiTheme="majorHAnsi" w:cstheme="majorHAnsi"/>
          <w:noProof/>
          <w:szCs w:val="22"/>
          <w:lang w:val="sq-AL"/>
        </w:rPr>
        <w:t xml:space="preserve"> LEK, duke u përkeqësuar me 3.6% krahasuar me të njëjtën periudhë të 2024. Deficiti tregtar i dhjetorit 2025 është 53.0 </w:t>
      </w:r>
      <w:r w:rsidR="0056260B">
        <w:rPr>
          <w:rFonts w:asciiTheme="majorHAnsi" w:hAnsiTheme="majorHAnsi" w:cstheme="majorHAnsi"/>
          <w:noProof/>
          <w:szCs w:val="22"/>
          <w:lang w:val="sq-AL"/>
        </w:rPr>
        <w:t>miliardë</w:t>
      </w:r>
      <w:r w:rsidRPr="00DD160A">
        <w:rPr>
          <w:rFonts w:asciiTheme="majorHAnsi" w:hAnsiTheme="majorHAnsi" w:cstheme="majorHAnsi"/>
          <w:noProof/>
          <w:szCs w:val="22"/>
          <w:lang w:val="sq-AL"/>
        </w:rPr>
        <w:t xml:space="preserve"> LEK, duke rënë me 0.8%, krahasuar me dhjetor 2024 dhe duke u rritur me 23.7%, në krahasim me nëntor 2025. Shkëmbimet tregtare, për vitin 2025, me vendet e BE-së zënë 57.0% të gjithë tregtisë. Gjatë këtij viti, eksportet drejt vendeve të BE-së zënë 72.5% të eksporteve gjithsej dhe importet nga vendet e BE-së zënë 51.0% të importeve gjithsej. Partnerët kryesorë tregtarë janë: Italia (26.8 %), Kina (10.5%), Greqia (7.6%) e Turqia  (7.3%).</w:t>
      </w:r>
    </w:p>
    <w:bookmarkEnd w:id="16"/>
    <w:p w14:paraId="1B0958A9" w14:textId="77777777" w:rsidR="00343C90" w:rsidRPr="00B644BE" w:rsidRDefault="00343C90" w:rsidP="00343C90">
      <w:pPr>
        <w:tabs>
          <w:tab w:val="left" w:pos="6480"/>
        </w:tabs>
        <w:spacing w:before="0"/>
        <w:rPr>
          <w:rFonts w:cs="Calibri"/>
          <w:noProof/>
          <w:lang w:val="sq-AL"/>
        </w:rPr>
      </w:pPr>
    </w:p>
    <w:p w14:paraId="509B113A" w14:textId="77777777" w:rsidR="00343C90" w:rsidRPr="00760B09" w:rsidRDefault="00343C90" w:rsidP="00760B09">
      <w:pPr>
        <w:pStyle w:val="Heading2"/>
        <w:spacing w:before="0"/>
        <w:rPr>
          <w:color w:val="0F6FC6" w:themeColor="accent1"/>
        </w:rPr>
      </w:pPr>
      <w:bookmarkStart w:id="20" w:name="_Toc229390798"/>
      <w:proofErr w:type="spellStart"/>
      <w:r w:rsidRPr="00760B09">
        <w:rPr>
          <w:color w:val="0F6FC6" w:themeColor="accent1"/>
        </w:rPr>
        <w:t>Krahasimi</w:t>
      </w:r>
      <w:proofErr w:type="spellEnd"/>
      <w:r w:rsidRPr="00760B09">
        <w:rPr>
          <w:color w:val="0F6FC6" w:themeColor="accent1"/>
        </w:rPr>
        <w:t xml:space="preserve"> me </w:t>
      </w:r>
      <w:proofErr w:type="spellStart"/>
      <w:r w:rsidRPr="00760B09">
        <w:rPr>
          <w:color w:val="0F6FC6" w:themeColor="accent1"/>
        </w:rPr>
        <w:t>vendet</w:t>
      </w:r>
      <w:proofErr w:type="spellEnd"/>
      <w:r w:rsidRPr="00760B09">
        <w:rPr>
          <w:color w:val="0F6FC6" w:themeColor="accent1"/>
        </w:rPr>
        <w:t xml:space="preserve"> e </w:t>
      </w:r>
      <w:proofErr w:type="spellStart"/>
      <w:r w:rsidRPr="00760B09">
        <w:rPr>
          <w:color w:val="0F6FC6" w:themeColor="accent1"/>
        </w:rPr>
        <w:t>rajonit</w:t>
      </w:r>
      <w:bookmarkEnd w:id="17"/>
      <w:bookmarkEnd w:id="18"/>
      <w:bookmarkEnd w:id="19"/>
      <w:bookmarkEnd w:id="20"/>
      <w:proofErr w:type="spellEnd"/>
    </w:p>
    <w:p w14:paraId="67F0C2FF" w14:textId="77777777" w:rsidR="00343C90" w:rsidRPr="0064591D"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Aktiviteti ekonomik u ngadalësua në Ballkanin Perëndimor në vitin 2025. Rritja vjetore e prodhimit të rajonit ra në 2.6%, nga 3.6% një vit më parë, kryesisht për shkak të një ngadalësimi të theksuar në Serbi, ekonomia më e madhe në rajon. Rritja e PBB-së në Kosovë shënoi ngadalësimin e dytë më të fortë, ndërsa Mali i Zi, Bosnja dhe Hercegovina dhe Shqipëria panë vetëm norma pak më të ulëta rritjeje krahasuar me vitin e kaluar. Maqedonia e Veriut ishte i vetmi vend ku rritja ekonomike u përshpejtua. Normat e rritjes së PBB-së varionin nga 2% në Serbi deri në 3.8% në Shqipëri. </w:t>
      </w:r>
    </w:p>
    <w:p w14:paraId="1A75A42E" w14:textId="77777777" w:rsidR="00343C90" w:rsidRPr="0064591D"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Rritja ekonomike u nxit përgjithësisht nga kërkesa e brendshme. Konsumi privat mbeti një kontribues kyç në rritjen e prodhimit në vitin 2025, megjithëse rritja e tij vjetore u ngadalësua pothuajse në të gjitha ekonomitë e rajonit. Konsumi i familjeve u mbështet </w:t>
      </w:r>
      <w:r>
        <w:rPr>
          <w:rFonts w:asciiTheme="majorHAnsi" w:hAnsiTheme="majorHAnsi" w:cs="Calibri"/>
          <w:i w:val="0"/>
          <w:iCs w:val="0"/>
          <w:noProof/>
          <w:color w:val="auto"/>
          <w:sz w:val="22"/>
          <w:szCs w:val="22"/>
          <w:lang w:val="sq-AL"/>
        </w:rPr>
        <w:t>kryesisht</w:t>
      </w:r>
      <w:r w:rsidRPr="0064591D">
        <w:rPr>
          <w:rFonts w:asciiTheme="majorHAnsi" w:hAnsiTheme="majorHAnsi" w:cs="Calibri"/>
          <w:i w:val="0"/>
          <w:iCs w:val="0"/>
          <w:noProof/>
          <w:color w:val="auto"/>
          <w:sz w:val="22"/>
          <w:szCs w:val="22"/>
          <w:lang w:val="sq-AL"/>
        </w:rPr>
        <w:t xml:space="preserve"> nga rritja e fortë e pagave. Rritja e investimeve gjithashtu u ngadalësua në shumicën e ekonomive të rajonit, veçanërisht në Maqedoninë e Veriut dhe Bosnjë e Hercegovinë, ndërsa u përshpejtua në Kosovë dhe Mal të Zi falë rritjes së shpenzimeve publike kapitale. Dinamikat e tregtisë u karakterizuan përgjithësisht nga rritje më e fortë e importeve sesa e eksporteve, duke rezultuar në kontribute negative të tregtisë ndërkombëtare në rritjen e prodhimit në shumicën e ekonomive.</w:t>
      </w:r>
    </w:p>
    <w:p w14:paraId="2E282FA3" w14:textId="77777777" w:rsidR="00343C90"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Treguesit e tregut të punës </w:t>
      </w:r>
      <w:r>
        <w:rPr>
          <w:rFonts w:asciiTheme="majorHAnsi" w:hAnsiTheme="majorHAnsi" w:cs="Calibri"/>
          <w:i w:val="0"/>
          <w:iCs w:val="0"/>
          <w:noProof/>
          <w:color w:val="auto"/>
          <w:sz w:val="22"/>
          <w:szCs w:val="22"/>
          <w:lang w:val="sq-AL"/>
        </w:rPr>
        <w:t xml:space="preserve">gjatë </w:t>
      </w:r>
      <w:r w:rsidRPr="0064591D">
        <w:rPr>
          <w:rFonts w:asciiTheme="majorHAnsi" w:hAnsiTheme="majorHAnsi" w:cs="Calibri"/>
          <w:i w:val="0"/>
          <w:iCs w:val="0"/>
          <w:noProof/>
          <w:color w:val="auto"/>
          <w:sz w:val="22"/>
          <w:szCs w:val="22"/>
          <w:lang w:val="sq-AL"/>
        </w:rPr>
        <w:t>viti</w:t>
      </w:r>
      <w:r>
        <w:rPr>
          <w:rFonts w:asciiTheme="majorHAnsi" w:hAnsiTheme="majorHAnsi" w:cs="Calibri"/>
          <w:i w:val="0"/>
          <w:iCs w:val="0"/>
          <w:noProof/>
          <w:color w:val="auto"/>
          <w:sz w:val="22"/>
          <w:szCs w:val="22"/>
          <w:lang w:val="sq-AL"/>
        </w:rPr>
        <w:t>t</w:t>
      </w:r>
      <w:r w:rsidRPr="0064591D">
        <w:rPr>
          <w:rFonts w:asciiTheme="majorHAnsi" w:hAnsiTheme="majorHAnsi" w:cs="Calibri"/>
          <w:i w:val="0"/>
          <w:iCs w:val="0"/>
          <w:noProof/>
          <w:color w:val="auto"/>
          <w:sz w:val="22"/>
          <w:szCs w:val="22"/>
          <w:lang w:val="sq-AL"/>
        </w:rPr>
        <w:t xml:space="preserve"> 2025</w:t>
      </w:r>
      <w:r>
        <w:rPr>
          <w:rFonts w:asciiTheme="majorHAnsi" w:hAnsiTheme="majorHAnsi" w:cs="Calibri"/>
          <w:i w:val="0"/>
          <w:iCs w:val="0"/>
          <w:noProof/>
          <w:color w:val="auto"/>
          <w:sz w:val="22"/>
          <w:szCs w:val="22"/>
          <w:lang w:val="sq-AL"/>
        </w:rPr>
        <w:t xml:space="preserve"> reflektuan dinamika të ndryshme ndërmjet komponentëve kryesorë.</w:t>
      </w:r>
      <w:r w:rsidRPr="0064591D">
        <w:rPr>
          <w:rFonts w:asciiTheme="majorHAnsi" w:hAnsiTheme="majorHAnsi" w:cs="Calibri"/>
          <w:i w:val="0"/>
          <w:iCs w:val="0"/>
          <w:noProof/>
          <w:color w:val="auto"/>
          <w:sz w:val="22"/>
          <w:szCs w:val="22"/>
          <w:lang w:val="sq-AL"/>
        </w:rPr>
        <w:t xml:space="preserve"> Punësimi mesatar i rajonit ra për herë të parë që nga viti 2020, me 0.6%, ndërsa pjesëmarrja në fuqinë punëtore u rrit në disa ekonomi. </w:t>
      </w:r>
    </w:p>
    <w:p w14:paraId="7475B587" w14:textId="46529841" w:rsidR="00343C90" w:rsidRPr="0064591D"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Deficiti mesatar i ponderuar i llogarisë </w:t>
      </w:r>
      <w:r w:rsidR="0056260B">
        <w:rPr>
          <w:rFonts w:asciiTheme="majorHAnsi" w:hAnsiTheme="majorHAnsi" w:cs="Calibri"/>
          <w:i w:val="0"/>
          <w:iCs w:val="0"/>
          <w:noProof/>
          <w:color w:val="auto"/>
          <w:sz w:val="22"/>
          <w:szCs w:val="22"/>
          <w:lang w:val="sq-AL"/>
        </w:rPr>
        <w:t>korente</w:t>
      </w:r>
      <w:r w:rsidRPr="0064591D">
        <w:rPr>
          <w:rFonts w:asciiTheme="majorHAnsi" w:hAnsiTheme="majorHAnsi" w:cs="Calibri"/>
          <w:i w:val="0"/>
          <w:iCs w:val="0"/>
          <w:noProof/>
          <w:color w:val="auto"/>
          <w:sz w:val="22"/>
          <w:szCs w:val="22"/>
          <w:lang w:val="sq-AL"/>
        </w:rPr>
        <w:t xml:space="preserve"> të rajonit u rrit lehtë, në 4.9% të PBB-së në vitin 2025. Kjo u nxit kryesisht nga zgjerimi i deficiteve tregtare të mallrave dhe ulja e suficiteve të të ardhurave dytësore dhe të shërbimeve si përqindje ndaj PBB-së. Rezervat valutore u rritën në disa ekonomi të rajonit në fillim të vitit 2026, ndërsa raportet e mbulimit të importeve mbetën të qëndrueshme.</w:t>
      </w:r>
    </w:p>
    <w:p w14:paraId="62C201DD" w14:textId="2A030DFE" w:rsidR="00343C90" w:rsidRPr="0064591D"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Inflacioni mesatar vjetor në Ballkanin Perëndimor u rrit lehtë në 3.7% në vitin 2025, nga 3.4% një vit më parë, kryesisht i nxitur nga çmimet e ushqimeve dhe rritja e pagave. Norma e inflacionit varionte nga 2.2% në Shqipëri në 6.1% në Kosovë. Të gjitha bankat qendrore me autonomi monetare ruajtën qëndrimin e tyre të politikës. </w:t>
      </w:r>
      <w:r w:rsidRPr="0064591D">
        <w:rPr>
          <w:rFonts w:asciiTheme="majorHAnsi" w:hAnsiTheme="majorHAnsi" w:cs="Calibri"/>
          <w:i w:val="0"/>
          <w:iCs w:val="0"/>
          <w:noProof/>
          <w:color w:val="auto"/>
          <w:sz w:val="22"/>
          <w:szCs w:val="22"/>
          <w:lang w:val="sq-AL"/>
        </w:rPr>
        <w:lastRenderedPageBreak/>
        <w:t>Banka Kombëtare e Serbisë mbajti normën e saj bazë të pandryshuar në 5.75%, pasi e kishte ulur në tre hapa në gjysmën e dytë të vitit 2024. Banka e Shqipërisë e ka mbajtur atë në 2.5% që nga ulja e fundit me 25 pikëbazë në korrik 2025, ndërsa banka qendrore e Maqedonisë së Veriut vendosi në mars ta mbajë normën kryesore 4%.</w:t>
      </w:r>
    </w:p>
    <w:p w14:paraId="47CE6502" w14:textId="77777777" w:rsidR="00343C90" w:rsidRPr="0064591D"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Në vitin 2025, shpenzimet buxhetore u rritën më shpejt se të ardhurat dhe bilancet fiskale u përkeqësuan në shumicën e ekonomive të Ballkanit Perëndimor krahasuar me një vit më parë. Në shumicën e ekonomive (Shqipëria, Maqedonia e Veriut, Serbia dhe Kosova), bilancet fiskale u mbështetën nga shpenzimet kapitale që mbetën pas planeve, shpesh me diferencë të konsiderueshme.</w:t>
      </w:r>
    </w:p>
    <w:p w14:paraId="5405E2E1" w14:textId="77777777" w:rsidR="00343C90" w:rsidRDefault="00343C90" w:rsidP="00343C90">
      <w:pPr>
        <w:pStyle w:val="Caption"/>
        <w:rPr>
          <w:rFonts w:asciiTheme="majorHAnsi" w:hAnsiTheme="majorHAnsi" w:cs="Calibri"/>
          <w:i w:val="0"/>
          <w:iCs w:val="0"/>
          <w:noProof/>
          <w:color w:val="auto"/>
          <w:sz w:val="22"/>
          <w:szCs w:val="22"/>
          <w:lang w:val="sq-AL"/>
        </w:rPr>
      </w:pPr>
      <w:r w:rsidRPr="0064591D">
        <w:rPr>
          <w:rFonts w:asciiTheme="majorHAnsi" w:hAnsiTheme="majorHAnsi" w:cs="Calibri"/>
          <w:i w:val="0"/>
          <w:iCs w:val="0"/>
          <w:noProof/>
          <w:color w:val="auto"/>
          <w:sz w:val="22"/>
          <w:szCs w:val="22"/>
          <w:lang w:val="sq-AL"/>
        </w:rPr>
        <w:t xml:space="preserve">Në Shqipëri, PBB për tremujorin e katërt të vitit 2025 vlerësohet me rritje prej 3.80%, kundrejt tremujorit të katërt 2024. Ndërkohë, për vitin 2025 Shqipëria është vlerësuar me një rritje prej 3.79% krahasuar me vitin 2024, e mbështetur nga rritja e konsumit privat, konsumit publik, investimeve dhe eksporteve, të cilat tejkaluan rritjen e importeve. </w:t>
      </w:r>
    </w:p>
    <w:p w14:paraId="00DDB3D3" w14:textId="5944D03D" w:rsidR="00343C90" w:rsidRPr="00B644BE" w:rsidRDefault="00343C90" w:rsidP="00343C90">
      <w:pPr>
        <w:pStyle w:val="Caption"/>
        <w:jc w:val="left"/>
        <w:rPr>
          <w:rFonts w:cs="Calibri"/>
          <w:noProof/>
          <w:lang w:val="sq-AL"/>
        </w:rPr>
      </w:pPr>
      <w:bookmarkStart w:id="21" w:name="_Toc229129975"/>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1</w:t>
      </w:r>
      <w:r w:rsidRPr="00B644BE">
        <w:rPr>
          <w:noProof/>
          <w:lang w:val="sq-AL"/>
        </w:rPr>
        <w:fldChar w:fldCharType="end"/>
      </w:r>
      <w:r w:rsidRPr="00B644BE">
        <w:rPr>
          <w:noProof/>
          <w:lang w:val="sq-AL"/>
        </w:rPr>
        <w:t xml:space="preserve"> Produkti i Brendshëm Bruto</w:t>
      </w:r>
      <w:bookmarkEnd w:id="21"/>
    </w:p>
    <w:tbl>
      <w:tblPr>
        <w:tblStyle w:val="GridTable4-Accent11"/>
        <w:tblW w:w="4084" w:type="pct"/>
        <w:jc w:val="center"/>
        <w:tblLook w:val="04A0" w:firstRow="1" w:lastRow="0" w:firstColumn="1" w:lastColumn="0" w:noHBand="0" w:noVBand="1"/>
      </w:tblPr>
      <w:tblGrid>
        <w:gridCol w:w="5270"/>
        <w:gridCol w:w="1425"/>
        <w:gridCol w:w="1383"/>
      </w:tblGrid>
      <w:tr w:rsidR="00343C90" w:rsidRPr="008D7D08" w14:paraId="7CAA4566" w14:textId="77777777" w:rsidTr="009F174D">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262" w:type="pct"/>
            <w:hideMark/>
          </w:tcPr>
          <w:p w14:paraId="54485036" w14:textId="77777777" w:rsidR="00343C90" w:rsidRPr="008D7D08" w:rsidRDefault="00343C90" w:rsidP="009F174D">
            <w:pPr>
              <w:spacing w:before="0" w:line="240" w:lineRule="auto"/>
              <w:jc w:val="center"/>
              <w:rPr>
                <w:rFonts w:cs="Calibri"/>
                <w:noProof/>
                <w:sz w:val="18"/>
                <w:szCs w:val="20"/>
                <w:lang w:val="sq-AL"/>
              </w:rPr>
            </w:pPr>
            <w:bookmarkStart w:id="22" w:name="_Toc515446548"/>
            <w:r w:rsidRPr="00653581">
              <w:rPr>
                <w:rFonts w:cs="Calibri"/>
                <w:noProof/>
                <w:sz w:val="18"/>
                <w:szCs w:val="20"/>
                <w:lang w:val="sq-AL"/>
              </w:rPr>
              <w:t>Produkti i Brendshëm Bruto</w:t>
            </w:r>
            <w:r w:rsidRPr="00653581">
              <w:rPr>
                <w:rFonts w:cs="Calibri"/>
                <w:i/>
                <w:noProof/>
                <w:sz w:val="18"/>
                <w:szCs w:val="20"/>
                <w:lang w:val="sq-AL"/>
              </w:rPr>
              <w:t xml:space="preserve"> </w:t>
            </w:r>
            <w:r w:rsidRPr="00653581">
              <w:rPr>
                <w:rFonts w:cs="Calibri"/>
                <w:i/>
                <w:iCs/>
                <w:noProof/>
                <w:sz w:val="18"/>
                <w:szCs w:val="20"/>
                <w:lang w:val="sq-AL"/>
              </w:rPr>
              <w:t>(rritja vjetore ne %, në terma reale)</w:t>
            </w:r>
          </w:p>
        </w:tc>
        <w:tc>
          <w:tcPr>
            <w:tcW w:w="882" w:type="pct"/>
            <w:hideMark/>
          </w:tcPr>
          <w:p w14:paraId="753A080C"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4</w:t>
            </w:r>
          </w:p>
        </w:tc>
        <w:tc>
          <w:tcPr>
            <w:tcW w:w="856" w:type="pct"/>
            <w:hideMark/>
          </w:tcPr>
          <w:p w14:paraId="4E53B742"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5</w:t>
            </w:r>
          </w:p>
        </w:tc>
      </w:tr>
      <w:tr w:rsidR="00343C90" w:rsidRPr="008D7D08" w14:paraId="34E2F21A" w14:textId="77777777" w:rsidTr="009F174D">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2B3565DF" w14:textId="77777777" w:rsidR="00343C90" w:rsidRPr="008D7D08" w:rsidRDefault="00343C90" w:rsidP="009F174D">
            <w:pPr>
              <w:spacing w:before="0" w:line="240" w:lineRule="auto"/>
              <w:jc w:val="center"/>
              <w:rPr>
                <w:rFonts w:cs="Calibri"/>
                <w:b w:val="0"/>
                <w:noProof/>
                <w:sz w:val="18"/>
                <w:szCs w:val="20"/>
                <w:lang w:val="sq-AL"/>
              </w:rPr>
            </w:pPr>
            <w:r w:rsidRPr="00653581">
              <w:rPr>
                <w:rFonts w:cs="Calibri"/>
                <w:noProof/>
                <w:sz w:val="18"/>
                <w:szCs w:val="20"/>
                <w:lang w:val="sq-AL"/>
              </w:rPr>
              <w:t>Maqedonia e Veriut</w:t>
            </w:r>
          </w:p>
        </w:tc>
        <w:tc>
          <w:tcPr>
            <w:tcW w:w="882" w:type="pct"/>
            <w:noWrap/>
            <w:hideMark/>
          </w:tcPr>
          <w:p w14:paraId="3A91F3C1"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3.0</w:t>
            </w:r>
          </w:p>
        </w:tc>
        <w:tc>
          <w:tcPr>
            <w:tcW w:w="856" w:type="pct"/>
            <w:noWrap/>
            <w:hideMark/>
          </w:tcPr>
          <w:p w14:paraId="0C41017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3.4</w:t>
            </w:r>
          </w:p>
        </w:tc>
      </w:tr>
      <w:tr w:rsidR="00343C90" w:rsidRPr="008D7D08" w14:paraId="77D231B5" w14:textId="77777777" w:rsidTr="009F174D">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016E932F" w14:textId="77777777" w:rsidR="00343C90" w:rsidRPr="008D7D08" w:rsidRDefault="00343C90" w:rsidP="009F174D">
            <w:pPr>
              <w:spacing w:before="0" w:line="240" w:lineRule="auto"/>
              <w:jc w:val="center"/>
              <w:rPr>
                <w:rFonts w:cs="Calibri"/>
                <w:b w:val="0"/>
                <w:noProof/>
                <w:sz w:val="18"/>
                <w:szCs w:val="20"/>
                <w:lang w:val="sq-AL"/>
              </w:rPr>
            </w:pPr>
            <w:r w:rsidRPr="00653581">
              <w:rPr>
                <w:rFonts w:cs="Calibri"/>
                <w:noProof/>
                <w:sz w:val="18"/>
                <w:szCs w:val="20"/>
                <w:lang w:val="sq-AL"/>
              </w:rPr>
              <w:t>Mali i ZI</w:t>
            </w:r>
          </w:p>
        </w:tc>
        <w:tc>
          <w:tcPr>
            <w:tcW w:w="882" w:type="pct"/>
            <w:noWrap/>
            <w:hideMark/>
          </w:tcPr>
          <w:p w14:paraId="0A112D59"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3.2</w:t>
            </w:r>
          </w:p>
        </w:tc>
        <w:tc>
          <w:tcPr>
            <w:tcW w:w="856" w:type="pct"/>
            <w:noWrap/>
            <w:hideMark/>
          </w:tcPr>
          <w:p w14:paraId="50055672"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2.7</w:t>
            </w:r>
          </w:p>
        </w:tc>
      </w:tr>
      <w:tr w:rsidR="00343C90" w:rsidRPr="008D7D08" w14:paraId="2FC89E52" w14:textId="77777777" w:rsidTr="009F174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55C9F0A0" w14:textId="77777777" w:rsidR="00343C90" w:rsidRPr="008D7D08" w:rsidRDefault="00343C90" w:rsidP="009F174D">
            <w:pPr>
              <w:spacing w:before="0" w:line="240" w:lineRule="auto"/>
              <w:jc w:val="center"/>
              <w:rPr>
                <w:rFonts w:cs="Calibri"/>
                <w:b w:val="0"/>
                <w:noProof/>
                <w:sz w:val="18"/>
                <w:szCs w:val="20"/>
                <w:lang w:val="sq-AL"/>
              </w:rPr>
            </w:pPr>
            <w:r w:rsidRPr="00653581">
              <w:rPr>
                <w:rFonts w:cs="Calibri"/>
                <w:noProof/>
                <w:sz w:val="18"/>
                <w:szCs w:val="20"/>
                <w:lang w:val="sq-AL"/>
              </w:rPr>
              <w:t>Serbia</w:t>
            </w:r>
          </w:p>
        </w:tc>
        <w:tc>
          <w:tcPr>
            <w:tcW w:w="882" w:type="pct"/>
            <w:noWrap/>
            <w:hideMark/>
          </w:tcPr>
          <w:p w14:paraId="3F211E57"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3.</w:t>
            </w:r>
            <w:r>
              <w:rPr>
                <w:rFonts w:cs="Calibri"/>
                <w:noProof/>
                <w:sz w:val="18"/>
                <w:szCs w:val="20"/>
                <w:lang w:val="sq-AL"/>
              </w:rPr>
              <w:t>9</w:t>
            </w:r>
          </w:p>
        </w:tc>
        <w:tc>
          <w:tcPr>
            <w:tcW w:w="856" w:type="pct"/>
            <w:noWrap/>
            <w:hideMark/>
          </w:tcPr>
          <w:p w14:paraId="7495BEE0"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2.0</w:t>
            </w:r>
          </w:p>
        </w:tc>
      </w:tr>
      <w:tr w:rsidR="00343C90" w:rsidRPr="008D7D08" w14:paraId="4C6CA1F0" w14:textId="77777777" w:rsidTr="009F174D">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3E6E8EE0" w14:textId="77777777" w:rsidR="00343C90" w:rsidRPr="008D7D08" w:rsidRDefault="00343C90" w:rsidP="009F174D">
            <w:pPr>
              <w:spacing w:before="0" w:line="240" w:lineRule="auto"/>
              <w:jc w:val="center"/>
              <w:rPr>
                <w:rFonts w:cs="Calibri"/>
                <w:noProof/>
                <w:color w:val="FF0000"/>
                <w:sz w:val="18"/>
                <w:szCs w:val="20"/>
                <w:lang w:val="sq-AL"/>
              </w:rPr>
            </w:pPr>
            <w:r w:rsidRPr="00653581">
              <w:rPr>
                <w:rFonts w:cs="Calibri"/>
                <w:noProof/>
                <w:color w:val="FF0000"/>
                <w:sz w:val="18"/>
                <w:szCs w:val="20"/>
                <w:lang w:val="sq-AL"/>
              </w:rPr>
              <w:t>Shqipëria</w:t>
            </w:r>
          </w:p>
        </w:tc>
        <w:tc>
          <w:tcPr>
            <w:tcW w:w="882" w:type="pct"/>
            <w:noWrap/>
            <w:hideMark/>
          </w:tcPr>
          <w:p w14:paraId="326BEE1C"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Pr>
                <w:rFonts w:cs="Calibri"/>
                <w:b/>
                <w:noProof/>
                <w:color w:val="FF0000"/>
                <w:sz w:val="18"/>
                <w:szCs w:val="20"/>
                <w:lang w:val="sq-AL"/>
              </w:rPr>
              <w:t>4.0</w:t>
            </w:r>
          </w:p>
        </w:tc>
        <w:tc>
          <w:tcPr>
            <w:tcW w:w="856" w:type="pct"/>
            <w:noWrap/>
            <w:hideMark/>
          </w:tcPr>
          <w:p w14:paraId="719A6DA1"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Pr>
                <w:rFonts w:cs="Calibri"/>
                <w:b/>
                <w:noProof/>
                <w:color w:val="FF0000"/>
                <w:sz w:val="18"/>
                <w:szCs w:val="20"/>
                <w:lang w:val="sq-AL"/>
              </w:rPr>
              <w:t>3.8</w:t>
            </w:r>
          </w:p>
        </w:tc>
      </w:tr>
      <w:tr w:rsidR="00343C90" w:rsidRPr="008D7D08" w14:paraId="3BE1CF61" w14:textId="77777777" w:rsidTr="009F174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7E8D561E" w14:textId="77777777" w:rsidR="00343C90" w:rsidRPr="008D7D08" w:rsidRDefault="00343C90" w:rsidP="009F174D">
            <w:pPr>
              <w:spacing w:before="0" w:line="240" w:lineRule="auto"/>
              <w:jc w:val="center"/>
              <w:rPr>
                <w:rFonts w:cs="Calibri"/>
                <w:b w:val="0"/>
                <w:noProof/>
                <w:sz w:val="18"/>
                <w:szCs w:val="20"/>
                <w:lang w:val="sq-AL"/>
              </w:rPr>
            </w:pPr>
            <w:r w:rsidRPr="00653581">
              <w:rPr>
                <w:rFonts w:cs="Calibri"/>
                <w:noProof/>
                <w:sz w:val="18"/>
                <w:szCs w:val="20"/>
                <w:lang w:val="sq-AL"/>
              </w:rPr>
              <w:t>Bosnja dhe Hercegovina</w:t>
            </w:r>
          </w:p>
        </w:tc>
        <w:tc>
          <w:tcPr>
            <w:tcW w:w="882" w:type="pct"/>
            <w:noWrap/>
            <w:hideMark/>
          </w:tcPr>
          <w:p w14:paraId="0F2DA640"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2.6</w:t>
            </w:r>
          </w:p>
        </w:tc>
        <w:tc>
          <w:tcPr>
            <w:tcW w:w="856" w:type="pct"/>
            <w:noWrap/>
            <w:hideMark/>
          </w:tcPr>
          <w:p w14:paraId="654FA7B6"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2.1</w:t>
            </w:r>
          </w:p>
        </w:tc>
      </w:tr>
      <w:tr w:rsidR="00343C90" w:rsidRPr="00C5030F" w14:paraId="3485367D" w14:textId="77777777" w:rsidTr="009F174D">
        <w:trPr>
          <w:trHeight w:val="71"/>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60DD830B" w14:textId="77777777" w:rsidR="00343C90" w:rsidRPr="008D7D08" w:rsidRDefault="00343C90" w:rsidP="009F174D">
            <w:pPr>
              <w:spacing w:before="0" w:line="240" w:lineRule="auto"/>
              <w:jc w:val="center"/>
              <w:rPr>
                <w:rFonts w:cs="Calibri"/>
                <w:b w:val="0"/>
                <w:noProof/>
                <w:sz w:val="18"/>
                <w:szCs w:val="20"/>
                <w:lang w:val="sq-AL"/>
              </w:rPr>
            </w:pPr>
            <w:r w:rsidRPr="00653581">
              <w:rPr>
                <w:rFonts w:cs="Calibri"/>
                <w:noProof/>
                <w:sz w:val="18"/>
                <w:szCs w:val="20"/>
                <w:lang w:val="sq-AL"/>
              </w:rPr>
              <w:t>Kosova</w:t>
            </w:r>
          </w:p>
        </w:tc>
        <w:tc>
          <w:tcPr>
            <w:tcW w:w="882" w:type="pct"/>
            <w:noWrap/>
            <w:hideMark/>
          </w:tcPr>
          <w:p w14:paraId="2CF92FCA"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4.</w:t>
            </w:r>
            <w:r>
              <w:rPr>
                <w:rFonts w:cs="Calibri"/>
                <w:noProof/>
                <w:sz w:val="18"/>
                <w:szCs w:val="20"/>
                <w:lang w:val="sq-AL"/>
              </w:rPr>
              <w:t>6</w:t>
            </w:r>
          </w:p>
        </w:tc>
        <w:tc>
          <w:tcPr>
            <w:tcW w:w="856" w:type="pct"/>
            <w:noWrap/>
            <w:hideMark/>
          </w:tcPr>
          <w:p w14:paraId="6EAB1659"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3.6</w:t>
            </w:r>
          </w:p>
        </w:tc>
      </w:tr>
    </w:tbl>
    <w:p w14:paraId="75883173" w14:textId="77777777" w:rsidR="00343C90" w:rsidRDefault="00343C90" w:rsidP="00343C90">
      <w:pPr>
        <w:spacing w:before="0"/>
        <w:ind w:left="720" w:firstLine="720"/>
        <w:rPr>
          <w:rFonts w:cs="Calibri"/>
          <w:i/>
          <w:noProof/>
          <w:sz w:val="18"/>
          <w:szCs w:val="18"/>
          <w:lang w:val="sq-AL"/>
        </w:rPr>
      </w:pPr>
      <w:r w:rsidRPr="008D7D08">
        <w:rPr>
          <w:rFonts w:cs="Calibri"/>
          <w:i/>
          <w:noProof/>
          <w:sz w:val="18"/>
          <w:szCs w:val="18"/>
          <w:lang w:val="sq-AL"/>
        </w:rPr>
        <w:t>Burimi: Directorate-General for Economic and Financial Affairs (DG-ECFIN), Q1-202</w:t>
      </w:r>
      <w:r>
        <w:rPr>
          <w:rFonts w:cs="Calibri"/>
          <w:i/>
          <w:noProof/>
          <w:sz w:val="18"/>
          <w:szCs w:val="18"/>
          <w:lang w:val="sq-AL"/>
        </w:rPr>
        <w:t>6</w:t>
      </w:r>
    </w:p>
    <w:p w14:paraId="04DDF308" w14:textId="77777777" w:rsidR="00343C90" w:rsidRDefault="00343C90" w:rsidP="00343C90">
      <w:pPr>
        <w:pStyle w:val="Caption"/>
        <w:jc w:val="left"/>
        <w:rPr>
          <w:rFonts w:cs="Calibri"/>
          <w:i w:val="0"/>
          <w:iCs w:val="0"/>
          <w:noProof/>
          <w:color w:val="auto"/>
          <w:sz w:val="22"/>
          <w:szCs w:val="24"/>
          <w:lang w:val="sq-AL"/>
        </w:rPr>
      </w:pPr>
      <w:r w:rsidRPr="0064591D">
        <w:rPr>
          <w:rFonts w:cs="Calibri"/>
          <w:i w:val="0"/>
          <w:iCs w:val="0"/>
          <w:noProof/>
          <w:color w:val="auto"/>
          <w:sz w:val="22"/>
          <w:szCs w:val="24"/>
          <w:lang w:val="sq-AL"/>
        </w:rPr>
        <w:t xml:space="preserve">Gjatë vitit 2025, norma e papunësisë </w:t>
      </w:r>
      <w:r>
        <w:rPr>
          <w:rFonts w:cs="Calibri"/>
          <w:i w:val="0"/>
          <w:iCs w:val="0"/>
          <w:noProof/>
          <w:color w:val="auto"/>
          <w:sz w:val="22"/>
          <w:szCs w:val="24"/>
          <w:lang w:val="sq-AL"/>
        </w:rPr>
        <w:t xml:space="preserve">(15-64 vjeç) </w:t>
      </w:r>
      <w:r w:rsidRPr="0064591D">
        <w:rPr>
          <w:rFonts w:cs="Calibri"/>
          <w:i w:val="0"/>
          <w:iCs w:val="0"/>
          <w:noProof/>
          <w:color w:val="auto"/>
          <w:sz w:val="22"/>
          <w:szCs w:val="24"/>
          <w:lang w:val="sq-AL"/>
        </w:rPr>
        <w:t>u ul në të gjithë rajonin, përveç Serbisë, ku u rrit në mënyrë të lehtë nga një nivel rekord i ulët një vit më parë. Normat e papunësisë ishin në nivele historikisht të ulëta, por mbeteshin dukshëm mbi mesataren e BE-së, duke variuar nga 8.7% në Serbi deri në 12.2% në Bosnjë dhe Hercegovinë. Ndërkohë, në Shqipëri norma e papunësisë pësoi një përmirësim të lehtë në 9.3% për vitin 2025.</w:t>
      </w:r>
    </w:p>
    <w:p w14:paraId="51C11CE6" w14:textId="4298FD9A" w:rsidR="00343C90" w:rsidRPr="00B644BE" w:rsidRDefault="00343C90" w:rsidP="00343C90">
      <w:pPr>
        <w:pStyle w:val="Caption"/>
        <w:jc w:val="left"/>
        <w:rPr>
          <w:rFonts w:cs="Calibri"/>
          <w:noProof/>
          <w:lang w:val="sq-AL"/>
        </w:rPr>
      </w:pPr>
      <w:bookmarkStart w:id="23" w:name="_Toc229129976"/>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2</w:t>
      </w:r>
      <w:r w:rsidRPr="00B644BE">
        <w:rPr>
          <w:noProof/>
          <w:lang w:val="sq-AL"/>
        </w:rPr>
        <w:fldChar w:fldCharType="end"/>
      </w:r>
      <w:r w:rsidRPr="00B644BE">
        <w:rPr>
          <w:noProof/>
          <w:lang w:val="sq-AL"/>
        </w:rPr>
        <w:t xml:space="preserve"> Norma e papunësisë</w:t>
      </w:r>
      <w:bookmarkEnd w:id="23"/>
    </w:p>
    <w:tbl>
      <w:tblPr>
        <w:tblStyle w:val="GridTable4-Accent11"/>
        <w:tblW w:w="4343" w:type="pct"/>
        <w:jc w:val="center"/>
        <w:tblLook w:val="04A0" w:firstRow="1" w:lastRow="0" w:firstColumn="1" w:lastColumn="0" w:noHBand="0" w:noVBand="1"/>
      </w:tblPr>
      <w:tblGrid>
        <w:gridCol w:w="5595"/>
        <w:gridCol w:w="1514"/>
        <w:gridCol w:w="1481"/>
      </w:tblGrid>
      <w:tr w:rsidR="00343C90" w:rsidRPr="008D7D08" w14:paraId="73569465" w14:textId="77777777" w:rsidTr="009F174D">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257" w:type="pct"/>
            <w:hideMark/>
          </w:tcPr>
          <w:p w14:paraId="787E76B9" w14:textId="77777777" w:rsidR="00343C90" w:rsidRPr="008D7D08" w:rsidRDefault="00343C90" w:rsidP="009F174D">
            <w:pPr>
              <w:spacing w:before="0" w:line="240" w:lineRule="auto"/>
              <w:jc w:val="center"/>
              <w:rPr>
                <w:rFonts w:cs="Calibri"/>
                <w:noProof/>
                <w:sz w:val="18"/>
                <w:szCs w:val="20"/>
                <w:lang w:val="sq-AL"/>
              </w:rPr>
            </w:pPr>
            <w:bookmarkStart w:id="24" w:name="_Toc515446549"/>
            <w:bookmarkEnd w:id="22"/>
            <w:r w:rsidRPr="008D7D08">
              <w:rPr>
                <w:rFonts w:cs="Calibri"/>
                <w:noProof/>
                <w:sz w:val="18"/>
                <w:szCs w:val="20"/>
                <w:lang w:val="sq-AL"/>
              </w:rPr>
              <w:t xml:space="preserve">Norma e Papunësisë </w:t>
            </w:r>
            <w:r w:rsidRPr="008D7D08">
              <w:rPr>
                <w:rFonts w:cs="Calibri"/>
                <w:i/>
                <w:iCs/>
                <w:noProof/>
                <w:sz w:val="18"/>
                <w:szCs w:val="20"/>
                <w:lang w:val="sq-AL"/>
              </w:rPr>
              <w:t>(mesatare vjetore, nё %)</w:t>
            </w:r>
          </w:p>
        </w:tc>
        <w:tc>
          <w:tcPr>
            <w:tcW w:w="881" w:type="pct"/>
            <w:hideMark/>
          </w:tcPr>
          <w:p w14:paraId="269D88E0"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4</w:t>
            </w:r>
          </w:p>
        </w:tc>
        <w:tc>
          <w:tcPr>
            <w:tcW w:w="862" w:type="pct"/>
            <w:hideMark/>
          </w:tcPr>
          <w:p w14:paraId="0498C1FC"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5</w:t>
            </w:r>
          </w:p>
        </w:tc>
      </w:tr>
      <w:tr w:rsidR="00343C90" w:rsidRPr="008D7D08" w14:paraId="42BC3055" w14:textId="77777777" w:rsidTr="009F174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5B87DB34" w14:textId="77777777" w:rsidR="00343C90" w:rsidRPr="008D7D08" w:rsidRDefault="00343C90" w:rsidP="009F174D">
            <w:pPr>
              <w:spacing w:before="0" w:line="240" w:lineRule="auto"/>
              <w:jc w:val="center"/>
              <w:rPr>
                <w:rFonts w:cs="Calibri"/>
                <w:b w:val="0"/>
                <w:noProof/>
                <w:sz w:val="18"/>
                <w:szCs w:val="20"/>
                <w:lang w:val="sq-AL"/>
              </w:rPr>
            </w:pPr>
            <w:r w:rsidRPr="008D7D08">
              <w:rPr>
                <w:rFonts w:cs="Calibri"/>
                <w:b w:val="0"/>
                <w:bCs w:val="0"/>
                <w:noProof/>
                <w:sz w:val="18"/>
                <w:szCs w:val="20"/>
                <w:lang w:val="sq-AL"/>
              </w:rPr>
              <w:t>Maqedonia e Veriut</w:t>
            </w:r>
          </w:p>
        </w:tc>
        <w:tc>
          <w:tcPr>
            <w:tcW w:w="881" w:type="pct"/>
            <w:noWrap/>
            <w:hideMark/>
          </w:tcPr>
          <w:p w14:paraId="05F1451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12.5</w:t>
            </w:r>
          </w:p>
        </w:tc>
        <w:tc>
          <w:tcPr>
            <w:tcW w:w="862" w:type="pct"/>
            <w:noWrap/>
            <w:hideMark/>
          </w:tcPr>
          <w:p w14:paraId="13F5409B"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11.7</w:t>
            </w:r>
          </w:p>
        </w:tc>
      </w:tr>
      <w:tr w:rsidR="00343C90" w:rsidRPr="008D7D08" w14:paraId="295E2958" w14:textId="77777777" w:rsidTr="009F174D">
        <w:trPr>
          <w:trHeight w:val="23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4897054B" w14:textId="77777777" w:rsidR="00343C90" w:rsidRPr="008D7D08" w:rsidRDefault="00343C90" w:rsidP="009F174D">
            <w:pPr>
              <w:spacing w:before="0" w:line="240" w:lineRule="auto"/>
              <w:jc w:val="center"/>
              <w:rPr>
                <w:rFonts w:cs="Calibri"/>
                <w:b w:val="0"/>
                <w:noProof/>
                <w:sz w:val="18"/>
                <w:szCs w:val="20"/>
                <w:lang w:val="sq-AL"/>
              </w:rPr>
            </w:pPr>
            <w:r w:rsidRPr="008D7D08">
              <w:rPr>
                <w:rFonts w:cs="Calibri"/>
                <w:b w:val="0"/>
                <w:bCs w:val="0"/>
                <w:noProof/>
                <w:sz w:val="18"/>
                <w:szCs w:val="20"/>
                <w:lang w:val="sq-AL"/>
              </w:rPr>
              <w:t>Mali i ZI</w:t>
            </w:r>
          </w:p>
        </w:tc>
        <w:tc>
          <w:tcPr>
            <w:tcW w:w="881" w:type="pct"/>
            <w:noWrap/>
            <w:hideMark/>
          </w:tcPr>
          <w:p w14:paraId="64B2F4F9"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11.6</w:t>
            </w:r>
          </w:p>
        </w:tc>
        <w:tc>
          <w:tcPr>
            <w:tcW w:w="862" w:type="pct"/>
            <w:noWrap/>
            <w:hideMark/>
          </w:tcPr>
          <w:p w14:paraId="406CCF6C"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10.9</w:t>
            </w:r>
          </w:p>
        </w:tc>
      </w:tr>
      <w:tr w:rsidR="00343C90" w:rsidRPr="008D7D08" w14:paraId="2B3CACF6" w14:textId="77777777" w:rsidTr="009F174D">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1C64D6E8" w14:textId="77777777" w:rsidR="00343C90" w:rsidRPr="008D7D08" w:rsidRDefault="00343C90" w:rsidP="009F174D">
            <w:pPr>
              <w:spacing w:before="0" w:line="240" w:lineRule="auto"/>
              <w:jc w:val="center"/>
              <w:rPr>
                <w:rFonts w:cs="Calibri"/>
                <w:b w:val="0"/>
                <w:noProof/>
                <w:sz w:val="18"/>
                <w:szCs w:val="20"/>
                <w:lang w:val="sq-AL"/>
              </w:rPr>
            </w:pPr>
            <w:r w:rsidRPr="008D7D08">
              <w:rPr>
                <w:rFonts w:cs="Calibri"/>
                <w:b w:val="0"/>
                <w:bCs w:val="0"/>
                <w:noProof/>
                <w:sz w:val="18"/>
                <w:szCs w:val="20"/>
                <w:lang w:val="sq-AL"/>
              </w:rPr>
              <w:t>Serbia</w:t>
            </w:r>
          </w:p>
        </w:tc>
        <w:tc>
          <w:tcPr>
            <w:tcW w:w="881" w:type="pct"/>
            <w:noWrap/>
            <w:hideMark/>
          </w:tcPr>
          <w:p w14:paraId="63955620"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8.6</w:t>
            </w:r>
          </w:p>
        </w:tc>
        <w:tc>
          <w:tcPr>
            <w:tcW w:w="862" w:type="pct"/>
            <w:noWrap/>
            <w:hideMark/>
          </w:tcPr>
          <w:p w14:paraId="7315ED47"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8.</w:t>
            </w:r>
            <w:r>
              <w:rPr>
                <w:rFonts w:cs="Calibri"/>
                <w:noProof/>
                <w:sz w:val="18"/>
                <w:szCs w:val="20"/>
                <w:lang w:val="sq-AL"/>
              </w:rPr>
              <w:t>7</w:t>
            </w:r>
          </w:p>
        </w:tc>
      </w:tr>
      <w:tr w:rsidR="00343C90" w:rsidRPr="008D7D08" w14:paraId="5D2D7B31" w14:textId="77777777" w:rsidTr="009F174D">
        <w:trPr>
          <w:trHeight w:val="207"/>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51C4300F" w14:textId="77777777" w:rsidR="00343C90" w:rsidRPr="008D7D08" w:rsidRDefault="00343C90" w:rsidP="009F174D">
            <w:pPr>
              <w:spacing w:before="0" w:line="240" w:lineRule="auto"/>
              <w:jc w:val="center"/>
              <w:rPr>
                <w:rFonts w:cs="Calibri"/>
                <w:noProof/>
                <w:color w:val="FF0000"/>
                <w:sz w:val="18"/>
                <w:szCs w:val="20"/>
                <w:lang w:val="sq-AL"/>
              </w:rPr>
            </w:pPr>
            <w:r w:rsidRPr="008D7D08">
              <w:rPr>
                <w:rFonts w:cs="Calibri"/>
                <w:b w:val="0"/>
                <w:bCs w:val="0"/>
                <w:noProof/>
                <w:color w:val="FF0000"/>
                <w:sz w:val="18"/>
                <w:szCs w:val="20"/>
                <w:lang w:val="sq-AL"/>
              </w:rPr>
              <w:t>Shqipëria</w:t>
            </w:r>
          </w:p>
        </w:tc>
        <w:tc>
          <w:tcPr>
            <w:tcW w:w="881" w:type="pct"/>
            <w:noWrap/>
            <w:hideMark/>
          </w:tcPr>
          <w:p w14:paraId="6E748F5B"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Pr>
                <w:rFonts w:cs="Calibri"/>
                <w:b/>
                <w:noProof/>
                <w:color w:val="FF0000"/>
                <w:sz w:val="18"/>
                <w:szCs w:val="20"/>
                <w:lang w:val="sq-AL"/>
              </w:rPr>
              <w:t>9.4</w:t>
            </w:r>
          </w:p>
        </w:tc>
        <w:tc>
          <w:tcPr>
            <w:tcW w:w="862" w:type="pct"/>
            <w:noWrap/>
            <w:hideMark/>
          </w:tcPr>
          <w:p w14:paraId="08AC8315"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653581">
              <w:rPr>
                <w:rFonts w:cs="Calibri"/>
                <w:b/>
                <w:noProof/>
                <w:color w:val="FF0000"/>
                <w:sz w:val="18"/>
                <w:szCs w:val="20"/>
                <w:lang w:val="sq-AL"/>
              </w:rPr>
              <w:t>9.</w:t>
            </w:r>
            <w:r>
              <w:rPr>
                <w:rFonts w:cs="Calibri"/>
                <w:b/>
                <w:noProof/>
                <w:color w:val="FF0000"/>
                <w:sz w:val="18"/>
                <w:szCs w:val="20"/>
                <w:lang w:val="sq-AL"/>
              </w:rPr>
              <w:t>3</w:t>
            </w:r>
          </w:p>
        </w:tc>
      </w:tr>
      <w:tr w:rsidR="00343C90" w:rsidRPr="008D7D08" w14:paraId="6864345A" w14:textId="77777777" w:rsidTr="009F174D">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34DBFA57" w14:textId="77777777" w:rsidR="00343C90" w:rsidRPr="008D7D08" w:rsidRDefault="00343C90" w:rsidP="009F174D">
            <w:pPr>
              <w:spacing w:before="0" w:line="240" w:lineRule="auto"/>
              <w:jc w:val="center"/>
              <w:rPr>
                <w:rFonts w:cs="Calibri"/>
                <w:b w:val="0"/>
                <w:noProof/>
                <w:sz w:val="18"/>
                <w:szCs w:val="20"/>
                <w:lang w:val="sq-AL"/>
              </w:rPr>
            </w:pPr>
            <w:r w:rsidRPr="008D7D08">
              <w:rPr>
                <w:rFonts w:cs="Calibri"/>
                <w:b w:val="0"/>
                <w:bCs w:val="0"/>
                <w:noProof/>
                <w:sz w:val="18"/>
                <w:szCs w:val="20"/>
                <w:lang w:val="sq-AL"/>
              </w:rPr>
              <w:t>Bosnja dhe Hercegovina</w:t>
            </w:r>
          </w:p>
        </w:tc>
        <w:tc>
          <w:tcPr>
            <w:tcW w:w="881" w:type="pct"/>
            <w:noWrap/>
            <w:hideMark/>
          </w:tcPr>
          <w:p w14:paraId="761FB8E3"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12.6</w:t>
            </w:r>
          </w:p>
        </w:tc>
        <w:tc>
          <w:tcPr>
            <w:tcW w:w="862" w:type="pct"/>
            <w:noWrap/>
            <w:hideMark/>
          </w:tcPr>
          <w:p w14:paraId="3A04E223"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1</w:t>
            </w:r>
            <w:r>
              <w:rPr>
                <w:rFonts w:cs="Calibri"/>
                <w:noProof/>
                <w:sz w:val="18"/>
                <w:szCs w:val="20"/>
                <w:lang w:val="sq-AL"/>
              </w:rPr>
              <w:t>2.2</w:t>
            </w:r>
          </w:p>
        </w:tc>
      </w:tr>
      <w:tr w:rsidR="00343C90" w:rsidRPr="00C5030F" w14:paraId="324CE77C" w14:textId="77777777" w:rsidTr="009F174D">
        <w:trPr>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67394027" w14:textId="77777777" w:rsidR="00343C90" w:rsidRPr="008D7D08" w:rsidRDefault="00343C90" w:rsidP="009F174D">
            <w:pPr>
              <w:spacing w:before="0" w:line="240" w:lineRule="auto"/>
              <w:jc w:val="center"/>
              <w:rPr>
                <w:rFonts w:cs="Calibri"/>
                <w:b w:val="0"/>
                <w:noProof/>
                <w:sz w:val="18"/>
                <w:szCs w:val="20"/>
                <w:lang w:val="sq-AL"/>
              </w:rPr>
            </w:pPr>
            <w:r w:rsidRPr="008D7D08">
              <w:rPr>
                <w:rFonts w:cs="Calibri"/>
                <w:b w:val="0"/>
                <w:bCs w:val="0"/>
                <w:noProof/>
                <w:sz w:val="18"/>
                <w:szCs w:val="20"/>
                <w:lang w:val="sq-AL"/>
              </w:rPr>
              <w:t>Kosova</w:t>
            </w:r>
          </w:p>
        </w:tc>
        <w:tc>
          <w:tcPr>
            <w:tcW w:w="881" w:type="pct"/>
            <w:noWrap/>
            <w:hideMark/>
          </w:tcPr>
          <w:p w14:paraId="1A5F01BF"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10.</w:t>
            </w:r>
            <w:r>
              <w:rPr>
                <w:rFonts w:cs="Calibri"/>
                <w:noProof/>
                <w:sz w:val="18"/>
                <w:szCs w:val="20"/>
                <w:lang w:val="sq-AL"/>
              </w:rPr>
              <w:t>8</w:t>
            </w:r>
          </w:p>
        </w:tc>
        <w:tc>
          <w:tcPr>
            <w:tcW w:w="862" w:type="pct"/>
            <w:noWrap/>
            <w:hideMark/>
          </w:tcPr>
          <w:p w14:paraId="49D2AD3D"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n.a</w:t>
            </w:r>
          </w:p>
        </w:tc>
      </w:tr>
    </w:tbl>
    <w:p w14:paraId="4B595038" w14:textId="77777777" w:rsidR="00343C90" w:rsidRDefault="00343C90" w:rsidP="00343C90">
      <w:pPr>
        <w:spacing w:before="0" w:line="240" w:lineRule="auto"/>
        <w:ind w:firstLine="720"/>
        <w:rPr>
          <w:rFonts w:cs="Calibri"/>
          <w:i/>
          <w:noProof/>
          <w:sz w:val="18"/>
          <w:szCs w:val="18"/>
          <w:lang w:val="sq-AL"/>
        </w:rPr>
      </w:pPr>
      <w:r w:rsidRPr="008D7D08">
        <w:rPr>
          <w:rFonts w:cs="Calibri"/>
          <w:i/>
          <w:noProof/>
          <w:sz w:val="18"/>
          <w:szCs w:val="18"/>
          <w:lang w:val="sq-AL"/>
        </w:rPr>
        <w:t>Burimi: Directorate-General for Economic and Financial Affairs (DG-ECFIN), Q1-202</w:t>
      </w:r>
      <w:r>
        <w:rPr>
          <w:rFonts w:cs="Calibri"/>
          <w:i/>
          <w:noProof/>
          <w:sz w:val="18"/>
          <w:szCs w:val="18"/>
          <w:lang w:val="sq-AL"/>
        </w:rPr>
        <w:t>6</w:t>
      </w:r>
    </w:p>
    <w:p w14:paraId="3C675BD2" w14:textId="6A76D092" w:rsidR="00343C90" w:rsidRPr="00777F10" w:rsidRDefault="00343C90" w:rsidP="00343C90">
      <w:pPr>
        <w:rPr>
          <w:rFonts w:asciiTheme="majorHAnsi" w:hAnsiTheme="majorHAnsi"/>
          <w:noProof/>
          <w:lang w:val="sq-AL"/>
        </w:rPr>
      </w:pPr>
      <w:bookmarkStart w:id="25" w:name="_Toc515446550"/>
      <w:bookmarkEnd w:id="24"/>
      <w:r w:rsidRPr="00777F10">
        <w:rPr>
          <w:rFonts w:asciiTheme="majorHAnsi" w:hAnsiTheme="majorHAnsi"/>
          <w:noProof/>
          <w:lang w:val="sq-AL"/>
        </w:rPr>
        <w:t xml:space="preserve">Deficiti mesatar i ponderuar i llogarisë </w:t>
      </w:r>
      <w:r w:rsidR="0056260B">
        <w:rPr>
          <w:rFonts w:asciiTheme="majorHAnsi" w:hAnsiTheme="majorHAnsi"/>
          <w:noProof/>
          <w:lang w:val="sq-AL"/>
        </w:rPr>
        <w:t>korente</w:t>
      </w:r>
      <w:r w:rsidRPr="00777F10">
        <w:rPr>
          <w:rFonts w:asciiTheme="majorHAnsi" w:hAnsiTheme="majorHAnsi"/>
          <w:noProof/>
          <w:lang w:val="sq-AL"/>
        </w:rPr>
        <w:t xml:space="preserve">, në Bosnjë dhe Hercegovinë, Kosovë dhe Shqipëri, u ul si përqindje ndaj PBB-së krahasuar me vitin e kaluar. Flukset neto të investimeve të huaja direkte si përqindje ndaj PBB-së u ulën në shumicën e ekonomive të rajonit në vitin 2025, veçanërisht në Maqedoninë e Veriut dhe Serbi. Në shumicën e rasteve, ato mbuluan një pjesë më të vogël të deficitit të llogarisë </w:t>
      </w:r>
      <w:r w:rsidR="0056260B">
        <w:rPr>
          <w:rFonts w:asciiTheme="majorHAnsi" w:hAnsiTheme="majorHAnsi"/>
          <w:noProof/>
          <w:lang w:val="sq-AL"/>
        </w:rPr>
        <w:t>korente</w:t>
      </w:r>
      <w:r w:rsidRPr="00777F10">
        <w:rPr>
          <w:rFonts w:asciiTheme="majorHAnsi" w:hAnsiTheme="majorHAnsi"/>
          <w:noProof/>
          <w:lang w:val="sq-AL"/>
        </w:rPr>
        <w:t xml:space="preserve"> krahasuar me një vit më parë, veçanërisht në dy vendet e përmendura më sipër.</w:t>
      </w:r>
    </w:p>
    <w:p w14:paraId="2DC9EAE1" w14:textId="00307EBA" w:rsidR="00343C90" w:rsidRPr="00B644BE" w:rsidRDefault="00343C90" w:rsidP="00343C90">
      <w:pPr>
        <w:pStyle w:val="Caption"/>
        <w:jc w:val="left"/>
        <w:rPr>
          <w:rFonts w:cs="Calibri"/>
          <w:noProof/>
          <w:lang w:val="sq-AL"/>
        </w:rPr>
      </w:pPr>
      <w:bookmarkStart w:id="26" w:name="_Toc229129977"/>
      <w:r w:rsidRPr="00F34E32">
        <w:rPr>
          <w:noProof/>
          <w:lang w:val="sq-AL"/>
        </w:rPr>
        <w:t xml:space="preserve">Tabela </w:t>
      </w:r>
      <w:r w:rsidRPr="00F34E32">
        <w:rPr>
          <w:noProof/>
          <w:lang w:val="sq-AL"/>
        </w:rPr>
        <w:fldChar w:fldCharType="begin"/>
      </w:r>
      <w:r w:rsidRPr="00F34E32">
        <w:rPr>
          <w:noProof/>
          <w:lang w:val="sq-AL"/>
        </w:rPr>
        <w:instrText xml:space="preserve"> SEQ Tabela \* ARABIC </w:instrText>
      </w:r>
      <w:r w:rsidRPr="00F34E32">
        <w:rPr>
          <w:noProof/>
          <w:lang w:val="sq-AL"/>
        </w:rPr>
        <w:fldChar w:fldCharType="separate"/>
      </w:r>
      <w:r w:rsidR="00CB4DE6">
        <w:rPr>
          <w:noProof/>
          <w:lang w:val="sq-AL"/>
        </w:rPr>
        <w:t>3</w:t>
      </w:r>
      <w:r w:rsidRPr="00F34E32">
        <w:rPr>
          <w:noProof/>
          <w:lang w:val="sq-AL"/>
        </w:rPr>
        <w:fldChar w:fldCharType="end"/>
      </w:r>
      <w:r w:rsidRPr="00F34E32">
        <w:rPr>
          <w:noProof/>
          <w:lang w:val="sq-AL"/>
        </w:rPr>
        <w:t xml:space="preserve"> Bilanci tregtar</w:t>
      </w:r>
      <w:bookmarkEnd w:id="26"/>
    </w:p>
    <w:tbl>
      <w:tblPr>
        <w:tblStyle w:val="GridTable4-Accent11"/>
        <w:tblW w:w="4204" w:type="pct"/>
        <w:jc w:val="center"/>
        <w:tblLook w:val="04A0" w:firstRow="1" w:lastRow="0" w:firstColumn="1" w:lastColumn="0" w:noHBand="0" w:noVBand="1"/>
      </w:tblPr>
      <w:tblGrid>
        <w:gridCol w:w="5416"/>
        <w:gridCol w:w="1465"/>
        <w:gridCol w:w="1435"/>
      </w:tblGrid>
      <w:tr w:rsidR="00343C90" w:rsidRPr="008D7D08" w14:paraId="149B76F3" w14:textId="77777777" w:rsidTr="009F174D">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56" w:type="pct"/>
            <w:hideMark/>
          </w:tcPr>
          <w:p w14:paraId="36447F6C" w14:textId="1E1621D8" w:rsidR="00343C90" w:rsidRPr="008D7D08" w:rsidRDefault="00343C90" w:rsidP="009F174D">
            <w:pPr>
              <w:spacing w:before="0" w:line="240" w:lineRule="auto"/>
              <w:jc w:val="center"/>
              <w:rPr>
                <w:rFonts w:cs="Calibri"/>
                <w:noProof/>
                <w:sz w:val="18"/>
                <w:szCs w:val="20"/>
                <w:lang w:val="sq-AL"/>
              </w:rPr>
            </w:pPr>
            <w:r w:rsidRPr="008D7D08">
              <w:rPr>
                <w:rFonts w:cs="Calibri"/>
                <w:noProof/>
                <w:sz w:val="18"/>
                <w:szCs w:val="20"/>
                <w:lang w:val="sq-AL"/>
              </w:rPr>
              <w:t xml:space="preserve">Defiçiti i llogarisë </w:t>
            </w:r>
            <w:r w:rsidR="0056260B">
              <w:rPr>
                <w:rFonts w:cs="Calibri"/>
                <w:noProof/>
                <w:sz w:val="18"/>
                <w:szCs w:val="20"/>
                <w:lang w:val="sq-AL"/>
              </w:rPr>
              <w:t>korente</w:t>
            </w:r>
            <w:r w:rsidRPr="008D7D08">
              <w:rPr>
                <w:rFonts w:cs="Calibri"/>
                <w:noProof/>
                <w:sz w:val="18"/>
                <w:szCs w:val="20"/>
                <w:lang w:val="sq-AL"/>
              </w:rPr>
              <w:t xml:space="preserve"> </w:t>
            </w:r>
            <w:r w:rsidRPr="008D7D08">
              <w:rPr>
                <w:rFonts w:cs="Calibri"/>
                <w:i/>
                <w:noProof/>
                <w:sz w:val="18"/>
                <w:szCs w:val="20"/>
                <w:lang w:val="sq-AL"/>
              </w:rPr>
              <w:t>(në % të PBB)</w:t>
            </w:r>
          </w:p>
        </w:tc>
        <w:tc>
          <w:tcPr>
            <w:tcW w:w="881" w:type="pct"/>
            <w:hideMark/>
          </w:tcPr>
          <w:p w14:paraId="7CD92939"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202</w:t>
            </w:r>
            <w:r>
              <w:rPr>
                <w:sz w:val="18"/>
              </w:rPr>
              <w:t>4</w:t>
            </w:r>
          </w:p>
        </w:tc>
        <w:tc>
          <w:tcPr>
            <w:tcW w:w="863" w:type="pct"/>
            <w:hideMark/>
          </w:tcPr>
          <w:p w14:paraId="320F6B7D"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202</w:t>
            </w:r>
            <w:r>
              <w:rPr>
                <w:sz w:val="18"/>
              </w:rPr>
              <w:t>5</w:t>
            </w:r>
          </w:p>
        </w:tc>
      </w:tr>
      <w:tr w:rsidR="00343C90" w:rsidRPr="008D7D08" w14:paraId="15A2403C" w14:textId="77777777" w:rsidTr="009F174D">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2B2F0845" w14:textId="77777777" w:rsidR="00343C90" w:rsidRPr="008D7D08" w:rsidRDefault="00343C90" w:rsidP="009F174D">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Maqedonia e Veriut</w:t>
            </w:r>
          </w:p>
        </w:tc>
        <w:tc>
          <w:tcPr>
            <w:tcW w:w="881" w:type="pct"/>
            <w:noWrap/>
            <w:hideMark/>
          </w:tcPr>
          <w:p w14:paraId="465CF730"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-2.2</w:t>
            </w:r>
          </w:p>
        </w:tc>
        <w:tc>
          <w:tcPr>
            <w:tcW w:w="863" w:type="pct"/>
            <w:noWrap/>
            <w:hideMark/>
          </w:tcPr>
          <w:p w14:paraId="7783C826"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-4.3</w:t>
            </w:r>
          </w:p>
        </w:tc>
      </w:tr>
      <w:tr w:rsidR="00343C90" w:rsidRPr="008D7D08" w14:paraId="2881819A" w14:textId="77777777" w:rsidTr="009F174D">
        <w:trPr>
          <w:trHeight w:val="13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0C86FCF7" w14:textId="77777777" w:rsidR="00343C90" w:rsidRPr="008D7D08" w:rsidRDefault="00343C90" w:rsidP="009F174D">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Mali i ZI</w:t>
            </w:r>
          </w:p>
        </w:tc>
        <w:tc>
          <w:tcPr>
            <w:tcW w:w="881" w:type="pct"/>
            <w:noWrap/>
            <w:hideMark/>
          </w:tcPr>
          <w:p w14:paraId="31A347EE"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-1</w:t>
            </w:r>
            <w:r>
              <w:rPr>
                <w:sz w:val="18"/>
              </w:rPr>
              <w:t>7.1</w:t>
            </w:r>
          </w:p>
        </w:tc>
        <w:tc>
          <w:tcPr>
            <w:tcW w:w="863" w:type="pct"/>
            <w:noWrap/>
            <w:hideMark/>
          </w:tcPr>
          <w:p w14:paraId="600B31C7"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w:t>
            </w:r>
            <w:r>
              <w:rPr>
                <w:sz w:val="18"/>
              </w:rPr>
              <w:t>20.5</w:t>
            </w:r>
          </w:p>
        </w:tc>
      </w:tr>
      <w:tr w:rsidR="00343C90" w:rsidRPr="008D7D08" w14:paraId="1C03F23B" w14:textId="77777777" w:rsidTr="009F174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0B55B06A" w14:textId="77777777" w:rsidR="00343C90" w:rsidRPr="008D7D08" w:rsidRDefault="00343C90" w:rsidP="009F174D">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Serbia</w:t>
            </w:r>
          </w:p>
        </w:tc>
        <w:tc>
          <w:tcPr>
            <w:tcW w:w="881" w:type="pct"/>
            <w:noWrap/>
            <w:hideMark/>
          </w:tcPr>
          <w:p w14:paraId="715D8036"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sz w:val="18"/>
              </w:rPr>
              <w:t>-</w:t>
            </w:r>
            <w:r>
              <w:rPr>
                <w:sz w:val="18"/>
              </w:rPr>
              <w:t>4.7</w:t>
            </w:r>
          </w:p>
        </w:tc>
        <w:tc>
          <w:tcPr>
            <w:tcW w:w="863" w:type="pct"/>
            <w:noWrap/>
            <w:hideMark/>
          </w:tcPr>
          <w:p w14:paraId="2B0C902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sz w:val="18"/>
              </w:rPr>
              <w:t>-</w:t>
            </w:r>
            <w:r>
              <w:rPr>
                <w:sz w:val="18"/>
              </w:rPr>
              <w:t>4.9</w:t>
            </w:r>
          </w:p>
        </w:tc>
      </w:tr>
      <w:tr w:rsidR="00343C90" w:rsidRPr="008D7D08" w14:paraId="2820E955" w14:textId="77777777" w:rsidTr="009F174D">
        <w:trPr>
          <w:trHeight w:val="25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5E7079C7" w14:textId="77777777" w:rsidR="00343C90" w:rsidRPr="008D7D08" w:rsidRDefault="00343C90" w:rsidP="009F174D">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881" w:type="pct"/>
            <w:noWrap/>
            <w:hideMark/>
          </w:tcPr>
          <w:p w14:paraId="1BFCB7EA"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653581">
              <w:rPr>
                <w:b/>
                <w:color w:val="FF0000"/>
                <w:sz w:val="18"/>
              </w:rPr>
              <w:t>-</w:t>
            </w:r>
            <w:r>
              <w:rPr>
                <w:b/>
                <w:color w:val="FF0000"/>
                <w:sz w:val="18"/>
              </w:rPr>
              <w:t>2.4</w:t>
            </w:r>
          </w:p>
        </w:tc>
        <w:tc>
          <w:tcPr>
            <w:tcW w:w="863" w:type="pct"/>
            <w:noWrap/>
            <w:hideMark/>
          </w:tcPr>
          <w:p w14:paraId="49283FB5"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653581">
              <w:rPr>
                <w:b/>
                <w:color w:val="FF0000"/>
                <w:sz w:val="18"/>
              </w:rPr>
              <w:t>-</w:t>
            </w:r>
            <w:r>
              <w:rPr>
                <w:b/>
                <w:color w:val="FF0000"/>
                <w:sz w:val="18"/>
              </w:rPr>
              <w:t>0.7</w:t>
            </w:r>
          </w:p>
        </w:tc>
      </w:tr>
      <w:tr w:rsidR="00343C90" w:rsidRPr="008D7D08" w14:paraId="21B89386" w14:textId="77777777" w:rsidTr="009F174D">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11A42EE9" w14:textId="77777777" w:rsidR="00343C90" w:rsidRPr="008D7D08" w:rsidRDefault="00343C90" w:rsidP="009F174D">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Bosnja dhe Hercegovina</w:t>
            </w:r>
          </w:p>
        </w:tc>
        <w:tc>
          <w:tcPr>
            <w:tcW w:w="881" w:type="pct"/>
            <w:noWrap/>
            <w:hideMark/>
          </w:tcPr>
          <w:p w14:paraId="62A849A1"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sz w:val="18"/>
              </w:rPr>
              <w:t>-</w:t>
            </w:r>
            <w:r>
              <w:rPr>
                <w:sz w:val="18"/>
              </w:rPr>
              <w:t>3.4</w:t>
            </w:r>
          </w:p>
        </w:tc>
        <w:tc>
          <w:tcPr>
            <w:tcW w:w="863" w:type="pct"/>
            <w:noWrap/>
            <w:hideMark/>
          </w:tcPr>
          <w:p w14:paraId="6D1D8D09"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sz w:val="18"/>
              </w:rPr>
              <w:t>-</w:t>
            </w:r>
            <w:r>
              <w:rPr>
                <w:sz w:val="18"/>
              </w:rPr>
              <w:t>3.1</w:t>
            </w:r>
          </w:p>
        </w:tc>
      </w:tr>
      <w:tr w:rsidR="00343C90" w:rsidRPr="00C5030F" w14:paraId="2EAAA9DA" w14:textId="77777777" w:rsidTr="009F174D">
        <w:trPr>
          <w:trHeight w:val="14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41003BE5" w14:textId="77777777" w:rsidR="00343C90" w:rsidRPr="008D7D08" w:rsidRDefault="00343C90" w:rsidP="009F174D">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Kosova</w:t>
            </w:r>
          </w:p>
        </w:tc>
        <w:tc>
          <w:tcPr>
            <w:tcW w:w="881" w:type="pct"/>
            <w:noWrap/>
            <w:hideMark/>
          </w:tcPr>
          <w:p w14:paraId="41068D38"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w:t>
            </w:r>
            <w:r>
              <w:rPr>
                <w:sz w:val="18"/>
              </w:rPr>
              <w:t>8.4</w:t>
            </w:r>
          </w:p>
        </w:tc>
        <w:tc>
          <w:tcPr>
            <w:tcW w:w="863" w:type="pct"/>
            <w:noWrap/>
            <w:hideMark/>
          </w:tcPr>
          <w:p w14:paraId="33646CB2"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sz w:val="18"/>
              </w:rPr>
              <w:t>-</w:t>
            </w:r>
            <w:r>
              <w:rPr>
                <w:sz w:val="18"/>
              </w:rPr>
              <w:t>8.2</w:t>
            </w:r>
          </w:p>
        </w:tc>
      </w:tr>
    </w:tbl>
    <w:p w14:paraId="6442EB15" w14:textId="77777777" w:rsidR="00343C90" w:rsidRPr="00573C6E" w:rsidRDefault="00343C90" w:rsidP="00343C90">
      <w:pPr>
        <w:spacing w:before="0"/>
        <w:ind w:left="720" w:firstLine="720"/>
        <w:rPr>
          <w:rFonts w:cs="Calibri"/>
          <w:noProof/>
          <w:lang w:val="sq-AL"/>
        </w:rPr>
      </w:pPr>
      <w:r w:rsidRPr="008D7D08">
        <w:rPr>
          <w:rFonts w:cs="Calibri"/>
          <w:i/>
          <w:noProof/>
          <w:sz w:val="18"/>
          <w:szCs w:val="18"/>
          <w:lang w:val="sq-AL"/>
        </w:rPr>
        <w:t>Burimi: Directorate-General for Economic and Financial Affairs (DG-ECFIN), Q1-202</w:t>
      </w:r>
      <w:r>
        <w:rPr>
          <w:rFonts w:cs="Calibri"/>
          <w:i/>
          <w:noProof/>
          <w:sz w:val="18"/>
          <w:szCs w:val="18"/>
          <w:lang w:val="sq-AL"/>
        </w:rPr>
        <w:t>6</w:t>
      </w:r>
    </w:p>
    <w:bookmarkEnd w:id="25"/>
    <w:p w14:paraId="789E3FFC" w14:textId="77777777" w:rsidR="00F25566" w:rsidRDefault="00F25566" w:rsidP="00343C90">
      <w:pPr>
        <w:spacing w:line="240" w:lineRule="auto"/>
        <w:rPr>
          <w:rFonts w:asciiTheme="majorHAnsi" w:hAnsiTheme="majorHAnsi"/>
          <w:noProof/>
          <w:szCs w:val="22"/>
          <w:lang w:val="sq-AL"/>
        </w:rPr>
      </w:pPr>
    </w:p>
    <w:p w14:paraId="76416B21" w14:textId="523C9147" w:rsidR="00343C90" w:rsidRPr="00653581" w:rsidRDefault="00343C90" w:rsidP="00343C90">
      <w:pPr>
        <w:spacing w:line="240" w:lineRule="auto"/>
        <w:rPr>
          <w:rFonts w:asciiTheme="majorHAnsi" w:hAnsiTheme="majorHAnsi" w:cs="Calibri"/>
          <w:noProof/>
          <w:lang w:val="sq-AL"/>
        </w:rPr>
      </w:pPr>
      <w:r w:rsidRPr="00653581">
        <w:rPr>
          <w:rFonts w:asciiTheme="majorHAnsi" w:hAnsiTheme="majorHAnsi"/>
          <w:noProof/>
          <w:szCs w:val="22"/>
          <w:lang w:val="sq-AL"/>
        </w:rPr>
        <w:lastRenderedPageBreak/>
        <w:t>Në përputhje me trendet globale, inflacioni vazhdoi një trajektore r</w:t>
      </w:r>
      <w:r w:rsidRPr="00711362">
        <w:rPr>
          <w:rFonts w:asciiTheme="majorHAnsi" w:hAnsiTheme="majorHAnsi"/>
          <w:noProof/>
          <w:szCs w:val="22"/>
          <w:lang w:val="sq-AL"/>
        </w:rPr>
        <w:t>ritëse</w:t>
      </w:r>
      <w:r w:rsidRPr="00653581">
        <w:rPr>
          <w:rFonts w:asciiTheme="majorHAnsi" w:hAnsiTheme="majorHAnsi"/>
          <w:noProof/>
          <w:szCs w:val="22"/>
          <w:lang w:val="sq-AL"/>
        </w:rPr>
        <w:t xml:space="preserve"> për vendet e rajonit gjatë vitit 202</w:t>
      </w:r>
      <w:r w:rsidRPr="00711362">
        <w:rPr>
          <w:rFonts w:asciiTheme="majorHAnsi" w:hAnsiTheme="majorHAnsi"/>
          <w:noProof/>
          <w:szCs w:val="22"/>
          <w:lang w:val="sq-AL"/>
        </w:rPr>
        <w:t>5</w:t>
      </w:r>
      <w:r w:rsidRPr="00653581">
        <w:rPr>
          <w:rFonts w:asciiTheme="majorHAnsi" w:hAnsiTheme="majorHAnsi"/>
          <w:noProof/>
          <w:szCs w:val="22"/>
          <w:lang w:val="sq-AL"/>
        </w:rPr>
        <w:t xml:space="preserve">. </w:t>
      </w:r>
      <w:r w:rsidRPr="00777F10">
        <w:rPr>
          <w:rFonts w:asciiTheme="majorHAnsi" w:hAnsiTheme="majorHAnsi"/>
          <w:noProof/>
          <w:szCs w:val="22"/>
          <w:lang w:val="sq-AL"/>
        </w:rPr>
        <w:t xml:space="preserve">Në tremujorin e parë të vitit 2026, inflacioni vjetor i çmimeve të konsumit u ngadalësua në Mal të Zi, Maqedoninë e Veriut dhe Serbi, ndërsa u rrit në Kosovë dhe Shqipëri. </w:t>
      </w:r>
      <w:r w:rsidRPr="00653581">
        <w:rPr>
          <w:rFonts w:asciiTheme="majorHAnsi" w:hAnsiTheme="majorHAnsi"/>
          <w:noProof/>
          <w:szCs w:val="22"/>
          <w:lang w:val="sq-AL"/>
        </w:rPr>
        <w:t>Në vitin 202</w:t>
      </w:r>
      <w:r w:rsidRPr="00711362">
        <w:rPr>
          <w:rFonts w:asciiTheme="majorHAnsi" w:hAnsiTheme="majorHAnsi"/>
          <w:noProof/>
          <w:szCs w:val="22"/>
          <w:lang w:val="sq-AL"/>
        </w:rPr>
        <w:t>5</w:t>
      </w:r>
      <w:r w:rsidRPr="00653581">
        <w:rPr>
          <w:rFonts w:asciiTheme="majorHAnsi" w:hAnsiTheme="majorHAnsi"/>
          <w:noProof/>
          <w:szCs w:val="22"/>
          <w:lang w:val="sq-AL"/>
        </w:rPr>
        <w:t>, inflacioni mesatar për vendet e Ballkanit Per</w:t>
      </w:r>
      <w:r w:rsidRPr="00711362">
        <w:rPr>
          <w:rFonts w:asciiTheme="majorHAnsi" w:hAnsiTheme="majorHAnsi"/>
          <w:noProof/>
          <w:szCs w:val="22"/>
          <w:lang w:val="sq-AL"/>
        </w:rPr>
        <w:t>ë</w:t>
      </w:r>
      <w:r w:rsidRPr="00653581">
        <w:rPr>
          <w:rFonts w:asciiTheme="majorHAnsi" w:hAnsiTheme="majorHAnsi"/>
          <w:noProof/>
          <w:szCs w:val="22"/>
          <w:lang w:val="sq-AL"/>
        </w:rPr>
        <w:t xml:space="preserve">ndimor </w:t>
      </w:r>
      <w:r w:rsidRPr="00711362">
        <w:rPr>
          <w:rFonts w:asciiTheme="majorHAnsi" w:hAnsiTheme="majorHAnsi"/>
          <w:noProof/>
          <w:szCs w:val="22"/>
          <w:lang w:val="sq-AL"/>
        </w:rPr>
        <w:t>u rrit</w:t>
      </w:r>
      <w:r w:rsidRPr="00653581">
        <w:rPr>
          <w:rFonts w:asciiTheme="majorHAnsi" w:hAnsiTheme="majorHAnsi"/>
          <w:noProof/>
          <w:szCs w:val="22"/>
          <w:lang w:val="sq-AL"/>
        </w:rPr>
        <w:t xml:space="preserve"> ndjeshëm në </w:t>
      </w:r>
      <w:r w:rsidRPr="00711362">
        <w:rPr>
          <w:rFonts w:asciiTheme="majorHAnsi" w:hAnsiTheme="majorHAnsi"/>
          <w:noProof/>
          <w:szCs w:val="22"/>
          <w:lang w:val="sq-AL"/>
        </w:rPr>
        <w:t>3.7</w:t>
      </w:r>
      <w:r w:rsidRPr="00653581">
        <w:rPr>
          <w:rFonts w:asciiTheme="majorHAnsi" w:hAnsiTheme="majorHAnsi"/>
          <w:noProof/>
          <w:szCs w:val="22"/>
          <w:lang w:val="sq-AL"/>
        </w:rPr>
        <w:t xml:space="preserve">%, nga </w:t>
      </w:r>
      <w:r w:rsidRPr="00711362">
        <w:rPr>
          <w:rFonts w:asciiTheme="majorHAnsi" w:hAnsiTheme="majorHAnsi"/>
          <w:noProof/>
          <w:szCs w:val="22"/>
          <w:lang w:val="sq-AL"/>
        </w:rPr>
        <w:t>2.8</w:t>
      </w:r>
      <w:r w:rsidRPr="00653581">
        <w:rPr>
          <w:rFonts w:asciiTheme="majorHAnsi" w:hAnsiTheme="majorHAnsi"/>
          <w:noProof/>
          <w:szCs w:val="22"/>
          <w:lang w:val="sq-AL"/>
        </w:rPr>
        <w:t>% në vitin 202</w:t>
      </w:r>
      <w:r w:rsidRPr="00711362">
        <w:rPr>
          <w:rFonts w:asciiTheme="majorHAnsi" w:hAnsiTheme="majorHAnsi"/>
          <w:noProof/>
          <w:szCs w:val="22"/>
          <w:lang w:val="sq-AL"/>
        </w:rPr>
        <w:t>4</w:t>
      </w:r>
      <w:r w:rsidRPr="00653581">
        <w:rPr>
          <w:rFonts w:asciiTheme="majorHAnsi" w:hAnsiTheme="majorHAnsi"/>
          <w:noProof/>
          <w:szCs w:val="22"/>
          <w:lang w:val="sq-AL"/>
        </w:rPr>
        <w:t>.</w:t>
      </w:r>
      <w:r w:rsidRPr="00653581">
        <w:rPr>
          <w:rFonts w:asciiTheme="majorHAnsi" w:hAnsiTheme="majorHAnsi" w:cs="Calibri"/>
          <w:noProof/>
          <w:lang w:val="sq-AL"/>
        </w:rPr>
        <w:t xml:space="preserve"> </w:t>
      </w:r>
    </w:p>
    <w:p w14:paraId="46B7BD69" w14:textId="077CB4BA" w:rsidR="00343C90" w:rsidRPr="00B644BE" w:rsidRDefault="00343C90" w:rsidP="00343C90">
      <w:pPr>
        <w:pStyle w:val="Caption"/>
        <w:jc w:val="left"/>
        <w:rPr>
          <w:rFonts w:cs="Calibri"/>
          <w:noProof/>
          <w:lang w:val="sq-AL"/>
        </w:rPr>
      </w:pPr>
      <w:bookmarkStart w:id="27" w:name="_Toc229129978"/>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4</w:t>
      </w:r>
      <w:r w:rsidRPr="00B644BE">
        <w:rPr>
          <w:noProof/>
          <w:lang w:val="sq-AL"/>
        </w:rPr>
        <w:fldChar w:fldCharType="end"/>
      </w:r>
      <w:r w:rsidRPr="00B644BE">
        <w:rPr>
          <w:noProof/>
          <w:lang w:val="sq-AL"/>
        </w:rPr>
        <w:t xml:space="preserve"> Norma e inflacionit</w:t>
      </w:r>
      <w:bookmarkEnd w:id="27"/>
    </w:p>
    <w:tbl>
      <w:tblPr>
        <w:tblStyle w:val="GridTable4-Accent11"/>
        <w:tblW w:w="4359" w:type="pct"/>
        <w:jc w:val="center"/>
        <w:tblLook w:val="04A0" w:firstRow="1" w:lastRow="0" w:firstColumn="1" w:lastColumn="0" w:noHBand="0" w:noVBand="1"/>
      </w:tblPr>
      <w:tblGrid>
        <w:gridCol w:w="5593"/>
        <w:gridCol w:w="1512"/>
        <w:gridCol w:w="1517"/>
      </w:tblGrid>
      <w:tr w:rsidR="00343C90" w:rsidRPr="008D7D08" w14:paraId="559F057D" w14:textId="77777777" w:rsidTr="009F174D">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243" w:type="pct"/>
            <w:hideMark/>
          </w:tcPr>
          <w:p w14:paraId="11EA38B1" w14:textId="77777777" w:rsidR="00343C90" w:rsidRPr="008D7D08" w:rsidRDefault="00343C90" w:rsidP="009F174D">
            <w:pPr>
              <w:spacing w:before="0" w:line="240" w:lineRule="auto"/>
              <w:jc w:val="center"/>
              <w:rPr>
                <w:rFonts w:cs="Calibri"/>
                <w:noProof/>
                <w:sz w:val="18"/>
                <w:szCs w:val="20"/>
                <w:lang w:val="sq-AL"/>
              </w:rPr>
            </w:pPr>
            <w:r w:rsidRPr="008D7D08">
              <w:rPr>
                <w:rFonts w:cs="Calibri"/>
                <w:noProof/>
                <w:sz w:val="18"/>
                <w:szCs w:val="20"/>
                <w:lang w:val="sq-AL"/>
              </w:rPr>
              <w:t xml:space="preserve">Indeksi i Çmimeve të Konsumit/Inflacioni </w:t>
            </w:r>
            <w:r w:rsidRPr="008D7D08">
              <w:rPr>
                <w:rFonts w:cs="Calibri"/>
                <w:i/>
                <w:iCs/>
                <w:noProof/>
                <w:sz w:val="18"/>
                <w:szCs w:val="20"/>
                <w:lang w:val="sq-AL"/>
              </w:rPr>
              <w:t>(ndryshimi vjetor në %)</w:t>
            </w:r>
          </w:p>
        </w:tc>
        <w:tc>
          <w:tcPr>
            <w:tcW w:w="877" w:type="pct"/>
            <w:hideMark/>
          </w:tcPr>
          <w:p w14:paraId="618DA615"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4</w:t>
            </w:r>
          </w:p>
        </w:tc>
        <w:tc>
          <w:tcPr>
            <w:tcW w:w="880" w:type="pct"/>
            <w:hideMark/>
          </w:tcPr>
          <w:p w14:paraId="12294DEC"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5</w:t>
            </w:r>
          </w:p>
        </w:tc>
      </w:tr>
      <w:tr w:rsidR="00343C90" w:rsidRPr="008D7D08" w14:paraId="54725E8A" w14:textId="77777777" w:rsidTr="009F174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50A27370"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877" w:type="pct"/>
            <w:noWrap/>
            <w:hideMark/>
          </w:tcPr>
          <w:p w14:paraId="0333602A"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3.5</w:t>
            </w:r>
          </w:p>
        </w:tc>
        <w:tc>
          <w:tcPr>
            <w:tcW w:w="880" w:type="pct"/>
            <w:noWrap/>
            <w:hideMark/>
          </w:tcPr>
          <w:p w14:paraId="64FCE1E1"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4.1</w:t>
            </w:r>
          </w:p>
        </w:tc>
      </w:tr>
      <w:tr w:rsidR="00343C90" w:rsidRPr="008D7D08" w14:paraId="041B6160" w14:textId="77777777" w:rsidTr="009F174D">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42A1B0E5"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877" w:type="pct"/>
            <w:noWrap/>
            <w:hideMark/>
          </w:tcPr>
          <w:p w14:paraId="500C1616"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3.3</w:t>
            </w:r>
          </w:p>
        </w:tc>
        <w:tc>
          <w:tcPr>
            <w:tcW w:w="880" w:type="pct"/>
            <w:noWrap/>
            <w:hideMark/>
          </w:tcPr>
          <w:p w14:paraId="7AB81C1C"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3.</w:t>
            </w:r>
            <w:r>
              <w:rPr>
                <w:rFonts w:cs="Calibri"/>
                <w:noProof/>
                <w:sz w:val="18"/>
                <w:szCs w:val="20"/>
                <w:lang w:val="sq-AL"/>
              </w:rPr>
              <w:t>9</w:t>
            </w:r>
          </w:p>
        </w:tc>
      </w:tr>
      <w:tr w:rsidR="00343C90" w:rsidRPr="008D7D08" w14:paraId="0612F20A" w14:textId="77777777" w:rsidTr="009F174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29735573"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877" w:type="pct"/>
            <w:noWrap/>
            <w:hideMark/>
          </w:tcPr>
          <w:p w14:paraId="48A1F1BF"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4.6</w:t>
            </w:r>
          </w:p>
        </w:tc>
        <w:tc>
          <w:tcPr>
            <w:tcW w:w="880" w:type="pct"/>
            <w:noWrap/>
            <w:hideMark/>
          </w:tcPr>
          <w:p w14:paraId="07C4057B"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3.9</w:t>
            </w:r>
          </w:p>
        </w:tc>
      </w:tr>
      <w:tr w:rsidR="00343C90" w:rsidRPr="008D7D08" w14:paraId="23D5B3A3" w14:textId="77777777" w:rsidTr="009F174D">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1FDC1F82" w14:textId="77777777" w:rsidR="00343C90" w:rsidRPr="008D7D08" w:rsidRDefault="00343C90" w:rsidP="009F174D">
            <w:pPr>
              <w:spacing w:before="0" w:line="240" w:lineRule="auto"/>
              <w:jc w:val="center"/>
              <w:rPr>
                <w:rFonts w:cs="Calibri"/>
                <w:noProof/>
                <w:color w:val="FF0000"/>
                <w:sz w:val="18"/>
                <w:szCs w:val="20"/>
                <w:lang w:val="sq-AL"/>
              </w:rPr>
            </w:pPr>
            <w:r w:rsidRPr="008D7D08">
              <w:rPr>
                <w:rFonts w:cs="Calibri"/>
                <w:b w:val="0"/>
                <w:bCs w:val="0"/>
                <w:noProof/>
                <w:color w:val="FF0000"/>
                <w:sz w:val="18"/>
                <w:szCs w:val="20"/>
                <w:lang w:val="sq-AL"/>
              </w:rPr>
              <w:t>Shqipëria</w:t>
            </w:r>
          </w:p>
        </w:tc>
        <w:tc>
          <w:tcPr>
            <w:tcW w:w="877" w:type="pct"/>
            <w:noWrap/>
            <w:hideMark/>
          </w:tcPr>
          <w:p w14:paraId="5AB188B4"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Pr>
                <w:rFonts w:cs="Calibri"/>
                <w:b/>
                <w:noProof/>
                <w:color w:val="FF0000"/>
                <w:sz w:val="18"/>
                <w:szCs w:val="20"/>
                <w:lang w:val="sq-AL"/>
              </w:rPr>
              <w:t>2.2</w:t>
            </w:r>
          </w:p>
        </w:tc>
        <w:tc>
          <w:tcPr>
            <w:tcW w:w="880" w:type="pct"/>
            <w:noWrap/>
            <w:hideMark/>
          </w:tcPr>
          <w:p w14:paraId="67D6505B"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653581">
              <w:rPr>
                <w:rFonts w:cs="Calibri"/>
                <w:b/>
                <w:noProof/>
                <w:color w:val="FF0000"/>
                <w:sz w:val="18"/>
                <w:szCs w:val="20"/>
                <w:lang w:val="sq-AL"/>
              </w:rPr>
              <w:t>2.2</w:t>
            </w:r>
          </w:p>
        </w:tc>
      </w:tr>
      <w:tr w:rsidR="00343C90" w:rsidRPr="008D7D08" w14:paraId="4FEFD251" w14:textId="77777777" w:rsidTr="009F174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5859425D"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877" w:type="pct"/>
            <w:noWrap/>
            <w:hideMark/>
          </w:tcPr>
          <w:p w14:paraId="7353D4E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1.7</w:t>
            </w:r>
          </w:p>
        </w:tc>
        <w:tc>
          <w:tcPr>
            <w:tcW w:w="880" w:type="pct"/>
            <w:noWrap/>
            <w:hideMark/>
          </w:tcPr>
          <w:p w14:paraId="721CA4EB"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4.0</w:t>
            </w:r>
          </w:p>
        </w:tc>
      </w:tr>
      <w:tr w:rsidR="00343C90" w:rsidRPr="00C5030F" w14:paraId="39B9AE1F" w14:textId="77777777" w:rsidTr="009F174D">
        <w:trPr>
          <w:trHeight w:val="14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3E644C83"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877" w:type="pct"/>
            <w:noWrap/>
            <w:hideMark/>
          </w:tcPr>
          <w:p w14:paraId="28D80453"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1.6</w:t>
            </w:r>
          </w:p>
        </w:tc>
        <w:tc>
          <w:tcPr>
            <w:tcW w:w="880" w:type="pct"/>
            <w:noWrap/>
            <w:hideMark/>
          </w:tcPr>
          <w:p w14:paraId="022AA99D"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3.9</w:t>
            </w:r>
          </w:p>
        </w:tc>
      </w:tr>
    </w:tbl>
    <w:p w14:paraId="2359BD0C" w14:textId="77777777" w:rsidR="00343C90" w:rsidRPr="00573C6E" w:rsidRDefault="00343C90" w:rsidP="00343C90">
      <w:pPr>
        <w:spacing w:before="0"/>
        <w:ind w:left="720" w:firstLine="720"/>
        <w:rPr>
          <w:rFonts w:cs="Calibri"/>
          <w:noProof/>
          <w:lang w:val="sq-AL"/>
        </w:rPr>
      </w:pPr>
      <w:r w:rsidRPr="00573C6E">
        <w:rPr>
          <w:rFonts w:cs="Calibri"/>
          <w:i/>
          <w:noProof/>
          <w:sz w:val="18"/>
          <w:szCs w:val="18"/>
          <w:lang w:val="sq-AL"/>
        </w:rPr>
        <w:t xml:space="preserve">Burimi: </w:t>
      </w:r>
      <w:r w:rsidRPr="008D7D08">
        <w:rPr>
          <w:rFonts w:cs="Calibri"/>
          <w:i/>
          <w:noProof/>
          <w:sz w:val="18"/>
          <w:szCs w:val="18"/>
          <w:lang w:val="sq-AL"/>
        </w:rPr>
        <w:t>Directorate-General for Economic and Financial Affairs (DG-ECFIN), Q1-202</w:t>
      </w:r>
      <w:r>
        <w:rPr>
          <w:rFonts w:cs="Calibri"/>
          <w:i/>
          <w:noProof/>
          <w:sz w:val="18"/>
          <w:szCs w:val="18"/>
          <w:lang w:val="sq-AL"/>
        </w:rPr>
        <w:t>6</w:t>
      </w:r>
    </w:p>
    <w:p w14:paraId="44B64169" w14:textId="77777777" w:rsidR="00343C90" w:rsidRDefault="00343C90" w:rsidP="00343C90">
      <w:pPr>
        <w:rPr>
          <w:rFonts w:asciiTheme="majorHAnsi" w:hAnsiTheme="majorHAnsi" w:cs="Calibri"/>
          <w:noProof/>
          <w:lang w:val="sq-AL"/>
        </w:rPr>
      </w:pPr>
      <w:r w:rsidRPr="00711362">
        <w:rPr>
          <w:rFonts w:asciiTheme="majorHAnsi" w:hAnsiTheme="majorHAnsi" w:cs="Calibri"/>
          <w:noProof/>
          <w:lang w:val="sq-AL"/>
        </w:rPr>
        <w:t>T</w:t>
      </w:r>
      <w:r w:rsidRPr="00653581">
        <w:rPr>
          <w:rFonts w:asciiTheme="majorHAnsi" w:hAnsiTheme="majorHAnsi" w:cs="Calibri"/>
          <w:noProof/>
          <w:lang w:val="sq-AL"/>
        </w:rPr>
        <w:t>re nga gjashtë vendet e rajonit kanë rritur deficitet fiskale për vitin 202</w:t>
      </w:r>
      <w:r w:rsidRPr="00711362">
        <w:rPr>
          <w:rFonts w:asciiTheme="majorHAnsi" w:hAnsiTheme="majorHAnsi" w:cs="Calibri"/>
          <w:noProof/>
          <w:lang w:val="sq-AL"/>
        </w:rPr>
        <w:t>5</w:t>
      </w:r>
      <w:r w:rsidRPr="00653581">
        <w:rPr>
          <w:rFonts w:asciiTheme="majorHAnsi" w:hAnsiTheme="majorHAnsi" w:cs="Calibri"/>
          <w:noProof/>
          <w:lang w:val="sq-AL"/>
        </w:rPr>
        <w:t>. Ndërsa performanca e të ardhurave ishte e fortë në shumicën e vendeve, shpenzimet më të larta kanë ndikuar në rritjen e deficiteve fiskale. Si rezultat, deficiti mesatar fiskal i rajonit është rritur me 0.</w:t>
      </w:r>
      <w:r w:rsidRPr="00711362">
        <w:rPr>
          <w:rFonts w:asciiTheme="majorHAnsi" w:hAnsiTheme="majorHAnsi" w:cs="Calibri"/>
          <w:noProof/>
          <w:lang w:val="sq-AL"/>
        </w:rPr>
        <w:t>4</w:t>
      </w:r>
      <w:r w:rsidRPr="00653581">
        <w:rPr>
          <w:rFonts w:asciiTheme="majorHAnsi" w:hAnsiTheme="majorHAnsi" w:cs="Calibri"/>
          <w:noProof/>
          <w:lang w:val="sq-AL"/>
        </w:rPr>
        <w:t xml:space="preserve"> </w:t>
      </w:r>
      <w:r>
        <w:rPr>
          <w:rFonts w:asciiTheme="majorHAnsi" w:hAnsiTheme="majorHAnsi" w:cs="Calibri"/>
          <w:noProof/>
          <w:lang w:val="sq-AL"/>
        </w:rPr>
        <w:t>pp.</w:t>
      </w:r>
      <w:r w:rsidRPr="00653581">
        <w:rPr>
          <w:rFonts w:asciiTheme="majorHAnsi" w:hAnsiTheme="majorHAnsi" w:cs="Calibri"/>
          <w:noProof/>
          <w:lang w:val="sq-AL"/>
        </w:rPr>
        <w:t xml:space="preserve"> të PBB-së, duke arritur në 2.</w:t>
      </w:r>
      <w:r w:rsidRPr="00711362">
        <w:rPr>
          <w:rFonts w:asciiTheme="majorHAnsi" w:hAnsiTheme="majorHAnsi" w:cs="Calibri"/>
          <w:noProof/>
          <w:lang w:val="sq-AL"/>
        </w:rPr>
        <w:t>7</w:t>
      </w:r>
      <w:r w:rsidRPr="00653581">
        <w:rPr>
          <w:rFonts w:asciiTheme="majorHAnsi" w:hAnsiTheme="majorHAnsi" w:cs="Calibri"/>
          <w:noProof/>
          <w:lang w:val="sq-AL"/>
        </w:rPr>
        <w:t>% të PBB-së në vitin 202</w:t>
      </w:r>
      <w:r w:rsidRPr="00711362">
        <w:rPr>
          <w:rFonts w:asciiTheme="majorHAnsi" w:hAnsiTheme="majorHAnsi" w:cs="Calibri"/>
          <w:noProof/>
          <w:lang w:val="sq-AL"/>
        </w:rPr>
        <w:t>5</w:t>
      </w:r>
      <w:r w:rsidRPr="00653581">
        <w:rPr>
          <w:rFonts w:asciiTheme="majorHAnsi" w:hAnsiTheme="majorHAnsi" w:cs="Calibri"/>
          <w:noProof/>
          <w:lang w:val="sq-AL"/>
        </w:rPr>
        <w:t xml:space="preserve">. Ndërkohë, </w:t>
      </w:r>
      <w:r w:rsidRPr="00711362">
        <w:rPr>
          <w:rFonts w:asciiTheme="majorHAnsi" w:hAnsiTheme="majorHAnsi" w:cs="Calibri"/>
          <w:noProof/>
          <w:lang w:val="sq-AL"/>
        </w:rPr>
        <w:t xml:space="preserve"> deficiti fiskal për </w:t>
      </w:r>
      <w:r w:rsidRPr="00653581">
        <w:rPr>
          <w:rFonts w:asciiTheme="majorHAnsi" w:hAnsiTheme="majorHAnsi" w:cs="Calibri"/>
          <w:noProof/>
          <w:lang w:val="sq-AL"/>
        </w:rPr>
        <w:t>Shqipëri</w:t>
      </w:r>
      <w:r w:rsidRPr="00711362">
        <w:rPr>
          <w:rFonts w:asciiTheme="majorHAnsi" w:hAnsiTheme="majorHAnsi" w:cs="Calibri"/>
          <w:noProof/>
          <w:lang w:val="sq-AL"/>
        </w:rPr>
        <w:t xml:space="preserve">në </w:t>
      </w:r>
      <w:r w:rsidRPr="00777F10">
        <w:rPr>
          <w:rFonts w:asciiTheme="majorHAnsi" w:hAnsiTheme="majorHAnsi" w:cs="Calibri"/>
          <w:noProof/>
          <w:lang w:val="sq-AL"/>
        </w:rPr>
        <w:t>u zgjerua nga 0.7% e PBB-së në vitin 2024 në 1.8% në vitin 2025, por mbeti nën objektivin prej 2.4%, kryesisht për shkak të mosrealizimit të plotë të shpenzimeve kapitale.</w:t>
      </w:r>
    </w:p>
    <w:p w14:paraId="1EF840FF" w14:textId="4A59611A" w:rsidR="00343C90" w:rsidRPr="00760B09" w:rsidRDefault="00343C90" w:rsidP="00760B09">
      <w:pPr>
        <w:pStyle w:val="Caption"/>
        <w:jc w:val="left"/>
        <w:rPr>
          <w:noProof/>
          <w:lang w:val="sq-AL"/>
        </w:rPr>
      </w:pPr>
      <w:bookmarkStart w:id="28" w:name="_Toc229129979"/>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5</w:t>
      </w:r>
      <w:r w:rsidRPr="00B644BE">
        <w:rPr>
          <w:noProof/>
          <w:lang w:val="sq-AL"/>
        </w:rPr>
        <w:fldChar w:fldCharType="end"/>
      </w:r>
      <w:r w:rsidRPr="00B644BE">
        <w:rPr>
          <w:noProof/>
          <w:lang w:val="sq-AL"/>
        </w:rPr>
        <w:t xml:space="preserve"> Bilanci fiskal</w:t>
      </w:r>
      <w:bookmarkEnd w:id="28"/>
    </w:p>
    <w:tbl>
      <w:tblPr>
        <w:tblStyle w:val="GridTable4-Accent11"/>
        <w:tblW w:w="4567" w:type="pct"/>
        <w:jc w:val="center"/>
        <w:tblLook w:val="04A0" w:firstRow="1" w:lastRow="0" w:firstColumn="1" w:lastColumn="0" w:noHBand="0" w:noVBand="1"/>
      </w:tblPr>
      <w:tblGrid>
        <w:gridCol w:w="5101"/>
        <w:gridCol w:w="2352"/>
        <w:gridCol w:w="1581"/>
      </w:tblGrid>
      <w:tr w:rsidR="00343C90" w:rsidRPr="008D7D08" w14:paraId="1A76A470" w14:textId="77777777" w:rsidTr="009F174D">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23" w:type="pct"/>
            <w:hideMark/>
          </w:tcPr>
          <w:p w14:paraId="34E24709" w14:textId="77777777" w:rsidR="00343C90" w:rsidRPr="008D7D08" w:rsidRDefault="00343C90" w:rsidP="009F174D">
            <w:pPr>
              <w:spacing w:before="0" w:line="240" w:lineRule="auto"/>
              <w:jc w:val="center"/>
              <w:rPr>
                <w:rFonts w:cs="Calibri"/>
                <w:noProof/>
                <w:sz w:val="18"/>
                <w:szCs w:val="20"/>
                <w:lang w:val="sq-AL"/>
              </w:rPr>
            </w:pPr>
            <w:r w:rsidRPr="008D7D08">
              <w:rPr>
                <w:rFonts w:cs="Calibri"/>
                <w:noProof/>
                <w:sz w:val="18"/>
                <w:szCs w:val="20"/>
                <w:lang w:val="sq-AL"/>
              </w:rPr>
              <w:t xml:space="preserve">Balanca e përgjithshme e qeverisë/Defiçiti fiskal </w:t>
            </w:r>
            <w:r w:rsidRPr="008D7D08">
              <w:rPr>
                <w:rFonts w:cs="Calibri"/>
                <w:i/>
                <w:iCs/>
                <w:noProof/>
                <w:sz w:val="18"/>
                <w:szCs w:val="20"/>
                <w:lang w:val="sq-AL"/>
              </w:rPr>
              <w:t>(në % të PBB)</w:t>
            </w:r>
          </w:p>
        </w:tc>
        <w:tc>
          <w:tcPr>
            <w:tcW w:w="1302" w:type="pct"/>
            <w:hideMark/>
          </w:tcPr>
          <w:p w14:paraId="67CBFA49"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 202</w:t>
            </w:r>
            <w:r>
              <w:rPr>
                <w:rFonts w:cs="Calibri"/>
                <w:noProof/>
                <w:sz w:val="18"/>
                <w:szCs w:val="20"/>
                <w:lang w:val="sq-AL"/>
              </w:rPr>
              <w:t>4</w:t>
            </w:r>
          </w:p>
        </w:tc>
        <w:tc>
          <w:tcPr>
            <w:tcW w:w="875" w:type="pct"/>
            <w:hideMark/>
          </w:tcPr>
          <w:p w14:paraId="174DB071"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5</w:t>
            </w:r>
          </w:p>
        </w:tc>
      </w:tr>
      <w:tr w:rsidR="00343C90" w:rsidRPr="008D7D08" w14:paraId="5C9F511A" w14:textId="77777777" w:rsidTr="009F17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548F17CE"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1302" w:type="pct"/>
            <w:noWrap/>
            <w:hideMark/>
          </w:tcPr>
          <w:p w14:paraId="10911FB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-4.4</w:t>
            </w:r>
          </w:p>
        </w:tc>
        <w:tc>
          <w:tcPr>
            <w:tcW w:w="875" w:type="pct"/>
            <w:noWrap/>
            <w:hideMark/>
          </w:tcPr>
          <w:p w14:paraId="2A7B70B3"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-4.</w:t>
            </w:r>
            <w:r>
              <w:rPr>
                <w:rFonts w:cs="Calibri"/>
                <w:noProof/>
                <w:sz w:val="18"/>
                <w:szCs w:val="20"/>
                <w:lang w:val="sq-AL"/>
              </w:rPr>
              <w:t>0</w:t>
            </w:r>
          </w:p>
        </w:tc>
      </w:tr>
      <w:tr w:rsidR="00343C90" w:rsidRPr="008D7D08" w14:paraId="26E85D02" w14:textId="77777777" w:rsidTr="009F174D">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66F7369F"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1302" w:type="pct"/>
            <w:noWrap/>
            <w:hideMark/>
          </w:tcPr>
          <w:p w14:paraId="34F76C58"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-3.3</w:t>
            </w:r>
          </w:p>
        </w:tc>
        <w:tc>
          <w:tcPr>
            <w:tcW w:w="875" w:type="pct"/>
            <w:noWrap/>
            <w:hideMark/>
          </w:tcPr>
          <w:p w14:paraId="13044C1B"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w:t>
            </w:r>
            <w:r>
              <w:rPr>
                <w:rFonts w:cs="Calibri"/>
                <w:noProof/>
                <w:sz w:val="18"/>
                <w:szCs w:val="20"/>
                <w:lang w:val="sq-AL"/>
              </w:rPr>
              <w:t>4.3</w:t>
            </w:r>
          </w:p>
        </w:tc>
      </w:tr>
      <w:tr w:rsidR="00343C90" w:rsidRPr="008D7D08" w14:paraId="5ED48DC8" w14:textId="77777777" w:rsidTr="009F17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3B44EE38"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1302" w:type="pct"/>
            <w:noWrap/>
            <w:hideMark/>
          </w:tcPr>
          <w:p w14:paraId="5E73A1AD"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-2.</w:t>
            </w:r>
            <w:r>
              <w:rPr>
                <w:rFonts w:cs="Calibri"/>
                <w:noProof/>
                <w:sz w:val="18"/>
                <w:szCs w:val="20"/>
                <w:lang w:val="sq-AL"/>
              </w:rPr>
              <w:t>0</w:t>
            </w:r>
          </w:p>
        </w:tc>
        <w:tc>
          <w:tcPr>
            <w:tcW w:w="875" w:type="pct"/>
            <w:noWrap/>
            <w:hideMark/>
          </w:tcPr>
          <w:p w14:paraId="150E40B1"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-2.</w:t>
            </w:r>
            <w:r>
              <w:rPr>
                <w:rFonts w:cs="Calibri"/>
                <w:noProof/>
                <w:sz w:val="18"/>
                <w:szCs w:val="20"/>
                <w:lang w:val="sq-AL"/>
              </w:rPr>
              <w:t>4</w:t>
            </w:r>
          </w:p>
        </w:tc>
      </w:tr>
      <w:tr w:rsidR="00343C90" w:rsidRPr="008D7D08" w14:paraId="36EB6AAF" w14:textId="77777777" w:rsidTr="009F174D">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1B501670" w14:textId="77777777" w:rsidR="00343C90" w:rsidRPr="008D7D08" w:rsidRDefault="00343C90" w:rsidP="009F174D">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1302" w:type="pct"/>
            <w:noWrap/>
            <w:hideMark/>
          </w:tcPr>
          <w:p w14:paraId="6A7985ED"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653581">
              <w:rPr>
                <w:rFonts w:cs="Calibri"/>
                <w:b/>
                <w:bCs/>
                <w:noProof/>
                <w:color w:val="FF0000"/>
                <w:sz w:val="18"/>
                <w:szCs w:val="20"/>
                <w:lang w:val="sq-AL"/>
              </w:rPr>
              <w:t>-</w:t>
            </w:r>
            <w:r>
              <w:rPr>
                <w:rFonts w:cs="Calibri"/>
                <w:b/>
                <w:bCs/>
                <w:noProof/>
                <w:color w:val="FF0000"/>
                <w:sz w:val="18"/>
                <w:szCs w:val="20"/>
                <w:lang w:val="sq-AL"/>
              </w:rPr>
              <w:t>0.7</w:t>
            </w:r>
          </w:p>
        </w:tc>
        <w:tc>
          <w:tcPr>
            <w:tcW w:w="875" w:type="pct"/>
            <w:noWrap/>
            <w:hideMark/>
          </w:tcPr>
          <w:p w14:paraId="5313BAA0"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653581">
              <w:rPr>
                <w:rFonts w:cs="Calibri"/>
                <w:b/>
                <w:bCs/>
                <w:noProof/>
                <w:color w:val="FF0000"/>
                <w:sz w:val="18"/>
                <w:szCs w:val="20"/>
                <w:lang w:val="sq-AL"/>
              </w:rPr>
              <w:t>-</w:t>
            </w:r>
            <w:r>
              <w:rPr>
                <w:rFonts w:cs="Calibri"/>
                <w:b/>
                <w:bCs/>
                <w:noProof/>
                <w:color w:val="FF0000"/>
                <w:sz w:val="18"/>
                <w:szCs w:val="20"/>
                <w:lang w:val="sq-AL"/>
              </w:rPr>
              <w:t>1.8</w:t>
            </w:r>
          </w:p>
        </w:tc>
      </w:tr>
      <w:tr w:rsidR="00343C90" w:rsidRPr="008D7D08" w14:paraId="307DFCFC" w14:textId="77777777" w:rsidTr="009F174D">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00689E42"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1302" w:type="pct"/>
            <w:noWrap/>
            <w:hideMark/>
          </w:tcPr>
          <w:p w14:paraId="488C05EB"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w:t>
            </w:r>
            <w:r>
              <w:rPr>
                <w:rFonts w:cs="Calibri"/>
                <w:noProof/>
                <w:sz w:val="18"/>
                <w:szCs w:val="20"/>
                <w:lang w:val="sq-AL"/>
              </w:rPr>
              <w:t>3.0</w:t>
            </w:r>
          </w:p>
        </w:tc>
        <w:tc>
          <w:tcPr>
            <w:tcW w:w="875" w:type="pct"/>
            <w:noWrap/>
            <w:hideMark/>
          </w:tcPr>
          <w:p w14:paraId="3ECBEE33"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n.a</w:t>
            </w:r>
          </w:p>
        </w:tc>
      </w:tr>
      <w:tr w:rsidR="00343C90" w:rsidRPr="00C5030F" w14:paraId="697B60DF" w14:textId="77777777" w:rsidTr="009F174D">
        <w:trPr>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6C5F1CF2"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1302" w:type="pct"/>
            <w:noWrap/>
            <w:hideMark/>
          </w:tcPr>
          <w:p w14:paraId="17E6621C"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w:t>
            </w:r>
            <w:r>
              <w:rPr>
                <w:rFonts w:cs="Calibri"/>
                <w:noProof/>
                <w:sz w:val="18"/>
                <w:szCs w:val="20"/>
                <w:lang w:val="sq-AL"/>
              </w:rPr>
              <w:t>0.3</w:t>
            </w:r>
          </w:p>
        </w:tc>
        <w:tc>
          <w:tcPr>
            <w:tcW w:w="875" w:type="pct"/>
            <w:noWrap/>
            <w:hideMark/>
          </w:tcPr>
          <w:p w14:paraId="7C4E78C0"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-0.</w:t>
            </w:r>
            <w:r>
              <w:rPr>
                <w:rFonts w:cs="Calibri"/>
                <w:noProof/>
                <w:sz w:val="18"/>
                <w:szCs w:val="20"/>
                <w:lang w:val="sq-AL"/>
              </w:rPr>
              <w:t>8</w:t>
            </w:r>
          </w:p>
        </w:tc>
      </w:tr>
    </w:tbl>
    <w:p w14:paraId="3D40466B" w14:textId="77777777" w:rsidR="00343C90" w:rsidRPr="00433D6D" w:rsidRDefault="00343C90" w:rsidP="00343C90">
      <w:pPr>
        <w:spacing w:before="0"/>
        <w:ind w:left="720" w:firstLine="720"/>
        <w:rPr>
          <w:rFonts w:cs="Calibri"/>
          <w:noProof/>
          <w:sz w:val="20"/>
          <w:szCs w:val="22"/>
          <w:lang w:val="sq-AL"/>
        </w:rPr>
      </w:pPr>
      <w:r w:rsidRPr="00433D6D">
        <w:rPr>
          <w:rFonts w:cs="Calibri"/>
          <w:i/>
          <w:noProof/>
          <w:sz w:val="16"/>
          <w:szCs w:val="16"/>
          <w:lang w:val="sq-AL"/>
        </w:rPr>
        <w:t>Burimi: Directorate-General for Economic and Financial Affairs (DG-ECFIN), Q1-2026</w:t>
      </w:r>
    </w:p>
    <w:p w14:paraId="65DA56ED" w14:textId="77777777" w:rsidR="00343C90" w:rsidRDefault="00343C90" w:rsidP="00343C90">
      <w:pPr>
        <w:rPr>
          <w:rFonts w:asciiTheme="majorHAnsi" w:hAnsiTheme="majorHAnsi" w:cs="Calibri"/>
          <w:noProof/>
          <w:lang w:val="sq-AL"/>
        </w:rPr>
      </w:pPr>
      <w:r w:rsidRPr="00777F10">
        <w:rPr>
          <w:rFonts w:asciiTheme="majorHAnsi" w:hAnsiTheme="majorHAnsi" w:cs="Calibri"/>
          <w:noProof/>
          <w:lang w:val="sq-AL"/>
        </w:rPr>
        <w:t xml:space="preserve">Raporti i borxhit publik ndaj PBB-së u ul ose mbeti përgjithësisht i pandryshuar në shumicën e ekonomive të rajonit në vitin 2025. Rënia e barrës së borxhit ishte më e theksuar në Serbi (me 2.3 </w:t>
      </w:r>
      <w:r>
        <w:rPr>
          <w:rFonts w:asciiTheme="majorHAnsi" w:hAnsiTheme="majorHAnsi" w:cs="Calibri"/>
          <w:noProof/>
          <w:lang w:val="sq-AL"/>
        </w:rPr>
        <w:t>pp</w:t>
      </w:r>
      <w:r w:rsidRPr="00777F10">
        <w:rPr>
          <w:rFonts w:asciiTheme="majorHAnsi" w:hAnsiTheme="majorHAnsi" w:cs="Calibri"/>
          <w:noProof/>
          <w:lang w:val="sq-AL"/>
        </w:rPr>
        <w:t xml:space="preserve">) e ndjekur nga Maqedonia e Veriut (me 2 </w:t>
      </w:r>
      <w:r>
        <w:rPr>
          <w:rFonts w:asciiTheme="majorHAnsi" w:hAnsiTheme="majorHAnsi" w:cs="Calibri"/>
          <w:noProof/>
          <w:lang w:val="sq-AL"/>
        </w:rPr>
        <w:t>pp</w:t>
      </w:r>
      <w:r w:rsidRPr="00777F10">
        <w:rPr>
          <w:rFonts w:asciiTheme="majorHAnsi" w:hAnsiTheme="majorHAnsi" w:cs="Calibri"/>
          <w:noProof/>
          <w:lang w:val="sq-AL"/>
        </w:rPr>
        <w:t>). Raporti i borxhit publik u rrit dhe ishte më i larti në Mal të Zi, në nivelin 63.5% të PBB-së, i ndjekur nga Maqedonia e Veriut përkatësisht me 59.4 të PBB-së. Në Shqipëri borxhi publik vazhdoi të ulet, duke arritur në 53.0% të PBB-së në vitin 2025, i mbështetur nga konsolidimi fiskal dhe mbiçmimi i kursit të këmbimit.</w:t>
      </w:r>
    </w:p>
    <w:p w14:paraId="0445BD0F" w14:textId="1A4B4D66" w:rsidR="00343C90" w:rsidRPr="00760B09" w:rsidRDefault="00343C90" w:rsidP="00760B09">
      <w:pPr>
        <w:pStyle w:val="Caption"/>
        <w:jc w:val="left"/>
        <w:rPr>
          <w:noProof/>
          <w:lang w:val="sq-AL"/>
        </w:rPr>
      </w:pPr>
      <w:bookmarkStart w:id="29" w:name="_Toc229129980"/>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6</w:t>
      </w:r>
      <w:r w:rsidRPr="00B644BE">
        <w:rPr>
          <w:noProof/>
          <w:lang w:val="sq-AL"/>
        </w:rPr>
        <w:fldChar w:fldCharType="end"/>
      </w:r>
      <w:r w:rsidRPr="00B644BE">
        <w:rPr>
          <w:noProof/>
          <w:lang w:val="sq-AL"/>
        </w:rPr>
        <w:t xml:space="preserve"> Borxhi publik</w:t>
      </w:r>
      <w:bookmarkEnd w:id="29"/>
    </w:p>
    <w:tbl>
      <w:tblPr>
        <w:tblStyle w:val="GridTable4-Accent11"/>
        <w:tblW w:w="4606" w:type="pct"/>
        <w:jc w:val="center"/>
        <w:tblLook w:val="04A0" w:firstRow="1" w:lastRow="0" w:firstColumn="1" w:lastColumn="0" w:noHBand="0" w:noVBand="1"/>
      </w:tblPr>
      <w:tblGrid>
        <w:gridCol w:w="5915"/>
        <w:gridCol w:w="1602"/>
        <w:gridCol w:w="1594"/>
      </w:tblGrid>
      <w:tr w:rsidR="00343C90" w:rsidRPr="008D7D08" w14:paraId="069A1DBC" w14:textId="77777777" w:rsidTr="009F174D">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246" w:type="pct"/>
            <w:hideMark/>
          </w:tcPr>
          <w:p w14:paraId="02729EB4" w14:textId="77777777" w:rsidR="00343C90" w:rsidRPr="008D7D08" w:rsidRDefault="00343C90" w:rsidP="009F174D">
            <w:pPr>
              <w:spacing w:before="0" w:line="240" w:lineRule="auto"/>
              <w:jc w:val="center"/>
              <w:rPr>
                <w:rFonts w:cs="Calibri"/>
                <w:noProof/>
                <w:sz w:val="18"/>
                <w:szCs w:val="20"/>
                <w:lang w:val="sq-AL"/>
              </w:rPr>
            </w:pPr>
            <w:r w:rsidRPr="008D7D08">
              <w:rPr>
                <w:rFonts w:cs="Calibri"/>
                <w:noProof/>
                <w:sz w:val="18"/>
                <w:szCs w:val="20"/>
                <w:lang w:val="sq-AL"/>
              </w:rPr>
              <w:t xml:space="preserve">Borxhi publik total </w:t>
            </w:r>
            <w:r w:rsidRPr="008D7D08">
              <w:rPr>
                <w:rFonts w:cs="Calibri"/>
                <w:i/>
                <w:iCs/>
                <w:noProof/>
                <w:sz w:val="18"/>
                <w:szCs w:val="20"/>
                <w:lang w:val="sq-AL"/>
              </w:rPr>
              <w:t>(në % të PBB)</w:t>
            </w:r>
          </w:p>
        </w:tc>
        <w:tc>
          <w:tcPr>
            <w:tcW w:w="879" w:type="pct"/>
            <w:hideMark/>
          </w:tcPr>
          <w:p w14:paraId="023EFFFD"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4</w:t>
            </w:r>
          </w:p>
        </w:tc>
        <w:tc>
          <w:tcPr>
            <w:tcW w:w="875" w:type="pct"/>
            <w:hideMark/>
          </w:tcPr>
          <w:p w14:paraId="45EF40EA" w14:textId="77777777" w:rsidR="00343C90" w:rsidRPr="008D7D08" w:rsidRDefault="00343C90" w:rsidP="009F17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202</w:t>
            </w:r>
            <w:r>
              <w:rPr>
                <w:rFonts w:cs="Calibri"/>
                <w:noProof/>
                <w:sz w:val="18"/>
                <w:szCs w:val="20"/>
                <w:lang w:val="sq-AL"/>
              </w:rPr>
              <w:t>5</w:t>
            </w:r>
          </w:p>
        </w:tc>
      </w:tr>
      <w:tr w:rsidR="00343C90" w:rsidRPr="008D7D08" w14:paraId="3A1302C9" w14:textId="77777777" w:rsidTr="009F174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61736121"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879" w:type="pct"/>
            <w:noWrap/>
            <w:hideMark/>
          </w:tcPr>
          <w:p w14:paraId="226212CB"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53.0</w:t>
            </w:r>
          </w:p>
        </w:tc>
        <w:tc>
          <w:tcPr>
            <w:tcW w:w="875" w:type="pct"/>
            <w:noWrap/>
            <w:hideMark/>
          </w:tcPr>
          <w:p w14:paraId="2777CD7D"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5</w:t>
            </w:r>
            <w:r>
              <w:rPr>
                <w:rFonts w:cs="Calibri"/>
                <w:noProof/>
                <w:sz w:val="18"/>
                <w:szCs w:val="20"/>
                <w:lang w:val="sq-AL"/>
              </w:rPr>
              <w:t>1.6</w:t>
            </w:r>
          </w:p>
        </w:tc>
      </w:tr>
      <w:tr w:rsidR="00343C90" w:rsidRPr="008D7D08" w14:paraId="267DF991" w14:textId="77777777" w:rsidTr="009F174D">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065EB2B6"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879" w:type="pct"/>
            <w:noWrap/>
            <w:hideMark/>
          </w:tcPr>
          <w:p w14:paraId="79FAB3D9"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61.3</w:t>
            </w:r>
          </w:p>
        </w:tc>
        <w:tc>
          <w:tcPr>
            <w:tcW w:w="875" w:type="pct"/>
            <w:noWrap/>
            <w:hideMark/>
          </w:tcPr>
          <w:p w14:paraId="21D293D4"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Pr>
                <w:rFonts w:cs="Calibri"/>
                <w:noProof/>
                <w:sz w:val="18"/>
                <w:szCs w:val="20"/>
                <w:lang w:val="sq-AL"/>
              </w:rPr>
              <w:t>63.5</w:t>
            </w:r>
          </w:p>
        </w:tc>
      </w:tr>
      <w:tr w:rsidR="00343C90" w:rsidRPr="008D7D08" w14:paraId="33683AFA" w14:textId="77777777" w:rsidTr="009F174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49DC0971"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879" w:type="pct"/>
            <w:noWrap/>
            <w:hideMark/>
          </w:tcPr>
          <w:p w14:paraId="1962FEC2"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46.7</w:t>
            </w:r>
          </w:p>
        </w:tc>
        <w:tc>
          <w:tcPr>
            <w:tcW w:w="875" w:type="pct"/>
            <w:noWrap/>
            <w:hideMark/>
          </w:tcPr>
          <w:p w14:paraId="05D40FA1"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Pr>
                <w:rFonts w:cs="Calibri"/>
                <w:noProof/>
                <w:sz w:val="18"/>
                <w:szCs w:val="20"/>
                <w:lang w:val="sq-AL"/>
              </w:rPr>
              <w:t>44.4</w:t>
            </w:r>
          </w:p>
        </w:tc>
      </w:tr>
      <w:tr w:rsidR="00343C90" w:rsidRPr="008D7D08" w14:paraId="6ADD044F" w14:textId="77777777" w:rsidTr="009F174D">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40AB5818" w14:textId="77777777" w:rsidR="00343C90" w:rsidRPr="008D7D08" w:rsidRDefault="00343C90" w:rsidP="009F174D">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879" w:type="pct"/>
            <w:noWrap/>
            <w:hideMark/>
          </w:tcPr>
          <w:p w14:paraId="085F714E"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Pr>
                <w:rFonts w:cs="Calibri"/>
                <w:b/>
                <w:bCs/>
                <w:noProof/>
                <w:color w:val="FF0000"/>
                <w:sz w:val="18"/>
                <w:szCs w:val="20"/>
                <w:lang w:val="sq-AL"/>
              </w:rPr>
              <w:t>54.2</w:t>
            </w:r>
          </w:p>
        </w:tc>
        <w:tc>
          <w:tcPr>
            <w:tcW w:w="875" w:type="pct"/>
            <w:noWrap/>
            <w:hideMark/>
          </w:tcPr>
          <w:p w14:paraId="508A75FB"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Pr>
                <w:rFonts w:cs="Calibri"/>
                <w:b/>
                <w:bCs/>
                <w:noProof/>
                <w:color w:val="FF0000"/>
                <w:sz w:val="18"/>
                <w:szCs w:val="20"/>
                <w:lang w:val="sq-AL"/>
              </w:rPr>
              <w:t>53.0</w:t>
            </w:r>
          </w:p>
        </w:tc>
      </w:tr>
      <w:tr w:rsidR="00343C90" w:rsidRPr="008D7D08" w14:paraId="75DC01E4" w14:textId="77777777" w:rsidTr="009F174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3BFB3AA5"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879" w:type="pct"/>
            <w:noWrap/>
            <w:hideMark/>
          </w:tcPr>
          <w:p w14:paraId="30058DCE"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2</w:t>
            </w:r>
            <w:r>
              <w:rPr>
                <w:rFonts w:cs="Calibri"/>
                <w:noProof/>
                <w:sz w:val="18"/>
                <w:szCs w:val="20"/>
                <w:lang w:val="sq-AL"/>
              </w:rPr>
              <w:t>5.5</w:t>
            </w:r>
          </w:p>
        </w:tc>
        <w:tc>
          <w:tcPr>
            <w:tcW w:w="875" w:type="pct"/>
            <w:noWrap/>
            <w:hideMark/>
          </w:tcPr>
          <w:p w14:paraId="601DE4B6" w14:textId="77777777" w:rsidR="00343C90" w:rsidRPr="008D7D08" w:rsidRDefault="00343C90" w:rsidP="009F17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653581">
              <w:rPr>
                <w:rFonts w:cs="Calibri"/>
                <w:noProof/>
                <w:sz w:val="18"/>
                <w:szCs w:val="20"/>
                <w:lang w:val="sq-AL"/>
              </w:rPr>
              <w:t>2</w:t>
            </w:r>
            <w:r>
              <w:rPr>
                <w:rFonts w:cs="Calibri"/>
                <w:noProof/>
                <w:sz w:val="18"/>
                <w:szCs w:val="20"/>
                <w:lang w:val="sq-AL"/>
              </w:rPr>
              <w:t>5.6</w:t>
            </w:r>
          </w:p>
        </w:tc>
      </w:tr>
      <w:tr w:rsidR="00343C90" w:rsidRPr="00C5030F" w14:paraId="1A0A875A" w14:textId="77777777" w:rsidTr="009F174D">
        <w:trPr>
          <w:trHeight w:val="263"/>
          <w:jc w:val="center"/>
        </w:trPr>
        <w:tc>
          <w:tcPr>
            <w:cnfStyle w:val="001000000000" w:firstRow="0" w:lastRow="0" w:firstColumn="1" w:lastColumn="0" w:oddVBand="0" w:evenVBand="0" w:oddHBand="0" w:evenHBand="0" w:firstRowFirstColumn="0" w:firstRowLastColumn="0" w:lastRowFirstColumn="0" w:lastRowLastColumn="0"/>
            <w:tcW w:w="3246" w:type="pct"/>
            <w:tcBorders>
              <w:bottom w:val="single" w:sz="4" w:space="0" w:color="0F6FC6" w:themeColor="accent1"/>
            </w:tcBorders>
            <w:noWrap/>
            <w:hideMark/>
          </w:tcPr>
          <w:p w14:paraId="144177A0" w14:textId="77777777" w:rsidR="00343C90" w:rsidRPr="008D7D08" w:rsidRDefault="00343C90" w:rsidP="009F174D">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879" w:type="pct"/>
            <w:tcBorders>
              <w:bottom w:val="single" w:sz="4" w:space="0" w:color="0F6FC6" w:themeColor="accent1"/>
            </w:tcBorders>
            <w:noWrap/>
            <w:hideMark/>
          </w:tcPr>
          <w:p w14:paraId="2E96E8E7"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1</w:t>
            </w:r>
            <w:r>
              <w:rPr>
                <w:rFonts w:cs="Calibri"/>
                <w:noProof/>
                <w:sz w:val="18"/>
                <w:szCs w:val="20"/>
                <w:lang w:val="sq-AL"/>
              </w:rPr>
              <w:t>6.8</w:t>
            </w:r>
          </w:p>
        </w:tc>
        <w:tc>
          <w:tcPr>
            <w:tcW w:w="875" w:type="pct"/>
            <w:tcBorders>
              <w:bottom w:val="single" w:sz="4" w:space="0" w:color="0F6FC6" w:themeColor="accent1"/>
            </w:tcBorders>
            <w:noWrap/>
            <w:hideMark/>
          </w:tcPr>
          <w:p w14:paraId="6E71AD19" w14:textId="77777777" w:rsidR="00343C90" w:rsidRPr="008D7D08" w:rsidRDefault="00343C90" w:rsidP="009F17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653581">
              <w:rPr>
                <w:rFonts w:cs="Calibri"/>
                <w:noProof/>
                <w:sz w:val="18"/>
                <w:szCs w:val="20"/>
                <w:lang w:val="sq-AL"/>
              </w:rPr>
              <w:t>16.</w:t>
            </w:r>
            <w:r>
              <w:rPr>
                <w:rFonts w:cs="Calibri"/>
                <w:noProof/>
                <w:sz w:val="18"/>
                <w:szCs w:val="20"/>
                <w:lang w:val="sq-AL"/>
              </w:rPr>
              <w:t>4</w:t>
            </w:r>
          </w:p>
        </w:tc>
      </w:tr>
    </w:tbl>
    <w:p w14:paraId="51096EE1" w14:textId="71EF869A" w:rsidR="00760B09" w:rsidRPr="00760B09" w:rsidRDefault="00343C90" w:rsidP="00760B09">
      <w:pPr>
        <w:spacing w:before="0"/>
        <w:ind w:left="720" w:firstLine="720"/>
        <w:rPr>
          <w:rFonts w:cs="Calibri"/>
          <w:i/>
          <w:noProof/>
          <w:sz w:val="18"/>
          <w:szCs w:val="18"/>
          <w:lang w:val="sq-AL"/>
        </w:rPr>
      </w:pPr>
      <w:r w:rsidRPr="00573C6E">
        <w:rPr>
          <w:rFonts w:cs="Calibri"/>
          <w:i/>
          <w:noProof/>
          <w:sz w:val="18"/>
          <w:szCs w:val="18"/>
          <w:lang w:val="sq-AL"/>
        </w:rPr>
        <w:t xml:space="preserve">Burimi: </w:t>
      </w:r>
      <w:r w:rsidRPr="008D7D08">
        <w:rPr>
          <w:rFonts w:cs="Calibri"/>
          <w:i/>
          <w:noProof/>
          <w:sz w:val="18"/>
          <w:szCs w:val="18"/>
          <w:lang w:val="sq-AL"/>
        </w:rPr>
        <w:t>Directorate-General for Economic and Financial Affairs (DG-ECFIN), Q1-202</w:t>
      </w:r>
      <w:r>
        <w:rPr>
          <w:rFonts w:cs="Calibri"/>
          <w:i/>
          <w:noProof/>
          <w:sz w:val="18"/>
          <w:szCs w:val="18"/>
          <w:lang w:val="sq-AL"/>
        </w:rPr>
        <w:t>6</w:t>
      </w:r>
    </w:p>
    <w:p w14:paraId="10D69B10" w14:textId="77777777" w:rsidR="00760B09" w:rsidRDefault="00760B09" w:rsidP="00760B09"/>
    <w:p w14:paraId="7CE4FD48" w14:textId="77777777" w:rsidR="00760B09" w:rsidRDefault="00760B09" w:rsidP="00760B09"/>
    <w:p w14:paraId="5C34C368" w14:textId="77777777" w:rsidR="00760B09" w:rsidRDefault="00760B09" w:rsidP="00760B09"/>
    <w:p w14:paraId="076DF5B4" w14:textId="77777777" w:rsidR="00760B09" w:rsidRDefault="00760B09" w:rsidP="00760B09"/>
    <w:p w14:paraId="052E7E3A" w14:textId="77777777" w:rsidR="00760B09" w:rsidRDefault="00760B09" w:rsidP="00760B09"/>
    <w:p w14:paraId="257EFF8A" w14:textId="77777777" w:rsidR="00EA2E68" w:rsidRDefault="00EA2E68" w:rsidP="00760B09"/>
    <w:p w14:paraId="7F495044" w14:textId="77777777" w:rsidR="00EA2E68" w:rsidRPr="00B1170D" w:rsidRDefault="00EA2E68" w:rsidP="00EA2E68">
      <w:pPr>
        <w:pStyle w:val="Heading1"/>
        <w:spacing w:before="0"/>
        <w:rPr>
          <w:b/>
          <w:bCs/>
          <w:noProof/>
        </w:rPr>
      </w:pPr>
      <w:bookmarkStart w:id="30" w:name="_Toc10033282"/>
      <w:bookmarkStart w:id="31" w:name="_Toc10721419"/>
      <w:bookmarkStart w:id="32" w:name="_Toc229390799"/>
      <w:r w:rsidRPr="00B1170D">
        <w:rPr>
          <w:b/>
          <w:bCs/>
          <w:noProof/>
        </w:rPr>
        <w:lastRenderedPageBreak/>
        <w:t>MENAXHIMI I BORXHIT PUBLI</w:t>
      </w:r>
      <w:bookmarkEnd w:id="30"/>
      <w:bookmarkEnd w:id="31"/>
      <w:r w:rsidRPr="00B1170D">
        <w:rPr>
          <w:b/>
          <w:bCs/>
          <w:noProof/>
        </w:rPr>
        <w:t>K</w:t>
      </w:r>
      <w:bookmarkEnd w:id="32"/>
    </w:p>
    <w:p w14:paraId="3A9948C6" w14:textId="77777777" w:rsidR="00EA2E68" w:rsidRPr="00564844" w:rsidRDefault="00EA2E68" w:rsidP="00EA2E68">
      <w:pPr>
        <w:tabs>
          <w:tab w:val="left" w:pos="2730"/>
        </w:tabs>
        <w:spacing w:line="240" w:lineRule="auto"/>
        <w:rPr>
          <w:rFonts w:asciiTheme="majorHAnsi" w:hAnsiTheme="majorHAnsi" w:cs="Calibri"/>
          <w:noProof/>
          <w:szCs w:val="22"/>
          <w:lang w:val="sq-AL"/>
        </w:rPr>
      </w:pPr>
      <w:r w:rsidRPr="00564844">
        <w:rPr>
          <w:rFonts w:asciiTheme="majorHAnsi" w:hAnsiTheme="majorHAnsi" w:cs="Calibri"/>
          <w:noProof/>
          <w:szCs w:val="22"/>
          <w:lang w:val="sq-AL"/>
        </w:rPr>
        <w:t xml:space="preserve">Borxhi publik gjatë vitit 2025 përgjithësisht u karakterizua nga një ecuri pozitive, duke qenë në përputhje me objektivat makro-fiskale, buxhetin e planifikuar për vitin 2025 dhe objektivat e Strategjisë Afatmesme të Menaxhimit të Borxhit (SAMB). Në fund të muajit Dhjetor 2025, borxhi publik u vlerësua në nivelin 1,401.5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ose 52.9% e PBB, duke shënuar ulje krahasuar me fundin e vitit 2024 (1.3 pp ulje).</w:t>
      </w:r>
    </w:p>
    <w:p w14:paraId="2589A860" w14:textId="77777777" w:rsidR="00EA2E68" w:rsidRPr="00564844" w:rsidRDefault="00EA2E68" w:rsidP="00EA2E68">
      <w:pPr>
        <w:tabs>
          <w:tab w:val="left" w:pos="2730"/>
        </w:tabs>
        <w:spacing w:line="240" w:lineRule="auto"/>
        <w:rPr>
          <w:rFonts w:asciiTheme="majorHAnsi" w:hAnsiTheme="majorHAnsi" w:cs="Calibri"/>
          <w:noProof/>
          <w:szCs w:val="22"/>
          <w:lang w:val="sq-AL"/>
        </w:rPr>
      </w:pPr>
      <w:r w:rsidRPr="00564844">
        <w:rPr>
          <w:rFonts w:asciiTheme="majorHAnsi" w:hAnsiTheme="majorHAnsi" w:cs="Calibri"/>
          <w:noProof/>
          <w:szCs w:val="22"/>
          <w:lang w:val="sq-AL"/>
        </w:rPr>
        <w:t xml:space="preserve">Viti 2025 ka qenë pozitiv përsa i përket sigurimit të financimit, si në tregun e brendshëm dhe në atë të huaj. Huamarrja gjatë vitit 2025 u realizua në linjë me buxhetin e vitit 2025 si edhe në linjë me Planin e Huamarrjes së vitit 2025. Huamarrja në terma bruto u realizua në vlerën 454.0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nga të cilat 78.2% (ose 355.2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u financuan nëpërmjet burimeve të brendshme dhe 21.8% (ose 98.8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nëpërmjet burimeve të huaja. Ministria e Financave emetoi tituj shtetërorë në vlerën 355.2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në tregun e brendshëm, nga të cilët 186.2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Bono Thesari dhe 169.1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Obligacione. Huamarrja e jashtme bruto u realizua në nivelin 98.8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w:t>
      </w:r>
      <w:r>
        <w:rPr>
          <w:rFonts w:asciiTheme="majorHAnsi" w:hAnsiTheme="majorHAnsi" w:cs="Calibri"/>
          <w:noProof/>
          <w:szCs w:val="22"/>
          <w:lang w:val="sq-AL"/>
        </w:rPr>
        <w:t>LEK</w:t>
      </w:r>
      <w:r w:rsidRPr="00564844">
        <w:rPr>
          <w:rFonts w:asciiTheme="majorHAnsi" w:hAnsiTheme="majorHAnsi" w:cs="Calibri"/>
          <w:noProof/>
          <w:szCs w:val="22"/>
          <w:lang w:val="sq-AL"/>
        </w:rPr>
        <w:t xml:space="preserve">. Në muajin shkurt 2025, Republika e Shqipërisë emetoi eurobondin e saj të shtatë, në vlerën 650 </w:t>
      </w:r>
      <w:r>
        <w:rPr>
          <w:rFonts w:asciiTheme="majorHAnsi" w:hAnsiTheme="majorHAnsi" w:cs="Calibri"/>
          <w:noProof/>
          <w:szCs w:val="22"/>
          <w:lang w:val="sq-AL"/>
        </w:rPr>
        <w:t>milionë</w:t>
      </w:r>
      <w:r w:rsidRPr="00564844">
        <w:rPr>
          <w:rFonts w:asciiTheme="majorHAnsi" w:hAnsiTheme="majorHAnsi" w:cs="Calibri"/>
          <w:noProof/>
          <w:szCs w:val="22"/>
          <w:lang w:val="sq-AL"/>
        </w:rPr>
        <w:t xml:space="preserve"> Euro, me maturim dhjetëvjecar, me kupon 4.75%, yield 5.0% dhe me një ofertë përfundimtare (final book) prej mbi 2.5 </w:t>
      </w:r>
      <w:r>
        <w:rPr>
          <w:rFonts w:asciiTheme="majorHAnsi" w:hAnsiTheme="majorHAnsi" w:cs="Calibri"/>
          <w:noProof/>
          <w:szCs w:val="22"/>
          <w:lang w:val="sq-AL"/>
        </w:rPr>
        <w:t>miliardë</w:t>
      </w:r>
      <w:r w:rsidRPr="00564844">
        <w:rPr>
          <w:rFonts w:asciiTheme="majorHAnsi" w:hAnsiTheme="majorHAnsi" w:cs="Calibri"/>
          <w:noProof/>
          <w:szCs w:val="22"/>
          <w:lang w:val="sq-AL"/>
        </w:rPr>
        <w:t xml:space="preserve"> euro.</w:t>
      </w:r>
    </w:p>
    <w:p w14:paraId="2D0D398D" w14:textId="77777777" w:rsidR="00EA2E68" w:rsidRPr="00564844" w:rsidRDefault="00EA2E68" w:rsidP="00EA2E68">
      <w:pPr>
        <w:tabs>
          <w:tab w:val="left" w:pos="2730"/>
        </w:tabs>
        <w:spacing w:line="240" w:lineRule="auto"/>
        <w:rPr>
          <w:rFonts w:asciiTheme="majorHAnsi" w:hAnsiTheme="majorHAnsi" w:cs="Calibri"/>
          <w:noProof/>
          <w:szCs w:val="22"/>
          <w:lang w:val="sq-AL"/>
        </w:rPr>
      </w:pPr>
      <w:r w:rsidRPr="00564844">
        <w:rPr>
          <w:rFonts w:asciiTheme="majorHAnsi" w:hAnsiTheme="majorHAnsi" w:cs="Calibri"/>
          <w:noProof/>
          <w:szCs w:val="22"/>
          <w:lang w:val="sq-AL"/>
        </w:rPr>
        <w:t xml:space="preserve">Gjatë vitit 2025, </w:t>
      </w:r>
      <w:r>
        <w:rPr>
          <w:rFonts w:asciiTheme="majorHAnsi" w:hAnsiTheme="majorHAnsi" w:cs="Calibri"/>
          <w:noProof/>
          <w:szCs w:val="22"/>
          <w:lang w:val="sq-AL"/>
        </w:rPr>
        <w:t>është</w:t>
      </w:r>
      <w:r w:rsidRPr="00564844">
        <w:rPr>
          <w:rFonts w:asciiTheme="majorHAnsi" w:hAnsiTheme="majorHAnsi" w:cs="Calibri"/>
          <w:noProof/>
          <w:szCs w:val="22"/>
          <w:lang w:val="sq-AL"/>
        </w:rPr>
        <w:t xml:space="preserve"> punuar për përditësimin dhe hartimin e Strategjisë së re 2026-2030. Në muajin Dhjetor 2025, u miratua Strategjia e përditësuar nëpërmjet VKM Nr. 743, datë 12.12.2025 “Për miratimin e Strategjisë Afatmesme të Menaxhimit të Borxhit 2026-2030, e cila prioritet do vijojë të ketë rritjen e jetëgjatësisë së borxhit, kryesisht atij të brendshëm, si dhe uljen e mëtejshme e riskut ndaj luhatjeve të kursit të këmbimit. </w:t>
      </w:r>
      <w:r>
        <w:rPr>
          <w:rFonts w:asciiTheme="majorHAnsi" w:hAnsiTheme="majorHAnsi" w:cs="Calibri"/>
          <w:noProof/>
          <w:szCs w:val="22"/>
          <w:lang w:val="sq-AL"/>
        </w:rPr>
        <w:t>J</w:t>
      </w:r>
      <w:r w:rsidRPr="00564844">
        <w:rPr>
          <w:rFonts w:asciiTheme="majorHAnsi" w:hAnsiTheme="majorHAnsi" w:cs="Calibri"/>
          <w:noProof/>
          <w:szCs w:val="22"/>
          <w:lang w:val="sq-AL"/>
        </w:rPr>
        <w:t xml:space="preserve">anë vijuar përpjekjet në drejtim të reduktimit të ekspozimit ndaj risqeve duke mbajtur koston në nivelin më të ulët të mundshëm. Përmirësimi i mëtejshëm i strukturës së borxhit, kryesisht në aspektin e reduktimit të ekspozimit ndaj riskut të rifinancimit dhe riskut të normave të interesit do vijojë të mbetet fokusi kryesor në menaxhimin e borxhit, në mënyrë që tregues të këtyre risqeve të tregojnë përmirësim të mëtejshëm në periudhat në vijim. </w:t>
      </w:r>
    </w:p>
    <w:p w14:paraId="6F65A56B" w14:textId="77777777" w:rsidR="00EA2E68" w:rsidRPr="00564844" w:rsidRDefault="00EA2E68" w:rsidP="00EA2E68">
      <w:pPr>
        <w:tabs>
          <w:tab w:val="left" w:pos="2730"/>
        </w:tabs>
        <w:spacing w:line="240" w:lineRule="auto"/>
        <w:rPr>
          <w:rFonts w:asciiTheme="majorHAnsi" w:hAnsiTheme="majorHAnsi" w:cs="Calibri"/>
          <w:noProof/>
          <w:szCs w:val="22"/>
          <w:lang w:val="sq-AL"/>
        </w:rPr>
      </w:pPr>
      <w:r w:rsidRPr="00564844">
        <w:rPr>
          <w:rFonts w:asciiTheme="majorHAnsi" w:hAnsiTheme="majorHAnsi" w:cs="Calibri"/>
          <w:noProof/>
          <w:szCs w:val="22"/>
          <w:lang w:val="sq-AL"/>
        </w:rPr>
        <w:t xml:space="preserve">Në përputhje me objektivat e Strategjisë Afatmesme të Menaxhimit të Borxhit, gjatë vitit 2025 u vijua me aktivitete në drejtim të zhvillimit të tregut të titujve shtetërorë.  Në vazhdim të angazhimit të ndërmarrë në lidhje me përmirësimin e mëtejshëm të tregut primar dhe zhvillimin e tregut sekondar të titujve shtetërorë, përgjatë kësaj periudhe është vijuar me praktikat që kontribuojnë në krijimin e madhësive referencë dhe konsolidimin e kurbës së yield-it.  Në drejtim të krijimit të madhësive benchmark është vijuar me konsolidimin e numrit të ankandeve të titujve shtetërorë, duke ulur frekuencën e emetimeve të titujve të rinj dhe duke përdorur rihapjet e titujve ekzistues. </w:t>
      </w:r>
    </w:p>
    <w:p w14:paraId="2987F9DA" w14:textId="77777777" w:rsidR="00EA2E68" w:rsidRDefault="00EA2E68" w:rsidP="00EA2E68">
      <w:pPr>
        <w:tabs>
          <w:tab w:val="left" w:pos="2730"/>
        </w:tabs>
        <w:spacing w:line="240" w:lineRule="auto"/>
        <w:rPr>
          <w:rFonts w:asciiTheme="majorHAnsi" w:hAnsiTheme="majorHAnsi" w:cs="Calibri"/>
          <w:noProof/>
          <w:szCs w:val="22"/>
          <w:lang w:val="sq-AL"/>
        </w:rPr>
      </w:pPr>
      <w:r w:rsidRPr="00564844">
        <w:rPr>
          <w:rFonts w:asciiTheme="majorHAnsi" w:hAnsiTheme="majorHAnsi" w:cs="Calibri"/>
          <w:noProof/>
          <w:szCs w:val="22"/>
          <w:lang w:val="sq-AL"/>
        </w:rPr>
        <w:t>Informacion më të detajuar dhe gjithëpërfshirës për këtë qëllim, do të gjeni në “</w:t>
      </w:r>
      <w:r w:rsidRPr="00564844">
        <w:rPr>
          <w:rFonts w:asciiTheme="majorHAnsi" w:hAnsiTheme="majorHAnsi" w:cs="Calibri"/>
          <w:b/>
          <w:bCs/>
          <w:i/>
          <w:iCs/>
          <w:noProof/>
          <w:szCs w:val="22"/>
          <w:lang w:val="sq-AL"/>
        </w:rPr>
        <w:t>Raporti për borxhin publik dhe përbërjen e tij, për vitin 2025</w:t>
      </w:r>
      <w:r w:rsidRPr="00564844">
        <w:rPr>
          <w:rFonts w:asciiTheme="majorHAnsi" w:hAnsiTheme="majorHAnsi" w:cs="Calibri"/>
          <w:noProof/>
          <w:szCs w:val="22"/>
          <w:lang w:val="sq-AL"/>
        </w:rPr>
        <w:t>” që i bashkëlidhet këtij relacioni.</w:t>
      </w:r>
    </w:p>
    <w:p w14:paraId="6088DCF6" w14:textId="77777777" w:rsidR="00EA2E68" w:rsidRDefault="00EA2E68" w:rsidP="00EA2E68">
      <w:pPr>
        <w:tabs>
          <w:tab w:val="left" w:pos="2730"/>
        </w:tabs>
        <w:spacing w:line="240" w:lineRule="auto"/>
        <w:rPr>
          <w:rFonts w:asciiTheme="majorHAnsi" w:hAnsiTheme="majorHAnsi" w:cs="Calibri"/>
          <w:noProof/>
          <w:szCs w:val="22"/>
          <w:lang w:val="sq-AL"/>
        </w:rPr>
      </w:pPr>
    </w:p>
    <w:p w14:paraId="04D6775A" w14:textId="77777777" w:rsidR="00EA2E68" w:rsidRDefault="00EA2E68" w:rsidP="00760B09"/>
    <w:p w14:paraId="58F8055D" w14:textId="77777777" w:rsidR="00EA2E68" w:rsidRDefault="00EA2E68" w:rsidP="00760B09"/>
    <w:p w14:paraId="16E29583" w14:textId="77777777" w:rsidR="00EA2E68" w:rsidRDefault="00EA2E68" w:rsidP="00760B09"/>
    <w:p w14:paraId="59DFB009" w14:textId="77777777" w:rsidR="00EA2E68" w:rsidRDefault="00EA2E68" w:rsidP="00760B09"/>
    <w:p w14:paraId="6E165A36" w14:textId="77777777" w:rsidR="00EA2E68" w:rsidRDefault="00EA2E68" w:rsidP="00760B09"/>
    <w:p w14:paraId="3AE1B337" w14:textId="77777777" w:rsidR="00EA2E68" w:rsidRDefault="00EA2E68" w:rsidP="00760B09"/>
    <w:p w14:paraId="24379B67" w14:textId="77777777" w:rsidR="00EA2E68" w:rsidRDefault="00EA2E68" w:rsidP="00760B09"/>
    <w:p w14:paraId="41B882D6" w14:textId="77777777" w:rsidR="00EA2E68" w:rsidRDefault="00EA2E68" w:rsidP="00760B09"/>
    <w:p w14:paraId="7BEF80A3" w14:textId="77777777" w:rsidR="00EA2E68" w:rsidRDefault="00EA2E68" w:rsidP="00760B09"/>
    <w:p w14:paraId="4FDB0C3A" w14:textId="77777777" w:rsidR="00EA2E68" w:rsidRDefault="00EA2E68" w:rsidP="00760B09"/>
    <w:p w14:paraId="7E2BEDBA" w14:textId="77777777" w:rsidR="00EA2E68" w:rsidRPr="00760B09" w:rsidRDefault="00EA2E68" w:rsidP="00760B09"/>
    <w:p w14:paraId="00C3FDE8" w14:textId="35E54EBA" w:rsidR="001779A0" w:rsidRDefault="008B6B58" w:rsidP="00760B09">
      <w:pPr>
        <w:pStyle w:val="Heading1"/>
        <w:spacing w:before="0"/>
        <w:rPr>
          <w:b/>
          <w:bCs/>
          <w:noProof/>
        </w:rPr>
      </w:pPr>
      <w:bookmarkStart w:id="33" w:name="_Toc229390800"/>
      <w:r w:rsidRPr="00760B09">
        <w:rPr>
          <w:b/>
          <w:bCs/>
          <w:noProof/>
        </w:rPr>
        <w:lastRenderedPageBreak/>
        <w:t>POLITIKAT FISKALE DHE REZULTATI I MBLEDHJES SË TË ARDHURAVE</w:t>
      </w:r>
      <w:bookmarkEnd w:id="3"/>
      <w:bookmarkEnd w:id="4"/>
      <w:bookmarkEnd w:id="33"/>
    </w:p>
    <w:p w14:paraId="5D7ED458" w14:textId="77777777" w:rsidR="00760B09" w:rsidRPr="00760B09" w:rsidRDefault="00760B09" w:rsidP="00760B09">
      <w:pPr>
        <w:rPr>
          <w:sz w:val="12"/>
          <w:szCs w:val="14"/>
        </w:rPr>
      </w:pPr>
    </w:p>
    <w:p w14:paraId="445B6E8A" w14:textId="77777777" w:rsidR="00D31F37" w:rsidRPr="00760B09" w:rsidRDefault="00D31F37" w:rsidP="00760B09">
      <w:pPr>
        <w:pStyle w:val="Heading2"/>
        <w:spacing w:before="0"/>
        <w:rPr>
          <w:color w:val="0F6FC6" w:themeColor="accent1"/>
        </w:rPr>
      </w:pPr>
      <w:bookmarkStart w:id="34" w:name="_Toc515271227"/>
      <w:bookmarkStart w:id="35" w:name="_Toc10033261"/>
      <w:bookmarkStart w:id="36" w:name="_Toc10721398"/>
      <w:bookmarkStart w:id="37" w:name="_Toc229390801"/>
      <w:r w:rsidRPr="00760B09">
        <w:rPr>
          <w:color w:val="0F6FC6" w:themeColor="accent1"/>
        </w:rPr>
        <w:t xml:space="preserve">Politika </w:t>
      </w:r>
      <w:proofErr w:type="spellStart"/>
      <w:r w:rsidRPr="00760B09">
        <w:rPr>
          <w:color w:val="0F6FC6" w:themeColor="accent1"/>
        </w:rPr>
        <w:t>fiskale</w:t>
      </w:r>
      <w:proofErr w:type="spellEnd"/>
      <w:r w:rsidRPr="00760B09">
        <w:rPr>
          <w:color w:val="0F6FC6" w:themeColor="accent1"/>
        </w:rPr>
        <w:t xml:space="preserve"> </w:t>
      </w:r>
      <w:proofErr w:type="spellStart"/>
      <w:r w:rsidRPr="00760B09">
        <w:rPr>
          <w:color w:val="0F6FC6" w:themeColor="accent1"/>
        </w:rPr>
        <w:t>në</w:t>
      </w:r>
      <w:proofErr w:type="spellEnd"/>
      <w:r w:rsidRPr="00760B09">
        <w:rPr>
          <w:color w:val="0F6FC6" w:themeColor="accent1"/>
        </w:rPr>
        <w:t xml:space="preserve"> </w:t>
      </w:r>
      <w:proofErr w:type="spellStart"/>
      <w:r w:rsidRPr="00760B09">
        <w:rPr>
          <w:color w:val="0F6FC6" w:themeColor="accent1"/>
        </w:rPr>
        <w:t>vitin</w:t>
      </w:r>
      <w:proofErr w:type="spellEnd"/>
      <w:r w:rsidRPr="00760B09">
        <w:rPr>
          <w:color w:val="0F6FC6" w:themeColor="accent1"/>
        </w:rPr>
        <w:t xml:space="preserve"> 2025 </w:t>
      </w:r>
      <w:proofErr w:type="spellStart"/>
      <w:r w:rsidRPr="00760B09">
        <w:rPr>
          <w:color w:val="0F6FC6" w:themeColor="accent1"/>
        </w:rPr>
        <w:t>dhe</w:t>
      </w:r>
      <w:proofErr w:type="spellEnd"/>
      <w:r w:rsidRPr="00760B09">
        <w:rPr>
          <w:color w:val="0F6FC6" w:themeColor="accent1"/>
        </w:rPr>
        <w:t xml:space="preserve"> </w:t>
      </w:r>
      <w:proofErr w:type="spellStart"/>
      <w:r w:rsidRPr="00760B09">
        <w:rPr>
          <w:color w:val="0F6FC6" w:themeColor="accent1"/>
        </w:rPr>
        <w:t>efektet</w:t>
      </w:r>
      <w:proofErr w:type="spellEnd"/>
      <w:r w:rsidRPr="00760B09">
        <w:rPr>
          <w:color w:val="0F6FC6" w:themeColor="accent1"/>
        </w:rPr>
        <w:t xml:space="preserve"> </w:t>
      </w:r>
      <w:proofErr w:type="spellStart"/>
      <w:r w:rsidRPr="00760B09">
        <w:rPr>
          <w:color w:val="0F6FC6" w:themeColor="accent1"/>
        </w:rPr>
        <w:t>në</w:t>
      </w:r>
      <w:proofErr w:type="spellEnd"/>
      <w:r w:rsidRPr="00760B09">
        <w:rPr>
          <w:color w:val="0F6FC6" w:themeColor="accent1"/>
        </w:rPr>
        <w:t xml:space="preserve"> </w:t>
      </w:r>
      <w:proofErr w:type="spellStart"/>
      <w:r w:rsidRPr="00760B09">
        <w:rPr>
          <w:color w:val="0F6FC6" w:themeColor="accent1"/>
        </w:rPr>
        <w:t>buxhet</w:t>
      </w:r>
      <w:proofErr w:type="spellEnd"/>
      <w:r w:rsidRPr="00760B09">
        <w:rPr>
          <w:color w:val="0F6FC6" w:themeColor="accent1"/>
        </w:rPr>
        <w:t xml:space="preserve"> e </w:t>
      </w:r>
      <w:proofErr w:type="spellStart"/>
      <w:r w:rsidRPr="00760B09">
        <w:rPr>
          <w:color w:val="0F6FC6" w:themeColor="accent1"/>
        </w:rPr>
        <w:t>në</w:t>
      </w:r>
      <w:proofErr w:type="spellEnd"/>
      <w:r w:rsidRPr="00760B09">
        <w:rPr>
          <w:color w:val="0F6FC6" w:themeColor="accent1"/>
        </w:rPr>
        <w:t xml:space="preserve"> </w:t>
      </w:r>
      <w:proofErr w:type="spellStart"/>
      <w:r w:rsidRPr="00760B09">
        <w:rPr>
          <w:color w:val="0F6FC6" w:themeColor="accent1"/>
        </w:rPr>
        <w:t>ekonomi</w:t>
      </w:r>
      <w:bookmarkStart w:id="38" w:name="_Hlk178684829"/>
      <w:bookmarkEnd w:id="34"/>
      <w:bookmarkEnd w:id="35"/>
      <w:bookmarkEnd w:id="36"/>
      <w:bookmarkEnd w:id="37"/>
      <w:proofErr w:type="spellEnd"/>
    </w:p>
    <w:p w14:paraId="02AC82C5" w14:textId="62A00222" w:rsidR="00D31F37" w:rsidRDefault="00D31F37" w:rsidP="00D31F37">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Gjatë vitit fiskal 2025 nuk u hartua ose miratua asnjë paketë e re fiskale që do të gjeneronte të ardhura shtesë buxhetore. Efektet e të ardhurave të regjistruara gjatë vitit </w:t>
      </w:r>
      <w:r w:rsidR="005D645F">
        <w:rPr>
          <w:rFonts w:asciiTheme="majorHAnsi" w:hAnsiTheme="majorHAnsi" w:cstheme="majorHAnsi"/>
          <w:noProof/>
          <w:szCs w:val="22"/>
          <w:lang w:val="sq-AL"/>
        </w:rPr>
        <w:t xml:space="preserve">2025 </w:t>
      </w:r>
      <w:r w:rsidRPr="00516127">
        <w:rPr>
          <w:rFonts w:asciiTheme="majorHAnsi" w:hAnsiTheme="majorHAnsi" w:cstheme="majorHAnsi"/>
          <w:noProof/>
          <w:szCs w:val="22"/>
          <w:lang w:val="sq-AL"/>
        </w:rPr>
        <w:t>rrjedhin ekskluzivisht nga masat fiskale të miratuara më parë dhe nga zbatimi i vazhdueshëm i kalendarëve të përcaktuar të legjislacionit tatimor.</w:t>
      </w:r>
    </w:p>
    <w:p w14:paraId="373DE76D" w14:textId="77777777" w:rsidR="00F25566" w:rsidRPr="00760B09" w:rsidRDefault="00F25566" w:rsidP="00D31F37">
      <w:pPr>
        <w:rPr>
          <w:rFonts w:asciiTheme="majorHAnsi" w:hAnsiTheme="majorHAnsi" w:cstheme="majorHAnsi"/>
          <w:noProof/>
          <w:sz w:val="12"/>
          <w:szCs w:val="12"/>
          <w:lang w:val="sq-AL"/>
        </w:rPr>
      </w:pPr>
    </w:p>
    <w:p w14:paraId="2F2182DA" w14:textId="4AF3BCA5" w:rsidR="00D31F37" w:rsidRPr="00760B09" w:rsidRDefault="00D31F37" w:rsidP="00760B09">
      <w:pPr>
        <w:pStyle w:val="Heading3"/>
        <w:rPr>
          <w:i/>
          <w:iCs/>
        </w:rPr>
      </w:pPr>
      <w:bookmarkStart w:id="39" w:name="_Toc229390802"/>
      <w:proofErr w:type="spellStart"/>
      <w:r w:rsidRPr="00760B09">
        <w:rPr>
          <w:i/>
          <w:iCs/>
        </w:rPr>
        <w:t>Efektet</w:t>
      </w:r>
      <w:proofErr w:type="spellEnd"/>
      <w:r w:rsidRPr="00760B09">
        <w:rPr>
          <w:i/>
          <w:iCs/>
        </w:rPr>
        <w:t xml:space="preserve"> </w:t>
      </w:r>
      <w:proofErr w:type="spellStart"/>
      <w:r w:rsidRPr="00760B09">
        <w:rPr>
          <w:i/>
          <w:iCs/>
        </w:rPr>
        <w:t>nga</w:t>
      </w:r>
      <w:proofErr w:type="spellEnd"/>
      <w:r w:rsidRPr="00760B09">
        <w:rPr>
          <w:i/>
          <w:iCs/>
        </w:rPr>
        <w:t xml:space="preserve"> </w:t>
      </w:r>
      <w:proofErr w:type="spellStart"/>
      <w:r w:rsidRPr="00760B09">
        <w:rPr>
          <w:i/>
          <w:iCs/>
        </w:rPr>
        <w:t>zbatimi</w:t>
      </w:r>
      <w:proofErr w:type="spellEnd"/>
      <w:r w:rsidRPr="00760B09">
        <w:rPr>
          <w:i/>
          <w:iCs/>
        </w:rPr>
        <w:t xml:space="preserve"> </w:t>
      </w:r>
      <w:proofErr w:type="spellStart"/>
      <w:r w:rsidRPr="00760B09">
        <w:rPr>
          <w:i/>
          <w:iCs/>
        </w:rPr>
        <w:t>i</w:t>
      </w:r>
      <w:proofErr w:type="spellEnd"/>
      <w:r w:rsidRPr="00760B09">
        <w:rPr>
          <w:i/>
          <w:iCs/>
        </w:rPr>
        <w:t xml:space="preserve"> </w:t>
      </w:r>
      <w:proofErr w:type="spellStart"/>
      <w:r w:rsidRPr="00760B09">
        <w:rPr>
          <w:i/>
          <w:iCs/>
        </w:rPr>
        <w:t>kalendarit</w:t>
      </w:r>
      <w:proofErr w:type="spellEnd"/>
      <w:r w:rsidRPr="00760B09">
        <w:rPr>
          <w:i/>
          <w:iCs/>
        </w:rPr>
        <w:t xml:space="preserve"> </w:t>
      </w:r>
      <w:proofErr w:type="spellStart"/>
      <w:r w:rsidRPr="00760B09">
        <w:rPr>
          <w:i/>
          <w:iCs/>
        </w:rPr>
        <w:t>të</w:t>
      </w:r>
      <w:proofErr w:type="spellEnd"/>
      <w:r w:rsidRPr="00760B09">
        <w:rPr>
          <w:i/>
          <w:iCs/>
        </w:rPr>
        <w:t xml:space="preserve"> </w:t>
      </w:r>
      <w:proofErr w:type="spellStart"/>
      <w:r w:rsidRPr="00760B09">
        <w:rPr>
          <w:i/>
          <w:iCs/>
        </w:rPr>
        <w:t>akcizës</w:t>
      </w:r>
      <w:proofErr w:type="spellEnd"/>
      <w:r w:rsidRPr="00760B09">
        <w:rPr>
          <w:i/>
          <w:iCs/>
        </w:rPr>
        <w:t xml:space="preserve"> (2022–2026)</w:t>
      </w:r>
      <w:bookmarkEnd w:id="39"/>
    </w:p>
    <w:p w14:paraId="33A5C362" w14:textId="77777777" w:rsidR="00D31F37" w:rsidRPr="00516127" w:rsidRDefault="00D31F37" w:rsidP="00D31F37">
      <w:pPr>
        <w:rPr>
          <w:rFonts w:asciiTheme="majorHAnsi" w:hAnsiTheme="majorHAnsi" w:cstheme="majorHAnsi"/>
          <w:noProof/>
          <w:szCs w:val="22"/>
          <w:lang w:val="sq-AL"/>
        </w:rPr>
      </w:pPr>
      <w:r w:rsidRPr="00516127">
        <w:rPr>
          <w:rFonts w:asciiTheme="majorHAnsi" w:hAnsiTheme="majorHAnsi" w:cstheme="majorHAnsi"/>
          <w:noProof/>
          <w:szCs w:val="22"/>
          <w:lang w:val="sq-AL"/>
        </w:rPr>
        <w:t>Në përputhje me dispozitat e Ligjit për Akcizat, kalendari shumëvjeçar për rritjen graduale vjetore të normave të akcizës për produktet e duhanit vazhdoi të zbatohet gjatë gjithë vitit 2025. Zbatimi i rregullimit të normës së planifikuar për këtë vit gjeneroi:</w:t>
      </w:r>
    </w:p>
    <w:p w14:paraId="79455D71" w14:textId="2C167DF1" w:rsidR="00D31F37" w:rsidRPr="00F25566" w:rsidRDefault="00D31F37">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857 </w:t>
      </w:r>
      <w:r w:rsidR="0056260B">
        <w:rPr>
          <w:rFonts w:cs="Calibri"/>
          <w:i/>
          <w:iCs/>
          <w:noProof/>
          <w:lang w:val="sq-AL"/>
        </w:rPr>
        <w:t>milionë</w:t>
      </w:r>
      <w:r w:rsidRPr="00F25566">
        <w:rPr>
          <w:rFonts w:cs="Calibri"/>
          <w:i/>
          <w:iCs/>
          <w:noProof/>
          <w:lang w:val="sq-AL"/>
        </w:rPr>
        <w:t xml:space="preserve"> </w:t>
      </w:r>
      <w:r w:rsidR="0056260B">
        <w:rPr>
          <w:rFonts w:cs="Calibri"/>
          <w:i/>
          <w:iCs/>
          <w:noProof/>
          <w:lang w:val="sq-AL"/>
        </w:rPr>
        <w:t>LEK</w:t>
      </w:r>
      <w:r w:rsidRPr="00F25566">
        <w:rPr>
          <w:rFonts w:cs="Calibri"/>
          <w:i/>
          <w:iCs/>
          <w:noProof/>
          <w:lang w:val="sq-AL"/>
        </w:rPr>
        <w:t xml:space="preserve"> të ardhura shtesë nga akciza;</w:t>
      </w:r>
    </w:p>
    <w:p w14:paraId="751EA5E5" w14:textId="38CBED2B" w:rsidR="00D31F37" w:rsidRPr="00F25566" w:rsidRDefault="00D31F37">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171 </w:t>
      </w:r>
      <w:r w:rsidR="0056260B">
        <w:rPr>
          <w:rFonts w:cs="Calibri"/>
          <w:i/>
          <w:iCs/>
          <w:noProof/>
          <w:lang w:val="sq-AL"/>
        </w:rPr>
        <w:t>milionë</w:t>
      </w:r>
      <w:r w:rsidRPr="00F25566">
        <w:rPr>
          <w:rFonts w:cs="Calibri"/>
          <w:i/>
          <w:iCs/>
          <w:noProof/>
          <w:lang w:val="sq-AL"/>
        </w:rPr>
        <w:t xml:space="preserve"> </w:t>
      </w:r>
      <w:r w:rsidR="0056260B">
        <w:rPr>
          <w:rFonts w:cs="Calibri"/>
          <w:i/>
          <w:iCs/>
          <w:noProof/>
          <w:lang w:val="sq-AL"/>
        </w:rPr>
        <w:t>LEK</w:t>
      </w:r>
      <w:r w:rsidRPr="00F25566">
        <w:rPr>
          <w:rFonts w:cs="Calibri"/>
          <w:i/>
          <w:iCs/>
          <w:noProof/>
          <w:lang w:val="sq-AL"/>
        </w:rPr>
        <w:t xml:space="preserve"> të ardhura shtesë nga TVSH-ja (20%) u aplikuan në bazën e rritur të akcizës.</w:t>
      </w:r>
    </w:p>
    <w:p w14:paraId="33CF271F" w14:textId="691E2412" w:rsidR="00D31F37" w:rsidRDefault="00D31F37" w:rsidP="00D31F37">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Ndikimi total i të ardhurave të kësaj mase për vitin 2025 vlerësohet në </w:t>
      </w:r>
      <w:r w:rsidRPr="00F25566">
        <w:rPr>
          <w:rFonts w:asciiTheme="majorHAnsi" w:hAnsiTheme="majorHAnsi" w:cstheme="majorHAnsi"/>
          <w:noProof/>
          <w:szCs w:val="22"/>
          <w:lang w:val="sq-AL"/>
        </w:rPr>
        <w:t xml:space="preserve">afërsisht 1 </w:t>
      </w:r>
      <w:r w:rsidR="0056260B">
        <w:rPr>
          <w:rFonts w:asciiTheme="majorHAnsi" w:hAnsiTheme="majorHAnsi" w:cstheme="majorHAnsi"/>
          <w:noProof/>
          <w:szCs w:val="22"/>
          <w:lang w:val="sq-AL"/>
        </w:rPr>
        <w:t>miliardë</w:t>
      </w:r>
      <w:r w:rsidRPr="00F25566">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F25566">
        <w:rPr>
          <w:rFonts w:asciiTheme="majorHAnsi" w:hAnsiTheme="majorHAnsi" w:cstheme="majorHAnsi"/>
          <w:noProof/>
          <w:szCs w:val="22"/>
          <w:lang w:val="sq-AL"/>
        </w:rPr>
        <w:t>.</w:t>
      </w:r>
    </w:p>
    <w:p w14:paraId="365E2648" w14:textId="77777777" w:rsidR="00F25566" w:rsidRPr="00760B09" w:rsidRDefault="00F25566" w:rsidP="00D31F37">
      <w:pPr>
        <w:rPr>
          <w:rFonts w:asciiTheme="majorHAnsi" w:hAnsiTheme="majorHAnsi" w:cstheme="majorHAnsi"/>
          <w:noProof/>
          <w:sz w:val="12"/>
          <w:szCs w:val="12"/>
          <w:lang w:val="sq-AL"/>
        </w:rPr>
      </w:pPr>
    </w:p>
    <w:p w14:paraId="62609ECB" w14:textId="7E1BF2FC" w:rsidR="00D31F37" w:rsidRPr="00760B09" w:rsidRDefault="00D31F37" w:rsidP="00760B09">
      <w:pPr>
        <w:pStyle w:val="Heading3"/>
        <w:rPr>
          <w:i/>
          <w:iCs/>
        </w:rPr>
      </w:pPr>
      <w:bookmarkStart w:id="40" w:name="_Toc229390804"/>
      <w:proofErr w:type="spellStart"/>
      <w:r w:rsidRPr="00760B09">
        <w:rPr>
          <w:i/>
          <w:iCs/>
        </w:rPr>
        <w:t>Efektet</w:t>
      </w:r>
      <w:proofErr w:type="spellEnd"/>
      <w:r w:rsidRPr="00760B09">
        <w:rPr>
          <w:i/>
          <w:iCs/>
        </w:rPr>
        <w:t xml:space="preserve"> </w:t>
      </w:r>
      <w:proofErr w:type="spellStart"/>
      <w:r w:rsidRPr="00760B09">
        <w:rPr>
          <w:i/>
          <w:iCs/>
        </w:rPr>
        <w:t>nga</w:t>
      </w:r>
      <w:proofErr w:type="spellEnd"/>
      <w:r w:rsidRPr="00760B09">
        <w:rPr>
          <w:i/>
          <w:iCs/>
        </w:rPr>
        <w:t xml:space="preserve"> </w:t>
      </w:r>
      <w:proofErr w:type="spellStart"/>
      <w:r w:rsidRPr="00760B09">
        <w:rPr>
          <w:i/>
          <w:iCs/>
        </w:rPr>
        <w:t>rritja</w:t>
      </w:r>
      <w:proofErr w:type="spellEnd"/>
      <w:r w:rsidRPr="00760B09">
        <w:rPr>
          <w:i/>
          <w:iCs/>
        </w:rPr>
        <w:t xml:space="preserve"> e </w:t>
      </w:r>
      <w:proofErr w:type="spellStart"/>
      <w:r w:rsidRPr="00760B09">
        <w:rPr>
          <w:i/>
          <w:iCs/>
        </w:rPr>
        <w:t>fondit</w:t>
      </w:r>
      <w:proofErr w:type="spellEnd"/>
      <w:r w:rsidRPr="00760B09">
        <w:rPr>
          <w:i/>
          <w:iCs/>
        </w:rPr>
        <w:t xml:space="preserve"> </w:t>
      </w:r>
      <w:proofErr w:type="spellStart"/>
      <w:r w:rsidRPr="00760B09">
        <w:rPr>
          <w:i/>
          <w:iCs/>
        </w:rPr>
        <w:t>të</w:t>
      </w:r>
      <w:proofErr w:type="spellEnd"/>
      <w:r w:rsidRPr="00760B09">
        <w:rPr>
          <w:i/>
          <w:iCs/>
        </w:rPr>
        <w:t xml:space="preserve"> </w:t>
      </w:r>
      <w:proofErr w:type="spellStart"/>
      <w:r w:rsidRPr="00760B09">
        <w:rPr>
          <w:i/>
          <w:iCs/>
        </w:rPr>
        <w:t>pagave</w:t>
      </w:r>
      <w:proofErr w:type="spellEnd"/>
      <w:r w:rsidRPr="00760B09">
        <w:rPr>
          <w:i/>
          <w:iCs/>
        </w:rPr>
        <w:t xml:space="preserve"> </w:t>
      </w:r>
      <w:proofErr w:type="spellStart"/>
      <w:r w:rsidRPr="00760B09">
        <w:rPr>
          <w:i/>
          <w:iCs/>
        </w:rPr>
        <w:t>për</w:t>
      </w:r>
      <w:proofErr w:type="spellEnd"/>
      <w:r w:rsidRPr="00760B09">
        <w:rPr>
          <w:i/>
          <w:iCs/>
        </w:rPr>
        <w:t xml:space="preserve"> </w:t>
      </w:r>
      <w:proofErr w:type="spellStart"/>
      <w:r w:rsidRPr="00760B09">
        <w:rPr>
          <w:i/>
          <w:iCs/>
        </w:rPr>
        <w:t>administratën</w:t>
      </w:r>
      <w:proofErr w:type="spellEnd"/>
      <w:r w:rsidRPr="00760B09">
        <w:rPr>
          <w:i/>
          <w:iCs/>
        </w:rPr>
        <w:t xml:space="preserve"> </w:t>
      </w:r>
      <w:proofErr w:type="spellStart"/>
      <w:r w:rsidRPr="00760B09">
        <w:rPr>
          <w:i/>
          <w:iCs/>
        </w:rPr>
        <w:t>publike</w:t>
      </w:r>
      <w:bookmarkEnd w:id="40"/>
      <w:proofErr w:type="spellEnd"/>
    </w:p>
    <w:p w14:paraId="2FB8AAD6" w14:textId="5CA4CEEA" w:rsidR="00D31F37" w:rsidRPr="00516127" w:rsidRDefault="00D31F37" w:rsidP="00D31F37">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Që nga 1 korriku 2024 </w:t>
      </w:r>
      <w:r w:rsidR="005D645F">
        <w:rPr>
          <w:rFonts w:asciiTheme="majorHAnsi" w:hAnsiTheme="majorHAnsi" w:cstheme="majorHAnsi"/>
          <w:noProof/>
          <w:szCs w:val="22"/>
          <w:lang w:val="sq-AL"/>
        </w:rPr>
        <w:t xml:space="preserve">ka </w:t>
      </w:r>
      <w:r w:rsidRPr="00516127">
        <w:rPr>
          <w:rFonts w:asciiTheme="majorHAnsi" w:hAnsiTheme="majorHAnsi" w:cstheme="majorHAnsi"/>
          <w:noProof/>
          <w:szCs w:val="22"/>
          <w:lang w:val="sq-AL"/>
        </w:rPr>
        <w:t>hyr</w:t>
      </w:r>
      <w:r w:rsidR="005D645F">
        <w:rPr>
          <w:rFonts w:asciiTheme="majorHAnsi" w:hAnsiTheme="majorHAnsi" w:cstheme="majorHAnsi"/>
          <w:noProof/>
          <w:szCs w:val="22"/>
          <w:lang w:val="sq-AL"/>
        </w:rPr>
        <w:t>ë</w:t>
      </w:r>
      <w:r w:rsidRPr="00516127">
        <w:rPr>
          <w:rFonts w:asciiTheme="majorHAnsi" w:hAnsiTheme="majorHAnsi" w:cstheme="majorHAnsi"/>
          <w:noProof/>
          <w:szCs w:val="22"/>
          <w:lang w:val="sq-AL"/>
        </w:rPr>
        <w:t xml:space="preserve"> në fuqi faza e dytë e reformës buxhetore të pagave për administratën shtetërore. Rritja që rezultoi në fondin e pagave në sektorin publik</w:t>
      </w:r>
      <w:r w:rsidR="005D645F">
        <w:rPr>
          <w:rFonts w:asciiTheme="majorHAnsi" w:hAnsiTheme="majorHAnsi" w:cstheme="majorHAnsi"/>
          <w:noProof/>
          <w:szCs w:val="22"/>
          <w:lang w:val="sq-AL"/>
        </w:rPr>
        <w:t>,</w:t>
      </w:r>
      <w:r w:rsidRPr="00516127">
        <w:rPr>
          <w:rFonts w:asciiTheme="majorHAnsi" w:hAnsiTheme="majorHAnsi" w:cstheme="majorHAnsi"/>
          <w:noProof/>
          <w:szCs w:val="22"/>
          <w:lang w:val="sq-AL"/>
        </w:rPr>
        <w:t xml:space="preserve"> prodhoi efekte të matshme në të ardhurat nga tatimi mbi të ardhurat personale dhe nga kontributet e sigurimeve shoqërore e shëndetësore. Për vitin f2025, ndikimi i parashikuar në të ardhura për shtatë muajt e parë</w:t>
      </w:r>
      <w:r w:rsidR="005D645F">
        <w:rPr>
          <w:rFonts w:asciiTheme="majorHAnsi" w:hAnsiTheme="majorHAnsi" w:cstheme="majorHAnsi"/>
          <w:noProof/>
          <w:szCs w:val="22"/>
          <w:lang w:val="sq-AL"/>
        </w:rPr>
        <w:t>,</w:t>
      </w:r>
      <w:r w:rsidRPr="00516127">
        <w:rPr>
          <w:rFonts w:asciiTheme="majorHAnsi" w:hAnsiTheme="majorHAnsi" w:cstheme="majorHAnsi"/>
          <w:noProof/>
          <w:szCs w:val="22"/>
          <w:lang w:val="sq-AL"/>
        </w:rPr>
        <w:t xml:space="preserve"> arri</w:t>
      </w:r>
      <w:r w:rsidR="005D645F">
        <w:rPr>
          <w:rFonts w:asciiTheme="majorHAnsi" w:hAnsiTheme="majorHAnsi" w:cstheme="majorHAnsi"/>
          <w:noProof/>
          <w:szCs w:val="22"/>
          <w:lang w:val="sq-AL"/>
        </w:rPr>
        <w:t>ti</w:t>
      </w:r>
      <w:r w:rsidRPr="00516127">
        <w:rPr>
          <w:rFonts w:asciiTheme="majorHAnsi" w:hAnsiTheme="majorHAnsi" w:cstheme="majorHAnsi"/>
          <w:noProof/>
          <w:szCs w:val="22"/>
          <w:lang w:val="sq-AL"/>
        </w:rPr>
        <w:t xml:space="preserve"> </w:t>
      </w:r>
      <w:r w:rsidRPr="00F25566">
        <w:rPr>
          <w:rFonts w:asciiTheme="majorHAnsi" w:hAnsiTheme="majorHAnsi" w:cstheme="majorHAnsi"/>
          <w:noProof/>
          <w:szCs w:val="22"/>
          <w:lang w:val="sq-AL"/>
        </w:rPr>
        <w:t xml:space="preserve">në 6.3 </w:t>
      </w:r>
      <w:r w:rsidR="0056260B">
        <w:rPr>
          <w:rFonts w:asciiTheme="majorHAnsi" w:hAnsiTheme="majorHAnsi" w:cstheme="majorHAnsi"/>
          <w:noProof/>
          <w:szCs w:val="22"/>
          <w:lang w:val="sq-AL"/>
        </w:rPr>
        <w:t>miliardë</w:t>
      </w:r>
      <w:r w:rsidRPr="00F25566">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F25566">
        <w:rPr>
          <w:rFonts w:asciiTheme="majorHAnsi" w:hAnsiTheme="majorHAnsi" w:cstheme="majorHAnsi"/>
          <w:noProof/>
          <w:szCs w:val="22"/>
          <w:lang w:val="sq-AL"/>
        </w:rPr>
        <w:t xml:space="preserve"> , nga të cilat:</w:t>
      </w:r>
    </w:p>
    <w:p w14:paraId="7E411F95" w14:textId="0871ABFA" w:rsidR="005D645F" w:rsidRDefault="005D645F">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4.3 </w:t>
      </w:r>
      <w:r>
        <w:rPr>
          <w:rFonts w:cs="Calibri"/>
          <w:i/>
          <w:iCs/>
          <w:noProof/>
          <w:lang w:val="sq-AL"/>
        </w:rPr>
        <w:t>miliardë</w:t>
      </w:r>
      <w:r w:rsidRPr="00F25566">
        <w:rPr>
          <w:rFonts w:cs="Calibri"/>
          <w:i/>
          <w:iCs/>
          <w:noProof/>
          <w:lang w:val="sq-AL"/>
        </w:rPr>
        <w:t xml:space="preserve"> </w:t>
      </w:r>
      <w:r>
        <w:rPr>
          <w:rFonts w:cs="Calibri"/>
          <w:i/>
          <w:iCs/>
          <w:noProof/>
          <w:lang w:val="sq-AL"/>
        </w:rPr>
        <w:t>LEK</w:t>
      </w:r>
      <w:r w:rsidRPr="00F25566">
        <w:rPr>
          <w:rFonts w:cs="Calibri"/>
          <w:i/>
          <w:iCs/>
          <w:noProof/>
          <w:lang w:val="sq-AL"/>
        </w:rPr>
        <w:t xml:space="preserve"> rrjedhin nga kontributet e sigurimeve shoqërore e shëndetësore.</w:t>
      </w:r>
    </w:p>
    <w:p w14:paraId="5A7EAC75" w14:textId="0BDF4255" w:rsidR="00D31F37" w:rsidRPr="00F25566" w:rsidRDefault="00D31F37">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 xml:space="preserve">2 </w:t>
      </w:r>
      <w:r w:rsidR="0056260B">
        <w:rPr>
          <w:rFonts w:cs="Calibri"/>
          <w:i/>
          <w:iCs/>
          <w:noProof/>
          <w:lang w:val="sq-AL"/>
        </w:rPr>
        <w:t>miliardë</w:t>
      </w:r>
      <w:r w:rsidRPr="00F25566">
        <w:rPr>
          <w:rFonts w:cs="Calibri"/>
          <w:i/>
          <w:iCs/>
          <w:noProof/>
          <w:lang w:val="sq-AL"/>
        </w:rPr>
        <w:t xml:space="preserve"> </w:t>
      </w:r>
      <w:r w:rsidR="0056260B">
        <w:rPr>
          <w:rFonts w:cs="Calibri"/>
          <w:i/>
          <w:iCs/>
          <w:noProof/>
          <w:lang w:val="sq-AL"/>
        </w:rPr>
        <w:t>LEK</w:t>
      </w:r>
      <w:r w:rsidRPr="00F25566">
        <w:rPr>
          <w:rFonts w:cs="Calibri"/>
          <w:i/>
          <w:iCs/>
          <w:noProof/>
          <w:lang w:val="sq-AL"/>
        </w:rPr>
        <w:t xml:space="preserve"> rrjedhin nga tatimi mbi të ardhurat personale; </w:t>
      </w:r>
    </w:p>
    <w:p w14:paraId="12D8F74D" w14:textId="77777777" w:rsidR="00F25566" w:rsidRDefault="00F25566" w:rsidP="00F25566">
      <w:pPr>
        <w:pStyle w:val="ListParagraph"/>
        <w:autoSpaceDE w:val="0"/>
        <w:autoSpaceDN w:val="0"/>
        <w:adjustRightInd w:val="0"/>
        <w:spacing w:before="0"/>
        <w:rPr>
          <w:rFonts w:cs="Calibri"/>
          <w:i/>
          <w:iCs/>
          <w:noProof/>
          <w:lang w:val="sq-AL"/>
        </w:rPr>
      </w:pPr>
    </w:p>
    <w:p w14:paraId="1D61BDB7" w14:textId="77777777" w:rsidR="005D645F" w:rsidRDefault="005D645F" w:rsidP="00F25566">
      <w:pPr>
        <w:pStyle w:val="ListParagraph"/>
        <w:autoSpaceDE w:val="0"/>
        <w:autoSpaceDN w:val="0"/>
        <w:adjustRightInd w:val="0"/>
        <w:spacing w:before="0"/>
        <w:rPr>
          <w:rFonts w:cs="Calibri"/>
          <w:i/>
          <w:iCs/>
          <w:noProof/>
          <w:sz w:val="16"/>
          <w:szCs w:val="18"/>
          <w:lang w:val="sq-AL"/>
        </w:rPr>
      </w:pPr>
    </w:p>
    <w:p w14:paraId="2C9236D3" w14:textId="77777777" w:rsidR="005245F0" w:rsidRPr="005D645F" w:rsidRDefault="005245F0" w:rsidP="00F25566">
      <w:pPr>
        <w:pStyle w:val="ListParagraph"/>
        <w:autoSpaceDE w:val="0"/>
        <w:autoSpaceDN w:val="0"/>
        <w:adjustRightInd w:val="0"/>
        <w:spacing w:before="0"/>
        <w:rPr>
          <w:rFonts w:cs="Calibri"/>
          <w:i/>
          <w:iCs/>
          <w:noProof/>
          <w:sz w:val="16"/>
          <w:szCs w:val="18"/>
          <w:lang w:val="sq-AL"/>
        </w:rPr>
      </w:pPr>
    </w:p>
    <w:p w14:paraId="5E7CA380" w14:textId="6FA58A2F" w:rsidR="00D31F37" w:rsidRPr="00760B09" w:rsidRDefault="00D31F37" w:rsidP="00760B09">
      <w:pPr>
        <w:pStyle w:val="Heading2"/>
        <w:spacing w:before="0"/>
        <w:rPr>
          <w:color w:val="0F6FC6" w:themeColor="accent1"/>
        </w:rPr>
      </w:pPr>
      <w:bookmarkStart w:id="41" w:name="_Toc229390805"/>
      <w:proofErr w:type="spellStart"/>
      <w:r w:rsidRPr="00760B09">
        <w:rPr>
          <w:color w:val="0F6FC6" w:themeColor="accent1"/>
        </w:rPr>
        <w:t>Efektet</w:t>
      </w:r>
      <w:proofErr w:type="spellEnd"/>
      <w:r w:rsidRPr="00760B09">
        <w:rPr>
          <w:color w:val="0F6FC6" w:themeColor="accent1"/>
        </w:rPr>
        <w:t xml:space="preserve"> e </w:t>
      </w:r>
      <w:proofErr w:type="spellStart"/>
      <w:r w:rsidRPr="00760B09">
        <w:rPr>
          <w:color w:val="0F6FC6" w:themeColor="accent1"/>
        </w:rPr>
        <w:t>zbatimit</w:t>
      </w:r>
      <w:proofErr w:type="spellEnd"/>
      <w:r w:rsidRPr="00760B09">
        <w:rPr>
          <w:color w:val="0F6FC6" w:themeColor="accent1"/>
        </w:rPr>
        <w:t xml:space="preserve"> </w:t>
      </w:r>
      <w:proofErr w:type="spellStart"/>
      <w:r w:rsidRPr="00760B09">
        <w:rPr>
          <w:color w:val="0F6FC6" w:themeColor="accent1"/>
        </w:rPr>
        <w:t>të</w:t>
      </w:r>
      <w:proofErr w:type="spellEnd"/>
      <w:r w:rsidRPr="00760B09">
        <w:rPr>
          <w:color w:val="0F6FC6" w:themeColor="accent1"/>
        </w:rPr>
        <w:t xml:space="preserve"> </w:t>
      </w:r>
      <w:proofErr w:type="spellStart"/>
      <w:r w:rsidRPr="00760B09">
        <w:rPr>
          <w:color w:val="0F6FC6" w:themeColor="accent1"/>
        </w:rPr>
        <w:t>Strategjisë</w:t>
      </w:r>
      <w:proofErr w:type="spellEnd"/>
      <w:r w:rsidRPr="00760B09">
        <w:rPr>
          <w:color w:val="0F6FC6" w:themeColor="accent1"/>
        </w:rPr>
        <w:t xml:space="preserve"> </w:t>
      </w:r>
      <w:proofErr w:type="spellStart"/>
      <w:r w:rsidRPr="00760B09">
        <w:rPr>
          <w:color w:val="0F6FC6" w:themeColor="accent1"/>
        </w:rPr>
        <w:t>Afatmesme</w:t>
      </w:r>
      <w:proofErr w:type="spellEnd"/>
      <w:r w:rsidRPr="00760B09">
        <w:rPr>
          <w:color w:val="0F6FC6" w:themeColor="accent1"/>
        </w:rPr>
        <w:t xml:space="preserve"> </w:t>
      </w:r>
      <w:proofErr w:type="spellStart"/>
      <w:r w:rsidRPr="00760B09">
        <w:rPr>
          <w:color w:val="0F6FC6" w:themeColor="accent1"/>
        </w:rPr>
        <w:t>të</w:t>
      </w:r>
      <w:proofErr w:type="spellEnd"/>
      <w:r w:rsidRPr="00760B09">
        <w:rPr>
          <w:color w:val="0F6FC6" w:themeColor="accent1"/>
        </w:rPr>
        <w:t xml:space="preserve"> </w:t>
      </w:r>
      <w:proofErr w:type="spellStart"/>
      <w:r w:rsidRPr="00760B09">
        <w:rPr>
          <w:color w:val="0F6FC6" w:themeColor="accent1"/>
        </w:rPr>
        <w:t>të</w:t>
      </w:r>
      <w:proofErr w:type="spellEnd"/>
      <w:r w:rsidRPr="00760B09">
        <w:rPr>
          <w:color w:val="0F6FC6" w:themeColor="accent1"/>
        </w:rPr>
        <w:t xml:space="preserve"> Ardhurave, </w:t>
      </w:r>
      <w:proofErr w:type="spellStart"/>
      <w:r w:rsidRPr="00760B09">
        <w:rPr>
          <w:color w:val="0F6FC6" w:themeColor="accent1"/>
        </w:rPr>
        <w:t>për</w:t>
      </w:r>
      <w:proofErr w:type="spellEnd"/>
      <w:r w:rsidRPr="00760B09">
        <w:rPr>
          <w:color w:val="0F6FC6" w:themeColor="accent1"/>
        </w:rPr>
        <w:t xml:space="preserve"> </w:t>
      </w:r>
      <w:proofErr w:type="spellStart"/>
      <w:r w:rsidRPr="00760B09">
        <w:rPr>
          <w:color w:val="0F6FC6" w:themeColor="accent1"/>
        </w:rPr>
        <w:t>vitin</w:t>
      </w:r>
      <w:proofErr w:type="spellEnd"/>
      <w:r w:rsidRPr="00760B09">
        <w:rPr>
          <w:color w:val="0F6FC6" w:themeColor="accent1"/>
        </w:rPr>
        <w:t xml:space="preserve"> 2025</w:t>
      </w:r>
      <w:bookmarkEnd w:id="41"/>
    </w:p>
    <w:p w14:paraId="56F684D4" w14:textId="77777777" w:rsidR="005D645F" w:rsidRDefault="00D31F37" w:rsidP="00D31F37">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Strategjia Afatmesme e të Ardhurave u miratua me </w:t>
      </w:r>
      <w:r w:rsidR="005D645F">
        <w:rPr>
          <w:rFonts w:asciiTheme="majorHAnsi" w:hAnsiTheme="majorHAnsi" w:cstheme="majorHAnsi"/>
          <w:noProof/>
          <w:szCs w:val="22"/>
          <w:lang w:val="sq-AL"/>
        </w:rPr>
        <w:t>VKM</w:t>
      </w:r>
      <w:r w:rsidRPr="00516127">
        <w:rPr>
          <w:rFonts w:asciiTheme="majorHAnsi" w:hAnsiTheme="majorHAnsi" w:cstheme="majorHAnsi"/>
          <w:noProof/>
          <w:szCs w:val="22"/>
          <w:lang w:val="sq-AL"/>
        </w:rPr>
        <w:t xml:space="preserve"> Nr.847 datë 26.12.2024 “</w:t>
      </w:r>
      <w:r w:rsidRPr="005D645F">
        <w:rPr>
          <w:rFonts w:asciiTheme="majorHAnsi" w:hAnsiTheme="majorHAnsi" w:cstheme="majorHAnsi"/>
          <w:i/>
          <w:iCs/>
          <w:noProof/>
          <w:szCs w:val="22"/>
          <w:lang w:val="sq-AL"/>
        </w:rPr>
        <w:t>Për miratimin e Strategjisë Afatmesme të të Ardhurave dhe Planit të Veprimit 2024–2027</w:t>
      </w:r>
      <w:r w:rsidRPr="00516127">
        <w:rPr>
          <w:rFonts w:asciiTheme="majorHAnsi" w:hAnsiTheme="majorHAnsi" w:cstheme="majorHAnsi"/>
          <w:noProof/>
          <w:szCs w:val="22"/>
          <w:lang w:val="sq-AL"/>
        </w:rPr>
        <w:t xml:space="preserve">”. </w:t>
      </w:r>
    </w:p>
    <w:p w14:paraId="2849F0E8" w14:textId="77777777" w:rsidR="005D645F" w:rsidRDefault="00D31F37" w:rsidP="005D645F">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Për vitin 2025, Strategjia parashikoi një rritje të të ardhurave prej 16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ose 0.62% të PBB, nga të cilat af</w:t>
      </w:r>
      <w:r w:rsidR="005D645F">
        <w:rPr>
          <w:rFonts w:asciiTheme="majorHAnsi" w:hAnsiTheme="majorHAnsi" w:cstheme="majorHAnsi"/>
          <w:noProof/>
          <w:szCs w:val="22"/>
          <w:lang w:val="sq-AL"/>
        </w:rPr>
        <w:t>ro</w:t>
      </w:r>
      <w:r w:rsidRPr="00516127">
        <w:rPr>
          <w:rFonts w:asciiTheme="majorHAnsi" w:hAnsiTheme="majorHAnsi" w:cstheme="majorHAnsi"/>
          <w:noProof/>
          <w:szCs w:val="22"/>
          <w:lang w:val="sq-AL"/>
        </w:rPr>
        <w:t xml:space="preserve"> 0.8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u parashikuan nga Shtylla 1 "</w:t>
      </w:r>
      <w:r w:rsidRPr="005D645F">
        <w:rPr>
          <w:rFonts w:asciiTheme="majorHAnsi" w:hAnsiTheme="majorHAnsi" w:cstheme="majorHAnsi"/>
          <w:i/>
          <w:iCs/>
          <w:noProof/>
          <w:szCs w:val="22"/>
          <w:lang w:val="sq-AL"/>
        </w:rPr>
        <w:t>Politika tatimore</w:t>
      </w:r>
      <w:r w:rsidRPr="00516127">
        <w:rPr>
          <w:rFonts w:asciiTheme="majorHAnsi" w:hAnsiTheme="majorHAnsi" w:cstheme="majorHAnsi"/>
          <w:noProof/>
          <w:szCs w:val="22"/>
          <w:lang w:val="sq-AL"/>
        </w:rPr>
        <w:t xml:space="preserve">", rreth 13.8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nga Shtylla 2 "</w:t>
      </w:r>
      <w:r w:rsidRPr="005D645F">
        <w:rPr>
          <w:rFonts w:asciiTheme="majorHAnsi" w:hAnsiTheme="majorHAnsi" w:cstheme="majorHAnsi"/>
          <w:i/>
          <w:iCs/>
          <w:noProof/>
          <w:szCs w:val="22"/>
          <w:lang w:val="sq-AL"/>
        </w:rPr>
        <w:t>Administrimi i mallrave tatimore</w:t>
      </w:r>
      <w:r w:rsidRPr="00516127">
        <w:rPr>
          <w:rFonts w:asciiTheme="majorHAnsi" w:hAnsiTheme="majorHAnsi" w:cstheme="majorHAnsi"/>
          <w:noProof/>
          <w:szCs w:val="22"/>
          <w:lang w:val="sq-AL"/>
        </w:rPr>
        <w:t xml:space="preserve">" dhe rreth 1.4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nga Shtylla</w:t>
      </w:r>
      <w:r w:rsidR="005D645F">
        <w:rPr>
          <w:rFonts w:asciiTheme="majorHAnsi" w:hAnsiTheme="majorHAnsi" w:cstheme="majorHAnsi"/>
          <w:noProof/>
          <w:szCs w:val="22"/>
          <w:lang w:val="sq-AL"/>
        </w:rPr>
        <w:t xml:space="preserve"> </w:t>
      </w:r>
      <w:r w:rsidRPr="00516127">
        <w:rPr>
          <w:rFonts w:asciiTheme="majorHAnsi" w:hAnsiTheme="majorHAnsi" w:cstheme="majorHAnsi"/>
          <w:noProof/>
          <w:szCs w:val="22"/>
          <w:lang w:val="sq-AL"/>
        </w:rPr>
        <w:t>3 "</w:t>
      </w:r>
      <w:r w:rsidRPr="005D645F">
        <w:rPr>
          <w:rFonts w:asciiTheme="majorHAnsi" w:hAnsiTheme="majorHAnsi" w:cstheme="majorHAnsi"/>
          <w:i/>
          <w:iCs/>
          <w:noProof/>
          <w:szCs w:val="22"/>
          <w:lang w:val="sq-AL"/>
        </w:rPr>
        <w:t>Administrimi i mallrave doganore</w:t>
      </w:r>
      <w:r w:rsidRPr="00516127">
        <w:rPr>
          <w:rFonts w:asciiTheme="majorHAnsi" w:hAnsiTheme="majorHAnsi" w:cstheme="majorHAnsi"/>
          <w:noProof/>
          <w:szCs w:val="22"/>
          <w:lang w:val="sq-AL"/>
        </w:rPr>
        <w:t>".</w:t>
      </w:r>
      <w:r w:rsidR="005D645F">
        <w:rPr>
          <w:rFonts w:asciiTheme="majorHAnsi" w:hAnsiTheme="majorHAnsi" w:cstheme="majorHAnsi"/>
          <w:noProof/>
          <w:szCs w:val="22"/>
          <w:lang w:val="sq-AL"/>
        </w:rPr>
        <w:t xml:space="preserve"> </w:t>
      </w:r>
      <w:r w:rsidRPr="00516127">
        <w:rPr>
          <w:rFonts w:asciiTheme="majorHAnsi" w:hAnsiTheme="majorHAnsi" w:cstheme="majorHAnsi"/>
          <w:noProof/>
          <w:szCs w:val="22"/>
          <w:lang w:val="sq-AL"/>
        </w:rPr>
        <w:t xml:space="preserve">Bazuar në të dhënat për vitin 2025, objektivi i rritjes së të ardhurave është arritur dhe tejkaluar. </w:t>
      </w:r>
    </w:p>
    <w:p w14:paraId="0B4A59D0" w14:textId="66ECDF93" w:rsidR="00D31F37" w:rsidRDefault="00D31F37" w:rsidP="005D645F">
      <w:pPr>
        <w:rPr>
          <w:rFonts w:asciiTheme="majorHAnsi" w:hAnsiTheme="majorHAnsi" w:cstheme="majorHAnsi"/>
          <w:noProof/>
          <w:szCs w:val="22"/>
          <w:lang w:val="sq-AL"/>
        </w:rPr>
      </w:pPr>
      <w:r w:rsidRPr="00516127">
        <w:rPr>
          <w:rFonts w:asciiTheme="majorHAnsi" w:hAnsiTheme="majorHAnsi" w:cstheme="majorHAnsi"/>
          <w:noProof/>
          <w:szCs w:val="22"/>
          <w:lang w:val="sq-AL"/>
        </w:rPr>
        <w:t xml:space="preserve">Të ardhurat shtesë për vitin 2025 arritën në 19.6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ose rreth 0.76% të PBB, që është rreth 3.7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ose 0.14 % e PBB më shumë se objektivi i </w:t>
      </w:r>
      <w:r w:rsidR="005D645F">
        <w:rPr>
          <w:rFonts w:asciiTheme="majorHAnsi" w:hAnsiTheme="majorHAnsi" w:cstheme="majorHAnsi"/>
          <w:noProof/>
          <w:szCs w:val="22"/>
          <w:lang w:val="sq-AL"/>
        </w:rPr>
        <w:t>Strategjisë</w:t>
      </w:r>
      <w:r w:rsidRPr="00516127">
        <w:rPr>
          <w:rFonts w:asciiTheme="majorHAnsi" w:hAnsiTheme="majorHAnsi" w:cstheme="majorHAnsi"/>
          <w:noProof/>
          <w:szCs w:val="22"/>
          <w:lang w:val="sq-AL"/>
        </w:rPr>
        <w:t xml:space="preserve"> për vitin 2025.</w:t>
      </w:r>
    </w:p>
    <w:p w14:paraId="3E64285A" w14:textId="7037C658" w:rsidR="00D31F37" w:rsidRPr="005D645F" w:rsidRDefault="00D31F37" w:rsidP="00D31F37">
      <w:pPr>
        <w:ind w:left="7"/>
        <w:rPr>
          <w:rFonts w:asciiTheme="majorHAnsi" w:hAnsiTheme="majorHAnsi" w:cstheme="majorHAnsi"/>
          <w:b/>
          <w:bCs/>
          <w:lang w:val="it-CH"/>
        </w:rPr>
      </w:pPr>
      <w:r w:rsidRPr="005D645F">
        <w:rPr>
          <w:rStyle w:val="Strong"/>
          <w:rFonts w:asciiTheme="majorHAnsi" w:eastAsiaTheme="majorEastAsia" w:hAnsiTheme="majorHAnsi" w:cstheme="majorHAnsi"/>
          <w:b w:val="0"/>
          <w:bCs w:val="0"/>
          <w:lang w:val="it-CH"/>
        </w:rPr>
        <w:t>Realizimi i Objektivit të të Ardhurave</w:t>
      </w:r>
    </w:p>
    <w:p w14:paraId="236CC97B" w14:textId="22F0063D" w:rsidR="00D31F37" w:rsidRPr="005D645F"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5D645F">
        <w:rPr>
          <w:rFonts w:asciiTheme="majorHAnsi" w:hAnsiTheme="majorHAnsi" w:cstheme="majorHAnsi"/>
          <w:i/>
          <w:iCs/>
          <w:noProof/>
          <w:lang w:val="sq-AL"/>
        </w:rPr>
        <w:t xml:space="preserve">Strategjia Afatmesme e të Ardhurave (SAA) për vitin 2025 kishte parashikuar një rritje të të ardhurave prej +15,963 </w:t>
      </w:r>
      <w:r w:rsidR="0056260B" w:rsidRPr="005D645F">
        <w:rPr>
          <w:rFonts w:asciiTheme="majorHAnsi" w:hAnsiTheme="majorHAnsi" w:cstheme="majorHAnsi"/>
          <w:i/>
          <w:iCs/>
          <w:noProof/>
          <w:lang w:val="sq-AL"/>
        </w:rPr>
        <w:t>milionë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ose 0.62% e PPB.</w:t>
      </w:r>
    </w:p>
    <w:p w14:paraId="1F7A43C9" w14:textId="3E450C1F" w:rsidR="00D31F37" w:rsidRPr="005D645F"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5D645F">
        <w:rPr>
          <w:rFonts w:asciiTheme="majorHAnsi" w:hAnsiTheme="majorHAnsi" w:cstheme="majorHAnsi"/>
          <w:i/>
          <w:iCs/>
          <w:noProof/>
          <w:lang w:val="sq-AL"/>
        </w:rPr>
        <w:t xml:space="preserve">Faktikisht, rritja e realizuar është +19.64 </w:t>
      </w:r>
      <w:r w:rsidR="0056260B" w:rsidRPr="005D645F">
        <w:rPr>
          <w:rFonts w:asciiTheme="majorHAnsi" w:hAnsiTheme="majorHAnsi" w:cstheme="majorHAnsi"/>
          <w:i/>
          <w:iCs/>
          <w:noProof/>
          <w:lang w:val="sq-AL"/>
        </w:rPr>
        <w:t>miliardë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ose 0.76% e PPB, duke e tejkaluar objektivin me +3.68 </w:t>
      </w:r>
      <w:r w:rsidR="0056260B" w:rsidRPr="005D645F">
        <w:rPr>
          <w:rFonts w:asciiTheme="majorHAnsi" w:hAnsiTheme="majorHAnsi" w:cstheme="majorHAnsi"/>
          <w:i/>
          <w:iCs/>
          <w:noProof/>
          <w:lang w:val="sq-AL"/>
        </w:rPr>
        <w:t>miliardë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(0.14% e PPB).</w:t>
      </w:r>
    </w:p>
    <w:p w14:paraId="3087302A" w14:textId="4FFD80C5" w:rsidR="00D31F37" w:rsidRPr="005D645F"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5D645F">
        <w:rPr>
          <w:rFonts w:asciiTheme="majorHAnsi" w:hAnsiTheme="majorHAnsi" w:cstheme="majorHAnsi"/>
          <w:i/>
          <w:iCs/>
          <w:noProof/>
          <w:lang w:val="sq-AL"/>
        </w:rPr>
        <w:t>Të ardhurat nga tatime</w:t>
      </w:r>
      <w:r w:rsidR="00F25566" w:rsidRPr="005D645F">
        <w:rPr>
          <w:rFonts w:asciiTheme="majorHAnsi" w:hAnsiTheme="majorHAnsi" w:cstheme="majorHAnsi"/>
          <w:i/>
          <w:iCs/>
          <w:noProof/>
          <w:lang w:val="sq-AL"/>
        </w:rPr>
        <w:t>-</w:t>
      </w:r>
      <w:r w:rsidRPr="005D645F">
        <w:rPr>
          <w:rFonts w:asciiTheme="majorHAnsi" w:hAnsiTheme="majorHAnsi" w:cstheme="majorHAnsi"/>
          <w:i/>
          <w:iCs/>
          <w:noProof/>
          <w:lang w:val="sq-AL"/>
        </w:rPr>
        <w:t xml:space="preserve">doganat (pa përfshirë kontributet) arritën 496.2 </w:t>
      </w:r>
      <w:r w:rsidR="0056260B" w:rsidRPr="005D645F">
        <w:rPr>
          <w:rFonts w:asciiTheme="majorHAnsi" w:hAnsiTheme="majorHAnsi" w:cstheme="majorHAnsi"/>
          <w:i/>
          <w:iCs/>
          <w:noProof/>
          <w:lang w:val="sq-AL"/>
        </w:rPr>
        <w:t>miliardë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(+8.6% ndaj 2024).</w:t>
      </w:r>
    </w:p>
    <w:p w14:paraId="4D4F934C" w14:textId="0DC5DD77" w:rsidR="00D31F37"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5D645F">
        <w:rPr>
          <w:rFonts w:asciiTheme="majorHAnsi" w:hAnsiTheme="majorHAnsi" w:cstheme="majorHAnsi"/>
          <w:i/>
          <w:iCs/>
          <w:noProof/>
          <w:lang w:val="sq-AL"/>
        </w:rPr>
        <w:t xml:space="preserve">Të ardhurat nga kontributet u realizuan në shumën 178.2 </w:t>
      </w:r>
      <w:r w:rsidR="0056260B" w:rsidRPr="005D645F">
        <w:rPr>
          <w:rFonts w:asciiTheme="majorHAnsi" w:hAnsiTheme="majorHAnsi" w:cstheme="majorHAnsi"/>
          <w:i/>
          <w:iCs/>
          <w:noProof/>
          <w:lang w:val="sq-AL"/>
        </w:rPr>
        <w:t>miliardë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+17.2 </w:t>
      </w:r>
      <w:r w:rsidR="0056260B" w:rsidRPr="005D645F">
        <w:rPr>
          <w:rFonts w:asciiTheme="majorHAnsi" w:hAnsiTheme="majorHAnsi" w:cstheme="majorHAnsi"/>
          <w:i/>
          <w:iCs/>
          <w:noProof/>
          <w:lang w:val="sq-AL"/>
        </w:rPr>
        <w:t>miliardë</w:t>
      </w:r>
      <w:r w:rsidRPr="005D645F">
        <w:rPr>
          <w:rFonts w:asciiTheme="majorHAnsi" w:hAnsiTheme="majorHAnsi" w:cstheme="majorHAnsi"/>
          <w:i/>
          <w:iCs/>
          <w:noProof/>
          <w:lang w:val="sq-AL"/>
        </w:rPr>
        <w:t xml:space="preserve"> </w:t>
      </w:r>
      <w:r w:rsidR="0056260B" w:rsidRPr="005D645F">
        <w:rPr>
          <w:rFonts w:asciiTheme="majorHAnsi" w:hAnsiTheme="majorHAnsi" w:cstheme="majorHAnsi"/>
          <w:i/>
          <w:iCs/>
          <w:noProof/>
          <w:lang w:val="sq-AL"/>
        </w:rPr>
        <w:t>LEK</w:t>
      </w:r>
      <w:r w:rsidRPr="005D645F">
        <w:rPr>
          <w:rFonts w:asciiTheme="majorHAnsi" w:hAnsiTheme="majorHAnsi" w:cstheme="majorHAnsi"/>
          <w:i/>
          <w:iCs/>
          <w:noProof/>
          <w:lang w:val="sq-AL"/>
        </w:rPr>
        <w:t xml:space="preserve"> (ose +10.7%)</w:t>
      </w:r>
      <w:r w:rsidRPr="000B4A64">
        <w:rPr>
          <w:rFonts w:asciiTheme="majorHAnsi" w:hAnsiTheme="majorHAnsi" w:cstheme="majorHAnsi"/>
          <w:i/>
          <w:iCs/>
          <w:noProof/>
          <w:lang w:val="sq-AL"/>
        </w:rPr>
        <w:t xml:space="preserve"> krahasuar me vitin 2024.</w:t>
      </w:r>
    </w:p>
    <w:p w14:paraId="4CFE65C0" w14:textId="77777777" w:rsidR="005245F0" w:rsidRPr="000B4A64" w:rsidRDefault="005245F0" w:rsidP="005245F0">
      <w:pPr>
        <w:pStyle w:val="ListParagraph"/>
        <w:autoSpaceDE w:val="0"/>
        <w:autoSpaceDN w:val="0"/>
        <w:adjustRightInd w:val="0"/>
        <w:spacing w:before="0"/>
        <w:rPr>
          <w:rFonts w:asciiTheme="majorHAnsi" w:hAnsiTheme="majorHAnsi" w:cstheme="majorHAnsi"/>
          <w:i/>
          <w:iCs/>
          <w:noProof/>
          <w:lang w:val="sq-AL"/>
        </w:rPr>
      </w:pPr>
    </w:p>
    <w:p w14:paraId="4699D547" w14:textId="77777777" w:rsidR="000B4A64" w:rsidRPr="000B4A64" w:rsidRDefault="000B4A64" w:rsidP="00F25566">
      <w:pPr>
        <w:spacing w:before="0"/>
        <w:jc w:val="left"/>
        <w:rPr>
          <w:rStyle w:val="Strong"/>
          <w:rFonts w:asciiTheme="majorHAnsi" w:eastAsiaTheme="majorEastAsia" w:hAnsiTheme="majorHAnsi" w:cstheme="majorHAnsi"/>
          <w:b w:val="0"/>
          <w:bCs w:val="0"/>
          <w:sz w:val="8"/>
          <w:szCs w:val="8"/>
          <w:u w:val="single"/>
          <w:lang w:val="it-CH"/>
        </w:rPr>
      </w:pPr>
    </w:p>
    <w:p w14:paraId="00D2B4DD" w14:textId="24F0D7F7" w:rsidR="00D31F37" w:rsidRPr="005D645F" w:rsidRDefault="00D31F37" w:rsidP="00F25566">
      <w:pPr>
        <w:spacing w:before="0"/>
        <w:jc w:val="left"/>
        <w:rPr>
          <w:rFonts w:asciiTheme="majorHAnsi" w:hAnsiTheme="majorHAnsi" w:cstheme="majorHAnsi"/>
          <w:b/>
          <w:bCs/>
          <w:lang w:val="it-CH"/>
        </w:rPr>
      </w:pPr>
      <w:r w:rsidRPr="005D645F">
        <w:rPr>
          <w:rStyle w:val="Strong"/>
          <w:rFonts w:asciiTheme="majorHAnsi" w:eastAsiaTheme="majorEastAsia" w:hAnsiTheme="majorHAnsi" w:cstheme="majorHAnsi"/>
          <w:b w:val="0"/>
          <w:bCs w:val="0"/>
          <w:lang w:val="it-CH"/>
        </w:rPr>
        <w:lastRenderedPageBreak/>
        <w:t>Performanca e të Ardhurave sipas Shtyllave të Strategjisë</w:t>
      </w:r>
    </w:p>
    <w:p w14:paraId="2E712521" w14:textId="47032A9F"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 xml:space="preserve">Shtylla 1 (Rishikimi i Politikës Tatimore): 857 </w:t>
      </w:r>
      <w:r w:rsidR="0056260B">
        <w:rPr>
          <w:rFonts w:asciiTheme="majorHAnsi" w:hAnsiTheme="majorHAnsi" w:cstheme="majorHAnsi"/>
          <w:i/>
          <w:iCs/>
          <w:noProof/>
          <w:lang w:val="sq-AL"/>
        </w:rPr>
        <w:t>milionë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(57 </w:t>
      </w:r>
      <w:r w:rsidR="0056260B">
        <w:rPr>
          <w:rFonts w:asciiTheme="majorHAnsi" w:hAnsiTheme="majorHAnsi" w:cstheme="majorHAnsi"/>
          <w:i/>
          <w:iCs/>
          <w:noProof/>
          <w:lang w:val="sq-AL"/>
        </w:rPr>
        <w:t>milionë</w:t>
      </w:r>
      <w:r w:rsidRPr="000B4A64">
        <w:rPr>
          <w:rFonts w:asciiTheme="majorHAnsi" w:hAnsiTheme="majorHAnsi" w:cstheme="majorHAnsi"/>
          <w:i/>
          <w:iCs/>
          <w:noProof/>
          <w:lang w:val="sq-AL"/>
        </w:rPr>
        <w:t xml:space="preserve"> mbi objektivin).</w:t>
      </w:r>
    </w:p>
    <w:p w14:paraId="45AA2839" w14:textId="449122D3"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 xml:space="preserve">Shtylla 2 (Mirëadministrimi Tatimor): 17,429 </w:t>
      </w:r>
      <w:r w:rsidR="0056260B">
        <w:rPr>
          <w:rFonts w:asciiTheme="majorHAnsi" w:hAnsiTheme="majorHAnsi" w:cstheme="majorHAnsi"/>
          <w:i/>
          <w:iCs/>
          <w:noProof/>
          <w:lang w:val="sq-AL"/>
        </w:rPr>
        <w:t>milionë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(3,6 </w:t>
      </w:r>
      <w:r w:rsidR="0056260B">
        <w:rPr>
          <w:rFonts w:asciiTheme="majorHAnsi" w:hAnsiTheme="majorHAnsi" w:cstheme="majorHAnsi"/>
          <w:i/>
          <w:iCs/>
          <w:noProof/>
          <w:lang w:val="sq-AL"/>
        </w:rPr>
        <w:t>miliardë</w:t>
      </w:r>
      <w:r w:rsidRPr="000B4A64">
        <w:rPr>
          <w:rFonts w:asciiTheme="majorHAnsi" w:hAnsiTheme="majorHAnsi" w:cstheme="majorHAnsi"/>
          <w:i/>
          <w:iCs/>
          <w:noProof/>
          <w:lang w:val="sq-AL"/>
        </w:rPr>
        <w:t xml:space="preserve"> mbi objektivin).</w:t>
      </w:r>
    </w:p>
    <w:p w14:paraId="2BD5F1C1" w14:textId="58352683"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 xml:space="preserve">Shtylla 3 (Mirëadministrimi Doganor): 1,353 </w:t>
      </w:r>
      <w:r w:rsidR="0056260B">
        <w:rPr>
          <w:rFonts w:asciiTheme="majorHAnsi" w:hAnsiTheme="majorHAnsi" w:cstheme="majorHAnsi"/>
          <w:i/>
          <w:iCs/>
          <w:noProof/>
          <w:lang w:val="sq-AL"/>
        </w:rPr>
        <w:t>milionë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(55 </w:t>
      </w:r>
      <w:r w:rsidR="0056260B">
        <w:rPr>
          <w:rFonts w:asciiTheme="majorHAnsi" w:hAnsiTheme="majorHAnsi" w:cstheme="majorHAnsi"/>
          <w:i/>
          <w:iCs/>
          <w:noProof/>
          <w:lang w:val="sq-AL"/>
        </w:rPr>
        <w:t>milionë</w:t>
      </w:r>
      <w:r w:rsidRPr="000B4A64">
        <w:rPr>
          <w:rFonts w:asciiTheme="majorHAnsi" w:hAnsiTheme="majorHAnsi" w:cstheme="majorHAnsi"/>
          <w:i/>
          <w:iCs/>
          <w:noProof/>
          <w:lang w:val="sq-AL"/>
        </w:rPr>
        <w:t xml:space="preserve"> nën objektiv).</w:t>
      </w:r>
    </w:p>
    <w:p w14:paraId="70E147B6" w14:textId="77777777" w:rsidR="00F25566" w:rsidRPr="005245F0" w:rsidRDefault="00F25566" w:rsidP="00F25566">
      <w:pPr>
        <w:pStyle w:val="ListParagraph"/>
        <w:autoSpaceDE w:val="0"/>
        <w:autoSpaceDN w:val="0"/>
        <w:adjustRightInd w:val="0"/>
        <w:spacing w:before="0"/>
        <w:rPr>
          <w:rFonts w:asciiTheme="majorHAnsi" w:hAnsiTheme="majorHAnsi" w:cstheme="majorHAnsi"/>
          <w:i/>
          <w:iCs/>
          <w:noProof/>
          <w:sz w:val="16"/>
          <w:szCs w:val="16"/>
          <w:lang w:val="sq-AL"/>
        </w:rPr>
      </w:pPr>
    </w:p>
    <w:p w14:paraId="49A84F95" w14:textId="77777777" w:rsidR="00D31F37" w:rsidRPr="005D645F" w:rsidRDefault="00D31F37" w:rsidP="00F25566">
      <w:pPr>
        <w:spacing w:before="0"/>
        <w:jc w:val="left"/>
        <w:rPr>
          <w:rFonts w:asciiTheme="majorHAnsi" w:hAnsiTheme="majorHAnsi" w:cstheme="majorHAnsi"/>
          <w:b/>
          <w:bCs/>
        </w:rPr>
      </w:pPr>
      <w:proofErr w:type="spellStart"/>
      <w:r w:rsidRPr="005D645F">
        <w:rPr>
          <w:rStyle w:val="Strong"/>
          <w:rFonts w:asciiTheme="majorHAnsi" w:eastAsiaTheme="majorEastAsia" w:hAnsiTheme="majorHAnsi" w:cstheme="majorHAnsi"/>
          <w:b w:val="0"/>
          <w:bCs w:val="0"/>
        </w:rPr>
        <w:t>Zbatimi</w:t>
      </w:r>
      <w:proofErr w:type="spellEnd"/>
      <w:r w:rsidRPr="005D645F">
        <w:rPr>
          <w:rStyle w:val="Strong"/>
          <w:rFonts w:asciiTheme="majorHAnsi" w:eastAsiaTheme="majorEastAsia" w:hAnsiTheme="majorHAnsi" w:cstheme="majorHAnsi"/>
          <w:b w:val="0"/>
          <w:bCs w:val="0"/>
        </w:rPr>
        <w:t xml:space="preserve"> </w:t>
      </w:r>
      <w:proofErr w:type="spellStart"/>
      <w:r w:rsidRPr="005D645F">
        <w:rPr>
          <w:rStyle w:val="Strong"/>
          <w:rFonts w:asciiTheme="majorHAnsi" w:eastAsiaTheme="majorEastAsia" w:hAnsiTheme="majorHAnsi" w:cstheme="majorHAnsi"/>
          <w:b w:val="0"/>
          <w:bCs w:val="0"/>
        </w:rPr>
        <w:t>i</w:t>
      </w:r>
      <w:proofErr w:type="spellEnd"/>
      <w:r w:rsidRPr="005D645F">
        <w:rPr>
          <w:rStyle w:val="Strong"/>
          <w:rFonts w:asciiTheme="majorHAnsi" w:eastAsiaTheme="majorEastAsia" w:hAnsiTheme="majorHAnsi" w:cstheme="majorHAnsi"/>
          <w:b w:val="0"/>
          <w:bCs w:val="0"/>
        </w:rPr>
        <w:t xml:space="preserve"> </w:t>
      </w:r>
      <w:proofErr w:type="spellStart"/>
      <w:r w:rsidRPr="005D645F">
        <w:rPr>
          <w:rStyle w:val="Strong"/>
          <w:rFonts w:asciiTheme="majorHAnsi" w:eastAsiaTheme="majorEastAsia" w:hAnsiTheme="majorHAnsi" w:cstheme="majorHAnsi"/>
          <w:b w:val="0"/>
          <w:bCs w:val="0"/>
        </w:rPr>
        <w:t>Masave</w:t>
      </w:r>
      <w:proofErr w:type="spellEnd"/>
      <w:r w:rsidRPr="005D645F">
        <w:rPr>
          <w:rStyle w:val="Strong"/>
          <w:rFonts w:asciiTheme="majorHAnsi" w:eastAsiaTheme="majorEastAsia" w:hAnsiTheme="majorHAnsi" w:cstheme="majorHAnsi"/>
          <w:b w:val="0"/>
          <w:bCs w:val="0"/>
        </w:rPr>
        <w:t xml:space="preserve"> </w:t>
      </w:r>
      <w:proofErr w:type="spellStart"/>
      <w:r w:rsidRPr="005D645F">
        <w:rPr>
          <w:rStyle w:val="Strong"/>
          <w:rFonts w:asciiTheme="majorHAnsi" w:eastAsiaTheme="majorEastAsia" w:hAnsiTheme="majorHAnsi" w:cstheme="majorHAnsi"/>
          <w:b w:val="0"/>
          <w:bCs w:val="0"/>
        </w:rPr>
        <w:t>dhe</w:t>
      </w:r>
      <w:proofErr w:type="spellEnd"/>
      <w:r w:rsidRPr="005D645F">
        <w:rPr>
          <w:rStyle w:val="Strong"/>
          <w:rFonts w:asciiTheme="majorHAnsi" w:eastAsiaTheme="majorEastAsia" w:hAnsiTheme="majorHAnsi" w:cstheme="majorHAnsi"/>
          <w:b w:val="0"/>
          <w:bCs w:val="0"/>
        </w:rPr>
        <w:t xml:space="preserve"> </w:t>
      </w:r>
      <w:proofErr w:type="spellStart"/>
      <w:r w:rsidRPr="005D645F">
        <w:rPr>
          <w:rStyle w:val="Strong"/>
          <w:rFonts w:asciiTheme="majorHAnsi" w:eastAsiaTheme="majorEastAsia" w:hAnsiTheme="majorHAnsi" w:cstheme="majorHAnsi"/>
          <w:b w:val="0"/>
          <w:bCs w:val="0"/>
        </w:rPr>
        <w:t>Aktiviteteve</w:t>
      </w:r>
      <w:proofErr w:type="spellEnd"/>
    </w:p>
    <w:p w14:paraId="5901D222" w14:textId="77777777"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40 tregues performance dhe mbi 70 masa u monitoruan për vitin 2025.</w:t>
      </w:r>
    </w:p>
    <w:p w14:paraId="35E73560" w14:textId="15886952"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U hartua “Raporti i Vlerësimit të Përjashtimeve Tatimore”, i cili mbulon TVSH, tatimin mbi të ardhurat, tatimin mbi fitimin dhe akcizën.</w:t>
      </w:r>
    </w:p>
    <w:p w14:paraId="01F7613F" w14:textId="77777777"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U hartuan dhe u zbatuan planet sektoriale për ndërtimin dhe turizmin.</w:t>
      </w:r>
    </w:p>
    <w:p w14:paraId="0A5A584D" w14:textId="77777777"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U realizua pjesërisht analiza e tregtisë elektronike dhe u miratuan ndryshimet ligjore për bizneset online.</w:t>
      </w:r>
    </w:p>
    <w:p w14:paraId="46FA2E1C" w14:textId="4E8425CB"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U realizuan 168 hetime tatimore (duke tejkaluar objektivin e synuar 150 hetime</w:t>
      </w:r>
      <w:r w:rsidR="0019308C" w:rsidRPr="0019308C">
        <w:rPr>
          <w:rFonts w:asciiTheme="majorHAnsi" w:hAnsiTheme="majorHAnsi" w:cstheme="majorHAnsi"/>
          <w:noProof/>
          <w:lang w:val="sq-AL"/>
        </w:rPr>
        <w:t xml:space="preserve">, </w:t>
      </w:r>
      <w:r w:rsidRPr="0019308C">
        <w:rPr>
          <w:rFonts w:asciiTheme="majorHAnsi" w:hAnsiTheme="majorHAnsi" w:cstheme="majorHAnsi"/>
          <w:noProof/>
          <w:lang w:val="sq-AL"/>
        </w:rPr>
        <w:t>133 nga të cilat dërguar në prokurori).</w:t>
      </w:r>
    </w:p>
    <w:p w14:paraId="06C7B21F" w14:textId="19AD777E"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 xml:space="preserve">Gjatë vitit 2025 janë audituar 100 individë të pasur dhe 101 individë </w:t>
      </w:r>
      <w:r w:rsidR="0019308C" w:rsidRPr="0019308C">
        <w:rPr>
          <w:rFonts w:asciiTheme="majorHAnsi" w:hAnsiTheme="majorHAnsi" w:cstheme="majorHAnsi"/>
          <w:noProof/>
          <w:lang w:val="sq-AL"/>
        </w:rPr>
        <w:t xml:space="preserve">të tjerë, </w:t>
      </w:r>
      <w:r w:rsidRPr="0019308C">
        <w:rPr>
          <w:rFonts w:asciiTheme="majorHAnsi" w:hAnsiTheme="majorHAnsi" w:cstheme="majorHAnsi"/>
          <w:noProof/>
          <w:lang w:val="sq-AL"/>
        </w:rPr>
        <w:t>duke përdorur të dhëna nga palët e treta.</w:t>
      </w:r>
    </w:p>
    <w:p w14:paraId="3608FE2B" w14:textId="10B66447"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 xml:space="preserve">Ulja e kufirit të transaksioneve </w:t>
      </w:r>
      <w:r w:rsidR="0019308C" w:rsidRPr="0019308C">
        <w:rPr>
          <w:rFonts w:asciiTheme="majorHAnsi" w:hAnsiTheme="majorHAnsi" w:cstheme="majorHAnsi"/>
          <w:noProof/>
          <w:lang w:val="sq-AL"/>
        </w:rPr>
        <w:t>Cash</w:t>
      </w:r>
      <w:r w:rsidRPr="0019308C">
        <w:rPr>
          <w:rFonts w:asciiTheme="majorHAnsi" w:hAnsiTheme="majorHAnsi" w:cstheme="majorHAnsi"/>
          <w:noProof/>
          <w:lang w:val="sq-AL"/>
        </w:rPr>
        <w:t xml:space="preserve"> mes bizneseve, vendosja e një kufiri për transaksionet </w:t>
      </w:r>
      <w:r w:rsidR="0019308C" w:rsidRPr="0019308C">
        <w:rPr>
          <w:rFonts w:asciiTheme="majorHAnsi" w:hAnsiTheme="majorHAnsi" w:cstheme="majorHAnsi"/>
          <w:noProof/>
          <w:lang w:val="sq-AL"/>
        </w:rPr>
        <w:t>Cash</w:t>
      </w:r>
      <w:r w:rsidRPr="0019308C">
        <w:rPr>
          <w:rFonts w:asciiTheme="majorHAnsi" w:hAnsiTheme="majorHAnsi" w:cstheme="majorHAnsi"/>
          <w:noProof/>
          <w:lang w:val="sq-AL"/>
        </w:rPr>
        <w:t xml:space="preserve"> mes bizneseve e konsumatorëve dhe përcaktimi i një kalendari për vendosjen e POS-eve nga të gjithë bizneset deri në fund të vitit 2026.</w:t>
      </w:r>
    </w:p>
    <w:p w14:paraId="120B8639" w14:textId="4031C126"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Rritje e Operatorëve Ekonomikë të Autorizuar (AEO) në 18</w:t>
      </w:r>
      <w:r w:rsidR="0019308C" w:rsidRPr="0019308C">
        <w:rPr>
          <w:rFonts w:asciiTheme="majorHAnsi" w:hAnsiTheme="majorHAnsi" w:cstheme="majorHAnsi"/>
          <w:noProof/>
          <w:lang w:val="sq-AL"/>
        </w:rPr>
        <w:t>,</w:t>
      </w:r>
      <w:r w:rsidRPr="0019308C">
        <w:rPr>
          <w:rFonts w:asciiTheme="majorHAnsi" w:hAnsiTheme="majorHAnsi" w:cstheme="majorHAnsi"/>
          <w:noProof/>
          <w:lang w:val="sq-AL"/>
        </w:rPr>
        <w:t xml:space="preserve"> nga 16 që ishte në 2024.</w:t>
      </w:r>
    </w:p>
    <w:p w14:paraId="5F2900F0" w14:textId="77777777" w:rsidR="00D31F37" w:rsidRPr="0019308C" w:rsidRDefault="00D31F37">
      <w:pPr>
        <w:pStyle w:val="ListParagraph"/>
        <w:numPr>
          <w:ilvl w:val="0"/>
          <w:numId w:val="40"/>
        </w:numPr>
        <w:autoSpaceDE w:val="0"/>
        <w:autoSpaceDN w:val="0"/>
        <w:adjustRightInd w:val="0"/>
        <w:spacing w:before="0"/>
        <w:rPr>
          <w:rFonts w:asciiTheme="majorHAnsi" w:hAnsiTheme="majorHAnsi" w:cstheme="majorHAnsi"/>
          <w:noProof/>
          <w:lang w:val="sq-AL"/>
        </w:rPr>
      </w:pPr>
      <w:r w:rsidRPr="0019308C">
        <w:rPr>
          <w:rFonts w:asciiTheme="majorHAnsi" w:hAnsiTheme="majorHAnsi" w:cstheme="majorHAnsi"/>
          <w:noProof/>
          <w:lang w:val="sq-AL"/>
        </w:rPr>
        <w:t>Ecuri pozitive e dy projekteve strategjike të IT-së për administratën doganore:</w:t>
      </w:r>
    </w:p>
    <w:p w14:paraId="4315D4EC" w14:textId="77777777" w:rsidR="00D31F37" w:rsidRPr="0019308C" w:rsidRDefault="00D31F37">
      <w:pPr>
        <w:pStyle w:val="ListParagraph"/>
        <w:numPr>
          <w:ilvl w:val="2"/>
          <w:numId w:val="31"/>
        </w:numPr>
        <w:tabs>
          <w:tab w:val="clear" w:pos="2160"/>
        </w:tabs>
        <w:spacing w:before="100" w:beforeAutospacing="1" w:after="100" w:afterAutospacing="1"/>
        <w:ind w:left="1350"/>
        <w:jc w:val="left"/>
        <w:rPr>
          <w:rFonts w:asciiTheme="majorHAnsi" w:hAnsiTheme="majorHAnsi" w:cstheme="majorHAnsi"/>
          <w:i/>
          <w:iCs/>
          <w:lang w:val="sq-AL"/>
        </w:rPr>
      </w:pPr>
      <w:r w:rsidRPr="0019308C">
        <w:rPr>
          <w:rFonts w:asciiTheme="majorHAnsi" w:hAnsiTheme="majorHAnsi" w:cstheme="majorHAnsi"/>
          <w:i/>
          <w:iCs/>
          <w:lang w:val="sq-AL"/>
        </w:rPr>
        <w:t>NSW – ka përfunduar fazën procedurale në Janar dhe pritet të jetë funksional në vitin 2027</w:t>
      </w:r>
    </w:p>
    <w:p w14:paraId="3796447E" w14:textId="77777777" w:rsidR="00D31F37" w:rsidRPr="0019308C" w:rsidRDefault="00D31F37">
      <w:pPr>
        <w:pStyle w:val="ListParagraph"/>
        <w:numPr>
          <w:ilvl w:val="2"/>
          <w:numId w:val="31"/>
        </w:numPr>
        <w:tabs>
          <w:tab w:val="clear" w:pos="2160"/>
        </w:tabs>
        <w:spacing w:before="100" w:beforeAutospacing="1"/>
        <w:ind w:left="1350"/>
        <w:jc w:val="left"/>
        <w:rPr>
          <w:rFonts w:asciiTheme="majorHAnsi" w:hAnsiTheme="majorHAnsi" w:cstheme="majorHAnsi"/>
          <w:i/>
          <w:iCs/>
          <w:lang w:val="pt-PT"/>
        </w:rPr>
      </w:pPr>
      <w:r w:rsidRPr="0019308C">
        <w:rPr>
          <w:rFonts w:asciiTheme="majorHAnsi" w:hAnsiTheme="majorHAnsi" w:cstheme="majorHAnsi"/>
          <w:i/>
          <w:iCs/>
          <w:lang w:val="pt-PT"/>
        </w:rPr>
        <w:t>NCTS – është testuar dhe pritet të përfundojë brenda vitit 2026.</w:t>
      </w:r>
    </w:p>
    <w:p w14:paraId="2E1E953C" w14:textId="77777777" w:rsidR="000B4A64" w:rsidRPr="005245F0" w:rsidRDefault="000B4A64" w:rsidP="000B4A64">
      <w:pPr>
        <w:pStyle w:val="ListParagraph"/>
        <w:spacing w:before="100" w:beforeAutospacing="1"/>
        <w:ind w:left="1350"/>
        <w:jc w:val="left"/>
        <w:rPr>
          <w:rFonts w:asciiTheme="majorHAnsi" w:hAnsiTheme="majorHAnsi" w:cstheme="majorHAnsi"/>
          <w:sz w:val="16"/>
          <w:szCs w:val="16"/>
          <w:lang w:val="pt-PT"/>
        </w:rPr>
      </w:pPr>
    </w:p>
    <w:p w14:paraId="1ACE58B0" w14:textId="77777777" w:rsidR="00D31F37" w:rsidRPr="0019308C" w:rsidRDefault="00D31F37" w:rsidP="000B4A64">
      <w:pPr>
        <w:spacing w:before="0"/>
        <w:jc w:val="left"/>
        <w:rPr>
          <w:rStyle w:val="Strong"/>
          <w:rFonts w:asciiTheme="majorHAnsi" w:eastAsiaTheme="majorEastAsia" w:hAnsiTheme="majorHAnsi" w:cstheme="majorHAnsi"/>
          <w:b w:val="0"/>
          <w:bCs w:val="0"/>
        </w:rPr>
      </w:pPr>
      <w:proofErr w:type="spellStart"/>
      <w:r w:rsidRPr="0019308C">
        <w:rPr>
          <w:rStyle w:val="Strong"/>
          <w:rFonts w:asciiTheme="majorHAnsi" w:eastAsiaTheme="majorEastAsia" w:hAnsiTheme="majorHAnsi" w:cstheme="majorHAnsi"/>
          <w:b w:val="0"/>
          <w:bCs w:val="0"/>
        </w:rPr>
        <w:t>Evidentimi</w:t>
      </w:r>
      <w:proofErr w:type="spellEnd"/>
      <w:r w:rsidRPr="0019308C">
        <w:rPr>
          <w:rStyle w:val="Strong"/>
          <w:rFonts w:asciiTheme="majorHAnsi" w:eastAsiaTheme="majorEastAsia" w:hAnsiTheme="majorHAnsi" w:cstheme="majorHAnsi"/>
          <w:b w:val="0"/>
          <w:bCs w:val="0"/>
        </w:rPr>
        <w:t xml:space="preserve"> </w:t>
      </w:r>
      <w:proofErr w:type="spellStart"/>
      <w:r w:rsidRPr="0019308C">
        <w:rPr>
          <w:rStyle w:val="Strong"/>
          <w:rFonts w:asciiTheme="majorHAnsi" w:eastAsiaTheme="majorEastAsia" w:hAnsiTheme="majorHAnsi" w:cstheme="majorHAnsi"/>
          <w:b w:val="0"/>
          <w:bCs w:val="0"/>
        </w:rPr>
        <w:t>i</w:t>
      </w:r>
      <w:proofErr w:type="spellEnd"/>
      <w:r w:rsidRPr="0019308C">
        <w:rPr>
          <w:rStyle w:val="Strong"/>
          <w:rFonts w:asciiTheme="majorHAnsi" w:eastAsiaTheme="majorEastAsia" w:hAnsiTheme="majorHAnsi" w:cstheme="majorHAnsi"/>
          <w:b w:val="0"/>
          <w:bCs w:val="0"/>
        </w:rPr>
        <w:t xml:space="preserve"> </w:t>
      </w:r>
      <w:proofErr w:type="spellStart"/>
      <w:r w:rsidRPr="0019308C">
        <w:rPr>
          <w:rStyle w:val="Strong"/>
          <w:rFonts w:asciiTheme="majorHAnsi" w:eastAsiaTheme="majorEastAsia" w:hAnsiTheme="majorHAnsi" w:cstheme="majorHAnsi"/>
          <w:b w:val="0"/>
          <w:bCs w:val="0"/>
        </w:rPr>
        <w:t>treguesve</w:t>
      </w:r>
      <w:proofErr w:type="spellEnd"/>
      <w:r w:rsidRPr="0019308C">
        <w:rPr>
          <w:rStyle w:val="Strong"/>
          <w:rFonts w:asciiTheme="majorHAnsi" w:eastAsiaTheme="majorEastAsia" w:hAnsiTheme="majorHAnsi" w:cstheme="majorHAnsi"/>
          <w:b w:val="0"/>
          <w:bCs w:val="0"/>
        </w:rPr>
        <w:t xml:space="preserve"> </w:t>
      </w:r>
      <w:proofErr w:type="spellStart"/>
      <w:r w:rsidRPr="0019308C">
        <w:rPr>
          <w:rStyle w:val="Strong"/>
          <w:rFonts w:asciiTheme="majorHAnsi" w:eastAsiaTheme="majorEastAsia" w:hAnsiTheme="majorHAnsi" w:cstheme="majorHAnsi"/>
          <w:b w:val="0"/>
          <w:bCs w:val="0"/>
        </w:rPr>
        <w:t>kryesorë</w:t>
      </w:r>
      <w:proofErr w:type="spellEnd"/>
      <w:r w:rsidRPr="0019308C">
        <w:rPr>
          <w:rStyle w:val="Strong"/>
          <w:rFonts w:asciiTheme="majorHAnsi" w:eastAsiaTheme="majorEastAsia" w:hAnsiTheme="majorHAnsi" w:cstheme="majorHAnsi"/>
          <w:b w:val="0"/>
          <w:bCs w:val="0"/>
        </w:rPr>
        <w:t xml:space="preserve"> </w:t>
      </w:r>
      <w:proofErr w:type="spellStart"/>
      <w:r w:rsidRPr="0019308C">
        <w:rPr>
          <w:rStyle w:val="Strong"/>
          <w:rFonts w:asciiTheme="majorHAnsi" w:eastAsiaTheme="majorEastAsia" w:hAnsiTheme="majorHAnsi" w:cstheme="majorHAnsi"/>
          <w:b w:val="0"/>
          <w:bCs w:val="0"/>
        </w:rPr>
        <w:t>të</w:t>
      </w:r>
      <w:proofErr w:type="spellEnd"/>
      <w:r w:rsidRPr="0019308C">
        <w:rPr>
          <w:rStyle w:val="Strong"/>
          <w:rFonts w:asciiTheme="majorHAnsi" w:eastAsiaTheme="majorEastAsia" w:hAnsiTheme="majorHAnsi" w:cstheme="majorHAnsi"/>
          <w:b w:val="0"/>
          <w:bCs w:val="0"/>
        </w:rPr>
        <w:t xml:space="preserve"> </w:t>
      </w:r>
      <w:proofErr w:type="spellStart"/>
      <w:r w:rsidRPr="0019308C">
        <w:rPr>
          <w:rStyle w:val="Strong"/>
          <w:rFonts w:asciiTheme="majorHAnsi" w:eastAsiaTheme="majorEastAsia" w:hAnsiTheme="majorHAnsi" w:cstheme="majorHAnsi"/>
          <w:b w:val="0"/>
          <w:bCs w:val="0"/>
        </w:rPr>
        <w:t>performancës</w:t>
      </w:r>
      <w:proofErr w:type="spellEnd"/>
    </w:p>
    <w:p w14:paraId="792D1347" w14:textId="77718091"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 xml:space="preserve">TVSH e brendshme neto u rrit me +8.9 </w:t>
      </w:r>
      <w:r w:rsidR="0056260B">
        <w:rPr>
          <w:rFonts w:asciiTheme="majorHAnsi" w:hAnsiTheme="majorHAnsi" w:cstheme="majorHAnsi"/>
          <w:i/>
          <w:iCs/>
          <w:noProof/>
          <w:lang w:val="sq-AL"/>
        </w:rPr>
        <w:t>miliardë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ose 0.35% e PBB, duke tejkaluar objektivin që ishte 0.21% e PBB, duke siguruar kështu +3.4</w:t>
      </w:r>
      <w:r w:rsidR="0056260B">
        <w:rPr>
          <w:rFonts w:asciiTheme="majorHAnsi" w:hAnsiTheme="majorHAnsi" w:cstheme="majorHAnsi"/>
          <w:i/>
          <w:iCs/>
          <w:noProof/>
          <w:lang w:val="sq-AL"/>
        </w:rPr>
        <w:t>miliardë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mbi vlerën e synuar në strategji.</w:t>
      </w:r>
    </w:p>
    <w:p w14:paraId="5149859A" w14:textId="585E3B1A"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Numri i tatimpaguesve me përgjegjësi TVSH-je për të gjithë sektorët arriti në 39,096 TP, me një rritje +6.6% në krahasim me 2024, duke tejkaluar objektivin prej rreth 4%.</w:t>
      </w:r>
    </w:p>
    <w:p w14:paraId="0C9733B3" w14:textId="77777777"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Është rritur numri i tatimpaguesve me përgjegjësi TVSH-je në sektorin e turizmit me +25.6%  në krahasim me 2024,  duke tejkaluar objektivin i cili parashikonte rritje me 20%.</w:t>
      </w:r>
    </w:p>
    <w:p w14:paraId="1FA709D5" w14:textId="2E0E0DE7"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Kontributet e sigurimeve</w:t>
      </w:r>
      <w:r w:rsidR="0019308C">
        <w:rPr>
          <w:rFonts w:asciiTheme="majorHAnsi" w:hAnsiTheme="majorHAnsi" w:cstheme="majorHAnsi"/>
          <w:i/>
          <w:iCs/>
          <w:noProof/>
          <w:lang w:val="sq-AL"/>
        </w:rPr>
        <w:t xml:space="preserve"> me</w:t>
      </w:r>
      <w:r w:rsidRPr="000B4A64">
        <w:rPr>
          <w:rFonts w:asciiTheme="majorHAnsi" w:hAnsiTheme="majorHAnsi" w:cstheme="majorHAnsi"/>
          <w:i/>
          <w:iCs/>
          <w:noProof/>
          <w:lang w:val="sq-AL"/>
        </w:rPr>
        <w:t xml:space="preserve"> +4.7 </w:t>
      </w:r>
      <w:r w:rsidR="0056260B">
        <w:rPr>
          <w:rFonts w:asciiTheme="majorHAnsi" w:hAnsiTheme="majorHAnsi" w:cstheme="majorHAnsi"/>
          <w:i/>
          <w:iCs/>
          <w:noProof/>
          <w:lang w:val="sq-AL"/>
        </w:rPr>
        <w:t>miliardë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mbirealizim ndaj vlerës së synuar në strategji.</w:t>
      </w:r>
    </w:p>
    <w:p w14:paraId="663105DF" w14:textId="6C382AC3"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 xml:space="preserve">Të ardhurat nga tatimi mbi pagën dhe kontributet u rritën me +6.5 </w:t>
      </w:r>
      <w:r w:rsidR="0056260B">
        <w:rPr>
          <w:rFonts w:asciiTheme="majorHAnsi" w:hAnsiTheme="majorHAnsi" w:cstheme="majorHAnsi"/>
          <w:i/>
          <w:iCs/>
          <w:noProof/>
          <w:lang w:val="sq-AL"/>
        </w:rPr>
        <w:t>miliardë</w:t>
      </w:r>
      <w:r w:rsidRPr="000B4A64">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0B4A64">
        <w:rPr>
          <w:rFonts w:asciiTheme="majorHAnsi" w:hAnsiTheme="majorHAnsi" w:cstheme="majorHAnsi"/>
          <w:i/>
          <w:iCs/>
          <w:noProof/>
          <w:lang w:val="sq-AL"/>
        </w:rPr>
        <w:t xml:space="preserve"> në krahasim me 2024, ose 0.26% e PBB duke tejkaluar objektivin i cili ishte 0.05%.</w:t>
      </w:r>
    </w:p>
    <w:p w14:paraId="01BB1F85" w14:textId="41CD5E7F"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27 mijë kontribues të rinj në Shtator 2025</w:t>
      </w:r>
      <w:r w:rsidR="0019308C">
        <w:rPr>
          <w:rFonts w:asciiTheme="majorHAnsi" w:hAnsiTheme="majorHAnsi" w:cstheme="majorHAnsi"/>
          <w:i/>
          <w:iCs/>
          <w:noProof/>
          <w:lang w:val="sq-AL"/>
        </w:rPr>
        <w:t>,</w:t>
      </w:r>
      <w:r w:rsidRPr="000B4A64">
        <w:rPr>
          <w:rFonts w:asciiTheme="majorHAnsi" w:hAnsiTheme="majorHAnsi" w:cstheme="majorHAnsi"/>
          <w:i/>
          <w:iCs/>
          <w:noProof/>
          <w:lang w:val="sq-AL"/>
        </w:rPr>
        <w:t xml:space="preserve"> krahasuar me Shtator 2024 në skemën e kontributeve (3.6% e totalit të të punësuarve, objektivi i synuar 1.6% e totalit).</w:t>
      </w:r>
    </w:p>
    <w:p w14:paraId="02B4ED30" w14:textId="1DB5083E" w:rsidR="00D31F37" w:rsidRDefault="0019308C">
      <w:pPr>
        <w:pStyle w:val="ListParagraph"/>
        <w:numPr>
          <w:ilvl w:val="0"/>
          <w:numId w:val="40"/>
        </w:numPr>
        <w:autoSpaceDE w:val="0"/>
        <w:autoSpaceDN w:val="0"/>
        <w:adjustRightInd w:val="0"/>
        <w:spacing w:before="0"/>
        <w:rPr>
          <w:rFonts w:asciiTheme="majorHAnsi" w:hAnsiTheme="majorHAnsi" w:cstheme="majorHAnsi"/>
          <w:i/>
          <w:iCs/>
          <w:noProof/>
          <w:lang w:val="sq-AL"/>
        </w:rPr>
      </w:pPr>
      <w:r>
        <w:rPr>
          <w:rFonts w:asciiTheme="majorHAnsi" w:hAnsiTheme="majorHAnsi" w:cstheme="majorHAnsi"/>
          <w:i/>
          <w:iCs/>
          <w:noProof/>
          <w:lang w:val="sq-AL"/>
        </w:rPr>
        <w:t>U</w:t>
      </w:r>
      <w:r w:rsidR="00D31F37" w:rsidRPr="000B4A64">
        <w:rPr>
          <w:rFonts w:asciiTheme="majorHAnsi" w:hAnsiTheme="majorHAnsi" w:cstheme="majorHAnsi"/>
          <w:i/>
          <w:iCs/>
          <w:noProof/>
          <w:lang w:val="sq-AL"/>
        </w:rPr>
        <w:t xml:space="preserve"> ndryshua fasha e pagës për 83,046 vende pune</w:t>
      </w:r>
      <w:r>
        <w:rPr>
          <w:rFonts w:asciiTheme="majorHAnsi" w:hAnsiTheme="majorHAnsi" w:cstheme="majorHAnsi"/>
          <w:i/>
          <w:iCs/>
          <w:noProof/>
          <w:lang w:val="sq-AL"/>
        </w:rPr>
        <w:t>,</w:t>
      </w:r>
      <w:r w:rsidR="00D31F37" w:rsidRPr="000B4A64">
        <w:rPr>
          <w:rFonts w:asciiTheme="majorHAnsi" w:hAnsiTheme="majorHAnsi" w:cstheme="majorHAnsi"/>
          <w:i/>
          <w:iCs/>
          <w:noProof/>
          <w:lang w:val="sq-AL"/>
        </w:rPr>
        <w:t xml:space="preserve"> nga 760,845 të punësuar mesatarisht në vitin 2025 ose për 10.9 % të totalit të të punësuarve.</w:t>
      </w:r>
    </w:p>
    <w:p w14:paraId="35E2B20F" w14:textId="77777777" w:rsidR="000B4A64" w:rsidRPr="005245F0" w:rsidRDefault="000B4A64" w:rsidP="000B4A64">
      <w:pPr>
        <w:pStyle w:val="ListParagraph"/>
        <w:autoSpaceDE w:val="0"/>
        <w:autoSpaceDN w:val="0"/>
        <w:adjustRightInd w:val="0"/>
        <w:spacing w:before="0"/>
        <w:rPr>
          <w:rFonts w:asciiTheme="majorHAnsi" w:hAnsiTheme="majorHAnsi" w:cstheme="majorHAnsi"/>
          <w:i/>
          <w:iCs/>
          <w:noProof/>
          <w:sz w:val="16"/>
          <w:szCs w:val="16"/>
          <w:lang w:val="sq-AL"/>
        </w:rPr>
      </w:pPr>
    </w:p>
    <w:p w14:paraId="71FC02EF" w14:textId="4241BFB3" w:rsidR="00D31F37" w:rsidRPr="0019308C" w:rsidRDefault="00D31F37" w:rsidP="0019308C">
      <w:pPr>
        <w:spacing w:before="0"/>
        <w:rPr>
          <w:rStyle w:val="Strong"/>
          <w:rFonts w:eastAsiaTheme="majorEastAsia"/>
        </w:rPr>
      </w:pPr>
      <w:proofErr w:type="spellStart"/>
      <w:r w:rsidRPr="0019308C">
        <w:rPr>
          <w:rStyle w:val="Strong"/>
          <w:rFonts w:asciiTheme="majorHAnsi" w:eastAsiaTheme="majorEastAsia" w:hAnsiTheme="majorHAnsi" w:cstheme="majorHAnsi"/>
          <w:b w:val="0"/>
          <w:bCs w:val="0"/>
        </w:rPr>
        <w:t>Përmirësimet</w:t>
      </w:r>
      <w:proofErr w:type="spellEnd"/>
      <w:r w:rsidRPr="0019308C">
        <w:rPr>
          <w:rStyle w:val="Strong"/>
          <w:rFonts w:asciiTheme="majorHAnsi" w:eastAsiaTheme="majorEastAsia" w:hAnsiTheme="majorHAnsi" w:cstheme="majorHAnsi"/>
          <w:b w:val="0"/>
          <w:bCs w:val="0"/>
        </w:rPr>
        <w:t xml:space="preserve"> e </w:t>
      </w:r>
      <w:proofErr w:type="spellStart"/>
      <w:r w:rsidRPr="0019308C">
        <w:rPr>
          <w:rStyle w:val="Strong"/>
          <w:rFonts w:asciiTheme="majorHAnsi" w:eastAsiaTheme="majorEastAsia" w:hAnsiTheme="majorHAnsi" w:cstheme="majorHAnsi"/>
          <w:b w:val="0"/>
          <w:bCs w:val="0"/>
        </w:rPr>
        <w:t>evidentuara</w:t>
      </w:r>
      <w:proofErr w:type="spellEnd"/>
      <w:r w:rsidRPr="0019308C">
        <w:rPr>
          <w:rStyle w:val="Strong"/>
          <w:rFonts w:eastAsiaTheme="majorEastAsia"/>
        </w:rPr>
        <w:t>:</w:t>
      </w:r>
    </w:p>
    <w:p w14:paraId="6C097A03" w14:textId="77777777"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Rritje e deklarimit të pagës reale dhe ulje e punës së padeklaruar.</w:t>
      </w:r>
    </w:p>
    <w:p w14:paraId="429AACB7" w14:textId="77777777"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Digjitalizim i deklaratave tatimore (paraplotësim automatik TVSH dhe DIVA).</w:t>
      </w:r>
    </w:p>
    <w:p w14:paraId="42E0CA69" w14:textId="77777777" w:rsidR="00D31F37" w:rsidRPr="000B4A64" w:rsidRDefault="00D31F37">
      <w:pPr>
        <w:pStyle w:val="ListParagraph"/>
        <w:numPr>
          <w:ilvl w:val="0"/>
          <w:numId w:val="40"/>
        </w:numPr>
        <w:autoSpaceDE w:val="0"/>
        <w:autoSpaceDN w:val="0"/>
        <w:adjustRightInd w:val="0"/>
        <w:spacing w:before="0"/>
        <w:rPr>
          <w:rFonts w:asciiTheme="majorHAnsi" w:hAnsiTheme="majorHAnsi" w:cstheme="majorHAnsi"/>
          <w:i/>
          <w:iCs/>
          <w:noProof/>
          <w:lang w:val="sq-AL"/>
        </w:rPr>
      </w:pPr>
      <w:r w:rsidRPr="000B4A64">
        <w:rPr>
          <w:rFonts w:asciiTheme="majorHAnsi" w:hAnsiTheme="majorHAnsi" w:cstheme="majorHAnsi"/>
          <w:i/>
          <w:iCs/>
          <w:noProof/>
          <w:lang w:val="sq-AL"/>
        </w:rPr>
        <w:t>Përdorim i zgjeruar i analizës së riskut dhe bashkëpunim me institucionet (DPSHTRR, AIDA, Inspektorati i Punës, bankat).</w:t>
      </w:r>
    </w:p>
    <w:p w14:paraId="44C2077E" w14:textId="77777777" w:rsidR="00D31F37" w:rsidRDefault="00D31F37">
      <w:pPr>
        <w:pStyle w:val="ListParagraph"/>
        <w:numPr>
          <w:ilvl w:val="0"/>
          <w:numId w:val="40"/>
        </w:numPr>
        <w:autoSpaceDE w:val="0"/>
        <w:autoSpaceDN w:val="0"/>
        <w:adjustRightInd w:val="0"/>
        <w:spacing w:before="0"/>
        <w:rPr>
          <w:rFonts w:cs="Calibri"/>
          <w:i/>
          <w:iCs/>
          <w:noProof/>
          <w:lang w:val="sq-AL"/>
        </w:rPr>
      </w:pPr>
      <w:r w:rsidRPr="00F25566">
        <w:rPr>
          <w:rFonts w:cs="Calibri"/>
          <w:i/>
          <w:iCs/>
          <w:noProof/>
          <w:lang w:val="sq-AL"/>
        </w:rPr>
        <w:t>Përmirësim i kapaciteteve doganore dhe rritje e kapjeve të mallrave të falsifikuara.</w:t>
      </w:r>
    </w:p>
    <w:p w14:paraId="4F4DC90D" w14:textId="77777777" w:rsidR="005245F0" w:rsidRDefault="005245F0" w:rsidP="005245F0">
      <w:pPr>
        <w:pStyle w:val="ListParagraph"/>
        <w:autoSpaceDE w:val="0"/>
        <w:autoSpaceDN w:val="0"/>
        <w:adjustRightInd w:val="0"/>
        <w:spacing w:before="0"/>
        <w:rPr>
          <w:rFonts w:cs="Calibri"/>
          <w:i/>
          <w:iCs/>
          <w:noProof/>
          <w:lang w:val="sq-AL"/>
        </w:rPr>
      </w:pPr>
    </w:p>
    <w:p w14:paraId="48AFE517" w14:textId="77777777" w:rsidR="005245F0" w:rsidRDefault="005245F0" w:rsidP="005245F0">
      <w:pPr>
        <w:pStyle w:val="ListParagraph"/>
        <w:autoSpaceDE w:val="0"/>
        <w:autoSpaceDN w:val="0"/>
        <w:adjustRightInd w:val="0"/>
        <w:spacing w:before="0"/>
        <w:rPr>
          <w:rFonts w:cs="Calibri"/>
          <w:i/>
          <w:iCs/>
          <w:noProof/>
          <w:lang w:val="sq-AL"/>
        </w:rPr>
      </w:pPr>
    </w:p>
    <w:p w14:paraId="24A1B6C5" w14:textId="77777777" w:rsidR="005245F0" w:rsidRDefault="005245F0" w:rsidP="005245F0">
      <w:pPr>
        <w:pStyle w:val="ListParagraph"/>
        <w:autoSpaceDE w:val="0"/>
        <w:autoSpaceDN w:val="0"/>
        <w:adjustRightInd w:val="0"/>
        <w:spacing w:before="0"/>
        <w:rPr>
          <w:rFonts w:cs="Calibri"/>
          <w:i/>
          <w:iCs/>
          <w:noProof/>
          <w:lang w:val="sq-AL"/>
        </w:rPr>
      </w:pPr>
    </w:p>
    <w:p w14:paraId="271727B1" w14:textId="30934D08" w:rsidR="0019308C" w:rsidRPr="0019308C" w:rsidRDefault="00D31F37" w:rsidP="0019308C">
      <w:pPr>
        <w:spacing w:before="0"/>
        <w:rPr>
          <w:rStyle w:val="Strong"/>
          <w:rFonts w:asciiTheme="majorHAnsi" w:eastAsiaTheme="majorEastAsia" w:hAnsiTheme="majorHAnsi" w:cstheme="majorHAnsi"/>
          <w:b w:val="0"/>
          <w:bCs w:val="0"/>
          <w:lang w:val="sq-AL"/>
        </w:rPr>
      </w:pPr>
      <w:r w:rsidRPr="0019308C">
        <w:rPr>
          <w:rStyle w:val="Strong"/>
          <w:rFonts w:asciiTheme="majorHAnsi" w:eastAsiaTheme="majorEastAsia" w:hAnsiTheme="majorHAnsi" w:cstheme="majorHAnsi"/>
          <w:b w:val="0"/>
          <w:bCs w:val="0"/>
          <w:lang w:val="sq-AL"/>
        </w:rPr>
        <w:lastRenderedPageBreak/>
        <w:t>Integrimi Evropian</w:t>
      </w:r>
    </w:p>
    <w:p w14:paraId="62A65572" w14:textId="3356D6FF" w:rsidR="00D31F37" w:rsidRPr="0019308C" w:rsidRDefault="00D31F37">
      <w:pPr>
        <w:pStyle w:val="ListParagraph"/>
        <w:numPr>
          <w:ilvl w:val="0"/>
          <w:numId w:val="69"/>
        </w:numPr>
        <w:spacing w:before="0"/>
        <w:rPr>
          <w:rStyle w:val="Strong"/>
          <w:rFonts w:asciiTheme="majorHAnsi" w:eastAsiaTheme="majorEastAsia" w:hAnsiTheme="majorHAnsi" w:cstheme="majorHAnsi"/>
          <w:b w:val="0"/>
          <w:bCs w:val="0"/>
          <w:lang w:val="sq-AL"/>
        </w:rPr>
      </w:pPr>
      <w:r w:rsidRPr="0019308C">
        <w:rPr>
          <w:rStyle w:val="Strong"/>
          <w:rFonts w:asciiTheme="majorHAnsi" w:eastAsiaTheme="majorEastAsia" w:hAnsiTheme="majorHAnsi" w:cstheme="majorHAnsi"/>
          <w:b w:val="0"/>
          <w:bCs w:val="0"/>
          <w:lang w:val="sq-AL"/>
        </w:rPr>
        <w:t>Strategjia përputhet me Agjendën e Integrimit dhe ka ndjekur rekomandimet e BE për transparencë dhe efikasitet fiskal. Për kushtet e caktuara në këtë dokument për vitin 2025, ka filluar puna që në vitin 2024 dhe masat e aktivitetet janë në rrugën e duhur</w:t>
      </w:r>
      <w:r w:rsidR="0019308C" w:rsidRPr="0019308C">
        <w:rPr>
          <w:rStyle w:val="Strong"/>
          <w:rFonts w:asciiTheme="majorHAnsi" w:eastAsiaTheme="majorEastAsia" w:hAnsiTheme="majorHAnsi" w:cstheme="majorHAnsi"/>
          <w:b w:val="0"/>
          <w:bCs w:val="0"/>
          <w:lang w:val="sq-AL"/>
        </w:rPr>
        <w:t>, pasi:</w:t>
      </w:r>
    </w:p>
    <w:p w14:paraId="2228ED1A" w14:textId="77777777" w:rsidR="00D31F37" w:rsidRPr="0019308C" w:rsidRDefault="00D31F37">
      <w:pPr>
        <w:pStyle w:val="ListParagraph"/>
        <w:numPr>
          <w:ilvl w:val="1"/>
          <w:numId w:val="40"/>
        </w:numPr>
        <w:autoSpaceDE w:val="0"/>
        <w:autoSpaceDN w:val="0"/>
        <w:adjustRightInd w:val="0"/>
        <w:spacing w:before="0" w:line="240" w:lineRule="auto"/>
        <w:ind w:left="1260"/>
        <w:rPr>
          <w:rFonts w:cs="Calibri"/>
          <w:i/>
          <w:iCs/>
          <w:noProof/>
          <w:lang w:val="sq-AL"/>
        </w:rPr>
      </w:pPr>
      <w:r w:rsidRPr="0019308C">
        <w:rPr>
          <w:rFonts w:cs="Calibri"/>
          <w:i/>
          <w:iCs/>
          <w:noProof/>
          <w:lang w:val="sq-AL"/>
        </w:rPr>
        <w:t>Raporti i përjashtimeve tatimore u hartua brenda afatit.</w:t>
      </w:r>
    </w:p>
    <w:p w14:paraId="171CCD7F" w14:textId="77777777" w:rsidR="00D31F37" w:rsidRPr="0019308C" w:rsidRDefault="00D31F37">
      <w:pPr>
        <w:pStyle w:val="ListParagraph"/>
        <w:numPr>
          <w:ilvl w:val="1"/>
          <w:numId w:val="40"/>
        </w:numPr>
        <w:autoSpaceDE w:val="0"/>
        <w:autoSpaceDN w:val="0"/>
        <w:adjustRightInd w:val="0"/>
        <w:spacing w:before="0" w:line="240" w:lineRule="auto"/>
        <w:ind w:left="1260"/>
        <w:rPr>
          <w:rFonts w:cs="Calibri"/>
          <w:i/>
          <w:iCs/>
          <w:noProof/>
          <w:lang w:val="sq-AL"/>
        </w:rPr>
      </w:pPr>
      <w:r w:rsidRPr="0019308C">
        <w:rPr>
          <w:rFonts w:cs="Calibri"/>
          <w:i/>
          <w:iCs/>
          <w:noProof/>
          <w:lang w:val="sq-AL"/>
        </w:rPr>
        <w:t>Administrata tatimore rriti përdorimin e të dhënave nga palë të treta.</w:t>
      </w:r>
    </w:p>
    <w:p w14:paraId="47044CD0" w14:textId="77777777" w:rsidR="00D31F37" w:rsidRPr="00F25566" w:rsidRDefault="00D31F37">
      <w:pPr>
        <w:pStyle w:val="ListParagraph"/>
        <w:numPr>
          <w:ilvl w:val="1"/>
          <w:numId w:val="40"/>
        </w:numPr>
        <w:autoSpaceDE w:val="0"/>
        <w:autoSpaceDN w:val="0"/>
        <w:adjustRightInd w:val="0"/>
        <w:spacing w:before="0" w:line="240" w:lineRule="auto"/>
        <w:ind w:left="1260"/>
        <w:rPr>
          <w:rFonts w:cs="Calibri"/>
          <w:i/>
          <w:iCs/>
          <w:noProof/>
          <w:lang w:val="sq-AL"/>
        </w:rPr>
      </w:pPr>
      <w:r w:rsidRPr="00F25566">
        <w:rPr>
          <w:rFonts w:cs="Calibri"/>
          <w:i/>
          <w:iCs/>
          <w:noProof/>
          <w:lang w:val="sq-AL"/>
        </w:rPr>
        <w:t>Paraplotësim automatik i deklaratave të TVSH në mesin e vitit 2025.</w:t>
      </w:r>
    </w:p>
    <w:p w14:paraId="0B03B2F0" w14:textId="26DFAEDD" w:rsidR="00D31F37" w:rsidRDefault="00D31F37">
      <w:pPr>
        <w:pStyle w:val="ListParagraph"/>
        <w:numPr>
          <w:ilvl w:val="1"/>
          <w:numId w:val="40"/>
        </w:numPr>
        <w:autoSpaceDE w:val="0"/>
        <w:autoSpaceDN w:val="0"/>
        <w:adjustRightInd w:val="0"/>
        <w:spacing w:before="0" w:line="240" w:lineRule="auto"/>
        <w:ind w:left="1260"/>
        <w:rPr>
          <w:rFonts w:cs="Calibri"/>
          <w:i/>
          <w:iCs/>
          <w:noProof/>
          <w:lang w:val="sq-AL"/>
        </w:rPr>
      </w:pPr>
      <w:r w:rsidRPr="00F25566">
        <w:rPr>
          <w:rFonts w:cs="Calibri"/>
          <w:i/>
          <w:iCs/>
          <w:noProof/>
          <w:lang w:val="sq-AL"/>
        </w:rPr>
        <w:t>Disa masa për 2026</w:t>
      </w:r>
      <w:r w:rsidR="0019308C">
        <w:rPr>
          <w:rFonts w:cs="Calibri"/>
          <w:i/>
          <w:iCs/>
          <w:noProof/>
          <w:lang w:val="sq-AL"/>
        </w:rPr>
        <w:t>-</w:t>
      </w:r>
      <w:r w:rsidRPr="00F25566">
        <w:rPr>
          <w:rFonts w:cs="Calibri"/>
          <w:i/>
          <w:iCs/>
          <w:noProof/>
          <w:lang w:val="sq-AL"/>
        </w:rPr>
        <w:t>2027 (</w:t>
      </w:r>
      <w:r w:rsidRPr="0014208D">
        <w:rPr>
          <w:rFonts w:cs="Calibri"/>
          <w:i/>
          <w:iCs/>
          <w:noProof/>
          <w:sz w:val="20"/>
          <w:szCs w:val="22"/>
          <w:lang w:val="sq-AL"/>
        </w:rPr>
        <w:t>taksa e pasurisë, NCTS, NSW</w:t>
      </w:r>
      <w:r w:rsidRPr="00F25566">
        <w:rPr>
          <w:rFonts w:cs="Calibri"/>
          <w:i/>
          <w:iCs/>
          <w:noProof/>
          <w:lang w:val="sq-AL"/>
        </w:rPr>
        <w:t>) kanë filluar në 2024–2025 dhe janë në progres.</w:t>
      </w:r>
    </w:p>
    <w:p w14:paraId="28DF8BC0" w14:textId="77777777" w:rsidR="000B4A64" w:rsidRPr="000B4A64" w:rsidRDefault="000B4A64" w:rsidP="0019308C">
      <w:pPr>
        <w:pStyle w:val="ListParagraph"/>
        <w:autoSpaceDE w:val="0"/>
        <w:autoSpaceDN w:val="0"/>
        <w:adjustRightInd w:val="0"/>
        <w:spacing w:before="0"/>
        <w:rPr>
          <w:rFonts w:cs="Calibri"/>
          <w:i/>
          <w:iCs/>
          <w:noProof/>
          <w:sz w:val="8"/>
          <w:szCs w:val="8"/>
          <w:lang w:val="sq-AL"/>
        </w:rPr>
      </w:pPr>
    </w:p>
    <w:p w14:paraId="650D1C28" w14:textId="654BA800" w:rsidR="00D31F37" w:rsidRPr="000B4A64" w:rsidRDefault="00D31F37" w:rsidP="0019308C">
      <w:pPr>
        <w:spacing w:before="0"/>
        <w:rPr>
          <w:rFonts w:asciiTheme="majorHAnsi" w:hAnsiTheme="majorHAnsi" w:cstheme="majorHAnsi"/>
          <w:szCs w:val="22"/>
          <w:lang w:val="it-CH"/>
        </w:rPr>
      </w:pPr>
      <w:r w:rsidRPr="000B4A64">
        <w:rPr>
          <w:rFonts w:asciiTheme="majorHAnsi" w:hAnsiTheme="majorHAnsi" w:cstheme="majorHAnsi"/>
          <w:szCs w:val="22"/>
          <w:lang w:val="it-CH"/>
        </w:rPr>
        <w:t xml:space="preserve">Viti 2025 u vlerësua në përgjithësi i kënaqshëm për mbledhjen e të ardhurave dhe zbatimin e masave dhe aktiviteteve të planifikuara. </w:t>
      </w:r>
    </w:p>
    <w:p w14:paraId="6D607721" w14:textId="77777777" w:rsidR="000B4A64" w:rsidRDefault="000B4A64" w:rsidP="00D31F37">
      <w:pPr>
        <w:rPr>
          <w:rFonts w:asciiTheme="majorHAnsi" w:hAnsiTheme="majorHAnsi" w:cstheme="majorHAnsi"/>
          <w:noProof/>
          <w:szCs w:val="22"/>
          <w:lang w:val="it-CH"/>
        </w:rPr>
      </w:pPr>
    </w:p>
    <w:p w14:paraId="754E5DBA" w14:textId="77777777" w:rsidR="005245F0" w:rsidRPr="00516127" w:rsidRDefault="005245F0" w:rsidP="00D31F37">
      <w:pPr>
        <w:rPr>
          <w:rFonts w:asciiTheme="majorHAnsi" w:hAnsiTheme="majorHAnsi" w:cstheme="majorHAnsi"/>
          <w:noProof/>
          <w:szCs w:val="22"/>
          <w:lang w:val="it-CH"/>
        </w:rPr>
      </w:pPr>
    </w:p>
    <w:p w14:paraId="2BA06122" w14:textId="77777777" w:rsidR="00D31F37" w:rsidRPr="00760B09" w:rsidRDefault="00D31F37" w:rsidP="00760B09">
      <w:pPr>
        <w:pStyle w:val="Heading2"/>
        <w:spacing w:before="0"/>
        <w:rPr>
          <w:color w:val="0F6FC6" w:themeColor="accent1"/>
        </w:rPr>
      </w:pPr>
      <w:bookmarkStart w:id="42" w:name="_Toc515271236"/>
      <w:bookmarkStart w:id="43" w:name="_Toc10033267"/>
      <w:bookmarkStart w:id="44" w:name="_Toc10721404"/>
      <w:bookmarkStart w:id="45" w:name="_Toc229390806"/>
      <w:bookmarkEnd w:id="38"/>
      <w:proofErr w:type="spellStart"/>
      <w:r w:rsidRPr="00760B09">
        <w:rPr>
          <w:color w:val="0F6FC6" w:themeColor="accent1"/>
        </w:rPr>
        <w:t>Të</w:t>
      </w:r>
      <w:proofErr w:type="spellEnd"/>
      <w:r w:rsidRPr="00760B09">
        <w:rPr>
          <w:color w:val="0F6FC6" w:themeColor="accent1"/>
        </w:rPr>
        <w:t xml:space="preserve"> </w:t>
      </w:r>
      <w:proofErr w:type="spellStart"/>
      <w:r w:rsidRPr="00760B09">
        <w:rPr>
          <w:color w:val="0F6FC6" w:themeColor="accent1"/>
        </w:rPr>
        <w:t>ardhurat</w:t>
      </w:r>
      <w:proofErr w:type="spellEnd"/>
      <w:r w:rsidRPr="00760B09">
        <w:rPr>
          <w:color w:val="0F6FC6" w:themeColor="accent1"/>
        </w:rPr>
        <w:t xml:space="preserve"> e </w:t>
      </w:r>
      <w:proofErr w:type="spellStart"/>
      <w:r w:rsidRPr="00760B09">
        <w:rPr>
          <w:color w:val="0F6FC6" w:themeColor="accent1"/>
        </w:rPr>
        <w:t>përgjithshme</w:t>
      </w:r>
      <w:bookmarkEnd w:id="42"/>
      <w:bookmarkEnd w:id="43"/>
      <w:bookmarkEnd w:id="44"/>
      <w:bookmarkEnd w:id="45"/>
      <w:proofErr w:type="spellEnd"/>
    </w:p>
    <w:p w14:paraId="21CC1F73" w14:textId="132A3178" w:rsidR="00D31F37" w:rsidRPr="00516127" w:rsidRDefault="00D31F37" w:rsidP="00D31F37">
      <w:pPr>
        <w:rPr>
          <w:rFonts w:asciiTheme="majorHAnsi" w:hAnsiTheme="majorHAnsi" w:cstheme="majorHAnsi"/>
          <w:noProof/>
          <w:szCs w:val="22"/>
          <w:lang w:val="sq-AL"/>
        </w:rPr>
      </w:pPr>
      <w:bookmarkStart w:id="46" w:name="_Hlk178685042"/>
      <w:r w:rsidRPr="00516127">
        <w:rPr>
          <w:rFonts w:asciiTheme="majorHAnsi" w:hAnsiTheme="majorHAnsi" w:cstheme="majorHAnsi"/>
          <w:b/>
          <w:noProof/>
          <w:lang w:val="sq-AL"/>
        </w:rPr>
        <w:t>Të ardhurat totale</w:t>
      </w:r>
      <w:r w:rsidRPr="00516127">
        <w:rPr>
          <w:rFonts w:asciiTheme="majorHAnsi" w:hAnsiTheme="majorHAnsi" w:cstheme="majorHAnsi"/>
          <w:noProof/>
          <w:lang w:val="sq-AL"/>
        </w:rPr>
        <w:t xml:space="preserve"> </w:t>
      </w:r>
      <w:bookmarkStart w:id="47" w:name="_Hlk57119550"/>
      <w:bookmarkEnd w:id="46"/>
      <w:r w:rsidRPr="00516127">
        <w:rPr>
          <w:rFonts w:asciiTheme="majorHAnsi" w:hAnsiTheme="majorHAnsi" w:cstheme="majorHAnsi"/>
          <w:noProof/>
          <w:szCs w:val="22"/>
          <w:lang w:val="sq-AL"/>
        </w:rPr>
        <w:t xml:space="preserve">të buxhetit të konsoliduar për periudhën dymbëdhjetëmujore të vitit 2025 arritën në 754.6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duke shënuar një realizim prej 98% ndaj planit vjetor të rishikuar An.11 datë 19.12.2025. Në raport me planin fillestar të vitit 2025 (757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të ardhurat rezultuan -0.3% më të ulëta, ndërsa krahasuar me vitin 2024 shënuan një rritje prej 6.2%, ose rreth 44 </w:t>
      </w:r>
      <w:r w:rsidR="0056260B">
        <w:rPr>
          <w:rFonts w:asciiTheme="majorHAnsi" w:hAnsiTheme="majorHAnsi" w:cstheme="majorHAnsi"/>
          <w:noProof/>
          <w:szCs w:val="22"/>
          <w:lang w:val="sq-AL"/>
        </w:rPr>
        <w:t>miliardë</w:t>
      </w:r>
      <w:r w:rsidRPr="00516127">
        <w:rPr>
          <w:rFonts w:asciiTheme="majorHAnsi" w:hAnsiTheme="majorHAnsi" w:cstheme="majorHAnsi"/>
          <w:noProof/>
          <w:szCs w:val="22"/>
          <w:lang w:val="sq-AL"/>
        </w:rPr>
        <w:t xml:space="preserve"> </w:t>
      </w:r>
      <w:r w:rsidR="0056260B">
        <w:rPr>
          <w:rFonts w:asciiTheme="majorHAnsi" w:hAnsiTheme="majorHAnsi" w:cstheme="majorHAnsi"/>
          <w:noProof/>
          <w:szCs w:val="22"/>
          <w:lang w:val="sq-AL"/>
        </w:rPr>
        <w:t>LEK</w:t>
      </w:r>
      <w:r w:rsidRPr="00516127">
        <w:rPr>
          <w:rFonts w:asciiTheme="majorHAnsi" w:hAnsiTheme="majorHAnsi" w:cstheme="majorHAnsi"/>
          <w:noProof/>
          <w:szCs w:val="22"/>
          <w:lang w:val="sq-AL"/>
        </w:rPr>
        <w:t xml:space="preserve"> më shumë.</w:t>
      </w:r>
      <w:r w:rsidR="0014208D">
        <w:rPr>
          <w:rFonts w:asciiTheme="majorHAnsi" w:hAnsiTheme="majorHAnsi" w:cstheme="majorHAnsi"/>
          <w:noProof/>
          <w:szCs w:val="22"/>
          <w:lang w:val="sq-AL"/>
        </w:rPr>
        <w:t xml:space="preserve"> </w:t>
      </w:r>
      <w:r w:rsidRPr="00516127">
        <w:rPr>
          <w:rFonts w:asciiTheme="majorHAnsi" w:hAnsiTheme="majorHAnsi" w:cstheme="majorHAnsi"/>
          <w:noProof/>
          <w:szCs w:val="22"/>
          <w:lang w:val="sq-AL"/>
        </w:rPr>
        <w:t>Rritja vjetore e të ardhurave të buxhetit të shtetit në vitin 2025 reflekton vijimësinë e zhvillimeve pozitive ekonomike në vend, veçanërisht në sektorin e turizmit dhe në aktivitetet ekonomike që janë të lidhura drejtpërdrejt ose tërthorazi me të.</w:t>
      </w:r>
    </w:p>
    <w:p w14:paraId="02083A99" w14:textId="77777777" w:rsidR="005245F0" w:rsidRDefault="00D31F37" w:rsidP="0014208D">
      <w:pPr>
        <w:rPr>
          <w:rFonts w:asciiTheme="majorHAnsi" w:hAnsiTheme="majorHAnsi" w:cstheme="majorHAnsi"/>
          <w:noProof/>
          <w:szCs w:val="22"/>
          <w:lang w:val="sq-AL"/>
        </w:rPr>
      </w:pPr>
      <w:r w:rsidRPr="00516127">
        <w:rPr>
          <w:rFonts w:asciiTheme="majorHAnsi" w:hAnsiTheme="majorHAnsi" w:cstheme="majorHAnsi"/>
          <w:noProof/>
          <w:szCs w:val="22"/>
          <w:lang w:val="sq-AL"/>
        </w:rPr>
        <w:t>Reforma për rritjen e pagave në administratën publike, e zbatuar nga 1 korriku 2024, ka kontribuar në rritjen e ndjeshme të pagave edhe në sektorin privat, me një zgjerim prej 26.2% krahasuar me vitin 2024. Ky zhvillim, së bashku me masat për deklarimin real të pagave, forcimin e administrimit tatimor dhe reduktimin e punës së padeklaruar, ka sjellë përmirësim të bazës tatimore të të ardhurave nga puna.</w:t>
      </w:r>
      <w:r w:rsidR="0014208D">
        <w:rPr>
          <w:rFonts w:asciiTheme="majorHAnsi" w:hAnsiTheme="majorHAnsi" w:cstheme="majorHAnsi"/>
          <w:noProof/>
          <w:szCs w:val="22"/>
          <w:lang w:val="sq-AL"/>
        </w:rPr>
        <w:t xml:space="preserve"> </w:t>
      </w:r>
    </w:p>
    <w:p w14:paraId="04266BA6" w14:textId="50FC81B1" w:rsidR="005245F0" w:rsidRDefault="00D31F37" w:rsidP="0014208D">
      <w:pPr>
        <w:rPr>
          <w:rFonts w:asciiTheme="majorHAnsi" w:hAnsiTheme="majorHAnsi" w:cstheme="majorHAnsi"/>
          <w:noProof/>
          <w:lang w:val="sq-AL"/>
        </w:rPr>
      </w:pPr>
      <w:r w:rsidRPr="00516127">
        <w:rPr>
          <w:rFonts w:asciiTheme="majorHAnsi" w:hAnsiTheme="majorHAnsi" w:cstheme="majorHAnsi"/>
          <w:noProof/>
          <w:szCs w:val="22"/>
          <w:lang w:val="sq-AL"/>
        </w:rPr>
        <w:t>Në të njëjtën kohë, zbatimi i masave të parashikuara në Strategjinë Afatmesme të të Ardhurave dhe në Planin e Veprimit për vitin 2025 ka mbështetur rritjen e të ardhurave përmes forcimit të administrimit tatimor dhe doganor, rritjes së nivelit të përmbushjes nga tatimpaguesit dhe përmirësimit të efikasitetit të mbledhjes</w:t>
      </w:r>
      <w:r w:rsidRPr="00516127">
        <w:rPr>
          <w:rFonts w:asciiTheme="majorHAnsi" w:hAnsiTheme="majorHAnsi" w:cstheme="majorHAnsi"/>
          <w:noProof/>
          <w:lang w:val="sq-AL"/>
        </w:rPr>
        <w:t xml:space="preserve">. </w:t>
      </w:r>
    </w:p>
    <w:p w14:paraId="694F3336" w14:textId="66DB3FAB" w:rsidR="00D31F37" w:rsidRDefault="00D31F37" w:rsidP="0014208D">
      <w:pPr>
        <w:rPr>
          <w:rFonts w:asciiTheme="majorHAnsi" w:eastAsia="SimSun" w:hAnsiTheme="majorHAnsi" w:cstheme="majorHAnsi"/>
          <w:noProof/>
          <w:lang w:val="sq-AL"/>
        </w:rPr>
      </w:pPr>
      <w:r w:rsidRPr="00516127">
        <w:rPr>
          <w:rFonts w:asciiTheme="majorHAnsi" w:hAnsiTheme="majorHAnsi" w:cstheme="majorHAnsi"/>
          <w:noProof/>
          <w:lang w:val="sq-AL"/>
        </w:rPr>
        <w:t xml:space="preserve">Të ardhurat nga fondet speciale, specifikisht kontributet janë zëri më performues, jo vetëm në karahasim me planin por dhe kundrejt 2024, me rreth 17.4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më shumë se 2024 dhe 1.4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shumë se plani i rishikuar</w:t>
      </w:r>
      <w:r w:rsidRPr="00516127">
        <w:rPr>
          <w:rFonts w:asciiTheme="majorHAnsi" w:eastAsia="SimSun" w:hAnsiTheme="majorHAnsi" w:cstheme="majorHAnsi"/>
          <w:noProof/>
          <w:lang w:val="sq-AL"/>
        </w:rPr>
        <w:t>.</w:t>
      </w:r>
      <w:bookmarkStart w:id="48" w:name="_Ref9964285"/>
      <w:bookmarkEnd w:id="47"/>
    </w:p>
    <w:p w14:paraId="1E6C9E86" w14:textId="3589CF12" w:rsidR="00D31F37" w:rsidRPr="00516127" w:rsidRDefault="00D31F37" w:rsidP="00D31F37">
      <w:pPr>
        <w:pStyle w:val="Caption"/>
        <w:jc w:val="left"/>
        <w:rPr>
          <w:rFonts w:asciiTheme="majorHAnsi" w:hAnsiTheme="majorHAnsi" w:cstheme="majorHAnsi"/>
          <w:noProof/>
          <w:lang w:val="sq-AL"/>
        </w:rPr>
      </w:pPr>
      <w:bookmarkStart w:id="49" w:name="_Toc229130019"/>
      <w:bookmarkEnd w:id="48"/>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2</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Ardhurat e përgjithshme (në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 ndaj PBB në vlerë e %.</w:t>
      </w:r>
      <w:bookmarkEnd w:id="49"/>
    </w:p>
    <w:p w14:paraId="480A307A" w14:textId="77777777" w:rsidR="00D31F37" w:rsidRPr="00516127" w:rsidRDefault="00D31F37" w:rsidP="00D31F37">
      <w:pPr>
        <w:rPr>
          <w:lang w:val="sq-AL"/>
        </w:rPr>
      </w:pPr>
      <w:r w:rsidRPr="00516127">
        <w:rPr>
          <w:noProof/>
        </w:rPr>
        <w:drawing>
          <wp:inline distT="0" distB="0" distL="0" distR="0" wp14:anchorId="1F83D6F4" wp14:editId="5B2A07DB">
            <wp:extent cx="6286500" cy="1916264"/>
            <wp:effectExtent l="0" t="0" r="0" b="8255"/>
            <wp:docPr id="518503051" name="Chart 1">
              <a:extLst xmlns:a="http://schemas.openxmlformats.org/drawingml/2006/main">
                <a:ext uri="{FF2B5EF4-FFF2-40B4-BE49-F238E27FC236}">
                  <a16:creationId xmlns:a16="http://schemas.microsoft.com/office/drawing/2014/main" id="{9EC643B8-D442-4DBF-B96F-BC190177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F2A232" w14:textId="77777777" w:rsidR="00D31F37" w:rsidRPr="00516127" w:rsidRDefault="00D31F37" w:rsidP="00D31F37">
      <w:pPr>
        <w:spacing w:before="0" w:line="360" w:lineRule="auto"/>
        <w:ind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19A6B18B" w14:textId="77777777" w:rsidR="005245F0" w:rsidRDefault="005245F0" w:rsidP="00D31F37">
      <w:pPr>
        <w:pStyle w:val="Caption"/>
        <w:jc w:val="left"/>
        <w:rPr>
          <w:rFonts w:asciiTheme="majorHAnsi" w:hAnsiTheme="majorHAnsi" w:cstheme="majorHAnsi"/>
          <w:noProof/>
          <w:lang w:val="sq-AL"/>
        </w:rPr>
      </w:pPr>
      <w:bookmarkStart w:id="50" w:name="_Toc229130020"/>
    </w:p>
    <w:p w14:paraId="3681C8E7" w14:textId="77777777" w:rsidR="005245F0" w:rsidRDefault="005245F0" w:rsidP="00D31F37">
      <w:pPr>
        <w:pStyle w:val="Caption"/>
        <w:jc w:val="left"/>
        <w:rPr>
          <w:rFonts w:asciiTheme="majorHAnsi" w:hAnsiTheme="majorHAnsi" w:cstheme="majorHAnsi"/>
          <w:noProof/>
          <w:lang w:val="sq-AL"/>
        </w:rPr>
      </w:pPr>
    </w:p>
    <w:p w14:paraId="7C4524E3" w14:textId="1E0BC7F8" w:rsidR="00D31F37" w:rsidRPr="00516127" w:rsidRDefault="00D31F37" w:rsidP="005245F0">
      <w:pPr>
        <w:pStyle w:val="Caption"/>
        <w:spacing w:after="120"/>
        <w:jc w:val="left"/>
        <w:rPr>
          <w:rFonts w:asciiTheme="majorHAnsi" w:hAnsiTheme="majorHAnsi" w:cstheme="majorHAnsi"/>
          <w:noProof/>
          <w:lang w:val="sq-AL"/>
        </w:rPr>
      </w:pPr>
      <w:r w:rsidRPr="00516127">
        <w:rPr>
          <w:rFonts w:asciiTheme="majorHAnsi" w:hAnsiTheme="majorHAnsi" w:cstheme="majorHAnsi"/>
          <w:noProof/>
          <w:lang w:val="sq-AL"/>
        </w:rPr>
        <w:lastRenderedPageBreak/>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3</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Ecuria e zërave kryesorë të të ardhurave gjatë vitit 2026</w:t>
      </w:r>
      <w:bookmarkEnd w:id="50"/>
    </w:p>
    <w:p w14:paraId="03A518AC" w14:textId="77777777" w:rsidR="00D31F37" w:rsidRPr="00516127" w:rsidRDefault="00D31F37" w:rsidP="00D31F37">
      <w:pPr>
        <w:spacing w:before="0" w:line="240" w:lineRule="auto"/>
        <w:jc w:val="center"/>
        <w:rPr>
          <w:rFonts w:asciiTheme="majorHAnsi" w:hAnsiTheme="majorHAnsi" w:cstheme="majorHAnsi"/>
          <w:noProof/>
          <w:lang w:val="sq-AL"/>
        </w:rPr>
      </w:pPr>
      <w:r w:rsidRPr="00516127">
        <w:rPr>
          <w:rFonts w:asciiTheme="majorHAnsi" w:hAnsiTheme="majorHAnsi" w:cstheme="majorHAnsi"/>
          <w:noProof/>
        </w:rPr>
        <w:drawing>
          <wp:inline distT="0" distB="0" distL="0" distR="0" wp14:anchorId="09DDA715" wp14:editId="2F41B9DD">
            <wp:extent cx="6315075" cy="1572768"/>
            <wp:effectExtent l="0" t="0" r="9525" b="8890"/>
            <wp:docPr id="558822580" name="Chart 1">
              <a:extLst xmlns:a="http://schemas.openxmlformats.org/drawingml/2006/main">
                <a:ext uri="{FF2B5EF4-FFF2-40B4-BE49-F238E27FC236}">
                  <a16:creationId xmlns:a16="http://schemas.microsoft.com/office/drawing/2014/main" id="{137E976B-C073-4E20-83B9-372093A99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B029DE" w14:textId="77777777" w:rsidR="00D31F37" w:rsidRPr="00516127" w:rsidRDefault="00D31F37" w:rsidP="00D31F37">
      <w:pPr>
        <w:spacing w:before="0" w:line="360" w:lineRule="auto"/>
        <w:ind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54430A01" w14:textId="6832420E" w:rsidR="00D31F37" w:rsidRPr="00516127" w:rsidRDefault="00D31F37" w:rsidP="00D31F37">
      <w:pPr>
        <w:rPr>
          <w:rFonts w:asciiTheme="majorHAnsi" w:hAnsiTheme="majorHAnsi" w:cstheme="majorHAnsi"/>
          <w:noProof/>
          <w:lang w:val="sq-AL"/>
        </w:rPr>
      </w:pPr>
      <w:r w:rsidRPr="00516127">
        <w:rPr>
          <w:rFonts w:asciiTheme="majorHAnsi" w:hAnsiTheme="majorHAnsi" w:cstheme="majorHAnsi"/>
          <w:noProof/>
          <w:lang w:val="sq-AL"/>
        </w:rPr>
        <w:t xml:space="preserve">Kategoritë në të ardhurat totale të buxhetit të shtetit janë: I.Të ardhura nga ndihmat, II. Të ardhurat tatimore dhe III. Të ardhurat jotatimore të cilat zënë përkatësisht; 1%, 94.9% dhe 4.1% të të ardhurave të përgjithshme publike për vitin 2025. Kontributin më të madh në realizimin e të ardhurave totale e kanë dhënë të ardhurat tatimore, ku zërat me performancë të mirë në raport me planin fillestar të muajit janar 2025, në këtë kategori të ardhurash janë: II.1.4, Tatimi mbi të ardhurat personale (11.8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ose 16.7% më shumë se plani fillestar) dhe II.3, Të ardhura nga fondet speciale (9.3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ose 5.4% më shumë se plani fillestar). </w:t>
      </w:r>
    </w:p>
    <w:p w14:paraId="2AE3B8FB" w14:textId="381F0C33" w:rsidR="00D31F37" w:rsidRPr="00516127" w:rsidRDefault="00D31F37" w:rsidP="00D31F37">
      <w:pPr>
        <w:pStyle w:val="Caption"/>
        <w:jc w:val="left"/>
        <w:rPr>
          <w:rFonts w:asciiTheme="majorHAnsi" w:hAnsiTheme="majorHAnsi" w:cstheme="majorHAnsi"/>
          <w:noProof/>
          <w:lang w:val="sq-AL"/>
        </w:rPr>
      </w:pPr>
      <w:bookmarkStart w:id="51" w:name="_Toc229129981"/>
      <w:r w:rsidRPr="00516127">
        <w:rPr>
          <w:rFonts w:asciiTheme="majorHAnsi" w:hAnsiTheme="majorHAnsi" w:cstheme="majorHAnsi"/>
          <w:noProof/>
          <w:lang w:val="sq-AL"/>
        </w:rPr>
        <w:t xml:space="preserve">Tabela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Tabela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7</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Treguesit e të ardhurave kryesore (në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w:t>
      </w:r>
      <w:bookmarkEnd w:id="51"/>
    </w:p>
    <w:tbl>
      <w:tblPr>
        <w:tblW w:w="4977" w:type="pct"/>
        <w:tblLook w:val="04A0" w:firstRow="1" w:lastRow="0" w:firstColumn="1" w:lastColumn="0" w:noHBand="0" w:noVBand="1"/>
      </w:tblPr>
      <w:tblGrid>
        <w:gridCol w:w="2110"/>
        <w:gridCol w:w="595"/>
        <w:gridCol w:w="555"/>
        <w:gridCol w:w="637"/>
        <w:gridCol w:w="598"/>
        <w:gridCol w:w="919"/>
        <w:gridCol w:w="701"/>
        <w:gridCol w:w="727"/>
        <w:gridCol w:w="559"/>
        <w:gridCol w:w="701"/>
        <w:gridCol w:w="771"/>
        <w:gridCol w:w="962"/>
      </w:tblGrid>
      <w:tr w:rsidR="0014208D" w:rsidRPr="0014208D" w14:paraId="7FDA862C" w14:textId="77777777" w:rsidTr="0014208D">
        <w:trPr>
          <w:trHeight w:val="947"/>
        </w:trPr>
        <w:tc>
          <w:tcPr>
            <w:tcW w:w="1071" w:type="pct"/>
            <w:tcBorders>
              <w:top w:val="single" w:sz="8" w:space="0" w:color="0070C0"/>
              <w:left w:val="single" w:sz="8" w:space="0" w:color="0070C0"/>
              <w:bottom w:val="single" w:sz="8" w:space="0" w:color="4F81BD"/>
              <w:right w:val="nil"/>
            </w:tcBorders>
            <w:shd w:val="clear" w:color="000000" w:fill="366092"/>
            <w:vAlign w:val="center"/>
            <w:hideMark/>
          </w:tcPr>
          <w:p w14:paraId="7D3C4F3E" w14:textId="77777777" w:rsidR="00D31F37" w:rsidRPr="0014208D" w:rsidRDefault="00D31F37" w:rsidP="00FE53D8">
            <w:pPr>
              <w:spacing w:before="0" w:line="240" w:lineRule="auto"/>
              <w:jc w:val="left"/>
              <w:rPr>
                <w:rFonts w:asciiTheme="majorHAnsi" w:hAnsiTheme="majorHAnsi" w:cstheme="majorHAnsi"/>
                <w:color w:val="000000"/>
                <w:sz w:val="14"/>
                <w:szCs w:val="14"/>
                <w:lang w:val="it-CH"/>
              </w:rPr>
            </w:pPr>
            <w:bookmarkStart w:id="52" w:name="_Ref9965562"/>
            <w:r w:rsidRPr="0014208D">
              <w:rPr>
                <w:rFonts w:asciiTheme="majorHAnsi" w:hAnsiTheme="majorHAnsi" w:cstheme="majorHAnsi"/>
                <w:color w:val="000000"/>
                <w:sz w:val="14"/>
                <w:szCs w:val="14"/>
                <w:lang w:val="it-CH"/>
              </w:rPr>
              <w:t> </w:t>
            </w:r>
          </w:p>
        </w:tc>
        <w:tc>
          <w:tcPr>
            <w:tcW w:w="304" w:type="pct"/>
            <w:tcBorders>
              <w:top w:val="single" w:sz="8" w:space="0" w:color="0070C0"/>
              <w:left w:val="nil"/>
              <w:bottom w:val="nil"/>
              <w:right w:val="nil"/>
            </w:tcBorders>
            <w:shd w:val="clear" w:color="000000" w:fill="366092"/>
            <w:vAlign w:val="center"/>
            <w:hideMark/>
          </w:tcPr>
          <w:p w14:paraId="0DB90A78"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2021</w:t>
            </w:r>
          </w:p>
        </w:tc>
        <w:tc>
          <w:tcPr>
            <w:tcW w:w="283" w:type="pct"/>
            <w:tcBorders>
              <w:top w:val="single" w:sz="8" w:space="0" w:color="0070C0"/>
              <w:left w:val="nil"/>
              <w:bottom w:val="nil"/>
              <w:right w:val="nil"/>
            </w:tcBorders>
            <w:shd w:val="clear" w:color="000000" w:fill="366092"/>
            <w:vAlign w:val="center"/>
            <w:hideMark/>
          </w:tcPr>
          <w:p w14:paraId="0ED34456"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2022</w:t>
            </w:r>
          </w:p>
        </w:tc>
        <w:tc>
          <w:tcPr>
            <w:tcW w:w="325" w:type="pct"/>
            <w:tcBorders>
              <w:top w:val="single" w:sz="8" w:space="0" w:color="0070C0"/>
              <w:left w:val="nil"/>
              <w:bottom w:val="nil"/>
              <w:right w:val="nil"/>
            </w:tcBorders>
            <w:shd w:val="clear" w:color="000000" w:fill="366092"/>
            <w:vAlign w:val="center"/>
            <w:hideMark/>
          </w:tcPr>
          <w:p w14:paraId="59F14732"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2023</w:t>
            </w:r>
          </w:p>
        </w:tc>
        <w:tc>
          <w:tcPr>
            <w:tcW w:w="305" w:type="pct"/>
            <w:tcBorders>
              <w:top w:val="single" w:sz="8" w:space="0" w:color="0070C0"/>
              <w:left w:val="nil"/>
              <w:bottom w:val="nil"/>
              <w:right w:val="nil"/>
            </w:tcBorders>
            <w:shd w:val="clear" w:color="000000" w:fill="366092"/>
            <w:vAlign w:val="center"/>
            <w:hideMark/>
          </w:tcPr>
          <w:p w14:paraId="18452C99"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2024</w:t>
            </w:r>
          </w:p>
        </w:tc>
        <w:tc>
          <w:tcPr>
            <w:tcW w:w="466" w:type="pct"/>
            <w:tcBorders>
              <w:top w:val="single" w:sz="8" w:space="0" w:color="0070C0"/>
              <w:left w:val="nil"/>
              <w:bottom w:val="nil"/>
              <w:right w:val="nil"/>
            </w:tcBorders>
            <w:shd w:val="clear" w:color="000000" w:fill="366092"/>
            <w:vAlign w:val="center"/>
            <w:hideMark/>
          </w:tcPr>
          <w:p w14:paraId="30CC9E7C"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2024 (</w:t>
            </w:r>
            <w:proofErr w:type="spellStart"/>
            <w:r w:rsidRPr="0014208D">
              <w:rPr>
                <w:rFonts w:asciiTheme="majorHAnsi" w:hAnsiTheme="majorHAnsi" w:cstheme="majorHAnsi"/>
                <w:b/>
                <w:bCs/>
                <w:color w:val="FFFFFF"/>
                <w:sz w:val="14"/>
                <w:szCs w:val="14"/>
              </w:rPr>
              <w:t>në</w:t>
            </w:r>
            <w:proofErr w:type="spellEnd"/>
            <w:r w:rsidRPr="0014208D">
              <w:rPr>
                <w:rFonts w:asciiTheme="majorHAnsi" w:hAnsiTheme="majorHAnsi" w:cstheme="majorHAnsi"/>
                <w:b/>
                <w:bCs/>
                <w:color w:val="FFFFFF"/>
                <w:sz w:val="14"/>
                <w:szCs w:val="14"/>
              </w:rPr>
              <w:t xml:space="preserve"> % </w:t>
            </w:r>
            <w:proofErr w:type="spellStart"/>
            <w:r w:rsidRPr="0014208D">
              <w:rPr>
                <w:rFonts w:asciiTheme="majorHAnsi" w:hAnsiTheme="majorHAnsi" w:cstheme="majorHAnsi"/>
                <w:b/>
                <w:bCs/>
                <w:color w:val="FFFFFF"/>
                <w:sz w:val="14"/>
                <w:szCs w:val="14"/>
              </w:rPr>
              <w:t>ndaj</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vitit</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paraardhës</w:t>
            </w:r>
            <w:proofErr w:type="spellEnd"/>
            <w:r w:rsidRPr="0014208D">
              <w:rPr>
                <w:rFonts w:asciiTheme="majorHAnsi" w:hAnsiTheme="majorHAnsi" w:cstheme="majorHAnsi"/>
                <w:b/>
                <w:bCs/>
                <w:color w:val="FFFFFF"/>
                <w:sz w:val="14"/>
                <w:szCs w:val="14"/>
              </w:rPr>
              <w:t>)</w:t>
            </w:r>
          </w:p>
        </w:tc>
        <w:tc>
          <w:tcPr>
            <w:tcW w:w="356" w:type="pct"/>
            <w:tcBorders>
              <w:top w:val="single" w:sz="8" w:space="0" w:color="0070C0"/>
              <w:left w:val="nil"/>
              <w:bottom w:val="nil"/>
              <w:right w:val="nil"/>
            </w:tcBorders>
            <w:shd w:val="clear" w:color="000000" w:fill="366092"/>
            <w:vAlign w:val="center"/>
            <w:hideMark/>
          </w:tcPr>
          <w:p w14:paraId="34E8B7AA"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 xml:space="preserve">2025 (plan </w:t>
            </w:r>
            <w:proofErr w:type="spellStart"/>
            <w:r w:rsidRPr="0014208D">
              <w:rPr>
                <w:rFonts w:asciiTheme="majorHAnsi" w:hAnsiTheme="majorHAnsi" w:cstheme="majorHAnsi"/>
                <w:b/>
                <w:bCs/>
                <w:color w:val="FFFFFF"/>
                <w:sz w:val="14"/>
                <w:szCs w:val="14"/>
              </w:rPr>
              <w:t>fillestar</w:t>
            </w:r>
            <w:proofErr w:type="spellEnd"/>
            <w:r w:rsidRPr="0014208D">
              <w:rPr>
                <w:rFonts w:asciiTheme="majorHAnsi" w:hAnsiTheme="majorHAnsi" w:cstheme="majorHAnsi"/>
                <w:b/>
                <w:bCs/>
                <w:color w:val="FFFFFF"/>
                <w:sz w:val="14"/>
                <w:szCs w:val="14"/>
              </w:rPr>
              <w:t>)</w:t>
            </w:r>
          </w:p>
        </w:tc>
        <w:tc>
          <w:tcPr>
            <w:tcW w:w="369" w:type="pct"/>
            <w:tcBorders>
              <w:top w:val="single" w:sz="8" w:space="0" w:color="0070C0"/>
              <w:left w:val="nil"/>
              <w:bottom w:val="nil"/>
              <w:right w:val="nil"/>
            </w:tcBorders>
            <w:shd w:val="clear" w:color="000000" w:fill="366092"/>
            <w:vAlign w:val="center"/>
            <w:hideMark/>
          </w:tcPr>
          <w:p w14:paraId="5EDACC92"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 xml:space="preserve">2025 (plan I </w:t>
            </w:r>
            <w:proofErr w:type="spellStart"/>
            <w:r w:rsidRPr="0014208D">
              <w:rPr>
                <w:rFonts w:asciiTheme="majorHAnsi" w:hAnsiTheme="majorHAnsi" w:cstheme="majorHAnsi"/>
                <w:b/>
                <w:bCs/>
                <w:color w:val="FFFFFF"/>
                <w:sz w:val="14"/>
                <w:szCs w:val="14"/>
              </w:rPr>
              <w:t>rishikuar</w:t>
            </w:r>
            <w:proofErr w:type="spellEnd"/>
            <w:r w:rsidRPr="0014208D">
              <w:rPr>
                <w:rFonts w:asciiTheme="majorHAnsi" w:hAnsiTheme="majorHAnsi" w:cstheme="majorHAnsi"/>
                <w:b/>
                <w:bCs/>
                <w:color w:val="FFFFFF"/>
                <w:sz w:val="14"/>
                <w:szCs w:val="14"/>
              </w:rPr>
              <w:t xml:space="preserve"> </w:t>
            </w:r>
            <w:proofErr w:type="gramStart"/>
            <w:r w:rsidRPr="0014208D">
              <w:rPr>
                <w:rFonts w:asciiTheme="majorHAnsi" w:hAnsiTheme="majorHAnsi" w:cstheme="majorHAnsi"/>
                <w:b/>
                <w:bCs/>
                <w:color w:val="FFFFFF"/>
                <w:sz w:val="14"/>
                <w:szCs w:val="14"/>
              </w:rPr>
              <w:t>19.12 )</w:t>
            </w:r>
            <w:proofErr w:type="gramEnd"/>
          </w:p>
        </w:tc>
        <w:tc>
          <w:tcPr>
            <w:tcW w:w="285" w:type="pct"/>
            <w:tcBorders>
              <w:top w:val="single" w:sz="8" w:space="0" w:color="0070C0"/>
              <w:left w:val="nil"/>
              <w:bottom w:val="nil"/>
              <w:right w:val="nil"/>
            </w:tcBorders>
            <w:shd w:val="clear" w:color="000000" w:fill="366092"/>
            <w:vAlign w:val="center"/>
            <w:hideMark/>
          </w:tcPr>
          <w:p w14:paraId="0AE6F8C0"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2025 (</w:t>
            </w:r>
            <w:proofErr w:type="spellStart"/>
            <w:r w:rsidRPr="0014208D">
              <w:rPr>
                <w:rFonts w:asciiTheme="majorHAnsi" w:hAnsiTheme="majorHAnsi" w:cstheme="majorHAnsi"/>
                <w:b/>
                <w:bCs/>
                <w:color w:val="FFFFFF"/>
                <w:sz w:val="14"/>
                <w:szCs w:val="14"/>
              </w:rPr>
              <w:t>fakt</w:t>
            </w:r>
            <w:proofErr w:type="spellEnd"/>
            <w:r w:rsidRPr="0014208D">
              <w:rPr>
                <w:rFonts w:asciiTheme="majorHAnsi" w:hAnsiTheme="majorHAnsi" w:cstheme="majorHAnsi"/>
                <w:b/>
                <w:bCs/>
                <w:color w:val="FFFFFF"/>
                <w:sz w:val="14"/>
                <w:szCs w:val="14"/>
              </w:rPr>
              <w:t>)</w:t>
            </w:r>
          </w:p>
        </w:tc>
        <w:tc>
          <w:tcPr>
            <w:tcW w:w="356" w:type="pct"/>
            <w:tcBorders>
              <w:top w:val="single" w:sz="8" w:space="0" w:color="0070C0"/>
              <w:left w:val="nil"/>
              <w:bottom w:val="nil"/>
              <w:right w:val="nil"/>
            </w:tcBorders>
            <w:shd w:val="clear" w:color="000000" w:fill="366092"/>
            <w:vAlign w:val="center"/>
            <w:hideMark/>
          </w:tcPr>
          <w:p w14:paraId="59E18CF4"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2025 (</w:t>
            </w:r>
            <w:proofErr w:type="spellStart"/>
            <w:r w:rsidRPr="0014208D">
              <w:rPr>
                <w:rFonts w:asciiTheme="majorHAnsi" w:hAnsiTheme="majorHAnsi" w:cstheme="majorHAnsi"/>
                <w:b/>
                <w:bCs/>
                <w:color w:val="FFFFFF"/>
                <w:sz w:val="14"/>
                <w:szCs w:val="14"/>
              </w:rPr>
              <w:t>në</w:t>
            </w:r>
            <w:proofErr w:type="spellEnd"/>
            <w:r w:rsidRPr="0014208D">
              <w:rPr>
                <w:rFonts w:asciiTheme="majorHAnsi" w:hAnsiTheme="majorHAnsi" w:cstheme="majorHAnsi"/>
                <w:b/>
                <w:bCs/>
                <w:color w:val="FFFFFF"/>
                <w:sz w:val="14"/>
                <w:szCs w:val="14"/>
              </w:rPr>
              <w:t xml:space="preserve"> % </w:t>
            </w:r>
            <w:proofErr w:type="spellStart"/>
            <w:r w:rsidRPr="0014208D">
              <w:rPr>
                <w:rFonts w:asciiTheme="majorHAnsi" w:hAnsiTheme="majorHAnsi" w:cstheme="majorHAnsi"/>
                <w:b/>
                <w:bCs/>
                <w:color w:val="FFFFFF"/>
                <w:sz w:val="14"/>
                <w:szCs w:val="14"/>
              </w:rPr>
              <w:t>ndaj</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planit</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fillestar</w:t>
            </w:r>
            <w:proofErr w:type="spellEnd"/>
            <w:r w:rsidRPr="0014208D">
              <w:rPr>
                <w:rFonts w:asciiTheme="majorHAnsi" w:hAnsiTheme="majorHAnsi" w:cstheme="majorHAnsi"/>
                <w:b/>
                <w:bCs/>
                <w:color w:val="FFFFFF"/>
                <w:sz w:val="14"/>
                <w:szCs w:val="14"/>
              </w:rPr>
              <w:t>)</w:t>
            </w:r>
          </w:p>
        </w:tc>
        <w:tc>
          <w:tcPr>
            <w:tcW w:w="391" w:type="pct"/>
            <w:tcBorders>
              <w:top w:val="single" w:sz="8" w:space="0" w:color="0070C0"/>
              <w:left w:val="nil"/>
              <w:bottom w:val="nil"/>
              <w:right w:val="nil"/>
            </w:tcBorders>
            <w:shd w:val="clear" w:color="000000" w:fill="366092"/>
            <w:vAlign w:val="center"/>
            <w:hideMark/>
          </w:tcPr>
          <w:p w14:paraId="3CE9571D"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2025 (</w:t>
            </w:r>
            <w:proofErr w:type="spellStart"/>
            <w:r w:rsidRPr="0014208D">
              <w:rPr>
                <w:rFonts w:asciiTheme="majorHAnsi" w:hAnsiTheme="majorHAnsi" w:cstheme="majorHAnsi"/>
                <w:b/>
                <w:bCs/>
                <w:color w:val="FFFFFF"/>
                <w:sz w:val="14"/>
                <w:szCs w:val="14"/>
              </w:rPr>
              <w:t>në</w:t>
            </w:r>
            <w:proofErr w:type="spellEnd"/>
            <w:r w:rsidRPr="0014208D">
              <w:rPr>
                <w:rFonts w:asciiTheme="majorHAnsi" w:hAnsiTheme="majorHAnsi" w:cstheme="majorHAnsi"/>
                <w:b/>
                <w:bCs/>
                <w:color w:val="FFFFFF"/>
                <w:sz w:val="14"/>
                <w:szCs w:val="14"/>
              </w:rPr>
              <w:t xml:space="preserve"> % </w:t>
            </w:r>
            <w:proofErr w:type="spellStart"/>
            <w:r w:rsidRPr="0014208D">
              <w:rPr>
                <w:rFonts w:asciiTheme="majorHAnsi" w:hAnsiTheme="majorHAnsi" w:cstheme="majorHAnsi"/>
                <w:b/>
                <w:bCs/>
                <w:color w:val="FFFFFF"/>
                <w:sz w:val="14"/>
                <w:szCs w:val="14"/>
              </w:rPr>
              <w:t>ndaj</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planit</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të</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rishikuar</w:t>
            </w:r>
            <w:proofErr w:type="spellEnd"/>
            <w:r w:rsidRPr="0014208D">
              <w:rPr>
                <w:rFonts w:asciiTheme="majorHAnsi" w:hAnsiTheme="majorHAnsi" w:cstheme="majorHAnsi"/>
                <w:b/>
                <w:bCs/>
                <w:color w:val="FFFFFF"/>
                <w:sz w:val="14"/>
                <w:szCs w:val="14"/>
              </w:rPr>
              <w:t>)</w:t>
            </w:r>
          </w:p>
        </w:tc>
        <w:tc>
          <w:tcPr>
            <w:tcW w:w="488" w:type="pct"/>
            <w:tcBorders>
              <w:top w:val="single" w:sz="8" w:space="0" w:color="0070C0"/>
              <w:left w:val="nil"/>
              <w:bottom w:val="nil"/>
              <w:right w:val="single" w:sz="8" w:space="0" w:color="0070C0"/>
            </w:tcBorders>
            <w:shd w:val="clear" w:color="000000" w:fill="366092"/>
            <w:vAlign w:val="center"/>
            <w:hideMark/>
          </w:tcPr>
          <w:p w14:paraId="5EBFD1A5" w14:textId="77777777" w:rsidR="00D31F37" w:rsidRPr="0014208D" w:rsidRDefault="00D31F37" w:rsidP="00FE53D8">
            <w:pPr>
              <w:spacing w:before="0" w:line="240" w:lineRule="auto"/>
              <w:jc w:val="center"/>
              <w:rPr>
                <w:rFonts w:asciiTheme="majorHAnsi" w:hAnsiTheme="majorHAnsi" w:cstheme="majorHAnsi"/>
                <w:b/>
                <w:bCs/>
                <w:color w:val="FFFFFF"/>
                <w:sz w:val="14"/>
                <w:szCs w:val="14"/>
              </w:rPr>
            </w:pPr>
            <w:r w:rsidRPr="0014208D">
              <w:rPr>
                <w:rFonts w:asciiTheme="majorHAnsi" w:hAnsiTheme="majorHAnsi" w:cstheme="majorHAnsi"/>
                <w:b/>
                <w:bCs/>
                <w:color w:val="FFFFFF"/>
                <w:sz w:val="14"/>
                <w:szCs w:val="14"/>
              </w:rPr>
              <w:t>2025 (</w:t>
            </w:r>
            <w:proofErr w:type="spellStart"/>
            <w:r w:rsidRPr="0014208D">
              <w:rPr>
                <w:rFonts w:asciiTheme="majorHAnsi" w:hAnsiTheme="majorHAnsi" w:cstheme="majorHAnsi"/>
                <w:b/>
                <w:bCs/>
                <w:color w:val="FFFFFF"/>
                <w:sz w:val="14"/>
                <w:szCs w:val="14"/>
              </w:rPr>
              <w:t>në</w:t>
            </w:r>
            <w:proofErr w:type="spellEnd"/>
            <w:r w:rsidRPr="0014208D">
              <w:rPr>
                <w:rFonts w:asciiTheme="majorHAnsi" w:hAnsiTheme="majorHAnsi" w:cstheme="majorHAnsi"/>
                <w:b/>
                <w:bCs/>
                <w:color w:val="FFFFFF"/>
                <w:sz w:val="14"/>
                <w:szCs w:val="14"/>
              </w:rPr>
              <w:t xml:space="preserve"> % </w:t>
            </w:r>
            <w:proofErr w:type="spellStart"/>
            <w:r w:rsidRPr="0014208D">
              <w:rPr>
                <w:rFonts w:asciiTheme="majorHAnsi" w:hAnsiTheme="majorHAnsi" w:cstheme="majorHAnsi"/>
                <w:b/>
                <w:bCs/>
                <w:color w:val="FFFFFF"/>
                <w:sz w:val="14"/>
                <w:szCs w:val="14"/>
              </w:rPr>
              <w:t>ndaj</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vitit</w:t>
            </w:r>
            <w:proofErr w:type="spellEnd"/>
            <w:r w:rsidRPr="0014208D">
              <w:rPr>
                <w:rFonts w:asciiTheme="majorHAnsi" w:hAnsiTheme="majorHAnsi" w:cstheme="majorHAnsi"/>
                <w:b/>
                <w:bCs/>
                <w:color w:val="FFFFFF"/>
                <w:sz w:val="14"/>
                <w:szCs w:val="14"/>
              </w:rPr>
              <w:t xml:space="preserve"> (</w:t>
            </w:r>
            <w:proofErr w:type="spellStart"/>
            <w:r w:rsidRPr="0014208D">
              <w:rPr>
                <w:rFonts w:asciiTheme="majorHAnsi" w:hAnsiTheme="majorHAnsi" w:cstheme="majorHAnsi"/>
                <w:b/>
                <w:bCs/>
                <w:color w:val="FFFFFF"/>
                <w:sz w:val="14"/>
                <w:szCs w:val="14"/>
              </w:rPr>
              <w:t>paraardhës</w:t>
            </w:r>
            <w:proofErr w:type="spellEnd"/>
            <w:r w:rsidRPr="0014208D">
              <w:rPr>
                <w:rFonts w:asciiTheme="majorHAnsi" w:hAnsiTheme="majorHAnsi" w:cstheme="majorHAnsi"/>
                <w:b/>
                <w:bCs/>
                <w:color w:val="FFFFFF"/>
                <w:sz w:val="14"/>
                <w:szCs w:val="14"/>
              </w:rPr>
              <w:t>)</w:t>
            </w:r>
          </w:p>
        </w:tc>
      </w:tr>
      <w:tr w:rsidR="0014208D" w:rsidRPr="0014208D" w14:paraId="6B1121AB" w14:textId="77777777" w:rsidTr="0014208D">
        <w:trPr>
          <w:trHeight w:val="263"/>
        </w:trPr>
        <w:tc>
          <w:tcPr>
            <w:tcW w:w="1071" w:type="pct"/>
            <w:tcBorders>
              <w:top w:val="nil"/>
              <w:left w:val="single" w:sz="8" w:space="0" w:color="0070C0"/>
              <w:bottom w:val="nil"/>
              <w:right w:val="nil"/>
            </w:tcBorders>
            <w:shd w:val="clear" w:color="000000" w:fill="DCE6F1"/>
            <w:noWrap/>
            <w:vAlign w:val="center"/>
            <w:hideMark/>
          </w:tcPr>
          <w:p w14:paraId="7D5A4103" w14:textId="77777777" w:rsidR="00D31F37" w:rsidRPr="0014208D" w:rsidRDefault="00D31F37" w:rsidP="00FE53D8">
            <w:pPr>
              <w:spacing w:before="0" w:line="240" w:lineRule="auto"/>
              <w:jc w:val="left"/>
              <w:rPr>
                <w:rFonts w:asciiTheme="majorHAnsi" w:hAnsiTheme="majorHAnsi" w:cstheme="majorHAnsi"/>
                <w:b/>
                <w:bCs/>
                <w:color w:val="203764"/>
                <w:sz w:val="14"/>
                <w:szCs w:val="14"/>
              </w:rPr>
            </w:pPr>
            <w:proofErr w:type="spellStart"/>
            <w:r w:rsidRPr="0014208D">
              <w:rPr>
                <w:rFonts w:asciiTheme="majorHAnsi" w:hAnsiTheme="majorHAnsi" w:cstheme="majorHAnsi"/>
                <w:b/>
                <w:bCs/>
                <w:color w:val="203764"/>
                <w:sz w:val="14"/>
                <w:szCs w:val="14"/>
              </w:rPr>
              <w:t>Të</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ardhura</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nga</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ndihmat</w:t>
            </w:r>
            <w:proofErr w:type="spellEnd"/>
          </w:p>
        </w:tc>
        <w:tc>
          <w:tcPr>
            <w:tcW w:w="304" w:type="pct"/>
            <w:tcBorders>
              <w:top w:val="nil"/>
              <w:left w:val="nil"/>
              <w:bottom w:val="nil"/>
              <w:right w:val="nil"/>
            </w:tcBorders>
            <w:shd w:val="clear" w:color="000000" w:fill="FFFFFF"/>
            <w:noWrap/>
            <w:vAlign w:val="center"/>
            <w:hideMark/>
          </w:tcPr>
          <w:p w14:paraId="0A7D1A3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13.1</w:t>
            </w:r>
          </w:p>
        </w:tc>
        <w:tc>
          <w:tcPr>
            <w:tcW w:w="283" w:type="pct"/>
            <w:tcBorders>
              <w:top w:val="nil"/>
              <w:left w:val="nil"/>
              <w:bottom w:val="nil"/>
              <w:right w:val="nil"/>
            </w:tcBorders>
            <w:shd w:val="clear" w:color="000000" w:fill="FFFFFF"/>
            <w:noWrap/>
            <w:vAlign w:val="center"/>
            <w:hideMark/>
          </w:tcPr>
          <w:p w14:paraId="7C624DEB"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9.5</w:t>
            </w:r>
          </w:p>
        </w:tc>
        <w:tc>
          <w:tcPr>
            <w:tcW w:w="325" w:type="pct"/>
            <w:tcBorders>
              <w:top w:val="nil"/>
              <w:left w:val="nil"/>
              <w:bottom w:val="nil"/>
              <w:right w:val="nil"/>
            </w:tcBorders>
            <w:shd w:val="clear" w:color="000000" w:fill="FFFFFF"/>
            <w:noWrap/>
            <w:vAlign w:val="center"/>
            <w:hideMark/>
          </w:tcPr>
          <w:p w14:paraId="62543032"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22.4</w:t>
            </w:r>
          </w:p>
        </w:tc>
        <w:tc>
          <w:tcPr>
            <w:tcW w:w="305" w:type="pct"/>
            <w:tcBorders>
              <w:top w:val="nil"/>
              <w:left w:val="nil"/>
              <w:bottom w:val="nil"/>
              <w:right w:val="nil"/>
            </w:tcBorders>
            <w:shd w:val="clear" w:color="000000" w:fill="FFFFFF"/>
            <w:noWrap/>
            <w:vAlign w:val="center"/>
            <w:hideMark/>
          </w:tcPr>
          <w:p w14:paraId="52C9E9DF"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7.8</w:t>
            </w:r>
          </w:p>
        </w:tc>
        <w:tc>
          <w:tcPr>
            <w:tcW w:w="466" w:type="pct"/>
            <w:tcBorders>
              <w:top w:val="nil"/>
              <w:left w:val="nil"/>
              <w:bottom w:val="nil"/>
              <w:right w:val="nil"/>
            </w:tcBorders>
            <w:shd w:val="clear" w:color="000000" w:fill="FFFFFF"/>
            <w:noWrap/>
            <w:vAlign w:val="center"/>
            <w:hideMark/>
          </w:tcPr>
          <w:p w14:paraId="271DE595"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34.8%</w:t>
            </w:r>
          </w:p>
        </w:tc>
        <w:tc>
          <w:tcPr>
            <w:tcW w:w="356" w:type="pct"/>
            <w:tcBorders>
              <w:top w:val="nil"/>
              <w:left w:val="nil"/>
              <w:bottom w:val="nil"/>
              <w:right w:val="nil"/>
            </w:tcBorders>
            <w:shd w:val="clear" w:color="000000" w:fill="FFFFFF"/>
            <w:noWrap/>
            <w:vAlign w:val="center"/>
            <w:hideMark/>
          </w:tcPr>
          <w:p w14:paraId="40FD493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19.0</w:t>
            </w:r>
          </w:p>
        </w:tc>
        <w:tc>
          <w:tcPr>
            <w:tcW w:w="369" w:type="pct"/>
            <w:tcBorders>
              <w:top w:val="nil"/>
              <w:left w:val="nil"/>
              <w:bottom w:val="nil"/>
              <w:right w:val="nil"/>
            </w:tcBorders>
            <w:shd w:val="clear" w:color="000000" w:fill="FFFFFF"/>
            <w:noWrap/>
            <w:vAlign w:val="center"/>
            <w:hideMark/>
          </w:tcPr>
          <w:p w14:paraId="4FEF8745"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20.3</w:t>
            </w:r>
          </w:p>
        </w:tc>
        <w:tc>
          <w:tcPr>
            <w:tcW w:w="285" w:type="pct"/>
            <w:tcBorders>
              <w:top w:val="nil"/>
              <w:left w:val="nil"/>
              <w:bottom w:val="nil"/>
              <w:right w:val="nil"/>
            </w:tcBorders>
            <w:shd w:val="clear" w:color="000000" w:fill="FFFFFF"/>
            <w:noWrap/>
            <w:vAlign w:val="center"/>
            <w:hideMark/>
          </w:tcPr>
          <w:p w14:paraId="3325414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7.4</w:t>
            </w:r>
          </w:p>
        </w:tc>
        <w:tc>
          <w:tcPr>
            <w:tcW w:w="356" w:type="pct"/>
            <w:tcBorders>
              <w:top w:val="single" w:sz="8" w:space="0" w:color="4F81BD"/>
              <w:left w:val="nil"/>
              <w:bottom w:val="nil"/>
              <w:right w:val="nil"/>
            </w:tcBorders>
            <w:shd w:val="clear" w:color="000000" w:fill="FFFFFF"/>
            <w:noWrap/>
            <w:vAlign w:val="center"/>
            <w:hideMark/>
          </w:tcPr>
          <w:p w14:paraId="3746FBA4"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38.9%</w:t>
            </w:r>
          </w:p>
        </w:tc>
        <w:tc>
          <w:tcPr>
            <w:tcW w:w="391" w:type="pct"/>
            <w:tcBorders>
              <w:top w:val="single" w:sz="8" w:space="0" w:color="4F81BD"/>
              <w:left w:val="nil"/>
              <w:bottom w:val="nil"/>
              <w:right w:val="nil"/>
            </w:tcBorders>
            <w:shd w:val="clear" w:color="000000" w:fill="FFFFFF"/>
            <w:noWrap/>
            <w:vAlign w:val="center"/>
            <w:hideMark/>
          </w:tcPr>
          <w:p w14:paraId="3930A629"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36.4%</w:t>
            </w:r>
          </w:p>
        </w:tc>
        <w:tc>
          <w:tcPr>
            <w:tcW w:w="488" w:type="pct"/>
            <w:tcBorders>
              <w:top w:val="single" w:sz="8" w:space="0" w:color="4F81BD"/>
              <w:left w:val="nil"/>
              <w:bottom w:val="nil"/>
              <w:right w:val="single" w:sz="8" w:space="0" w:color="0070C0"/>
            </w:tcBorders>
            <w:shd w:val="clear" w:color="000000" w:fill="FFFFFF"/>
            <w:noWrap/>
            <w:vAlign w:val="center"/>
            <w:hideMark/>
          </w:tcPr>
          <w:p w14:paraId="1A6335BC"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94.7%</w:t>
            </w:r>
          </w:p>
        </w:tc>
      </w:tr>
      <w:tr w:rsidR="0014208D" w:rsidRPr="0014208D" w14:paraId="3A4E11FB" w14:textId="77777777" w:rsidTr="0014208D">
        <w:trPr>
          <w:trHeight w:val="251"/>
        </w:trPr>
        <w:tc>
          <w:tcPr>
            <w:tcW w:w="1071" w:type="pct"/>
            <w:tcBorders>
              <w:top w:val="single" w:sz="8" w:space="0" w:color="0070C0"/>
              <w:left w:val="single" w:sz="8" w:space="0" w:color="0070C0"/>
              <w:bottom w:val="single" w:sz="8" w:space="0" w:color="0070C0"/>
              <w:right w:val="nil"/>
            </w:tcBorders>
            <w:shd w:val="clear" w:color="000000" w:fill="DCE6F1"/>
            <w:noWrap/>
            <w:vAlign w:val="center"/>
            <w:hideMark/>
          </w:tcPr>
          <w:p w14:paraId="0B459C0E" w14:textId="77777777" w:rsidR="00D31F37" w:rsidRPr="0014208D" w:rsidRDefault="00D31F37" w:rsidP="00FE53D8">
            <w:pPr>
              <w:spacing w:before="0" w:line="240" w:lineRule="auto"/>
              <w:jc w:val="left"/>
              <w:rPr>
                <w:rFonts w:asciiTheme="majorHAnsi" w:hAnsiTheme="majorHAnsi" w:cstheme="majorHAnsi"/>
                <w:b/>
                <w:bCs/>
                <w:color w:val="203764"/>
                <w:sz w:val="14"/>
                <w:szCs w:val="14"/>
              </w:rPr>
            </w:pPr>
            <w:proofErr w:type="spellStart"/>
            <w:r w:rsidRPr="0014208D">
              <w:rPr>
                <w:rFonts w:asciiTheme="majorHAnsi" w:hAnsiTheme="majorHAnsi" w:cstheme="majorHAnsi"/>
                <w:b/>
                <w:bCs/>
                <w:color w:val="203764"/>
                <w:sz w:val="14"/>
                <w:szCs w:val="14"/>
              </w:rPr>
              <w:t>Të</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ardhura</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tatimore</w:t>
            </w:r>
            <w:proofErr w:type="spellEnd"/>
          </w:p>
        </w:tc>
        <w:tc>
          <w:tcPr>
            <w:tcW w:w="304" w:type="pct"/>
            <w:tcBorders>
              <w:top w:val="single" w:sz="8" w:space="0" w:color="0070C0"/>
              <w:left w:val="nil"/>
              <w:bottom w:val="single" w:sz="8" w:space="0" w:color="0070C0"/>
              <w:right w:val="nil"/>
            </w:tcBorders>
            <w:shd w:val="clear" w:color="000000" w:fill="FFFFFF"/>
            <w:noWrap/>
            <w:vAlign w:val="center"/>
            <w:hideMark/>
          </w:tcPr>
          <w:p w14:paraId="08806D2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475.6</w:t>
            </w:r>
          </w:p>
        </w:tc>
        <w:tc>
          <w:tcPr>
            <w:tcW w:w="283" w:type="pct"/>
            <w:tcBorders>
              <w:top w:val="single" w:sz="8" w:space="0" w:color="0070C0"/>
              <w:left w:val="nil"/>
              <w:bottom w:val="single" w:sz="8" w:space="0" w:color="0070C0"/>
              <w:right w:val="nil"/>
            </w:tcBorders>
            <w:shd w:val="clear" w:color="000000" w:fill="FFFFFF"/>
            <w:noWrap/>
            <w:vAlign w:val="center"/>
            <w:hideMark/>
          </w:tcPr>
          <w:p w14:paraId="41E911A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541.3</w:t>
            </w:r>
          </w:p>
        </w:tc>
        <w:tc>
          <w:tcPr>
            <w:tcW w:w="325" w:type="pct"/>
            <w:tcBorders>
              <w:top w:val="single" w:sz="8" w:space="0" w:color="0070C0"/>
              <w:left w:val="nil"/>
              <w:bottom w:val="single" w:sz="8" w:space="0" w:color="0070C0"/>
              <w:right w:val="nil"/>
            </w:tcBorders>
            <w:shd w:val="clear" w:color="000000" w:fill="FFFFFF"/>
            <w:noWrap/>
            <w:vAlign w:val="center"/>
            <w:hideMark/>
          </w:tcPr>
          <w:p w14:paraId="2556A68F"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598.7</w:t>
            </w:r>
          </w:p>
        </w:tc>
        <w:tc>
          <w:tcPr>
            <w:tcW w:w="305" w:type="pct"/>
            <w:tcBorders>
              <w:top w:val="single" w:sz="8" w:space="0" w:color="0070C0"/>
              <w:left w:val="nil"/>
              <w:bottom w:val="single" w:sz="8" w:space="0" w:color="0070C0"/>
              <w:right w:val="nil"/>
            </w:tcBorders>
            <w:shd w:val="clear" w:color="000000" w:fill="FFFFFF"/>
            <w:noWrap/>
            <w:vAlign w:val="center"/>
            <w:hideMark/>
          </w:tcPr>
          <w:p w14:paraId="08407799"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659.1</w:t>
            </w:r>
          </w:p>
        </w:tc>
        <w:tc>
          <w:tcPr>
            <w:tcW w:w="466" w:type="pct"/>
            <w:tcBorders>
              <w:top w:val="single" w:sz="8" w:space="0" w:color="0070C0"/>
              <w:left w:val="nil"/>
              <w:bottom w:val="single" w:sz="8" w:space="0" w:color="0070C0"/>
              <w:right w:val="nil"/>
            </w:tcBorders>
            <w:shd w:val="clear" w:color="000000" w:fill="FFFFFF"/>
            <w:noWrap/>
            <w:vAlign w:val="center"/>
            <w:hideMark/>
          </w:tcPr>
          <w:p w14:paraId="2C38CC2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110.1%</w:t>
            </w:r>
          </w:p>
        </w:tc>
        <w:tc>
          <w:tcPr>
            <w:tcW w:w="356" w:type="pct"/>
            <w:tcBorders>
              <w:top w:val="single" w:sz="8" w:space="0" w:color="0070C0"/>
              <w:left w:val="nil"/>
              <w:bottom w:val="single" w:sz="8" w:space="0" w:color="0070C0"/>
              <w:right w:val="nil"/>
            </w:tcBorders>
            <w:shd w:val="clear" w:color="000000" w:fill="FFFFFF"/>
            <w:noWrap/>
            <w:vAlign w:val="center"/>
            <w:hideMark/>
          </w:tcPr>
          <w:p w14:paraId="19FD988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712.2</w:t>
            </w:r>
          </w:p>
        </w:tc>
        <w:tc>
          <w:tcPr>
            <w:tcW w:w="369" w:type="pct"/>
            <w:tcBorders>
              <w:top w:val="single" w:sz="8" w:space="0" w:color="0070C0"/>
              <w:left w:val="nil"/>
              <w:bottom w:val="single" w:sz="8" w:space="0" w:color="0070C0"/>
              <w:right w:val="nil"/>
            </w:tcBorders>
            <w:shd w:val="clear" w:color="000000" w:fill="FFFFFF"/>
            <w:noWrap/>
            <w:vAlign w:val="center"/>
            <w:hideMark/>
          </w:tcPr>
          <w:p w14:paraId="30D1B6D5"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718.1</w:t>
            </w:r>
          </w:p>
        </w:tc>
        <w:tc>
          <w:tcPr>
            <w:tcW w:w="285" w:type="pct"/>
            <w:tcBorders>
              <w:top w:val="single" w:sz="8" w:space="0" w:color="0070C0"/>
              <w:left w:val="nil"/>
              <w:bottom w:val="single" w:sz="8" w:space="0" w:color="0070C0"/>
              <w:right w:val="nil"/>
            </w:tcBorders>
            <w:shd w:val="clear" w:color="000000" w:fill="FFFFFF"/>
            <w:noWrap/>
            <w:vAlign w:val="center"/>
            <w:hideMark/>
          </w:tcPr>
          <w:p w14:paraId="785FD4E7"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716.3</w:t>
            </w:r>
          </w:p>
        </w:tc>
        <w:tc>
          <w:tcPr>
            <w:tcW w:w="356" w:type="pct"/>
            <w:tcBorders>
              <w:top w:val="single" w:sz="8" w:space="0" w:color="0070C0"/>
              <w:left w:val="nil"/>
              <w:bottom w:val="single" w:sz="8" w:space="0" w:color="0070C0"/>
              <w:right w:val="nil"/>
            </w:tcBorders>
            <w:shd w:val="clear" w:color="000000" w:fill="FFFFFF"/>
            <w:noWrap/>
            <w:vAlign w:val="center"/>
            <w:hideMark/>
          </w:tcPr>
          <w:p w14:paraId="0F77A5B8"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100.6%</w:t>
            </w:r>
          </w:p>
        </w:tc>
        <w:tc>
          <w:tcPr>
            <w:tcW w:w="391" w:type="pct"/>
            <w:tcBorders>
              <w:top w:val="single" w:sz="8" w:space="0" w:color="0070C0"/>
              <w:left w:val="nil"/>
              <w:bottom w:val="single" w:sz="8" w:space="0" w:color="0070C0"/>
              <w:right w:val="nil"/>
            </w:tcBorders>
            <w:shd w:val="clear" w:color="000000" w:fill="FFFFFF"/>
            <w:noWrap/>
            <w:vAlign w:val="center"/>
            <w:hideMark/>
          </w:tcPr>
          <w:p w14:paraId="7C1D4ACC"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99.7%</w:t>
            </w:r>
          </w:p>
        </w:tc>
        <w:tc>
          <w:tcPr>
            <w:tcW w:w="488" w:type="pct"/>
            <w:tcBorders>
              <w:top w:val="single" w:sz="8" w:space="0" w:color="0070C0"/>
              <w:left w:val="nil"/>
              <w:bottom w:val="single" w:sz="8" w:space="0" w:color="0070C0"/>
              <w:right w:val="single" w:sz="8" w:space="0" w:color="0070C0"/>
            </w:tcBorders>
            <w:shd w:val="clear" w:color="000000" w:fill="FFFFFF"/>
            <w:noWrap/>
            <w:vAlign w:val="center"/>
            <w:hideMark/>
          </w:tcPr>
          <w:p w14:paraId="0ACB74D7"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108.7%</w:t>
            </w:r>
          </w:p>
        </w:tc>
      </w:tr>
      <w:tr w:rsidR="0014208D" w:rsidRPr="0014208D" w14:paraId="19ED9C7A"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601494A9" w14:textId="77777777" w:rsidR="00D31F37" w:rsidRPr="0014208D" w:rsidRDefault="00D31F37" w:rsidP="00FE53D8">
            <w:pPr>
              <w:spacing w:before="0" w:line="240" w:lineRule="auto"/>
              <w:jc w:val="left"/>
              <w:rPr>
                <w:rFonts w:asciiTheme="majorHAnsi" w:hAnsiTheme="majorHAnsi" w:cstheme="majorHAnsi"/>
                <w:color w:val="203764"/>
                <w:sz w:val="14"/>
                <w:szCs w:val="14"/>
                <w:lang w:val="it-CH"/>
              </w:rPr>
            </w:pPr>
            <w:r w:rsidRPr="0014208D">
              <w:rPr>
                <w:rFonts w:asciiTheme="majorHAnsi" w:hAnsiTheme="majorHAnsi" w:cstheme="majorHAnsi"/>
                <w:color w:val="203764"/>
                <w:sz w:val="14"/>
                <w:szCs w:val="14"/>
                <w:lang w:val="it-CH"/>
              </w:rPr>
              <w:t>Tatimi mbi Vleren e Shtuar</w:t>
            </w:r>
          </w:p>
        </w:tc>
        <w:tc>
          <w:tcPr>
            <w:tcW w:w="304" w:type="pct"/>
            <w:tcBorders>
              <w:top w:val="nil"/>
              <w:left w:val="nil"/>
              <w:bottom w:val="nil"/>
              <w:right w:val="nil"/>
            </w:tcBorders>
            <w:shd w:val="clear" w:color="000000" w:fill="FFFFFF"/>
            <w:noWrap/>
            <w:vAlign w:val="center"/>
            <w:hideMark/>
          </w:tcPr>
          <w:p w14:paraId="1098065E"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161.5</w:t>
            </w:r>
          </w:p>
        </w:tc>
        <w:tc>
          <w:tcPr>
            <w:tcW w:w="283" w:type="pct"/>
            <w:tcBorders>
              <w:top w:val="nil"/>
              <w:left w:val="nil"/>
              <w:bottom w:val="nil"/>
              <w:right w:val="nil"/>
            </w:tcBorders>
            <w:shd w:val="clear" w:color="000000" w:fill="FFFFFF"/>
            <w:noWrap/>
            <w:vAlign w:val="center"/>
            <w:hideMark/>
          </w:tcPr>
          <w:p w14:paraId="3338F80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191.4</w:t>
            </w:r>
          </w:p>
        </w:tc>
        <w:tc>
          <w:tcPr>
            <w:tcW w:w="325" w:type="pct"/>
            <w:tcBorders>
              <w:top w:val="nil"/>
              <w:left w:val="nil"/>
              <w:bottom w:val="nil"/>
              <w:right w:val="nil"/>
            </w:tcBorders>
            <w:shd w:val="clear" w:color="000000" w:fill="FFFFFF"/>
            <w:noWrap/>
            <w:vAlign w:val="center"/>
            <w:hideMark/>
          </w:tcPr>
          <w:p w14:paraId="2B8EE627"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192.3</w:t>
            </w:r>
          </w:p>
        </w:tc>
        <w:tc>
          <w:tcPr>
            <w:tcW w:w="305" w:type="pct"/>
            <w:tcBorders>
              <w:top w:val="nil"/>
              <w:left w:val="nil"/>
              <w:bottom w:val="nil"/>
              <w:right w:val="nil"/>
            </w:tcBorders>
            <w:shd w:val="clear" w:color="000000" w:fill="FFFFFF"/>
            <w:noWrap/>
            <w:vAlign w:val="center"/>
            <w:hideMark/>
          </w:tcPr>
          <w:p w14:paraId="24202AF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214.0</w:t>
            </w:r>
          </w:p>
        </w:tc>
        <w:tc>
          <w:tcPr>
            <w:tcW w:w="466" w:type="pct"/>
            <w:tcBorders>
              <w:top w:val="nil"/>
              <w:left w:val="nil"/>
              <w:bottom w:val="nil"/>
              <w:right w:val="nil"/>
            </w:tcBorders>
            <w:shd w:val="clear" w:color="000000" w:fill="FFFFFF"/>
            <w:noWrap/>
            <w:vAlign w:val="center"/>
            <w:hideMark/>
          </w:tcPr>
          <w:p w14:paraId="011CA2BE"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111.3%</w:t>
            </w:r>
          </w:p>
        </w:tc>
        <w:tc>
          <w:tcPr>
            <w:tcW w:w="356" w:type="pct"/>
            <w:tcBorders>
              <w:top w:val="nil"/>
              <w:left w:val="nil"/>
              <w:bottom w:val="nil"/>
              <w:right w:val="nil"/>
            </w:tcBorders>
            <w:shd w:val="clear" w:color="000000" w:fill="FFFFFF"/>
            <w:noWrap/>
            <w:vAlign w:val="center"/>
            <w:hideMark/>
          </w:tcPr>
          <w:p w14:paraId="429C0D2B"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236.8</w:t>
            </w:r>
          </w:p>
        </w:tc>
        <w:tc>
          <w:tcPr>
            <w:tcW w:w="369" w:type="pct"/>
            <w:tcBorders>
              <w:top w:val="nil"/>
              <w:left w:val="nil"/>
              <w:bottom w:val="nil"/>
              <w:right w:val="nil"/>
            </w:tcBorders>
            <w:shd w:val="clear" w:color="000000" w:fill="FFFFFF"/>
            <w:noWrap/>
            <w:vAlign w:val="center"/>
            <w:hideMark/>
          </w:tcPr>
          <w:p w14:paraId="77B202A9"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226.7</w:t>
            </w:r>
          </w:p>
        </w:tc>
        <w:tc>
          <w:tcPr>
            <w:tcW w:w="285" w:type="pct"/>
            <w:tcBorders>
              <w:top w:val="nil"/>
              <w:left w:val="nil"/>
              <w:bottom w:val="nil"/>
              <w:right w:val="nil"/>
            </w:tcBorders>
            <w:shd w:val="clear" w:color="000000" w:fill="FFFFFF"/>
            <w:noWrap/>
            <w:vAlign w:val="center"/>
            <w:hideMark/>
          </w:tcPr>
          <w:p w14:paraId="031D031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227.3</w:t>
            </w:r>
          </w:p>
        </w:tc>
        <w:tc>
          <w:tcPr>
            <w:tcW w:w="356" w:type="pct"/>
            <w:tcBorders>
              <w:top w:val="nil"/>
              <w:left w:val="nil"/>
              <w:bottom w:val="nil"/>
              <w:right w:val="nil"/>
            </w:tcBorders>
            <w:shd w:val="clear" w:color="000000" w:fill="FFFFFF"/>
            <w:noWrap/>
            <w:vAlign w:val="center"/>
            <w:hideMark/>
          </w:tcPr>
          <w:p w14:paraId="0B0D0A70"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96.0%</w:t>
            </w:r>
          </w:p>
        </w:tc>
        <w:tc>
          <w:tcPr>
            <w:tcW w:w="391" w:type="pct"/>
            <w:tcBorders>
              <w:top w:val="nil"/>
              <w:left w:val="nil"/>
              <w:bottom w:val="nil"/>
              <w:right w:val="nil"/>
            </w:tcBorders>
            <w:shd w:val="clear" w:color="000000" w:fill="FFFFFF"/>
            <w:noWrap/>
            <w:vAlign w:val="center"/>
            <w:hideMark/>
          </w:tcPr>
          <w:p w14:paraId="0E562630"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100.3%</w:t>
            </w:r>
          </w:p>
        </w:tc>
        <w:tc>
          <w:tcPr>
            <w:tcW w:w="488" w:type="pct"/>
            <w:tcBorders>
              <w:top w:val="nil"/>
              <w:left w:val="nil"/>
              <w:bottom w:val="nil"/>
              <w:right w:val="single" w:sz="8" w:space="0" w:color="0070C0"/>
            </w:tcBorders>
            <w:shd w:val="clear" w:color="000000" w:fill="FFFFFF"/>
            <w:noWrap/>
            <w:vAlign w:val="center"/>
            <w:hideMark/>
          </w:tcPr>
          <w:p w14:paraId="1A03AC17"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106.2%</w:t>
            </w:r>
          </w:p>
        </w:tc>
      </w:tr>
      <w:tr w:rsidR="0014208D" w:rsidRPr="0014208D" w14:paraId="2267843A"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4B98B34C" w14:textId="77777777" w:rsidR="00D31F37" w:rsidRPr="0014208D" w:rsidRDefault="00D31F37" w:rsidP="00FE53D8">
            <w:pPr>
              <w:spacing w:before="0" w:line="240" w:lineRule="auto"/>
              <w:jc w:val="left"/>
              <w:rPr>
                <w:rFonts w:asciiTheme="majorHAnsi" w:hAnsiTheme="majorHAnsi" w:cstheme="majorHAnsi"/>
                <w:color w:val="203764"/>
                <w:sz w:val="14"/>
                <w:szCs w:val="14"/>
              </w:rPr>
            </w:pPr>
            <w:proofErr w:type="spellStart"/>
            <w:r w:rsidRPr="0014208D">
              <w:rPr>
                <w:rFonts w:asciiTheme="majorHAnsi" w:hAnsiTheme="majorHAnsi" w:cstheme="majorHAnsi"/>
                <w:color w:val="203764"/>
                <w:sz w:val="14"/>
                <w:szCs w:val="14"/>
              </w:rPr>
              <w:t>Tatimi</w:t>
            </w:r>
            <w:proofErr w:type="spellEnd"/>
            <w:r w:rsidRPr="0014208D">
              <w:rPr>
                <w:rFonts w:asciiTheme="majorHAnsi" w:hAnsiTheme="majorHAnsi" w:cstheme="majorHAnsi"/>
                <w:color w:val="203764"/>
                <w:sz w:val="14"/>
                <w:szCs w:val="14"/>
              </w:rPr>
              <w:t xml:space="preserve"> </w:t>
            </w:r>
            <w:proofErr w:type="spellStart"/>
            <w:r w:rsidRPr="0014208D">
              <w:rPr>
                <w:rFonts w:asciiTheme="majorHAnsi" w:hAnsiTheme="majorHAnsi" w:cstheme="majorHAnsi"/>
                <w:color w:val="203764"/>
                <w:sz w:val="14"/>
                <w:szCs w:val="14"/>
              </w:rPr>
              <w:t>mbi</w:t>
            </w:r>
            <w:proofErr w:type="spellEnd"/>
            <w:r w:rsidRPr="0014208D">
              <w:rPr>
                <w:rFonts w:asciiTheme="majorHAnsi" w:hAnsiTheme="majorHAnsi" w:cstheme="majorHAnsi"/>
                <w:color w:val="203764"/>
                <w:sz w:val="14"/>
                <w:szCs w:val="14"/>
              </w:rPr>
              <w:t xml:space="preserve"> Fitimin</w:t>
            </w:r>
          </w:p>
        </w:tc>
        <w:tc>
          <w:tcPr>
            <w:tcW w:w="304" w:type="pct"/>
            <w:tcBorders>
              <w:top w:val="nil"/>
              <w:left w:val="nil"/>
              <w:bottom w:val="nil"/>
              <w:right w:val="nil"/>
            </w:tcBorders>
            <w:shd w:val="clear" w:color="000000" w:fill="FFFFFF"/>
            <w:noWrap/>
            <w:vAlign w:val="center"/>
            <w:hideMark/>
          </w:tcPr>
          <w:p w14:paraId="3C234AEE"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35.6</w:t>
            </w:r>
          </w:p>
        </w:tc>
        <w:tc>
          <w:tcPr>
            <w:tcW w:w="283" w:type="pct"/>
            <w:tcBorders>
              <w:top w:val="nil"/>
              <w:left w:val="nil"/>
              <w:bottom w:val="nil"/>
              <w:right w:val="nil"/>
            </w:tcBorders>
            <w:shd w:val="clear" w:color="000000" w:fill="FFFFFF"/>
            <w:noWrap/>
            <w:vAlign w:val="center"/>
            <w:hideMark/>
          </w:tcPr>
          <w:p w14:paraId="30FE663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47.7</w:t>
            </w:r>
          </w:p>
        </w:tc>
        <w:tc>
          <w:tcPr>
            <w:tcW w:w="325" w:type="pct"/>
            <w:tcBorders>
              <w:top w:val="nil"/>
              <w:left w:val="nil"/>
              <w:bottom w:val="nil"/>
              <w:right w:val="nil"/>
            </w:tcBorders>
            <w:shd w:val="clear" w:color="000000" w:fill="FFFFFF"/>
            <w:noWrap/>
            <w:vAlign w:val="center"/>
            <w:hideMark/>
          </w:tcPr>
          <w:p w14:paraId="2AA489C7"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64.6</w:t>
            </w:r>
          </w:p>
        </w:tc>
        <w:tc>
          <w:tcPr>
            <w:tcW w:w="305" w:type="pct"/>
            <w:tcBorders>
              <w:top w:val="nil"/>
              <w:left w:val="nil"/>
              <w:bottom w:val="nil"/>
              <w:right w:val="nil"/>
            </w:tcBorders>
            <w:shd w:val="clear" w:color="000000" w:fill="FFFFFF"/>
            <w:noWrap/>
            <w:vAlign w:val="center"/>
            <w:hideMark/>
          </w:tcPr>
          <w:p w14:paraId="05464E72"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57.0</w:t>
            </w:r>
          </w:p>
        </w:tc>
        <w:tc>
          <w:tcPr>
            <w:tcW w:w="466" w:type="pct"/>
            <w:tcBorders>
              <w:top w:val="nil"/>
              <w:left w:val="nil"/>
              <w:bottom w:val="nil"/>
              <w:right w:val="nil"/>
            </w:tcBorders>
            <w:shd w:val="clear" w:color="000000" w:fill="FFFFFF"/>
            <w:noWrap/>
            <w:vAlign w:val="center"/>
            <w:hideMark/>
          </w:tcPr>
          <w:p w14:paraId="753C12E6"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88.3%</w:t>
            </w:r>
          </w:p>
        </w:tc>
        <w:tc>
          <w:tcPr>
            <w:tcW w:w="356" w:type="pct"/>
            <w:tcBorders>
              <w:top w:val="nil"/>
              <w:left w:val="nil"/>
              <w:bottom w:val="nil"/>
              <w:right w:val="nil"/>
            </w:tcBorders>
            <w:shd w:val="clear" w:color="000000" w:fill="FFFFFF"/>
            <w:noWrap/>
            <w:vAlign w:val="center"/>
            <w:hideMark/>
          </w:tcPr>
          <w:p w14:paraId="1CADF732"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65.7</w:t>
            </w:r>
          </w:p>
        </w:tc>
        <w:tc>
          <w:tcPr>
            <w:tcW w:w="369" w:type="pct"/>
            <w:tcBorders>
              <w:top w:val="nil"/>
              <w:left w:val="nil"/>
              <w:bottom w:val="nil"/>
              <w:right w:val="nil"/>
            </w:tcBorders>
            <w:shd w:val="clear" w:color="000000" w:fill="FFFFFF"/>
            <w:noWrap/>
            <w:vAlign w:val="center"/>
            <w:hideMark/>
          </w:tcPr>
          <w:p w14:paraId="58F0F38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60.4</w:t>
            </w:r>
          </w:p>
        </w:tc>
        <w:tc>
          <w:tcPr>
            <w:tcW w:w="285" w:type="pct"/>
            <w:tcBorders>
              <w:top w:val="nil"/>
              <w:left w:val="nil"/>
              <w:bottom w:val="nil"/>
              <w:right w:val="nil"/>
            </w:tcBorders>
            <w:shd w:val="clear" w:color="000000" w:fill="FFFFFF"/>
            <w:noWrap/>
            <w:vAlign w:val="center"/>
            <w:hideMark/>
          </w:tcPr>
          <w:p w14:paraId="2EBB955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58.5</w:t>
            </w:r>
          </w:p>
        </w:tc>
        <w:tc>
          <w:tcPr>
            <w:tcW w:w="356" w:type="pct"/>
            <w:tcBorders>
              <w:top w:val="nil"/>
              <w:left w:val="nil"/>
              <w:bottom w:val="nil"/>
              <w:right w:val="nil"/>
            </w:tcBorders>
            <w:shd w:val="clear" w:color="000000" w:fill="FFFFFF"/>
            <w:noWrap/>
            <w:vAlign w:val="center"/>
            <w:hideMark/>
          </w:tcPr>
          <w:p w14:paraId="6D5D7B94"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89.0%</w:t>
            </w:r>
          </w:p>
        </w:tc>
        <w:tc>
          <w:tcPr>
            <w:tcW w:w="391" w:type="pct"/>
            <w:tcBorders>
              <w:top w:val="nil"/>
              <w:left w:val="nil"/>
              <w:bottom w:val="nil"/>
              <w:right w:val="nil"/>
            </w:tcBorders>
            <w:shd w:val="clear" w:color="000000" w:fill="FFFFFF"/>
            <w:noWrap/>
            <w:vAlign w:val="center"/>
            <w:hideMark/>
          </w:tcPr>
          <w:p w14:paraId="365ACD75"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97.0%</w:t>
            </w:r>
          </w:p>
        </w:tc>
        <w:tc>
          <w:tcPr>
            <w:tcW w:w="488" w:type="pct"/>
            <w:tcBorders>
              <w:top w:val="nil"/>
              <w:left w:val="nil"/>
              <w:bottom w:val="nil"/>
              <w:right w:val="single" w:sz="8" w:space="0" w:color="0070C0"/>
            </w:tcBorders>
            <w:shd w:val="clear" w:color="000000" w:fill="FFFFFF"/>
            <w:noWrap/>
            <w:vAlign w:val="center"/>
            <w:hideMark/>
          </w:tcPr>
          <w:p w14:paraId="5488E289"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102.7%</w:t>
            </w:r>
          </w:p>
        </w:tc>
      </w:tr>
      <w:tr w:rsidR="0014208D" w:rsidRPr="0014208D" w14:paraId="2A6C0A6A"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78487278" w14:textId="77777777" w:rsidR="00D31F37" w:rsidRPr="0014208D" w:rsidRDefault="00D31F37" w:rsidP="00FE53D8">
            <w:pPr>
              <w:spacing w:before="0" w:line="240" w:lineRule="auto"/>
              <w:jc w:val="left"/>
              <w:rPr>
                <w:rFonts w:asciiTheme="majorHAnsi" w:hAnsiTheme="majorHAnsi" w:cstheme="majorHAnsi"/>
                <w:color w:val="203764"/>
                <w:sz w:val="14"/>
                <w:szCs w:val="14"/>
              </w:rPr>
            </w:pPr>
            <w:proofErr w:type="spellStart"/>
            <w:r w:rsidRPr="0014208D">
              <w:rPr>
                <w:rFonts w:asciiTheme="majorHAnsi" w:hAnsiTheme="majorHAnsi" w:cstheme="majorHAnsi"/>
                <w:color w:val="203764"/>
                <w:sz w:val="14"/>
                <w:szCs w:val="14"/>
              </w:rPr>
              <w:t>Akcizat</w:t>
            </w:r>
            <w:proofErr w:type="spellEnd"/>
          </w:p>
        </w:tc>
        <w:tc>
          <w:tcPr>
            <w:tcW w:w="304" w:type="pct"/>
            <w:tcBorders>
              <w:top w:val="nil"/>
              <w:left w:val="nil"/>
              <w:bottom w:val="nil"/>
              <w:right w:val="nil"/>
            </w:tcBorders>
            <w:shd w:val="clear" w:color="000000" w:fill="FFFFFF"/>
            <w:noWrap/>
            <w:vAlign w:val="center"/>
            <w:hideMark/>
          </w:tcPr>
          <w:p w14:paraId="0E5C57C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51.6</w:t>
            </w:r>
          </w:p>
        </w:tc>
        <w:tc>
          <w:tcPr>
            <w:tcW w:w="283" w:type="pct"/>
            <w:tcBorders>
              <w:top w:val="nil"/>
              <w:left w:val="nil"/>
              <w:bottom w:val="nil"/>
              <w:right w:val="nil"/>
            </w:tcBorders>
            <w:shd w:val="clear" w:color="000000" w:fill="FFFFFF"/>
            <w:noWrap/>
            <w:vAlign w:val="center"/>
            <w:hideMark/>
          </w:tcPr>
          <w:p w14:paraId="07A08CF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53.5</w:t>
            </w:r>
          </w:p>
        </w:tc>
        <w:tc>
          <w:tcPr>
            <w:tcW w:w="325" w:type="pct"/>
            <w:tcBorders>
              <w:top w:val="nil"/>
              <w:left w:val="nil"/>
              <w:bottom w:val="nil"/>
              <w:right w:val="nil"/>
            </w:tcBorders>
            <w:shd w:val="clear" w:color="000000" w:fill="FFFFFF"/>
            <w:noWrap/>
            <w:vAlign w:val="center"/>
            <w:hideMark/>
          </w:tcPr>
          <w:p w14:paraId="354CBC7E"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58.4</w:t>
            </w:r>
          </w:p>
        </w:tc>
        <w:tc>
          <w:tcPr>
            <w:tcW w:w="305" w:type="pct"/>
            <w:tcBorders>
              <w:top w:val="nil"/>
              <w:left w:val="nil"/>
              <w:bottom w:val="nil"/>
              <w:right w:val="nil"/>
            </w:tcBorders>
            <w:shd w:val="clear" w:color="000000" w:fill="FFFFFF"/>
            <w:noWrap/>
            <w:vAlign w:val="center"/>
            <w:hideMark/>
          </w:tcPr>
          <w:p w14:paraId="5BE802A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63.4</w:t>
            </w:r>
          </w:p>
        </w:tc>
        <w:tc>
          <w:tcPr>
            <w:tcW w:w="466" w:type="pct"/>
            <w:tcBorders>
              <w:top w:val="nil"/>
              <w:left w:val="nil"/>
              <w:bottom w:val="nil"/>
              <w:right w:val="nil"/>
            </w:tcBorders>
            <w:shd w:val="clear" w:color="000000" w:fill="FFFFFF"/>
            <w:noWrap/>
            <w:vAlign w:val="center"/>
            <w:hideMark/>
          </w:tcPr>
          <w:p w14:paraId="6EBB2C3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108.6%</w:t>
            </w:r>
          </w:p>
        </w:tc>
        <w:tc>
          <w:tcPr>
            <w:tcW w:w="356" w:type="pct"/>
            <w:tcBorders>
              <w:top w:val="nil"/>
              <w:left w:val="nil"/>
              <w:bottom w:val="nil"/>
              <w:right w:val="nil"/>
            </w:tcBorders>
            <w:shd w:val="clear" w:color="000000" w:fill="FFFFFF"/>
            <w:noWrap/>
            <w:vAlign w:val="center"/>
            <w:hideMark/>
          </w:tcPr>
          <w:p w14:paraId="1D9D235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67.6</w:t>
            </w:r>
          </w:p>
        </w:tc>
        <w:tc>
          <w:tcPr>
            <w:tcW w:w="369" w:type="pct"/>
            <w:tcBorders>
              <w:top w:val="nil"/>
              <w:left w:val="nil"/>
              <w:bottom w:val="nil"/>
              <w:right w:val="nil"/>
            </w:tcBorders>
            <w:shd w:val="clear" w:color="000000" w:fill="FFFFFF"/>
            <w:noWrap/>
            <w:vAlign w:val="center"/>
            <w:hideMark/>
          </w:tcPr>
          <w:p w14:paraId="30625C5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71.0</w:t>
            </w:r>
          </w:p>
        </w:tc>
        <w:tc>
          <w:tcPr>
            <w:tcW w:w="285" w:type="pct"/>
            <w:tcBorders>
              <w:top w:val="nil"/>
              <w:left w:val="nil"/>
              <w:bottom w:val="nil"/>
              <w:right w:val="nil"/>
            </w:tcBorders>
            <w:shd w:val="clear" w:color="000000" w:fill="FFFFFF"/>
            <w:noWrap/>
            <w:vAlign w:val="center"/>
            <w:hideMark/>
          </w:tcPr>
          <w:p w14:paraId="487E0A6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69.6</w:t>
            </w:r>
          </w:p>
        </w:tc>
        <w:tc>
          <w:tcPr>
            <w:tcW w:w="356" w:type="pct"/>
            <w:tcBorders>
              <w:top w:val="nil"/>
              <w:left w:val="nil"/>
              <w:bottom w:val="nil"/>
              <w:right w:val="nil"/>
            </w:tcBorders>
            <w:shd w:val="clear" w:color="000000" w:fill="FFFFFF"/>
            <w:noWrap/>
            <w:vAlign w:val="center"/>
            <w:hideMark/>
          </w:tcPr>
          <w:p w14:paraId="2661776B"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102.9%</w:t>
            </w:r>
          </w:p>
        </w:tc>
        <w:tc>
          <w:tcPr>
            <w:tcW w:w="391" w:type="pct"/>
            <w:tcBorders>
              <w:top w:val="nil"/>
              <w:left w:val="nil"/>
              <w:bottom w:val="nil"/>
              <w:right w:val="nil"/>
            </w:tcBorders>
            <w:shd w:val="clear" w:color="000000" w:fill="FFFFFF"/>
            <w:noWrap/>
            <w:vAlign w:val="center"/>
            <w:hideMark/>
          </w:tcPr>
          <w:p w14:paraId="042F1C97"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98.1%</w:t>
            </w:r>
          </w:p>
        </w:tc>
        <w:tc>
          <w:tcPr>
            <w:tcW w:w="488" w:type="pct"/>
            <w:tcBorders>
              <w:top w:val="nil"/>
              <w:left w:val="nil"/>
              <w:bottom w:val="nil"/>
              <w:right w:val="single" w:sz="8" w:space="0" w:color="0070C0"/>
            </w:tcBorders>
            <w:shd w:val="clear" w:color="000000" w:fill="FFFFFF"/>
            <w:noWrap/>
            <w:vAlign w:val="center"/>
            <w:hideMark/>
          </w:tcPr>
          <w:p w14:paraId="1E6882BB"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109.7%</w:t>
            </w:r>
          </w:p>
        </w:tc>
      </w:tr>
      <w:tr w:rsidR="0014208D" w:rsidRPr="0014208D" w14:paraId="6F31DE6E"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0DD84D1E" w14:textId="77777777" w:rsidR="00D31F37" w:rsidRPr="0014208D" w:rsidRDefault="00D31F37" w:rsidP="00FE53D8">
            <w:pPr>
              <w:spacing w:before="0" w:line="240" w:lineRule="auto"/>
              <w:jc w:val="left"/>
              <w:rPr>
                <w:rFonts w:asciiTheme="majorHAnsi" w:hAnsiTheme="majorHAnsi" w:cstheme="majorHAnsi"/>
                <w:color w:val="203764"/>
                <w:sz w:val="14"/>
                <w:szCs w:val="14"/>
                <w:lang w:val="it-CH"/>
              </w:rPr>
            </w:pPr>
            <w:r w:rsidRPr="0014208D">
              <w:rPr>
                <w:rFonts w:asciiTheme="majorHAnsi" w:hAnsiTheme="majorHAnsi" w:cstheme="majorHAnsi"/>
                <w:color w:val="203764"/>
                <w:sz w:val="14"/>
                <w:szCs w:val="14"/>
                <w:lang w:val="it-CH"/>
              </w:rPr>
              <w:t>Tatimi mbi te Ardhurat Personale</w:t>
            </w:r>
          </w:p>
        </w:tc>
        <w:tc>
          <w:tcPr>
            <w:tcW w:w="304" w:type="pct"/>
            <w:tcBorders>
              <w:top w:val="nil"/>
              <w:left w:val="nil"/>
              <w:bottom w:val="nil"/>
              <w:right w:val="nil"/>
            </w:tcBorders>
            <w:shd w:val="clear" w:color="000000" w:fill="FFFFFF"/>
            <w:noWrap/>
            <w:vAlign w:val="center"/>
            <w:hideMark/>
          </w:tcPr>
          <w:p w14:paraId="3E132BC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39.3</w:t>
            </w:r>
          </w:p>
        </w:tc>
        <w:tc>
          <w:tcPr>
            <w:tcW w:w="283" w:type="pct"/>
            <w:tcBorders>
              <w:top w:val="nil"/>
              <w:left w:val="nil"/>
              <w:bottom w:val="nil"/>
              <w:right w:val="nil"/>
            </w:tcBorders>
            <w:shd w:val="clear" w:color="000000" w:fill="FFFFFF"/>
            <w:noWrap/>
            <w:vAlign w:val="center"/>
            <w:hideMark/>
          </w:tcPr>
          <w:p w14:paraId="008232E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45.0</w:t>
            </w:r>
          </w:p>
        </w:tc>
        <w:tc>
          <w:tcPr>
            <w:tcW w:w="325" w:type="pct"/>
            <w:tcBorders>
              <w:top w:val="nil"/>
              <w:left w:val="nil"/>
              <w:bottom w:val="nil"/>
              <w:right w:val="nil"/>
            </w:tcBorders>
            <w:shd w:val="clear" w:color="000000" w:fill="FFFFFF"/>
            <w:noWrap/>
            <w:vAlign w:val="center"/>
            <w:hideMark/>
          </w:tcPr>
          <w:p w14:paraId="1DE78CB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57.9</w:t>
            </w:r>
          </w:p>
        </w:tc>
        <w:tc>
          <w:tcPr>
            <w:tcW w:w="305" w:type="pct"/>
            <w:tcBorders>
              <w:top w:val="nil"/>
              <w:left w:val="nil"/>
              <w:bottom w:val="nil"/>
              <w:right w:val="nil"/>
            </w:tcBorders>
            <w:shd w:val="clear" w:color="000000" w:fill="FFFFFF"/>
            <w:noWrap/>
            <w:vAlign w:val="center"/>
            <w:hideMark/>
          </w:tcPr>
          <w:p w14:paraId="570DA57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66.2</w:t>
            </w:r>
          </w:p>
        </w:tc>
        <w:tc>
          <w:tcPr>
            <w:tcW w:w="466" w:type="pct"/>
            <w:tcBorders>
              <w:top w:val="nil"/>
              <w:left w:val="nil"/>
              <w:bottom w:val="nil"/>
              <w:right w:val="nil"/>
            </w:tcBorders>
            <w:shd w:val="clear" w:color="000000" w:fill="FFFFFF"/>
            <w:noWrap/>
            <w:vAlign w:val="center"/>
            <w:hideMark/>
          </w:tcPr>
          <w:p w14:paraId="4192986B"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114.3%</w:t>
            </w:r>
          </w:p>
        </w:tc>
        <w:tc>
          <w:tcPr>
            <w:tcW w:w="356" w:type="pct"/>
            <w:tcBorders>
              <w:top w:val="nil"/>
              <w:left w:val="nil"/>
              <w:bottom w:val="nil"/>
              <w:right w:val="nil"/>
            </w:tcBorders>
            <w:shd w:val="clear" w:color="000000" w:fill="FFFFFF"/>
            <w:noWrap/>
            <w:vAlign w:val="center"/>
            <w:hideMark/>
          </w:tcPr>
          <w:p w14:paraId="2FEE2786"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70.7</w:t>
            </w:r>
          </w:p>
        </w:tc>
        <w:tc>
          <w:tcPr>
            <w:tcW w:w="369" w:type="pct"/>
            <w:tcBorders>
              <w:top w:val="nil"/>
              <w:left w:val="nil"/>
              <w:bottom w:val="nil"/>
              <w:right w:val="nil"/>
            </w:tcBorders>
            <w:shd w:val="clear" w:color="000000" w:fill="FFFFFF"/>
            <w:noWrap/>
            <w:vAlign w:val="center"/>
            <w:hideMark/>
          </w:tcPr>
          <w:p w14:paraId="5E6F13A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84.2</w:t>
            </w:r>
          </w:p>
        </w:tc>
        <w:tc>
          <w:tcPr>
            <w:tcW w:w="285" w:type="pct"/>
            <w:tcBorders>
              <w:top w:val="nil"/>
              <w:left w:val="nil"/>
              <w:bottom w:val="nil"/>
              <w:right w:val="nil"/>
            </w:tcBorders>
            <w:shd w:val="clear" w:color="000000" w:fill="FFFFFF"/>
            <w:noWrap/>
            <w:vAlign w:val="center"/>
            <w:hideMark/>
          </w:tcPr>
          <w:p w14:paraId="66529F13"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82.5</w:t>
            </w:r>
          </w:p>
        </w:tc>
        <w:tc>
          <w:tcPr>
            <w:tcW w:w="356" w:type="pct"/>
            <w:tcBorders>
              <w:top w:val="nil"/>
              <w:left w:val="nil"/>
              <w:bottom w:val="nil"/>
              <w:right w:val="nil"/>
            </w:tcBorders>
            <w:shd w:val="clear" w:color="000000" w:fill="FFFFFF"/>
            <w:noWrap/>
            <w:vAlign w:val="center"/>
            <w:hideMark/>
          </w:tcPr>
          <w:p w14:paraId="0AAD83D5"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116.7%</w:t>
            </w:r>
          </w:p>
        </w:tc>
        <w:tc>
          <w:tcPr>
            <w:tcW w:w="391" w:type="pct"/>
            <w:tcBorders>
              <w:top w:val="nil"/>
              <w:left w:val="nil"/>
              <w:bottom w:val="nil"/>
              <w:right w:val="nil"/>
            </w:tcBorders>
            <w:shd w:val="clear" w:color="000000" w:fill="FFFFFF"/>
            <w:noWrap/>
            <w:vAlign w:val="center"/>
            <w:hideMark/>
          </w:tcPr>
          <w:p w14:paraId="3DA73362"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98.0%</w:t>
            </w:r>
          </w:p>
        </w:tc>
        <w:tc>
          <w:tcPr>
            <w:tcW w:w="488" w:type="pct"/>
            <w:tcBorders>
              <w:top w:val="nil"/>
              <w:left w:val="nil"/>
              <w:bottom w:val="nil"/>
              <w:right w:val="single" w:sz="8" w:space="0" w:color="0070C0"/>
            </w:tcBorders>
            <w:shd w:val="clear" w:color="000000" w:fill="FFFFFF"/>
            <w:noWrap/>
            <w:vAlign w:val="center"/>
            <w:hideMark/>
          </w:tcPr>
          <w:p w14:paraId="526B087F"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124.7%</w:t>
            </w:r>
          </w:p>
        </w:tc>
      </w:tr>
      <w:tr w:rsidR="0014208D" w:rsidRPr="0014208D" w14:paraId="061A110C"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672F0A2F" w14:textId="77777777" w:rsidR="00D31F37" w:rsidRPr="0014208D" w:rsidRDefault="00D31F37" w:rsidP="00FE53D8">
            <w:pPr>
              <w:spacing w:before="0" w:line="240" w:lineRule="auto"/>
              <w:jc w:val="left"/>
              <w:rPr>
                <w:rFonts w:asciiTheme="majorHAnsi" w:hAnsiTheme="majorHAnsi" w:cstheme="majorHAnsi"/>
                <w:color w:val="203764"/>
                <w:sz w:val="14"/>
                <w:szCs w:val="14"/>
                <w:lang w:val="it-CH"/>
              </w:rPr>
            </w:pPr>
            <w:r w:rsidRPr="0014208D">
              <w:rPr>
                <w:rFonts w:asciiTheme="majorHAnsi" w:hAnsiTheme="majorHAnsi" w:cstheme="majorHAnsi"/>
                <w:color w:val="203764"/>
                <w:sz w:val="14"/>
                <w:szCs w:val="14"/>
                <w:lang w:val="it-CH"/>
              </w:rPr>
              <w:t>Taksa Nacionale dhe te tjera</w:t>
            </w:r>
          </w:p>
        </w:tc>
        <w:tc>
          <w:tcPr>
            <w:tcW w:w="304" w:type="pct"/>
            <w:tcBorders>
              <w:top w:val="nil"/>
              <w:left w:val="nil"/>
              <w:bottom w:val="nil"/>
              <w:right w:val="nil"/>
            </w:tcBorders>
            <w:shd w:val="clear" w:color="000000" w:fill="FFFFFF"/>
            <w:noWrap/>
            <w:vAlign w:val="center"/>
            <w:hideMark/>
          </w:tcPr>
          <w:p w14:paraId="12A6A06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42.5</w:t>
            </w:r>
          </w:p>
        </w:tc>
        <w:tc>
          <w:tcPr>
            <w:tcW w:w="283" w:type="pct"/>
            <w:tcBorders>
              <w:top w:val="nil"/>
              <w:left w:val="nil"/>
              <w:bottom w:val="nil"/>
              <w:right w:val="nil"/>
            </w:tcBorders>
            <w:shd w:val="clear" w:color="000000" w:fill="FFFFFF"/>
            <w:noWrap/>
            <w:vAlign w:val="center"/>
            <w:hideMark/>
          </w:tcPr>
          <w:p w14:paraId="1D63E4B6"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44.8</w:t>
            </w:r>
          </w:p>
        </w:tc>
        <w:tc>
          <w:tcPr>
            <w:tcW w:w="325" w:type="pct"/>
            <w:tcBorders>
              <w:top w:val="nil"/>
              <w:left w:val="nil"/>
              <w:bottom w:val="nil"/>
              <w:right w:val="nil"/>
            </w:tcBorders>
            <w:shd w:val="clear" w:color="000000" w:fill="FFFFFF"/>
            <w:noWrap/>
            <w:vAlign w:val="center"/>
            <w:hideMark/>
          </w:tcPr>
          <w:p w14:paraId="1C49DF6E"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40.2</w:t>
            </w:r>
          </w:p>
        </w:tc>
        <w:tc>
          <w:tcPr>
            <w:tcW w:w="305" w:type="pct"/>
            <w:tcBorders>
              <w:top w:val="nil"/>
              <w:left w:val="nil"/>
              <w:bottom w:val="nil"/>
              <w:right w:val="nil"/>
            </w:tcBorders>
            <w:shd w:val="clear" w:color="000000" w:fill="FFFFFF"/>
            <w:noWrap/>
            <w:vAlign w:val="center"/>
            <w:hideMark/>
          </w:tcPr>
          <w:p w14:paraId="590D331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47.4</w:t>
            </w:r>
          </w:p>
        </w:tc>
        <w:tc>
          <w:tcPr>
            <w:tcW w:w="466" w:type="pct"/>
            <w:tcBorders>
              <w:top w:val="nil"/>
              <w:left w:val="nil"/>
              <w:bottom w:val="nil"/>
              <w:right w:val="nil"/>
            </w:tcBorders>
            <w:shd w:val="clear" w:color="000000" w:fill="FFFFFF"/>
            <w:noWrap/>
            <w:vAlign w:val="center"/>
            <w:hideMark/>
          </w:tcPr>
          <w:p w14:paraId="6A6EA331"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118.0%</w:t>
            </w:r>
          </w:p>
        </w:tc>
        <w:tc>
          <w:tcPr>
            <w:tcW w:w="356" w:type="pct"/>
            <w:tcBorders>
              <w:top w:val="nil"/>
              <w:left w:val="nil"/>
              <w:bottom w:val="nil"/>
              <w:right w:val="nil"/>
            </w:tcBorders>
            <w:shd w:val="clear" w:color="000000" w:fill="FFFFFF"/>
            <w:noWrap/>
            <w:vAlign w:val="center"/>
            <w:hideMark/>
          </w:tcPr>
          <w:p w14:paraId="31778FD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49.6</w:t>
            </w:r>
          </w:p>
        </w:tc>
        <w:tc>
          <w:tcPr>
            <w:tcW w:w="369" w:type="pct"/>
            <w:tcBorders>
              <w:top w:val="nil"/>
              <w:left w:val="nil"/>
              <w:bottom w:val="nil"/>
              <w:right w:val="nil"/>
            </w:tcBorders>
            <w:shd w:val="clear" w:color="000000" w:fill="FFFFFF"/>
            <w:noWrap/>
            <w:vAlign w:val="center"/>
            <w:hideMark/>
          </w:tcPr>
          <w:p w14:paraId="52D5899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47.1</w:t>
            </w:r>
          </w:p>
        </w:tc>
        <w:tc>
          <w:tcPr>
            <w:tcW w:w="285" w:type="pct"/>
            <w:tcBorders>
              <w:top w:val="nil"/>
              <w:left w:val="nil"/>
              <w:bottom w:val="nil"/>
              <w:right w:val="nil"/>
            </w:tcBorders>
            <w:shd w:val="clear" w:color="000000" w:fill="FFFFFF"/>
            <w:noWrap/>
            <w:vAlign w:val="center"/>
            <w:hideMark/>
          </w:tcPr>
          <w:p w14:paraId="650D1E7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48.8</w:t>
            </w:r>
          </w:p>
        </w:tc>
        <w:tc>
          <w:tcPr>
            <w:tcW w:w="356" w:type="pct"/>
            <w:tcBorders>
              <w:top w:val="nil"/>
              <w:left w:val="nil"/>
              <w:bottom w:val="nil"/>
              <w:right w:val="nil"/>
            </w:tcBorders>
            <w:shd w:val="clear" w:color="000000" w:fill="FFFFFF"/>
            <w:noWrap/>
            <w:vAlign w:val="center"/>
            <w:hideMark/>
          </w:tcPr>
          <w:p w14:paraId="435640DA"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98.3%</w:t>
            </w:r>
          </w:p>
        </w:tc>
        <w:tc>
          <w:tcPr>
            <w:tcW w:w="391" w:type="pct"/>
            <w:tcBorders>
              <w:top w:val="nil"/>
              <w:left w:val="nil"/>
              <w:bottom w:val="nil"/>
              <w:right w:val="nil"/>
            </w:tcBorders>
            <w:shd w:val="clear" w:color="000000" w:fill="FFFFFF"/>
            <w:noWrap/>
            <w:vAlign w:val="center"/>
            <w:hideMark/>
          </w:tcPr>
          <w:p w14:paraId="5F02B692"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103.6%</w:t>
            </w:r>
          </w:p>
        </w:tc>
        <w:tc>
          <w:tcPr>
            <w:tcW w:w="488" w:type="pct"/>
            <w:tcBorders>
              <w:top w:val="nil"/>
              <w:left w:val="nil"/>
              <w:bottom w:val="nil"/>
              <w:right w:val="single" w:sz="8" w:space="0" w:color="0070C0"/>
            </w:tcBorders>
            <w:shd w:val="clear" w:color="000000" w:fill="FFFFFF"/>
            <w:noWrap/>
            <w:vAlign w:val="center"/>
            <w:hideMark/>
          </w:tcPr>
          <w:p w14:paraId="0622F4E8"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102.9%</w:t>
            </w:r>
          </w:p>
        </w:tc>
      </w:tr>
      <w:tr w:rsidR="0014208D" w:rsidRPr="0014208D" w14:paraId="6430B9C4"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310CA5A5" w14:textId="77777777" w:rsidR="00D31F37" w:rsidRPr="0014208D" w:rsidRDefault="00D31F37" w:rsidP="00FE53D8">
            <w:pPr>
              <w:spacing w:before="0" w:line="240" w:lineRule="auto"/>
              <w:jc w:val="left"/>
              <w:rPr>
                <w:rFonts w:asciiTheme="majorHAnsi" w:hAnsiTheme="majorHAnsi" w:cstheme="majorHAnsi"/>
                <w:color w:val="203764"/>
                <w:sz w:val="14"/>
                <w:szCs w:val="14"/>
              </w:rPr>
            </w:pPr>
            <w:r w:rsidRPr="0014208D">
              <w:rPr>
                <w:rFonts w:asciiTheme="majorHAnsi" w:hAnsiTheme="majorHAnsi" w:cstheme="majorHAnsi"/>
                <w:color w:val="203764"/>
                <w:sz w:val="14"/>
                <w:szCs w:val="14"/>
              </w:rPr>
              <w:t xml:space="preserve">Taksa </w:t>
            </w:r>
            <w:proofErr w:type="spellStart"/>
            <w:r w:rsidRPr="0014208D">
              <w:rPr>
                <w:rFonts w:asciiTheme="majorHAnsi" w:hAnsiTheme="majorHAnsi" w:cstheme="majorHAnsi"/>
                <w:color w:val="203764"/>
                <w:sz w:val="14"/>
                <w:szCs w:val="14"/>
              </w:rPr>
              <w:t>Doganore</w:t>
            </w:r>
            <w:proofErr w:type="spellEnd"/>
          </w:p>
        </w:tc>
        <w:tc>
          <w:tcPr>
            <w:tcW w:w="304" w:type="pct"/>
            <w:tcBorders>
              <w:top w:val="nil"/>
              <w:left w:val="nil"/>
              <w:bottom w:val="nil"/>
              <w:right w:val="nil"/>
            </w:tcBorders>
            <w:shd w:val="clear" w:color="000000" w:fill="FFFFFF"/>
            <w:noWrap/>
            <w:vAlign w:val="center"/>
            <w:hideMark/>
          </w:tcPr>
          <w:p w14:paraId="4D3B6BD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7.5</w:t>
            </w:r>
          </w:p>
        </w:tc>
        <w:tc>
          <w:tcPr>
            <w:tcW w:w="283" w:type="pct"/>
            <w:tcBorders>
              <w:top w:val="nil"/>
              <w:left w:val="nil"/>
              <w:bottom w:val="nil"/>
              <w:right w:val="nil"/>
            </w:tcBorders>
            <w:shd w:val="clear" w:color="000000" w:fill="FFFFFF"/>
            <w:noWrap/>
            <w:vAlign w:val="center"/>
            <w:hideMark/>
          </w:tcPr>
          <w:p w14:paraId="7BA4896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8.4</w:t>
            </w:r>
          </w:p>
        </w:tc>
        <w:tc>
          <w:tcPr>
            <w:tcW w:w="325" w:type="pct"/>
            <w:tcBorders>
              <w:top w:val="nil"/>
              <w:left w:val="nil"/>
              <w:bottom w:val="nil"/>
              <w:right w:val="nil"/>
            </w:tcBorders>
            <w:shd w:val="clear" w:color="000000" w:fill="FFFFFF"/>
            <w:noWrap/>
            <w:vAlign w:val="center"/>
            <w:hideMark/>
          </w:tcPr>
          <w:p w14:paraId="7237B85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9.1</w:t>
            </w:r>
          </w:p>
        </w:tc>
        <w:tc>
          <w:tcPr>
            <w:tcW w:w="305" w:type="pct"/>
            <w:tcBorders>
              <w:top w:val="nil"/>
              <w:left w:val="nil"/>
              <w:bottom w:val="nil"/>
              <w:right w:val="nil"/>
            </w:tcBorders>
            <w:shd w:val="clear" w:color="000000" w:fill="FFFFFF"/>
            <w:noWrap/>
            <w:vAlign w:val="center"/>
            <w:hideMark/>
          </w:tcPr>
          <w:p w14:paraId="5EA6BFF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9.0</w:t>
            </w:r>
          </w:p>
        </w:tc>
        <w:tc>
          <w:tcPr>
            <w:tcW w:w="466" w:type="pct"/>
            <w:tcBorders>
              <w:top w:val="nil"/>
              <w:left w:val="nil"/>
              <w:bottom w:val="nil"/>
              <w:right w:val="nil"/>
            </w:tcBorders>
            <w:shd w:val="clear" w:color="000000" w:fill="FFFFFF"/>
            <w:noWrap/>
            <w:vAlign w:val="center"/>
            <w:hideMark/>
          </w:tcPr>
          <w:p w14:paraId="3E20082E"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98.2%</w:t>
            </w:r>
          </w:p>
        </w:tc>
        <w:tc>
          <w:tcPr>
            <w:tcW w:w="356" w:type="pct"/>
            <w:tcBorders>
              <w:top w:val="nil"/>
              <w:left w:val="nil"/>
              <w:bottom w:val="nil"/>
              <w:right w:val="nil"/>
            </w:tcBorders>
            <w:shd w:val="clear" w:color="000000" w:fill="FFFFFF"/>
            <w:noWrap/>
            <w:vAlign w:val="center"/>
            <w:hideMark/>
          </w:tcPr>
          <w:p w14:paraId="6DE69A2F"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11.1</w:t>
            </w:r>
          </w:p>
        </w:tc>
        <w:tc>
          <w:tcPr>
            <w:tcW w:w="369" w:type="pct"/>
            <w:tcBorders>
              <w:top w:val="nil"/>
              <w:left w:val="nil"/>
              <w:bottom w:val="nil"/>
              <w:right w:val="nil"/>
            </w:tcBorders>
            <w:shd w:val="clear" w:color="000000" w:fill="FFFFFF"/>
            <w:noWrap/>
            <w:vAlign w:val="center"/>
            <w:hideMark/>
          </w:tcPr>
          <w:p w14:paraId="42B5F63C"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10.3</w:t>
            </w:r>
          </w:p>
        </w:tc>
        <w:tc>
          <w:tcPr>
            <w:tcW w:w="285" w:type="pct"/>
            <w:tcBorders>
              <w:top w:val="nil"/>
              <w:left w:val="nil"/>
              <w:bottom w:val="nil"/>
              <w:right w:val="nil"/>
            </w:tcBorders>
            <w:shd w:val="clear" w:color="000000" w:fill="FFFFFF"/>
            <w:noWrap/>
            <w:vAlign w:val="center"/>
            <w:hideMark/>
          </w:tcPr>
          <w:p w14:paraId="59B42AB2"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9.5</w:t>
            </w:r>
          </w:p>
        </w:tc>
        <w:tc>
          <w:tcPr>
            <w:tcW w:w="356" w:type="pct"/>
            <w:tcBorders>
              <w:top w:val="nil"/>
              <w:left w:val="nil"/>
              <w:bottom w:val="nil"/>
              <w:right w:val="nil"/>
            </w:tcBorders>
            <w:shd w:val="clear" w:color="000000" w:fill="FFFFFF"/>
            <w:noWrap/>
            <w:vAlign w:val="center"/>
            <w:hideMark/>
          </w:tcPr>
          <w:p w14:paraId="6FD6D2C4"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85.6%</w:t>
            </w:r>
          </w:p>
        </w:tc>
        <w:tc>
          <w:tcPr>
            <w:tcW w:w="391" w:type="pct"/>
            <w:tcBorders>
              <w:top w:val="nil"/>
              <w:left w:val="nil"/>
              <w:bottom w:val="nil"/>
              <w:right w:val="nil"/>
            </w:tcBorders>
            <w:shd w:val="clear" w:color="000000" w:fill="FFFFFF"/>
            <w:noWrap/>
            <w:vAlign w:val="center"/>
            <w:hideMark/>
          </w:tcPr>
          <w:p w14:paraId="1F609CD2"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92.4%</w:t>
            </w:r>
          </w:p>
        </w:tc>
        <w:tc>
          <w:tcPr>
            <w:tcW w:w="488" w:type="pct"/>
            <w:tcBorders>
              <w:top w:val="nil"/>
              <w:left w:val="nil"/>
              <w:bottom w:val="nil"/>
              <w:right w:val="single" w:sz="8" w:space="0" w:color="0070C0"/>
            </w:tcBorders>
            <w:shd w:val="clear" w:color="000000" w:fill="FFFFFF"/>
            <w:noWrap/>
            <w:vAlign w:val="center"/>
            <w:hideMark/>
          </w:tcPr>
          <w:p w14:paraId="586CE241"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105.7%</w:t>
            </w:r>
          </w:p>
        </w:tc>
      </w:tr>
      <w:tr w:rsidR="0014208D" w:rsidRPr="0014208D" w14:paraId="1BAC34B9" w14:textId="77777777" w:rsidTr="0014208D">
        <w:trPr>
          <w:trHeight w:val="239"/>
        </w:trPr>
        <w:tc>
          <w:tcPr>
            <w:tcW w:w="1071" w:type="pct"/>
            <w:tcBorders>
              <w:top w:val="nil"/>
              <w:left w:val="single" w:sz="8" w:space="0" w:color="0070C0"/>
              <w:bottom w:val="nil"/>
              <w:right w:val="nil"/>
            </w:tcBorders>
            <w:shd w:val="clear" w:color="000000" w:fill="DCE6F1"/>
            <w:noWrap/>
            <w:vAlign w:val="center"/>
            <w:hideMark/>
          </w:tcPr>
          <w:p w14:paraId="3C539275" w14:textId="77777777" w:rsidR="00D31F37" w:rsidRPr="0014208D" w:rsidRDefault="00D31F37" w:rsidP="00FE53D8">
            <w:pPr>
              <w:spacing w:before="0" w:line="240" w:lineRule="auto"/>
              <w:jc w:val="left"/>
              <w:rPr>
                <w:rFonts w:asciiTheme="majorHAnsi" w:hAnsiTheme="majorHAnsi" w:cstheme="majorHAnsi"/>
                <w:color w:val="203764"/>
                <w:sz w:val="14"/>
                <w:szCs w:val="14"/>
                <w:lang w:val="it-CH"/>
              </w:rPr>
            </w:pPr>
            <w:r w:rsidRPr="0014208D">
              <w:rPr>
                <w:rFonts w:asciiTheme="majorHAnsi" w:hAnsiTheme="majorHAnsi" w:cstheme="majorHAnsi"/>
                <w:color w:val="203764"/>
                <w:sz w:val="14"/>
                <w:szCs w:val="14"/>
                <w:lang w:val="it-CH"/>
              </w:rPr>
              <w:t>Të ardhura nga Pushteti Vendor</w:t>
            </w:r>
          </w:p>
        </w:tc>
        <w:tc>
          <w:tcPr>
            <w:tcW w:w="304" w:type="pct"/>
            <w:tcBorders>
              <w:top w:val="nil"/>
              <w:left w:val="nil"/>
              <w:bottom w:val="nil"/>
              <w:right w:val="nil"/>
            </w:tcBorders>
            <w:shd w:val="clear" w:color="000000" w:fill="FFFFFF"/>
            <w:noWrap/>
            <w:vAlign w:val="center"/>
            <w:hideMark/>
          </w:tcPr>
          <w:p w14:paraId="6D266ED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26.7</w:t>
            </w:r>
          </w:p>
        </w:tc>
        <w:tc>
          <w:tcPr>
            <w:tcW w:w="283" w:type="pct"/>
            <w:tcBorders>
              <w:top w:val="nil"/>
              <w:left w:val="nil"/>
              <w:bottom w:val="nil"/>
              <w:right w:val="nil"/>
            </w:tcBorders>
            <w:shd w:val="clear" w:color="000000" w:fill="FFFFFF"/>
            <w:noWrap/>
            <w:vAlign w:val="center"/>
            <w:hideMark/>
          </w:tcPr>
          <w:p w14:paraId="7676195F"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27.6</w:t>
            </w:r>
          </w:p>
        </w:tc>
        <w:tc>
          <w:tcPr>
            <w:tcW w:w="325" w:type="pct"/>
            <w:tcBorders>
              <w:top w:val="nil"/>
              <w:left w:val="nil"/>
              <w:bottom w:val="nil"/>
              <w:right w:val="nil"/>
            </w:tcBorders>
            <w:shd w:val="clear" w:color="000000" w:fill="FFFFFF"/>
            <w:noWrap/>
            <w:vAlign w:val="center"/>
            <w:hideMark/>
          </w:tcPr>
          <w:p w14:paraId="2BB83C7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31.7</w:t>
            </w:r>
          </w:p>
        </w:tc>
        <w:tc>
          <w:tcPr>
            <w:tcW w:w="305" w:type="pct"/>
            <w:tcBorders>
              <w:top w:val="nil"/>
              <w:left w:val="nil"/>
              <w:bottom w:val="nil"/>
              <w:right w:val="nil"/>
            </w:tcBorders>
            <w:shd w:val="clear" w:color="000000" w:fill="FFFFFF"/>
            <w:noWrap/>
            <w:vAlign w:val="center"/>
            <w:hideMark/>
          </w:tcPr>
          <w:p w14:paraId="55F34FF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40.3</w:t>
            </w:r>
          </w:p>
        </w:tc>
        <w:tc>
          <w:tcPr>
            <w:tcW w:w="466" w:type="pct"/>
            <w:tcBorders>
              <w:top w:val="nil"/>
              <w:left w:val="nil"/>
              <w:bottom w:val="nil"/>
              <w:right w:val="nil"/>
            </w:tcBorders>
            <w:shd w:val="clear" w:color="000000" w:fill="FFFFFF"/>
            <w:noWrap/>
            <w:vAlign w:val="center"/>
            <w:hideMark/>
          </w:tcPr>
          <w:p w14:paraId="724F377A"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127.3%</w:t>
            </w:r>
          </w:p>
        </w:tc>
        <w:tc>
          <w:tcPr>
            <w:tcW w:w="356" w:type="pct"/>
            <w:tcBorders>
              <w:top w:val="nil"/>
              <w:left w:val="nil"/>
              <w:bottom w:val="nil"/>
              <w:right w:val="nil"/>
            </w:tcBorders>
            <w:shd w:val="clear" w:color="000000" w:fill="FFFFFF"/>
            <w:noWrap/>
            <w:vAlign w:val="center"/>
            <w:hideMark/>
          </w:tcPr>
          <w:p w14:paraId="64103C7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40.8</w:t>
            </w:r>
          </w:p>
        </w:tc>
        <w:tc>
          <w:tcPr>
            <w:tcW w:w="369" w:type="pct"/>
            <w:tcBorders>
              <w:top w:val="nil"/>
              <w:left w:val="nil"/>
              <w:bottom w:val="nil"/>
              <w:right w:val="nil"/>
            </w:tcBorders>
            <w:shd w:val="clear" w:color="000000" w:fill="FFFFFF"/>
            <w:noWrap/>
            <w:vAlign w:val="center"/>
            <w:hideMark/>
          </w:tcPr>
          <w:p w14:paraId="5DED0995"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40.8</w:t>
            </w:r>
          </w:p>
        </w:tc>
        <w:tc>
          <w:tcPr>
            <w:tcW w:w="285" w:type="pct"/>
            <w:tcBorders>
              <w:top w:val="nil"/>
              <w:left w:val="nil"/>
              <w:bottom w:val="nil"/>
              <w:right w:val="nil"/>
            </w:tcBorders>
            <w:shd w:val="clear" w:color="000000" w:fill="FFFFFF"/>
            <w:noWrap/>
            <w:vAlign w:val="center"/>
            <w:hideMark/>
          </w:tcPr>
          <w:p w14:paraId="69957D3B"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40.9</w:t>
            </w:r>
          </w:p>
        </w:tc>
        <w:tc>
          <w:tcPr>
            <w:tcW w:w="356" w:type="pct"/>
            <w:tcBorders>
              <w:top w:val="nil"/>
              <w:left w:val="nil"/>
              <w:bottom w:val="nil"/>
              <w:right w:val="nil"/>
            </w:tcBorders>
            <w:shd w:val="clear" w:color="000000" w:fill="FFFFFF"/>
            <w:noWrap/>
            <w:vAlign w:val="center"/>
            <w:hideMark/>
          </w:tcPr>
          <w:p w14:paraId="26F2340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100.3%</w:t>
            </w:r>
          </w:p>
        </w:tc>
        <w:tc>
          <w:tcPr>
            <w:tcW w:w="391" w:type="pct"/>
            <w:tcBorders>
              <w:top w:val="nil"/>
              <w:left w:val="nil"/>
              <w:bottom w:val="nil"/>
              <w:right w:val="nil"/>
            </w:tcBorders>
            <w:shd w:val="clear" w:color="000000" w:fill="FFFFFF"/>
            <w:noWrap/>
            <w:vAlign w:val="center"/>
            <w:hideMark/>
          </w:tcPr>
          <w:p w14:paraId="34C3949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100.3%</w:t>
            </w:r>
          </w:p>
        </w:tc>
        <w:tc>
          <w:tcPr>
            <w:tcW w:w="488" w:type="pct"/>
            <w:tcBorders>
              <w:top w:val="nil"/>
              <w:left w:val="nil"/>
              <w:bottom w:val="nil"/>
              <w:right w:val="single" w:sz="8" w:space="0" w:color="0070C0"/>
            </w:tcBorders>
            <w:shd w:val="clear" w:color="000000" w:fill="FFFFFF"/>
            <w:noWrap/>
            <w:vAlign w:val="center"/>
            <w:hideMark/>
          </w:tcPr>
          <w:p w14:paraId="4E292639"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101.4%</w:t>
            </w:r>
          </w:p>
        </w:tc>
      </w:tr>
      <w:tr w:rsidR="0014208D" w:rsidRPr="0014208D" w14:paraId="0754938A" w14:textId="77777777" w:rsidTr="0014208D">
        <w:trPr>
          <w:trHeight w:val="251"/>
        </w:trPr>
        <w:tc>
          <w:tcPr>
            <w:tcW w:w="1071" w:type="pct"/>
            <w:tcBorders>
              <w:top w:val="nil"/>
              <w:left w:val="single" w:sz="8" w:space="0" w:color="0070C0"/>
              <w:bottom w:val="single" w:sz="8" w:space="0" w:color="0070C0"/>
              <w:right w:val="nil"/>
            </w:tcBorders>
            <w:shd w:val="clear" w:color="000000" w:fill="DCE6F1"/>
            <w:noWrap/>
            <w:vAlign w:val="center"/>
            <w:hideMark/>
          </w:tcPr>
          <w:p w14:paraId="386F52C8" w14:textId="77777777" w:rsidR="00D31F37" w:rsidRPr="0014208D" w:rsidRDefault="00D31F37" w:rsidP="00FE53D8">
            <w:pPr>
              <w:spacing w:before="0" w:line="240" w:lineRule="auto"/>
              <w:jc w:val="left"/>
              <w:rPr>
                <w:rFonts w:asciiTheme="majorHAnsi" w:hAnsiTheme="majorHAnsi" w:cstheme="majorHAnsi"/>
                <w:color w:val="203764"/>
                <w:sz w:val="14"/>
                <w:szCs w:val="14"/>
                <w:lang w:val="it-CH"/>
              </w:rPr>
            </w:pPr>
            <w:r w:rsidRPr="0014208D">
              <w:rPr>
                <w:rFonts w:asciiTheme="majorHAnsi" w:hAnsiTheme="majorHAnsi" w:cstheme="majorHAnsi"/>
                <w:color w:val="203764"/>
                <w:sz w:val="14"/>
                <w:szCs w:val="14"/>
                <w:lang w:val="it-CH"/>
              </w:rPr>
              <w:t>Të ardhura nga fondet speciale</w:t>
            </w:r>
          </w:p>
        </w:tc>
        <w:tc>
          <w:tcPr>
            <w:tcW w:w="304" w:type="pct"/>
            <w:tcBorders>
              <w:top w:val="nil"/>
              <w:left w:val="nil"/>
              <w:bottom w:val="single" w:sz="8" w:space="0" w:color="0070C0"/>
              <w:right w:val="nil"/>
            </w:tcBorders>
            <w:shd w:val="clear" w:color="000000" w:fill="FFFFFF"/>
            <w:noWrap/>
            <w:vAlign w:val="center"/>
            <w:hideMark/>
          </w:tcPr>
          <w:p w14:paraId="21C797A1"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110.9</w:t>
            </w:r>
          </w:p>
        </w:tc>
        <w:tc>
          <w:tcPr>
            <w:tcW w:w="283" w:type="pct"/>
            <w:tcBorders>
              <w:top w:val="nil"/>
              <w:left w:val="nil"/>
              <w:bottom w:val="single" w:sz="8" w:space="0" w:color="0070C0"/>
              <w:right w:val="nil"/>
            </w:tcBorders>
            <w:shd w:val="clear" w:color="000000" w:fill="FFFFFF"/>
            <w:noWrap/>
            <w:vAlign w:val="center"/>
            <w:hideMark/>
          </w:tcPr>
          <w:p w14:paraId="0110AE3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122.8</w:t>
            </w:r>
          </w:p>
        </w:tc>
        <w:tc>
          <w:tcPr>
            <w:tcW w:w="325" w:type="pct"/>
            <w:tcBorders>
              <w:top w:val="nil"/>
              <w:left w:val="nil"/>
              <w:bottom w:val="single" w:sz="8" w:space="0" w:color="0070C0"/>
              <w:right w:val="nil"/>
            </w:tcBorders>
            <w:shd w:val="clear" w:color="000000" w:fill="FFFFFF"/>
            <w:noWrap/>
            <w:vAlign w:val="center"/>
            <w:hideMark/>
          </w:tcPr>
          <w:p w14:paraId="77F84CB1"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144.5</w:t>
            </w:r>
          </w:p>
        </w:tc>
        <w:tc>
          <w:tcPr>
            <w:tcW w:w="305" w:type="pct"/>
            <w:tcBorders>
              <w:top w:val="nil"/>
              <w:left w:val="nil"/>
              <w:bottom w:val="single" w:sz="8" w:space="0" w:color="0070C0"/>
              <w:right w:val="nil"/>
            </w:tcBorders>
            <w:shd w:val="clear" w:color="000000" w:fill="FFFFFF"/>
            <w:noWrap/>
            <w:vAlign w:val="center"/>
            <w:hideMark/>
          </w:tcPr>
          <w:p w14:paraId="0BA324E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161.8</w:t>
            </w:r>
          </w:p>
        </w:tc>
        <w:tc>
          <w:tcPr>
            <w:tcW w:w="466" w:type="pct"/>
            <w:tcBorders>
              <w:top w:val="nil"/>
              <w:left w:val="nil"/>
              <w:bottom w:val="single" w:sz="8" w:space="0" w:color="0070C0"/>
              <w:right w:val="nil"/>
            </w:tcBorders>
            <w:shd w:val="clear" w:color="000000" w:fill="FFFFFF"/>
            <w:noWrap/>
            <w:vAlign w:val="center"/>
            <w:hideMark/>
          </w:tcPr>
          <w:p w14:paraId="0CCB8804"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112.0%</w:t>
            </w:r>
          </w:p>
        </w:tc>
        <w:tc>
          <w:tcPr>
            <w:tcW w:w="356" w:type="pct"/>
            <w:tcBorders>
              <w:top w:val="nil"/>
              <w:left w:val="nil"/>
              <w:bottom w:val="single" w:sz="8" w:space="0" w:color="0070C0"/>
              <w:right w:val="nil"/>
            </w:tcBorders>
            <w:shd w:val="clear" w:color="000000" w:fill="FFFFFF"/>
            <w:noWrap/>
            <w:vAlign w:val="center"/>
            <w:hideMark/>
          </w:tcPr>
          <w:p w14:paraId="772DA99D"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169.9</w:t>
            </w:r>
          </w:p>
        </w:tc>
        <w:tc>
          <w:tcPr>
            <w:tcW w:w="369" w:type="pct"/>
            <w:tcBorders>
              <w:top w:val="nil"/>
              <w:left w:val="nil"/>
              <w:bottom w:val="single" w:sz="8" w:space="0" w:color="0070C0"/>
              <w:right w:val="nil"/>
            </w:tcBorders>
            <w:shd w:val="clear" w:color="000000" w:fill="FFFFFF"/>
            <w:noWrap/>
            <w:vAlign w:val="center"/>
            <w:hideMark/>
          </w:tcPr>
          <w:p w14:paraId="2DD0D3A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177.7</w:t>
            </w:r>
          </w:p>
        </w:tc>
        <w:tc>
          <w:tcPr>
            <w:tcW w:w="285" w:type="pct"/>
            <w:tcBorders>
              <w:top w:val="nil"/>
              <w:left w:val="nil"/>
              <w:bottom w:val="single" w:sz="8" w:space="0" w:color="0070C0"/>
              <w:right w:val="nil"/>
            </w:tcBorders>
            <w:shd w:val="clear" w:color="000000" w:fill="FFFFFF"/>
            <w:noWrap/>
            <w:vAlign w:val="center"/>
            <w:hideMark/>
          </w:tcPr>
          <w:p w14:paraId="3F54DC54"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179.1</w:t>
            </w:r>
          </w:p>
        </w:tc>
        <w:tc>
          <w:tcPr>
            <w:tcW w:w="356" w:type="pct"/>
            <w:tcBorders>
              <w:top w:val="nil"/>
              <w:left w:val="nil"/>
              <w:bottom w:val="single" w:sz="8" w:space="0" w:color="0070C0"/>
              <w:right w:val="nil"/>
            </w:tcBorders>
            <w:shd w:val="clear" w:color="000000" w:fill="FFFFFF"/>
            <w:noWrap/>
            <w:vAlign w:val="center"/>
            <w:hideMark/>
          </w:tcPr>
          <w:p w14:paraId="35954581"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105.4%</w:t>
            </w:r>
          </w:p>
        </w:tc>
        <w:tc>
          <w:tcPr>
            <w:tcW w:w="391" w:type="pct"/>
            <w:tcBorders>
              <w:top w:val="nil"/>
              <w:left w:val="nil"/>
              <w:bottom w:val="single" w:sz="8" w:space="0" w:color="0070C0"/>
              <w:right w:val="nil"/>
            </w:tcBorders>
            <w:shd w:val="clear" w:color="000000" w:fill="FFFFFF"/>
            <w:noWrap/>
            <w:vAlign w:val="center"/>
            <w:hideMark/>
          </w:tcPr>
          <w:p w14:paraId="3A98282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100.8%</w:t>
            </w:r>
          </w:p>
        </w:tc>
        <w:tc>
          <w:tcPr>
            <w:tcW w:w="488" w:type="pct"/>
            <w:tcBorders>
              <w:top w:val="nil"/>
              <w:left w:val="nil"/>
              <w:bottom w:val="single" w:sz="8" w:space="0" w:color="0070C0"/>
              <w:right w:val="single" w:sz="8" w:space="0" w:color="0070C0"/>
            </w:tcBorders>
            <w:shd w:val="clear" w:color="000000" w:fill="FFFFFF"/>
            <w:noWrap/>
            <w:vAlign w:val="center"/>
            <w:hideMark/>
          </w:tcPr>
          <w:p w14:paraId="7A4A16AB"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110.7%</w:t>
            </w:r>
          </w:p>
        </w:tc>
      </w:tr>
      <w:tr w:rsidR="0014208D" w:rsidRPr="0014208D" w14:paraId="64E3C5A8" w14:textId="77777777" w:rsidTr="0014208D">
        <w:trPr>
          <w:trHeight w:val="251"/>
        </w:trPr>
        <w:tc>
          <w:tcPr>
            <w:tcW w:w="1071" w:type="pct"/>
            <w:tcBorders>
              <w:top w:val="nil"/>
              <w:left w:val="single" w:sz="8" w:space="0" w:color="0070C0"/>
              <w:bottom w:val="nil"/>
              <w:right w:val="nil"/>
            </w:tcBorders>
            <w:shd w:val="clear" w:color="000000" w:fill="DCE6F1"/>
            <w:noWrap/>
            <w:vAlign w:val="center"/>
            <w:hideMark/>
          </w:tcPr>
          <w:p w14:paraId="52ACBA85" w14:textId="77777777" w:rsidR="00D31F37" w:rsidRPr="0014208D" w:rsidRDefault="00D31F37" w:rsidP="00FE53D8">
            <w:pPr>
              <w:spacing w:before="0" w:line="240" w:lineRule="auto"/>
              <w:jc w:val="left"/>
              <w:rPr>
                <w:rFonts w:asciiTheme="majorHAnsi" w:hAnsiTheme="majorHAnsi" w:cstheme="majorHAnsi"/>
                <w:b/>
                <w:bCs/>
                <w:color w:val="203764"/>
                <w:sz w:val="14"/>
                <w:szCs w:val="14"/>
              </w:rPr>
            </w:pPr>
            <w:proofErr w:type="spellStart"/>
            <w:r w:rsidRPr="0014208D">
              <w:rPr>
                <w:rFonts w:asciiTheme="majorHAnsi" w:hAnsiTheme="majorHAnsi" w:cstheme="majorHAnsi"/>
                <w:b/>
                <w:bCs/>
                <w:color w:val="203764"/>
                <w:sz w:val="14"/>
                <w:szCs w:val="14"/>
              </w:rPr>
              <w:t>Të</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ardhura</w:t>
            </w:r>
            <w:proofErr w:type="spellEnd"/>
            <w:r w:rsidRPr="0014208D">
              <w:rPr>
                <w:rFonts w:asciiTheme="majorHAnsi" w:hAnsiTheme="majorHAnsi" w:cstheme="majorHAnsi"/>
                <w:b/>
                <w:bCs/>
                <w:color w:val="203764"/>
                <w:sz w:val="14"/>
                <w:szCs w:val="14"/>
              </w:rPr>
              <w:t xml:space="preserve"> </w:t>
            </w:r>
            <w:proofErr w:type="spellStart"/>
            <w:r w:rsidRPr="0014208D">
              <w:rPr>
                <w:rFonts w:asciiTheme="majorHAnsi" w:hAnsiTheme="majorHAnsi" w:cstheme="majorHAnsi"/>
                <w:b/>
                <w:bCs/>
                <w:color w:val="203764"/>
                <w:sz w:val="14"/>
                <w:szCs w:val="14"/>
              </w:rPr>
              <w:t>jotatimore</w:t>
            </w:r>
            <w:proofErr w:type="spellEnd"/>
          </w:p>
        </w:tc>
        <w:tc>
          <w:tcPr>
            <w:tcW w:w="304" w:type="pct"/>
            <w:tcBorders>
              <w:top w:val="nil"/>
              <w:left w:val="nil"/>
              <w:bottom w:val="nil"/>
              <w:right w:val="nil"/>
            </w:tcBorders>
            <w:shd w:val="clear" w:color="000000" w:fill="FFFFFF"/>
            <w:noWrap/>
            <w:vAlign w:val="center"/>
            <w:hideMark/>
          </w:tcPr>
          <w:p w14:paraId="477C72A8"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22.3</w:t>
            </w:r>
          </w:p>
        </w:tc>
        <w:tc>
          <w:tcPr>
            <w:tcW w:w="283" w:type="pct"/>
            <w:tcBorders>
              <w:top w:val="nil"/>
              <w:left w:val="nil"/>
              <w:bottom w:val="nil"/>
              <w:right w:val="nil"/>
            </w:tcBorders>
            <w:shd w:val="clear" w:color="000000" w:fill="FFFFFF"/>
            <w:noWrap/>
            <w:vAlign w:val="center"/>
            <w:hideMark/>
          </w:tcPr>
          <w:p w14:paraId="0C4777EB"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21.9</w:t>
            </w:r>
          </w:p>
        </w:tc>
        <w:tc>
          <w:tcPr>
            <w:tcW w:w="325" w:type="pct"/>
            <w:tcBorders>
              <w:top w:val="nil"/>
              <w:left w:val="nil"/>
              <w:bottom w:val="nil"/>
              <w:right w:val="nil"/>
            </w:tcBorders>
            <w:shd w:val="clear" w:color="000000" w:fill="FFFFFF"/>
            <w:noWrap/>
            <w:vAlign w:val="center"/>
            <w:hideMark/>
          </w:tcPr>
          <w:p w14:paraId="2CD02087"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22.6</w:t>
            </w:r>
          </w:p>
        </w:tc>
        <w:tc>
          <w:tcPr>
            <w:tcW w:w="305" w:type="pct"/>
            <w:tcBorders>
              <w:top w:val="nil"/>
              <w:left w:val="nil"/>
              <w:bottom w:val="nil"/>
              <w:right w:val="nil"/>
            </w:tcBorders>
            <w:shd w:val="clear" w:color="000000" w:fill="FFFFFF"/>
            <w:noWrap/>
            <w:vAlign w:val="center"/>
            <w:hideMark/>
          </w:tcPr>
          <w:p w14:paraId="477CB0B0"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43.7</w:t>
            </w:r>
          </w:p>
        </w:tc>
        <w:tc>
          <w:tcPr>
            <w:tcW w:w="466" w:type="pct"/>
            <w:tcBorders>
              <w:top w:val="nil"/>
              <w:left w:val="nil"/>
              <w:bottom w:val="nil"/>
              <w:right w:val="nil"/>
            </w:tcBorders>
            <w:shd w:val="clear" w:color="000000" w:fill="FFFFFF"/>
            <w:noWrap/>
            <w:vAlign w:val="center"/>
            <w:hideMark/>
          </w:tcPr>
          <w:p w14:paraId="15931B05"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193.5%</w:t>
            </w:r>
          </w:p>
        </w:tc>
        <w:tc>
          <w:tcPr>
            <w:tcW w:w="356" w:type="pct"/>
            <w:tcBorders>
              <w:top w:val="nil"/>
              <w:left w:val="nil"/>
              <w:bottom w:val="nil"/>
              <w:right w:val="nil"/>
            </w:tcBorders>
            <w:shd w:val="clear" w:color="000000" w:fill="FFFFFF"/>
            <w:noWrap/>
            <w:vAlign w:val="center"/>
            <w:hideMark/>
          </w:tcPr>
          <w:p w14:paraId="47804271"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25.8</w:t>
            </w:r>
          </w:p>
        </w:tc>
        <w:tc>
          <w:tcPr>
            <w:tcW w:w="369" w:type="pct"/>
            <w:tcBorders>
              <w:top w:val="nil"/>
              <w:left w:val="nil"/>
              <w:bottom w:val="nil"/>
              <w:right w:val="nil"/>
            </w:tcBorders>
            <w:shd w:val="clear" w:color="000000" w:fill="FFFFFF"/>
            <w:noWrap/>
            <w:vAlign w:val="center"/>
            <w:hideMark/>
          </w:tcPr>
          <w:p w14:paraId="1E81C8A9"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31.7</w:t>
            </w:r>
          </w:p>
        </w:tc>
        <w:tc>
          <w:tcPr>
            <w:tcW w:w="285" w:type="pct"/>
            <w:tcBorders>
              <w:top w:val="nil"/>
              <w:left w:val="nil"/>
              <w:bottom w:val="nil"/>
              <w:right w:val="nil"/>
            </w:tcBorders>
            <w:shd w:val="clear" w:color="000000" w:fill="FFFFFF"/>
            <w:noWrap/>
            <w:vAlign w:val="center"/>
            <w:hideMark/>
          </w:tcPr>
          <w:p w14:paraId="73FBCC8A" w14:textId="77777777" w:rsidR="00D31F37" w:rsidRPr="0014208D" w:rsidRDefault="00D31F37" w:rsidP="00FE53D8">
            <w:pPr>
              <w:spacing w:before="0" w:line="240" w:lineRule="auto"/>
              <w:jc w:val="center"/>
              <w:rPr>
                <w:rFonts w:asciiTheme="majorHAnsi" w:hAnsiTheme="majorHAnsi" w:cstheme="majorHAnsi"/>
                <w:color w:val="203764"/>
                <w:sz w:val="14"/>
                <w:szCs w:val="14"/>
              </w:rPr>
            </w:pPr>
            <w:r w:rsidRPr="0014208D">
              <w:rPr>
                <w:rFonts w:asciiTheme="majorHAnsi" w:hAnsiTheme="majorHAnsi" w:cstheme="majorHAnsi"/>
                <w:color w:val="203764"/>
                <w:sz w:val="14"/>
                <w:szCs w:val="14"/>
              </w:rPr>
              <w:t>30.9</w:t>
            </w:r>
          </w:p>
        </w:tc>
        <w:tc>
          <w:tcPr>
            <w:tcW w:w="356" w:type="pct"/>
            <w:tcBorders>
              <w:top w:val="nil"/>
              <w:left w:val="nil"/>
              <w:bottom w:val="nil"/>
              <w:right w:val="nil"/>
            </w:tcBorders>
            <w:shd w:val="clear" w:color="000000" w:fill="FFFFFF"/>
            <w:noWrap/>
            <w:vAlign w:val="center"/>
            <w:hideMark/>
          </w:tcPr>
          <w:p w14:paraId="1DE2BF79"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119.9%</w:t>
            </w:r>
          </w:p>
        </w:tc>
        <w:tc>
          <w:tcPr>
            <w:tcW w:w="391" w:type="pct"/>
            <w:tcBorders>
              <w:top w:val="nil"/>
              <w:left w:val="nil"/>
              <w:bottom w:val="nil"/>
              <w:right w:val="nil"/>
            </w:tcBorders>
            <w:shd w:val="clear" w:color="000000" w:fill="FFFFFF"/>
            <w:noWrap/>
            <w:vAlign w:val="center"/>
            <w:hideMark/>
          </w:tcPr>
          <w:p w14:paraId="1ED849D2"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97.5%</w:t>
            </w:r>
          </w:p>
        </w:tc>
        <w:tc>
          <w:tcPr>
            <w:tcW w:w="488" w:type="pct"/>
            <w:tcBorders>
              <w:top w:val="nil"/>
              <w:left w:val="nil"/>
              <w:bottom w:val="nil"/>
              <w:right w:val="single" w:sz="8" w:space="0" w:color="0070C0"/>
            </w:tcBorders>
            <w:shd w:val="clear" w:color="000000" w:fill="FFFFFF"/>
            <w:noWrap/>
            <w:vAlign w:val="center"/>
            <w:hideMark/>
          </w:tcPr>
          <w:p w14:paraId="6A94ADFD"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70.8%</w:t>
            </w:r>
          </w:p>
        </w:tc>
      </w:tr>
      <w:tr w:rsidR="0014208D" w:rsidRPr="0014208D" w14:paraId="31456551" w14:textId="77777777" w:rsidTr="0014208D">
        <w:trPr>
          <w:trHeight w:val="251"/>
        </w:trPr>
        <w:tc>
          <w:tcPr>
            <w:tcW w:w="1071" w:type="pct"/>
            <w:tcBorders>
              <w:top w:val="single" w:sz="8" w:space="0" w:color="0070C0"/>
              <w:left w:val="single" w:sz="8" w:space="0" w:color="0070C0"/>
              <w:bottom w:val="single" w:sz="8" w:space="0" w:color="0070C0"/>
              <w:right w:val="nil"/>
            </w:tcBorders>
            <w:shd w:val="clear" w:color="000000" w:fill="D6DCE4"/>
            <w:noWrap/>
            <w:vAlign w:val="center"/>
            <w:hideMark/>
          </w:tcPr>
          <w:p w14:paraId="1122BCD0" w14:textId="77777777" w:rsidR="00D31F37" w:rsidRPr="0014208D" w:rsidRDefault="00D31F37" w:rsidP="00FE53D8">
            <w:pPr>
              <w:spacing w:before="0" w:line="240" w:lineRule="auto"/>
              <w:jc w:val="left"/>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TOTALI I TË ARDHURAVE</w:t>
            </w:r>
          </w:p>
        </w:tc>
        <w:tc>
          <w:tcPr>
            <w:tcW w:w="304" w:type="pct"/>
            <w:tcBorders>
              <w:top w:val="single" w:sz="8" w:space="0" w:color="0070C0"/>
              <w:left w:val="nil"/>
              <w:bottom w:val="single" w:sz="8" w:space="0" w:color="0070C0"/>
              <w:right w:val="nil"/>
            </w:tcBorders>
            <w:shd w:val="clear" w:color="000000" w:fill="D6DCE4"/>
            <w:noWrap/>
            <w:vAlign w:val="center"/>
            <w:hideMark/>
          </w:tcPr>
          <w:p w14:paraId="7CB237EC"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511.0</w:t>
            </w:r>
          </w:p>
        </w:tc>
        <w:tc>
          <w:tcPr>
            <w:tcW w:w="283" w:type="pct"/>
            <w:tcBorders>
              <w:top w:val="single" w:sz="8" w:space="0" w:color="0070C0"/>
              <w:left w:val="nil"/>
              <w:bottom w:val="single" w:sz="8" w:space="0" w:color="0070C0"/>
              <w:right w:val="nil"/>
            </w:tcBorders>
            <w:shd w:val="clear" w:color="000000" w:fill="D6DCE4"/>
            <w:noWrap/>
            <w:vAlign w:val="center"/>
            <w:hideMark/>
          </w:tcPr>
          <w:p w14:paraId="5C185A0F"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572.8</w:t>
            </w:r>
          </w:p>
        </w:tc>
        <w:tc>
          <w:tcPr>
            <w:tcW w:w="325" w:type="pct"/>
            <w:tcBorders>
              <w:top w:val="single" w:sz="8" w:space="0" w:color="0070C0"/>
              <w:left w:val="nil"/>
              <w:bottom w:val="single" w:sz="8" w:space="0" w:color="0070C0"/>
              <w:right w:val="nil"/>
            </w:tcBorders>
            <w:shd w:val="clear" w:color="000000" w:fill="D6DCE4"/>
            <w:noWrap/>
            <w:vAlign w:val="center"/>
            <w:hideMark/>
          </w:tcPr>
          <w:p w14:paraId="2D43DF12"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643.7</w:t>
            </w:r>
          </w:p>
        </w:tc>
        <w:tc>
          <w:tcPr>
            <w:tcW w:w="305" w:type="pct"/>
            <w:tcBorders>
              <w:top w:val="single" w:sz="8" w:space="0" w:color="0070C0"/>
              <w:left w:val="nil"/>
              <w:bottom w:val="single" w:sz="8" w:space="0" w:color="0070C0"/>
              <w:right w:val="nil"/>
            </w:tcBorders>
            <w:shd w:val="clear" w:color="000000" w:fill="D6DCE4"/>
            <w:noWrap/>
            <w:vAlign w:val="center"/>
            <w:hideMark/>
          </w:tcPr>
          <w:p w14:paraId="1FD1856A"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710.6</w:t>
            </w:r>
          </w:p>
        </w:tc>
        <w:tc>
          <w:tcPr>
            <w:tcW w:w="466" w:type="pct"/>
            <w:tcBorders>
              <w:top w:val="single" w:sz="8" w:space="0" w:color="0070C0"/>
              <w:left w:val="nil"/>
              <w:bottom w:val="single" w:sz="8" w:space="0" w:color="0070C0"/>
              <w:right w:val="nil"/>
            </w:tcBorders>
            <w:shd w:val="clear" w:color="000000" w:fill="D6DCE4"/>
            <w:noWrap/>
            <w:vAlign w:val="center"/>
            <w:hideMark/>
          </w:tcPr>
          <w:p w14:paraId="43F7FF1C"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110.4%</w:t>
            </w:r>
          </w:p>
        </w:tc>
        <w:tc>
          <w:tcPr>
            <w:tcW w:w="356" w:type="pct"/>
            <w:tcBorders>
              <w:top w:val="single" w:sz="8" w:space="0" w:color="0070C0"/>
              <w:left w:val="nil"/>
              <w:bottom w:val="single" w:sz="8" w:space="0" w:color="0070C0"/>
              <w:right w:val="nil"/>
            </w:tcBorders>
            <w:shd w:val="clear" w:color="000000" w:fill="D6DCE4"/>
            <w:noWrap/>
            <w:vAlign w:val="center"/>
            <w:hideMark/>
          </w:tcPr>
          <w:p w14:paraId="1C02B994"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757.0</w:t>
            </w:r>
          </w:p>
        </w:tc>
        <w:tc>
          <w:tcPr>
            <w:tcW w:w="369" w:type="pct"/>
            <w:tcBorders>
              <w:top w:val="single" w:sz="8" w:space="0" w:color="0070C0"/>
              <w:left w:val="nil"/>
              <w:bottom w:val="single" w:sz="8" w:space="0" w:color="0070C0"/>
              <w:right w:val="nil"/>
            </w:tcBorders>
            <w:shd w:val="clear" w:color="000000" w:fill="D6DCE4"/>
            <w:noWrap/>
            <w:vAlign w:val="center"/>
            <w:hideMark/>
          </w:tcPr>
          <w:p w14:paraId="2F962587"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770.1</w:t>
            </w:r>
          </w:p>
        </w:tc>
        <w:tc>
          <w:tcPr>
            <w:tcW w:w="285" w:type="pct"/>
            <w:tcBorders>
              <w:top w:val="single" w:sz="8" w:space="0" w:color="0070C0"/>
              <w:left w:val="nil"/>
              <w:bottom w:val="single" w:sz="8" w:space="0" w:color="0070C0"/>
              <w:right w:val="nil"/>
            </w:tcBorders>
            <w:shd w:val="clear" w:color="000000" w:fill="D6DCE4"/>
            <w:noWrap/>
            <w:vAlign w:val="center"/>
            <w:hideMark/>
          </w:tcPr>
          <w:p w14:paraId="2E2A7FD0"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754.6</w:t>
            </w:r>
          </w:p>
        </w:tc>
        <w:tc>
          <w:tcPr>
            <w:tcW w:w="356" w:type="pct"/>
            <w:tcBorders>
              <w:top w:val="single" w:sz="8" w:space="0" w:color="0070C0"/>
              <w:left w:val="nil"/>
              <w:bottom w:val="single" w:sz="8" w:space="0" w:color="0070C0"/>
              <w:right w:val="nil"/>
            </w:tcBorders>
            <w:shd w:val="clear" w:color="000000" w:fill="D6DCE4"/>
            <w:noWrap/>
            <w:vAlign w:val="center"/>
            <w:hideMark/>
          </w:tcPr>
          <w:p w14:paraId="2F762B40"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99.7%</w:t>
            </w:r>
          </w:p>
        </w:tc>
        <w:tc>
          <w:tcPr>
            <w:tcW w:w="391" w:type="pct"/>
            <w:tcBorders>
              <w:top w:val="single" w:sz="8" w:space="0" w:color="0070C0"/>
              <w:left w:val="nil"/>
              <w:bottom w:val="single" w:sz="8" w:space="0" w:color="0070C0"/>
              <w:right w:val="nil"/>
            </w:tcBorders>
            <w:shd w:val="clear" w:color="000000" w:fill="D6DCE4"/>
            <w:noWrap/>
            <w:vAlign w:val="center"/>
            <w:hideMark/>
          </w:tcPr>
          <w:p w14:paraId="6366042C"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98.0%</w:t>
            </w:r>
          </w:p>
        </w:tc>
        <w:tc>
          <w:tcPr>
            <w:tcW w:w="488" w:type="pct"/>
            <w:tcBorders>
              <w:top w:val="single" w:sz="8" w:space="0" w:color="0070C0"/>
              <w:left w:val="nil"/>
              <w:bottom w:val="single" w:sz="8" w:space="0" w:color="0070C0"/>
              <w:right w:val="single" w:sz="8" w:space="0" w:color="0070C0"/>
            </w:tcBorders>
            <w:shd w:val="clear" w:color="000000" w:fill="D6DCE4"/>
            <w:noWrap/>
            <w:vAlign w:val="center"/>
            <w:hideMark/>
          </w:tcPr>
          <w:p w14:paraId="5BBB0897" w14:textId="77777777" w:rsidR="00D31F37" w:rsidRPr="0014208D" w:rsidRDefault="00D31F37" w:rsidP="00FE53D8">
            <w:pPr>
              <w:spacing w:before="0" w:line="240" w:lineRule="auto"/>
              <w:jc w:val="center"/>
              <w:rPr>
                <w:rFonts w:asciiTheme="majorHAnsi" w:hAnsiTheme="majorHAnsi" w:cstheme="majorHAnsi"/>
                <w:b/>
                <w:bCs/>
                <w:color w:val="203764"/>
                <w:sz w:val="14"/>
                <w:szCs w:val="14"/>
              </w:rPr>
            </w:pPr>
            <w:r w:rsidRPr="0014208D">
              <w:rPr>
                <w:rFonts w:asciiTheme="majorHAnsi" w:hAnsiTheme="majorHAnsi" w:cstheme="majorHAnsi"/>
                <w:b/>
                <w:bCs/>
                <w:color w:val="203764"/>
                <w:sz w:val="14"/>
                <w:szCs w:val="14"/>
              </w:rPr>
              <w:t>106.2%</w:t>
            </w:r>
          </w:p>
        </w:tc>
      </w:tr>
    </w:tbl>
    <w:p w14:paraId="4E4CB3CF" w14:textId="77777777" w:rsidR="00D31F37" w:rsidRPr="00516127" w:rsidRDefault="00D31F37" w:rsidP="00D31F37">
      <w:pPr>
        <w:spacing w:before="0" w:line="360" w:lineRule="auto"/>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bookmarkEnd w:id="52"/>
    </w:p>
    <w:p w14:paraId="6F9AEECD" w14:textId="11D44E5F" w:rsidR="00D31F37" w:rsidRPr="00516127" w:rsidRDefault="00D31F37" w:rsidP="00D31F37">
      <w:pPr>
        <w:pStyle w:val="Caption"/>
        <w:jc w:val="left"/>
        <w:rPr>
          <w:rFonts w:asciiTheme="majorHAnsi" w:hAnsiTheme="majorHAnsi" w:cstheme="majorHAnsi"/>
          <w:noProof/>
          <w:lang w:val="sq-AL"/>
        </w:rPr>
      </w:pPr>
      <w:bookmarkStart w:id="53" w:name="_Toc229130021"/>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4</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ardhurat e përgjithshme në</w:t>
      </w:r>
      <w:r w:rsidR="0056260B">
        <w:rPr>
          <w:rFonts w:asciiTheme="majorHAnsi" w:hAnsiTheme="majorHAnsi" w:cstheme="majorHAnsi"/>
          <w:noProof/>
          <w:lang w:val="sq-AL"/>
        </w:rPr>
        <w:t xml:space="preserve"> </w:t>
      </w:r>
      <w:r w:rsidRPr="00516127">
        <w:rPr>
          <w:rFonts w:asciiTheme="majorHAnsi" w:hAnsiTheme="majorHAnsi" w:cstheme="majorHAnsi"/>
          <w:noProof/>
          <w:lang w:val="sq-AL"/>
        </w:rPr>
        <w:t>% ndaj totalit sipas kategorive kryesore</w:t>
      </w:r>
      <w:bookmarkEnd w:id="53"/>
    </w:p>
    <w:p w14:paraId="25C8302D" w14:textId="77777777" w:rsidR="00D31F37" w:rsidRPr="00516127" w:rsidRDefault="00D31F37" w:rsidP="00D31F37">
      <w:pPr>
        <w:spacing w:before="0"/>
        <w:jc w:val="center"/>
        <w:rPr>
          <w:rFonts w:asciiTheme="majorHAnsi" w:hAnsiTheme="majorHAnsi" w:cstheme="majorHAnsi"/>
          <w:i/>
          <w:noProof/>
          <w:sz w:val="18"/>
          <w:szCs w:val="18"/>
          <w:lang w:val="sq-AL"/>
        </w:rPr>
      </w:pPr>
      <w:r w:rsidRPr="00516127">
        <w:rPr>
          <w:rFonts w:asciiTheme="majorHAnsi" w:hAnsiTheme="majorHAnsi" w:cstheme="majorHAnsi"/>
          <w:noProof/>
        </w:rPr>
        <w:drawing>
          <wp:inline distT="0" distB="0" distL="0" distR="0" wp14:anchorId="46DD2BA9" wp14:editId="0F48DF64">
            <wp:extent cx="5382895" cy="2406700"/>
            <wp:effectExtent l="0" t="0" r="8255" b="12700"/>
            <wp:docPr id="476089090"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ECF203" w14:textId="77777777" w:rsidR="00D31F37" w:rsidRPr="00516127" w:rsidRDefault="00D31F37" w:rsidP="0014208D">
      <w:pPr>
        <w:spacing w:before="0" w:line="360" w:lineRule="auto"/>
        <w:ind w:left="720"/>
        <w:jc w:val="left"/>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1C0D1164" w14:textId="77777777" w:rsidR="00D31F37" w:rsidRPr="00516127" w:rsidRDefault="00D31F37" w:rsidP="00D31F37">
      <w:pPr>
        <w:spacing w:before="0"/>
        <w:ind w:firstLine="720"/>
        <w:jc w:val="left"/>
        <w:rPr>
          <w:rFonts w:asciiTheme="majorHAnsi" w:hAnsiTheme="majorHAnsi" w:cstheme="majorHAnsi"/>
          <w:i/>
          <w:noProof/>
          <w:sz w:val="8"/>
          <w:szCs w:val="18"/>
          <w:lang w:val="sq-AL"/>
        </w:rPr>
      </w:pPr>
    </w:p>
    <w:p w14:paraId="3C60FAED" w14:textId="77777777" w:rsidR="00D31F37" w:rsidRPr="00760B09" w:rsidRDefault="00D31F37" w:rsidP="00760B09">
      <w:pPr>
        <w:pStyle w:val="Heading3"/>
        <w:rPr>
          <w:i/>
          <w:iCs/>
        </w:rPr>
      </w:pPr>
      <w:bookmarkStart w:id="54" w:name="_Toc10033268"/>
      <w:bookmarkStart w:id="55" w:name="_Toc10721405"/>
      <w:bookmarkStart w:id="56" w:name="_Toc229390807"/>
      <w:proofErr w:type="spellStart"/>
      <w:r w:rsidRPr="00760B09">
        <w:rPr>
          <w:i/>
          <w:iCs/>
        </w:rPr>
        <w:lastRenderedPageBreak/>
        <w:t>Të</w:t>
      </w:r>
      <w:proofErr w:type="spellEnd"/>
      <w:r w:rsidRPr="00760B09">
        <w:rPr>
          <w:i/>
          <w:iCs/>
        </w:rPr>
        <w:t xml:space="preserve"> </w:t>
      </w:r>
      <w:proofErr w:type="spellStart"/>
      <w:r w:rsidRPr="00760B09">
        <w:rPr>
          <w:i/>
          <w:iCs/>
        </w:rPr>
        <w:t>ardhurat</w:t>
      </w:r>
      <w:proofErr w:type="spellEnd"/>
      <w:r w:rsidRPr="00760B09">
        <w:rPr>
          <w:i/>
          <w:iCs/>
        </w:rPr>
        <w:t xml:space="preserve"> </w:t>
      </w:r>
      <w:proofErr w:type="spellStart"/>
      <w:r w:rsidRPr="00760B09">
        <w:rPr>
          <w:i/>
          <w:iCs/>
        </w:rPr>
        <w:t>nga</w:t>
      </w:r>
      <w:proofErr w:type="spellEnd"/>
      <w:r w:rsidRPr="00760B09">
        <w:rPr>
          <w:i/>
          <w:iCs/>
        </w:rPr>
        <w:t xml:space="preserve"> </w:t>
      </w:r>
      <w:proofErr w:type="spellStart"/>
      <w:r w:rsidRPr="00760B09">
        <w:rPr>
          <w:i/>
          <w:iCs/>
        </w:rPr>
        <w:t>ndihmat</w:t>
      </w:r>
      <w:bookmarkEnd w:id="54"/>
      <w:bookmarkEnd w:id="55"/>
      <w:bookmarkEnd w:id="56"/>
      <w:proofErr w:type="spellEnd"/>
    </w:p>
    <w:p w14:paraId="6F872884" w14:textId="5CB08E73" w:rsidR="00D31F37" w:rsidRPr="00516127" w:rsidRDefault="00D31F37" w:rsidP="00D31F37">
      <w:pPr>
        <w:spacing w:before="0" w:line="240" w:lineRule="auto"/>
        <w:rPr>
          <w:rFonts w:asciiTheme="majorHAnsi" w:hAnsiTheme="majorHAnsi" w:cstheme="majorHAnsi"/>
          <w:noProof/>
          <w:lang w:val="sq-AL"/>
        </w:rPr>
      </w:pPr>
      <w:r w:rsidRPr="00516127">
        <w:rPr>
          <w:rFonts w:asciiTheme="majorHAnsi" w:hAnsiTheme="majorHAnsi" w:cstheme="majorHAnsi"/>
          <w:noProof/>
          <w:lang w:val="sq-AL"/>
        </w:rPr>
        <w:t xml:space="preserve">Të ardhurat nga ndihmat për periudhën Janar-Dhjetor 2025 janë 7.4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nga 7.8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të një viti më parë, me një rënie në masën -5.3% ose -0.4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dhe me realizim ndaj planit të rishikuar në masën 36.4%. </w:t>
      </w:r>
    </w:p>
    <w:p w14:paraId="2F2A48AA" w14:textId="77777777" w:rsidR="00D31F37" w:rsidRPr="00516127" w:rsidRDefault="00D31F37" w:rsidP="00D31F37">
      <w:pPr>
        <w:spacing w:before="0"/>
        <w:rPr>
          <w:rFonts w:asciiTheme="majorHAnsi" w:hAnsiTheme="majorHAnsi" w:cstheme="majorHAnsi"/>
          <w:noProof/>
          <w:sz w:val="8"/>
          <w:lang w:val="sq-AL"/>
        </w:rPr>
      </w:pPr>
    </w:p>
    <w:p w14:paraId="04326D37" w14:textId="77777777" w:rsidR="00D31F37" w:rsidRPr="00760B09" w:rsidRDefault="00D31F37" w:rsidP="00760B09">
      <w:pPr>
        <w:pStyle w:val="Heading3"/>
        <w:rPr>
          <w:i/>
          <w:iCs/>
        </w:rPr>
      </w:pPr>
      <w:bookmarkStart w:id="57" w:name="_Toc10033269"/>
      <w:bookmarkStart w:id="58" w:name="_Toc10721406"/>
      <w:bookmarkStart w:id="59" w:name="_Toc229390808"/>
      <w:proofErr w:type="spellStart"/>
      <w:r w:rsidRPr="00760B09">
        <w:rPr>
          <w:i/>
          <w:iCs/>
        </w:rPr>
        <w:t>Të</w:t>
      </w:r>
      <w:proofErr w:type="spellEnd"/>
      <w:r w:rsidRPr="00760B09">
        <w:rPr>
          <w:i/>
          <w:iCs/>
        </w:rPr>
        <w:t xml:space="preserve"> </w:t>
      </w:r>
      <w:proofErr w:type="spellStart"/>
      <w:r w:rsidRPr="00760B09">
        <w:rPr>
          <w:i/>
          <w:iCs/>
        </w:rPr>
        <w:t>ardhurat</w:t>
      </w:r>
      <w:proofErr w:type="spellEnd"/>
      <w:r w:rsidRPr="00760B09">
        <w:rPr>
          <w:i/>
          <w:iCs/>
        </w:rPr>
        <w:t xml:space="preserve"> </w:t>
      </w:r>
      <w:proofErr w:type="spellStart"/>
      <w:r w:rsidRPr="00760B09">
        <w:rPr>
          <w:i/>
          <w:iCs/>
        </w:rPr>
        <w:t>tatimore</w:t>
      </w:r>
      <w:bookmarkEnd w:id="57"/>
      <w:bookmarkEnd w:id="58"/>
      <w:bookmarkEnd w:id="59"/>
      <w:proofErr w:type="spellEnd"/>
    </w:p>
    <w:p w14:paraId="1D948716" w14:textId="6B233E8C" w:rsidR="00D31F37" w:rsidRPr="00516127" w:rsidRDefault="00D31F37" w:rsidP="00D31F37">
      <w:pPr>
        <w:spacing w:before="0" w:line="240" w:lineRule="auto"/>
        <w:rPr>
          <w:rFonts w:asciiTheme="majorHAnsi" w:hAnsiTheme="majorHAnsi" w:cstheme="majorHAnsi"/>
          <w:noProof/>
          <w:lang w:val="sq-AL"/>
        </w:rPr>
      </w:pPr>
      <w:r w:rsidRPr="00516127">
        <w:rPr>
          <w:rFonts w:asciiTheme="majorHAnsi" w:hAnsiTheme="majorHAnsi" w:cstheme="majorHAnsi"/>
          <w:noProof/>
          <w:lang w:val="sq-AL"/>
        </w:rPr>
        <w:t xml:space="preserve">Të ardhurat tatimore, ku përfshihen të ardhurat nga tatimet dhe doganat, të ardhurat nga pushteti vendor si dhe të ardhurat nga fondet speciale, për periudhën 12 mujore arritën në vlerën 716.3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me një realizim ndaj planit vjetor të rishikuar në masën 99.7% ose -1.8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pak, krahasuar me një vit më parë 57.2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ose 8.7 % më shumë. </w:t>
      </w:r>
    </w:p>
    <w:p w14:paraId="660F21FE" w14:textId="77777777" w:rsidR="00D31F37" w:rsidRPr="00516127" w:rsidRDefault="00D31F37" w:rsidP="00D31F37">
      <w:pPr>
        <w:spacing w:before="0" w:line="240" w:lineRule="auto"/>
        <w:rPr>
          <w:rFonts w:asciiTheme="majorHAnsi" w:hAnsiTheme="majorHAnsi" w:cstheme="majorHAnsi"/>
          <w:noProof/>
          <w:sz w:val="12"/>
          <w:szCs w:val="14"/>
          <w:lang w:val="sq-AL"/>
        </w:rPr>
      </w:pPr>
    </w:p>
    <w:p w14:paraId="6D9806A8" w14:textId="77777777" w:rsidR="00D31F37" w:rsidRPr="00760B09" w:rsidRDefault="00D31F37" w:rsidP="00760B09">
      <w:pPr>
        <w:pStyle w:val="Heading3"/>
        <w:rPr>
          <w:i/>
          <w:iCs/>
        </w:rPr>
      </w:pPr>
      <w:bookmarkStart w:id="60" w:name="_Toc10033270"/>
      <w:bookmarkStart w:id="61" w:name="_Toc10721407"/>
      <w:bookmarkStart w:id="62" w:name="_Toc229390809"/>
      <w:proofErr w:type="spellStart"/>
      <w:r w:rsidRPr="00760B09">
        <w:rPr>
          <w:i/>
          <w:iCs/>
        </w:rPr>
        <w:t>Të</w:t>
      </w:r>
      <w:proofErr w:type="spellEnd"/>
      <w:r w:rsidRPr="00760B09">
        <w:rPr>
          <w:i/>
          <w:iCs/>
        </w:rPr>
        <w:t xml:space="preserve"> </w:t>
      </w:r>
      <w:proofErr w:type="spellStart"/>
      <w:r w:rsidRPr="00760B09">
        <w:rPr>
          <w:i/>
          <w:iCs/>
        </w:rPr>
        <w:t>ardhurat</w:t>
      </w:r>
      <w:proofErr w:type="spellEnd"/>
      <w:r w:rsidRPr="00760B09">
        <w:rPr>
          <w:i/>
          <w:iCs/>
        </w:rPr>
        <w:t xml:space="preserve"> </w:t>
      </w:r>
      <w:proofErr w:type="spellStart"/>
      <w:r w:rsidRPr="00760B09">
        <w:rPr>
          <w:i/>
          <w:iCs/>
        </w:rPr>
        <w:t>nga</w:t>
      </w:r>
      <w:proofErr w:type="spellEnd"/>
      <w:r w:rsidRPr="00760B09">
        <w:rPr>
          <w:i/>
          <w:iCs/>
        </w:rPr>
        <w:t xml:space="preserve"> </w:t>
      </w:r>
      <w:proofErr w:type="spellStart"/>
      <w:r w:rsidRPr="00760B09">
        <w:rPr>
          <w:i/>
          <w:iCs/>
        </w:rPr>
        <w:t>pushteti</w:t>
      </w:r>
      <w:proofErr w:type="spellEnd"/>
      <w:r w:rsidRPr="00760B09">
        <w:rPr>
          <w:i/>
          <w:iCs/>
        </w:rPr>
        <w:t xml:space="preserve"> vendor</w:t>
      </w:r>
      <w:bookmarkStart w:id="63" w:name="_Hlk135830408"/>
      <w:bookmarkEnd w:id="60"/>
      <w:bookmarkEnd w:id="61"/>
      <w:bookmarkEnd w:id="62"/>
    </w:p>
    <w:p w14:paraId="7C443EC2" w14:textId="4D2E0EFE" w:rsidR="00D31F37" w:rsidRPr="00516127" w:rsidRDefault="0035122C" w:rsidP="00D31F37">
      <w:pPr>
        <w:spacing w:before="0" w:line="240" w:lineRule="auto"/>
        <w:rPr>
          <w:rFonts w:asciiTheme="majorHAnsi" w:hAnsiTheme="majorHAnsi" w:cstheme="majorHAnsi"/>
          <w:noProof/>
          <w:lang w:val="sq-AL"/>
        </w:rPr>
      </w:pPr>
      <w:r w:rsidRPr="00516127">
        <w:rPr>
          <w:rFonts w:asciiTheme="majorHAnsi" w:hAnsiTheme="majorHAnsi" w:cstheme="majorHAnsi"/>
          <w:noProof/>
          <w:lang w:val="sq-AL"/>
        </w:rPr>
        <w:t>Për vitin 202</w:t>
      </w:r>
      <w:r>
        <w:rPr>
          <w:rFonts w:asciiTheme="majorHAnsi" w:hAnsiTheme="majorHAnsi" w:cstheme="majorHAnsi"/>
          <w:noProof/>
          <w:lang w:val="sq-AL"/>
        </w:rPr>
        <w:t>5</w:t>
      </w:r>
      <w:r w:rsidRPr="00516127">
        <w:rPr>
          <w:rFonts w:asciiTheme="majorHAnsi" w:hAnsiTheme="majorHAnsi" w:cstheme="majorHAnsi"/>
          <w:noProof/>
          <w:lang w:val="sq-AL"/>
        </w:rPr>
        <w:t xml:space="preserve">, NJVQV në shkallë kombëtare kanë mbledhur të ardhura tatimore në masën 40 </w:t>
      </w:r>
      <w:r>
        <w:rPr>
          <w:rFonts w:asciiTheme="majorHAnsi" w:hAnsiTheme="majorHAnsi" w:cstheme="majorHAnsi"/>
          <w:noProof/>
          <w:lang w:val="sq-AL"/>
        </w:rPr>
        <w:t>911</w:t>
      </w:r>
      <w:r w:rsidRPr="00516127">
        <w:rPr>
          <w:rFonts w:asciiTheme="majorHAnsi" w:hAnsiTheme="majorHAnsi" w:cstheme="majorHAnsi"/>
          <w:noProof/>
          <w:lang w:val="sq-AL"/>
        </w:rPr>
        <w:t xml:space="preserve"> </w:t>
      </w:r>
      <w:r>
        <w:rPr>
          <w:rFonts w:asciiTheme="majorHAnsi" w:hAnsiTheme="majorHAnsi" w:cstheme="majorHAnsi"/>
          <w:noProof/>
          <w:lang w:val="sq-AL"/>
        </w:rPr>
        <w:t>milionë</w:t>
      </w:r>
      <w:r w:rsidRPr="00516127">
        <w:rPr>
          <w:rFonts w:asciiTheme="majorHAnsi" w:hAnsiTheme="majorHAnsi" w:cstheme="majorHAnsi"/>
          <w:noProof/>
          <w:lang w:val="sq-AL"/>
        </w:rPr>
        <w:t xml:space="preserve"> LEK, shifër kjo që është </w:t>
      </w:r>
      <w:r>
        <w:rPr>
          <w:rFonts w:asciiTheme="majorHAnsi" w:hAnsiTheme="majorHAnsi" w:cstheme="majorHAnsi"/>
          <w:noProof/>
          <w:lang w:val="sq-AL"/>
        </w:rPr>
        <w:t>580</w:t>
      </w:r>
      <w:r w:rsidRPr="00516127">
        <w:rPr>
          <w:rFonts w:asciiTheme="majorHAnsi" w:hAnsiTheme="majorHAnsi" w:cstheme="majorHAnsi"/>
          <w:noProof/>
          <w:lang w:val="sq-AL"/>
        </w:rPr>
        <w:t xml:space="preserve"> </w:t>
      </w:r>
      <w:r>
        <w:rPr>
          <w:rFonts w:asciiTheme="majorHAnsi" w:hAnsiTheme="majorHAnsi" w:cstheme="majorHAnsi"/>
          <w:noProof/>
          <w:lang w:val="sq-AL"/>
        </w:rPr>
        <w:t>milionë</w:t>
      </w:r>
      <w:r w:rsidRPr="00516127">
        <w:rPr>
          <w:rFonts w:asciiTheme="majorHAnsi" w:hAnsiTheme="majorHAnsi" w:cstheme="majorHAnsi"/>
          <w:noProof/>
          <w:lang w:val="sq-AL"/>
        </w:rPr>
        <w:t xml:space="preserve"> LEK më shumë ose rreth </w:t>
      </w:r>
      <w:r>
        <w:rPr>
          <w:rFonts w:asciiTheme="majorHAnsi" w:hAnsiTheme="majorHAnsi" w:cstheme="majorHAnsi"/>
          <w:noProof/>
          <w:lang w:val="sq-AL"/>
        </w:rPr>
        <w:t>1.4</w:t>
      </w:r>
      <w:r w:rsidRPr="00516127">
        <w:rPr>
          <w:rFonts w:asciiTheme="majorHAnsi" w:hAnsiTheme="majorHAnsi" w:cstheme="majorHAnsi"/>
          <w:noProof/>
          <w:lang w:val="sq-AL"/>
        </w:rPr>
        <w:t>% më e lartë se vlera e të ardhurave tatimore vendore të mbledhura gjatë 202</w:t>
      </w:r>
      <w:r>
        <w:rPr>
          <w:rFonts w:asciiTheme="majorHAnsi" w:hAnsiTheme="majorHAnsi" w:cstheme="majorHAnsi"/>
          <w:noProof/>
          <w:lang w:val="sq-AL"/>
        </w:rPr>
        <w:t>4</w:t>
      </w:r>
      <w:r w:rsidRPr="00516127">
        <w:rPr>
          <w:rFonts w:asciiTheme="majorHAnsi" w:hAnsiTheme="majorHAnsi" w:cstheme="majorHAnsi"/>
          <w:noProof/>
          <w:lang w:val="sq-AL"/>
        </w:rPr>
        <w:t xml:space="preserve">. </w:t>
      </w:r>
      <w:r>
        <w:rPr>
          <w:rFonts w:asciiTheme="majorHAnsi" w:hAnsiTheme="majorHAnsi" w:cstheme="majorHAnsi"/>
          <w:noProof/>
          <w:lang w:val="sq-AL"/>
        </w:rPr>
        <w:t>T</w:t>
      </w:r>
      <w:r w:rsidRPr="00516127">
        <w:rPr>
          <w:rFonts w:asciiTheme="majorHAnsi" w:hAnsiTheme="majorHAnsi" w:cstheme="majorHAnsi"/>
          <w:noProof/>
          <w:lang w:val="sq-AL"/>
        </w:rPr>
        <w:t>ë ardhurat vendore për vitin 202</w:t>
      </w:r>
      <w:r>
        <w:rPr>
          <w:rFonts w:asciiTheme="majorHAnsi" w:hAnsiTheme="majorHAnsi" w:cstheme="majorHAnsi"/>
          <w:noProof/>
          <w:lang w:val="sq-AL"/>
        </w:rPr>
        <w:t xml:space="preserve">5 janë realizuar në </w:t>
      </w:r>
      <w:r w:rsidRPr="00516127">
        <w:rPr>
          <w:rFonts w:asciiTheme="majorHAnsi" w:hAnsiTheme="majorHAnsi" w:cstheme="majorHAnsi"/>
          <w:noProof/>
          <w:lang w:val="sq-AL"/>
        </w:rPr>
        <w:t xml:space="preserve"> </w:t>
      </w:r>
      <w:r>
        <w:rPr>
          <w:rFonts w:asciiTheme="majorHAnsi" w:hAnsiTheme="majorHAnsi" w:cstheme="majorHAnsi"/>
          <w:noProof/>
          <w:lang w:val="sq-AL"/>
        </w:rPr>
        <w:t xml:space="preserve">raportin 100.3% krahasuar me parashikimet makroekonomike duke </w:t>
      </w:r>
      <w:r w:rsidRPr="00516127">
        <w:rPr>
          <w:rFonts w:asciiTheme="majorHAnsi" w:hAnsiTheme="majorHAnsi" w:cstheme="majorHAnsi"/>
          <w:noProof/>
          <w:lang w:val="sq-AL"/>
        </w:rPr>
        <w:t>dëshm</w:t>
      </w:r>
      <w:r>
        <w:rPr>
          <w:rFonts w:asciiTheme="majorHAnsi" w:hAnsiTheme="majorHAnsi" w:cstheme="majorHAnsi"/>
          <w:noProof/>
          <w:lang w:val="sq-AL"/>
        </w:rPr>
        <w:t xml:space="preserve">uar për </w:t>
      </w:r>
      <w:r w:rsidRPr="00516127">
        <w:rPr>
          <w:rFonts w:asciiTheme="majorHAnsi" w:hAnsiTheme="majorHAnsi" w:cstheme="majorHAnsi"/>
          <w:noProof/>
          <w:lang w:val="sq-AL"/>
        </w:rPr>
        <w:t xml:space="preserve">ecurinë pozitive të </w:t>
      </w:r>
      <w:r>
        <w:rPr>
          <w:rFonts w:asciiTheme="majorHAnsi" w:hAnsiTheme="majorHAnsi" w:cstheme="majorHAnsi"/>
          <w:noProof/>
          <w:lang w:val="sq-AL"/>
        </w:rPr>
        <w:t>ekonomisë</w:t>
      </w:r>
      <w:r w:rsidRPr="00516127">
        <w:rPr>
          <w:rFonts w:asciiTheme="majorHAnsi" w:hAnsiTheme="majorHAnsi" w:cstheme="majorHAnsi"/>
          <w:noProof/>
          <w:lang w:val="sq-AL"/>
        </w:rPr>
        <w:t xml:space="preserve"> vendor</w:t>
      </w:r>
      <w:r>
        <w:rPr>
          <w:rFonts w:asciiTheme="majorHAnsi" w:hAnsiTheme="majorHAnsi" w:cstheme="majorHAnsi"/>
          <w:noProof/>
          <w:lang w:val="sq-AL"/>
        </w:rPr>
        <w:t>e</w:t>
      </w:r>
      <w:r w:rsidRPr="00516127">
        <w:rPr>
          <w:rFonts w:asciiTheme="majorHAnsi" w:hAnsiTheme="majorHAnsi" w:cstheme="majorHAnsi"/>
          <w:noProof/>
          <w:lang w:val="sq-AL"/>
        </w:rPr>
        <w:t>. Në grafikun e mëposhtëm paraqiten të dhënat e realizmit të këtyre burimeve dhe ritmi i ndryshimit të tyre gjatë viteve</w:t>
      </w:r>
      <w:r w:rsidR="00D31F37" w:rsidRPr="00516127">
        <w:rPr>
          <w:rFonts w:asciiTheme="majorHAnsi" w:hAnsiTheme="majorHAnsi" w:cstheme="majorHAnsi"/>
          <w:noProof/>
          <w:lang w:val="sq-AL"/>
        </w:rPr>
        <w:t xml:space="preserve">. </w:t>
      </w:r>
    </w:p>
    <w:p w14:paraId="61288FB0" w14:textId="5347B17F" w:rsidR="00D31F37" w:rsidRPr="00516127" w:rsidRDefault="00D31F37" w:rsidP="00D31F37">
      <w:pPr>
        <w:pStyle w:val="Caption"/>
        <w:rPr>
          <w:rFonts w:asciiTheme="majorHAnsi" w:hAnsiTheme="majorHAnsi" w:cstheme="majorHAnsi"/>
          <w:noProof/>
          <w:color w:val="073763" w:themeColor="accent1" w:themeShade="80"/>
          <w:lang w:val="sq-AL"/>
        </w:rPr>
      </w:pPr>
      <w:bookmarkStart w:id="64" w:name="_Toc229130022"/>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5</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 nga pushteti vendor në vite (në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w:t>
      </w:r>
      <w:bookmarkEnd w:id="64"/>
    </w:p>
    <w:p w14:paraId="6C1D2C79" w14:textId="54A29A5A" w:rsidR="00D31F37" w:rsidRPr="00516127" w:rsidRDefault="0035122C" w:rsidP="00D31F37">
      <w:pPr>
        <w:spacing w:before="0"/>
        <w:jc w:val="center"/>
        <w:rPr>
          <w:rFonts w:asciiTheme="majorHAnsi" w:hAnsiTheme="majorHAnsi" w:cstheme="majorHAnsi"/>
          <w:noProof/>
          <w:color w:val="FF0000"/>
          <w:lang w:val="sq-AL"/>
        </w:rPr>
      </w:pPr>
      <w:r>
        <w:rPr>
          <w:noProof/>
        </w:rPr>
        <w:drawing>
          <wp:inline distT="0" distB="0" distL="0" distR="0" wp14:anchorId="7D0843F6" wp14:editId="39A59963">
            <wp:extent cx="6067425" cy="1594713"/>
            <wp:effectExtent l="0" t="0" r="0" b="5715"/>
            <wp:docPr id="1131613156" name="Chart 1">
              <a:extLst xmlns:a="http://schemas.openxmlformats.org/drawingml/2006/main">
                <a:ext uri="{FF2B5EF4-FFF2-40B4-BE49-F238E27FC236}">
                  <a16:creationId xmlns:a16="http://schemas.microsoft.com/office/drawing/2014/main" id="{0D245457-C2C2-4B06-9CF1-4B73EECA5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0207C" w14:textId="3BD82863" w:rsidR="00D31F37" w:rsidRPr="00516127" w:rsidRDefault="00D31F37" w:rsidP="00D31F37">
      <w:pPr>
        <w:spacing w:before="0" w:line="240" w:lineRule="auto"/>
        <w:ind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w:t>
      </w:r>
      <w:r w:rsidR="0035122C">
        <w:rPr>
          <w:rFonts w:asciiTheme="majorHAnsi" w:hAnsiTheme="majorHAnsi" w:cstheme="majorHAnsi"/>
          <w:bCs/>
          <w:i/>
          <w:noProof/>
          <w:sz w:val="18"/>
          <w:szCs w:val="18"/>
          <w:lang w:val="sq-AL"/>
        </w:rPr>
        <w:t>6</w:t>
      </w:r>
      <w:r w:rsidRPr="00516127">
        <w:rPr>
          <w:rFonts w:asciiTheme="majorHAnsi" w:hAnsiTheme="majorHAnsi" w:cstheme="majorHAnsi"/>
          <w:bCs/>
          <w:i/>
          <w:noProof/>
          <w:sz w:val="18"/>
          <w:szCs w:val="18"/>
          <w:lang w:val="sq-AL"/>
        </w:rPr>
        <w:t>)</w:t>
      </w:r>
    </w:p>
    <w:p w14:paraId="552AF8B5" w14:textId="77777777" w:rsidR="00D31F37" w:rsidRPr="0035122C" w:rsidRDefault="00D31F37" w:rsidP="00D31F37">
      <w:pPr>
        <w:spacing w:before="0" w:line="240" w:lineRule="auto"/>
        <w:rPr>
          <w:rFonts w:asciiTheme="majorHAnsi" w:hAnsiTheme="majorHAnsi" w:cstheme="majorHAnsi"/>
          <w:noProof/>
          <w:color w:val="002060"/>
          <w:sz w:val="16"/>
          <w:szCs w:val="40"/>
          <w:lang w:val="sq-AL"/>
        </w:rPr>
      </w:pPr>
    </w:p>
    <w:p w14:paraId="6C94126A" w14:textId="4335B607" w:rsidR="00D31F37" w:rsidRPr="00516127" w:rsidRDefault="0035122C" w:rsidP="00D31F37">
      <w:pPr>
        <w:spacing w:before="0" w:line="240" w:lineRule="auto"/>
        <w:rPr>
          <w:rFonts w:asciiTheme="majorHAnsi" w:hAnsiTheme="majorHAnsi" w:cstheme="majorHAnsi"/>
          <w:i/>
          <w:noProof/>
          <w:sz w:val="18"/>
          <w:szCs w:val="18"/>
          <w:lang w:val="sq-AL"/>
        </w:rPr>
      </w:pPr>
      <w:r w:rsidRPr="00516127">
        <w:rPr>
          <w:rFonts w:asciiTheme="majorHAnsi" w:hAnsiTheme="majorHAnsi" w:cstheme="majorHAnsi"/>
          <w:noProof/>
          <w:lang w:val="sq-AL"/>
        </w:rPr>
        <w:t xml:space="preserve">Referuar përbërjes së tyre sipas zërave kryesorë (referuar tabelës së treguesve fiskalë të buxhetit të konsoliduar), që janë Taksat Lokale dhe Taksa mbi </w:t>
      </w:r>
      <w:r>
        <w:rPr>
          <w:rFonts w:asciiTheme="majorHAnsi" w:hAnsiTheme="majorHAnsi" w:cstheme="majorHAnsi"/>
          <w:noProof/>
          <w:lang w:val="sq-AL"/>
        </w:rPr>
        <w:t>P</w:t>
      </w:r>
      <w:r w:rsidRPr="00516127">
        <w:rPr>
          <w:rFonts w:asciiTheme="majorHAnsi" w:hAnsiTheme="majorHAnsi" w:cstheme="majorHAnsi"/>
          <w:noProof/>
          <w:lang w:val="sq-AL"/>
        </w:rPr>
        <w:t>asurinë, grafikisht të ardhurat e veta të pushtetit vendor për vitin 202</w:t>
      </w:r>
      <w:r>
        <w:rPr>
          <w:rFonts w:asciiTheme="majorHAnsi" w:hAnsiTheme="majorHAnsi" w:cstheme="majorHAnsi"/>
          <w:noProof/>
          <w:lang w:val="sq-AL"/>
        </w:rPr>
        <w:t>5</w:t>
      </w:r>
      <w:r w:rsidRPr="00516127">
        <w:rPr>
          <w:rFonts w:asciiTheme="majorHAnsi" w:hAnsiTheme="majorHAnsi" w:cstheme="majorHAnsi"/>
          <w:noProof/>
          <w:lang w:val="sq-AL"/>
        </w:rPr>
        <w:t xml:space="preserve"> të ndara në përqindje paraqiten si më poshtë</w:t>
      </w:r>
      <w:r w:rsidR="00D31F37" w:rsidRPr="00516127">
        <w:rPr>
          <w:rFonts w:asciiTheme="majorHAnsi" w:hAnsiTheme="majorHAnsi" w:cstheme="majorHAnsi"/>
          <w:noProof/>
          <w:lang w:val="sq-AL"/>
        </w:rPr>
        <w:t>:</w:t>
      </w:r>
    </w:p>
    <w:p w14:paraId="07936479" w14:textId="2CF50070" w:rsidR="00D31F37" w:rsidRPr="00516127" w:rsidRDefault="00D31F37" w:rsidP="00D31F37">
      <w:pPr>
        <w:pStyle w:val="Caption"/>
        <w:rPr>
          <w:rFonts w:asciiTheme="majorHAnsi" w:hAnsiTheme="majorHAnsi" w:cstheme="majorHAnsi"/>
          <w:noProof/>
          <w:color w:val="073763" w:themeColor="accent1" w:themeShade="80"/>
          <w:lang w:val="sq-AL"/>
        </w:rPr>
      </w:pPr>
      <w:bookmarkStart w:id="65" w:name="_Toc229130023"/>
      <w:bookmarkStart w:id="66" w:name="_Hlk135910335"/>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6</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Përbërja e të ardhurave nga pushteti vendor sipas zërave kryesorë (në %)</w:t>
      </w:r>
      <w:r w:rsidRPr="00516127">
        <w:rPr>
          <w:rStyle w:val="FootnoteReference"/>
          <w:rFonts w:asciiTheme="majorHAnsi" w:hAnsiTheme="majorHAnsi" w:cstheme="majorHAnsi"/>
          <w:noProof/>
          <w:color w:val="073763" w:themeColor="accent1" w:themeShade="80"/>
          <w:lang w:val="sq-AL"/>
        </w:rPr>
        <w:footnoteReference w:id="1"/>
      </w:r>
      <w:bookmarkEnd w:id="65"/>
    </w:p>
    <w:p w14:paraId="3C822217" w14:textId="12AA4A12" w:rsidR="00D31F37" w:rsidRPr="00516127" w:rsidRDefault="0035122C" w:rsidP="00D31F37">
      <w:pPr>
        <w:spacing w:before="0"/>
        <w:jc w:val="center"/>
        <w:rPr>
          <w:rFonts w:asciiTheme="majorHAnsi" w:hAnsiTheme="majorHAnsi" w:cstheme="majorHAnsi"/>
          <w:i/>
          <w:noProof/>
          <w:sz w:val="18"/>
          <w:szCs w:val="18"/>
          <w:lang w:val="sq-AL"/>
        </w:rPr>
      </w:pPr>
      <w:r>
        <w:rPr>
          <w:noProof/>
        </w:rPr>
        <w:drawing>
          <wp:inline distT="0" distB="0" distL="0" distR="0" wp14:anchorId="29E85428" wp14:editId="27F62E69">
            <wp:extent cx="5077460" cy="2582266"/>
            <wp:effectExtent l="0" t="0" r="8890" b="8890"/>
            <wp:docPr id="1998401692" name="Chart 1">
              <a:extLst xmlns:a="http://schemas.openxmlformats.org/drawingml/2006/main">
                <a:ext uri="{FF2B5EF4-FFF2-40B4-BE49-F238E27FC236}">
                  <a16:creationId xmlns:a16="http://schemas.microsoft.com/office/drawing/2014/main" id="{AFA0C40A-A164-4BFC-B35F-B03BD1FED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62A5AB" w14:textId="56F6F12E" w:rsidR="00D31F37" w:rsidRPr="00516127" w:rsidRDefault="00D31F37" w:rsidP="00D31F37">
      <w:pPr>
        <w:spacing w:before="0" w:line="360" w:lineRule="auto"/>
        <w:ind w:left="720"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w:t>
      </w:r>
      <w:r w:rsidR="0035122C">
        <w:rPr>
          <w:rFonts w:asciiTheme="majorHAnsi" w:hAnsiTheme="majorHAnsi" w:cstheme="majorHAnsi"/>
          <w:bCs/>
          <w:i/>
          <w:noProof/>
          <w:sz w:val="18"/>
          <w:szCs w:val="18"/>
          <w:lang w:val="sq-AL"/>
        </w:rPr>
        <w:t>6</w:t>
      </w:r>
      <w:r w:rsidRPr="00516127">
        <w:rPr>
          <w:rFonts w:asciiTheme="majorHAnsi" w:hAnsiTheme="majorHAnsi" w:cstheme="majorHAnsi"/>
          <w:bCs/>
          <w:i/>
          <w:noProof/>
          <w:sz w:val="18"/>
          <w:szCs w:val="18"/>
          <w:lang w:val="sq-AL"/>
        </w:rPr>
        <w:t>)</w:t>
      </w:r>
    </w:p>
    <w:p w14:paraId="4C5D0EE6" w14:textId="77777777" w:rsidR="00D31F37" w:rsidRPr="00760B09" w:rsidRDefault="00D31F37" w:rsidP="00760B09">
      <w:pPr>
        <w:pStyle w:val="Heading3"/>
        <w:rPr>
          <w:i/>
          <w:iCs/>
        </w:rPr>
      </w:pPr>
      <w:bookmarkStart w:id="67" w:name="_Toc10033271"/>
      <w:bookmarkStart w:id="68" w:name="_Toc10721408"/>
      <w:bookmarkStart w:id="69" w:name="_Toc229390810"/>
      <w:bookmarkEnd w:id="63"/>
      <w:bookmarkEnd w:id="66"/>
      <w:proofErr w:type="spellStart"/>
      <w:r w:rsidRPr="00760B09">
        <w:rPr>
          <w:i/>
          <w:iCs/>
        </w:rPr>
        <w:lastRenderedPageBreak/>
        <w:t>Të</w:t>
      </w:r>
      <w:proofErr w:type="spellEnd"/>
      <w:r w:rsidRPr="00760B09">
        <w:rPr>
          <w:i/>
          <w:iCs/>
        </w:rPr>
        <w:t xml:space="preserve"> </w:t>
      </w:r>
      <w:proofErr w:type="spellStart"/>
      <w:r w:rsidRPr="00760B09">
        <w:rPr>
          <w:i/>
          <w:iCs/>
        </w:rPr>
        <w:t>ardhurat</w:t>
      </w:r>
      <w:proofErr w:type="spellEnd"/>
      <w:r w:rsidRPr="00760B09">
        <w:rPr>
          <w:i/>
          <w:iCs/>
        </w:rPr>
        <w:t xml:space="preserve"> </w:t>
      </w:r>
      <w:proofErr w:type="spellStart"/>
      <w:r w:rsidRPr="00760B09">
        <w:rPr>
          <w:i/>
          <w:iCs/>
        </w:rPr>
        <w:t>nga</w:t>
      </w:r>
      <w:proofErr w:type="spellEnd"/>
      <w:r w:rsidRPr="00760B09">
        <w:rPr>
          <w:i/>
          <w:iCs/>
        </w:rPr>
        <w:t xml:space="preserve"> </w:t>
      </w:r>
      <w:proofErr w:type="spellStart"/>
      <w:r w:rsidRPr="00760B09">
        <w:rPr>
          <w:i/>
          <w:iCs/>
        </w:rPr>
        <w:t>fondet</w:t>
      </w:r>
      <w:proofErr w:type="spellEnd"/>
      <w:r w:rsidRPr="00760B09">
        <w:rPr>
          <w:i/>
          <w:iCs/>
        </w:rPr>
        <w:t xml:space="preserve"> </w:t>
      </w:r>
      <w:proofErr w:type="spellStart"/>
      <w:r w:rsidRPr="00760B09">
        <w:rPr>
          <w:i/>
          <w:iCs/>
        </w:rPr>
        <w:t>speciale</w:t>
      </w:r>
      <w:bookmarkEnd w:id="67"/>
      <w:bookmarkEnd w:id="68"/>
      <w:bookmarkEnd w:id="69"/>
      <w:proofErr w:type="spellEnd"/>
    </w:p>
    <w:p w14:paraId="29115929" w14:textId="3A2D1C33" w:rsidR="00D31F37" w:rsidRPr="00516127" w:rsidRDefault="00D31F37" w:rsidP="00D31F37">
      <w:pPr>
        <w:spacing w:before="0" w:line="240" w:lineRule="auto"/>
        <w:rPr>
          <w:rFonts w:asciiTheme="majorHAnsi" w:hAnsiTheme="majorHAnsi" w:cstheme="majorHAnsi"/>
          <w:noProof/>
          <w:lang w:val="sq-AL"/>
        </w:rPr>
      </w:pPr>
      <w:r w:rsidRPr="00516127">
        <w:rPr>
          <w:rFonts w:asciiTheme="majorHAnsi" w:hAnsiTheme="majorHAnsi" w:cstheme="majorHAnsi"/>
          <w:noProof/>
          <w:lang w:val="sq-AL"/>
        </w:rPr>
        <w:t xml:space="preserve">Të ardhurat nga “Fondet Speciale” rezultuan 179.1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me një realizim ndaj planit të rishikuar në nivelin 100.8% ose 1.4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shumë. Të ardhurat nga fondet speciale shënuan rritje në krahasim me parashikimin e të ardhurave në buxhetin fillestar të vitit 2025 prej 5.4 % ose 9.3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shumë dhe 17.4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apo 10.7% më shumë se një vit më parë. Zërat që përbëjnë të ardhurat nga “Fondet Speciale” janë: </w:t>
      </w:r>
      <w:r w:rsidRPr="00516127">
        <w:rPr>
          <w:rFonts w:asciiTheme="majorHAnsi" w:hAnsiTheme="majorHAnsi" w:cstheme="majorHAnsi"/>
          <w:i/>
          <w:iCs/>
          <w:noProof/>
          <w:lang w:val="sq-AL"/>
        </w:rPr>
        <w:t xml:space="preserve">Sigurimi Shoqëror, Sigurimi Shëndetësor dhe të ardhurat për Kompensimin në vlerë të Pronarëve, përkatësisht në vlerën 154.7 </w:t>
      </w:r>
      <w:r w:rsidR="0056260B">
        <w:rPr>
          <w:rFonts w:asciiTheme="majorHAnsi" w:hAnsiTheme="majorHAnsi" w:cstheme="majorHAnsi"/>
          <w:i/>
          <w:iCs/>
          <w:noProof/>
          <w:lang w:val="sq-AL"/>
        </w:rPr>
        <w:t>miliardë</w:t>
      </w:r>
      <w:r w:rsidRPr="00516127">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516127">
        <w:rPr>
          <w:rFonts w:asciiTheme="majorHAnsi" w:hAnsiTheme="majorHAnsi" w:cstheme="majorHAnsi"/>
          <w:i/>
          <w:iCs/>
          <w:noProof/>
          <w:lang w:val="sq-AL"/>
        </w:rPr>
        <w:t xml:space="preserve">, 23.5 </w:t>
      </w:r>
      <w:r w:rsidR="0056260B">
        <w:rPr>
          <w:rFonts w:asciiTheme="majorHAnsi" w:hAnsiTheme="majorHAnsi" w:cstheme="majorHAnsi"/>
          <w:i/>
          <w:iCs/>
          <w:noProof/>
          <w:lang w:val="sq-AL"/>
        </w:rPr>
        <w:t>miliardë</w:t>
      </w:r>
      <w:r w:rsidRPr="00516127">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516127">
        <w:rPr>
          <w:rFonts w:asciiTheme="majorHAnsi" w:hAnsiTheme="majorHAnsi" w:cstheme="majorHAnsi"/>
          <w:i/>
          <w:iCs/>
          <w:noProof/>
          <w:lang w:val="sq-AL"/>
        </w:rPr>
        <w:t xml:space="preserve"> dhe 0.9 </w:t>
      </w:r>
      <w:r w:rsidR="0056260B">
        <w:rPr>
          <w:rFonts w:asciiTheme="majorHAnsi" w:hAnsiTheme="majorHAnsi" w:cstheme="majorHAnsi"/>
          <w:i/>
          <w:iCs/>
          <w:noProof/>
          <w:lang w:val="sq-AL"/>
        </w:rPr>
        <w:t>miliardë</w:t>
      </w:r>
      <w:r w:rsidRPr="00516127">
        <w:rPr>
          <w:rFonts w:asciiTheme="majorHAnsi" w:hAnsiTheme="majorHAnsi" w:cstheme="majorHAnsi"/>
          <w:i/>
          <w:iCs/>
          <w:noProof/>
          <w:lang w:val="sq-AL"/>
        </w:rPr>
        <w:t xml:space="preserve"> </w:t>
      </w:r>
      <w:r w:rsidR="0056260B">
        <w:rPr>
          <w:rFonts w:asciiTheme="majorHAnsi" w:hAnsiTheme="majorHAnsi" w:cstheme="majorHAnsi"/>
          <w:i/>
          <w:iCs/>
          <w:noProof/>
          <w:lang w:val="sq-AL"/>
        </w:rPr>
        <w:t>LEK</w:t>
      </w:r>
      <w:r w:rsidRPr="00516127">
        <w:rPr>
          <w:rFonts w:asciiTheme="majorHAnsi" w:hAnsiTheme="majorHAnsi" w:cstheme="majorHAnsi"/>
          <w:noProof/>
          <w:lang w:val="sq-AL"/>
        </w:rPr>
        <w:t xml:space="preserve">. </w:t>
      </w:r>
    </w:p>
    <w:p w14:paraId="199637F0" w14:textId="7489F1B5" w:rsidR="00D31F37" w:rsidRPr="00516127" w:rsidRDefault="00D31F37" w:rsidP="00D31F37">
      <w:pPr>
        <w:pStyle w:val="Caption"/>
        <w:rPr>
          <w:rFonts w:asciiTheme="majorHAnsi" w:hAnsiTheme="majorHAnsi" w:cstheme="majorHAnsi"/>
          <w:noProof/>
          <w:lang w:val="sq-AL"/>
        </w:rPr>
      </w:pPr>
      <w:bookmarkStart w:id="70" w:name="_Toc229130024"/>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7</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ardhurat nga fondet speciale në vite (në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w:t>
      </w:r>
      <w:bookmarkEnd w:id="70"/>
    </w:p>
    <w:p w14:paraId="32ECB4F3" w14:textId="77777777" w:rsidR="00D31F37" w:rsidRPr="00516127" w:rsidRDefault="00D31F37" w:rsidP="00D31F37">
      <w:pPr>
        <w:spacing w:before="0" w:line="240" w:lineRule="auto"/>
        <w:jc w:val="center"/>
        <w:rPr>
          <w:rFonts w:asciiTheme="majorHAnsi" w:hAnsiTheme="majorHAnsi" w:cstheme="majorHAnsi"/>
          <w:noProof/>
          <w:lang w:val="sq-AL"/>
        </w:rPr>
      </w:pPr>
      <w:r w:rsidRPr="00516127">
        <w:rPr>
          <w:rFonts w:asciiTheme="majorHAnsi" w:hAnsiTheme="majorHAnsi" w:cstheme="majorHAnsi"/>
          <w:noProof/>
        </w:rPr>
        <w:drawing>
          <wp:inline distT="0" distB="0" distL="0" distR="0" wp14:anchorId="50CBBE29" wp14:editId="34992D0C">
            <wp:extent cx="6248400" cy="2384755"/>
            <wp:effectExtent l="0" t="0" r="0" b="15875"/>
            <wp:docPr id="598998389" name="Chart 1">
              <a:extLst xmlns:a="http://schemas.openxmlformats.org/drawingml/2006/main">
                <a:ext uri="{FF2B5EF4-FFF2-40B4-BE49-F238E27FC236}">
                  <a16:creationId xmlns:a16="http://schemas.microsoft.com/office/drawing/2014/main" id="{00CD80E8-4BB7-44AF-B385-49A789655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E6A20C" w14:textId="77777777" w:rsidR="00D31F37" w:rsidRPr="00516127" w:rsidRDefault="00D31F37" w:rsidP="00D31F37">
      <w:pPr>
        <w:spacing w:before="0" w:line="240" w:lineRule="auto"/>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4AE747E5" w14:textId="77777777" w:rsidR="0014208D" w:rsidRDefault="0014208D" w:rsidP="00D31F37">
      <w:pPr>
        <w:pStyle w:val="Caption"/>
        <w:rPr>
          <w:rFonts w:asciiTheme="majorHAnsi" w:hAnsiTheme="majorHAnsi" w:cstheme="majorHAnsi"/>
          <w:noProof/>
          <w:lang w:val="sq-AL"/>
        </w:rPr>
      </w:pPr>
      <w:bookmarkStart w:id="71" w:name="_Toc229130025"/>
    </w:p>
    <w:p w14:paraId="53E3830B" w14:textId="2A6C171C" w:rsidR="00D31F37" w:rsidRPr="00516127" w:rsidRDefault="00D31F37" w:rsidP="00D31F37">
      <w:pPr>
        <w:pStyle w:val="Caption"/>
        <w:rPr>
          <w:rFonts w:asciiTheme="majorHAnsi" w:hAnsiTheme="majorHAnsi" w:cstheme="majorHAnsi"/>
          <w:noProof/>
          <w:lang w:val="sq-AL"/>
        </w:rPr>
      </w:pPr>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8</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Përbërja e të ardhurave nga fondet speciale (në %)</w:t>
      </w:r>
      <w:bookmarkEnd w:id="71"/>
    </w:p>
    <w:p w14:paraId="5A273149" w14:textId="77777777" w:rsidR="00D31F37" w:rsidRPr="00516127" w:rsidRDefault="00D31F37" w:rsidP="00D31F37">
      <w:pPr>
        <w:spacing w:before="0"/>
        <w:jc w:val="center"/>
        <w:rPr>
          <w:rFonts w:asciiTheme="majorHAnsi" w:hAnsiTheme="majorHAnsi" w:cstheme="majorHAnsi"/>
          <w:noProof/>
          <w:lang w:val="sq-AL" w:eastAsia="en-GB"/>
        </w:rPr>
      </w:pPr>
      <w:r w:rsidRPr="00516127">
        <w:rPr>
          <w:rFonts w:asciiTheme="majorHAnsi" w:hAnsiTheme="majorHAnsi" w:cstheme="majorHAnsi"/>
          <w:noProof/>
        </w:rPr>
        <w:drawing>
          <wp:inline distT="0" distB="0" distL="0" distR="0" wp14:anchorId="603DCF40" wp14:editId="3B16BB78">
            <wp:extent cx="5010785" cy="2428646"/>
            <wp:effectExtent l="0" t="0" r="18415" b="10160"/>
            <wp:docPr id="127853722"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9A93C3" w14:textId="77777777" w:rsidR="00D31F37" w:rsidRDefault="00D31F37" w:rsidP="00D31F37">
      <w:pPr>
        <w:spacing w:before="0" w:line="360" w:lineRule="auto"/>
        <w:ind w:left="1440" w:hanging="1440"/>
        <w:jc w:val="left"/>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4C93FA96" w14:textId="77777777" w:rsidR="0014208D" w:rsidRPr="00516127" w:rsidRDefault="0014208D" w:rsidP="00D31F37">
      <w:pPr>
        <w:spacing w:before="0" w:line="360" w:lineRule="auto"/>
        <w:ind w:left="1440" w:hanging="1440"/>
        <w:jc w:val="left"/>
        <w:rPr>
          <w:rFonts w:asciiTheme="majorHAnsi" w:hAnsiTheme="majorHAnsi" w:cstheme="majorHAnsi"/>
          <w:bCs/>
          <w:i/>
          <w:noProof/>
          <w:sz w:val="18"/>
          <w:szCs w:val="18"/>
          <w:lang w:val="sq-AL"/>
        </w:rPr>
      </w:pPr>
    </w:p>
    <w:p w14:paraId="41237C4D" w14:textId="77777777" w:rsidR="00D31F37" w:rsidRPr="00126520" w:rsidRDefault="00D31F37" w:rsidP="00126520">
      <w:pPr>
        <w:pStyle w:val="Heading3"/>
        <w:rPr>
          <w:i/>
          <w:iCs/>
        </w:rPr>
      </w:pPr>
      <w:bookmarkStart w:id="72" w:name="_Toc10033272"/>
      <w:bookmarkStart w:id="73" w:name="_Toc10721409"/>
      <w:bookmarkStart w:id="74" w:name="_Toc229390811"/>
      <w:proofErr w:type="spellStart"/>
      <w:r w:rsidRPr="00126520">
        <w:rPr>
          <w:i/>
          <w:iCs/>
        </w:rPr>
        <w:t>Të</w:t>
      </w:r>
      <w:proofErr w:type="spellEnd"/>
      <w:r w:rsidRPr="00126520">
        <w:rPr>
          <w:i/>
          <w:iCs/>
        </w:rPr>
        <w:t xml:space="preserve"> </w:t>
      </w:r>
      <w:proofErr w:type="spellStart"/>
      <w:r w:rsidRPr="00126520">
        <w:rPr>
          <w:i/>
          <w:iCs/>
        </w:rPr>
        <w:t>ardhurat</w:t>
      </w:r>
      <w:proofErr w:type="spellEnd"/>
      <w:r w:rsidRPr="00126520">
        <w:rPr>
          <w:i/>
          <w:iCs/>
        </w:rPr>
        <w:t xml:space="preserve"> </w:t>
      </w:r>
      <w:proofErr w:type="spellStart"/>
      <w:r w:rsidRPr="00126520">
        <w:rPr>
          <w:i/>
          <w:iCs/>
        </w:rPr>
        <w:t>jotatimore</w:t>
      </w:r>
      <w:bookmarkEnd w:id="72"/>
      <w:bookmarkEnd w:id="73"/>
      <w:bookmarkEnd w:id="74"/>
      <w:proofErr w:type="spellEnd"/>
    </w:p>
    <w:p w14:paraId="0964755C" w14:textId="770BCC32" w:rsidR="00D31F37" w:rsidRDefault="00D31F37" w:rsidP="00D31F37">
      <w:pPr>
        <w:spacing w:before="0"/>
        <w:rPr>
          <w:rFonts w:asciiTheme="majorHAnsi" w:hAnsiTheme="majorHAnsi" w:cstheme="majorHAnsi"/>
          <w:noProof/>
          <w:lang w:val="sq-AL"/>
        </w:rPr>
      </w:pPr>
      <w:r w:rsidRPr="00516127">
        <w:rPr>
          <w:rFonts w:asciiTheme="majorHAnsi" w:hAnsiTheme="majorHAnsi" w:cstheme="majorHAnsi"/>
          <w:noProof/>
          <w:lang w:val="sq-AL"/>
        </w:rPr>
        <w:t xml:space="preserve">Të ardhurat jotatimore rezultojnë në vlerën 30.9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krahasuar me 43.7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të një viti më parë, me një ulje vjetore nga viti 2024 prej 29.2% ose -12.8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pak dhe me një realizim ndaj planit të rishikuar në masën 97.5% ose -0.8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pak. Ndër zërat kryesor që përbëjnë të ardhurat jotatimore për vitin 2025 janë: të ardhurat nga institucionet buxhetore, të ardhurat nga dividenti, të ardhura nga tarifat e shërbimeve dhe të ardhura të tjera, të cilat kanë mbledhur përkatësisht 15.5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46 </w:t>
      </w:r>
      <w:r w:rsidR="0056260B">
        <w:rPr>
          <w:rFonts w:asciiTheme="majorHAnsi" w:hAnsiTheme="majorHAnsi" w:cstheme="majorHAnsi"/>
          <w:noProof/>
          <w:lang w:val="sq-AL"/>
        </w:rPr>
        <w:t>milionë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3.5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dhe 11.9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w:t>
      </w:r>
    </w:p>
    <w:p w14:paraId="65D9951B" w14:textId="77777777" w:rsidR="005245F0" w:rsidRDefault="005245F0" w:rsidP="00D31F37">
      <w:pPr>
        <w:spacing w:before="0"/>
        <w:rPr>
          <w:rFonts w:asciiTheme="majorHAnsi" w:hAnsiTheme="majorHAnsi" w:cstheme="majorHAnsi"/>
          <w:noProof/>
          <w:lang w:val="sq-AL"/>
        </w:rPr>
      </w:pPr>
    </w:p>
    <w:p w14:paraId="5C25F0A8" w14:textId="77777777" w:rsidR="0014208D" w:rsidRDefault="0014208D" w:rsidP="00D31F37">
      <w:pPr>
        <w:spacing w:before="0"/>
        <w:rPr>
          <w:rFonts w:asciiTheme="majorHAnsi" w:hAnsiTheme="majorHAnsi" w:cstheme="majorHAnsi"/>
          <w:noProof/>
          <w:lang w:val="sq-AL"/>
        </w:rPr>
      </w:pPr>
    </w:p>
    <w:p w14:paraId="6DF706A9" w14:textId="5E152537" w:rsidR="00D31F37" w:rsidRPr="00516127" w:rsidRDefault="00D31F37" w:rsidP="00D31F37">
      <w:pPr>
        <w:pStyle w:val="Caption"/>
        <w:rPr>
          <w:rFonts w:asciiTheme="majorHAnsi" w:hAnsiTheme="majorHAnsi" w:cstheme="majorHAnsi"/>
          <w:noProof/>
          <w:lang w:val="sq-AL"/>
        </w:rPr>
      </w:pPr>
      <w:bookmarkStart w:id="75" w:name="_Toc229130026"/>
      <w:r w:rsidRPr="00516127">
        <w:rPr>
          <w:rFonts w:asciiTheme="majorHAnsi" w:hAnsiTheme="majorHAnsi" w:cstheme="majorHAnsi"/>
          <w:noProof/>
          <w:lang w:val="sq-AL"/>
        </w:rPr>
        <w:lastRenderedPageBreak/>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9</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Përbërja e të ardhurave jotatimore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 në % të realizimit</w:t>
      </w:r>
      <w:bookmarkEnd w:id="75"/>
    </w:p>
    <w:p w14:paraId="38C78319" w14:textId="77777777" w:rsidR="00D31F37" w:rsidRPr="00516127" w:rsidRDefault="00D31F37" w:rsidP="00D31F37">
      <w:pPr>
        <w:spacing w:before="0"/>
        <w:jc w:val="center"/>
        <w:rPr>
          <w:rFonts w:asciiTheme="majorHAnsi" w:eastAsia="SimSun" w:hAnsiTheme="majorHAnsi" w:cstheme="majorHAnsi"/>
          <w:i/>
          <w:noProof/>
          <w:lang w:val="sq-AL"/>
        </w:rPr>
      </w:pPr>
      <w:r w:rsidRPr="00516127">
        <w:rPr>
          <w:rFonts w:asciiTheme="majorHAnsi" w:hAnsiTheme="majorHAnsi" w:cstheme="majorHAnsi"/>
          <w:noProof/>
        </w:rPr>
        <w:drawing>
          <wp:inline distT="0" distB="0" distL="0" distR="0" wp14:anchorId="6E8DC787" wp14:editId="396A55E2">
            <wp:extent cx="5561965" cy="2560320"/>
            <wp:effectExtent l="0" t="0" r="635" b="11430"/>
            <wp:docPr id="1587890176" name="Chart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FD19BE" w14:textId="77777777" w:rsidR="00D31F37" w:rsidRPr="00516127" w:rsidRDefault="00D31F37" w:rsidP="00D31F37">
      <w:pPr>
        <w:spacing w:before="0" w:line="360" w:lineRule="auto"/>
        <w:ind w:left="720"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00D168B1" w14:textId="77777777" w:rsidR="00D31F37" w:rsidRPr="00516127" w:rsidRDefault="00D31F37" w:rsidP="00D31F37">
      <w:pPr>
        <w:spacing w:before="0" w:line="360" w:lineRule="auto"/>
        <w:ind w:left="720" w:firstLine="720"/>
        <w:rPr>
          <w:rFonts w:asciiTheme="majorHAnsi" w:hAnsiTheme="majorHAnsi" w:cstheme="majorHAnsi"/>
          <w:bCs/>
          <w:i/>
          <w:noProof/>
          <w:sz w:val="18"/>
          <w:szCs w:val="18"/>
          <w:lang w:val="sq-AL"/>
        </w:rPr>
      </w:pPr>
    </w:p>
    <w:p w14:paraId="7CA9F988" w14:textId="77777777" w:rsidR="00D31F37" w:rsidRPr="00126520" w:rsidRDefault="00D31F37" w:rsidP="00126520">
      <w:pPr>
        <w:pStyle w:val="Heading3"/>
        <w:rPr>
          <w:i/>
          <w:iCs/>
        </w:rPr>
      </w:pPr>
      <w:bookmarkStart w:id="76" w:name="_Toc10033273"/>
      <w:bookmarkStart w:id="77" w:name="_Toc10721410"/>
      <w:bookmarkStart w:id="78" w:name="_Toc229390812"/>
      <w:proofErr w:type="spellStart"/>
      <w:r w:rsidRPr="00126520">
        <w:rPr>
          <w:i/>
          <w:iCs/>
        </w:rPr>
        <w:t>Të</w:t>
      </w:r>
      <w:proofErr w:type="spellEnd"/>
      <w:r w:rsidRPr="00126520">
        <w:rPr>
          <w:i/>
          <w:iCs/>
        </w:rPr>
        <w:t xml:space="preserve"> </w:t>
      </w:r>
      <w:proofErr w:type="spellStart"/>
      <w:r w:rsidRPr="00126520">
        <w:rPr>
          <w:i/>
          <w:iCs/>
        </w:rPr>
        <w:t>ardhurat</w:t>
      </w:r>
      <w:proofErr w:type="spellEnd"/>
      <w:r w:rsidRPr="00126520">
        <w:rPr>
          <w:i/>
          <w:iCs/>
        </w:rPr>
        <w:t xml:space="preserve"> </w:t>
      </w:r>
      <w:proofErr w:type="spellStart"/>
      <w:r w:rsidRPr="00126520">
        <w:rPr>
          <w:i/>
          <w:iCs/>
        </w:rPr>
        <w:t>nga</w:t>
      </w:r>
      <w:proofErr w:type="spellEnd"/>
      <w:r w:rsidRPr="00126520">
        <w:rPr>
          <w:i/>
          <w:iCs/>
        </w:rPr>
        <w:t xml:space="preserve"> </w:t>
      </w:r>
      <w:proofErr w:type="spellStart"/>
      <w:r w:rsidRPr="00126520">
        <w:rPr>
          <w:i/>
          <w:iCs/>
        </w:rPr>
        <w:t>tatimet</w:t>
      </w:r>
      <w:proofErr w:type="spellEnd"/>
      <w:r w:rsidRPr="00126520">
        <w:rPr>
          <w:i/>
          <w:iCs/>
        </w:rPr>
        <w:t xml:space="preserve"> </w:t>
      </w:r>
      <w:proofErr w:type="spellStart"/>
      <w:r w:rsidRPr="00126520">
        <w:rPr>
          <w:i/>
          <w:iCs/>
        </w:rPr>
        <w:t>dhe</w:t>
      </w:r>
      <w:proofErr w:type="spellEnd"/>
      <w:r w:rsidRPr="00126520">
        <w:rPr>
          <w:i/>
          <w:iCs/>
        </w:rPr>
        <w:t xml:space="preserve"> </w:t>
      </w:r>
      <w:proofErr w:type="spellStart"/>
      <w:r w:rsidRPr="00126520">
        <w:rPr>
          <w:i/>
          <w:iCs/>
        </w:rPr>
        <w:t>doganat</w:t>
      </w:r>
      <w:bookmarkEnd w:id="76"/>
      <w:bookmarkEnd w:id="77"/>
      <w:bookmarkEnd w:id="78"/>
      <w:proofErr w:type="spellEnd"/>
    </w:p>
    <w:p w14:paraId="1FD6CF32" w14:textId="2650CF52" w:rsidR="00D31F37" w:rsidRDefault="00D31F37" w:rsidP="00D31F37">
      <w:pPr>
        <w:spacing w:before="0"/>
        <w:rPr>
          <w:rFonts w:asciiTheme="majorHAnsi" w:hAnsiTheme="majorHAnsi" w:cstheme="majorHAnsi"/>
          <w:noProof/>
          <w:lang w:val="sq-AL"/>
        </w:rPr>
      </w:pPr>
      <w:r w:rsidRPr="00516127">
        <w:rPr>
          <w:rFonts w:asciiTheme="majorHAnsi" w:hAnsiTheme="majorHAnsi" w:cstheme="majorHAnsi"/>
          <w:noProof/>
          <w:lang w:val="sq-AL"/>
        </w:rPr>
        <w:t xml:space="preserve">Të ardhurat nga “Tatimet dhe Dogana”  janë burimi kryesor i të ardhurave të përgjithshme për vitin 2025 të cilat kanë kontribuar në buxhetin e shtetit me rreth 18.7% të PBB. Krahasuar me vitin 2024, ky zë shënon një performancë pozitive prej 39.2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ose 8.6% më shumë. Në krahasim me planin e rishikuar të aktit normativ nr.10, realizimi është 99.3% ose -3.4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pak.</w:t>
      </w:r>
    </w:p>
    <w:p w14:paraId="0ED768B0" w14:textId="068F99F1" w:rsidR="00D31F37" w:rsidRPr="00516127" w:rsidRDefault="00D31F37" w:rsidP="00D31F37">
      <w:pPr>
        <w:pStyle w:val="Caption"/>
        <w:rPr>
          <w:rFonts w:asciiTheme="majorHAnsi" w:hAnsiTheme="majorHAnsi" w:cstheme="majorHAnsi"/>
          <w:noProof/>
          <w:lang w:val="sq-AL"/>
        </w:rPr>
      </w:pPr>
      <w:bookmarkStart w:id="79" w:name="_Toc229130027"/>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10</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 nga tatimet dhe doganat në vite (në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LEK) dhe në % të PBB</w:t>
      </w:r>
      <w:bookmarkEnd w:id="79"/>
    </w:p>
    <w:p w14:paraId="78D7F243" w14:textId="77777777" w:rsidR="00D31F37" w:rsidRPr="00516127" w:rsidRDefault="00D31F37" w:rsidP="00D31F37">
      <w:pPr>
        <w:spacing w:before="0"/>
        <w:jc w:val="center"/>
        <w:rPr>
          <w:rFonts w:asciiTheme="majorHAnsi" w:hAnsiTheme="majorHAnsi" w:cstheme="majorHAnsi"/>
          <w:noProof/>
          <w:lang w:val="sq-AL"/>
        </w:rPr>
      </w:pPr>
      <w:r w:rsidRPr="00516127">
        <w:rPr>
          <w:noProof/>
        </w:rPr>
        <w:drawing>
          <wp:inline distT="0" distB="0" distL="0" distR="0" wp14:anchorId="5574E416" wp14:editId="05681E6F">
            <wp:extent cx="5584825" cy="1777594"/>
            <wp:effectExtent l="0" t="0" r="15875" b="13335"/>
            <wp:docPr id="1322694308" name="Chart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75FBBD" w14:textId="77777777" w:rsidR="00D31F37" w:rsidRDefault="00D31F37" w:rsidP="00D31F37">
      <w:pPr>
        <w:spacing w:before="0" w:line="360" w:lineRule="auto"/>
        <w:ind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3A4C68AF" w14:textId="77777777" w:rsidR="000B4A64" w:rsidRPr="000B4A64" w:rsidRDefault="000B4A64" w:rsidP="00D31F37">
      <w:pPr>
        <w:spacing w:before="0" w:line="360" w:lineRule="auto"/>
        <w:ind w:firstLine="720"/>
        <w:rPr>
          <w:rFonts w:asciiTheme="majorHAnsi" w:hAnsiTheme="majorHAnsi" w:cstheme="majorHAnsi"/>
          <w:bCs/>
          <w:i/>
          <w:noProof/>
          <w:sz w:val="4"/>
          <w:szCs w:val="4"/>
          <w:lang w:val="sq-AL"/>
        </w:rPr>
      </w:pPr>
    </w:p>
    <w:p w14:paraId="3C473DD4" w14:textId="78653D7A" w:rsidR="00D31F37" w:rsidRPr="00516127" w:rsidRDefault="00D31F37" w:rsidP="00D31F37">
      <w:pPr>
        <w:pStyle w:val="Caption"/>
        <w:rPr>
          <w:rFonts w:asciiTheme="majorHAnsi" w:hAnsiTheme="majorHAnsi" w:cstheme="majorHAnsi"/>
          <w:noProof/>
          <w:lang w:val="sq-AL"/>
        </w:rPr>
      </w:pPr>
      <w:bookmarkStart w:id="80" w:name="_Toc229130028"/>
      <w:r w:rsidRPr="00516127">
        <w:rPr>
          <w:rFonts w:asciiTheme="majorHAnsi" w:hAnsiTheme="majorHAnsi" w:cstheme="majorHAnsi"/>
          <w:noProof/>
          <w:lang w:val="sq-AL"/>
        </w:rPr>
        <w:t xml:space="preserve">Grafiku </w:t>
      </w:r>
      <w:r w:rsidRPr="00516127">
        <w:rPr>
          <w:rFonts w:asciiTheme="majorHAnsi" w:hAnsiTheme="majorHAnsi" w:cstheme="majorHAnsi"/>
          <w:noProof/>
          <w:lang w:val="sq-AL"/>
        </w:rPr>
        <w:fldChar w:fldCharType="begin"/>
      </w:r>
      <w:r w:rsidRPr="00516127">
        <w:rPr>
          <w:rFonts w:asciiTheme="majorHAnsi" w:hAnsiTheme="majorHAnsi" w:cstheme="majorHAnsi"/>
          <w:noProof/>
          <w:lang w:val="sq-AL"/>
        </w:rPr>
        <w:instrText xml:space="preserve"> SEQ Grafiku \* ARABIC </w:instrText>
      </w:r>
      <w:r w:rsidRPr="00516127">
        <w:rPr>
          <w:rFonts w:asciiTheme="majorHAnsi" w:hAnsiTheme="majorHAnsi" w:cstheme="majorHAnsi"/>
          <w:noProof/>
          <w:lang w:val="sq-AL"/>
        </w:rPr>
        <w:fldChar w:fldCharType="separate"/>
      </w:r>
      <w:r w:rsidR="00CB4DE6">
        <w:rPr>
          <w:rFonts w:asciiTheme="majorHAnsi" w:hAnsiTheme="majorHAnsi" w:cstheme="majorHAnsi"/>
          <w:noProof/>
          <w:lang w:val="sq-AL"/>
        </w:rPr>
        <w:t>11</w:t>
      </w:r>
      <w:r w:rsidRPr="00516127">
        <w:rPr>
          <w:rFonts w:asciiTheme="majorHAnsi" w:hAnsiTheme="majorHAnsi" w:cstheme="majorHAnsi"/>
          <w:noProof/>
          <w:lang w:val="sq-AL"/>
        </w:rPr>
        <w:fldChar w:fldCharType="end"/>
      </w:r>
      <w:r w:rsidRPr="00516127">
        <w:rPr>
          <w:rFonts w:asciiTheme="majorHAnsi" w:hAnsiTheme="majorHAnsi" w:cstheme="majorHAnsi"/>
          <w:noProof/>
          <w:lang w:val="sq-AL"/>
        </w:rPr>
        <w:t xml:space="preserve"> Të ardhurat nga zërat tatimor</w:t>
      </w:r>
      <w:r w:rsidR="0056260B">
        <w:rPr>
          <w:rFonts w:asciiTheme="majorHAnsi" w:hAnsiTheme="majorHAnsi" w:cstheme="majorHAnsi"/>
          <w:noProof/>
          <w:lang w:val="sq-AL"/>
        </w:rPr>
        <w:t>ë</w:t>
      </w:r>
      <w:r w:rsidRPr="00516127">
        <w:rPr>
          <w:rFonts w:asciiTheme="majorHAnsi" w:hAnsiTheme="majorHAnsi" w:cstheme="majorHAnsi"/>
          <w:noProof/>
          <w:lang w:val="sq-AL"/>
        </w:rPr>
        <w:t xml:space="preserve"> në raport me të ardhurat totale nga tatimet dhe doganat për vitin 2025</w:t>
      </w:r>
      <w:bookmarkEnd w:id="80"/>
    </w:p>
    <w:p w14:paraId="141BC263" w14:textId="77777777" w:rsidR="00D31F37" w:rsidRPr="00516127" w:rsidRDefault="00D31F37" w:rsidP="00D31F37">
      <w:pPr>
        <w:spacing w:before="0"/>
        <w:jc w:val="center"/>
        <w:rPr>
          <w:rFonts w:asciiTheme="majorHAnsi" w:hAnsiTheme="majorHAnsi" w:cstheme="majorHAnsi"/>
          <w:noProof/>
          <w:sz w:val="21"/>
          <w:szCs w:val="21"/>
          <w:lang w:val="sq-AL"/>
        </w:rPr>
      </w:pPr>
      <w:r w:rsidRPr="00516127">
        <w:rPr>
          <w:rFonts w:asciiTheme="majorHAnsi" w:hAnsiTheme="majorHAnsi" w:cstheme="majorHAnsi"/>
          <w:noProof/>
        </w:rPr>
        <w:drawing>
          <wp:inline distT="0" distB="0" distL="0" distR="0" wp14:anchorId="57D6C436" wp14:editId="773BDEC2">
            <wp:extent cx="5437505" cy="2216506"/>
            <wp:effectExtent l="0" t="0" r="10795" b="12700"/>
            <wp:docPr id="1957131326" name="Chart 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FD17AD" w14:textId="77777777" w:rsidR="00D31F37" w:rsidRDefault="00D31F37" w:rsidP="00D31F37">
      <w:pPr>
        <w:spacing w:before="0" w:line="360" w:lineRule="auto"/>
        <w:ind w:firstLine="720"/>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1381F4CF" w14:textId="77777777" w:rsidR="00D31F37" w:rsidRPr="00516127" w:rsidRDefault="00D31F37" w:rsidP="00D31F37">
      <w:pPr>
        <w:spacing w:before="0"/>
        <w:ind w:left="720" w:firstLine="720"/>
        <w:rPr>
          <w:rFonts w:asciiTheme="majorHAnsi" w:hAnsiTheme="majorHAnsi" w:cstheme="majorHAnsi"/>
          <w:i/>
          <w:noProof/>
          <w:sz w:val="4"/>
          <w:szCs w:val="4"/>
          <w:lang w:val="sq-AL"/>
        </w:rPr>
      </w:pPr>
    </w:p>
    <w:p w14:paraId="678FFD67" w14:textId="4F2B573F" w:rsidR="0014208D" w:rsidRDefault="00D31F37" w:rsidP="00D31F37">
      <w:pPr>
        <w:spacing w:before="0"/>
        <w:rPr>
          <w:rFonts w:asciiTheme="majorHAnsi" w:hAnsiTheme="majorHAnsi" w:cstheme="majorHAnsi"/>
          <w:noProof/>
          <w:lang w:val="sq-AL"/>
        </w:rPr>
      </w:pPr>
      <w:r w:rsidRPr="00516127">
        <w:rPr>
          <w:rFonts w:asciiTheme="majorHAnsi" w:hAnsiTheme="majorHAnsi" w:cstheme="majorHAnsi"/>
          <w:noProof/>
          <w:lang w:val="sq-AL"/>
        </w:rPr>
        <w:lastRenderedPageBreak/>
        <w:t>Të ardhurat</w:t>
      </w:r>
      <w:r w:rsidR="0019308C">
        <w:rPr>
          <w:rFonts w:asciiTheme="majorHAnsi" w:hAnsiTheme="majorHAnsi" w:cstheme="majorHAnsi"/>
          <w:noProof/>
          <w:lang w:val="sq-AL"/>
        </w:rPr>
        <w:t xml:space="preserve"> q</w:t>
      </w:r>
      <w:r w:rsidRPr="00516127">
        <w:rPr>
          <w:rFonts w:asciiTheme="majorHAnsi" w:hAnsiTheme="majorHAnsi" w:cstheme="majorHAnsi"/>
          <w:noProof/>
          <w:lang w:val="sq-AL"/>
        </w:rPr>
        <w:t xml:space="preserve">ë administrohen nga Drejtoria e Përgjithshme e Tatimeve (DPT) dhe Drejtoria e Përgjithshme e Doganave (DPD), përfshijnë Tatimin mbi vlerën e shtuar; Tatimin mbi fitimin; Tatimin mbi të ardhurat personale; Akcizat; Taksat Doganore dhe Taksa të tjera kombëtare. DPT administron edhe mbledhjen e rreth 96% të totalit të të ardhurave nga kontributet e sigurimeve shoqërore dhe shëndetësore. Të ardhurat e administruara nga DPT e DPD për vitin 2025, janë realizuar në vlerën 668.3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9.1% ose 55.7 </w:t>
      </w:r>
      <w:r w:rsidR="0056260B">
        <w:rPr>
          <w:rFonts w:asciiTheme="majorHAnsi" w:hAnsiTheme="majorHAnsi" w:cstheme="majorHAnsi"/>
          <w:noProof/>
          <w:lang w:val="sq-AL"/>
        </w:rPr>
        <w:t>miliardë</w:t>
      </w:r>
      <w:r w:rsidRPr="00516127">
        <w:rPr>
          <w:rFonts w:asciiTheme="majorHAnsi" w:hAnsiTheme="majorHAnsi" w:cstheme="majorHAnsi"/>
          <w:noProof/>
          <w:lang w:val="sq-AL"/>
        </w:rPr>
        <w:t xml:space="preserve"> </w:t>
      </w:r>
      <w:r w:rsidR="0056260B">
        <w:rPr>
          <w:rFonts w:asciiTheme="majorHAnsi" w:hAnsiTheme="majorHAnsi" w:cstheme="majorHAnsi"/>
          <w:noProof/>
          <w:lang w:val="sq-AL"/>
        </w:rPr>
        <w:t>LEK</w:t>
      </w:r>
      <w:r w:rsidRPr="00516127">
        <w:rPr>
          <w:rFonts w:asciiTheme="majorHAnsi" w:hAnsiTheme="majorHAnsi" w:cstheme="majorHAnsi"/>
          <w:noProof/>
          <w:lang w:val="sq-AL"/>
        </w:rPr>
        <w:t xml:space="preserve"> më shumë se e njëjta periudhë e vitit të kaluar dhe realizim në masën 99.6% të planit vjetor të rishikuar </w:t>
      </w:r>
      <w:r w:rsidR="0014208D">
        <w:rPr>
          <w:rFonts w:asciiTheme="majorHAnsi" w:hAnsiTheme="majorHAnsi" w:cstheme="majorHAnsi"/>
          <w:noProof/>
          <w:lang w:val="sq-AL"/>
        </w:rPr>
        <w:t xml:space="preserve">sipas </w:t>
      </w:r>
      <w:r w:rsidRPr="00516127">
        <w:rPr>
          <w:rFonts w:asciiTheme="majorHAnsi" w:hAnsiTheme="majorHAnsi" w:cstheme="majorHAnsi"/>
          <w:noProof/>
          <w:lang w:val="sq-AL"/>
        </w:rPr>
        <w:t>A</w:t>
      </w:r>
      <w:r w:rsidR="0014208D">
        <w:rPr>
          <w:rFonts w:asciiTheme="majorHAnsi" w:hAnsiTheme="majorHAnsi" w:cstheme="majorHAnsi"/>
          <w:noProof/>
          <w:lang w:val="sq-AL"/>
        </w:rPr>
        <w:t>N</w:t>
      </w:r>
      <w:r w:rsidRPr="00516127">
        <w:rPr>
          <w:rFonts w:asciiTheme="majorHAnsi" w:hAnsiTheme="majorHAnsi" w:cstheme="majorHAnsi"/>
          <w:noProof/>
          <w:lang w:val="sq-AL"/>
        </w:rPr>
        <w:t>.10</w:t>
      </w:r>
      <w:r w:rsidR="0014208D">
        <w:rPr>
          <w:rFonts w:asciiTheme="majorHAnsi" w:hAnsiTheme="majorHAnsi" w:cstheme="majorHAnsi"/>
          <w:noProof/>
          <w:lang w:val="sq-AL"/>
        </w:rPr>
        <w:t>/</w:t>
      </w:r>
      <w:r w:rsidRPr="00516127">
        <w:rPr>
          <w:rFonts w:asciiTheme="majorHAnsi" w:hAnsiTheme="majorHAnsi" w:cstheme="majorHAnsi"/>
          <w:noProof/>
          <w:lang w:val="sq-AL"/>
        </w:rPr>
        <w:t xml:space="preserve">2025. </w:t>
      </w:r>
    </w:p>
    <w:p w14:paraId="0B00BD83" w14:textId="77777777" w:rsidR="0014208D" w:rsidRPr="0014208D" w:rsidRDefault="0014208D" w:rsidP="00D31F37">
      <w:pPr>
        <w:spacing w:before="0"/>
        <w:rPr>
          <w:rFonts w:asciiTheme="majorHAnsi" w:hAnsiTheme="majorHAnsi" w:cstheme="majorHAnsi"/>
          <w:noProof/>
          <w:sz w:val="8"/>
          <w:szCs w:val="8"/>
          <w:lang w:val="sq-AL"/>
        </w:rPr>
      </w:pPr>
    </w:p>
    <w:p w14:paraId="456E2B8E" w14:textId="39381173" w:rsidR="00D31F37" w:rsidRPr="00665D96" w:rsidRDefault="00D31F37" w:rsidP="00665D96">
      <w:pPr>
        <w:spacing w:before="0"/>
        <w:rPr>
          <w:rFonts w:asciiTheme="majorHAnsi" w:hAnsiTheme="majorHAnsi" w:cstheme="majorHAnsi"/>
          <w:noProof/>
          <w:lang w:val="sq-AL"/>
        </w:rPr>
      </w:pPr>
      <w:r w:rsidRPr="0014208D">
        <w:rPr>
          <w:rFonts w:asciiTheme="majorHAnsi" w:hAnsiTheme="majorHAnsi" w:cstheme="majorHAnsi"/>
          <w:i/>
          <w:iCs/>
          <w:noProof/>
          <w:lang w:val="sq-AL"/>
        </w:rPr>
        <w:t>Rezultati pozitiv</w:t>
      </w:r>
      <w:r w:rsidRPr="00516127">
        <w:rPr>
          <w:rFonts w:asciiTheme="majorHAnsi" w:hAnsiTheme="majorHAnsi" w:cstheme="majorHAnsi"/>
          <w:noProof/>
          <w:lang w:val="sq-AL"/>
        </w:rPr>
        <w:t xml:space="preserve"> krahasuar me 2024, është një tregues i qartë i konsolidimit të ekonomisë shqiptare</w:t>
      </w:r>
      <w:r w:rsidR="00665D96">
        <w:rPr>
          <w:rFonts w:asciiTheme="majorHAnsi" w:hAnsiTheme="majorHAnsi" w:cstheme="majorHAnsi"/>
          <w:noProof/>
          <w:lang w:val="sq-AL"/>
        </w:rPr>
        <w:t>. P</w:t>
      </w:r>
      <w:r w:rsidRPr="00665D96">
        <w:rPr>
          <w:rFonts w:cs="Calibri"/>
          <w:noProof/>
          <w:lang w:val="sq-AL"/>
        </w:rPr>
        <w:t xml:space="preserve">ër vitin 2025 konstatohet se të ardhurat nga </w:t>
      </w:r>
      <w:r w:rsidR="00665D96" w:rsidRPr="00665D96">
        <w:rPr>
          <w:rFonts w:cs="Calibri"/>
          <w:i/>
          <w:iCs/>
          <w:noProof/>
          <w:lang w:val="sq-AL"/>
        </w:rPr>
        <w:t>TVSH</w:t>
      </w:r>
      <w:r w:rsidRPr="00665D96">
        <w:rPr>
          <w:rFonts w:cs="Calibri"/>
          <w:i/>
          <w:iCs/>
          <w:noProof/>
          <w:lang w:val="sq-AL"/>
        </w:rPr>
        <w:t xml:space="preserve"> neto e brendshme</w:t>
      </w:r>
      <w:r w:rsidRPr="00665D96">
        <w:rPr>
          <w:rFonts w:cs="Calibri"/>
          <w:noProof/>
          <w:lang w:val="sq-AL"/>
        </w:rPr>
        <w:t xml:space="preserve"> janë më të larta në krahasim me 2024 në shumën 8.9</w:t>
      </w:r>
      <w:r w:rsidR="00665D96">
        <w:rPr>
          <w:rFonts w:cs="Calibri"/>
          <w:noProof/>
          <w:lang w:val="sq-AL"/>
        </w:rPr>
        <w:t>mld</w:t>
      </w:r>
      <w:r w:rsidRPr="00665D96">
        <w:rPr>
          <w:rFonts w:cs="Calibri"/>
          <w:noProof/>
          <w:lang w:val="sq-AL"/>
        </w:rPr>
        <w:t xml:space="preserve"> </w:t>
      </w:r>
      <w:r w:rsidR="0056260B" w:rsidRPr="00665D96">
        <w:rPr>
          <w:rFonts w:cs="Calibri"/>
          <w:noProof/>
          <w:lang w:val="sq-AL"/>
        </w:rPr>
        <w:t>LEK</w:t>
      </w:r>
      <w:r w:rsidRPr="00665D96">
        <w:rPr>
          <w:rFonts w:cs="Calibri"/>
          <w:noProof/>
          <w:lang w:val="sq-AL"/>
        </w:rPr>
        <w:t xml:space="preserve"> dhe në krahasim me planin e rishikuar në shumën 2.7</w:t>
      </w:r>
      <w:r w:rsidR="00665D96">
        <w:rPr>
          <w:rFonts w:cs="Calibri"/>
          <w:noProof/>
          <w:lang w:val="sq-AL"/>
        </w:rPr>
        <w:t>mld</w:t>
      </w:r>
      <w:r w:rsidRPr="00665D96">
        <w:rPr>
          <w:rFonts w:cs="Calibri"/>
          <w:noProof/>
          <w:lang w:val="sq-AL"/>
        </w:rPr>
        <w:t xml:space="preserve"> </w:t>
      </w:r>
      <w:r w:rsidR="0056260B" w:rsidRPr="00665D96">
        <w:rPr>
          <w:rFonts w:cs="Calibri"/>
          <w:noProof/>
          <w:lang w:val="sq-AL"/>
        </w:rPr>
        <w:t>LEK</w:t>
      </w:r>
      <w:r w:rsidRPr="00665D96">
        <w:rPr>
          <w:rFonts w:cs="Calibri"/>
          <w:noProof/>
          <w:lang w:val="sq-AL"/>
        </w:rPr>
        <w:t xml:space="preserve"> më shumë</w:t>
      </w:r>
      <w:r w:rsidR="00665D96">
        <w:rPr>
          <w:rFonts w:cs="Calibri"/>
          <w:noProof/>
          <w:lang w:val="sq-AL"/>
        </w:rPr>
        <w:t>, ku</w:t>
      </w:r>
      <w:r w:rsidRPr="00665D96">
        <w:rPr>
          <w:rFonts w:cs="Calibri"/>
          <w:noProof/>
          <w:lang w:val="sq-AL"/>
        </w:rPr>
        <w:t xml:space="preserve"> </w:t>
      </w:r>
      <w:r w:rsidR="00665D96">
        <w:rPr>
          <w:rFonts w:cs="Calibri"/>
          <w:noProof/>
          <w:lang w:val="sq-AL"/>
        </w:rPr>
        <w:t>n</w:t>
      </w:r>
      <w:r w:rsidRPr="00665D96">
        <w:rPr>
          <w:rFonts w:cs="Calibri"/>
          <w:noProof/>
          <w:lang w:val="sq-AL"/>
        </w:rPr>
        <w:t>dikim ka pa</w:t>
      </w:r>
      <w:r w:rsidR="00665D96">
        <w:rPr>
          <w:rFonts w:cs="Calibri"/>
          <w:noProof/>
          <w:lang w:val="sq-AL"/>
        </w:rPr>
        <w:t>t</w:t>
      </w:r>
      <w:r w:rsidRPr="00665D96">
        <w:rPr>
          <w:rFonts w:cs="Calibri"/>
          <w:noProof/>
          <w:lang w:val="sq-AL"/>
        </w:rPr>
        <w:t xml:space="preserve">ur: </w:t>
      </w:r>
    </w:p>
    <w:p w14:paraId="2E89BABB" w14:textId="2DECC7EB" w:rsidR="00D31F37"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 xml:space="preserve">TVSH bruto e arkëtuar në vitin 2025, është rreth 1.3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më shumë se plani ose +1.4%. Krahasuar me vitin 2024 janë rreth 11.8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më shumë ose 14.4%. </w:t>
      </w:r>
    </w:p>
    <w:p w14:paraId="135AFB53" w14:textId="77777777" w:rsidR="0014208D"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 xml:space="preserve">Gjatë vitit 2025 janë dhënë 25.3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rimbursime ose -1.4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më pak se planifikimi dhe 2.9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më shumë se viti 2024. </w:t>
      </w:r>
    </w:p>
    <w:p w14:paraId="2BF50B4C" w14:textId="77777777" w:rsidR="0014208D" w:rsidRPr="0014208D" w:rsidRDefault="0014208D" w:rsidP="0014208D">
      <w:pPr>
        <w:autoSpaceDE w:val="0"/>
        <w:autoSpaceDN w:val="0"/>
        <w:adjustRightInd w:val="0"/>
        <w:spacing w:before="0"/>
        <w:rPr>
          <w:rFonts w:asciiTheme="majorHAnsi" w:hAnsiTheme="majorHAnsi" w:cstheme="majorHAnsi"/>
          <w:bCs/>
          <w:sz w:val="8"/>
          <w:szCs w:val="8"/>
          <w:lang w:val="sq-AL"/>
        </w:rPr>
      </w:pPr>
    </w:p>
    <w:p w14:paraId="569322A3" w14:textId="77777777" w:rsidR="005245F0" w:rsidRDefault="005245F0" w:rsidP="0014208D">
      <w:pPr>
        <w:autoSpaceDE w:val="0"/>
        <w:autoSpaceDN w:val="0"/>
        <w:adjustRightInd w:val="0"/>
        <w:spacing w:before="0"/>
        <w:rPr>
          <w:rFonts w:asciiTheme="majorHAnsi" w:hAnsiTheme="majorHAnsi" w:cstheme="majorHAnsi"/>
          <w:bCs/>
          <w:lang w:val="sq-AL"/>
        </w:rPr>
      </w:pPr>
    </w:p>
    <w:p w14:paraId="159F920A" w14:textId="57B85B4B" w:rsidR="0014208D" w:rsidRPr="0014208D" w:rsidRDefault="00D31F37" w:rsidP="0014208D">
      <w:pPr>
        <w:autoSpaceDE w:val="0"/>
        <w:autoSpaceDN w:val="0"/>
        <w:adjustRightInd w:val="0"/>
        <w:spacing w:before="0"/>
        <w:rPr>
          <w:rFonts w:cs="Calibri"/>
          <w:i/>
          <w:iCs/>
          <w:noProof/>
          <w:lang w:val="sq-AL"/>
        </w:rPr>
      </w:pPr>
      <w:r w:rsidRPr="0014208D">
        <w:rPr>
          <w:rFonts w:asciiTheme="majorHAnsi" w:hAnsiTheme="majorHAnsi" w:cstheme="majorHAnsi"/>
          <w:bCs/>
          <w:lang w:val="sq-AL"/>
        </w:rPr>
        <w:t xml:space="preserve">Të ardhurat nga </w:t>
      </w:r>
      <w:r w:rsidRPr="0014208D">
        <w:rPr>
          <w:rFonts w:asciiTheme="majorHAnsi" w:hAnsiTheme="majorHAnsi" w:cstheme="majorHAnsi"/>
          <w:bCs/>
          <w:i/>
          <w:iCs/>
          <w:lang w:val="sq-AL"/>
        </w:rPr>
        <w:t>tatimi mbi të ardhurat personale</w:t>
      </w:r>
      <w:r w:rsidRPr="0014208D">
        <w:rPr>
          <w:rFonts w:asciiTheme="majorHAnsi" w:hAnsiTheme="majorHAnsi" w:cstheme="majorHAnsi"/>
          <w:bCs/>
          <w:lang w:val="sq-AL"/>
        </w:rPr>
        <w:t xml:space="preserve"> vijojnë me rritje nga viti i kaluar si rezultat i: </w:t>
      </w:r>
    </w:p>
    <w:p w14:paraId="18625665" w14:textId="77777777" w:rsidR="00D31F37"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Ecurisë pozitive të rritjes tatimit mbi të ardhurat nga sektori publik (+17.8%) dhe privat (+26.2%) në krahasim me vitin 2024, si rezultat i fushatës anti-informalitet për deklarimin real të pagës në sektorin privat dhe eleminimin e punës në të zezë si dhe masat e marra në zbatim të Strategjisë Afatmesme të të Ardhurave dhe Planit të veprimit për vitin 2025;</w:t>
      </w:r>
    </w:p>
    <w:p w14:paraId="0F993284" w14:textId="3867AEC2" w:rsidR="00D31F37"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 xml:space="preserve">Rritje e të ardhurave nga tatimi mbi Deklaratën Individuale Vjetore të të Ardhurave me rreth 415 </w:t>
      </w:r>
      <w:r w:rsidR="0056260B" w:rsidRPr="00665D96">
        <w:rPr>
          <w:rFonts w:cs="Calibri"/>
          <w:i/>
          <w:iCs/>
          <w:noProof/>
          <w:lang w:val="sq-AL"/>
        </w:rPr>
        <w:t>milionë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ose +23.3% më shumë, për vitin 2025 krahasuar me vitin 2024. </w:t>
      </w:r>
    </w:p>
    <w:p w14:paraId="0333B2EC" w14:textId="72BF212C" w:rsidR="00D31F37"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 xml:space="preserve">Tatimit mbi të ardhurat nga shitja e pasurisë së paluajtshme me rritje prej 36% ose rreth  2 </w:t>
      </w:r>
      <w:r w:rsidR="0056260B" w:rsidRPr="00665D96">
        <w:rPr>
          <w:rFonts w:cs="Calibri"/>
          <w:i/>
          <w:iCs/>
          <w:noProof/>
          <w:lang w:val="sq-AL"/>
        </w:rPr>
        <w:t>miliardë</w:t>
      </w:r>
      <w:r w:rsidRPr="00665D96">
        <w:rPr>
          <w:rFonts w:cs="Calibri"/>
          <w:i/>
          <w:iCs/>
          <w:noProof/>
          <w:lang w:val="sq-AL"/>
        </w:rPr>
        <w:t xml:space="preserve"> </w:t>
      </w:r>
      <w:r w:rsidR="0056260B" w:rsidRPr="00665D96">
        <w:rPr>
          <w:rFonts w:cs="Calibri"/>
          <w:i/>
          <w:iCs/>
          <w:noProof/>
          <w:lang w:val="sq-AL"/>
        </w:rPr>
        <w:t>LEK</w:t>
      </w:r>
      <w:r w:rsidRPr="00665D96">
        <w:rPr>
          <w:rFonts w:cs="Calibri"/>
          <w:i/>
          <w:iCs/>
          <w:noProof/>
          <w:lang w:val="sq-AL"/>
        </w:rPr>
        <w:t xml:space="preserve"> më shumë në krahasim me vitin 2024, pavarësisht se gjatë 2025 është diskutuar projektligji i rivlerësimit; </w:t>
      </w:r>
    </w:p>
    <w:p w14:paraId="7163A75A" w14:textId="77777777" w:rsidR="00D31F37" w:rsidRPr="00665D96" w:rsidRDefault="00D31F37">
      <w:pPr>
        <w:pStyle w:val="ListParagraph"/>
        <w:numPr>
          <w:ilvl w:val="0"/>
          <w:numId w:val="40"/>
        </w:numPr>
        <w:autoSpaceDE w:val="0"/>
        <w:autoSpaceDN w:val="0"/>
        <w:adjustRightInd w:val="0"/>
        <w:spacing w:before="0" w:line="240" w:lineRule="auto"/>
        <w:rPr>
          <w:rFonts w:cs="Calibri"/>
          <w:i/>
          <w:iCs/>
          <w:noProof/>
          <w:lang w:val="sq-AL"/>
        </w:rPr>
      </w:pPr>
      <w:r w:rsidRPr="00665D96">
        <w:rPr>
          <w:rFonts w:cs="Calibri"/>
          <w:i/>
          <w:iCs/>
          <w:noProof/>
          <w:lang w:val="sq-AL"/>
        </w:rPr>
        <w:t>Rritja e të ardhurave nga interesat bankarë me 12.9% si dhe rritja e të ardhurave nga tatimi mbi të ardhurat nga qeratë me 8.5%. Të ardhurat nga qeratë janë indikator edhe në SAA dhe për vitin 2025 nuk janë realizuar sipas pritshmërive.</w:t>
      </w:r>
    </w:p>
    <w:p w14:paraId="17181A91" w14:textId="77777777" w:rsidR="00D31F37" w:rsidRPr="000B4A64" w:rsidRDefault="00D31F37" w:rsidP="00D31F37">
      <w:pPr>
        <w:tabs>
          <w:tab w:val="left" w:pos="1800"/>
        </w:tabs>
        <w:spacing w:before="0" w:line="240" w:lineRule="auto"/>
        <w:ind w:left="644"/>
        <w:contextualSpacing/>
        <w:rPr>
          <w:rFonts w:asciiTheme="majorHAnsi" w:hAnsiTheme="majorHAnsi" w:cstheme="majorHAnsi"/>
          <w:sz w:val="16"/>
          <w:szCs w:val="16"/>
          <w:lang w:val="sq-AL"/>
        </w:rPr>
      </w:pPr>
    </w:p>
    <w:p w14:paraId="50490435" w14:textId="77777777" w:rsidR="0014208D" w:rsidRDefault="00D31F37" w:rsidP="0014208D">
      <w:pPr>
        <w:spacing w:before="0"/>
        <w:rPr>
          <w:rFonts w:asciiTheme="majorHAnsi" w:hAnsiTheme="majorHAnsi" w:cstheme="majorHAnsi"/>
          <w:bCs/>
          <w:lang w:val="sq-AL"/>
        </w:rPr>
      </w:pPr>
      <w:r w:rsidRPr="00516127">
        <w:rPr>
          <w:rFonts w:asciiTheme="majorHAnsi" w:hAnsiTheme="majorHAnsi" w:cstheme="majorHAnsi"/>
          <w:bCs/>
          <w:lang w:val="sq-AL"/>
        </w:rPr>
        <w:t xml:space="preserve">Vazhdon ecuria e mirë e mbledhjes së </w:t>
      </w:r>
      <w:r w:rsidRPr="0014208D">
        <w:rPr>
          <w:rFonts w:asciiTheme="majorHAnsi" w:hAnsiTheme="majorHAnsi" w:cstheme="majorHAnsi"/>
          <w:bCs/>
          <w:i/>
          <w:iCs/>
          <w:lang w:val="sq-AL"/>
        </w:rPr>
        <w:t>të ardhurave nga kontributet</w:t>
      </w:r>
      <w:r w:rsidRPr="00516127">
        <w:rPr>
          <w:rFonts w:asciiTheme="majorHAnsi" w:hAnsiTheme="majorHAnsi" w:cstheme="majorHAnsi"/>
          <w:bCs/>
          <w:lang w:val="sq-AL"/>
        </w:rPr>
        <w:t xml:space="preserve"> si rezultat jo vetëm i efekteve të rritjes së fondit të pagave në sektorin shtetëror në krahasim me të njëjtën periudhë të vitit të kaluar nga e cila merret 27.9%, por edhe rritja e fondit të pagave në sektorin privat.</w:t>
      </w:r>
    </w:p>
    <w:p w14:paraId="74F70E2A" w14:textId="77777777" w:rsidR="0014208D" w:rsidRPr="0014208D" w:rsidRDefault="0014208D" w:rsidP="0014208D">
      <w:pPr>
        <w:spacing w:before="0"/>
        <w:rPr>
          <w:rFonts w:asciiTheme="majorHAnsi" w:hAnsiTheme="majorHAnsi" w:cstheme="majorHAnsi"/>
          <w:bCs/>
          <w:sz w:val="8"/>
          <w:szCs w:val="8"/>
          <w:lang w:val="sq-AL"/>
        </w:rPr>
      </w:pPr>
    </w:p>
    <w:p w14:paraId="46C4EB6F" w14:textId="06494A8A" w:rsidR="00D31F37" w:rsidRDefault="00D31F37" w:rsidP="0014208D">
      <w:pPr>
        <w:spacing w:before="0"/>
        <w:rPr>
          <w:rFonts w:asciiTheme="majorHAnsi" w:hAnsiTheme="majorHAnsi" w:cstheme="majorHAnsi"/>
          <w:bCs/>
          <w:lang w:val="sq-AL"/>
        </w:rPr>
      </w:pPr>
      <w:r w:rsidRPr="0014208D">
        <w:rPr>
          <w:rFonts w:asciiTheme="majorHAnsi" w:hAnsiTheme="majorHAnsi" w:cstheme="majorHAnsi"/>
          <w:bCs/>
          <w:i/>
          <w:iCs/>
          <w:lang w:val="sq-AL"/>
        </w:rPr>
        <w:t>Taksa nacionale</w:t>
      </w:r>
      <w:r w:rsidRPr="00516127">
        <w:rPr>
          <w:rFonts w:asciiTheme="majorHAnsi" w:hAnsiTheme="majorHAnsi" w:cstheme="majorHAnsi"/>
          <w:bCs/>
          <w:lang w:val="sq-AL"/>
        </w:rPr>
        <w:t xml:space="preserve"> rezulton me mbi realizim krahasuar me planin por edhe me rritje nga periudha paraardhëse kryesisht për zërat kryesorë si: taksa e qarkullimit me rritje 13.4%, taksa për automjetet e përdorura të transportit me rritje 9.5% si dhe taksa për ambalazhet plastike me rritje 9.6%. Për vitin 2025 ishin parashikuar 2</w:t>
      </w:r>
      <w:r w:rsidR="0014208D">
        <w:rPr>
          <w:rFonts w:asciiTheme="majorHAnsi" w:hAnsiTheme="majorHAnsi" w:cstheme="majorHAnsi"/>
          <w:bCs/>
          <w:lang w:val="sq-AL"/>
        </w:rPr>
        <w:t>mld</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të ardhura shtesë nga hyrja në fuqi e paketës nënligjore për lojrat e fatit, të cilat nuk u materializuan.</w:t>
      </w:r>
    </w:p>
    <w:p w14:paraId="5153D6D3" w14:textId="77777777" w:rsidR="0014208D" w:rsidRPr="0014208D" w:rsidRDefault="0014208D" w:rsidP="0014208D">
      <w:pPr>
        <w:spacing w:before="0"/>
        <w:rPr>
          <w:rFonts w:asciiTheme="majorHAnsi" w:hAnsiTheme="majorHAnsi" w:cstheme="majorHAnsi"/>
          <w:bCs/>
          <w:sz w:val="8"/>
          <w:szCs w:val="8"/>
          <w:lang w:val="sq-AL"/>
        </w:rPr>
      </w:pPr>
    </w:p>
    <w:p w14:paraId="1C218DDF" w14:textId="543BDDA7" w:rsidR="00D31F37" w:rsidRDefault="00D31F37" w:rsidP="0014208D">
      <w:pPr>
        <w:spacing w:before="0"/>
        <w:rPr>
          <w:rFonts w:asciiTheme="majorHAnsi" w:hAnsiTheme="majorHAnsi" w:cstheme="majorHAnsi"/>
          <w:lang w:val="sq-AL"/>
        </w:rPr>
      </w:pPr>
      <w:r w:rsidRPr="0014208D">
        <w:rPr>
          <w:rFonts w:asciiTheme="majorHAnsi" w:hAnsiTheme="majorHAnsi" w:cstheme="majorHAnsi"/>
          <w:bCs/>
          <w:i/>
          <w:iCs/>
          <w:lang w:val="sq-AL"/>
        </w:rPr>
        <w:t>Të ardhurat nga TVSH në import</w:t>
      </w:r>
      <w:r w:rsidRPr="00516127">
        <w:rPr>
          <w:rFonts w:asciiTheme="majorHAnsi" w:hAnsiTheme="majorHAnsi" w:cstheme="majorHAnsi"/>
          <w:bCs/>
          <w:lang w:val="sq-AL"/>
        </w:rPr>
        <w:t xml:space="preserve"> </w:t>
      </w:r>
      <w:r w:rsidR="005245F0">
        <w:rPr>
          <w:rFonts w:asciiTheme="majorHAnsi" w:hAnsiTheme="majorHAnsi" w:cstheme="majorHAnsi"/>
          <w:bCs/>
          <w:lang w:val="sq-AL"/>
        </w:rPr>
        <w:t>j</w:t>
      </w:r>
      <w:r w:rsidRPr="00516127">
        <w:rPr>
          <w:rFonts w:asciiTheme="majorHAnsi" w:hAnsiTheme="majorHAnsi" w:cstheme="majorHAnsi"/>
          <w:bCs/>
          <w:lang w:val="sq-AL"/>
        </w:rPr>
        <w:t xml:space="preserve">anë -1.3 % krahasuar me planin vjetor të rishikuar, ndërkohë që krahasuar me të njëjtë periudhë të vitit 2024, të ardhurat nga ky zë janë rritur me rreth +4.4 </w:t>
      </w:r>
      <w:r w:rsidR="0056260B">
        <w:rPr>
          <w:rFonts w:asciiTheme="majorHAnsi" w:hAnsiTheme="majorHAnsi" w:cstheme="majorHAnsi"/>
          <w:bCs/>
          <w:lang w:val="sq-AL"/>
        </w:rPr>
        <w:t>miliardë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ose +2.8 %. Sipas të dhënave të raportuara nga Administrata Doganore një ndikim të rëndësishëm në këtë rezultat kanë pasur edhe humbjet e shkaktuara nga kursi i këmbimit, nga rënia e dollarit </w:t>
      </w:r>
      <w:r w:rsidRPr="0014208D">
        <w:rPr>
          <w:rFonts w:asciiTheme="majorHAnsi" w:hAnsiTheme="majorHAnsi" w:cstheme="majorHAnsi"/>
          <w:bCs/>
          <w:lang w:val="sq-AL"/>
        </w:rPr>
        <w:t xml:space="preserve">me rreth -6% dhe rënia e euros me -3%, me efekt total vjetor rreth minus 9.5 </w:t>
      </w:r>
      <w:r w:rsidR="0056260B" w:rsidRPr="0014208D">
        <w:rPr>
          <w:rFonts w:asciiTheme="majorHAnsi" w:hAnsiTheme="majorHAnsi" w:cstheme="majorHAnsi"/>
          <w:bCs/>
          <w:lang w:val="sq-AL"/>
        </w:rPr>
        <w:t>miliardë</w:t>
      </w:r>
      <w:r w:rsidRPr="0014208D">
        <w:rPr>
          <w:rFonts w:asciiTheme="majorHAnsi" w:hAnsiTheme="majorHAnsi" w:cstheme="majorHAnsi"/>
          <w:bCs/>
          <w:lang w:val="sq-AL"/>
        </w:rPr>
        <w:t xml:space="preserve"> </w:t>
      </w:r>
      <w:r w:rsidR="0056260B" w:rsidRPr="0014208D">
        <w:rPr>
          <w:rFonts w:asciiTheme="majorHAnsi" w:hAnsiTheme="majorHAnsi" w:cstheme="majorHAnsi"/>
          <w:bCs/>
          <w:lang w:val="sq-AL"/>
        </w:rPr>
        <w:t>LEK</w:t>
      </w:r>
      <w:r w:rsidRPr="0014208D">
        <w:rPr>
          <w:rFonts w:asciiTheme="majorHAnsi" w:hAnsiTheme="majorHAnsi" w:cstheme="majorHAnsi"/>
          <w:bCs/>
          <w:lang w:val="sq-AL"/>
        </w:rPr>
        <w:t xml:space="preserve">. </w:t>
      </w:r>
      <w:r w:rsidRPr="00516127">
        <w:rPr>
          <w:rFonts w:asciiTheme="majorHAnsi" w:hAnsiTheme="majorHAnsi" w:cstheme="majorHAnsi"/>
          <w:lang w:val="sq-AL"/>
        </w:rPr>
        <w:t xml:space="preserve">Për vitin 2025, importi i taksuar në peshë është rritur me 10%, ndërsa në vlerë është rritur me 2%. Eksporti definitiv në peshë ka pësuar një rënie me rreth -1%, </w:t>
      </w:r>
      <w:r w:rsidR="005245F0">
        <w:rPr>
          <w:rFonts w:asciiTheme="majorHAnsi" w:hAnsiTheme="majorHAnsi" w:cstheme="majorHAnsi"/>
          <w:lang w:val="sq-AL"/>
        </w:rPr>
        <w:t>ose</w:t>
      </w:r>
      <w:r w:rsidRPr="00516127">
        <w:rPr>
          <w:rFonts w:asciiTheme="majorHAnsi" w:hAnsiTheme="majorHAnsi" w:cstheme="majorHAnsi"/>
          <w:lang w:val="sq-AL"/>
        </w:rPr>
        <w:t xml:space="preserve"> në vlerë me -</w:t>
      </w:r>
      <w:r w:rsidR="005245F0">
        <w:rPr>
          <w:rFonts w:asciiTheme="majorHAnsi" w:hAnsiTheme="majorHAnsi" w:cstheme="majorHAnsi"/>
          <w:lang w:val="sq-AL"/>
        </w:rPr>
        <w:t>8</w:t>
      </w:r>
      <w:r w:rsidRPr="00516127">
        <w:rPr>
          <w:rFonts w:asciiTheme="majorHAnsi" w:hAnsiTheme="majorHAnsi" w:cstheme="majorHAnsi"/>
          <w:lang w:val="sq-AL"/>
        </w:rPr>
        <w:t>%.</w:t>
      </w:r>
    </w:p>
    <w:p w14:paraId="7BAB330A" w14:textId="77777777" w:rsidR="0014208D" w:rsidRPr="0014208D" w:rsidRDefault="0014208D" w:rsidP="0014208D">
      <w:pPr>
        <w:spacing w:before="0"/>
        <w:rPr>
          <w:rFonts w:asciiTheme="majorHAnsi" w:hAnsiTheme="majorHAnsi" w:cstheme="majorHAnsi"/>
          <w:sz w:val="8"/>
          <w:szCs w:val="8"/>
          <w:lang w:val="sq-AL"/>
        </w:rPr>
      </w:pPr>
    </w:p>
    <w:p w14:paraId="6537A061" w14:textId="31FA2B55" w:rsidR="00D31F37" w:rsidRDefault="00D31F37" w:rsidP="0014208D">
      <w:pPr>
        <w:spacing w:before="0"/>
        <w:rPr>
          <w:rFonts w:asciiTheme="majorHAnsi" w:hAnsiTheme="majorHAnsi" w:cstheme="majorHAnsi"/>
          <w:bCs/>
          <w:lang w:val="sq-AL"/>
        </w:rPr>
      </w:pPr>
      <w:r w:rsidRPr="0014208D">
        <w:rPr>
          <w:rFonts w:asciiTheme="majorHAnsi" w:hAnsiTheme="majorHAnsi" w:cstheme="majorHAnsi"/>
          <w:bCs/>
          <w:i/>
          <w:iCs/>
          <w:lang w:val="sq-AL"/>
        </w:rPr>
        <w:t>Të ardhurat nga akciza</w:t>
      </w:r>
      <w:r w:rsidRPr="00516127">
        <w:rPr>
          <w:rFonts w:asciiTheme="majorHAnsi" w:hAnsiTheme="majorHAnsi" w:cstheme="majorHAnsi"/>
          <w:bCs/>
          <w:lang w:val="sq-AL"/>
        </w:rPr>
        <w:t xml:space="preserve"> janë rritur me rreth +6.2 </w:t>
      </w:r>
      <w:r w:rsidR="0056260B">
        <w:rPr>
          <w:rFonts w:asciiTheme="majorHAnsi" w:hAnsiTheme="majorHAnsi" w:cstheme="majorHAnsi"/>
          <w:bCs/>
          <w:lang w:val="sq-AL"/>
        </w:rPr>
        <w:t>miliardë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ose rreth +9.7% më shumë se viti 2024. Rritja e të ardhurave nga viti 2024, ka ardhur kryesisht si </w:t>
      </w:r>
      <w:r w:rsidR="0014208D">
        <w:rPr>
          <w:rFonts w:asciiTheme="majorHAnsi" w:hAnsiTheme="majorHAnsi" w:cstheme="majorHAnsi"/>
          <w:bCs/>
          <w:lang w:val="sq-AL"/>
        </w:rPr>
        <w:t>rezultat i</w:t>
      </w:r>
      <w:r w:rsidRPr="00516127">
        <w:rPr>
          <w:rFonts w:asciiTheme="majorHAnsi" w:hAnsiTheme="majorHAnsi" w:cstheme="majorHAnsi"/>
          <w:bCs/>
          <w:lang w:val="sq-AL"/>
        </w:rPr>
        <w:t xml:space="preserve"> rritjes së sasisë së karburanteve të hedhura për konsum me rreth +78 mijë ton më shumë, cigareve me +210 ton, kafes me +416 ton. </w:t>
      </w:r>
    </w:p>
    <w:p w14:paraId="3FF492C8" w14:textId="77777777" w:rsidR="0014208D" w:rsidRPr="0014208D" w:rsidRDefault="0014208D" w:rsidP="0014208D">
      <w:pPr>
        <w:spacing w:before="0"/>
        <w:rPr>
          <w:rFonts w:asciiTheme="majorHAnsi" w:hAnsiTheme="majorHAnsi" w:cstheme="majorHAnsi"/>
          <w:bCs/>
          <w:sz w:val="8"/>
          <w:szCs w:val="8"/>
          <w:lang w:val="sq-AL"/>
        </w:rPr>
      </w:pPr>
    </w:p>
    <w:p w14:paraId="7A3EAB2C" w14:textId="77777777" w:rsidR="005245F0" w:rsidRDefault="005245F0" w:rsidP="0014208D">
      <w:pPr>
        <w:spacing w:before="0"/>
        <w:rPr>
          <w:rFonts w:asciiTheme="majorHAnsi" w:hAnsiTheme="majorHAnsi" w:cstheme="majorHAnsi"/>
          <w:bCs/>
          <w:i/>
          <w:iCs/>
          <w:lang w:val="sq-AL"/>
        </w:rPr>
      </w:pPr>
    </w:p>
    <w:p w14:paraId="2FA28DD6" w14:textId="77777777" w:rsidR="005245F0" w:rsidRDefault="005245F0" w:rsidP="0014208D">
      <w:pPr>
        <w:spacing w:before="0"/>
        <w:rPr>
          <w:rFonts w:asciiTheme="majorHAnsi" w:hAnsiTheme="majorHAnsi" w:cstheme="majorHAnsi"/>
          <w:bCs/>
          <w:i/>
          <w:iCs/>
          <w:lang w:val="sq-AL"/>
        </w:rPr>
      </w:pPr>
    </w:p>
    <w:p w14:paraId="3F63ED12" w14:textId="77777777" w:rsidR="005245F0" w:rsidRDefault="005245F0" w:rsidP="0014208D">
      <w:pPr>
        <w:spacing w:before="0"/>
        <w:rPr>
          <w:rFonts w:asciiTheme="majorHAnsi" w:hAnsiTheme="majorHAnsi" w:cstheme="majorHAnsi"/>
          <w:bCs/>
          <w:i/>
          <w:iCs/>
          <w:lang w:val="sq-AL"/>
        </w:rPr>
      </w:pPr>
    </w:p>
    <w:p w14:paraId="22108374" w14:textId="0A28196C" w:rsidR="00D31F37" w:rsidRDefault="00D31F37" w:rsidP="0014208D">
      <w:pPr>
        <w:spacing w:before="0"/>
        <w:rPr>
          <w:rFonts w:asciiTheme="majorHAnsi" w:hAnsiTheme="majorHAnsi" w:cstheme="majorHAnsi"/>
          <w:lang w:val="sq-AL"/>
        </w:rPr>
      </w:pPr>
      <w:r w:rsidRPr="005245F0">
        <w:rPr>
          <w:rFonts w:asciiTheme="majorHAnsi" w:hAnsiTheme="majorHAnsi" w:cstheme="majorHAnsi"/>
          <w:bCs/>
          <w:i/>
          <w:iCs/>
          <w:lang w:val="sq-AL"/>
        </w:rPr>
        <w:lastRenderedPageBreak/>
        <w:t>Taksa doganore</w:t>
      </w:r>
      <w:r w:rsidRPr="005245F0">
        <w:rPr>
          <w:rFonts w:asciiTheme="majorHAnsi" w:hAnsiTheme="majorHAnsi" w:cstheme="majorHAnsi"/>
          <w:bCs/>
          <w:lang w:val="sq-AL"/>
        </w:rPr>
        <w:t xml:space="preserve"> </w:t>
      </w:r>
      <w:r w:rsidR="005245F0" w:rsidRPr="005245F0">
        <w:rPr>
          <w:rFonts w:asciiTheme="majorHAnsi" w:hAnsiTheme="majorHAnsi" w:cstheme="majorHAnsi"/>
          <w:bCs/>
          <w:lang w:val="sq-AL"/>
        </w:rPr>
        <w:t>janë</w:t>
      </w:r>
      <w:r w:rsidRPr="005245F0">
        <w:rPr>
          <w:rFonts w:asciiTheme="majorHAnsi" w:hAnsiTheme="majorHAnsi" w:cstheme="majorHAnsi"/>
          <w:bCs/>
          <w:lang w:val="sq-AL"/>
        </w:rPr>
        <w:t xml:space="preserve"> rreth -780 </w:t>
      </w:r>
      <w:r w:rsidR="0056260B" w:rsidRPr="005245F0">
        <w:rPr>
          <w:rFonts w:asciiTheme="majorHAnsi" w:hAnsiTheme="majorHAnsi" w:cstheme="majorHAnsi"/>
          <w:bCs/>
          <w:lang w:val="sq-AL"/>
        </w:rPr>
        <w:t>milionë</w:t>
      </w:r>
      <w:r w:rsidRPr="005245F0">
        <w:rPr>
          <w:rFonts w:asciiTheme="majorHAnsi" w:hAnsiTheme="majorHAnsi" w:cstheme="majorHAnsi"/>
          <w:bCs/>
          <w:lang w:val="sq-AL"/>
        </w:rPr>
        <w:t xml:space="preserve"> </w:t>
      </w:r>
      <w:r w:rsidR="0056260B" w:rsidRPr="005245F0">
        <w:rPr>
          <w:rFonts w:asciiTheme="majorHAnsi" w:hAnsiTheme="majorHAnsi" w:cstheme="majorHAnsi"/>
          <w:bCs/>
          <w:lang w:val="sq-AL"/>
        </w:rPr>
        <w:t>LEK</w:t>
      </w:r>
      <w:r w:rsidRPr="005245F0">
        <w:rPr>
          <w:rFonts w:asciiTheme="majorHAnsi" w:hAnsiTheme="majorHAnsi" w:cstheme="majorHAnsi"/>
          <w:bCs/>
          <w:lang w:val="sq-AL"/>
        </w:rPr>
        <w:t xml:space="preserve"> më pak krahasuar me planin e rishikuar, ndikuar nga fenomeni i </w:t>
      </w:r>
      <w:r w:rsidRPr="00516127">
        <w:rPr>
          <w:rFonts w:asciiTheme="majorHAnsi" w:hAnsiTheme="majorHAnsi" w:cstheme="majorHAnsi"/>
          <w:bCs/>
          <w:lang w:val="sq-AL"/>
        </w:rPr>
        <w:t xml:space="preserve">ndryshimit të origjinës së importit të cigareve me efekt rreth -95 </w:t>
      </w:r>
      <w:r w:rsidR="0056260B">
        <w:rPr>
          <w:rFonts w:asciiTheme="majorHAnsi" w:hAnsiTheme="majorHAnsi" w:cstheme="majorHAnsi"/>
          <w:bCs/>
          <w:lang w:val="sq-AL"/>
        </w:rPr>
        <w:t>milionë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rënies së sasisë së importuar të sheqerit me efekt në taksën doganore me rreth -30 </w:t>
      </w:r>
      <w:r w:rsidR="0056260B">
        <w:rPr>
          <w:rFonts w:asciiTheme="majorHAnsi" w:hAnsiTheme="majorHAnsi" w:cstheme="majorHAnsi"/>
          <w:bCs/>
          <w:lang w:val="sq-AL"/>
        </w:rPr>
        <w:t>milionë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ujit dhe lëngjeve të tjera me efekt rreth -15 </w:t>
      </w:r>
      <w:r w:rsidR="0056260B">
        <w:rPr>
          <w:rFonts w:asciiTheme="majorHAnsi" w:hAnsiTheme="majorHAnsi" w:cstheme="majorHAnsi"/>
          <w:bCs/>
          <w:lang w:val="sq-AL"/>
        </w:rPr>
        <w:t>milionë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w:t>
      </w:r>
      <w:r w:rsidRPr="00516127">
        <w:rPr>
          <w:rFonts w:asciiTheme="majorHAnsi" w:hAnsiTheme="majorHAnsi" w:cstheme="majorHAnsi"/>
          <w:lang w:val="sq-AL"/>
        </w:rPr>
        <w:t xml:space="preserve"> </w:t>
      </w:r>
    </w:p>
    <w:p w14:paraId="0749613B" w14:textId="77777777" w:rsidR="0014208D" w:rsidRPr="0014208D" w:rsidRDefault="0014208D" w:rsidP="0014208D">
      <w:pPr>
        <w:spacing w:before="0"/>
        <w:rPr>
          <w:rFonts w:asciiTheme="majorHAnsi" w:hAnsiTheme="majorHAnsi" w:cstheme="majorHAnsi"/>
          <w:sz w:val="8"/>
          <w:szCs w:val="8"/>
          <w:lang w:val="sq-AL"/>
        </w:rPr>
      </w:pPr>
    </w:p>
    <w:p w14:paraId="6E8FC74A" w14:textId="1F62EBE0" w:rsidR="00D31F37" w:rsidRDefault="00D31F37" w:rsidP="0014208D">
      <w:pPr>
        <w:spacing w:before="0"/>
        <w:rPr>
          <w:rFonts w:asciiTheme="majorHAnsi" w:hAnsiTheme="majorHAnsi" w:cstheme="majorHAnsi"/>
          <w:bCs/>
          <w:lang w:val="sq-AL"/>
        </w:rPr>
      </w:pPr>
      <w:r w:rsidRPr="0014208D">
        <w:rPr>
          <w:rFonts w:asciiTheme="majorHAnsi" w:hAnsiTheme="majorHAnsi" w:cstheme="majorHAnsi"/>
          <w:bCs/>
          <w:i/>
          <w:iCs/>
          <w:lang w:val="sq-AL"/>
        </w:rPr>
        <w:t>Renta minerare</w:t>
      </w:r>
      <w:r w:rsidRPr="00516127">
        <w:rPr>
          <w:rFonts w:asciiTheme="majorHAnsi" w:hAnsiTheme="majorHAnsi" w:cstheme="majorHAnsi"/>
          <w:bCs/>
          <w:lang w:val="sq-AL"/>
        </w:rPr>
        <w:t xml:space="preserve"> krahasuar me vitin 2024, </w:t>
      </w:r>
      <w:r w:rsidR="005245F0" w:rsidRPr="00516127">
        <w:rPr>
          <w:rFonts w:asciiTheme="majorHAnsi" w:hAnsiTheme="majorHAnsi" w:cstheme="majorHAnsi"/>
          <w:bCs/>
          <w:lang w:val="sq-AL"/>
        </w:rPr>
        <w:t xml:space="preserve">ka </w:t>
      </w:r>
      <w:r w:rsidR="005245F0" w:rsidRPr="005245F0">
        <w:rPr>
          <w:rFonts w:asciiTheme="majorHAnsi" w:hAnsiTheme="majorHAnsi" w:cstheme="majorHAnsi"/>
          <w:bCs/>
          <w:lang w:val="sq-AL"/>
        </w:rPr>
        <w:t xml:space="preserve">rezultuar me </w:t>
      </w:r>
      <w:r w:rsidRPr="005245F0">
        <w:rPr>
          <w:rFonts w:asciiTheme="majorHAnsi" w:hAnsiTheme="majorHAnsi" w:cstheme="majorHAnsi"/>
          <w:bCs/>
          <w:lang w:val="sq-AL"/>
        </w:rPr>
        <w:t xml:space="preserve">rreth -880 </w:t>
      </w:r>
      <w:r w:rsidR="0056260B">
        <w:rPr>
          <w:rFonts w:asciiTheme="majorHAnsi" w:hAnsiTheme="majorHAnsi" w:cstheme="majorHAnsi"/>
          <w:bCs/>
          <w:lang w:val="sq-AL"/>
        </w:rPr>
        <w:t>milionë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ose -32.2 %, me </w:t>
      </w:r>
      <w:r w:rsidR="005245F0">
        <w:rPr>
          <w:rFonts w:asciiTheme="majorHAnsi" w:hAnsiTheme="majorHAnsi" w:cstheme="majorHAnsi"/>
          <w:bCs/>
          <w:lang w:val="sq-AL"/>
        </w:rPr>
        <w:t xml:space="preserve">një </w:t>
      </w:r>
      <w:r w:rsidRPr="00516127">
        <w:rPr>
          <w:rFonts w:asciiTheme="majorHAnsi" w:hAnsiTheme="majorHAnsi" w:cstheme="majorHAnsi"/>
          <w:bCs/>
          <w:lang w:val="sq-AL"/>
        </w:rPr>
        <w:t>mosrealizim të planit të periudhës me rreth -135</w:t>
      </w:r>
      <w:r w:rsidR="005245F0">
        <w:rPr>
          <w:rFonts w:asciiTheme="majorHAnsi" w:hAnsiTheme="majorHAnsi" w:cstheme="majorHAnsi"/>
          <w:bCs/>
          <w:lang w:val="sq-AL"/>
        </w:rPr>
        <w:t>mln</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Renta minerare e naftës bruto ka pësuar një rënie prej -602</w:t>
      </w:r>
      <w:r w:rsidR="005245F0">
        <w:rPr>
          <w:rFonts w:asciiTheme="majorHAnsi" w:hAnsiTheme="majorHAnsi" w:cstheme="majorHAnsi"/>
          <w:bCs/>
          <w:lang w:val="sq-AL"/>
        </w:rPr>
        <w:t>mln</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 ndërsa renta e minerareve të tjera një rënie prej -319 </w:t>
      </w:r>
      <w:r w:rsidR="0056260B">
        <w:rPr>
          <w:rFonts w:asciiTheme="majorHAnsi" w:hAnsiTheme="majorHAnsi" w:cstheme="majorHAnsi"/>
          <w:bCs/>
          <w:lang w:val="sq-AL"/>
        </w:rPr>
        <w:t>milionë</w:t>
      </w:r>
      <w:r w:rsidRPr="00516127">
        <w:rPr>
          <w:rFonts w:asciiTheme="majorHAnsi" w:hAnsiTheme="majorHAnsi" w:cstheme="majorHAnsi"/>
          <w:bCs/>
          <w:lang w:val="sq-AL"/>
        </w:rPr>
        <w:t xml:space="preserve"> </w:t>
      </w:r>
      <w:r w:rsidR="0056260B">
        <w:rPr>
          <w:rFonts w:asciiTheme="majorHAnsi" w:hAnsiTheme="majorHAnsi" w:cstheme="majorHAnsi"/>
          <w:bCs/>
          <w:lang w:val="sq-AL"/>
        </w:rPr>
        <w:t>LEK</w:t>
      </w:r>
      <w:r w:rsidRPr="00516127">
        <w:rPr>
          <w:rFonts w:asciiTheme="majorHAnsi" w:hAnsiTheme="majorHAnsi" w:cstheme="majorHAnsi"/>
          <w:bCs/>
          <w:lang w:val="sq-AL"/>
        </w:rPr>
        <w:t xml:space="preserve">sh, krahasuar me të njëjtën periudhë të një viti më parë, ndikuar si nga rënia e çmimeve ndërkombëtare dhe sasisë së eksportuar jashtë vendit. </w:t>
      </w:r>
    </w:p>
    <w:p w14:paraId="1CEEAC4D" w14:textId="77777777" w:rsidR="005245F0" w:rsidRDefault="005245F0" w:rsidP="0014208D">
      <w:pPr>
        <w:spacing w:before="0"/>
        <w:rPr>
          <w:rFonts w:asciiTheme="majorHAnsi" w:hAnsiTheme="majorHAnsi" w:cstheme="majorHAnsi"/>
          <w:bCs/>
          <w:lang w:val="sq-AL"/>
        </w:rPr>
      </w:pPr>
    </w:p>
    <w:p w14:paraId="1CDD4D08" w14:textId="326C1E16" w:rsidR="00D31F37" w:rsidRPr="00A418CC" w:rsidRDefault="00D31F37" w:rsidP="00D31F37">
      <w:pPr>
        <w:pStyle w:val="Caption"/>
        <w:rPr>
          <w:rFonts w:asciiTheme="majorHAnsi" w:hAnsiTheme="majorHAnsi" w:cstheme="majorHAnsi"/>
          <w:noProof/>
          <w:lang w:val="sq-AL"/>
        </w:rPr>
      </w:pPr>
      <w:bookmarkStart w:id="81" w:name="_Toc229129982"/>
      <w:r w:rsidRPr="00A418CC">
        <w:rPr>
          <w:rFonts w:asciiTheme="majorHAnsi" w:hAnsiTheme="majorHAnsi" w:cstheme="majorHAnsi"/>
          <w:noProof/>
          <w:lang w:val="sq-AL"/>
        </w:rPr>
        <w:t xml:space="preserve">Tabela </w:t>
      </w:r>
      <w:r w:rsidRPr="00A418CC">
        <w:rPr>
          <w:rFonts w:asciiTheme="majorHAnsi" w:hAnsiTheme="majorHAnsi" w:cstheme="majorHAnsi"/>
          <w:noProof/>
          <w:lang w:val="sq-AL"/>
        </w:rPr>
        <w:fldChar w:fldCharType="begin"/>
      </w:r>
      <w:r w:rsidRPr="00A418CC">
        <w:rPr>
          <w:rFonts w:asciiTheme="majorHAnsi" w:hAnsiTheme="majorHAnsi" w:cstheme="majorHAnsi"/>
          <w:noProof/>
          <w:lang w:val="sq-AL"/>
        </w:rPr>
        <w:instrText xml:space="preserve"> SEQ Tabela \* ARABIC </w:instrText>
      </w:r>
      <w:r w:rsidRPr="00A418CC">
        <w:rPr>
          <w:rFonts w:asciiTheme="majorHAnsi" w:hAnsiTheme="majorHAnsi" w:cstheme="majorHAnsi"/>
          <w:noProof/>
          <w:lang w:val="sq-AL"/>
        </w:rPr>
        <w:fldChar w:fldCharType="separate"/>
      </w:r>
      <w:r w:rsidR="00CB4DE6">
        <w:rPr>
          <w:rFonts w:asciiTheme="majorHAnsi" w:hAnsiTheme="majorHAnsi" w:cstheme="majorHAnsi"/>
          <w:noProof/>
          <w:lang w:val="sq-AL"/>
        </w:rPr>
        <w:t>8</w:t>
      </w:r>
      <w:r w:rsidRPr="00A418CC">
        <w:rPr>
          <w:rFonts w:asciiTheme="majorHAnsi" w:hAnsiTheme="majorHAnsi" w:cstheme="majorHAnsi"/>
          <w:noProof/>
          <w:lang w:val="sq-AL"/>
        </w:rPr>
        <w:fldChar w:fldCharType="end"/>
      </w:r>
      <w:r w:rsidRPr="00A418CC">
        <w:rPr>
          <w:rFonts w:asciiTheme="majorHAnsi" w:hAnsiTheme="majorHAnsi" w:cstheme="majorHAnsi"/>
          <w:noProof/>
          <w:lang w:val="sq-AL"/>
        </w:rPr>
        <w:t xml:space="preserve"> Të ardhurat nga </w:t>
      </w:r>
      <w:r>
        <w:rPr>
          <w:rFonts w:asciiTheme="majorHAnsi" w:hAnsiTheme="majorHAnsi" w:cstheme="majorHAnsi"/>
          <w:noProof/>
          <w:lang w:val="sq-AL"/>
        </w:rPr>
        <w:t>Adiministrata T</w:t>
      </w:r>
      <w:r w:rsidRPr="00A418CC">
        <w:rPr>
          <w:rFonts w:asciiTheme="majorHAnsi" w:hAnsiTheme="majorHAnsi" w:cstheme="majorHAnsi"/>
          <w:noProof/>
          <w:lang w:val="sq-AL"/>
        </w:rPr>
        <w:t>atim</w:t>
      </w:r>
      <w:r>
        <w:rPr>
          <w:rFonts w:asciiTheme="majorHAnsi" w:hAnsiTheme="majorHAnsi" w:cstheme="majorHAnsi"/>
          <w:noProof/>
          <w:lang w:val="sq-AL"/>
        </w:rPr>
        <w:t>ore</w:t>
      </w:r>
      <w:r w:rsidRPr="00A418CC">
        <w:rPr>
          <w:rFonts w:asciiTheme="majorHAnsi" w:hAnsiTheme="majorHAnsi" w:cstheme="majorHAnsi"/>
          <w:noProof/>
          <w:lang w:val="sq-AL"/>
        </w:rPr>
        <w:t xml:space="preserve"> dhe </w:t>
      </w:r>
      <w:r>
        <w:rPr>
          <w:rFonts w:asciiTheme="majorHAnsi" w:hAnsiTheme="majorHAnsi" w:cstheme="majorHAnsi"/>
          <w:noProof/>
          <w:lang w:val="sq-AL"/>
        </w:rPr>
        <w:t>Administrata D</w:t>
      </w:r>
      <w:r w:rsidRPr="00A418CC">
        <w:rPr>
          <w:rFonts w:asciiTheme="majorHAnsi" w:hAnsiTheme="majorHAnsi" w:cstheme="majorHAnsi"/>
          <w:noProof/>
          <w:lang w:val="sq-AL"/>
        </w:rPr>
        <w:t xml:space="preserve">oganat (në </w:t>
      </w:r>
      <w:r w:rsidR="0056260B">
        <w:rPr>
          <w:rFonts w:asciiTheme="majorHAnsi" w:hAnsiTheme="majorHAnsi" w:cstheme="majorHAnsi"/>
          <w:noProof/>
          <w:lang w:val="sq-AL"/>
        </w:rPr>
        <w:t>milionë</w:t>
      </w:r>
      <w:r w:rsidRPr="00A418CC">
        <w:rPr>
          <w:rFonts w:asciiTheme="majorHAnsi" w:hAnsiTheme="majorHAnsi" w:cstheme="majorHAnsi"/>
          <w:noProof/>
          <w:lang w:val="sq-AL"/>
        </w:rPr>
        <w:t xml:space="preserve"> LEK)</w:t>
      </w:r>
      <w:bookmarkEnd w:id="81"/>
    </w:p>
    <w:tbl>
      <w:tblPr>
        <w:tblW w:w="4842" w:type="pct"/>
        <w:jc w:val="center"/>
        <w:tblLook w:val="04A0" w:firstRow="1" w:lastRow="0" w:firstColumn="1" w:lastColumn="0" w:noHBand="0" w:noVBand="1"/>
      </w:tblPr>
      <w:tblGrid>
        <w:gridCol w:w="991"/>
        <w:gridCol w:w="744"/>
        <w:gridCol w:w="744"/>
        <w:gridCol w:w="744"/>
        <w:gridCol w:w="934"/>
        <w:gridCol w:w="934"/>
        <w:gridCol w:w="859"/>
        <w:gridCol w:w="899"/>
        <w:gridCol w:w="800"/>
        <w:gridCol w:w="857"/>
        <w:gridCol w:w="899"/>
        <w:gridCol w:w="222"/>
      </w:tblGrid>
      <w:tr w:rsidR="005245F0" w:rsidRPr="00A418CC" w14:paraId="33AAE19D" w14:textId="77777777" w:rsidTr="005245F0">
        <w:trPr>
          <w:gridAfter w:val="1"/>
          <w:wAfter w:w="115" w:type="pct"/>
          <w:trHeight w:val="407"/>
          <w:jc w:val="center"/>
        </w:trPr>
        <w:tc>
          <w:tcPr>
            <w:tcW w:w="515" w:type="pct"/>
            <w:vMerge w:val="restart"/>
            <w:tcBorders>
              <w:top w:val="single" w:sz="8" w:space="0" w:color="4472C4"/>
              <w:left w:val="single" w:sz="8" w:space="0" w:color="4472C4"/>
              <w:bottom w:val="single" w:sz="8" w:space="0" w:color="8EA9DB"/>
              <w:right w:val="nil"/>
            </w:tcBorders>
            <w:shd w:val="clear" w:color="000000" w:fill="4472C4"/>
            <w:vAlign w:val="center"/>
            <w:hideMark/>
          </w:tcPr>
          <w:p w14:paraId="70E0FC27"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Lloji</w:t>
            </w:r>
            <w:proofErr w:type="spellEnd"/>
            <w:r w:rsidRPr="00E34F55">
              <w:rPr>
                <w:rFonts w:asciiTheme="majorHAnsi" w:hAnsiTheme="majorHAnsi" w:cstheme="majorHAnsi"/>
                <w:b/>
                <w:bCs/>
                <w:color w:val="FFFFFF"/>
                <w:sz w:val="16"/>
                <w:szCs w:val="16"/>
              </w:rPr>
              <w:t xml:space="preserve"> i </w:t>
            </w:r>
            <w:proofErr w:type="spellStart"/>
            <w:r w:rsidRPr="00E34F55">
              <w:rPr>
                <w:rFonts w:asciiTheme="majorHAnsi" w:hAnsiTheme="majorHAnsi" w:cstheme="majorHAnsi"/>
                <w:b/>
                <w:bCs/>
                <w:color w:val="FFFFFF"/>
                <w:sz w:val="16"/>
                <w:szCs w:val="16"/>
              </w:rPr>
              <w:t>taksave</w:t>
            </w:r>
            <w:proofErr w:type="spellEnd"/>
          </w:p>
        </w:tc>
        <w:tc>
          <w:tcPr>
            <w:tcW w:w="387" w:type="pct"/>
            <w:vMerge w:val="restart"/>
            <w:tcBorders>
              <w:top w:val="single" w:sz="8" w:space="0" w:color="4472C4"/>
              <w:left w:val="nil"/>
              <w:bottom w:val="single" w:sz="8" w:space="0" w:color="8EA9DB"/>
              <w:right w:val="nil"/>
            </w:tcBorders>
            <w:shd w:val="clear" w:color="000000" w:fill="4472C4"/>
            <w:vAlign w:val="center"/>
            <w:hideMark/>
          </w:tcPr>
          <w:p w14:paraId="0236529E"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gramStart"/>
            <w:r w:rsidRPr="00E34F55">
              <w:rPr>
                <w:rFonts w:asciiTheme="majorHAnsi" w:hAnsiTheme="majorHAnsi" w:cstheme="majorHAnsi"/>
                <w:b/>
                <w:bCs/>
                <w:color w:val="FFFFFF"/>
                <w:sz w:val="16"/>
                <w:szCs w:val="16"/>
              </w:rPr>
              <w:t>Fakt  2024</w:t>
            </w:r>
            <w:proofErr w:type="gramEnd"/>
          </w:p>
        </w:tc>
        <w:tc>
          <w:tcPr>
            <w:tcW w:w="386" w:type="pct"/>
            <w:vMerge w:val="restart"/>
            <w:tcBorders>
              <w:top w:val="single" w:sz="8" w:space="0" w:color="4472C4"/>
              <w:left w:val="nil"/>
              <w:bottom w:val="single" w:sz="8" w:space="0" w:color="8EA9DB"/>
              <w:right w:val="nil"/>
            </w:tcBorders>
            <w:shd w:val="clear" w:color="000000" w:fill="4472C4"/>
            <w:vAlign w:val="center"/>
            <w:hideMark/>
          </w:tcPr>
          <w:p w14:paraId="790C20FB"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r w:rsidRPr="00E34F55">
              <w:rPr>
                <w:rFonts w:asciiTheme="majorHAnsi" w:hAnsiTheme="majorHAnsi" w:cstheme="majorHAnsi"/>
                <w:b/>
                <w:bCs/>
                <w:color w:val="FFFFFF"/>
                <w:sz w:val="16"/>
                <w:szCs w:val="16"/>
              </w:rPr>
              <w:t xml:space="preserve"> </w:t>
            </w:r>
            <w:proofErr w:type="gramStart"/>
            <w:r w:rsidRPr="00E34F55">
              <w:rPr>
                <w:rFonts w:asciiTheme="majorHAnsi" w:hAnsiTheme="majorHAnsi" w:cstheme="majorHAnsi"/>
                <w:b/>
                <w:bCs/>
                <w:color w:val="FFFFFF"/>
                <w:sz w:val="16"/>
                <w:szCs w:val="16"/>
              </w:rPr>
              <w:t>Fakt  2025</w:t>
            </w:r>
            <w:proofErr w:type="gramEnd"/>
          </w:p>
        </w:tc>
        <w:tc>
          <w:tcPr>
            <w:tcW w:w="386" w:type="pct"/>
            <w:vMerge w:val="restart"/>
            <w:tcBorders>
              <w:top w:val="single" w:sz="8" w:space="0" w:color="4472C4"/>
              <w:left w:val="nil"/>
              <w:bottom w:val="single" w:sz="8" w:space="0" w:color="8EA9DB"/>
              <w:right w:val="nil"/>
            </w:tcBorders>
            <w:shd w:val="clear" w:color="000000" w:fill="4472C4"/>
            <w:vAlign w:val="center"/>
            <w:hideMark/>
          </w:tcPr>
          <w:p w14:paraId="615A361E"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r w:rsidRPr="00E34F55">
              <w:rPr>
                <w:rFonts w:asciiTheme="majorHAnsi" w:hAnsiTheme="majorHAnsi" w:cstheme="majorHAnsi"/>
                <w:b/>
                <w:bCs/>
                <w:color w:val="FFFFFF"/>
                <w:sz w:val="16"/>
                <w:szCs w:val="16"/>
              </w:rPr>
              <w:t xml:space="preserve">Plan </w:t>
            </w:r>
            <w:proofErr w:type="spellStart"/>
            <w:r w:rsidRPr="00E34F55">
              <w:rPr>
                <w:rFonts w:asciiTheme="majorHAnsi" w:hAnsiTheme="majorHAnsi" w:cstheme="majorHAnsi"/>
                <w:b/>
                <w:bCs/>
                <w:color w:val="FFFFFF"/>
                <w:sz w:val="16"/>
                <w:szCs w:val="16"/>
              </w:rPr>
              <w:t>Fillestar</w:t>
            </w:r>
            <w:proofErr w:type="spellEnd"/>
            <w:r w:rsidRPr="00E34F55">
              <w:rPr>
                <w:rFonts w:asciiTheme="majorHAnsi" w:hAnsiTheme="majorHAnsi" w:cstheme="majorHAnsi"/>
                <w:b/>
                <w:bCs/>
                <w:color w:val="FFFFFF"/>
                <w:sz w:val="16"/>
                <w:szCs w:val="16"/>
              </w:rPr>
              <w:t xml:space="preserve"> 2025</w:t>
            </w:r>
          </w:p>
        </w:tc>
        <w:tc>
          <w:tcPr>
            <w:tcW w:w="485" w:type="pct"/>
            <w:vMerge w:val="restart"/>
            <w:tcBorders>
              <w:top w:val="single" w:sz="8" w:space="0" w:color="4472C4"/>
              <w:left w:val="nil"/>
              <w:bottom w:val="single" w:sz="8" w:space="0" w:color="8EA9DB"/>
              <w:right w:val="nil"/>
            </w:tcBorders>
            <w:shd w:val="clear" w:color="000000" w:fill="4472C4"/>
            <w:vAlign w:val="center"/>
            <w:hideMark/>
          </w:tcPr>
          <w:p w14:paraId="5CDB1442"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Diferenca</w:t>
            </w:r>
            <w:proofErr w:type="spellEnd"/>
            <w:r w:rsidRPr="00E34F55">
              <w:rPr>
                <w:rFonts w:asciiTheme="majorHAnsi" w:hAnsiTheme="majorHAnsi" w:cstheme="majorHAnsi"/>
                <w:b/>
                <w:bCs/>
                <w:color w:val="FFFFFF"/>
                <w:sz w:val="16"/>
                <w:szCs w:val="16"/>
              </w:rPr>
              <w:t xml:space="preserve"> 2025/2024</w:t>
            </w:r>
          </w:p>
        </w:tc>
        <w:tc>
          <w:tcPr>
            <w:tcW w:w="485" w:type="pct"/>
            <w:vMerge w:val="restart"/>
            <w:tcBorders>
              <w:top w:val="single" w:sz="8" w:space="0" w:color="4472C4"/>
              <w:left w:val="nil"/>
              <w:bottom w:val="single" w:sz="8" w:space="0" w:color="8EA9DB"/>
              <w:right w:val="nil"/>
            </w:tcBorders>
            <w:shd w:val="clear" w:color="000000" w:fill="4472C4"/>
            <w:vAlign w:val="center"/>
            <w:hideMark/>
          </w:tcPr>
          <w:p w14:paraId="5BA50F60"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Ndryshimi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në</w:t>
            </w:r>
            <w:proofErr w:type="spellEnd"/>
            <w:r w:rsidRPr="00E34F55">
              <w:rPr>
                <w:rFonts w:asciiTheme="majorHAnsi" w:hAnsiTheme="majorHAnsi" w:cstheme="majorHAnsi"/>
                <w:b/>
                <w:bCs/>
                <w:color w:val="FFFFFF"/>
                <w:sz w:val="16"/>
                <w:szCs w:val="16"/>
              </w:rPr>
              <w:t xml:space="preserve"> % 2025/2024</w:t>
            </w:r>
          </w:p>
        </w:tc>
        <w:tc>
          <w:tcPr>
            <w:tcW w:w="446" w:type="pct"/>
            <w:vMerge w:val="restart"/>
            <w:tcBorders>
              <w:top w:val="single" w:sz="8" w:space="0" w:color="4472C4"/>
              <w:left w:val="nil"/>
              <w:bottom w:val="single" w:sz="8" w:space="0" w:color="8EA9DB"/>
              <w:right w:val="nil"/>
            </w:tcBorders>
            <w:shd w:val="clear" w:color="000000" w:fill="4472C4"/>
            <w:vAlign w:val="center"/>
            <w:hideMark/>
          </w:tcPr>
          <w:p w14:paraId="664BC930"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Diferenca</w:t>
            </w:r>
            <w:proofErr w:type="spellEnd"/>
            <w:r w:rsidRPr="00E34F55">
              <w:rPr>
                <w:rFonts w:asciiTheme="majorHAnsi" w:hAnsiTheme="majorHAnsi" w:cstheme="majorHAnsi"/>
                <w:b/>
                <w:bCs/>
                <w:color w:val="FFFFFF"/>
                <w:sz w:val="16"/>
                <w:szCs w:val="16"/>
              </w:rPr>
              <w:t xml:space="preserve"> Fakt/Plan </w:t>
            </w:r>
            <w:proofErr w:type="spellStart"/>
            <w:r w:rsidRPr="00E34F55">
              <w:rPr>
                <w:rFonts w:asciiTheme="majorHAnsi" w:hAnsiTheme="majorHAnsi" w:cstheme="majorHAnsi"/>
                <w:b/>
                <w:bCs/>
                <w:color w:val="FFFFFF"/>
                <w:sz w:val="16"/>
                <w:szCs w:val="16"/>
              </w:rPr>
              <w:t>fillestar</w:t>
            </w:r>
            <w:proofErr w:type="spellEnd"/>
            <w:r w:rsidRPr="00E34F55">
              <w:rPr>
                <w:rFonts w:asciiTheme="majorHAnsi" w:hAnsiTheme="majorHAnsi" w:cstheme="majorHAnsi"/>
                <w:b/>
                <w:bCs/>
                <w:color w:val="FFFFFF"/>
                <w:sz w:val="16"/>
                <w:szCs w:val="16"/>
              </w:rPr>
              <w:t xml:space="preserve"> 2025</w:t>
            </w:r>
          </w:p>
        </w:tc>
        <w:tc>
          <w:tcPr>
            <w:tcW w:w="467" w:type="pct"/>
            <w:vMerge w:val="restart"/>
            <w:tcBorders>
              <w:top w:val="single" w:sz="8" w:space="0" w:color="4472C4"/>
              <w:left w:val="nil"/>
              <w:bottom w:val="single" w:sz="8" w:space="0" w:color="8EA9DB"/>
              <w:right w:val="nil"/>
            </w:tcBorders>
            <w:shd w:val="clear" w:color="000000" w:fill="4472C4"/>
            <w:vAlign w:val="center"/>
            <w:hideMark/>
          </w:tcPr>
          <w:p w14:paraId="0472252F"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Ndryshimi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në</w:t>
            </w:r>
            <w:proofErr w:type="spellEnd"/>
            <w:r w:rsidRPr="00E34F55">
              <w:rPr>
                <w:rFonts w:asciiTheme="majorHAnsi" w:hAnsiTheme="majorHAnsi" w:cstheme="majorHAnsi"/>
                <w:b/>
                <w:bCs/>
                <w:color w:val="FFFFFF"/>
                <w:sz w:val="16"/>
                <w:szCs w:val="16"/>
              </w:rPr>
              <w:t xml:space="preserve"> </w:t>
            </w:r>
            <w:proofErr w:type="gramStart"/>
            <w:r w:rsidRPr="00E34F55">
              <w:rPr>
                <w:rFonts w:asciiTheme="majorHAnsi" w:hAnsiTheme="majorHAnsi" w:cstheme="majorHAnsi"/>
                <w:b/>
                <w:bCs/>
                <w:color w:val="FFFFFF"/>
                <w:sz w:val="16"/>
                <w:szCs w:val="16"/>
              </w:rPr>
              <w:t>%  Fakt</w:t>
            </w:r>
            <w:proofErr w:type="gramEnd"/>
            <w:r w:rsidRPr="00E34F55">
              <w:rPr>
                <w:rFonts w:asciiTheme="majorHAnsi" w:hAnsiTheme="majorHAnsi" w:cstheme="majorHAnsi"/>
                <w:b/>
                <w:bCs/>
                <w:color w:val="FFFFFF"/>
                <w:sz w:val="16"/>
                <w:szCs w:val="16"/>
              </w:rPr>
              <w:t xml:space="preserve">/Plan </w:t>
            </w:r>
            <w:proofErr w:type="spellStart"/>
            <w:r w:rsidRPr="00E34F55">
              <w:rPr>
                <w:rFonts w:asciiTheme="majorHAnsi" w:hAnsiTheme="majorHAnsi" w:cstheme="majorHAnsi"/>
                <w:b/>
                <w:bCs/>
                <w:color w:val="FFFFFF"/>
                <w:sz w:val="16"/>
                <w:szCs w:val="16"/>
              </w:rPr>
              <w:t>fillestar</w:t>
            </w:r>
            <w:proofErr w:type="spellEnd"/>
            <w:r w:rsidRPr="00E34F55">
              <w:rPr>
                <w:rFonts w:asciiTheme="majorHAnsi" w:hAnsiTheme="majorHAnsi" w:cstheme="majorHAnsi"/>
                <w:b/>
                <w:bCs/>
                <w:color w:val="FFFFFF"/>
                <w:sz w:val="16"/>
                <w:szCs w:val="16"/>
              </w:rPr>
              <w:t xml:space="preserve"> 2025</w:t>
            </w:r>
          </w:p>
        </w:tc>
        <w:tc>
          <w:tcPr>
            <w:tcW w:w="415" w:type="pct"/>
            <w:vMerge w:val="restart"/>
            <w:tcBorders>
              <w:top w:val="single" w:sz="8" w:space="0" w:color="4472C4"/>
              <w:left w:val="nil"/>
              <w:bottom w:val="single" w:sz="8" w:space="0" w:color="8EA9DB"/>
              <w:right w:val="nil"/>
            </w:tcBorders>
            <w:shd w:val="clear" w:color="000000" w:fill="4472C4"/>
            <w:vAlign w:val="center"/>
            <w:hideMark/>
          </w:tcPr>
          <w:p w14:paraId="2A094162"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r w:rsidRPr="00E34F55">
              <w:rPr>
                <w:rFonts w:asciiTheme="majorHAnsi" w:hAnsiTheme="majorHAnsi" w:cstheme="majorHAnsi"/>
                <w:b/>
                <w:bCs/>
                <w:color w:val="FFFFFF"/>
                <w:sz w:val="16"/>
                <w:szCs w:val="16"/>
              </w:rPr>
              <w:t>2025 (</w:t>
            </w:r>
            <w:proofErr w:type="spellStart"/>
            <w:r w:rsidRPr="00E34F55">
              <w:rPr>
                <w:rFonts w:asciiTheme="majorHAnsi" w:hAnsiTheme="majorHAnsi" w:cstheme="majorHAnsi"/>
                <w:b/>
                <w:bCs/>
                <w:color w:val="FFFFFF"/>
                <w:sz w:val="16"/>
                <w:szCs w:val="16"/>
              </w:rPr>
              <w:t>plani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rishikuar</w:t>
            </w:r>
            <w:proofErr w:type="spellEnd"/>
            <w:r w:rsidRPr="00E34F55">
              <w:rPr>
                <w:rFonts w:asciiTheme="majorHAnsi" w:hAnsiTheme="majorHAnsi" w:cstheme="majorHAnsi"/>
                <w:b/>
                <w:bCs/>
                <w:color w:val="FFFFFF"/>
                <w:sz w:val="16"/>
                <w:szCs w:val="16"/>
              </w:rPr>
              <w:t xml:space="preserve"> AN10 </w:t>
            </w:r>
            <w:proofErr w:type="spellStart"/>
            <w:r w:rsidRPr="00E34F55">
              <w:rPr>
                <w:rFonts w:asciiTheme="majorHAnsi" w:hAnsiTheme="majorHAnsi" w:cstheme="majorHAnsi"/>
                <w:b/>
                <w:bCs/>
                <w:color w:val="FFFFFF"/>
                <w:sz w:val="16"/>
                <w:szCs w:val="16"/>
              </w:rPr>
              <w:t>tetor</w:t>
            </w:r>
            <w:proofErr w:type="spellEnd"/>
            <w:r w:rsidRPr="00E34F55">
              <w:rPr>
                <w:rFonts w:asciiTheme="majorHAnsi" w:hAnsiTheme="majorHAnsi" w:cstheme="majorHAnsi"/>
                <w:b/>
                <w:bCs/>
                <w:color w:val="FFFFFF"/>
                <w:sz w:val="16"/>
                <w:szCs w:val="16"/>
              </w:rPr>
              <w:t>)</w:t>
            </w:r>
          </w:p>
        </w:tc>
        <w:tc>
          <w:tcPr>
            <w:tcW w:w="445" w:type="pct"/>
            <w:vMerge w:val="restart"/>
            <w:tcBorders>
              <w:top w:val="single" w:sz="8" w:space="0" w:color="4472C4"/>
              <w:left w:val="nil"/>
              <w:bottom w:val="single" w:sz="8" w:space="0" w:color="8EA9DB"/>
              <w:right w:val="nil"/>
            </w:tcBorders>
            <w:shd w:val="clear" w:color="000000" w:fill="4472C4"/>
            <w:vAlign w:val="center"/>
            <w:hideMark/>
          </w:tcPr>
          <w:p w14:paraId="401E271E"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Diferenca</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fakt</w:t>
            </w:r>
            <w:proofErr w:type="spellEnd"/>
            <w:r w:rsidRPr="00E34F55">
              <w:rPr>
                <w:rFonts w:asciiTheme="majorHAnsi" w:hAnsiTheme="majorHAnsi" w:cstheme="majorHAnsi"/>
                <w:b/>
                <w:bCs/>
                <w:color w:val="FFFFFF"/>
                <w:sz w:val="16"/>
                <w:szCs w:val="16"/>
              </w:rPr>
              <w:t xml:space="preserve"> 2025/ Plan </w:t>
            </w:r>
            <w:proofErr w:type="spellStart"/>
            <w:r w:rsidRPr="00E34F55">
              <w:rPr>
                <w:rFonts w:asciiTheme="majorHAnsi" w:hAnsiTheme="majorHAnsi" w:cstheme="majorHAnsi"/>
                <w:b/>
                <w:bCs/>
                <w:color w:val="FFFFFF"/>
                <w:sz w:val="16"/>
                <w:szCs w:val="16"/>
              </w:rPr>
              <w:t>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rishikuar</w:t>
            </w:r>
            <w:proofErr w:type="spellEnd"/>
            <w:r w:rsidRPr="00E34F55">
              <w:rPr>
                <w:rFonts w:asciiTheme="majorHAnsi" w:hAnsiTheme="majorHAnsi" w:cstheme="majorHAnsi"/>
                <w:b/>
                <w:bCs/>
                <w:color w:val="FFFFFF"/>
                <w:sz w:val="16"/>
                <w:szCs w:val="16"/>
              </w:rPr>
              <w:t xml:space="preserve"> 2025</w:t>
            </w:r>
          </w:p>
        </w:tc>
        <w:tc>
          <w:tcPr>
            <w:tcW w:w="467" w:type="pct"/>
            <w:vMerge w:val="restart"/>
            <w:tcBorders>
              <w:top w:val="single" w:sz="8" w:space="0" w:color="4472C4"/>
              <w:left w:val="nil"/>
              <w:bottom w:val="single" w:sz="8" w:space="0" w:color="8EA9DB"/>
              <w:right w:val="single" w:sz="8" w:space="0" w:color="4472C4"/>
            </w:tcBorders>
            <w:shd w:val="clear" w:color="000000" w:fill="4472C4"/>
            <w:vAlign w:val="center"/>
            <w:hideMark/>
          </w:tcPr>
          <w:p w14:paraId="5FCF6D8F"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roofErr w:type="spellStart"/>
            <w:r w:rsidRPr="00E34F55">
              <w:rPr>
                <w:rFonts w:asciiTheme="majorHAnsi" w:hAnsiTheme="majorHAnsi" w:cstheme="majorHAnsi"/>
                <w:b/>
                <w:bCs/>
                <w:color w:val="FFFFFF"/>
                <w:sz w:val="16"/>
                <w:szCs w:val="16"/>
              </w:rPr>
              <w:t>Ndryshimi</w:t>
            </w:r>
            <w:proofErr w:type="spellEnd"/>
            <w:r w:rsidRPr="00E34F55">
              <w:rPr>
                <w:rFonts w:asciiTheme="majorHAnsi" w:hAnsiTheme="majorHAnsi" w:cstheme="majorHAnsi"/>
                <w:b/>
                <w:bCs/>
                <w:color w:val="FFFFFF"/>
                <w:sz w:val="16"/>
                <w:szCs w:val="16"/>
              </w:rPr>
              <w:t xml:space="preserve"> Fakt/ Plan </w:t>
            </w:r>
            <w:proofErr w:type="spellStart"/>
            <w:r w:rsidRPr="00E34F55">
              <w:rPr>
                <w:rFonts w:asciiTheme="majorHAnsi" w:hAnsiTheme="majorHAnsi" w:cstheme="majorHAnsi"/>
                <w:b/>
                <w:bCs/>
                <w:color w:val="FFFFFF"/>
                <w:sz w:val="16"/>
                <w:szCs w:val="16"/>
              </w:rPr>
              <w:t>i</w:t>
            </w:r>
            <w:proofErr w:type="spellEnd"/>
            <w:r w:rsidRPr="00E34F55">
              <w:rPr>
                <w:rFonts w:asciiTheme="majorHAnsi" w:hAnsiTheme="majorHAnsi" w:cstheme="majorHAnsi"/>
                <w:b/>
                <w:bCs/>
                <w:color w:val="FFFFFF"/>
                <w:sz w:val="16"/>
                <w:szCs w:val="16"/>
              </w:rPr>
              <w:t xml:space="preserve"> </w:t>
            </w:r>
            <w:proofErr w:type="spellStart"/>
            <w:r w:rsidRPr="00E34F55">
              <w:rPr>
                <w:rFonts w:asciiTheme="majorHAnsi" w:hAnsiTheme="majorHAnsi" w:cstheme="majorHAnsi"/>
                <w:b/>
                <w:bCs/>
                <w:color w:val="FFFFFF"/>
                <w:sz w:val="16"/>
                <w:szCs w:val="16"/>
              </w:rPr>
              <w:t>rishikuar</w:t>
            </w:r>
            <w:proofErr w:type="spellEnd"/>
            <w:r w:rsidRPr="00E34F55">
              <w:rPr>
                <w:rFonts w:asciiTheme="majorHAnsi" w:hAnsiTheme="majorHAnsi" w:cstheme="majorHAnsi"/>
                <w:b/>
                <w:bCs/>
                <w:color w:val="FFFFFF"/>
                <w:sz w:val="16"/>
                <w:szCs w:val="16"/>
              </w:rPr>
              <w:t xml:space="preserve"> 2025 </w:t>
            </w:r>
            <w:proofErr w:type="spellStart"/>
            <w:r w:rsidRPr="00E34F55">
              <w:rPr>
                <w:rFonts w:asciiTheme="majorHAnsi" w:hAnsiTheme="majorHAnsi" w:cstheme="majorHAnsi"/>
                <w:b/>
                <w:bCs/>
                <w:color w:val="FFFFFF"/>
                <w:sz w:val="16"/>
                <w:szCs w:val="16"/>
              </w:rPr>
              <w:t>në</w:t>
            </w:r>
            <w:proofErr w:type="spellEnd"/>
            <w:r w:rsidRPr="00E34F55">
              <w:rPr>
                <w:rFonts w:asciiTheme="majorHAnsi" w:hAnsiTheme="majorHAnsi" w:cstheme="majorHAnsi"/>
                <w:b/>
                <w:bCs/>
                <w:color w:val="FFFFFF"/>
                <w:sz w:val="16"/>
                <w:szCs w:val="16"/>
              </w:rPr>
              <w:t xml:space="preserve"> %</w:t>
            </w:r>
          </w:p>
        </w:tc>
      </w:tr>
      <w:tr w:rsidR="005245F0" w:rsidRPr="00A418CC" w14:paraId="4AD0E8E4" w14:textId="77777777" w:rsidTr="005245F0">
        <w:trPr>
          <w:trHeight w:val="196"/>
          <w:jc w:val="center"/>
        </w:trPr>
        <w:tc>
          <w:tcPr>
            <w:tcW w:w="515" w:type="pct"/>
            <w:vMerge/>
            <w:tcBorders>
              <w:top w:val="single" w:sz="8" w:space="0" w:color="4472C4"/>
              <w:left w:val="single" w:sz="8" w:space="0" w:color="4472C4"/>
              <w:bottom w:val="single" w:sz="8" w:space="0" w:color="8EA9DB"/>
              <w:right w:val="nil"/>
            </w:tcBorders>
            <w:vAlign w:val="center"/>
            <w:hideMark/>
          </w:tcPr>
          <w:p w14:paraId="3D9E15A2"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387" w:type="pct"/>
            <w:vMerge/>
            <w:tcBorders>
              <w:top w:val="single" w:sz="8" w:space="0" w:color="4472C4"/>
              <w:left w:val="nil"/>
              <w:bottom w:val="single" w:sz="8" w:space="0" w:color="8EA9DB"/>
              <w:right w:val="nil"/>
            </w:tcBorders>
            <w:vAlign w:val="center"/>
            <w:hideMark/>
          </w:tcPr>
          <w:p w14:paraId="74B0BA45"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386" w:type="pct"/>
            <w:vMerge/>
            <w:tcBorders>
              <w:top w:val="single" w:sz="8" w:space="0" w:color="4472C4"/>
              <w:left w:val="nil"/>
              <w:bottom w:val="single" w:sz="8" w:space="0" w:color="8EA9DB"/>
              <w:right w:val="nil"/>
            </w:tcBorders>
            <w:vAlign w:val="center"/>
            <w:hideMark/>
          </w:tcPr>
          <w:p w14:paraId="3AE6E1C7"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386" w:type="pct"/>
            <w:vMerge/>
            <w:tcBorders>
              <w:top w:val="single" w:sz="8" w:space="0" w:color="4472C4"/>
              <w:left w:val="nil"/>
              <w:bottom w:val="single" w:sz="8" w:space="0" w:color="8EA9DB"/>
              <w:right w:val="nil"/>
            </w:tcBorders>
            <w:vAlign w:val="center"/>
            <w:hideMark/>
          </w:tcPr>
          <w:p w14:paraId="46705ABF"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85" w:type="pct"/>
            <w:vMerge/>
            <w:tcBorders>
              <w:top w:val="single" w:sz="8" w:space="0" w:color="4472C4"/>
              <w:left w:val="nil"/>
              <w:bottom w:val="single" w:sz="8" w:space="0" w:color="8EA9DB"/>
              <w:right w:val="nil"/>
            </w:tcBorders>
            <w:vAlign w:val="center"/>
            <w:hideMark/>
          </w:tcPr>
          <w:p w14:paraId="5F5627DA"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85" w:type="pct"/>
            <w:vMerge/>
            <w:tcBorders>
              <w:top w:val="single" w:sz="8" w:space="0" w:color="4472C4"/>
              <w:left w:val="nil"/>
              <w:bottom w:val="single" w:sz="8" w:space="0" w:color="8EA9DB"/>
              <w:right w:val="nil"/>
            </w:tcBorders>
            <w:vAlign w:val="center"/>
            <w:hideMark/>
          </w:tcPr>
          <w:p w14:paraId="0743C791"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46" w:type="pct"/>
            <w:vMerge/>
            <w:tcBorders>
              <w:top w:val="single" w:sz="8" w:space="0" w:color="4472C4"/>
              <w:left w:val="nil"/>
              <w:bottom w:val="single" w:sz="8" w:space="0" w:color="8EA9DB"/>
              <w:right w:val="nil"/>
            </w:tcBorders>
            <w:vAlign w:val="center"/>
            <w:hideMark/>
          </w:tcPr>
          <w:p w14:paraId="4E4BB255"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67" w:type="pct"/>
            <w:vMerge/>
            <w:tcBorders>
              <w:top w:val="single" w:sz="8" w:space="0" w:color="4472C4"/>
              <w:left w:val="nil"/>
              <w:bottom w:val="single" w:sz="8" w:space="0" w:color="8EA9DB"/>
              <w:right w:val="nil"/>
            </w:tcBorders>
            <w:vAlign w:val="center"/>
            <w:hideMark/>
          </w:tcPr>
          <w:p w14:paraId="49054A9C"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15" w:type="pct"/>
            <w:vMerge/>
            <w:tcBorders>
              <w:top w:val="single" w:sz="8" w:space="0" w:color="4472C4"/>
              <w:left w:val="nil"/>
              <w:bottom w:val="single" w:sz="8" w:space="0" w:color="8EA9DB"/>
              <w:right w:val="nil"/>
            </w:tcBorders>
            <w:vAlign w:val="center"/>
            <w:hideMark/>
          </w:tcPr>
          <w:p w14:paraId="6B0C1371"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45" w:type="pct"/>
            <w:vMerge/>
            <w:tcBorders>
              <w:top w:val="single" w:sz="8" w:space="0" w:color="4472C4"/>
              <w:left w:val="nil"/>
              <w:bottom w:val="single" w:sz="8" w:space="0" w:color="8EA9DB"/>
              <w:right w:val="nil"/>
            </w:tcBorders>
            <w:vAlign w:val="center"/>
            <w:hideMark/>
          </w:tcPr>
          <w:p w14:paraId="4952CEE9"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467" w:type="pct"/>
            <w:vMerge/>
            <w:tcBorders>
              <w:top w:val="single" w:sz="8" w:space="0" w:color="4472C4"/>
              <w:left w:val="nil"/>
              <w:bottom w:val="single" w:sz="8" w:space="0" w:color="8EA9DB"/>
              <w:right w:val="single" w:sz="8" w:space="0" w:color="4472C4"/>
            </w:tcBorders>
            <w:vAlign w:val="center"/>
            <w:hideMark/>
          </w:tcPr>
          <w:p w14:paraId="08D89A0A" w14:textId="77777777" w:rsidR="00D31F37" w:rsidRPr="00E34F55" w:rsidRDefault="00D31F37" w:rsidP="00891ECB">
            <w:pPr>
              <w:spacing w:before="0" w:line="240" w:lineRule="auto"/>
              <w:jc w:val="left"/>
              <w:rPr>
                <w:rFonts w:asciiTheme="majorHAnsi" w:hAnsiTheme="majorHAnsi" w:cstheme="majorHAnsi"/>
                <w:b/>
                <w:bCs/>
                <w:color w:val="FFFFFF"/>
                <w:sz w:val="16"/>
                <w:szCs w:val="16"/>
              </w:rPr>
            </w:pPr>
          </w:p>
        </w:tc>
        <w:tc>
          <w:tcPr>
            <w:tcW w:w="115" w:type="pct"/>
            <w:tcBorders>
              <w:top w:val="nil"/>
              <w:left w:val="nil"/>
              <w:bottom w:val="nil"/>
              <w:right w:val="nil"/>
            </w:tcBorders>
            <w:noWrap/>
            <w:vAlign w:val="bottom"/>
            <w:hideMark/>
          </w:tcPr>
          <w:p w14:paraId="789A197E" w14:textId="77777777" w:rsidR="00D31F37" w:rsidRPr="00E34F55" w:rsidRDefault="00D31F37" w:rsidP="00891ECB">
            <w:pPr>
              <w:spacing w:before="0" w:line="240" w:lineRule="auto"/>
              <w:jc w:val="center"/>
              <w:rPr>
                <w:rFonts w:asciiTheme="majorHAnsi" w:hAnsiTheme="majorHAnsi" w:cstheme="majorHAnsi"/>
                <w:b/>
                <w:bCs/>
                <w:color w:val="FFFFFF"/>
                <w:sz w:val="16"/>
                <w:szCs w:val="16"/>
              </w:rPr>
            </w:pPr>
          </w:p>
        </w:tc>
      </w:tr>
      <w:tr w:rsidR="005245F0" w:rsidRPr="00A418CC" w14:paraId="1DD61E13" w14:textId="77777777" w:rsidTr="005245F0">
        <w:trPr>
          <w:trHeight w:val="196"/>
          <w:jc w:val="center"/>
        </w:trPr>
        <w:tc>
          <w:tcPr>
            <w:tcW w:w="515" w:type="pct"/>
            <w:tcBorders>
              <w:top w:val="nil"/>
              <w:left w:val="single" w:sz="8" w:space="0" w:color="8EA9DB"/>
              <w:bottom w:val="single" w:sz="8" w:space="0" w:color="8EA9DB"/>
              <w:right w:val="single" w:sz="8" w:space="0" w:color="8EA9DB"/>
            </w:tcBorders>
            <w:shd w:val="clear" w:color="000000" w:fill="B4C6E7"/>
            <w:vAlign w:val="center"/>
            <w:hideMark/>
          </w:tcPr>
          <w:p w14:paraId="4B833EE1" w14:textId="77777777" w:rsidR="00D31F37" w:rsidRPr="00E34F55" w:rsidRDefault="00D31F37" w:rsidP="00492B15">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TVSH TOTAL</w:t>
            </w:r>
          </w:p>
        </w:tc>
        <w:tc>
          <w:tcPr>
            <w:tcW w:w="387" w:type="pct"/>
            <w:tcBorders>
              <w:top w:val="nil"/>
              <w:left w:val="nil"/>
              <w:bottom w:val="single" w:sz="8" w:space="0" w:color="8EA9DB"/>
              <w:right w:val="single" w:sz="8" w:space="0" w:color="8EA9DB"/>
            </w:tcBorders>
            <w:shd w:val="clear" w:color="000000" w:fill="B4C6E7"/>
            <w:vAlign w:val="center"/>
            <w:hideMark/>
          </w:tcPr>
          <w:p w14:paraId="0510259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213,999</w:t>
            </w:r>
          </w:p>
        </w:tc>
        <w:tc>
          <w:tcPr>
            <w:tcW w:w="386" w:type="pct"/>
            <w:tcBorders>
              <w:top w:val="nil"/>
              <w:left w:val="nil"/>
              <w:bottom w:val="single" w:sz="8" w:space="0" w:color="8EA9DB"/>
              <w:right w:val="single" w:sz="8" w:space="0" w:color="8EA9DB"/>
            </w:tcBorders>
            <w:shd w:val="clear" w:color="000000" w:fill="B4C6E7"/>
            <w:vAlign w:val="center"/>
            <w:hideMark/>
          </w:tcPr>
          <w:p w14:paraId="577EE24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227,261</w:t>
            </w:r>
          </w:p>
        </w:tc>
        <w:tc>
          <w:tcPr>
            <w:tcW w:w="386" w:type="pct"/>
            <w:tcBorders>
              <w:top w:val="nil"/>
              <w:left w:val="nil"/>
              <w:bottom w:val="single" w:sz="8" w:space="0" w:color="8EA9DB"/>
              <w:right w:val="single" w:sz="8" w:space="0" w:color="8EA9DB"/>
            </w:tcBorders>
            <w:shd w:val="clear" w:color="000000" w:fill="B4C6E7"/>
            <w:vAlign w:val="center"/>
            <w:hideMark/>
          </w:tcPr>
          <w:p w14:paraId="39BAADA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236,784</w:t>
            </w:r>
          </w:p>
        </w:tc>
        <w:tc>
          <w:tcPr>
            <w:tcW w:w="485" w:type="pct"/>
            <w:tcBorders>
              <w:top w:val="nil"/>
              <w:left w:val="nil"/>
              <w:bottom w:val="single" w:sz="8" w:space="0" w:color="8EA9DB"/>
              <w:right w:val="single" w:sz="8" w:space="0" w:color="8EA9DB"/>
            </w:tcBorders>
            <w:shd w:val="clear" w:color="000000" w:fill="B4C6E7"/>
            <w:vAlign w:val="center"/>
            <w:hideMark/>
          </w:tcPr>
          <w:p w14:paraId="49A3E76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13,262</w:t>
            </w:r>
          </w:p>
        </w:tc>
        <w:tc>
          <w:tcPr>
            <w:tcW w:w="485" w:type="pct"/>
            <w:tcBorders>
              <w:top w:val="nil"/>
              <w:left w:val="nil"/>
              <w:bottom w:val="single" w:sz="8" w:space="0" w:color="8EA9DB"/>
              <w:right w:val="single" w:sz="8" w:space="0" w:color="8EA9DB"/>
            </w:tcBorders>
            <w:shd w:val="clear" w:color="000000" w:fill="B4C6E7"/>
            <w:vAlign w:val="center"/>
            <w:hideMark/>
          </w:tcPr>
          <w:p w14:paraId="2FF16C8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6.2%</w:t>
            </w:r>
          </w:p>
        </w:tc>
        <w:tc>
          <w:tcPr>
            <w:tcW w:w="446" w:type="pct"/>
            <w:tcBorders>
              <w:top w:val="nil"/>
              <w:left w:val="nil"/>
              <w:bottom w:val="single" w:sz="8" w:space="0" w:color="8EA9DB"/>
              <w:right w:val="single" w:sz="8" w:space="0" w:color="8EA9DB"/>
            </w:tcBorders>
            <w:shd w:val="clear" w:color="000000" w:fill="B4C6E7"/>
            <w:vAlign w:val="center"/>
            <w:hideMark/>
          </w:tcPr>
          <w:p w14:paraId="5BDD588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-9,522</w:t>
            </w:r>
          </w:p>
        </w:tc>
        <w:tc>
          <w:tcPr>
            <w:tcW w:w="467" w:type="pct"/>
            <w:tcBorders>
              <w:top w:val="nil"/>
              <w:left w:val="nil"/>
              <w:bottom w:val="single" w:sz="8" w:space="0" w:color="8EA9DB"/>
              <w:right w:val="single" w:sz="8" w:space="0" w:color="8EA9DB"/>
            </w:tcBorders>
            <w:shd w:val="clear" w:color="000000" w:fill="B4C6E7"/>
            <w:vAlign w:val="center"/>
            <w:hideMark/>
          </w:tcPr>
          <w:p w14:paraId="5599F29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-4.0%</w:t>
            </w:r>
          </w:p>
        </w:tc>
        <w:tc>
          <w:tcPr>
            <w:tcW w:w="415" w:type="pct"/>
            <w:tcBorders>
              <w:top w:val="nil"/>
              <w:left w:val="nil"/>
              <w:bottom w:val="single" w:sz="8" w:space="0" w:color="8EA9DB"/>
              <w:right w:val="single" w:sz="8" w:space="0" w:color="8EA9DB"/>
            </w:tcBorders>
            <w:shd w:val="clear" w:color="000000" w:fill="B4C6E7"/>
            <w:vAlign w:val="center"/>
            <w:hideMark/>
          </w:tcPr>
          <w:p w14:paraId="0DFC192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226,687</w:t>
            </w:r>
          </w:p>
        </w:tc>
        <w:tc>
          <w:tcPr>
            <w:tcW w:w="445" w:type="pct"/>
            <w:tcBorders>
              <w:top w:val="nil"/>
              <w:left w:val="nil"/>
              <w:bottom w:val="single" w:sz="8" w:space="0" w:color="8EA9DB"/>
              <w:right w:val="single" w:sz="8" w:space="0" w:color="8EA9DB"/>
            </w:tcBorders>
            <w:shd w:val="clear" w:color="000000" w:fill="B4C6E7"/>
            <w:vAlign w:val="center"/>
            <w:hideMark/>
          </w:tcPr>
          <w:p w14:paraId="1B5E54B3"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575</w:t>
            </w:r>
          </w:p>
        </w:tc>
        <w:tc>
          <w:tcPr>
            <w:tcW w:w="467" w:type="pct"/>
            <w:tcBorders>
              <w:top w:val="nil"/>
              <w:left w:val="nil"/>
              <w:bottom w:val="single" w:sz="8" w:space="0" w:color="8EA9DB"/>
              <w:right w:val="single" w:sz="8" w:space="0" w:color="8EA9DB"/>
            </w:tcBorders>
            <w:shd w:val="clear" w:color="000000" w:fill="B4C6E7"/>
            <w:vAlign w:val="center"/>
            <w:hideMark/>
          </w:tcPr>
          <w:p w14:paraId="0CE414D9"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0.3%</w:t>
            </w:r>
          </w:p>
        </w:tc>
        <w:tc>
          <w:tcPr>
            <w:tcW w:w="115" w:type="pct"/>
            <w:vAlign w:val="center"/>
            <w:hideMark/>
          </w:tcPr>
          <w:p w14:paraId="250076B1"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2F795031" w14:textId="77777777" w:rsidTr="005245F0">
        <w:trPr>
          <w:trHeight w:val="180"/>
          <w:jc w:val="center"/>
        </w:trPr>
        <w:tc>
          <w:tcPr>
            <w:tcW w:w="515" w:type="pct"/>
            <w:tcBorders>
              <w:top w:val="nil"/>
              <w:left w:val="single" w:sz="8" w:space="0" w:color="8EA9DB"/>
              <w:bottom w:val="nil"/>
              <w:right w:val="single" w:sz="8" w:space="0" w:color="8EA9DB"/>
            </w:tcBorders>
            <w:vAlign w:val="center"/>
            <w:hideMark/>
          </w:tcPr>
          <w:p w14:paraId="3A4C741A" w14:textId="209408F3" w:rsidR="00D31F37" w:rsidRPr="00E34F55" w:rsidRDefault="00D31F37" w:rsidP="00492B15">
            <w:pPr>
              <w:spacing w:before="0" w:line="240" w:lineRule="auto"/>
              <w:jc w:val="center"/>
              <w:rPr>
                <w:rFonts w:asciiTheme="majorHAnsi" w:hAnsiTheme="majorHAnsi" w:cstheme="majorHAnsi"/>
                <w:color w:val="000000"/>
                <w:sz w:val="16"/>
                <w:szCs w:val="16"/>
              </w:rPr>
            </w:pPr>
            <w:proofErr w:type="spellStart"/>
            <w:r w:rsidRPr="00E34F55">
              <w:rPr>
                <w:rFonts w:asciiTheme="majorHAnsi" w:hAnsiTheme="majorHAnsi" w:cstheme="majorHAnsi"/>
                <w:color w:val="000000"/>
                <w:sz w:val="16"/>
                <w:szCs w:val="16"/>
              </w:rPr>
              <w:t>Tvsh</w:t>
            </w:r>
            <w:proofErr w:type="spellEnd"/>
            <w:r w:rsidRPr="00E34F55">
              <w:rPr>
                <w:rFonts w:asciiTheme="majorHAnsi" w:hAnsiTheme="majorHAnsi" w:cstheme="majorHAnsi"/>
                <w:color w:val="000000"/>
                <w:sz w:val="16"/>
                <w:szCs w:val="16"/>
              </w:rPr>
              <w:t xml:space="preserve"> </w:t>
            </w:r>
            <w:proofErr w:type="spellStart"/>
            <w:r w:rsidRPr="00E34F55">
              <w:rPr>
                <w:rFonts w:asciiTheme="majorHAnsi" w:hAnsiTheme="majorHAnsi" w:cstheme="majorHAnsi"/>
                <w:color w:val="000000"/>
                <w:sz w:val="16"/>
                <w:szCs w:val="16"/>
              </w:rPr>
              <w:t>në</w:t>
            </w:r>
            <w:proofErr w:type="spellEnd"/>
            <w:r w:rsidRPr="00E34F55">
              <w:rPr>
                <w:rFonts w:asciiTheme="majorHAnsi" w:hAnsiTheme="majorHAnsi" w:cstheme="majorHAnsi"/>
                <w:color w:val="000000"/>
                <w:sz w:val="16"/>
                <w:szCs w:val="16"/>
              </w:rPr>
              <w:t xml:space="preserve"> import</w:t>
            </w:r>
          </w:p>
        </w:tc>
        <w:tc>
          <w:tcPr>
            <w:tcW w:w="387" w:type="pct"/>
            <w:tcBorders>
              <w:top w:val="nil"/>
              <w:left w:val="nil"/>
              <w:bottom w:val="nil"/>
              <w:right w:val="single" w:sz="8" w:space="0" w:color="8EA9DB"/>
            </w:tcBorders>
            <w:shd w:val="clear" w:color="000000" w:fill="FFFFFF"/>
            <w:noWrap/>
            <w:vAlign w:val="center"/>
            <w:hideMark/>
          </w:tcPr>
          <w:p w14:paraId="220EE1F0"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154,376</w:t>
            </w:r>
          </w:p>
        </w:tc>
        <w:tc>
          <w:tcPr>
            <w:tcW w:w="386" w:type="pct"/>
            <w:tcBorders>
              <w:top w:val="nil"/>
              <w:left w:val="nil"/>
              <w:bottom w:val="nil"/>
              <w:right w:val="single" w:sz="8" w:space="0" w:color="8EA9DB"/>
            </w:tcBorders>
            <w:shd w:val="clear" w:color="000000" w:fill="FFFFFF"/>
            <w:noWrap/>
            <w:vAlign w:val="center"/>
            <w:hideMark/>
          </w:tcPr>
          <w:p w14:paraId="2FFE7B85"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158,742</w:t>
            </w:r>
          </w:p>
        </w:tc>
        <w:tc>
          <w:tcPr>
            <w:tcW w:w="386" w:type="pct"/>
            <w:tcBorders>
              <w:top w:val="nil"/>
              <w:left w:val="nil"/>
              <w:bottom w:val="nil"/>
              <w:right w:val="single" w:sz="8" w:space="0" w:color="8EA9DB"/>
            </w:tcBorders>
            <w:shd w:val="clear" w:color="000000" w:fill="FFFFFF"/>
            <w:noWrap/>
            <w:vAlign w:val="center"/>
            <w:hideMark/>
          </w:tcPr>
          <w:p w14:paraId="50D57428"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170,282</w:t>
            </w:r>
          </w:p>
        </w:tc>
        <w:tc>
          <w:tcPr>
            <w:tcW w:w="485" w:type="pct"/>
            <w:tcBorders>
              <w:top w:val="nil"/>
              <w:left w:val="nil"/>
              <w:bottom w:val="nil"/>
              <w:right w:val="single" w:sz="8" w:space="0" w:color="8EA9DB"/>
            </w:tcBorders>
            <w:shd w:val="clear" w:color="000000" w:fill="FFFFFF"/>
            <w:noWrap/>
            <w:vAlign w:val="center"/>
            <w:hideMark/>
          </w:tcPr>
          <w:p w14:paraId="27D6106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4,366</w:t>
            </w:r>
          </w:p>
        </w:tc>
        <w:tc>
          <w:tcPr>
            <w:tcW w:w="485" w:type="pct"/>
            <w:tcBorders>
              <w:top w:val="nil"/>
              <w:left w:val="nil"/>
              <w:bottom w:val="nil"/>
              <w:right w:val="single" w:sz="8" w:space="0" w:color="8EA9DB"/>
            </w:tcBorders>
            <w:shd w:val="clear" w:color="000000" w:fill="FFFFFF"/>
            <w:noWrap/>
            <w:vAlign w:val="center"/>
            <w:hideMark/>
          </w:tcPr>
          <w:p w14:paraId="5A3F17A7"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2.8%</w:t>
            </w:r>
          </w:p>
        </w:tc>
        <w:tc>
          <w:tcPr>
            <w:tcW w:w="446" w:type="pct"/>
            <w:tcBorders>
              <w:top w:val="nil"/>
              <w:left w:val="nil"/>
              <w:bottom w:val="nil"/>
              <w:right w:val="single" w:sz="8" w:space="0" w:color="8EA9DB"/>
            </w:tcBorders>
            <w:shd w:val="clear" w:color="000000" w:fill="FFFFFF"/>
            <w:noWrap/>
            <w:vAlign w:val="center"/>
            <w:hideMark/>
          </w:tcPr>
          <w:p w14:paraId="417B4745"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-11,539</w:t>
            </w:r>
          </w:p>
        </w:tc>
        <w:tc>
          <w:tcPr>
            <w:tcW w:w="467" w:type="pct"/>
            <w:tcBorders>
              <w:top w:val="nil"/>
              <w:left w:val="nil"/>
              <w:bottom w:val="nil"/>
              <w:right w:val="single" w:sz="8" w:space="0" w:color="8EA9DB"/>
            </w:tcBorders>
            <w:shd w:val="clear" w:color="000000" w:fill="FFFFFF"/>
            <w:noWrap/>
            <w:vAlign w:val="center"/>
            <w:hideMark/>
          </w:tcPr>
          <w:p w14:paraId="316A0798"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-6.8%</w:t>
            </w:r>
          </w:p>
        </w:tc>
        <w:tc>
          <w:tcPr>
            <w:tcW w:w="415" w:type="pct"/>
            <w:tcBorders>
              <w:top w:val="nil"/>
              <w:left w:val="nil"/>
              <w:bottom w:val="nil"/>
              <w:right w:val="single" w:sz="8" w:space="0" w:color="8EA9DB"/>
            </w:tcBorders>
            <w:shd w:val="clear" w:color="000000" w:fill="FFFFFF"/>
            <w:noWrap/>
            <w:vAlign w:val="center"/>
            <w:hideMark/>
          </w:tcPr>
          <w:p w14:paraId="4BB230C7"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160,832</w:t>
            </w:r>
          </w:p>
        </w:tc>
        <w:tc>
          <w:tcPr>
            <w:tcW w:w="445" w:type="pct"/>
            <w:tcBorders>
              <w:top w:val="nil"/>
              <w:left w:val="nil"/>
              <w:bottom w:val="nil"/>
              <w:right w:val="single" w:sz="8" w:space="0" w:color="8EA9DB"/>
            </w:tcBorders>
            <w:shd w:val="clear" w:color="000000" w:fill="FFFFFF"/>
            <w:noWrap/>
            <w:vAlign w:val="center"/>
            <w:hideMark/>
          </w:tcPr>
          <w:p w14:paraId="0E0624FA"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-2,090</w:t>
            </w:r>
          </w:p>
        </w:tc>
        <w:tc>
          <w:tcPr>
            <w:tcW w:w="467" w:type="pct"/>
            <w:tcBorders>
              <w:top w:val="nil"/>
              <w:left w:val="nil"/>
              <w:bottom w:val="nil"/>
              <w:right w:val="single" w:sz="8" w:space="0" w:color="8EA9DB"/>
            </w:tcBorders>
            <w:shd w:val="clear" w:color="000000" w:fill="FFFFFF"/>
            <w:noWrap/>
            <w:vAlign w:val="center"/>
            <w:hideMark/>
          </w:tcPr>
          <w:p w14:paraId="1CC546C4"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-1.3%</w:t>
            </w:r>
          </w:p>
        </w:tc>
        <w:tc>
          <w:tcPr>
            <w:tcW w:w="115" w:type="pct"/>
            <w:vAlign w:val="center"/>
            <w:hideMark/>
          </w:tcPr>
          <w:p w14:paraId="57388CAB"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19D157C4" w14:textId="77777777" w:rsidTr="005245F0">
        <w:trPr>
          <w:trHeight w:val="180"/>
          <w:jc w:val="center"/>
        </w:trPr>
        <w:tc>
          <w:tcPr>
            <w:tcW w:w="515" w:type="pct"/>
            <w:tcBorders>
              <w:top w:val="single" w:sz="8" w:space="0" w:color="8EA9DB"/>
              <w:left w:val="single" w:sz="8" w:space="0" w:color="8EA9DB"/>
              <w:bottom w:val="nil"/>
              <w:right w:val="single" w:sz="8" w:space="0" w:color="8EA9DB"/>
            </w:tcBorders>
            <w:shd w:val="clear" w:color="000000" w:fill="B4C6E7"/>
            <w:vAlign w:val="center"/>
            <w:hideMark/>
          </w:tcPr>
          <w:p w14:paraId="5C0639FF" w14:textId="77777777" w:rsidR="00D31F37" w:rsidRPr="00E34F55" w:rsidRDefault="00D31F37" w:rsidP="00492B15">
            <w:pPr>
              <w:spacing w:before="0" w:line="240" w:lineRule="auto"/>
              <w:jc w:val="center"/>
              <w:rPr>
                <w:rFonts w:asciiTheme="majorHAnsi" w:hAnsiTheme="majorHAnsi" w:cstheme="majorHAnsi"/>
                <w:color w:val="000000"/>
                <w:sz w:val="16"/>
                <w:szCs w:val="16"/>
              </w:rPr>
            </w:pPr>
            <w:proofErr w:type="spellStart"/>
            <w:r w:rsidRPr="00E34F55">
              <w:rPr>
                <w:rFonts w:asciiTheme="majorHAnsi" w:hAnsiTheme="majorHAnsi" w:cstheme="majorHAnsi"/>
                <w:color w:val="000000"/>
                <w:sz w:val="16"/>
                <w:szCs w:val="16"/>
              </w:rPr>
              <w:t>Tvsh</w:t>
            </w:r>
            <w:proofErr w:type="spellEnd"/>
            <w:r w:rsidRPr="00E34F55">
              <w:rPr>
                <w:rFonts w:asciiTheme="majorHAnsi" w:hAnsiTheme="majorHAnsi" w:cstheme="majorHAnsi"/>
                <w:color w:val="000000"/>
                <w:sz w:val="16"/>
                <w:szCs w:val="16"/>
              </w:rPr>
              <w:t xml:space="preserve"> </w:t>
            </w:r>
            <w:proofErr w:type="spellStart"/>
            <w:r w:rsidRPr="00E34F55">
              <w:rPr>
                <w:rFonts w:asciiTheme="majorHAnsi" w:hAnsiTheme="majorHAnsi" w:cstheme="majorHAnsi"/>
                <w:color w:val="000000"/>
                <w:sz w:val="16"/>
                <w:szCs w:val="16"/>
              </w:rPr>
              <w:t>brenda</w:t>
            </w:r>
            <w:proofErr w:type="spellEnd"/>
            <w:r w:rsidRPr="00E34F55">
              <w:rPr>
                <w:rFonts w:asciiTheme="majorHAnsi" w:hAnsiTheme="majorHAnsi" w:cstheme="majorHAnsi"/>
                <w:color w:val="000000"/>
                <w:sz w:val="16"/>
                <w:szCs w:val="16"/>
              </w:rPr>
              <w:t xml:space="preserve"> </w:t>
            </w:r>
            <w:proofErr w:type="spellStart"/>
            <w:r w:rsidRPr="00E34F55">
              <w:rPr>
                <w:rFonts w:asciiTheme="majorHAnsi" w:hAnsiTheme="majorHAnsi" w:cstheme="majorHAnsi"/>
                <w:color w:val="000000"/>
                <w:sz w:val="16"/>
                <w:szCs w:val="16"/>
              </w:rPr>
              <w:t>vendit</w:t>
            </w:r>
            <w:proofErr w:type="spellEnd"/>
          </w:p>
        </w:tc>
        <w:tc>
          <w:tcPr>
            <w:tcW w:w="387" w:type="pct"/>
            <w:tcBorders>
              <w:top w:val="single" w:sz="8" w:space="0" w:color="8EA9DB"/>
              <w:left w:val="nil"/>
              <w:bottom w:val="nil"/>
              <w:right w:val="single" w:sz="8" w:space="0" w:color="8EA9DB"/>
            </w:tcBorders>
            <w:shd w:val="clear" w:color="000000" w:fill="B4C6E7"/>
            <w:noWrap/>
            <w:vAlign w:val="center"/>
            <w:hideMark/>
          </w:tcPr>
          <w:p w14:paraId="75EBCF70"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59,623</w:t>
            </w:r>
          </w:p>
        </w:tc>
        <w:tc>
          <w:tcPr>
            <w:tcW w:w="386" w:type="pct"/>
            <w:tcBorders>
              <w:top w:val="single" w:sz="8" w:space="0" w:color="8EA9DB"/>
              <w:left w:val="nil"/>
              <w:bottom w:val="nil"/>
              <w:right w:val="single" w:sz="8" w:space="0" w:color="8EA9DB"/>
            </w:tcBorders>
            <w:shd w:val="clear" w:color="000000" w:fill="B4C6E7"/>
            <w:noWrap/>
            <w:vAlign w:val="center"/>
            <w:hideMark/>
          </w:tcPr>
          <w:p w14:paraId="7281F9CA"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68,519</w:t>
            </w:r>
          </w:p>
        </w:tc>
        <w:tc>
          <w:tcPr>
            <w:tcW w:w="386" w:type="pct"/>
            <w:tcBorders>
              <w:top w:val="single" w:sz="8" w:space="0" w:color="8EA9DB"/>
              <w:left w:val="nil"/>
              <w:bottom w:val="nil"/>
              <w:right w:val="single" w:sz="8" w:space="0" w:color="8EA9DB"/>
            </w:tcBorders>
            <w:shd w:val="clear" w:color="000000" w:fill="B4C6E7"/>
            <w:noWrap/>
            <w:vAlign w:val="center"/>
            <w:hideMark/>
          </w:tcPr>
          <w:p w14:paraId="7F58AF3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66,502</w:t>
            </w:r>
          </w:p>
        </w:tc>
        <w:tc>
          <w:tcPr>
            <w:tcW w:w="485" w:type="pct"/>
            <w:tcBorders>
              <w:top w:val="single" w:sz="8" w:space="0" w:color="8EA9DB"/>
              <w:left w:val="nil"/>
              <w:bottom w:val="nil"/>
              <w:right w:val="single" w:sz="8" w:space="0" w:color="8EA9DB"/>
            </w:tcBorders>
            <w:shd w:val="clear" w:color="000000" w:fill="B4C6E7"/>
            <w:noWrap/>
            <w:vAlign w:val="center"/>
            <w:hideMark/>
          </w:tcPr>
          <w:p w14:paraId="0845F1E6"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8,897</w:t>
            </w:r>
          </w:p>
        </w:tc>
        <w:tc>
          <w:tcPr>
            <w:tcW w:w="485" w:type="pct"/>
            <w:tcBorders>
              <w:top w:val="single" w:sz="8" w:space="0" w:color="8EA9DB"/>
              <w:left w:val="nil"/>
              <w:bottom w:val="nil"/>
              <w:right w:val="single" w:sz="8" w:space="0" w:color="8EA9DB"/>
            </w:tcBorders>
            <w:shd w:val="clear" w:color="000000" w:fill="B4C6E7"/>
            <w:noWrap/>
            <w:vAlign w:val="center"/>
            <w:hideMark/>
          </w:tcPr>
          <w:p w14:paraId="7E5DCB35"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14.9%</w:t>
            </w:r>
          </w:p>
        </w:tc>
        <w:tc>
          <w:tcPr>
            <w:tcW w:w="446" w:type="pct"/>
            <w:tcBorders>
              <w:top w:val="single" w:sz="8" w:space="0" w:color="8EA9DB"/>
              <w:left w:val="nil"/>
              <w:bottom w:val="nil"/>
              <w:right w:val="single" w:sz="8" w:space="0" w:color="8EA9DB"/>
            </w:tcBorders>
            <w:shd w:val="clear" w:color="000000" w:fill="B4C6E7"/>
            <w:noWrap/>
            <w:vAlign w:val="center"/>
            <w:hideMark/>
          </w:tcPr>
          <w:p w14:paraId="6F49BB78"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2,017</w:t>
            </w:r>
          </w:p>
        </w:tc>
        <w:tc>
          <w:tcPr>
            <w:tcW w:w="467" w:type="pct"/>
            <w:tcBorders>
              <w:top w:val="single" w:sz="8" w:space="0" w:color="8EA9DB"/>
              <w:left w:val="nil"/>
              <w:bottom w:val="nil"/>
              <w:right w:val="single" w:sz="8" w:space="0" w:color="8EA9DB"/>
            </w:tcBorders>
            <w:shd w:val="clear" w:color="000000" w:fill="B4C6E7"/>
            <w:noWrap/>
            <w:vAlign w:val="center"/>
            <w:hideMark/>
          </w:tcPr>
          <w:p w14:paraId="7AA9D750"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3.0%</w:t>
            </w:r>
          </w:p>
        </w:tc>
        <w:tc>
          <w:tcPr>
            <w:tcW w:w="415" w:type="pct"/>
            <w:tcBorders>
              <w:top w:val="single" w:sz="8" w:space="0" w:color="8EA9DB"/>
              <w:left w:val="nil"/>
              <w:bottom w:val="nil"/>
              <w:right w:val="single" w:sz="8" w:space="0" w:color="8EA9DB"/>
            </w:tcBorders>
            <w:shd w:val="clear" w:color="000000" w:fill="B4C6E7"/>
            <w:noWrap/>
            <w:vAlign w:val="center"/>
            <w:hideMark/>
          </w:tcPr>
          <w:p w14:paraId="60B6077B"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65,854</w:t>
            </w:r>
          </w:p>
        </w:tc>
        <w:tc>
          <w:tcPr>
            <w:tcW w:w="445" w:type="pct"/>
            <w:tcBorders>
              <w:top w:val="single" w:sz="8" w:space="0" w:color="8EA9DB"/>
              <w:left w:val="nil"/>
              <w:bottom w:val="nil"/>
              <w:right w:val="single" w:sz="8" w:space="0" w:color="8EA9DB"/>
            </w:tcBorders>
            <w:shd w:val="clear" w:color="000000" w:fill="B4C6E7"/>
            <w:noWrap/>
            <w:vAlign w:val="center"/>
            <w:hideMark/>
          </w:tcPr>
          <w:p w14:paraId="4249D76B"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2,665</w:t>
            </w:r>
          </w:p>
        </w:tc>
        <w:tc>
          <w:tcPr>
            <w:tcW w:w="467" w:type="pct"/>
            <w:tcBorders>
              <w:top w:val="single" w:sz="8" w:space="0" w:color="8EA9DB"/>
              <w:left w:val="nil"/>
              <w:bottom w:val="nil"/>
              <w:right w:val="single" w:sz="8" w:space="0" w:color="8EA9DB"/>
            </w:tcBorders>
            <w:shd w:val="clear" w:color="000000" w:fill="B4C6E7"/>
            <w:noWrap/>
            <w:vAlign w:val="center"/>
            <w:hideMark/>
          </w:tcPr>
          <w:p w14:paraId="25DA06A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4.0%</w:t>
            </w:r>
          </w:p>
        </w:tc>
        <w:tc>
          <w:tcPr>
            <w:tcW w:w="115" w:type="pct"/>
            <w:vAlign w:val="center"/>
            <w:hideMark/>
          </w:tcPr>
          <w:p w14:paraId="383D1166"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52835E38" w14:textId="77777777" w:rsidTr="005245F0">
        <w:trPr>
          <w:trHeight w:val="180"/>
          <w:jc w:val="center"/>
        </w:trPr>
        <w:tc>
          <w:tcPr>
            <w:tcW w:w="515" w:type="pct"/>
            <w:tcBorders>
              <w:top w:val="single" w:sz="8" w:space="0" w:color="8EA9DB"/>
              <w:left w:val="single" w:sz="8" w:space="0" w:color="8EA9DB"/>
              <w:bottom w:val="nil"/>
              <w:right w:val="single" w:sz="8" w:space="0" w:color="8EA9DB"/>
            </w:tcBorders>
            <w:vAlign w:val="center"/>
            <w:hideMark/>
          </w:tcPr>
          <w:p w14:paraId="0F20A84A" w14:textId="77777777" w:rsidR="00D31F37" w:rsidRPr="00E34F55" w:rsidRDefault="00D31F37" w:rsidP="00492B15">
            <w:pPr>
              <w:spacing w:before="0" w:line="240" w:lineRule="auto"/>
              <w:jc w:val="center"/>
              <w:rPr>
                <w:rFonts w:asciiTheme="majorHAnsi" w:hAnsiTheme="majorHAnsi" w:cstheme="majorHAnsi"/>
                <w:color w:val="000000"/>
                <w:sz w:val="16"/>
                <w:szCs w:val="16"/>
              </w:rPr>
            </w:pPr>
            <w:proofErr w:type="spellStart"/>
            <w:r w:rsidRPr="00E34F55">
              <w:rPr>
                <w:rFonts w:asciiTheme="majorHAnsi" w:hAnsiTheme="majorHAnsi" w:cstheme="majorHAnsi"/>
                <w:color w:val="000000"/>
                <w:sz w:val="16"/>
                <w:szCs w:val="16"/>
              </w:rPr>
              <w:t>Rimbursim</w:t>
            </w:r>
            <w:proofErr w:type="spellEnd"/>
            <w:r w:rsidRPr="00E34F55">
              <w:rPr>
                <w:rFonts w:asciiTheme="majorHAnsi" w:hAnsiTheme="majorHAnsi" w:cstheme="majorHAnsi"/>
                <w:color w:val="000000"/>
                <w:sz w:val="16"/>
                <w:szCs w:val="16"/>
              </w:rPr>
              <w:t xml:space="preserve"> TVSH</w:t>
            </w:r>
          </w:p>
        </w:tc>
        <w:tc>
          <w:tcPr>
            <w:tcW w:w="387" w:type="pct"/>
            <w:tcBorders>
              <w:top w:val="single" w:sz="8" w:space="0" w:color="8EA9DB"/>
              <w:left w:val="nil"/>
              <w:bottom w:val="nil"/>
              <w:right w:val="single" w:sz="8" w:space="0" w:color="8EA9DB"/>
            </w:tcBorders>
            <w:shd w:val="clear" w:color="000000" w:fill="FFFFFF"/>
            <w:noWrap/>
            <w:vAlign w:val="center"/>
            <w:hideMark/>
          </w:tcPr>
          <w:p w14:paraId="72E4C73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22,374</w:t>
            </w:r>
          </w:p>
        </w:tc>
        <w:tc>
          <w:tcPr>
            <w:tcW w:w="386" w:type="pct"/>
            <w:tcBorders>
              <w:top w:val="single" w:sz="8" w:space="0" w:color="8EA9DB"/>
              <w:left w:val="nil"/>
              <w:bottom w:val="nil"/>
              <w:right w:val="single" w:sz="8" w:space="0" w:color="8EA9DB"/>
            </w:tcBorders>
            <w:shd w:val="clear" w:color="000000" w:fill="FFFFFF"/>
            <w:noWrap/>
            <w:vAlign w:val="center"/>
            <w:hideMark/>
          </w:tcPr>
          <w:p w14:paraId="4DBA985D"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25,299</w:t>
            </w:r>
          </w:p>
        </w:tc>
        <w:tc>
          <w:tcPr>
            <w:tcW w:w="386" w:type="pct"/>
            <w:tcBorders>
              <w:top w:val="single" w:sz="8" w:space="0" w:color="8EA9DB"/>
              <w:left w:val="nil"/>
              <w:bottom w:val="nil"/>
              <w:right w:val="single" w:sz="8" w:space="0" w:color="8EA9DB"/>
            </w:tcBorders>
            <w:shd w:val="clear" w:color="000000" w:fill="FFFFFF"/>
            <w:noWrap/>
            <w:vAlign w:val="center"/>
            <w:hideMark/>
          </w:tcPr>
          <w:p w14:paraId="0A74017A"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26,135</w:t>
            </w:r>
          </w:p>
        </w:tc>
        <w:tc>
          <w:tcPr>
            <w:tcW w:w="485" w:type="pct"/>
            <w:tcBorders>
              <w:top w:val="single" w:sz="8" w:space="0" w:color="8EA9DB"/>
              <w:left w:val="nil"/>
              <w:bottom w:val="nil"/>
              <w:right w:val="single" w:sz="8" w:space="0" w:color="8EA9DB"/>
            </w:tcBorders>
            <w:shd w:val="clear" w:color="000000" w:fill="FFFFFF"/>
            <w:noWrap/>
            <w:vAlign w:val="center"/>
            <w:hideMark/>
          </w:tcPr>
          <w:p w14:paraId="1F69690F"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2,925</w:t>
            </w:r>
          </w:p>
        </w:tc>
        <w:tc>
          <w:tcPr>
            <w:tcW w:w="485" w:type="pct"/>
            <w:tcBorders>
              <w:top w:val="single" w:sz="8" w:space="0" w:color="8EA9DB"/>
              <w:left w:val="nil"/>
              <w:bottom w:val="nil"/>
              <w:right w:val="single" w:sz="8" w:space="0" w:color="8EA9DB"/>
            </w:tcBorders>
            <w:shd w:val="clear" w:color="000000" w:fill="FFFFFF"/>
            <w:noWrap/>
            <w:vAlign w:val="center"/>
            <w:hideMark/>
          </w:tcPr>
          <w:p w14:paraId="29F01FB8"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13.1%</w:t>
            </w:r>
          </w:p>
        </w:tc>
        <w:tc>
          <w:tcPr>
            <w:tcW w:w="446" w:type="pct"/>
            <w:tcBorders>
              <w:top w:val="single" w:sz="8" w:space="0" w:color="8EA9DB"/>
              <w:left w:val="nil"/>
              <w:bottom w:val="nil"/>
              <w:right w:val="single" w:sz="8" w:space="0" w:color="8EA9DB"/>
            </w:tcBorders>
            <w:shd w:val="clear" w:color="000000" w:fill="FFFFFF"/>
            <w:noWrap/>
            <w:vAlign w:val="center"/>
            <w:hideMark/>
          </w:tcPr>
          <w:p w14:paraId="7BFDA35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-836</w:t>
            </w:r>
          </w:p>
        </w:tc>
        <w:tc>
          <w:tcPr>
            <w:tcW w:w="467" w:type="pct"/>
            <w:tcBorders>
              <w:top w:val="single" w:sz="8" w:space="0" w:color="8EA9DB"/>
              <w:left w:val="nil"/>
              <w:bottom w:val="nil"/>
              <w:right w:val="single" w:sz="8" w:space="0" w:color="8EA9DB"/>
            </w:tcBorders>
            <w:shd w:val="clear" w:color="000000" w:fill="FFFFFF"/>
            <w:noWrap/>
            <w:vAlign w:val="center"/>
            <w:hideMark/>
          </w:tcPr>
          <w:p w14:paraId="4C6F5396"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-3.2%</w:t>
            </w:r>
          </w:p>
        </w:tc>
        <w:tc>
          <w:tcPr>
            <w:tcW w:w="415" w:type="pct"/>
            <w:tcBorders>
              <w:top w:val="single" w:sz="8" w:space="0" w:color="8EA9DB"/>
              <w:left w:val="nil"/>
              <w:bottom w:val="nil"/>
              <w:right w:val="single" w:sz="8" w:space="0" w:color="8EA9DB"/>
            </w:tcBorders>
            <w:shd w:val="clear" w:color="000000" w:fill="FFFFFF"/>
            <w:noWrap/>
            <w:vAlign w:val="center"/>
            <w:hideMark/>
          </w:tcPr>
          <w:p w14:paraId="65E67064"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26,677</w:t>
            </w:r>
          </w:p>
        </w:tc>
        <w:tc>
          <w:tcPr>
            <w:tcW w:w="445" w:type="pct"/>
            <w:tcBorders>
              <w:top w:val="single" w:sz="8" w:space="0" w:color="8EA9DB"/>
              <w:left w:val="nil"/>
              <w:bottom w:val="nil"/>
              <w:right w:val="single" w:sz="8" w:space="0" w:color="8EA9DB"/>
            </w:tcBorders>
            <w:shd w:val="clear" w:color="000000" w:fill="FFFFFF"/>
            <w:noWrap/>
            <w:vAlign w:val="center"/>
            <w:hideMark/>
          </w:tcPr>
          <w:p w14:paraId="5472906E"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-1,378</w:t>
            </w:r>
          </w:p>
        </w:tc>
        <w:tc>
          <w:tcPr>
            <w:tcW w:w="467" w:type="pct"/>
            <w:tcBorders>
              <w:top w:val="single" w:sz="8" w:space="0" w:color="8EA9DB"/>
              <w:left w:val="nil"/>
              <w:bottom w:val="nil"/>
              <w:right w:val="single" w:sz="8" w:space="0" w:color="8EA9DB"/>
            </w:tcBorders>
            <w:shd w:val="clear" w:color="000000" w:fill="FFFFFF"/>
            <w:noWrap/>
            <w:vAlign w:val="center"/>
            <w:hideMark/>
          </w:tcPr>
          <w:p w14:paraId="4A1BBF93"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-5.2%</w:t>
            </w:r>
          </w:p>
        </w:tc>
        <w:tc>
          <w:tcPr>
            <w:tcW w:w="115" w:type="pct"/>
            <w:vAlign w:val="center"/>
            <w:hideMark/>
          </w:tcPr>
          <w:p w14:paraId="25914EA9"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35126327" w14:textId="77777777" w:rsidTr="005245F0">
        <w:trPr>
          <w:trHeight w:val="180"/>
          <w:jc w:val="center"/>
        </w:trPr>
        <w:tc>
          <w:tcPr>
            <w:tcW w:w="515" w:type="pct"/>
            <w:tcBorders>
              <w:top w:val="single" w:sz="8" w:space="0" w:color="8EA9DB"/>
              <w:left w:val="single" w:sz="8" w:space="0" w:color="8EA9DB"/>
              <w:bottom w:val="nil"/>
              <w:right w:val="single" w:sz="8" w:space="0" w:color="8EA9DB"/>
            </w:tcBorders>
            <w:shd w:val="clear" w:color="000000" w:fill="B4C6E7"/>
            <w:vAlign w:val="center"/>
            <w:hideMark/>
          </w:tcPr>
          <w:p w14:paraId="14C2665C" w14:textId="77777777" w:rsidR="00D31F37" w:rsidRPr="00E34F55" w:rsidRDefault="00D31F37" w:rsidP="00492B15">
            <w:pPr>
              <w:spacing w:before="0" w:line="240" w:lineRule="auto"/>
              <w:jc w:val="center"/>
              <w:rPr>
                <w:rFonts w:asciiTheme="majorHAnsi" w:hAnsiTheme="majorHAnsi" w:cstheme="majorHAnsi"/>
                <w:b/>
                <w:bCs/>
                <w:color w:val="000000"/>
                <w:sz w:val="16"/>
                <w:szCs w:val="16"/>
              </w:rPr>
            </w:pPr>
            <w:proofErr w:type="spellStart"/>
            <w:r w:rsidRPr="00E34F55">
              <w:rPr>
                <w:rFonts w:asciiTheme="majorHAnsi" w:hAnsiTheme="majorHAnsi" w:cstheme="majorHAnsi"/>
                <w:b/>
                <w:bCs/>
                <w:color w:val="000000"/>
                <w:sz w:val="16"/>
                <w:szCs w:val="16"/>
              </w:rPr>
              <w:t>Tatimi</w:t>
            </w:r>
            <w:proofErr w:type="spellEnd"/>
            <w:r w:rsidRPr="00E34F55">
              <w:rPr>
                <w:rFonts w:asciiTheme="majorHAnsi" w:hAnsiTheme="majorHAnsi" w:cstheme="majorHAnsi"/>
                <w:b/>
                <w:bCs/>
                <w:color w:val="000000"/>
                <w:sz w:val="16"/>
                <w:szCs w:val="16"/>
              </w:rPr>
              <w:t xml:space="preserve"> </w:t>
            </w:r>
            <w:proofErr w:type="spellStart"/>
            <w:r w:rsidRPr="00E34F55">
              <w:rPr>
                <w:rFonts w:asciiTheme="majorHAnsi" w:hAnsiTheme="majorHAnsi" w:cstheme="majorHAnsi"/>
                <w:b/>
                <w:bCs/>
                <w:color w:val="000000"/>
                <w:sz w:val="16"/>
                <w:szCs w:val="16"/>
              </w:rPr>
              <w:t>mbi</w:t>
            </w:r>
            <w:proofErr w:type="spellEnd"/>
            <w:r w:rsidRPr="00E34F55">
              <w:rPr>
                <w:rFonts w:asciiTheme="majorHAnsi" w:hAnsiTheme="majorHAnsi" w:cstheme="majorHAnsi"/>
                <w:b/>
                <w:bCs/>
                <w:color w:val="000000"/>
                <w:sz w:val="16"/>
                <w:szCs w:val="16"/>
              </w:rPr>
              <w:t xml:space="preserve"> </w:t>
            </w:r>
            <w:proofErr w:type="spellStart"/>
            <w:r w:rsidRPr="00E34F55">
              <w:rPr>
                <w:rFonts w:asciiTheme="majorHAnsi" w:hAnsiTheme="majorHAnsi" w:cstheme="majorHAnsi"/>
                <w:b/>
                <w:bCs/>
                <w:color w:val="000000"/>
                <w:sz w:val="16"/>
                <w:szCs w:val="16"/>
              </w:rPr>
              <w:t>fitimin</w:t>
            </w:r>
            <w:proofErr w:type="spellEnd"/>
          </w:p>
        </w:tc>
        <w:tc>
          <w:tcPr>
            <w:tcW w:w="387" w:type="pct"/>
            <w:tcBorders>
              <w:top w:val="single" w:sz="8" w:space="0" w:color="8EA9DB"/>
              <w:left w:val="nil"/>
              <w:bottom w:val="nil"/>
              <w:right w:val="single" w:sz="8" w:space="0" w:color="8EA9DB"/>
            </w:tcBorders>
            <w:shd w:val="clear" w:color="000000" w:fill="B4C6E7"/>
            <w:noWrap/>
            <w:vAlign w:val="center"/>
            <w:hideMark/>
          </w:tcPr>
          <w:p w14:paraId="00DD8D0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56,995</w:t>
            </w:r>
          </w:p>
        </w:tc>
        <w:tc>
          <w:tcPr>
            <w:tcW w:w="386" w:type="pct"/>
            <w:tcBorders>
              <w:top w:val="single" w:sz="8" w:space="0" w:color="8EA9DB"/>
              <w:left w:val="nil"/>
              <w:bottom w:val="nil"/>
              <w:right w:val="single" w:sz="8" w:space="0" w:color="8EA9DB"/>
            </w:tcBorders>
            <w:shd w:val="clear" w:color="000000" w:fill="B4C6E7"/>
            <w:noWrap/>
            <w:vAlign w:val="center"/>
            <w:hideMark/>
          </w:tcPr>
          <w:p w14:paraId="4E76E79B"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58,547</w:t>
            </w:r>
          </w:p>
        </w:tc>
        <w:tc>
          <w:tcPr>
            <w:tcW w:w="386" w:type="pct"/>
            <w:tcBorders>
              <w:top w:val="single" w:sz="8" w:space="0" w:color="8EA9DB"/>
              <w:left w:val="nil"/>
              <w:bottom w:val="nil"/>
              <w:right w:val="single" w:sz="8" w:space="0" w:color="8EA9DB"/>
            </w:tcBorders>
            <w:shd w:val="clear" w:color="000000" w:fill="B4C6E7"/>
            <w:noWrap/>
            <w:vAlign w:val="center"/>
            <w:hideMark/>
          </w:tcPr>
          <w:p w14:paraId="429FFE6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65,749</w:t>
            </w:r>
          </w:p>
        </w:tc>
        <w:tc>
          <w:tcPr>
            <w:tcW w:w="485" w:type="pct"/>
            <w:tcBorders>
              <w:top w:val="single" w:sz="8" w:space="0" w:color="8EA9DB"/>
              <w:left w:val="nil"/>
              <w:bottom w:val="nil"/>
              <w:right w:val="single" w:sz="8" w:space="0" w:color="8EA9DB"/>
            </w:tcBorders>
            <w:shd w:val="clear" w:color="000000" w:fill="B4C6E7"/>
            <w:noWrap/>
            <w:vAlign w:val="center"/>
            <w:hideMark/>
          </w:tcPr>
          <w:p w14:paraId="0EEF733D"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1,552</w:t>
            </w:r>
          </w:p>
        </w:tc>
        <w:tc>
          <w:tcPr>
            <w:tcW w:w="485" w:type="pct"/>
            <w:tcBorders>
              <w:top w:val="single" w:sz="8" w:space="0" w:color="8EA9DB"/>
              <w:left w:val="nil"/>
              <w:bottom w:val="nil"/>
              <w:right w:val="single" w:sz="8" w:space="0" w:color="8EA9DB"/>
            </w:tcBorders>
            <w:shd w:val="clear" w:color="000000" w:fill="B4C6E7"/>
            <w:noWrap/>
            <w:vAlign w:val="center"/>
            <w:hideMark/>
          </w:tcPr>
          <w:p w14:paraId="1324990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2.7%</w:t>
            </w:r>
          </w:p>
        </w:tc>
        <w:tc>
          <w:tcPr>
            <w:tcW w:w="446" w:type="pct"/>
            <w:tcBorders>
              <w:top w:val="single" w:sz="8" w:space="0" w:color="8EA9DB"/>
              <w:left w:val="nil"/>
              <w:bottom w:val="nil"/>
              <w:right w:val="single" w:sz="8" w:space="0" w:color="8EA9DB"/>
            </w:tcBorders>
            <w:shd w:val="clear" w:color="000000" w:fill="B4C6E7"/>
            <w:noWrap/>
            <w:vAlign w:val="center"/>
            <w:hideMark/>
          </w:tcPr>
          <w:p w14:paraId="7E0F0E9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-7,202</w:t>
            </w:r>
          </w:p>
        </w:tc>
        <w:tc>
          <w:tcPr>
            <w:tcW w:w="467" w:type="pct"/>
            <w:tcBorders>
              <w:top w:val="single" w:sz="8" w:space="0" w:color="8EA9DB"/>
              <w:left w:val="nil"/>
              <w:bottom w:val="nil"/>
              <w:right w:val="single" w:sz="8" w:space="0" w:color="8EA9DB"/>
            </w:tcBorders>
            <w:shd w:val="clear" w:color="000000" w:fill="B4C6E7"/>
            <w:noWrap/>
            <w:vAlign w:val="center"/>
            <w:hideMark/>
          </w:tcPr>
          <w:p w14:paraId="22AF6C0F"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-11.0%</w:t>
            </w:r>
          </w:p>
        </w:tc>
        <w:tc>
          <w:tcPr>
            <w:tcW w:w="415" w:type="pct"/>
            <w:tcBorders>
              <w:top w:val="single" w:sz="8" w:space="0" w:color="8EA9DB"/>
              <w:left w:val="nil"/>
              <w:bottom w:val="nil"/>
              <w:right w:val="single" w:sz="8" w:space="0" w:color="8EA9DB"/>
            </w:tcBorders>
            <w:shd w:val="clear" w:color="000000" w:fill="B4C6E7"/>
            <w:noWrap/>
            <w:vAlign w:val="center"/>
            <w:hideMark/>
          </w:tcPr>
          <w:p w14:paraId="3ED12DBA"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60,387</w:t>
            </w:r>
          </w:p>
        </w:tc>
        <w:tc>
          <w:tcPr>
            <w:tcW w:w="445" w:type="pct"/>
            <w:tcBorders>
              <w:top w:val="single" w:sz="8" w:space="0" w:color="8EA9DB"/>
              <w:left w:val="nil"/>
              <w:bottom w:val="nil"/>
              <w:right w:val="single" w:sz="8" w:space="0" w:color="8EA9DB"/>
            </w:tcBorders>
            <w:shd w:val="clear" w:color="000000" w:fill="B4C6E7"/>
            <w:noWrap/>
            <w:vAlign w:val="center"/>
            <w:hideMark/>
          </w:tcPr>
          <w:p w14:paraId="79D40DD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-1,840</w:t>
            </w:r>
          </w:p>
        </w:tc>
        <w:tc>
          <w:tcPr>
            <w:tcW w:w="467" w:type="pct"/>
            <w:tcBorders>
              <w:top w:val="single" w:sz="8" w:space="0" w:color="8EA9DB"/>
              <w:left w:val="nil"/>
              <w:bottom w:val="nil"/>
              <w:right w:val="single" w:sz="8" w:space="0" w:color="8EA9DB"/>
            </w:tcBorders>
            <w:shd w:val="clear" w:color="000000" w:fill="B4C6E7"/>
            <w:noWrap/>
            <w:vAlign w:val="center"/>
            <w:hideMark/>
          </w:tcPr>
          <w:p w14:paraId="5723BFB4"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-3.0%</w:t>
            </w:r>
          </w:p>
        </w:tc>
        <w:tc>
          <w:tcPr>
            <w:tcW w:w="115" w:type="pct"/>
            <w:vAlign w:val="center"/>
            <w:hideMark/>
          </w:tcPr>
          <w:p w14:paraId="117E4B10"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20D50BDC" w14:textId="77777777" w:rsidTr="005245F0">
        <w:trPr>
          <w:trHeight w:val="180"/>
          <w:jc w:val="center"/>
        </w:trPr>
        <w:tc>
          <w:tcPr>
            <w:tcW w:w="515" w:type="pct"/>
            <w:tcBorders>
              <w:top w:val="single" w:sz="8" w:space="0" w:color="8EA9DB"/>
              <w:left w:val="single" w:sz="8" w:space="0" w:color="8EA9DB"/>
              <w:bottom w:val="nil"/>
              <w:right w:val="single" w:sz="8" w:space="0" w:color="8EA9DB"/>
            </w:tcBorders>
            <w:vAlign w:val="center"/>
            <w:hideMark/>
          </w:tcPr>
          <w:p w14:paraId="1D72ADCE" w14:textId="6A281077" w:rsidR="00D31F37" w:rsidRPr="00E34F55" w:rsidRDefault="00D31F37" w:rsidP="00492B15">
            <w:pPr>
              <w:spacing w:before="0" w:line="240" w:lineRule="auto"/>
              <w:jc w:val="center"/>
              <w:rPr>
                <w:rFonts w:asciiTheme="majorHAnsi" w:hAnsiTheme="majorHAnsi" w:cstheme="majorHAnsi"/>
                <w:b/>
                <w:bCs/>
                <w:color w:val="000000"/>
                <w:sz w:val="16"/>
                <w:szCs w:val="16"/>
              </w:rPr>
            </w:pPr>
            <w:proofErr w:type="spellStart"/>
            <w:r w:rsidRPr="00E34F55">
              <w:rPr>
                <w:rFonts w:asciiTheme="majorHAnsi" w:hAnsiTheme="majorHAnsi" w:cstheme="majorHAnsi"/>
                <w:b/>
                <w:bCs/>
                <w:color w:val="000000"/>
                <w:sz w:val="16"/>
                <w:szCs w:val="16"/>
              </w:rPr>
              <w:t>Akciza</w:t>
            </w:r>
            <w:proofErr w:type="spellEnd"/>
          </w:p>
        </w:tc>
        <w:tc>
          <w:tcPr>
            <w:tcW w:w="387" w:type="pct"/>
            <w:tcBorders>
              <w:top w:val="single" w:sz="8" w:space="0" w:color="8EA9DB"/>
              <w:left w:val="nil"/>
              <w:bottom w:val="nil"/>
              <w:right w:val="single" w:sz="8" w:space="0" w:color="8EA9DB"/>
            </w:tcBorders>
            <w:shd w:val="clear" w:color="000000" w:fill="FFFFFF"/>
            <w:noWrap/>
            <w:vAlign w:val="center"/>
            <w:hideMark/>
          </w:tcPr>
          <w:p w14:paraId="53827B1F"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63,437</w:t>
            </w:r>
          </w:p>
        </w:tc>
        <w:tc>
          <w:tcPr>
            <w:tcW w:w="386" w:type="pct"/>
            <w:tcBorders>
              <w:top w:val="single" w:sz="8" w:space="0" w:color="8EA9DB"/>
              <w:left w:val="nil"/>
              <w:bottom w:val="nil"/>
              <w:right w:val="single" w:sz="8" w:space="0" w:color="8EA9DB"/>
            </w:tcBorders>
            <w:shd w:val="clear" w:color="000000" w:fill="FFFFFF"/>
            <w:noWrap/>
            <w:vAlign w:val="center"/>
            <w:hideMark/>
          </w:tcPr>
          <w:p w14:paraId="4FBA327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69,599</w:t>
            </w:r>
          </w:p>
        </w:tc>
        <w:tc>
          <w:tcPr>
            <w:tcW w:w="386" w:type="pct"/>
            <w:tcBorders>
              <w:top w:val="single" w:sz="8" w:space="0" w:color="8EA9DB"/>
              <w:left w:val="nil"/>
              <w:bottom w:val="nil"/>
              <w:right w:val="single" w:sz="8" w:space="0" w:color="8EA9DB"/>
            </w:tcBorders>
            <w:shd w:val="clear" w:color="000000" w:fill="FFFFFF"/>
            <w:noWrap/>
            <w:vAlign w:val="center"/>
            <w:hideMark/>
          </w:tcPr>
          <w:p w14:paraId="352E259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67,620</w:t>
            </w:r>
          </w:p>
        </w:tc>
        <w:tc>
          <w:tcPr>
            <w:tcW w:w="485" w:type="pct"/>
            <w:tcBorders>
              <w:top w:val="single" w:sz="8" w:space="0" w:color="8EA9DB"/>
              <w:left w:val="nil"/>
              <w:bottom w:val="nil"/>
              <w:right w:val="single" w:sz="8" w:space="0" w:color="8EA9DB"/>
            </w:tcBorders>
            <w:shd w:val="clear" w:color="000000" w:fill="FFFFFF"/>
            <w:noWrap/>
            <w:vAlign w:val="center"/>
            <w:hideMark/>
          </w:tcPr>
          <w:p w14:paraId="4665EEF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6,162</w:t>
            </w:r>
          </w:p>
        </w:tc>
        <w:tc>
          <w:tcPr>
            <w:tcW w:w="485" w:type="pct"/>
            <w:tcBorders>
              <w:top w:val="single" w:sz="8" w:space="0" w:color="8EA9DB"/>
              <w:left w:val="nil"/>
              <w:bottom w:val="nil"/>
              <w:right w:val="single" w:sz="8" w:space="0" w:color="8EA9DB"/>
            </w:tcBorders>
            <w:shd w:val="clear" w:color="000000" w:fill="FFFFFF"/>
            <w:noWrap/>
            <w:vAlign w:val="center"/>
            <w:hideMark/>
          </w:tcPr>
          <w:p w14:paraId="4F8C9DD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9.7%</w:t>
            </w:r>
          </w:p>
        </w:tc>
        <w:tc>
          <w:tcPr>
            <w:tcW w:w="446" w:type="pct"/>
            <w:tcBorders>
              <w:top w:val="single" w:sz="8" w:space="0" w:color="8EA9DB"/>
              <w:left w:val="nil"/>
              <w:bottom w:val="nil"/>
              <w:right w:val="single" w:sz="8" w:space="0" w:color="8EA9DB"/>
            </w:tcBorders>
            <w:shd w:val="clear" w:color="000000" w:fill="FFFFFF"/>
            <w:noWrap/>
            <w:vAlign w:val="center"/>
            <w:hideMark/>
          </w:tcPr>
          <w:p w14:paraId="60913353"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1,979</w:t>
            </w:r>
          </w:p>
        </w:tc>
        <w:tc>
          <w:tcPr>
            <w:tcW w:w="467" w:type="pct"/>
            <w:tcBorders>
              <w:top w:val="single" w:sz="8" w:space="0" w:color="8EA9DB"/>
              <w:left w:val="nil"/>
              <w:bottom w:val="nil"/>
              <w:right w:val="single" w:sz="8" w:space="0" w:color="8EA9DB"/>
            </w:tcBorders>
            <w:shd w:val="clear" w:color="000000" w:fill="FFFFFF"/>
            <w:noWrap/>
            <w:vAlign w:val="center"/>
            <w:hideMark/>
          </w:tcPr>
          <w:p w14:paraId="3D6AE3A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2.9%</w:t>
            </w:r>
          </w:p>
        </w:tc>
        <w:tc>
          <w:tcPr>
            <w:tcW w:w="415" w:type="pct"/>
            <w:tcBorders>
              <w:top w:val="single" w:sz="8" w:space="0" w:color="8EA9DB"/>
              <w:left w:val="nil"/>
              <w:bottom w:val="nil"/>
              <w:right w:val="single" w:sz="8" w:space="0" w:color="8EA9DB"/>
            </w:tcBorders>
            <w:shd w:val="clear" w:color="000000" w:fill="FFFFFF"/>
            <w:noWrap/>
            <w:vAlign w:val="center"/>
            <w:hideMark/>
          </w:tcPr>
          <w:p w14:paraId="48AC31B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70,961</w:t>
            </w:r>
          </w:p>
        </w:tc>
        <w:tc>
          <w:tcPr>
            <w:tcW w:w="445" w:type="pct"/>
            <w:tcBorders>
              <w:top w:val="single" w:sz="8" w:space="0" w:color="8EA9DB"/>
              <w:left w:val="nil"/>
              <w:bottom w:val="nil"/>
              <w:right w:val="single" w:sz="8" w:space="0" w:color="8EA9DB"/>
            </w:tcBorders>
            <w:shd w:val="clear" w:color="000000" w:fill="FFFFFF"/>
            <w:noWrap/>
            <w:vAlign w:val="center"/>
            <w:hideMark/>
          </w:tcPr>
          <w:p w14:paraId="10FD291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-1,362</w:t>
            </w:r>
          </w:p>
        </w:tc>
        <w:tc>
          <w:tcPr>
            <w:tcW w:w="467" w:type="pct"/>
            <w:tcBorders>
              <w:top w:val="single" w:sz="8" w:space="0" w:color="8EA9DB"/>
              <w:left w:val="nil"/>
              <w:bottom w:val="nil"/>
              <w:right w:val="single" w:sz="8" w:space="0" w:color="8EA9DB"/>
            </w:tcBorders>
            <w:shd w:val="clear" w:color="000000" w:fill="FFFFFF"/>
            <w:noWrap/>
            <w:vAlign w:val="center"/>
            <w:hideMark/>
          </w:tcPr>
          <w:p w14:paraId="5B1DC30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-1.9%</w:t>
            </w:r>
          </w:p>
        </w:tc>
        <w:tc>
          <w:tcPr>
            <w:tcW w:w="115" w:type="pct"/>
            <w:vAlign w:val="center"/>
            <w:hideMark/>
          </w:tcPr>
          <w:p w14:paraId="1FD09AF2"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477FFC16" w14:textId="77777777" w:rsidTr="005245F0">
        <w:trPr>
          <w:trHeight w:val="294"/>
          <w:jc w:val="center"/>
        </w:trPr>
        <w:tc>
          <w:tcPr>
            <w:tcW w:w="515" w:type="pct"/>
            <w:tcBorders>
              <w:top w:val="single" w:sz="8" w:space="0" w:color="8EA9DB"/>
              <w:left w:val="single" w:sz="8" w:space="0" w:color="8EA9DB"/>
              <w:bottom w:val="nil"/>
              <w:right w:val="single" w:sz="8" w:space="0" w:color="8EA9DB"/>
            </w:tcBorders>
            <w:shd w:val="clear" w:color="000000" w:fill="B4C6E7"/>
            <w:vAlign w:val="center"/>
            <w:hideMark/>
          </w:tcPr>
          <w:p w14:paraId="2834B783" w14:textId="77777777" w:rsidR="00D31F37" w:rsidRPr="004A7275" w:rsidRDefault="00D31F37" w:rsidP="00492B15">
            <w:pPr>
              <w:spacing w:before="0" w:line="240" w:lineRule="auto"/>
              <w:jc w:val="center"/>
              <w:rPr>
                <w:rFonts w:asciiTheme="majorHAnsi" w:hAnsiTheme="majorHAnsi" w:cstheme="majorHAnsi"/>
                <w:b/>
                <w:bCs/>
                <w:color w:val="000000"/>
                <w:sz w:val="16"/>
                <w:szCs w:val="16"/>
                <w:lang w:val="it-CH"/>
              </w:rPr>
            </w:pPr>
            <w:r w:rsidRPr="004A7275">
              <w:rPr>
                <w:rFonts w:asciiTheme="majorHAnsi" w:hAnsiTheme="majorHAnsi" w:cstheme="majorHAnsi"/>
                <w:b/>
                <w:bCs/>
                <w:color w:val="000000"/>
                <w:sz w:val="16"/>
                <w:szCs w:val="16"/>
                <w:lang w:val="it-CH"/>
              </w:rPr>
              <w:t>Tatimi mbi të ardhurat personale</w:t>
            </w:r>
          </w:p>
        </w:tc>
        <w:tc>
          <w:tcPr>
            <w:tcW w:w="387" w:type="pct"/>
            <w:tcBorders>
              <w:top w:val="single" w:sz="8" w:space="0" w:color="8EA9DB"/>
              <w:left w:val="nil"/>
              <w:bottom w:val="nil"/>
              <w:right w:val="single" w:sz="8" w:space="0" w:color="8EA9DB"/>
            </w:tcBorders>
            <w:shd w:val="clear" w:color="000000" w:fill="B4C6E7"/>
            <w:noWrap/>
            <w:vAlign w:val="center"/>
            <w:hideMark/>
          </w:tcPr>
          <w:p w14:paraId="0970E619"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66,163</w:t>
            </w:r>
          </w:p>
        </w:tc>
        <w:tc>
          <w:tcPr>
            <w:tcW w:w="386" w:type="pct"/>
            <w:tcBorders>
              <w:top w:val="single" w:sz="8" w:space="0" w:color="8EA9DB"/>
              <w:left w:val="nil"/>
              <w:bottom w:val="nil"/>
              <w:right w:val="single" w:sz="8" w:space="0" w:color="8EA9DB"/>
            </w:tcBorders>
            <w:shd w:val="clear" w:color="000000" w:fill="B4C6E7"/>
            <w:noWrap/>
            <w:vAlign w:val="center"/>
            <w:hideMark/>
          </w:tcPr>
          <w:p w14:paraId="4B3807D3"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82,532</w:t>
            </w:r>
          </w:p>
        </w:tc>
        <w:tc>
          <w:tcPr>
            <w:tcW w:w="386" w:type="pct"/>
            <w:tcBorders>
              <w:top w:val="single" w:sz="8" w:space="0" w:color="8EA9DB"/>
              <w:left w:val="nil"/>
              <w:bottom w:val="nil"/>
              <w:right w:val="single" w:sz="8" w:space="0" w:color="8EA9DB"/>
            </w:tcBorders>
            <w:shd w:val="clear" w:color="000000" w:fill="B4C6E7"/>
            <w:noWrap/>
            <w:vAlign w:val="center"/>
            <w:hideMark/>
          </w:tcPr>
          <w:p w14:paraId="3F911314"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70,705</w:t>
            </w:r>
          </w:p>
        </w:tc>
        <w:tc>
          <w:tcPr>
            <w:tcW w:w="485" w:type="pct"/>
            <w:tcBorders>
              <w:top w:val="single" w:sz="8" w:space="0" w:color="8EA9DB"/>
              <w:left w:val="nil"/>
              <w:bottom w:val="nil"/>
              <w:right w:val="single" w:sz="8" w:space="0" w:color="8EA9DB"/>
            </w:tcBorders>
            <w:shd w:val="clear" w:color="000000" w:fill="B4C6E7"/>
            <w:noWrap/>
            <w:vAlign w:val="center"/>
            <w:hideMark/>
          </w:tcPr>
          <w:p w14:paraId="3B95AF8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16,369</w:t>
            </w:r>
          </w:p>
        </w:tc>
        <w:tc>
          <w:tcPr>
            <w:tcW w:w="485" w:type="pct"/>
            <w:tcBorders>
              <w:top w:val="single" w:sz="8" w:space="0" w:color="8EA9DB"/>
              <w:left w:val="nil"/>
              <w:bottom w:val="nil"/>
              <w:right w:val="single" w:sz="8" w:space="0" w:color="8EA9DB"/>
            </w:tcBorders>
            <w:shd w:val="clear" w:color="000000" w:fill="B4C6E7"/>
            <w:noWrap/>
            <w:vAlign w:val="center"/>
            <w:hideMark/>
          </w:tcPr>
          <w:p w14:paraId="787C5A0F"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24.7%</w:t>
            </w:r>
          </w:p>
        </w:tc>
        <w:tc>
          <w:tcPr>
            <w:tcW w:w="446" w:type="pct"/>
            <w:tcBorders>
              <w:top w:val="single" w:sz="8" w:space="0" w:color="8EA9DB"/>
              <w:left w:val="nil"/>
              <w:bottom w:val="nil"/>
              <w:right w:val="single" w:sz="8" w:space="0" w:color="8EA9DB"/>
            </w:tcBorders>
            <w:shd w:val="clear" w:color="000000" w:fill="B4C6E7"/>
            <w:noWrap/>
            <w:vAlign w:val="center"/>
            <w:hideMark/>
          </w:tcPr>
          <w:p w14:paraId="5597E73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11,827</w:t>
            </w:r>
          </w:p>
        </w:tc>
        <w:tc>
          <w:tcPr>
            <w:tcW w:w="467" w:type="pct"/>
            <w:tcBorders>
              <w:top w:val="single" w:sz="8" w:space="0" w:color="8EA9DB"/>
              <w:left w:val="nil"/>
              <w:bottom w:val="nil"/>
              <w:right w:val="single" w:sz="8" w:space="0" w:color="8EA9DB"/>
            </w:tcBorders>
            <w:shd w:val="clear" w:color="000000" w:fill="B4C6E7"/>
            <w:noWrap/>
            <w:vAlign w:val="center"/>
            <w:hideMark/>
          </w:tcPr>
          <w:p w14:paraId="3F8ED75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16.7%</w:t>
            </w:r>
          </w:p>
        </w:tc>
        <w:tc>
          <w:tcPr>
            <w:tcW w:w="415" w:type="pct"/>
            <w:tcBorders>
              <w:top w:val="single" w:sz="8" w:space="0" w:color="8EA9DB"/>
              <w:left w:val="nil"/>
              <w:bottom w:val="nil"/>
              <w:right w:val="single" w:sz="8" w:space="0" w:color="8EA9DB"/>
            </w:tcBorders>
            <w:shd w:val="clear" w:color="000000" w:fill="B4C6E7"/>
            <w:noWrap/>
            <w:vAlign w:val="center"/>
            <w:hideMark/>
          </w:tcPr>
          <w:p w14:paraId="65E7153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84,212</w:t>
            </w:r>
          </w:p>
        </w:tc>
        <w:tc>
          <w:tcPr>
            <w:tcW w:w="445" w:type="pct"/>
            <w:tcBorders>
              <w:top w:val="single" w:sz="8" w:space="0" w:color="8EA9DB"/>
              <w:left w:val="nil"/>
              <w:bottom w:val="nil"/>
              <w:right w:val="single" w:sz="8" w:space="0" w:color="8EA9DB"/>
            </w:tcBorders>
            <w:shd w:val="clear" w:color="000000" w:fill="B4C6E7"/>
            <w:noWrap/>
            <w:vAlign w:val="center"/>
            <w:hideMark/>
          </w:tcPr>
          <w:p w14:paraId="6D24DFAD"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-1,680</w:t>
            </w:r>
          </w:p>
        </w:tc>
        <w:tc>
          <w:tcPr>
            <w:tcW w:w="467" w:type="pct"/>
            <w:tcBorders>
              <w:top w:val="single" w:sz="8" w:space="0" w:color="8EA9DB"/>
              <w:left w:val="nil"/>
              <w:bottom w:val="nil"/>
              <w:right w:val="single" w:sz="8" w:space="0" w:color="8EA9DB"/>
            </w:tcBorders>
            <w:shd w:val="clear" w:color="000000" w:fill="B4C6E7"/>
            <w:noWrap/>
            <w:vAlign w:val="center"/>
            <w:hideMark/>
          </w:tcPr>
          <w:p w14:paraId="3AA5D8BF"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-2.0%</w:t>
            </w:r>
          </w:p>
        </w:tc>
        <w:tc>
          <w:tcPr>
            <w:tcW w:w="115" w:type="pct"/>
            <w:vAlign w:val="center"/>
            <w:hideMark/>
          </w:tcPr>
          <w:p w14:paraId="0778FC9E"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0F21E8C7" w14:textId="77777777" w:rsidTr="005245F0">
        <w:trPr>
          <w:trHeight w:val="294"/>
          <w:jc w:val="center"/>
        </w:trPr>
        <w:tc>
          <w:tcPr>
            <w:tcW w:w="515" w:type="pct"/>
            <w:tcBorders>
              <w:top w:val="single" w:sz="8" w:space="0" w:color="8EA9DB"/>
              <w:left w:val="single" w:sz="8" w:space="0" w:color="8EA9DB"/>
              <w:bottom w:val="nil"/>
              <w:right w:val="single" w:sz="8" w:space="0" w:color="8EA9DB"/>
            </w:tcBorders>
            <w:vAlign w:val="center"/>
            <w:hideMark/>
          </w:tcPr>
          <w:p w14:paraId="13F6A4CC" w14:textId="77777777" w:rsidR="00D31F37" w:rsidRPr="000F0D9E" w:rsidRDefault="00D31F37" w:rsidP="00492B15">
            <w:pPr>
              <w:spacing w:before="0" w:line="240" w:lineRule="auto"/>
              <w:jc w:val="center"/>
              <w:rPr>
                <w:rFonts w:asciiTheme="majorHAnsi" w:hAnsiTheme="majorHAnsi" w:cstheme="majorHAnsi"/>
                <w:b/>
                <w:bCs/>
                <w:color w:val="000000"/>
                <w:sz w:val="16"/>
                <w:szCs w:val="16"/>
                <w:lang w:val="pt-PT"/>
              </w:rPr>
            </w:pPr>
            <w:r w:rsidRPr="000F0D9E">
              <w:rPr>
                <w:rFonts w:asciiTheme="majorHAnsi" w:hAnsiTheme="majorHAnsi" w:cstheme="majorHAnsi"/>
                <w:b/>
                <w:bCs/>
                <w:color w:val="000000"/>
                <w:sz w:val="16"/>
                <w:szCs w:val="16"/>
                <w:lang w:val="pt-PT"/>
              </w:rPr>
              <w:t>Taksa Nacional dhe te tjera</w:t>
            </w:r>
          </w:p>
        </w:tc>
        <w:tc>
          <w:tcPr>
            <w:tcW w:w="387" w:type="pct"/>
            <w:tcBorders>
              <w:top w:val="single" w:sz="8" w:space="0" w:color="8EA9DB"/>
              <w:left w:val="nil"/>
              <w:bottom w:val="nil"/>
              <w:right w:val="single" w:sz="8" w:space="0" w:color="8EA9DB"/>
            </w:tcBorders>
            <w:shd w:val="clear" w:color="000000" w:fill="FFFFFF"/>
            <w:noWrap/>
            <w:vAlign w:val="center"/>
            <w:hideMark/>
          </w:tcPr>
          <w:p w14:paraId="781CE08D"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47,418</w:t>
            </w:r>
          </w:p>
        </w:tc>
        <w:tc>
          <w:tcPr>
            <w:tcW w:w="386" w:type="pct"/>
            <w:tcBorders>
              <w:top w:val="single" w:sz="8" w:space="0" w:color="8EA9DB"/>
              <w:left w:val="nil"/>
              <w:bottom w:val="nil"/>
              <w:right w:val="single" w:sz="8" w:space="0" w:color="8EA9DB"/>
            </w:tcBorders>
            <w:shd w:val="clear" w:color="000000" w:fill="FFFFFF"/>
            <w:noWrap/>
            <w:vAlign w:val="center"/>
            <w:hideMark/>
          </w:tcPr>
          <w:p w14:paraId="06DF7524"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48,799</w:t>
            </w:r>
          </w:p>
        </w:tc>
        <w:tc>
          <w:tcPr>
            <w:tcW w:w="386" w:type="pct"/>
            <w:tcBorders>
              <w:top w:val="single" w:sz="8" w:space="0" w:color="8EA9DB"/>
              <w:left w:val="nil"/>
              <w:bottom w:val="nil"/>
              <w:right w:val="single" w:sz="8" w:space="0" w:color="8EA9DB"/>
            </w:tcBorders>
            <w:shd w:val="clear" w:color="000000" w:fill="FFFFFF"/>
            <w:noWrap/>
            <w:vAlign w:val="center"/>
            <w:hideMark/>
          </w:tcPr>
          <w:p w14:paraId="459D998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49,637</w:t>
            </w:r>
          </w:p>
        </w:tc>
        <w:tc>
          <w:tcPr>
            <w:tcW w:w="485" w:type="pct"/>
            <w:tcBorders>
              <w:top w:val="single" w:sz="8" w:space="0" w:color="8EA9DB"/>
              <w:left w:val="nil"/>
              <w:bottom w:val="nil"/>
              <w:right w:val="single" w:sz="8" w:space="0" w:color="8EA9DB"/>
            </w:tcBorders>
            <w:shd w:val="clear" w:color="000000" w:fill="FFFFFF"/>
            <w:noWrap/>
            <w:vAlign w:val="center"/>
            <w:hideMark/>
          </w:tcPr>
          <w:p w14:paraId="4A18AE4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1,381</w:t>
            </w:r>
          </w:p>
        </w:tc>
        <w:tc>
          <w:tcPr>
            <w:tcW w:w="485" w:type="pct"/>
            <w:tcBorders>
              <w:top w:val="single" w:sz="8" w:space="0" w:color="8EA9DB"/>
              <w:left w:val="nil"/>
              <w:bottom w:val="nil"/>
              <w:right w:val="single" w:sz="8" w:space="0" w:color="8EA9DB"/>
            </w:tcBorders>
            <w:shd w:val="clear" w:color="000000" w:fill="FFFFFF"/>
            <w:noWrap/>
            <w:vAlign w:val="center"/>
            <w:hideMark/>
          </w:tcPr>
          <w:p w14:paraId="2FE1F35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2.9%</w:t>
            </w:r>
          </w:p>
        </w:tc>
        <w:tc>
          <w:tcPr>
            <w:tcW w:w="446" w:type="pct"/>
            <w:tcBorders>
              <w:top w:val="single" w:sz="8" w:space="0" w:color="8EA9DB"/>
              <w:left w:val="nil"/>
              <w:bottom w:val="nil"/>
              <w:right w:val="single" w:sz="8" w:space="0" w:color="8EA9DB"/>
            </w:tcBorders>
            <w:shd w:val="clear" w:color="000000" w:fill="FFFFFF"/>
            <w:noWrap/>
            <w:vAlign w:val="center"/>
            <w:hideMark/>
          </w:tcPr>
          <w:p w14:paraId="0A422B6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-838</w:t>
            </w:r>
          </w:p>
        </w:tc>
        <w:tc>
          <w:tcPr>
            <w:tcW w:w="467" w:type="pct"/>
            <w:tcBorders>
              <w:top w:val="single" w:sz="8" w:space="0" w:color="8EA9DB"/>
              <w:left w:val="nil"/>
              <w:bottom w:val="nil"/>
              <w:right w:val="single" w:sz="8" w:space="0" w:color="8EA9DB"/>
            </w:tcBorders>
            <w:shd w:val="clear" w:color="000000" w:fill="FFFFFF"/>
            <w:noWrap/>
            <w:vAlign w:val="center"/>
            <w:hideMark/>
          </w:tcPr>
          <w:p w14:paraId="2786CDA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-1.7%</w:t>
            </w:r>
          </w:p>
        </w:tc>
        <w:tc>
          <w:tcPr>
            <w:tcW w:w="415" w:type="pct"/>
            <w:tcBorders>
              <w:top w:val="single" w:sz="8" w:space="0" w:color="8EA9DB"/>
              <w:left w:val="nil"/>
              <w:bottom w:val="nil"/>
              <w:right w:val="single" w:sz="8" w:space="0" w:color="8EA9DB"/>
            </w:tcBorders>
            <w:shd w:val="clear" w:color="000000" w:fill="FFFFFF"/>
            <w:noWrap/>
            <w:vAlign w:val="center"/>
            <w:hideMark/>
          </w:tcPr>
          <w:p w14:paraId="798B657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47,107</w:t>
            </w:r>
          </w:p>
        </w:tc>
        <w:tc>
          <w:tcPr>
            <w:tcW w:w="445" w:type="pct"/>
            <w:tcBorders>
              <w:top w:val="single" w:sz="8" w:space="0" w:color="8EA9DB"/>
              <w:left w:val="nil"/>
              <w:bottom w:val="nil"/>
              <w:right w:val="single" w:sz="8" w:space="0" w:color="8EA9DB"/>
            </w:tcBorders>
            <w:shd w:val="clear" w:color="000000" w:fill="FFFFFF"/>
            <w:noWrap/>
            <w:vAlign w:val="center"/>
            <w:hideMark/>
          </w:tcPr>
          <w:p w14:paraId="73C0671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1,692</w:t>
            </w:r>
          </w:p>
        </w:tc>
        <w:tc>
          <w:tcPr>
            <w:tcW w:w="467" w:type="pct"/>
            <w:tcBorders>
              <w:top w:val="single" w:sz="8" w:space="0" w:color="8EA9DB"/>
              <w:left w:val="nil"/>
              <w:bottom w:val="nil"/>
              <w:right w:val="single" w:sz="8" w:space="0" w:color="8EA9DB"/>
            </w:tcBorders>
            <w:shd w:val="clear" w:color="000000" w:fill="FFFFFF"/>
            <w:noWrap/>
            <w:vAlign w:val="center"/>
            <w:hideMark/>
          </w:tcPr>
          <w:p w14:paraId="3740982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3.6%</w:t>
            </w:r>
          </w:p>
        </w:tc>
        <w:tc>
          <w:tcPr>
            <w:tcW w:w="115" w:type="pct"/>
            <w:vAlign w:val="center"/>
            <w:hideMark/>
          </w:tcPr>
          <w:p w14:paraId="441906AD"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52394C3E" w14:textId="77777777" w:rsidTr="005245F0">
        <w:trPr>
          <w:trHeight w:val="180"/>
          <w:jc w:val="center"/>
        </w:trPr>
        <w:tc>
          <w:tcPr>
            <w:tcW w:w="515" w:type="pct"/>
            <w:tcBorders>
              <w:top w:val="single" w:sz="8" w:space="0" w:color="8EA9DB"/>
              <w:left w:val="single" w:sz="8" w:space="0" w:color="8EA9DB"/>
              <w:bottom w:val="nil"/>
              <w:right w:val="single" w:sz="8" w:space="0" w:color="8EA9DB"/>
            </w:tcBorders>
            <w:shd w:val="clear" w:color="000000" w:fill="B4C6E7"/>
            <w:vAlign w:val="center"/>
            <w:hideMark/>
          </w:tcPr>
          <w:p w14:paraId="22EBCA2D" w14:textId="77777777" w:rsidR="00D31F37" w:rsidRPr="00E34F55" w:rsidRDefault="00D31F37" w:rsidP="00492B15">
            <w:pPr>
              <w:spacing w:before="0" w:line="240" w:lineRule="auto"/>
              <w:jc w:val="center"/>
              <w:rPr>
                <w:rFonts w:asciiTheme="majorHAnsi" w:hAnsiTheme="majorHAnsi" w:cstheme="majorHAnsi"/>
                <w:color w:val="000000"/>
                <w:sz w:val="16"/>
                <w:szCs w:val="16"/>
              </w:rPr>
            </w:pPr>
            <w:proofErr w:type="spellStart"/>
            <w:r w:rsidRPr="00E34F55">
              <w:rPr>
                <w:rFonts w:asciiTheme="majorHAnsi" w:hAnsiTheme="majorHAnsi" w:cstheme="majorHAnsi"/>
                <w:color w:val="000000"/>
                <w:sz w:val="16"/>
                <w:szCs w:val="16"/>
              </w:rPr>
              <w:t>Taksat</w:t>
            </w:r>
            <w:proofErr w:type="spellEnd"/>
            <w:r w:rsidRPr="00E34F55">
              <w:rPr>
                <w:rFonts w:asciiTheme="majorHAnsi" w:hAnsiTheme="majorHAnsi" w:cstheme="majorHAnsi"/>
                <w:color w:val="000000"/>
                <w:sz w:val="16"/>
                <w:szCs w:val="16"/>
              </w:rPr>
              <w:t xml:space="preserve"> </w:t>
            </w:r>
            <w:proofErr w:type="spellStart"/>
            <w:r w:rsidRPr="00E34F55">
              <w:rPr>
                <w:rFonts w:asciiTheme="majorHAnsi" w:hAnsiTheme="majorHAnsi" w:cstheme="majorHAnsi"/>
                <w:color w:val="000000"/>
                <w:sz w:val="16"/>
                <w:szCs w:val="16"/>
              </w:rPr>
              <w:t>nacionale</w:t>
            </w:r>
            <w:proofErr w:type="spellEnd"/>
            <w:r w:rsidRPr="00E34F55">
              <w:rPr>
                <w:rFonts w:asciiTheme="majorHAnsi" w:hAnsiTheme="majorHAnsi" w:cstheme="majorHAnsi"/>
                <w:color w:val="000000"/>
                <w:sz w:val="16"/>
                <w:szCs w:val="16"/>
              </w:rPr>
              <w:t xml:space="preserve"> </w:t>
            </w:r>
            <w:proofErr w:type="spellStart"/>
            <w:r w:rsidRPr="00E34F55">
              <w:rPr>
                <w:rFonts w:asciiTheme="majorHAnsi" w:hAnsiTheme="majorHAnsi" w:cstheme="majorHAnsi"/>
                <w:color w:val="000000"/>
                <w:sz w:val="16"/>
                <w:szCs w:val="16"/>
              </w:rPr>
              <w:t>Dpt</w:t>
            </w:r>
            <w:proofErr w:type="spellEnd"/>
          </w:p>
        </w:tc>
        <w:tc>
          <w:tcPr>
            <w:tcW w:w="387" w:type="pct"/>
            <w:tcBorders>
              <w:top w:val="single" w:sz="8" w:space="0" w:color="8EA9DB"/>
              <w:left w:val="nil"/>
              <w:bottom w:val="nil"/>
              <w:right w:val="single" w:sz="8" w:space="0" w:color="8EA9DB"/>
            </w:tcBorders>
            <w:shd w:val="clear" w:color="000000" w:fill="B4C6E7"/>
            <w:noWrap/>
            <w:vAlign w:val="center"/>
            <w:hideMark/>
          </w:tcPr>
          <w:p w14:paraId="4AB7D672"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44,685</w:t>
            </w:r>
          </w:p>
        </w:tc>
        <w:tc>
          <w:tcPr>
            <w:tcW w:w="386" w:type="pct"/>
            <w:tcBorders>
              <w:top w:val="single" w:sz="8" w:space="0" w:color="8EA9DB"/>
              <w:left w:val="nil"/>
              <w:bottom w:val="nil"/>
              <w:right w:val="single" w:sz="8" w:space="0" w:color="8EA9DB"/>
            </w:tcBorders>
            <w:shd w:val="clear" w:color="000000" w:fill="B4C6E7"/>
            <w:noWrap/>
            <w:vAlign w:val="center"/>
            <w:hideMark/>
          </w:tcPr>
          <w:p w14:paraId="09AAB2CD"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46,945</w:t>
            </w:r>
          </w:p>
        </w:tc>
        <w:tc>
          <w:tcPr>
            <w:tcW w:w="386" w:type="pct"/>
            <w:tcBorders>
              <w:top w:val="single" w:sz="8" w:space="0" w:color="8EA9DB"/>
              <w:left w:val="nil"/>
              <w:bottom w:val="nil"/>
              <w:right w:val="single" w:sz="8" w:space="0" w:color="8EA9DB"/>
            </w:tcBorders>
            <w:shd w:val="clear" w:color="000000" w:fill="B4C6E7"/>
            <w:noWrap/>
            <w:vAlign w:val="center"/>
            <w:hideMark/>
          </w:tcPr>
          <w:p w14:paraId="749A1EB6"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46,909</w:t>
            </w:r>
          </w:p>
        </w:tc>
        <w:tc>
          <w:tcPr>
            <w:tcW w:w="485" w:type="pct"/>
            <w:tcBorders>
              <w:top w:val="single" w:sz="8" w:space="0" w:color="8EA9DB"/>
              <w:left w:val="nil"/>
              <w:bottom w:val="nil"/>
              <w:right w:val="single" w:sz="8" w:space="0" w:color="8EA9DB"/>
            </w:tcBorders>
            <w:shd w:val="clear" w:color="000000" w:fill="B4C6E7"/>
            <w:noWrap/>
            <w:vAlign w:val="center"/>
            <w:hideMark/>
          </w:tcPr>
          <w:p w14:paraId="57992DD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2,260</w:t>
            </w:r>
          </w:p>
        </w:tc>
        <w:tc>
          <w:tcPr>
            <w:tcW w:w="485" w:type="pct"/>
            <w:tcBorders>
              <w:top w:val="single" w:sz="8" w:space="0" w:color="8EA9DB"/>
              <w:left w:val="nil"/>
              <w:bottom w:val="nil"/>
              <w:right w:val="single" w:sz="8" w:space="0" w:color="8EA9DB"/>
            </w:tcBorders>
            <w:shd w:val="clear" w:color="000000" w:fill="B4C6E7"/>
            <w:noWrap/>
            <w:vAlign w:val="center"/>
            <w:hideMark/>
          </w:tcPr>
          <w:p w14:paraId="2A7F94F3"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5.1%</w:t>
            </w:r>
          </w:p>
        </w:tc>
        <w:tc>
          <w:tcPr>
            <w:tcW w:w="446" w:type="pct"/>
            <w:tcBorders>
              <w:top w:val="single" w:sz="8" w:space="0" w:color="8EA9DB"/>
              <w:left w:val="nil"/>
              <w:bottom w:val="nil"/>
              <w:right w:val="single" w:sz="8" w:space="0" w:color="8EA9DB"/>
            </w:tcBorders>
            <w:shd w:val="clear" w:color="000000" w:fill="B4C6E7"/>
            <w:noWrap/>
            <w:vAlign w:val="center"/>
            <w:hideMark/>
          </w:tcPr>
          <w:p w14:paraId="7B8208F0"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36</w:t>
            </w:r>
          </w:p>
        </w:tc>
        <w:tc>
          <w:tcPr>
            <w:tcW w:w="467" w:type="pct"/>
            <w:tcBorders>
              <w:top w:val="single" w:sz="8" w:space="0" w:color="8EA9DB"/>
              <w:left w:val="nil"/>
              <w:bottom w:val="nil"/>
              <w:right w:val="single" w:sz="8" w:space="0" w:color="8EA9DB"/>
            </w:tcBorders>
            <w:shd w:val="clear" w:color="000000" w:fill="B4C6E7"/>
            <w:noWrap/>
            <w:vAlign w:val="center"/>
            <w:hideMark/>
          </w:tcPr>
          <w:p w14:paraId="469DD726"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0.1%</w:t>
            </w:r>
          </w:p>
        </w:tc>
        <w:tc>
          <w:tcPr>
            <w:tcW w:w="415" w:type="pct"/>
            <w:tcBorders>
              <w:top w:val="single" w:sz="8" w:space="0" w:color="8EA9DB"/>
              <w:left w:val="nil"/>
              <w:bottom w:val="nil"/>
              <w:right w:val="single" w:sz="8" w:space="0" w:color="8EA9DB"/>
            </w:tcBorders>
            <w:shd w:val="clear" w:color="000000" w:fill="B4C6E7"/>
            <w:noWrap/>
            <w:vAlign w:val="center"/>
            <w:hideMark/>
          </w:tcPr>
          <w:p w14:paraId="30539F4D"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45,118</w:t>
            </w:r>
          </w:p>
        </w:tc>
        <w:tc>
          <w:tcPr>
            <w:tcW w:w="445" w:type="pct"/>
            <w:tcBorders>
              <w:top w:val="single" w:sz="8" w:space="0" w:color="8EA9DB"/>
              <w:left w:val="nil"/>
              <w:bottom w:val="nil"/>
              <w:right w:val="single" w:sz="8" w:space="0" w:color="8EA9DB"/>
            </w:tcBorders>
            <w:shd w:val="clear" w:color="000000" w:fill="B4C6E7"/>
            <w:noWrap/>
            <w:vAlign w:val="center"/>
            <w:hideMark/>
          </w:tcPr>
          <w:p w14:paraId="1313264A"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1,827</w:t>
            </w:r>
          </w:p>
        </w:tc>
        <w:tc>
          <w:tcPr>
            <w:tcW w:w="467" w:type="pct"/>
            <w:tcBorders>
              <w:top w:val="single" w:sz="8" w:space="0" w:color="8EA9DB"/>
              <w:left w:val="nil"/>
              <w:bottom w:val="nil"/>
              <w:right w:val="single" w:sz="8" w:space="0" w:color="8EA9DB"/>
            </w:tcBorders>
            <w:shd w:val="clear" w:color="000000" w:fill="B4C6E7"/>
            <w:noWrap/>
            <w:vAlign w:val="center"/>
            <w:hideMark/>
          </w:tcPr>
          <w:p w14:paraId="60B0AC23"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4.0%</w:t>
            </w:r>
          </w:p>
        </w:tc>
        <w:tc>
          <w:tcPr>
            <w:tcW w:w="115" w:type="pct"/>
            <w:vAlign w:val="center"/>
            <w:hideMark/>
          </w:tcPr>
          <w:p w14:paraId="74C8B0F3"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0AF376FB" w14:textId="77777777" w:rsidTr="005245F0">
        <w:trPr>
          <w:trHeight w:val="180"/>
          <w:jc w:val="center"/>
        </w:trPr>
        <w:tc>
          <w:tcPr>
            <w:tcW w:w="515" w:type="pct"/>
            <w:tcBorders>
              <w:top w:val="single" w:sz="8" w:space="0" w:color="8EA9DB"/>
              <w:left w:val="single" w:sz="8" w:space="0" w:color="8EA9DB"/>
              <w:bottom w:val="nil"/>
              <w:right w:val="single" w:sz="8" w:space="0" w:color="8EA9DB"/>
            </w:tcBorders>
            <w:vAlign w:val="center"/>
            <w:hideMark/>
          </w:tcPr>
          <w:p w14:paraId="7B2ECB00" w14:textId="77777777" w:rsidR="00D31F37" w:rsidRPr="00E34F55" w:rsidRDefault="00D31F37" w:rsidP="00492B15">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 xml:space="preserve">Renta </w:t>
            </w:r>
            <w:proofErr w:type="spellStart"/>
            <w:r w:rsidRPr="00E34F55">
              <w:rPr>
                <w:rFonts w:asciiTheme="majorHAnsi" w:hAnsiTheme="majorHAnsi" w:cstheme="majorHAnsi"/>
                <w:color w:val="000000"/>
                <w:sz w:val="16"/>
                <w:szCs w:val="16"/>
              </w:rPr>
              <w:t>Minerare</w:t>
            </w:r>
            <w:proofErr w:type="spellEnd"/>
          </w:p>
        </w:tc>
        <w:tc>
          <w:tcPr>
            <w:tcW w:w="387" w:type="pct"/>
            <w:tcBorders>
              <w:top w:val="single" w:sz="8" w:space="0" w:color="8EA9DB"/>
              <w:left w:val="nil"/>
              <w:bottom w:val="nil"/>
              <w:right w:val="single" w:sz="8" w:space="0" w:color="8EA9DB"/>
            </w:tcBorders>
            <w:shd w:val="clear" w:color="000000" w:fill="FFFFFF"/>
            <w:noWrap/>
            <w:vAlign w:val="center"/>
            <w:hideMark/>
          </w:tcPr>
          <w:p w14:paraId="4D2EAF18"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2,734</w:t>
            </w:r>
          </w:p>
        </w:tc>
        <w:tc>
          <w:tcPr>
            <w:tcW w:w="386" w:type="pct"/>
            <w:tcBorders>
              <w:top w:val="single" w:sz="8" w:space="0" w:color="8EA9DB"/>
              <w:left w:val="nil"/>
              <w:bottom w:val="nil"/>
              <w:right w:val="single" w:sz="8" w:space="0" w:color="8EA9DB"/>
            </w:tcBorders>
            <w:shd w:val="clear" w:color="000000" w:fill="FFFFFF"/>
            <w:noWrap/>
            <w:vAlign w:val="center"/>
            <w:hideMark/>
          </w:tcPr>
          <w:p w14:paraId="12FFFB5F"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1,854</w:t>
            </w:r>
          </w:p>
        </w:tc>
        <w:tc>
          <w:tcPr>
            <w:tcW w:w="386" w:type="pct"/>
            <w:tcBorders>
              <w:top w:val="single" w:sz="8" w:space="0" w:color="8EA9DB"/>
              <w:left w:val="nil"/>
              <w:bottom w:val="nil"/>
              <w:right w:val="single" w:sz="8" w:space="0" w:color="8EA9DB"/>
            </w:tcBorders>
            <w:shd w:val="clear" w:color="000000" w:fill="FFFFFF"/>
            <w:noWrap/>
            <w:vAlign w:val="center"/>
            <w:hideMark/>
          </w:tcPr>
          <w:p w14:paraId="015B2237"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2,728</w:t>
            </w:r>
          </w:p>
        </w:tc>
        <w:tc>
          <w:tcPr>
            <w:tcW w:w="485" w:type="pct"/>
            <w:tcBorders>
              <w:top w:val="single" w:sz="8" w:space="0" w:color="8EA9DB"/>
              <w:left w:val="nil"/>
              <w:bottom w:val="nil"/>
              <w:right w:val="single" w:sz="8" w:space="0" w:color="8EA9DB"/>
            </w:tcBorders>
            <w:shd w:val="clear" w:color="000000" w:fill="FFFFFF"/>
            <w:noWrap/>
            <w:vAlign w:val="center"/>
            <w:hideMark/>
          </w:tcPr>
          <w:p w14:paraId="203C3C06"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-879</w:t>
            </w:r>
          </w:p>
        </w:tc>
        <w:tc>
          <w:tcPr>
            <w:tcW w:w="485" w:type="pct"/>
            <w:tcBorders>
              <w:top w:val="single" w:sz="8" w:space="0" w:color="8EA9DB"/>
              <w:left w:val="nil"/>
              <w:bottom w:val="nil"/>
              <w:right w:val="single" w:sz="8" w:space="0" w:color="8EA9DB"/>
            </w:tcBorders>
            <w:shd w:val="clear" w:color="000000" w:fill="FFFFFF"/>
            <w:noWrap/>
            <w:vAlign w:val="center"/>
            <w:hideMark/>
          </w:tcPr>
          <w:p w14:paraId="41D773D1"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-32.2%</w:t>
            </w:r>
          </w:p>
        </w:tc>
        <w:tc>
          <w:tcPr>
            <w:tcW w:w="446" w:type="pct"/>
            <w:tcBorders>
              <w:top w:val="single" w:sz="8" w:space="0" w:color="8EA9DB"/>
              <w:left w:val="nil"/>
              <w:bottom w:val="nil"/>
              <w:right w:val="single" w:sz="8" w:space="0" w:color="8EA9DB"/>
            </w:tcBorders>
            <w:shd w:val="clear" w:color="000000" w:fill="FFFFFF"/>
            <w:noWrap/>
            <w:vAlign w:val="center"/>
            <w:hideMark/>
          </w:tcPr>
          <w:p w14:paraId="018302C4"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-874</w:t>
            </w:r>
          </w:p>
        </w:tc>
        <w:tc>
          <w:tcPr>
            <w:tcW w:w="467" w:type="pct"/>
            <w:tcBorders>
              <w:top w:val="single" w:sz="8" w:space="0" w:color="8EA9DB"/>
              <w:left w:val="nil"/>
              <w:bottom w:val="nil"/>
              <w:right w:val="single" w:sz="8" w:space="0" w:color="8EA9DB"/>
            </w:tcBorders>
            <w:shd w:val="clear" w:color="000000" w:fill="FFFFFF"/>
            <w:noWrap/>
            <w:vAlign w:val="center"/>
            <w:hideMark/>
          </w:tcPr>
          <w:p w14:paraId="1A0DCF4E"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-32.0%</w:t>
            </w:r>
          </w:p>
        </w:tc>
        <w:tc>
          <w:tcPr>
            <w:tcW w:w="415" w:type="pct"/>
            <w:tcBorders>
              <w:top w:val="single" w:sz="8" w:space="0" w:color="8EA9DB"/>
              <w:left w:val="nil"/>
              <w:bottom w:val="nil"/>
              <w:right w:val="single" w:sz="8" w:space="0" w:color="8EA9DB"/>
            </w:tcBorders>
            <w:shd w:val="clear" w:color="000000" w:fill="FFFFFF"/>
            <w:noWrap/>
            <w:vAlign w:val="center"/>
            <w:hideMark/>
          </w:tcPr>
          <w:p w14:paraId="1ED69C5C"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1,989</w:t>
            </w:r>
          </w:p>
        </w:tc>
        <w:tc>
          <w:tcPr>
            <w:tcW w:w="445" w:type="pct"/>
            <w:tcBorders>
              <w:top w:val="single" w:sz="8" w:space="0" w:color="8EA9DB"/>
              <w:left w:val="nil"/>
              <w:bottom w:val="nil"/>
              <w:right w:val="single" w:sz="8" w:space="0" w:color="8EA9DB"/>
            </w:tcBorders>
            <w:shd w:val="clear" w:color="000000" w:fill="FFFFFF"/>
            <w:noWrap/>
            <w:vAlign w:val="center"/>
            <w:hideMark/>
          </w:tcPr>
          <w:p w14:paraId="2A393D2B"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-135</w:t>
            </w:r>
          </w:p>
        </w:tc>
        <w:tc>
          <w:tcPr>
            <w:tcW w:w="467" w:type="pct"/>
            <w:tcBorders>
              <w:top w:val="single" w:sz="8" w:space="0" w:color="8EA9DB"/>
              <w:left w:val="nil"/>
              <w:bottom w:val="nil"/>
              <w:right w:val="single" w:sz="8" w:space="0" w:color="8EA9DB"/>
            </w:tcBorders>
            <w:shd w:val="clear" w:color="000000" w:fill="FFFFFF"/>
            <w:noWrap/>
            <w:vAlign w:val="center"/>
            <w:hideMark/>
          </w:tcPr>
          <w:p w14:paraId="70EC5E3E" w14:textId="77777777" w:rsidR="00D31F37" w:rsidRPr="00E34F55" w:rsidRDefault="00D31F37" w:rsidP="00891ECB">
            <w:pPr>
              <w:spacing w:before="0" w:line="240" w:lineRule="auto"/>
              <w:jc w:val="center"/>
              <w:rPr>
                <w:rFonts w:asciiTheme="majorHAnsi" w:hAnsiTheme="majorHAnsi" w:cstheme="majorHAnsi"/>
                <w:color w:val="000000"/>
                <w:sz w:val="16"/>
                <w:szCs w:val="16"/>
              </w:rPr>
            </w:pPr>
            <w:r w:rsidRPr="00E34F55">
              <w:rPr>
                <w:rFonts w:asciiTheme="majorHAnsi" w:hAnsiTheme="majorHAnsi" w:cstheme="majorHAnsi"/>
                <w:color w:val="000000"/>
                <w:sz w:val="16"/>
                <w:szCs w:val="16"/>
              </w:rPr>
              <w:t>-6.8%</w:t>
            </w:r>
          </w:p>
        </w:tc>
        <w:tc>
          <w:tcPr>
            <w:tcW w:w="115" w:type="pct"/>
            <w:vAlign w:val="center"/>
            <w:hideMark/>
          </w:tcPr>
          <w:p w14:paraId="36E85AE3"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26D2A23D" w14:textId="77777777" w:rsidTr="005245F0">
        <w:trPr>
          <w:trHeight w:val="180"/>
          <w:jc w:val="center"/>
        </w:trPr>
        <w:tc>
          <w:tcPr>
            <w:tcW w:w="515" w:type="pct"/>
            <w:tcBorders>
              <w:top w:val="single" w:sz="8" w:space="0" w:color="8EA9DB"/>
              <w:left w:val="single" w:sz="8" w:space="0" w:color="8EA9DB"/>
              <w:bottom w:val="nil"/>
              <w:right w:val="single" w:sz="8" w:space="0" w:color="8EA9DB"/>
            </w:tcBorders>
            <w:shd w:val="clear" w:color="000000" w:fill="B4C6E7"/>
            <w:vAlign w:val="center"/>
            <w:hideMark/>
          </w:tcPr>
          <w:p w14:paraId="39283DB8" w14:textId="77777777" w:rsidR="00D31F37" w:rsidRPr="00E34F55" w:rsidRDefault="00D31F37" w:rsidP="00492B15">
            <w:pPr>
              <w:spacing w:before="0" w:line="240" w:lineRule="auto"/>
              <w:jc w:val="center"/>
              <w:rPr>
                <w:rFonts w:asciiTheme="majorHAnsi" w:hAnsiTheme="majorHAnsi" w:cstheme="majorHAnsi"/>
                <w:b/>
                <w:bCs/>
                <w:color w:val="000000"/>
                <w:sz w:val="16"/>
                <w:szCs w:val="16"/>
              </w:rPr>
            </w:pPr>
            <w:proofErr w:type="spellStart"/>
            <w:r w:rsidRPr="00E34F55">
              <w:rPr>
                <w:rFonts w:asciiTheme="majorHAnsi" w:hAnsiTheme="majorHAnsi" w:cstheme="majorHAnsi"/>
                <w:b/>
                <w:bCs/>
                <w:color w:val="000000"/>
                <w:sz w:val="16"/>
                <w:szCs w:val="16"/>
              </w:rPr>
              <w:t>Taksë</w:t>
            </w:r>
            <w:proofErr w:type="spellEnd"/>
            <w:r w:rsidRPr="00E34F55">
              <w:rPr>
                <w:rFonts w:asciiTheme="majorHAnsi" w:hAnsiTheme="majorHAnsi" w:cstheme="majorHAnsi"/>
                <w:b/>
                <w:bCs/>
                <w:color w:val="000000"/>
                <w:sz w:val="16"/>
                <w:szCs w:val="16"/>
              </w:rPr>
              <w:t xml:space="preserve"> </w:t>
            </w:r>
            <w:proofErr w:type="spellStart"/>
            <w:r w:rsidRPr="00E34F55">
              <w:rPr>
                <w:rFonts w:asciiTheme="majorHAnsi" w:hAnsiTheme="majorHAnsi" w:cstheme="majorHAnsi"/>
                <w:b/>
                <w:bCs/>
                <w:color w:val="000000"/>
                <w:sz w:val="16"/>
                <w:szCs w:val="16"/>
              </w:rPr>
              <w:t>Doganore</w:t>
            </w:r>
            <w:proofErr w:type="spellEnd"/>
          </w:p>
        </w:tc>
        <w:tc>
          <w:tcPr>
            <w:tcW w:w="387" w:type="pct"/>
            <w:tcBorders>
              <w:top w:val="single" w:sz="8" w:space="0" w:color="8EA9DB"/>
              <w:left w:val="nil"/>
              <w:bottom w:val="nil"/>
              <w:right w:val="single" w:sz="8" w:space="0" w:color="8EA9DB"/>
            </w:tcBorders>
            <w:shd w:val="clear" w:color="000000" w:fill="B4C6E7"/>
            <w:noWrap/>
            <w:vAlign w:val="center"/>
            <w:hideMark/>
          </w:tcPr>
          <w:p w14:paraId="57D4A11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8,973</w:t>
            </w:r>
          </w:p>
        </w:tc>
        <w:tc>
          <w:tcPr>
            <w:tcW w:w="386" w:type="pct"/>
            <w:tcBorders>
              <w:top w:val="single" w:sz="8" w:space="0" w:color="8EA9DB"/>
              <w:left w:val="nil"/>
              <w:bottom w:val="nil"/>
              <w:right w:val="single" w:sz="8" w:space="0" w:color="8EA9DB"/>
            </w:tcBorders>
            <w:shd w:val="clear" w:color="000000" w:fill="B4C6E7"/>
            <w:noWrap/>
            <w:vAlign w:val="center"/>
            <w:hideMark/>
          </w:tcPr>
          <w:p w14:paraId="1334189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9,486</w:t>
            </w:r>
          </w:p>
        </w:tc>
        <w:tc>
          <w:tcPr>
            <w:tcW w:w="386" w:type="pct"/>
            <w:tcBorders>
              <w:top w:val="single" w:sz="8" w:space="0" w:color="8EA9DB"/>
              <w:left w:val="nil"/>
              <w:bottom w:val="nil"/>
              <w:right w:val="single" w:sz="8" w:space="0" w:color="8EA9DB"/>
            </w:tcBorders>
            <w:shd w:val="clear" w:color="000000" w:fill="B4C6E7"/>
            <w:noWrap/>
            <w:vAlign w:val="center"/>
            <w:hideMark/>
          </w:tcPr>
          <w:p w14:paraId="50A025A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11,078</w:t>
            </w:r>
          </w:p>
        </w:tc>
        <w:tc>
          <w:tcPr>
            <w:tcW w:w="485" w:type="pct"/>
            <w:tcBorders>
              <w:top w:val="single" w:sz="8" w:space="0" w:color="8EA9DB"/>
              <w:left w:val="nil"/>
              <w:bottom w:val="nil"/>
              <w:right w:val="single" w:sz="8" w:space="0" w:color="8EA9DB"/>
            </w:tcBorders>
            <w:shd w:val="clear" w:color="000000" w:fill="B4C6E7"/>
            <w:noWrap/>
            <w:vAlign w:val="center"/>
            <w:hideMark/>
          </w:tcPr>
          <w:p w14:paraId="2AD17ED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514</w:t>
            </w:r>
          </w:p>
        </w:tc>
        <w:tc>
          <w:tcPr>
            <w:tcW w:w="485" w:type="pct"/>
            <w:tcBorders>
              <w:top w:val="single" w:sz="8" w:space="0" w:color="8EA9DB"/>
              <w:left w:val="nil"/>
              <w:bottom w:val="nil"/>
              <w:right w:val="single" w:sz="8" w:space="0" w:color="8EA9DB"/>
            </w:tcBorders>
            <w:shd w:val="clear" w:color="000000" w:fill="B4C6E7"/>
            <w:noWrap/>
            <w:vAlign w:val="center"/>
            <w:hideMark/>
          </w:tcPr>
          <w:p w14:paraId="41FBCBA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5.7%</w:t>
            </w:r>
          </w:p>
        </w:tc>
        <w:tc>
          <w:tcPr>
            <w:tcW w:w="446" w:type="pct"/>
            <w:tcBorders>
              <w:top w:val="single" w:sz="8" w:space="0" w:color="8EA9DB"/>
              <w:left w:val="nil"/>
              <w:bottom w:val="nil"/>
              <w:right w:val="single" w:sz="8" w:space="0" w:color="8EA9DB"/>
            </w:tcBorders>
            <w:shd w:val="clear" w:color="000000" w:fill="B4C6E7"/>
            <w:noWrap/>
            <w:vAlign w:val="center"/>
            <w:hideMark/>
          </w:tcPr>
          <w:p w14:paraId="73C0C5CB"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-1,592</w:t>
            </w:r>
          </w:p>
        </w:tc>
        <w:tc>
          <w:tcPr>
            <w:tcW w:w="467" w:type="pct"/>
            <w:tcBorders>
              <w:top w:val="single" w:sz="8" w:space="0" w:color="8EA9DB"/>
              <w:left w:val="nil"/>
              <w:bottom w:val="nil"/>
              <w:right w:val="single" w:sz="8" w:space="0" w:color="8EA9DB"/>
            </w:tcBorders>
            <w:shd w:val="clear" w:color="000000" w:fill="B4C6E7"/>
            <w:noWrap/>
            <w:vAlign w:val="center"/>
            <w:hideMark/>
          </w:tcPr>
          <w:p w14:paraId="4570EDD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-14.4%</w:t>
            </w:r>
          </w:p>
        </w:tc>
        <w:tc>
          <w:tcPr>
            <w:tcW w:w="415" w:type="pct"/>
            <w:tcBorders>
              <w:top w:val="single" w:sz="8" w:space="0" w:color="8EA9DB"/>
              <w:left w:val="nil"/>
              <w:bottom w:val="nil"/>
              <w:right w:val="single" w:sz="8" w:space="0" w:color="8EA9DB"/>
            </w:tcBorders>
            <w:shd w:val="clear" w:color="000000" w:fill="B4C6E7"/>
            <w:noWrap/>
            <w:vAlign w:val="center"/>
            <w:hideMark/>
          </w:tcPr>
          <w:p w14:paraId="1860222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10,267</w:t>
            </w:r>
          </w:p>
        </w:tc>
        <w:tc>
          <w:tcPr>
            <w:tcW w:w="445" w:type="pct"/>
            <w:tcBorders>
              <w:top w:val="single" w:sz="8" w:space="0" w:color="8EA9DB"/>
              <w:left w:val="nil"/>
              <w:bottom w:val="nil"/>
              <w:right w:val="single" w:sz="8" w:space="0" w:color="8EA9DB"/>
            </w:tcBorders>
            <w:shd w:val="clear" w:color="000000" w:fill="B4C6E7"/>
            <w:noWrap/>
            <w:vAlign w:val="center"/>
            <w:hideMark/>
          </w:tcPr>
          <w:p w14:paraId="3B0AE0A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-780</w:t>
            </w:r>
          </w:p>
        </w:tc>
        <w:tc>
          <w:tcPr>
            <w:tcW w:w="467" w:type="pct"/>
            <w:tcBorders>
              <w:top w:val="single" w:sz="8" w:space="0" w:color="8EA9DB"/>
              <w:left w:val="nil"/>
              <w:bottom w:val="nil"/>
              <w:right w:val="single" w:sz="8" w:space="0" w:color="8EA9DB"/>
            </w:tcBorders>
            <w:shd w:val="clear" w:color="000000" w:fill="B4C6E7"/>
            <w:noWrap/>
            <w:vAlign w:val="center"/>
            <w:hideMark/>
          </w:tcPr>
          <w:p w14:paraId="2B58254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-7.6%</w:t>
            </w:r>
          </w:p>
        </w:tc>
        <w:tc>
          <w:tcPr>
            <w:tcW w:w="115" w:type="pct"/>
            <w:vAlign w:val="center"/>
            <w:hideMark/>
          </w:tcPr>
          <w:p w14:paraId="6F9AF5BF"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63D2C962" w14:textId="77777777" w:rsidTr="005245F0">
        <w:trPr>
          <w:trHeight w:val="180"/>
          <w:jc w:val="center"/>
        </w:trPr>
        <w:tc>
          <w:tcPr>
            <w:tcW w:w="515" w:type="pct"/>
            <w:tcBorders>
              <w:top w:val="nil"/>
              <w:left w:val="single" w:sz="8" w:space="0" w:color="8EA9DB"/>
              <w:bottom w:val="single" w:sz="8" w:space="0" w:color="8EA9DB"/>
              <w:right w:val="single" w:sz="8" w:space="0" w:color="8EA9DB"/>
            </w:tcBorders>
            <w:vAlign w:val="center"/>
            <w:hideMark/>
          </w:tcPr>
          <w:p w14:paraId="79A6CFC1" w14:textId="1E0C9C4B" w:rsidR="00D31F37" w:rsidRPr="00E34F55" w:rsidRDefault="00D31F37" w:rsidP="00492B15">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TOTALI TATIME + DOGANA</w:t>
            </w:r>
          </w:p>
        </w:tc>
        <w:tc>
          <w:tcPr>
            <w:tcW w:w="387" w:type="pct"/>
            <w:tcBorders>
              <w:top w:val="nil"/>
              <w:left w:val="nil"/>
              <w:bottom w:val="single" w:sz="8" w:space="0" w:color="8EA9DB"/>
              <w:right w:val="single" w:sz="8" w:space="0" w:color="8EA9DB"/>
            </w:tcBorders>
            <w:shd w:val="clear" w:color="000000" w:fill="FFFFFF"/>
            <w:vAlign w:val="center"/>
            <w:hideMark/>
          </w:tcPr>
          <w:p w14:paraId="0F7D17E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456,984</w:t>
            </w:r>
          </w:p>
        </w:tc>
        <w:tc>
          <w:tcPr>
            <w:tcW w:w="386" w:type="pct"/>
            <w:tcBorders>
              <w:top w:val="nil"/>
              <w:left w:val="nil"/>
              <w:bottom w:val="single" w:sz="8" w:space="0" w:color="8EA9DB"/>
              <w:right w:val="single" w:sz="8" w:space="0" w:color="8EA9DB"/>
            </w:tcBorders>
            <w:shd w:val="clear" w:color="000000" w:fill="FFFFFF"/>
            <w:vAlign w:val="center"/>
            <w:hideMark/>
          </w:tcPr>
          <w:p w14:paraId="4D0AA4E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496,225</w:t>
            </w:r>
          </w:p>
        </w:tc>
        <w:tc>
          <w:tcPr>
            <w:tcW w:w="386" w:type="pct"/>
            <w:tcBorders>
              <w:top w:val="nil"/>
              <w:left w:val="nil"/>
              <w:bottom w:val="single" w:sz="8" w:space="0" w:color="8EA9DB"/>
              <w:right w:val="single" w:sz="8" w:space="0" w:color="8EA9DB"/>
            </w:tcBorders>
            <w:shd w:val="clear" w:color="000000" w:fill="FFFFFF"/>
            <w:vAlign w:val="center"/>
            <w:hideMark/>
          </w:tcPr>
          <w:p w14:paraId="2C64FD4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501,572</w:t>
            </w:r>
          </w:p>
        </w:tc>
        <w:tc>
          <w:tcPr>
            <w:tcW w:w="485" w:type="pct"/>
            <w:tcBorders>
              <w:top w:val="nil"/>
              <w:left w:val="nil"/>
              <w:bottom w:val="single" w:sz="8" w:space="0" w:color="8EA9DB"/>
              <w:right w:val="single" w:sz="8" w:space="0" w:color="8EA9DB"/>
            </w:tcBorders>
            <w:shd w:val="clear" w:color="000000" w:fill="FFFFFF"/>
            <w:vAlign w:val="center"/>
            <w:hideMark/>
          </w:tcPr>
          <w:p w14:paraId="39561C1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39,240</w:t>
            </w:r>
          </w:p>
        </w:tc>
        <w:tc>
          <w:tcPr>
            <w:tcW w:w="485" w:type="pct"/>
            <w:tcBorders>
              <w:top w:val="nil"/>
              <w:left w:val="nil"/>
              <w:bottom w:val="single" w:sz="8" w:space="0" w:color="8EA9DB"/>
              <w:right w:val="single" w:sz="8" w:space="0" w:color="8EA9DB"/>
            </w:tcBorders>
            <w:shd w:val="clear" w:color="000000" w:fill="FFFFFF"/>
            <w:vAlign w:val="center"/>
            <w:hideMark/>
          </w:tcPr>
          <w:p w14:paraId="37812D4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8.6%</w:t>
            </w:r>
          </w:p>
        </w:tc>
        <w:tc>
          <w:tcPr>
            <w:tcW w:w="446" w:type="pct"/>
            <w:tcBorders>
              <w:top w:val="nil"/>
              <w:left w:val="nil"/>
              <w:bottom w:val="single" w:sz="8" w:space="0" w:color="8EA9DB"/>
              <w:right w:val="single" w:sz="8" w:space="0" w:color="8EA9DB"/>
            </w:tcBorders>
            <w:shd w:val="clear" w:color="000000" w:fill="FFFFFF"/>
            <w:vAlign w:val="center"/>
            <w:hideMark/>
          </w:tcPr>
          <w:p w14:paraId="71B38F4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-5,348</w:t>
            </w:r>
          </w:p>
        </w:tc>
        <w:tc>
          <w:tcPr>
            <w:tcW w:w="467" w:type="pct"/>
            <w:tcBorders>
              <w:top w:val="nil"/>
              <w:left w:val="nil"/>
              <w:bottom w:val="single" w:sz="8" w:space="0" w:color="8EA9DB"/>
              <w:right w:val="single" w:sz="8" w:space="0" w:color="8EA9DB"/>
            </w:tcBorders>
            <w:shd w:val="clear" w:color="000000" w:fill="FFFFFF"/>
            <w:vAlign w:val="center"/>
            <w:hideMark/>
          </w:tcPr>
          <w:p w14:paraId="108B97DE"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-1.1%</w:t>
            </w:r>
          </w:p>
        </w:tc>
        <w:tc>
          <w:tcPr>
            <w:tcW w:w="415" w:type="pct"/>
            <w:tcBorders>
              <w:top w:val="nil"/>
              <w:left w:val="nil"/>
              <w:bottom w:val="single" w:sz="8" w:space="0" w:color="8EA9DB"/>
              <w:right w:val="single" w:sz="8" w:space="0" w:color="8EA9DB"/>
            </w:tcBorders>
            <w:shd w:val="clear" w:color="000000" w:fill="FFFFFF"/>
            <w:vAlign w:val="center"/>
            <w:hideMark/>
          </w:tcPr>
          <w:p w14:paraId="564DDED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499,621</w:t>
            </w:r>
          </w:p>
        </w:tc>
        <w:tc>
          <w:tcPr>
            <w:tcW w:w="445" w:type="pct"/>
            <w:tcBorders>
              <w:top w:val="nil"/>
              <w:left w:val="nil"/>
              <w:bottom w:val="single" w:sz="8" w:space="0" w:color="8EA9DB"/>
              <w:right w:val="single" w:sz="8" w:space="0" w:color="8EA9DB"/>
            </w:tcBorders>
            <w:shd w:val="clear" w:color="000000" w:fill="FFFFFF"/>
            <w:vAlign w:val="center"/>
            <w:hideMark/>
          </w:tcPr>
          <w:p w14:paraId="0469B02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-3,396</w:t>
            </w:r>
          </w:p>
        </w:tc>
        <w:tc>
          <w:tcPr>
            <w:tcW w:w="467" w:type="pct"/>
            <w:tcBorders>
              <w:top w:val="nil"/>
              <w:left w:val="nil"/>
              <w:bottom w:val="single" w:sz="8" w:space="0" w:color="8EA9DB"/>
              <w:right w:val="single" w:sz="8" w:space="0" w:color="8EA9DB"/>
            </w:tcBorders>
            <w:shd w:val="clear" w:color="000000" w:fill="FFFFFF"/>
            <w:vAlign w:val="center"/>
            <w:hideMark/>
          </w:tcPr>
          <w:p w14:paraId="659677F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-0.7%</w:t>
            </w:r>
          </w:p>
        </w:tc>
        <w:tc>
          <w:tcPr>
            <w:tcW w:w="115" w:type="pct"/>
            <w:vAlign w:val="center"/>
            <w:hideMark/>
          </w:tcPr>
          <w:p w14:paraId="58843ADB"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6CD4FD09" w14:textId="77777777" w:rsidTr="005245F0">
        <w:trPr>
          <w:trHeight w:val="294"/>
          <w:jc w:val="center"/>
        </w:trPr>
        <w:tc>
          <w:tcPr>
            <w:tcW w:w="515" w:type="pct"/>
            <w:tcBorders>
              <w:top w:val="nil"/>
              <w:left w:val="single" w:sz="8" w:space="0" w:color="8EA9DB"/>
              <w:bottom w:val="nil"/>
              <w:right w:val="single" w:sz="8" w:space="0" w:color="8EA9DB"/>
            </w:tcBorders>
            <w:shd w:val="clear" w:color="000000" w:fill="B4C6E7"/>
            <w:vAlign w:val="center"/>
            <w:hideMark/>
          </w:tcPr>
          <w:p w14:paraId="2884AF09" w14:textId="77777777" w:rsidR="00D31F37" w:rsidRPr="00E34F55" w:rsidRDefault="00D31F37" w:rsidP="00492B15">
            <w:pPr>
              <w:spacing w:before="0" w:line="240" w:lineRule="auto"/>
              <w:jc w:val="center"/>
              <w:rPr>
                <w:rFonts w:asciiTheme="majorHAnsi" w:hAnsiTheme="majorHAnsi" w:cstheme="majorHAnsi"/>
                <w:b/>
                <w:bCs/>
                <w:color w:val="000000"/>
                <w:sz w:val="16"/>
                <w:szCs w:val="16"/>
              </w:rPr>
            </w:pPr>
            <w:proofErr w:type="spellStart"/>
            <w:r w:rsidRPr="00E34F55">
              <w:rPr>
                <w:rFonts w:asciiTheme="majorHAnsi" w:hAnsiTheme="majorHAnsi" w:cstheme="majorHAnsi"/>
                <w:b/>
                <w:bCs/>
                <w:color w:val="000000"/>
                <w:sz w:val="16"/>
                <w:szCs w:val="16"/>
              </w:rPr>
              <w:t>Kontributet</w:t>
            </w:r>
            <w:proofErr w:type="spellEnd"/>
            <w:r w:rsidRPr="00E34F55">
              <w:rPr>
                <w:rFonts w:asciiTheme="majorHAnsi" w:hAnsiTheme="majorHAnsi" w:cstheme="majorHAnsi"/>
                <w:b/>
                <w:bCs/>
                <w:color w:val="000000"/>
                <w:sz w:val="16"/>
                <w:szCs w:val="16"/>
              </w:rPr>
              <w:t xml:space="preserve"> e </w:t>
            </w:r>
            <w:proofErr w:type="spellStart"/>
            <w:r w:rsidRPr="00E34F55">
              <w:rPr>
                <w:rFonts w:asciiTheme="majorHAnsi" w:hAnsiTheme="majorHAnsi" w:cstheme="majorHAnsi"/>
                <w:b/>
                <w:bCs/>
                <w:color w:val="000000"/>
                <w:sz w:val="16"/>
                <w:szCs w:val="16"/>
              </w:rPr>
              <w:t>mbledhura</w:t>
            </w:r>
            <w:proofErr w:type="spellEnd"/>
            <w:r w:rsidRPr="00E34F55">
              <w:rPr>
                <w:rFonts w:asciiTheme="majorHAnsi" w:hAnsiTheme="majorHAnsi" w:cstheme="majorHAnsi"/>
                <w:b/>
                <w:bCs/>
                <w:color w:val="000000"/>
                <w:sz w:val="16"/>
                <w:szCs w:val="16"/>
              </w:rPr>
              <w:t xml:space="preserve"> (DPT)</w:t>
            </w:r>
          </w:p>
        </w:tc>
        <w:tc>
          <w:tcPr>
            <w:tcW w:w="387" w:type="pct"/>
            <w:tcBorders>
              <w:top w:val="nil"/>
              <w:left w:val="nil"/>
              <w:bottom w:val="nil"/>
              <w:right w:val="single" w:sz="8" w:space="0" w:color="8EA9DB"/>
            </w:tcBorders>
            <w:shd w:val="clear" w:color="000000" w:fill="B4C6E7"/>
            <w:noWrap/>
            <w:vAlign w:val="center"/>
            <w:hideMark/>
          </w:tcPr>
          <w:p w14:paraId="053BBE7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155,612</w:t>
            </w:r>
          </w:p>
        </w:tc>
        <w:tc>
          <w:tcPr>
            <w:tcW w:w="386" w:type="pct"/>
            <w:tcBorders>
              <w:top w:val="nil"/>
              <w:left w:val="nil"/>
              <w:bottom w:val="nil"/>
              <w:right w:val="single" w:sz="8" w:space="0" w:color="8EA9DB"/>
            </w:tcBorders>
            <w:shd w:val="clear" w:color="000000" w:fill="B4C6E7"/>
            <w:noWrap/>
            <w:vAlign w:val="center"/>
            <w:hideMark/>
          </w:tcPr>
          <w:p w14:paraId="6006BF09"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172,039</w:t>
            </w:r>
          </w:p>
        </w:tc>
        <w:tc>
          <w:tcPr>
            <w:tcW w:w="386" w:type="pct"/>
            <w:tcBorders>
              <w:top w:val="nil"/>
              <w:left w:val="nil"/>
              <w:bottom w:val="nil"/>
              <w:right w:val="single" w:sz="8" w:space="0" w:color="8EA9DB"/>
            </w:tcBorders>
            <w:shd w:val="clear" w:color="000000" w:fill="B4C6E7"/>
            <w:noWrap/>
            <w:vAlign w:val="center"/>
            <w:hideMark/>
          </w:tcPr>
          <w:p w14:paraId="7DDB940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164,057</w:t>
            </w:r>
          </w:p>
        </w:tc>
        <w:tc>
          <w:tcPr>
            <w:tcW w:w="485" w:type="pct"/>
            <w:tcBorders>
              <w:top w:val="nil"/>
              <w:left w:val="nil"/>
              <w:bottom w:val="nil"/>
              <w:right w:val="single" w:sz="8" w:space="0" w:color="8EA9DB"/>
            </w:tcBorders>
            <w:shd w:val="clear" w:color="000000" w:fill="B4C6E7"/>
            <w:noWrap/>
            <w:vAlign w:val="center"/>
            <w:hideMark/>
          </w:tcPr>
          <w:p w14:paraId="6BCA0576"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16,427</w:t>
            </w:r>
          </w:p>
        </w:tc>
        <w:tc>
          <w:tcPr>
            <w:tcW w:w="485" w:type="pct"/>
            <w:tcBorders>
              <w:top w:val="nil"/>
              <w:left w:val="nil"/>
              <w:bottom w:val="nil"/>
              <w:right w:val="single" w:sz="8" w:space="0" w:color="8EA9DB"/>
            </w:tcBorders>
            <w:shd w:val="clear" w:color="000000" w:fill="B4C6E7"/>
            <w:noWrap/>
            <w:vAlign w:val="center"/>
            <w:hideMark/>
          </w:tcPr>
          <w:p w14:paraId="40408012"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10.6%</w:t>
            </w:r>
          </w:p>
        </w:tc>
        <w:tc>
          <w:tcPr>
            <w:tcW w:w="446" w:type="pct"/>
            <w:tcBorders>
              <w:top w:val="nil"/>
              <w:left w:val="nil"/>
              <w:bottom w:val="nil"/>
              <w:right w:val="single" w:sz="8" w:space="0" w:color="8EA9DB"/>
            </w:tcBorders>
            <w:shd w:val="clear" w:color="000000" w:fill="B4C6E7"/>
            <w:noWrap/>
            <w:vAlign w:val="center"/>
            <w:hideMark/>
          </w:tcPr>
          <w:p w14:paraId="057E044A"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7,982</w:t>
            </w:r>
          </w:p>
        </w:tc>
        <w:tc>
          <w:tcPr>
            <w:tcW w:w="467" w:type="pct"/>
            <w:tcBorders>
              <w:top w:val="nil"/>
              <w:left w:val="nil"/>
              <w:bottom w:val="nil"/>
              <w:right w:val="single" w:sz="8" w:space="0" w:color="8EA9DB"/>
            </w:tcBorders>
            <w:shd w:val="clear" w:color="000000" w:fill="B4C6E7"/>
            <w:noWrap/>
            <w:vAlign w:val="center"/>
            <w:hideMark/>
          </w:tcPr>
          <w:p w14:paraId="4E7744E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4.9%</w:t>
            </w:r>
          </w:p>
        </w:tc>
        <w:tc>
          <w:tcPr>
            <w:tcW w:w="415" w:type="pct"/>
            <w:tcBorders>
              <w:top w:val="nil"/>
              <w:left w:val="nil"/>
              <w:bottom w:val="nil"/>
              <w:right w:val="single" w:sz="8" w:space="0" w:color="8EA9DB"/>
            </w:tcBorders>
            <w:shd w:val="clear" w:color="000000" w:fill="B4C6E7"/>
            <w:noWrap/>
            <w:vAlign w:val="center"/>
            <w:hideMark/>
          </w:tcPr>
          <w:p w14:paraId="509A35D7"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171,403</w:t>
            </w:r>
          </w:p>
        </w:tc>
        <w:tc>
          <w:tcPr>
            <w:tcW w:w="445" w:type="pct"/>
            <w:tcBorders>
              <w:top w:val="nil"/>
              <w:left w:val="nil"/>
              <w:bottom w:val="nil"/>
              <w:right w:val="single" w:sz="8" w:space="0" w:color="8EA9DB"/>
            </w:tcBorders>
            <w:shd w:val="clear" w:color="000000" w:fill="B4C6E7"/>
            <w:noWrap/>
            <w:vAlign w:val="center"/>
            <w:hideMark/>
          </w:tcPr>
          <w:p w14:paraId="47106B99"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636</w:t>
            </w:r>
          </w:p>
        </w:tc>
        <w:tc>
          <w:tcPr>
            <w:tcW w:w="467" w:type="pct"/>
            <w:tcBorders>
              <w:top w:val="nil"/>
              <w:left w:val="nil"/>
              <w:bottom w:val="nil"/>
              <w:right w:val="single" w:sz="8" w:space="0" w:color="8EA9DB"/>
            </w:tcBorders>
            <w:shd w:val="clear" w:color="000000" w:fill="B4C6E7"/>
            <w:noWrap/>
            <w:vAlign w:val="center"/>
            <w:hideMark/>
          </w:tcPr>
          <w:p w14:paraId="5BFC9509"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0.4%</w:t>
            </w:r>
          </w:p>
        </w:tc>
        <w:tc>
          <w:tcPr>
            <w:tcW w:w="115" w:type="pct"/>
            <w:vAlign w:val="center"/>
            <w:hideMark/>
          </w:tcPr>
          <w:p w14:paraId="03EE6CEA" w14:textId="77777777" w:rsidR="00D31F37" w:rsidRPr="00E34F55" w:rsidRDefault="00D31F37" w:rsidP="00891ECB">
            <w:pPr>
              <w:spacing w:before="0" w:line="240" w:lineRule="auto"/>
              <w:jc w:val="left"/>
              <w:rPr>
                <w:rFonts w:asciiTheme="majorHAnsi" w:hAnsiTheme="majorHAnsi" w:cstheme="majorHAnsi"/>
                <w:sz w:val="16"/>
                <w:szCs w:val="16"/>
              </w:rPr>
            </w:pPr>
          </w:p>
        </w:tc>
      </w:tr>
      <w:tr w:rsidR="005245F0" w:rsidRPr="00A418CC" w14:paraId="64EAE66A" w14:textId="77777777" w:rsidTr="005245F0">
        <w:trPr>
          <w:trHeight w:val="294"/>
          <w:jc w:val="center"/>
        </w:trPr>
        <w:tc>
          <w:tcPr>
            <w:tcW w:w="515" w:type="pct"/>
            <w:tcBorders>
              <w:top w:val="nil"/>
              <w:left w:val="single" w:sz="8" w:space="0" w:color="8EA9DB"/>
              <w:bottom w:val="single" w:sz="8" w:space="0" w:color="8EA9DB"/>
              <w:right w:val="single" w:sz="8" w:space="0" w:color="8EA9DB"/>
            </w:tcBorders>
            <w:vAlign w:val="center"/>
            <w:hideMark/>
          </w:tcPr>
          <w:p w14:paraId="41FC2CAB" w14:textId="77777777" w:rsidR="00D31F37" w:rsidRPr="004A7275" w:rsidRDefault="00D31F37" w:rsidP="00492B15">
            <w:pPr>
              <w:spacing w:before="0" w:line="240" w:lineRule="auto"/>
              <w:jc w:val="center"/>
              <w:rPr>
                <w:rFonts w:asciiTheme="majorHAnsi" w:hAnsiTheme="majorHAnsi" w:cstheme="majorHAnsi"/>
                <w:b/>
                <w:bCs/>
                <w:color w:val="000000"/>
                <w:sz w:val="16"/>
                <w:szCs w:val="16"/>
                <w:lang w:val="it-CH"/>
              </w:rPr>
            </w:pPr>
            <w:r w:rsidRPr="004A7275">
              <w:rPr>
                <w:rFonts w:asciiTheme="majorHAnsi" w:hAnsiTheme="majorHAnsi" w:cstheme="majorHAnsi"/>
                <w:b/>
                <w:bCs/>
                <w:color w:val="000000"/>
                <w:sz w:val="16"/>
                <w:szCs w:val="16"/>
                <w:lang w:val="it-CH"/>
              </w:rPr>
              <w:t>TOTALI TATIME + DOGANA (përfshirë kontributet DPT)</w:t>
            </w:r>
          </w:p>
        </w:tc>
        <w:tc>
          <w:tcPr>
            <w:tcW w:w="387" w:type="pct"/>
            <w:tcBorders>
              <w:top w:val="nil"/>
              <w:left w:val="nil"/>
              <w:bottom w:val="single" w:sz="8" w:space="0" w:color="8EA9DB"/>
              <w:right w:val="single" w:sz="8" w:space="0" w:color="8EA9DB"/>
            </w:tcBorders>
            <w:shd w:val="clear" w:color="000000" w:fill="FFFFFF"/>
            <w:vAlign w:val="center"/>
            <w:hideMark/>
          </w:tcPr>
          <w:p w14:paraId="024A7344"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612,596</w:t>
            </w:r>
          </w:p>
        </w:tc>
        <w:tc>
          <w:tcPr>
            <w:tcW w:w="386" w:type="pct"/>
            <w:tcBorders>
              <w:top w:val="nil"/>
              <w:left w:val="nil"/>
              <w:bottom w:val="single" w:sz="8" w:space="0" w:color="8EA9DB"/>
              <w:right w:val="single" w:sz="8" w:space="0" w:color="8EA9DB"/>
            </w:tcBorders>
            <w:shd w:val="clear" w:color="000000" w:fill="FFFFFF"/>
            <w:vAlign w:val="center"/>
            <w:hideMark/>
          </w:tcPr>
          <w:p w14:paraId="7D34B4B1"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668,264</w:t>
            </w:r>
          </w:p>
        </w:tc>
        <w:tc>
          <w:tcPr>
            <w:tcW w:w="386" w:type="pct"/>
            <w:tcBorders>
              <w:top w:val="nil"/>
              <w:left w:val="nil"/>
              <w:bottom w:val="single" w:sz="8" w:space="0" w:color="8EA9DB"/>
              <w:right w:val="single" w:sz="8" w:space="0" w:color="8EA9DB"/>
            </w:tcBorders>
            <w:shd w:val="clear" w:color="000000" w:fill="FFFFFF"/>
            <w:vAlign w:val="center"/>
            <w:hideMark/>
          </w:tcPr>
          <w:p w14:paraId="6A04E4F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665,630</w:t>
            </w:r>
          </w:p>
        </w:tc>
        <w:tc>
          <w:tcPr>
            <w:tcW w:w="485" w:type="pct"/>
            <w:tcBorders>
              <w:top w:val="nil"/>
              <w:left w:val="nil"/>
              <w:bottom w:val="single" w:sz="8" w:space="0" w:color="8EA9DB"/>
              <w:right w:val="single" w:sz="8" w:space="0" w:color="8EA9DB"/>
            </w:tcBorders>
            <w:shd w:val="clear" w:color="000000" w:fill="FFFFFF"/>
            <w:vAlign w:val="center"/>
            <w:hideMark/>
          </w:tcPr>
          <w:p w14:paraId="58D0891B"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55,668</w:t>
            </w:r>
          </w:p>
        </w:tc>
        <w:tc>
          <w:tcPr>
            <w:tcW w:w="485" w:type="pct"/>
            <w:tcBorders>
              <w:top w:val="nil"/>
              <w:left w:val="nil"/>
              <w:bottom w:val="single" w:sz="8" w:space="0" w:color="8EA9DB"/>
              <w:right w:val="single" w:sz="8" w:space="0" w:color="8EA9DB"/>
            </w:tcBorders>
            <w:shd w:val="clear" w:color="000000" w:fill="FFFFFF"/>
            <w:vAlign w:val="center"/>
            <w:hideMark/>
          </w:tcPr>
          <w:p w14:paraId="5328C58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9.1%</w:t>
            </w:r>
          </w:p>
        </w:tc>
        <w:tc>
          <w:tcPr>
            <w:tcW w:w="446" w:type="pct"/>
            <w:tcBorders>
              <w:top w:val="nil"/>
              <w:left w:val="nil"/>
              <w:bottom w:val="single" w:sz="8" w:space="0" w:color="8EA9DB"/>
              <w:right w:val="single" w:sz="8" w:space="0" w:color="8EA9DB"/>
            </w:tcBorders>
            <w:shd w:val="clear" w:color="000000" w:fill="FFFFFF"/>
            <w:vAlign w:val="center"/>
            <w:hideMark/>
          </w:tcPr>
          <w:p w14:paraId="5E2F658C"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2,634</w:t>
            </w:r>
          </w:p>
        </w:tc>
        <w:tc>
          <w:tcPr>
            <w:tcW w:w="467" w:type="pct"/>
            <w:tcBorders>
              <w:top w:val="nil"/>
              <w:left w:val="nil"/>
              <w:bottom w:val="single" w:sz="8" w:space="0" w:color="8EA9DB"/>
              <w:right w:val="single" w:sz="8" w:space="0" w:color="8EA9DB"/>
            </w:tcBorders>
            <w:shd w:val="clear" w:color="000000" w:fill="FFFFFF"/>
            <w:vAlign w:val="center"/>
            <w:hideMark/>
          </w:tcPr>
          <w:p w14:paraId="5B5795F5"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0.4%</w:t>
            </w:r>
          </w:p>
        </w:tc>
        <w:tc>
          <w:tcPr>
            <w:tcW w:w="415" w:type="pct"/>
            <w:tcBorders>
              <w:top w:val="nil"/>
              <w:left w:val="nil"/>
              <w:bottom w:val="single" w:sz="8" w:space="0" w:color="8EA9DB"/>
              <w:right w:val="single" w:sz="8" w:space="0" w:color="8EA9DB"/>
            </w:tcBorders>
            <w:shd w:val="clear" w:color="000000" w:fill="FFFFFF"/>
            <w:vAlign w:val="center"/>
            <w:hideMark/>
          </w:tcPr>
          <w:p w14:paraId="4A20B9A3"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671,024</w:t>
            </w:r>
          </w:p>
        </w:tc>
        <w:tc>
          <w:tcPr>
            <w:tcW w:w="445" w:type="pct"/>
            <w:tcBorders>
              <w:top w:val="nil"/>
              <w:left w:val="nil"/>
              <w:bottom w:val="single" w:sz="8" w:space="0" w:color="8EA9DB"/>
              <w:right w:val="single" w:sz="8" w:space="0" w:color="8EA9DB"/>
            </w:tcBorders>
            <w:shd w:val="clear" w:color="000000" w:fill="FFFFFF"/>
            <w:vAlign w:val="center"/>
            <w:hideMark/>
          </w:tcPr>
          <w:p w14:paraId="647E6FB0"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-2,760</w:t>
            </w:r>
          </w:p>
        </w:tc>
        <w:tc>
          <w:tcPr>
            <w:tcW w:w="467" w:type="pct"/>
            <w:tcBorders>
              <w:top w:val="nil"/>
              <w:left w:val="nil"/>
              <w:bottom w:val="single" w:sz="8" w:space="0" w:color="8EA9DB"/>
              <w:right w:val="single" w:sz="8" w:space="0" w:color="8EA9DB"/>
            </w:tcBorders>
            <w:shd w:val="clear" w:color="000000" w:fill="FFFFFF"/>
            <w:vAlign w:val="center"/>
            <w:hideMark/>
          </w:tcPr>
          <w:p w14:paraId="618FAC18" w14:textId="77777777" w:rsidR="00D31F37" w:rsidRPr="00E34F55" w:rsidRDefault="00D31F37" w:rsidP="00891ECB">
            <w:pPr>
              <w:spacing w:before="0" w:line="240" w:lineRule="auto"/>
              <w:jc w:val="center"/>
              <w:rPr>
                <w:rFonts w:asciiTheme="majorHAnsi" w:hAnsiTheme="majorHAnsi" w:cstheme="majorHAnsi"/>
                <w:b/>
                <w:bCs/>
                <w:color w:val="000000"/>
                <w:sz w:val="16"/>
                <w:szCs w:val="16"/>
              </w:rPr>
            </w:pPr>
            <w:r w:rsidRPr="00E34F55">
              <w:rPr>
                <w:rFonts w:asciiTheme="majorHAnsi" w:hAnsiTheme="majorHAnsi" w:cstheme="majorHAnsi"/>
                <w:b/>
                <w:bCs/>
                <w:color w:val="000000"/>
                <w:sz w:val="16"/>
                <w:szCs w:val="16"/>
              </w:rPr>
              <w:t>-0.4%</w:t>
            </w:r>
          </w:p>
        </w:tc>
        <w:tc>
          <w:tcPr>
            <w:tcW w:w="115" w:type="pct"/>
            <w:vAlign w:val="center"/>
            <w:hideMark/>
          </w:tcPr>
          <w:p w14:paraId="5FCA09E8" w14:textId="77777777" w:rsidR="00D31F37" w:rsidRPr="00E34F55" w:rsidRDefault="00D31F37" w:rsidP="00891ECB">
            <w:pPr>
              <w:spacing w:before="0" w:line="240" w:lineRule="auto"/>
              <w:jc w:val="left"/>
              <w:rPr>
                <w:rFonts w:asciiTheme="majorHAnsi" w:hAnsiTheme="majorHAnsi" w:cstheme="majorHAnsi"/>
                <w:sz w:val="16"/>
                <w:szCs w:val="16"/>
              </w:rPr>
            </w:pPr>
          </w:p>
        </w:tc>
      </w:tr>
    </w:tbl>
    <w:p w14:paraId="2296683F" w14:textId="77777777" w:rsidR="00D31F37" w:rsidRPr="00516127" w:rsidRDefault="00D31F37" w:rsidP="00D31F37">
      <w:pPr>
        <w:spacing w:before="0" w:line="240" w:lineRule="auto"/>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Burimi: Ministria e Financave (2026)</w:t>
      </w:r>
    </w:p>
    <w:p w14:paraId="7F29F666" w14:textId="77777777" w:rsidR="00D31F37" w:rsidRPr="00891ECB" w:rsidRDefault="00D31F37" w:rsidP="00D31F37">
      <w:pPr>
        <w:spacing w:before="0" w:line="240" w:lineRule="auto"/>
        <w:rPr>
          <w:rFonts w:asciiTheme="majorHAnsi" w:hAnsiTheme="majorHAnsi" w:cstheme="majorHAnsi"/>
          <w:noProof/>
          <w:sz w:val="8"/>
          <w:szCs w:val="10"/>
          <w:lang w:val="sq-AL"/>
        </w:rPr>
      </w:pPr>
    </w:p>
    <w:p w14:paraId="3C627E8E" w14:textId="77777777" w:rsidR="00126520" w:rsidRDefault="00126520" w:rsidP="00D31F37">
      <w:pPr>
        <w:spacing w:line="240" w:lineRule="auto"/>
        <w:rPr>
          <w:rFonts w:asciiTheme="majorHAnsi" w:hAnsiTheme="majorHAnsi" w:cstheme="majorHAnsi"/>
          <w:b/>
          <w:lang w:val="sq-AL"/>
        </w:rPr>
      </w:pPr>
    </w:p>
    <w:p w14:paraId="5ED55EF9" w14:textId="77777777" w:rsidR="005245F0" w:rsidRDefault="005245F0" w:rsidP="00D31F37">
      <w:pPr>
        <w:spacing w:line="240" w:lineRule="auto"/>
        <w:rPr>
          <w:rFonts w:asciiTheme="majorHAnsi" w:hAnsiTheme="majorHAnsi" w:cstheme="majorHAnsi"/>
          <w:b/>
          <w:lang w:val="sq-AL"/>
        </w:rPr>
      </w:pPr>
    </w:p>
    <w:p w14:paraId="0CC7E1CB" w14:textId="77777777" w:rsidR="005245F0" w:rsidRDefault="005245F0" w:rsidP="00D31F37">
      <w:pPr>
        <w:spacing w:line="240" w:lineRule="auto"/>
        <w:rPr>
          <w:rFonts w:asciiTheme="majorHAnsi" w:hAnsiTheme="majorHAnsi" w:cstheme="majorHAnsi"/>
          <w:b/>
          <w:lang w:val="sq-AL"/>
        </w:rPr>
      </w:pPr>
    </w:p>
    <w:p w14:paraId="59E7A28F" w14:textId="77777777" w:rsidR="005245F0" w:rsidRDefault="005245F0" w:rsidP="00D31F37">
      <w:pPr>
        <w:spacing w:line="240" w:lineRule="auto"/>
        <w:rPr>
          <w:rFonts w:asciiTheme="majorHAnsi" w:hAnsiTheme="majorHAnsi" w:cstheme="majorHAnsi"/>
          <w:b/>
          <w:lang w:val="sq-AL"/>
        </w:rPr>
      </w:pPr>
    </w:p>
    <w:p w14:paraId="058709B6" w14:textId="77777777" w:rsidR="005245F0" w:rsidRDefault="005245F0" w:rsidP="00D31F37">
      <w:pPr>
        <w:spacing w:line="240" w:lineRule="auto"/>
        <w:rPr>
          <w:rFonts w:asciiTheme="majorHAnsi" w:hAnsiTheme="majorHAnsi" w:cstheme="majorHAnsi"/>
          <w:b/>
          <w:lang w:val="sq-AL"/>
        </w:rPr>
      </w:pPr>
    </w:p>
    <w:p w14:paraId="1D1F70F4" w14:textId="75C908C6" w:rsidR="00492B15" w:rsidRDefault="003C5EDE" w:rsidP="00D31F37">
      <w:pPr>
        <w:spacing w:line="240" w:lineRule="auto"/>
        <w:rPr>
          <w:rFonts w:asciiTheme="majorHAnsi" w:hAnsiTheme="majorHAnsi" w:cstheme="majorHAnsi"/>
          <w:b/>
          <w:lang w:val="sq-AL"/>
        </w:rPr>
      </w:pPr>
      <w:r w:rsidRPr="00516127">
        <w:rPr>
          <w:rFonts w:asciiTheme="majorHAnsi" w:hAnsiTheme="majorHAnsi" w:cstheme="majorHAnsi"/>
          <w:b/>
          <w:lang w:val="sq-AL"/>
        </w:rPr>
        <w:lastRenderedPageBreak/>
        <w:t>ADMINISTRATA DOGANORE</w:t>
      </w:r>
    </w:p>
    <w:p w14:paraId="57C939F7" w14:textId="77777777" w:rsidR="00492B15" w:rsidRPr="00492B15" w:rsidRDefault="00492B15" w:rsidP="00492B15">
      <w:pPr>
        <w:spacing w:before="0" w:line="240" w:lineRule="auto"/>
        <w:rPr>
          <w:rFonts w:asciiTheme="majorHAnsi" w:hAnsiTheme="majorHAnsi" w:cstheme="majorHAnsi"/>
          <w:b/>
          <w:sz w:val="8"/>
          <w:szCs w:val="8"/>
          <w:lang w:val="sq-AL"/>
        </w:rPr>
      </w:pPr>
    </w:p>
    <w:p w14:paraId="07DEAC22" w14:textId="32F991F8" w:rsidR="00D31F37" w:rsidRDefault="00D31F37" w:rsidP="00492B15">
      <w:pPr>
        <w:spacing w:before="0" w:line="240" w:lineRule="auto"/>
        <w:rPr>
          <w:rFonts w:asciiTheme="majorHAnsi" w:hAnsiTheme="majorHAnsi" w:cstheme="majorHAnsi"/>
          <w:lang w:val="sq-AL"/>
        </w:rPr>
      </w:pPr>
      <w:r w:rsidRPr="00492B15">
        <w:rPr>
          <w:rFonts w:asciiTheme="majorHAnsi" w:hAnsiTheme="majorHAnsi" w:cstheme="majorHAnsi"/>
          <w:bCs/>
          <w:lang w:val="sq-AL"/>
        </w:rPr>
        <w:t xml:space="preserve">Të ardhurat nga </w:t>
      </w:r>
      <w:r w:rsidR="00492B15" w:rsidRPr="00492B15">
        <w:rPr>
          <w:rFonts w:asciiTheme="majorHAnsi" w:hAnsiTheme="majorHAnsi" w:cstheme="majorHAnsi"/>
          <w:bCs/>
          <w:lang w:val="sq-AL"/>
        </w:rPr>
        <w:t xml:space="preserve">administrata doganore </w:t>
      </w:r>
      <w:r w:rsidRPr="00492B15">
        <w:rPr>
          <w:rFonts w:asciiTheme="majorHAnsi" w:hAnsiTheme="majorHAnsi" w:cstheme="majorHAnsi"/>
          <w:bCs/>
          <w:lang w:val="sq-AL"/>
        </w:rPr>
        <w:t>për vitin 2025 (</w:t>
      </w:r>
      <w:r w:rsidRPr="00492B15">
        <w:rPr>
          <w:rFonts w:asciiTheme="majorHAnsi" w:hAnsiTheme="majorHAnsi" w:cstheme="majorHAnsi"/>
          <w:bCs/>
          <w:i/>
          <w:iCs/>
          <w:lang w:val="sq-AL"/>
        </w:rPr>
        <w:t>të</w:t>
      </w:r>
      <w:r w:rsidRPr="00492B15">
        <w:rPr>
          <w:rFonts w:asciiTheme="majorHAnsi" w:hAnsiTheme="majorHAnsi" w:cstheme="majorHAnsi"/>
          <w:i/>
          <w:iCs/>
          <w:lang w:val="sq-AL"/>
        </w:rPr>
        <w:t xml:space="preserve"> ardhurat nga tvsh-ja në import, akciza, taksa doganore dhe renta minerare</w:t>
      </w:r>
      <w:r w:rsidRPr="000B4A64">
        <w:rPr>
          <w:rFonts w:asciiTheme="majorHAnsi" w:hAnsiTheme="majorHAnsi" w:cstheme="majorHAnsi"/>
          <w:lang w:val="sq-AL"/>
        </w:rPr>
        <w:t>) u arkëtuan në vlerën rreth 239.7</w:t>
      </w:r>
      <w:r w:rsidR="00665D96">
        <w:rPr>
          <w:rFonts w:asciiTheme="majorHAnsi" w:hAnsiTheme="majorHAnsi" w:cstheme="majorHAnsi"/>
          <w:lang w:val="sq-AL"/>
        </w:rPr>
        <w:t>mld</w:t>
      </w:r>
      <w:r w:rsidRPr="000B4A64">
        <w:rPr>
          <w:rFonts w:asciiTheme="majorHAnsi" w:hAnsiTheme="majorHAnsi" w:cstheme="majorHAnsi"/>
          <w:lang w:val="sq-AL"/>
        </w:rPr>
        <w:t xml:space="preserve"> </w:t>
      </w:r>
      <w:r w:rsidR="0056260B">
        <w:rPr>
          <w:rFonts w:asciiTheme="majorHAnsi" w:hAnsiTheme="majorHAnsi" w:cstheme="majorHAnsi"/>
          <w:lang w:val="sq-AL"/>
        </w:rPr>
        <w:t>LEK</w:t>
      </w:r>
      <w:r w:rsidRPr="000B4A64">
        <w:rPr>
          <w:rFonts w:asciiTheme="majorHAnsi" w:hAnsiTheme="majorHAnsi" w:cstheme="majorHAnsi"/>
          <w:lang w:val="sq-AL"/>
        </w:rPr>
        <w:t xml:space="preserve">, rreth +10.2 </w:t>
      </w:r>
      <w:r w:rsidR="0056260B">
        <w:rPr>
          <w:rFonts w:asciiTheme="majorHAnsi" w:hAnsiTheme="majorHAnsi" w:cstheme="majorHAnsi"/>
          <w:lang w:val="sq-AL"/>
        </w:rPr>
        <w:t>miliardë</w:t>
      </w:r>
      <w:r w:rsidRPr="000B4A64">
        <w:rPr>
          <w:rFonts w:asciiTheme="majorHAnsi" w:hAnsiTheme="majorHAnsi" w:cstheme="majorHAnsi"/>
          <w:lang w:val="sq-AL"/>
        </w:rPr>
        <w:t xml:space="preserve"> </w:t>
      </w:r>
      <w:r w:rsidR="0056260B">
        <w:rPr>
          <w:rFonts w:asciiTheme="majorHAnsi" w:hAnsiTheme="majorHAnsi" w:cstheme="majorHAnsi"/>
          <w:lang w:val="sq-AL"/>
        </w:rPr>
        <w:t>LEK</w:t>
      </w:r>
      <w:r w:rsidRPr="000B4A64">
        <w:rPr>
          <w:rFonts w:asciiTheme="majorHAnsi" w:hAnsiTheme="majorHAnsi" w:cstheme="majorHAnsi"/>
          <w:lang w:val="sq-AL"/>
        </w:rPr>
        <w:t xml:space="preserve"> ose +4.4 % më shumë se viti 2024, si dhe -4.4 </w:t>
      </w:r>
      <w:r w:rsidR="0056260B">
        <w:rPr>
          <w:rFonts w:asciiTheme="majorHAnsi" w:hAnsiTheme="majorHAnsi" w:cstheme="majorHAnsi"/>
          <w:lang w:val="sq-AL"/>
        </w:rPr>
        <w:t>miliardë</w:t>
      </w:r>
      <w:r w:rsidRPr="000B4A64">
        <w:rPr>
          <w:rFonts w:asciiTheme="majorHAnsi" w:hAnsiTheme="majorHAnsi" w:cstheme="majorHAnsi"/>
          <w:lang w:val="sq-AL"/>
        </w:rPr>
        <w:t xml:space="preserve"> </w:t>
      </w:r>
      <w:r w:rsidR="0056260B">
        <w:rPr>
          <w:rFonts w:asciiTheme="majorHAnsi" w:hAnsiTheme="majorHAnsi" w:cstheme="majorHAnsi"/>
          <w:lang w:val="sq-AL"/>
        </w:rPr>
        <w:t>LEK</w:t>
      </w:r>
      <w:r w:rsidRPr="000B4A64">
        <w:rPr>
          <w:rFonts w:asciiTheme="majorHAnsi" w:hAnsiTheme="majorHAnsi" w:cstheme="majorHAnsi"/>
          <w:lang w:val="sq-AL"/>
        </w:rPr>
        <w:t xml:space="preserve"> ose -1.8% më pak se plani i rishikuar të ardhurave doganore për 2025.</w:t>
      </w:r>
    </w:p>
    <w:p w14:paraId="2A393D91" w14:textId="0A6CBBC7" w:rsidR="00126520" w:rsidRPr="000B4A64" w:rsidRDefault="00126520" w:rsidP="00126520">
      <w:pPr>
        <w:pStyle w:val="Caption"/>
        <w:rPr>
          <w:rFonts w:asciiTheme="majorHAnsi" w:hAnsiTheme="majorHAnsi" w:cstheme="majorHAnsi"/>
          <w:lang w:val="sq-AL"/>
        </w:rPr>
      </w:pPr>
      <w:bookmarkStart w:id="82" w:name="_Toc229129983"/>
      <w:proofErr w:type="spellStart"/>
      <w:r>
        <w:t>Tabela</w:t>
      </w:r>
      <w:proofErr w:type="spellEnd"/>
      <w:r>
        <w:t xml:space="preserve"> </w:t>
      </w:r>
      <w:fldSimple w:instr=" SEQ Tabela \* ARABIC ">
        <w:r w:rsidR="00CB4DE6">
          <w:rPr>
            <w:noProof/>
          </w:rPr>
          <w:t>9</w:t>
        </w:r>
      </w:fldSimple>
      <w:r>
        <w:t xml:space="preserve"> </w:t>
      </w:r>
      <w:proofErr w:type="spellStart"/>
      <w:r w:rsidRPr="0047790F">
        <w:t>Të</w:t>
      </w:r>
      <w:proofErr w:type="spellEnd"/>
      <w:r w:rsidRPr="0047790F">
        <w:t xml:space="preserve"> </w:t>
      </w:r>
      <w:proofErr w:type="spellStart"/>
      <w:r w:rsidRPr="0047790F">
        <w:t>ardhurat</w:t>
      </w:r>
      <w:proofErr w:type="spellEnd"/>
      <w:r w:rsidRPr="0047790F">
        <w:t xml:space="preserve"> </w:t>
      </w:r>
      <w:proofErr w:type="spellStart"/>
      <w:r w:rsidRPr="0047790F">
        <w:t>progresive</w:t>
      </w:r>
      <w:proofErr w:type="spellEnd"/>
      <w:r w:rsidRPr="0047790F">
        <w:t xml:space="preserve"> </w:t>
      </w:r>
      <w:proofErr w:type="spellStart"/>
      <w:r w:rsidRPr="0047790F">
        <w:t>Administrata</w:t>
      </w:r>
      <w:proofErr w:type="spellEnd"/>
      <w:r w:rsidRPr="0047790F">
        <w:t xml:space="preserve"> </w:t>
      </w:r>
      <w:proofErr w:type="spellStart"/>
      <w:r>
        <w:t>Doganore</w:t>
      </w:r>
      <w:proofErr w:type="spellEnd"/>
      <w:r w:rsidRPr="0047790F">
        <w:t xml:space="preserve"> Janar – </w:t>
      </w:r>
      <w:proofErr w:type="spellStart"/>
      <w:r w:rsidRPr="0047790F">
        <w:t>Dhjetor</w:t>
      </w:r>
      <w:proofErr w:type="spellEnd"/>
      <w:r w:rsidRPr="0047790F">
        <w:t xml:space="preserve"> 2025</w:t>
      </w:r>
      <w:bookmarkEnd w:id="82"/>
    </w:p>
    <w:tbl>
      <w:tblPr>
        <w:tblW w:w="4986" w:type="pct"/>
        <w:jc w:val="center"/>
        <w:tblLook w:val="04A0" w:firstRow="1" w:lastRow="0" w:firstColumn="1" w:lastColumn="0" w:noHBand="0" w:noVBand="1"/>
      </w:tblPr>
      <w:tblGrid>
        <w:gridCol w:w="1862"/>
        <w:gridCol w:w="1023"/>
        <w:gridCol w:w="1068"/>
        <w:gridCol w:w="1080"/>
        <w:gridCol w:w="1391"/>
        <w:gridCol w:w="1304"/>
        <w:gridCol w:w="1208"/>
        <w:gridCol w:w="916"/>
      </w:tblGrid>
      <w:tr w:rsidR="00D31F37" w:rsidRPr="008D628E" w14:paraId="288D5F1E" w14:textId="77777777" w:rsidTr="00891ECB">
        <w:trPr>
          <w:trHeight w:val="237"/>
          <w:jc w:val="center"/>
        </w:trPr>
        <w:tc>
          <w:tcPr>
            <w:tcW w:w="94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D50681B"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Të</w:t>
            </w:r>
            <w:proofErr w:type="spellEnd"/>
            <w:r w:rsidRPr="008D628E">
              <w:rPr>
                <w:rFonts w:asciiTheme="majorHAnsi" w:hAnsiTheme="majorHAnsi" w:cstheme="majorHAnsi"/>
                <w:b/>
                <w:bCs/>
                <w:color w:val="000000"/>
                <w:sz w:val="20"/>
                <w:szCs w:val="20"/>
              </w:rPr>
              <w:t xml:space="preserve"> </w:t>
            </w:r>
            <w:proofErr w:type="spellStart"/>
            <w:r w:rsidRPr="008D628E">
              <w:rPr>
                <w:rFonts w:asciiTheme="majorHAnsi" w:hAnsiTheme="majorHAnsi" w:cstheme="majorHAnsi"/>
                <w:b/>
                <w:bCs/>
                <w:color w:val="000000"/>
                <w:sz w:val="20"/>
                <w:szCs w:val="20"/>
              </w:rPr>
              <w:t>ardhurat</w:t>
            </w:r>
            <w:proofErr w:type="spellEnd"/>
            <w:r w:rsidRPr="008D628E">
              <w:rPr>
                <w:rFonts w:asciiTheme="majorHAnsi" w:hAnsiTheme="majorHAnsi" w:cstheme="majorHAnsi"/>
                <w:b/>
                <w:bCs/>
                <w:color w:val="000000"/>
                <w:sz w:val="20"/>
                <w:szCs w:val="20"/>
              </w:rPr>
              <w:t xml:space="preserve"> </w:t>
            </w:r>
            <w:proofErr w:type="spellStart"/>
            <w:r w:rsidRPr="008D628E">
              <w:rPr>
                <w:rFonts w:asciiTheme="majorHAnsi" w:hAnsiTheme="majorHAnsi" w:cstheme="majorHAnsi"/>
                <w:b/>
                <w:bCs/>
                <w:color w:val="000000"/>
                <w:sz w:val="20"/>
                <w:szCs w:val="20"/>
              </w:rPr>
              <w:t>doganore</w:t>
            </w:r>
            <w:proofErr w:type="spellEnd"/>
          </w:p>
        </w:tc>
        <w:tc>
          <w:tcPr>
            <w:tcW w:w="1609" w:type="pct"/>
            <w:gridSpan w:val="3"/>
            <w:tcBorders>
              <w:top w:val="single" w:sz="8" w:space="0" w:color="auto"/>
              <w:left w:val="nil"/>
              <w:bottom w:val="single" w:sz="4" w:space="0" w:color="auto"/>
              <w:right w:val="single" w:sz="8" w:space="0" w:color="000000"/>
            </w:tcBorders>
            <w:shd w:val="clear" w:color="000000" w:fill="FFFFFF"/>
            <w:vAlign w:val="bottom"/>
            <w:hideMark/>
          </w:tcPr>
          <w:p w14:paraId="10B6D31D"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Progresive</w:t>
            </w:r>
            <w:proofErr w:type="spellEnd"/>
            <w:r w:rsidRPr="008D628E">
              <w:rPr>
                <w:rFonts w:asciiTheme="majorHAnsi" w:hAnsiTheme="majorHAnsi" w:cstheme="majorHAnsi"/>
                <w:b/>
                <w:bCs/>
                <w:color w:val="000000"/>
                <w:sz w:val="20"/>
                <w:szCs w:val="20"/>
              </w:rPr>
              <w:t xml:space="preserve"> Janar - </w:t>
            </w:r>
            <w:proofErr w:type="spellStart"/>
            <w:r w:rsidRPr="008D628E">
              <w:rPr>
                <w:rFonts w:asciiTheme="majorHAnsi" w:hAnsiTheme="majorHAnsi" w:cstheme="majorHAnsi"/>
                <w:b/>
                <w:bCs/>
                <w:color w:val="000000"/>
                <w:sz w:val="20"/>
                <w:szCs w:val="20"/>
              </w:rPr>
              <w:t>Dhjetor</w:t>
            </w:r>
            <w:proofErr w:type="spellEnd"/>
          </w:p>
        </w:tc>
        <w:tc>
          <w:tcPr>
            <w:tcW w:w="1368" w:type="pct"/>
            <w:gridSpan w:val="2"/>
            <w:tcBorders>
              <w:top w:val="single" w:sz="8" w:space="0" w:color="auto"/>
              <w:left w:val="nil"/>
              <w:bottom w:val="nil"/>
              <w:right w:val="single" w:sz="8" w:space="0" w:color="000000"/>
            </w:tcBorders>
            <w:shd w:val="clear" w:color="000000" w:fill="FFFFFF"/>
            <w:noWrap/>
            <w:vAlign w:val="bottom"/>
            <w:hideMark/>
          </w:tcPr>
          <w:p w14:paraId="50CDCA63"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Dif</w:t>
            </w:r>
            <w:proofErr w:type="spellEnd"/>
            <w:r w:rsidRPr="008D628E">
              <w:rPr>
                <w:rFonts w:asciiTheme="majorHAnsi" w:hAnsiTheme="majorHAnsi" w:cstheme="majorHAnsi"/>
                <w:b/>
                <w:bCs/>
                <w:color w:val="000000"/>
                <w:sz w:val="20"/>
                <w:szCs w:val="20"/>
              </w:rPr>
              <w:t xml:space="preserve"> Fakt </w:t>
            </w:r>
            <w:proofErr w:type="spellStart"/>
            <w:r w:rsidRPr="008D628E">
              <w:rPr>
                <w:rFonts w:asciiTheme="majorHAnsi" w:hAnsiTheme="majorHAnsi" w:cstheme="majorHAnsi"/>
                <w:b/>
                <w:bCs/>
                <w:color w:val="000000"/>
                <w:sz w:val="20"/>
                <w:szCs w:val="20"/>
              </w:rPr>
              <w:t>Progresive</w:t>
            </w:r>
            <w:proofErr w:type="spellEnd"/>
            <w:r w:rsidRPr="008D628E">
              <w:rPr>
                <w:rFonts w:asciiTheme="majorHAnsi" w:hAnsiTheme="majorHAnsi" w:cstheme="majorHAnsi"/>
                <w:b/>
                <w:bCs/>
                <w:color w:val="000000"/>
                <w:sz w:val="20"/>
                <w:szCs w:val="20"/>
              </w:rPr>
              <w:t xml:space="preserve"> 2025-2024</w:t>
            </w:r>
          </w:p>
        </w:tc>
        <w:tc>
          <w:tcPr>
            <w:tcW w:w="1078" w:type="pct"/>
            <w:gridSpan w:val="2"/>
            <w:tcBorders>
              <w:top w:val="single" w:sz="8" w:space="0" w:color="auto"/>
              <w:left w:val="nil"/>
              <w:bottom w:val="nil"/>
              <w:right w:val="single" w:sz="8" w:space="0" w:color="000000"/>
            </w:tcBorders>
            <w:shd w:val="clear" w:color="000000" w:fill="FFFFFF"/>
            <w:vAlign w:val="bottom"/>
            <w:hideMark/>
          </w:tcPr>
          <w:p w14:paraId="01DA236B"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Dif</w:t>
            </w:r>
            <w:proofErr w:type="spellEnd"/>
            <w:r w:rsidRPr="008D628E">
              <w:rPr>
                <w:rFonts w:asciiTheme="majorHAnsi" w:hAnsiTheme="majorHAnsi" w:cstheme="majorHAnsi"/>
                <w:b/>
                <w:bCs/>
                <w:color w:val="000000"/>
                <w:sz w:val="20"/>
                <w:szCs w:val="20"/>
              </w:rPr>
              <w:t xml:space="preserve"> </w:t>
            </w:r>
            <w:proofErr w:type="spellStart"/>
            <w:r w:rsidRPr="008D628E">
              <w:rPr>
                <w:rFonts w:asciiTheme="majorHAnsi" w:hAnsiTheme="majorHAnsi" w:cstheme="majorHAnsi"/>
                <w:b/>
                <w:bCs/>
                <w:color w:val="000000"/>
                <w:sz w:val="20"/>
                <w:szCs w:val="20"/>
              </w:rPr>
              <w:t>Progresiv</w:t>
            </w:r>
            <w:proofErr w:type="spellEnd"/>
            <w:r w:rsidRPr="008D628E">
              <w:rPr>
                <w:rFonts w:asciiTheme="majorHAnsi" w:hAnsiTheme="majorHAnsi" w:cstheme="majorHAnsi"/>
                <w:b/>
                <w:bCs/>
                <w:color w:val="000000"/>
                <w:sz w:val="20"/>
                <w:szCs w:val="20"/>
              </w:rPr>
              <w:t>-Fakt-Plan</w:t>
            </w:r>
          </w:p>
        </w:tc>
      </w:tr>
      <w:tr w:rsidR="00891ECB" w:rsidRPr="008D628E" w14:paraId="723A3629" w14:textId="77777777" w:rsidTr="00891ECB">
        <w:trPr>
          <w:trHeight w:val="460"/>
          <w:jc w:val="center"/>
        </w:trPr>
        <w:tc>
          <w:tcPr>
            <w:tcW w:w="945" w:type="pct"/>
            <w:vMerge/>
            <w:tcBorders>
              <w:top w:val="single" w:sz="8" w:space="0" w:color="auto"/>
              <w:left w:val="single" w:sz="8" w:space="0" w:color="auto"/>
              <w:bottom w:val="single" w:sz="8" w:space="0" w:color="000000"/>
              <w:right w:val="single" w:sz="8" w:space="0" w:color="auto"/>
            </w:tcBorders>
            <w:vAlign w:val="center"/>
            <w:hideMark/>
          </w:tcPr>
          <w:p w14:paraId="5286D1EC" w14:textId="77777777" w:rsidR="00D31F37" w:rsidRPr="008D628E" w:rsidRDefault="00D31F37" w:rsidP="00492B15">
            <w:pPr>
              <w:spacing w:before="0" w:line="240" w:lineRule="auto"/>
              <w:rPr>
                <w:rFonts w:asciiTheme="majorHAnsi" w:hAnsiTheme="majorHAnsi" w:cstheme="majorHAnsi"/>
                <w:b/>
                <w:bCs/>
                <w:color w:val="000000"/>
                <w:sz w:val="20"/>
                <w:szCs w:val="20"/>
              </w:rPr>
            </w:pPr>
          </w:p>
        </w:tc>
        <w:tc>
          <w:tcPr>
            <w:tcW w:w="519" w:type="pct"/>
            <w:tcBorders>
              <w:top w:val="nil"/>
              <w:left w:val="nil"/>
              <w:bottom w:val="single" w:sz="8" w:space="0" w:color="auto"/>
              <w:right w:val="single" w:sz="4" w:space="0" w:color="auto"/>
            </w:tcBorders>
            <w:shd w:val="clear" w:color="000000" w:fill="FFFFFF"/>
            <w:vAlign w:val="center"/>
            <w:hideMark/>
          </w:tcPr>
          <w:p w14:paraId="19303B48"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r w:rsidRPr="008D628E">
              <w:rPr>
                <w:rFonts w:asciiTheme="majorHAnsi" w:hAnsiTheme="majorHAnsi" w:cstheme="majorHAnsi"/>
                <w:b/>
                <w:bCs/>
                <w:color w:val="000000"/>
                <w:sz w:val="20"/>
                <w:szCs w:val="20"/>
              </w:rPr>
              <w:t>Fakt 2024</w:t>
            </w:r>
          </w:p>
        </w:tc>
        <w:tc>
          <w:tcPr>
            <w:tcW w:w="542" w:type="pct"/>
            <w:tcBorders>
              <w:top w:val="nil"/>
              <w:left w:val="nil"/>
              <w:bottom w:val="single" w:sz="8" w:space="0" w:color="auto"/>
              <w:right w:val="single" w:sz="4" w:space="0" w:color="auto"/>
            </w:tcBorders>
            <w:shd w:val="clear" w:color="000000" w:fill="FFFFFF"/>
            <w:vAlign w:val="center"/>
            <w:hideMark/>
          </w:tcPr>
          <w:p w14:paraId="6A5EE5E3"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r w:rsidRPr="008D628E">
              <w:rPr>
                <w:rFonts w:asciiTheme="majorHAnsi" w:hAnsiTheme="majorHAnsi" w:cstheme="majorHAnsi"/>
                <w:b/>
                <w:bCs/>
                <w:color w:val="000000"/>
                <w:sz w:val="20"/>
                <w:szCs w:val="20"/>
              </w:rPr>
              <w:t xml:space="preserve"> Fakt 2025</w:t>
            </w:r>
          </w:p>
        </w:tc>
        <w:tc>
          <w:tcPr>
            <w:tcW w:w="548" w:type="pct"/>
            <w:tcBorders>
              <w:top w:val="nil"/>
              <w:left w:val="nil"/>
              <w:bottom w:val="single" w:sz="8" w:space="0" w:color="auto"/>
              <w:right w:val="single" w:sz="8" w:space="0" w:color="auto"/>
            </w:tcBorders>
            <w:shd w:val="clear" w:color="000000" w:fill="FFFFFF"/>
            <w:vAlign w:val="center"/>
            <w:hideMark/>
          </w:tcPr>
          <w:p w14:paraId="55A62029"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r w:rsidRPr="008D628E">
              <w:rPr>
                <w:rFonts w:asciiTheme="majorHAnsi" w:hAnsiTheme="majorHAnsi" w:cstheme="majorHAnsi"/>
                <w:b/>
                <w:bCs/>
                <w:color w:val="000000"/>
                <w:sz w:val="20"/>
                <w:szCs w:val="20"/>
              </w:rPr>
              <w:t xml:space="preserve"> Plan 2025 </w:t>
            </w:r>
            <w:proofErr w:type="gramStart"/>
            <w:r w:rsidRPr="008D628E">
              <w:rPr>
                <w:rFonts w:asciiTheme="majorHAnsi" w:hAnsiTheme="majorHAnsi" w:cstheme="majorHAnsi"/>
                <w:b/>
                <w:bCs/>
                <w:color w:val="000000"/>
                <w:sz w:val="20"/>
                <w:szCs w:val="20"/>
              </w:rPr>
              <w:t>An</w:t>
            </w:r>
            <w:proofErr w:type="gramEnd"/>
            <w:r w:rsidRPr="008D628E">
              <w:rPr>
                <w:rFonts w:asciiTheme="majorHAnsi" w:hAnsiTheme="majorHAnsi" w:cstheme="majorHAnsi"/>
                <w:b/>
                <w:bCs/>
                <w:color w:val="000000"/>
                <w:sz w:val="20"/>
                <w:szCs w:val="20"/>
              </w:rPr>
              <w:t xml:space="preserve"> 10</w:t>
            </w:r>
          </w:p>
        </w:tc>
        <w:tc>
          <w:tcPr>
            <w:tcW w:w="706" w:type="pct"/>
            <w:tcBorders>
              <w:top w:val="single" w:sz="4" w:space="0" w:color="auto"/>
              <w:left w:val="nil"/>
              <w:bottom w:val="single" w:sz="8" w:space="0" w:color="auto"/>
              <w:right w:val="dotted" w:sz="4" w:space="0" w:color="auto"/>
            </w:tcBorders>
            <w:shd w:val="clear" w:color="000000" w:fill="FFFFFF"/>
            <w:vAlign w:val="center"/>
            <w:hideMark/>
          </w:tcPr>
          <w:p w14:paraId="612CB7E8"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Në</w:t>
            </w:r>
            <w:proofErr w:type="spellEnd"/>
            <w:r w:rsidRPr="008D628E">
              <w:rPr>
                <w:rFonts w:asciiTheme="majorHAnsi" w:hAnsiTheme="majorHAnsi" w:cstheme="majorHAnsi"/>
                <w:b/>
                <w:bCs/>
                <w:color w:val="000000"/>
                <w:sz w:val="20"/>
                <w:szCs w:val="20"/>
              </w:rPr>
              <w:t xml:space="preserve"> </w:t>
            </w:r>
            <w:proofErr w:type="spellStart"/>
            <w:r w:rsidRPr="008D628E">
              <w:rPr>
                <w:rFonts w:asciiTheme="majorHAnsi" w:hAnsiTheme="majorHAnsi" w:cstheme="majorHAnsi"/>
                <w:b/>
                <w:bCs/>
                <w:color w:val="000000"/>
                <w:sz w:val="20"/>
                <w:szCs w:val="20"/>
              </w:rPr>
              <w:t>vlerë</w:t>
            </w:r>
            <w:proofErr w:type="spellEnd"/>
          </w:p>
        </w:tc>
        <w:tc>
          <w:tcPr>
            <w:tcW w:w="662" w:type="pct"/>
            <w:tcBorders>
              <w:top w:val="single" w:sz="4" w:space="0" w:color="auto"/>
              <w:left w:val="nil"/>
              <w:bottom w:val="single" w:sz="8" w:space="0" w:color="auto"/>
              <w:right w:val="single" w:sz="8" w:space="0" w:color="auto"/>
            </w:tcBorders>
            <w:shd w:val="clear" w:color="000000" w:fill="FFFFFF"/>
            <w:vAlign w:val="center"/>
            <w:hideMark/>
          </w:tcPr>
          <w:p w14:paraId="0B983885"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Në</w:t>
            </w:r>
            <w:proofErr w:type="spellEnd"/>
            <w:r w:rsidRPr="008D628E">
              <w:rPr>
                <w:rFonts w:asciiTheme="majorHAnsi" w:hAnsiTheme="majorHAnsi" w:cstheme="majorHAnsi"/>
                <w:b/>
                <w:bCs/>
                <w:color w:val="000000"/>
                <w:sz w:val="20"/>
                <w:szCs w:val="20"/>
              </w:rPr>
              <w:t xml:space="preserve"> %  </w:t>
            </w:r>
          </w:p>
        </w:tc>
        <w:tc>
          <w:tcPr>
            <w:tcW w:w="613" w:type="pct"/>
            <w:tcBorders>
              <w:top w:val="single" w:sz="4" w:space="0" w:color="auto"/>
              <w:left w:val="nil"/>
              <w:bottom w:val="single" w:sz="8" w:space="0" w:color="auto"/>
              <w:right w:val="dotted" w:sz="4" w:space="0" w:color="auto"/>
            </w:tcBorders>
            <w:shd w:val="clear" w:color="000000" w:fill="FFFFFF"/>
            <w:vAlign w:val="center"/>
            <w:hideMark/>
          </w:tcPr>
          <w:p w14:paraId="69BCF5BE"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Në</w:t>
            </w:r>
            <w:proofErr w:type="spellEnd"/>
            <w:r w:rsidRPr="008D628E">
              <w:rPr>
                <w:rFonts w:asciiTheme="majorHAnsi" w:hAnsiTheme="majorHAnsi" w:cstheme="majorHAnsi"/>
                <w:b/>
                <w:bCs/>
                <w:color w:val="000000"/>
                <w:sz w:val="20"/>
                <w:szCs w:val="20"/>
              </w:rPr>
              <w:t xml:space="preserve"> </w:t>
            </w:r>
            <w:proofErr w:type="spellStart"/>
            <w:r w:rsidRPr="008D628E">
              <w:rPr>
                <w:rFonts w:asciiTheme="majorHAnsi" w:hAnsiTheme="majorHAnsi" w:cstheme="majorHAnsi"/>
                <w:b/>
                <w:bCs/>
                <w:color w:val="000000"/>
                <w:sz w:val="20"/>
                <w:szCs w:val="20"/>
              </w:rPr>
              <w:t>vlerë</w:t>
            </w:r>
            <w:proofErr w:type="spellEnd"/>
          </w:p>
        </w:tc>
        <w:tc>
          <w:tcPr>
            <w:tcW w:w="465" w:type="pct"/>
            <w:tcBorders>
              <w:top w:val="single" w:sz="4" w:space="0" w:color="auto"/>
              <w:left w:val="nil"/>
              <w:bottom w:val="single" w:sz="8" w:space="0" w:color="auto"/>
              <w:right w:val="single" w:sz="8" w:space="0" w:color="auto"/>
            </w:tcBorders>
            <w:shd w:val="clear" w:color="000000" w:fill="FFFFFF"/>
            <w:vAlign w:val="center"/>
            <w:hideMark/>
          </w:tcPr>
          <w:p w14:paraId="112C7968" w14:textId="77777777" w:rsidR="00D31F37" w:rsidRPr="008D628E" w:rsidRDefault="00D31F37" w:rsidP="00492B15">
            <w:pPr>
              <w:spacing w:before="0" w:line="240" w:lineRule="auto"/>
              <w:jc w:val="center"/>
              <w:rPr>
                <w:rFonts w:asciiTheme="majorHAnsi" w:hAnsiTheme="majorHAnsi" w:cstheme="majorHAnsi"/>
                <w:b/>
                <w:bCs/>
                <w:color w:val="000000"/>
                <w:sz w:val="20"/>
                <w:szCs w:val="20"/>
              </w:rPr>
            </w:pPr>
            <w:proofErr w:type="spellStart"/>
            <w:r w:rsidRPr="008D628E">
              <w:rPr>
                <w:rFonts w:asciiTheme="majorHAnsi" w:hAnsiTheme="majorHAnsi" w:cstheme="majorHAnsi"/>
                <w:b/>
                <w:bCs/>
                <w:color w:val="000000"/>
                <w:sz w:val="20"/>
                <w:szCs w:val="20"/>
              </w:rPr>
              <w:t>Në</w:t>
            </w:r>
            <w:proofErr w:type="spellEnd"/>
            <w:r w:rsidRPr="008D628E">
              <w:rPr>
                <w:rFonts w:asciiTheme="majorHAnsi" w:hAnsiTheme="majorHAnsi" w:cstheme="majorHAnsi"/>
                <w:b/>
                <w:bCs/>
                <w:color w:val="000000"/>
                <w:sz w:val="20"/>
                <w:szCs w:val="20"/>
              </w:rPr>
              <w:t xml:space="preserve"> %  </w:t>
            </w:r>
          </w:p>
        </w:tc>
      </w:tr>
      <w:tr w:rsidR="00891ECB" w:rsidRPr="008D628E" w14:paraId="7D876B4B" w14:textId="77777777" w:rsidTr="00891ECB">
        <w:trPr>
          <w:trHeight w:val="211"/>
          <w:jc w:val="center"/>
        </w:trPr>
        <w:tc>
          <w:tcPr>
            <w:tcW w:w="945" w:type="pct"/>
            <w:tcBorders>
              <w:top w:val="nil"/>
              <w:left w:val="single" w:sz="8" w:space="0" w:color="auto"/>
              <w:bottom w:val="dotted" w:sz="4" w:space="0" w:color="auto"/>
              <w:right w:val="single" w:sz="8" w:space="0" w:color="auto"/>
            </w:tcBorders>
            <w:shd w:val="clear" w:color="000000" w:fill="FFFFFF"/>
            <w:vAlign w:val="bottom"/>
            <w:hideMark/>
          </w:tcPr>
          <w:p w14:paraId="3E3CC99E" w14:textId="429FFB86" w:rsidR="00D31F37" w:rsidRPr="008D628E" w:rsidRDefault="00D31F37" w:rsidP="00492B15">
            <w:pPr>
              <w:spacing w:before="0" w:line="240" w:lineRule="auto"/>
              <w:jc w:val="center"/>
              <w:rPr>
                <w:rFonts w:asciiTheme="majorHAnsi" w:hAnsiTheme="majorHAnsi" w:cstheme="majorHAnsi"/>
                <w:color w:val="000000"/>
                <w:sz w:val="20"/>
                <w:szCs w:val="20"/>
              </w:rPr>
            </w:pPr>
            <w:proofErr w:type="spellStart"/>
            <w:r w:rsidRPr="008D628E">
              <w:rPr>
                <w:rFonts w:asciiTheme="majorHAnsi" w:hAnsiTheme="majorHAnsi" w:cstheme="majorHAnsi"/>
                <w:color w:val="000000"/>
                <w:sz w:val="20"/>
                <w:szCs w:val="20"/>
              </w:rPr>
              <w:t>Tvsh</w:t>
            </w:r>
            <w:proofErr w:type="spellEnd"/>
            <w:r w:rsidRPr="008D628E">
              <w:rPr>
                <w:rFonts w:asciiTheme="majorHAnsi" w:hAnsiTheme="majorHAnsi" w:cstheme="majorHAnsi"/>
                <w:color w:val="000000"/>
                <w:sz w:val="20"/>
                <w:szCs w:val="20"/>
              </w:rPr>
              <w:t xml:space="preserve"> </w:t>
            </w:r>
            <w:proofErr w:type="spellStart"/>
            <w:r w:rsidRPr="008D628E">
              <w:rPr>
                <w:rFonts w:asciiTheme="majorHAnsi" w:hAnsiTheme="majorHAnsi" w:cstheme="majorHAnsi"/>
                <w:color w:val="000000"/>
                <w:sz w:val="20"/>
                <w:szCs w:val="20"/>
              </w:rPr>
              <w:t>në</w:t>
            </w:r>
            <w:proofErr w:type="spellEnd"/>
            <w:r w:rsidRPr="008D628E">
              <w:rPr>
                <w:rFonts w:asciiTheme="majorHAnsi" w:hAnsiTheme="majorHAnsi" w:cstheme="majorHAnsi"/>
                <w:color w:val="000000"/>
                <w:sz w:val="20"/>
                <w:szCs w:val="20"/>
              </w:rPr>
              <w:t xml:space="preserve"> import</w:t>
            </w:r>
          </w:p>
        </w:tc>
        <w:tc>
          <w:tcPr>
            <w:tcW w:w="519" w:type="pct"/>
            <w:tcBorders>
              <w:top w:val="nil"/>
              <w:left w:val="nil"/>
              <w:bottom w:val="dotted" w:sz="4" w:space="0" w:color="auto"/>
              <w:right w:val="nil"/>
            </w:tcBorders>
            <w:shd w:val="clear" w:color="000000" w:fill="FFFFFF"/>
            <w:vAlign w:val="bottom"/>
            <w:hideMark/>
          </w:tcPr>
          <w:p w14:paraId="3D0F7CA7"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154,376</w:t>
            </w:r>
          </w:p>
        </w:tc>
        <w:tc>
          <w:tcPr>
            <w:tcW w:w="542" w:type="pct"/>
            <w:tcBorders>
              <w:top w:val="nil"/>
              <w:left w:val="dotted" w:sz="4" w:space="0" w:color="auto"/>
              <w:bottom w:val="dotted" w:sz="4" w:space="0" w:color="auto"/>
              <w:right w:val="dotted" w:sz="4" w:space="0" w:color="auto"/>
            </w:tcBorders>
            <w:shd w:val="clear" w:color="000000" w:fill="F2F2F2"/>
            <w:noWrap/>
            <w:vAlign w:val="bottom"/>
            <w:hideMark/>
          </w:tcPr>
          <w:p w14:paraId="162DECBC" w14:textId="77777777" w:rsidR="00D31F37" w:rsidRPr="008D628E" w:rsidRDefault="00D31F37" w:rsidP="00492B15">
            <w:pPr>
              <w:spacing w:before="0" w:line="240" w:lineRule="auto"/>
              <w:jc w:val="center"/>
              <w:rPr>
                <w:rFonts w:asciiTheme="majorHAnsi" w:hAnsiTheme="majorHAnsi" w:cstheme="majorHAnsi"/>
                <w:sz w:val="20"/>
                <w:szCs w:val="20"/>
              </w:rPr>
            </w:pPr>
            <w:r w:rsidRPr="008D628E">
              <w:rPr>
                <w:rFonts w:asciiTheme="majorHAnsi" w:hAnsiTheme="majorHAnsi" w:cstheme="majorHAnsi"/>
                <w:sz w:val="20"/>
                <w:szCs w:val="20"/>
              </w:rPr>
              <w:t>158,742</w:t>
            </w:r>
          </w:p>
        </w:tc>
        <w:tc>
          <w:tcPr>
            <w:tcW w:w="548" w:type="pct"/>
            <w:tcBorders>
              <w:top w:val="nil"/>
              <w:left w:val="nil"/>
              <w:bottom w:val="dotted" w:sz="4" w:space="0" w:color="auto"/>
              <w:right w:val="single" w:sz="8" w:space="0" w:color="auto"/>
            </w:tcBorders>
            <w:shd w:val="clear" w:color="000000" w:fill="FFFFFF"/>
            <w:noWrap/>
            <w:vAlign w:val="bottom"/>
            <w:hideMark/>
          </w:tcPr>
          <w:p w14:paraId="7ADFA882"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160,832</w:t>
            </w:r>
          </w:p>
        </w:tc>
        <w:tc>
          <w:tcPr>
            <w:tcW w:w="706" w:type="pct"/>
            <w:tcBorders>
              <w:top w:val="nil"/>
              <w:left w:val="nil"/>
              <w:bottom w:val="dotted" w:sz="4" w:space="0" w:color="auto"/>
              <w:right w:val="dotted" w:sz="4" w:space="0" w:color="auto"/>
            </w:tcBorders>
            <w:shd w:val="clear" w:color="000000" w:fill="FFFFFF"/>
            <w:noWrap/>
            <w:vAlign w:val="bottom"/>
            <w:hideMark/>
          </w:tcPr>
          <w:p w14:paraId="7150769D"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4,366</w:t>
            </w:r>
          </w:p>
        </w:tc>
        <w:tc>
          <w:tcPr>
            <w:tcW w:w="662" w:type="pct"/>
            <w:tcBorders>
              <w:top w:val="nil"/>
              <w:left w:val="nil"/>
              <w:bottom w:val="dotted" w:sz="4" w:space="0" w:color="auto"/>
              <w:right w:val="single" w:sz="8" w:space="0" w:color="auto"/>
            </w:tcBorders>
            <w:shd w:val="clear" w:color="000000" w:fill="FFFFFF"/>
            <w:noWrap/>
            <w:vAlign w:val="bottom"/>
            <w:hideMark/>
          </w:tcPr>
          <w:p w14:paraId="36E35AC0"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2.8%</w:t>
            </w:r>
          </w:p>
        </w:tc>
        <w:tc>
          <w:tcPr>
            <w:tcW w:w="613" w:type="pct"/>
            <w:tcBorders>
              <w:top w:val="nil"/>
              <w:left w:val="nil"/>
              <w:bottom w:val="dotted" w:sz="4" w:space="0" w:color="auto"/>
              <w:right w:val="dotted" w:sz="4" w:space="0" w:color="auto"/>
            </w:tcBorders>
            <w:shd w:val="clear" w:color="000000" w:fill="FFFFFF"/>
            <w:noWrap/>
            <w:vAlign w:val="bottom"/>
            <w:hideMark/>
          </w:tcPr>
          <w:p w14:paraId="4B1D3903"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-2,090</w:t>
            </w:r>
          </w:p>
        </w:tc>
        <w:tc>
          <w:tcPr>
            <w:tcW w:w="465" w:type="pct"/>
            <w:tcBorders>
              <w:top w:val="nil"/>
              <w:left w:val="nil"/>
              <w:bottom w:val="dotted" w:sz="4" w:space="0" w:color="auto"/>
              <w:right w:val="single" w:sz="8" w:space="0" w:color="auto"/>
            </w:tcBorders>
            <w:shd w:val="clear" w:color="000000" w:fill="FFFFFF"/>
            <w:vAlign w:val="bottom"/>
            <w:hideMark/>
          </w:tcPr>
          <w:p w14:paraId="3B2109F2"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-1.3%</w:t>
            </w:r>
          </w:p>
        </w:tc>
      </w:tr>
      <w:tr w:rsidR="00891ECB" w:rsidRPr="008D628E" w14:paraId="22690A7B" w14:textId="77777777" w:rsidTr="00891ECB">
        <w:trPr>
          <w:trHeight w:val="211"/>
          <w:jc w:val="center"/>
        </w:trPr>
        <w:tc>
          <w:tcPr>
            <w:tcW w:w="945" w:type="pct"/>
            <w:tcBorders>
              <w:top w:val="nil"/>
              <w:left w:val="single" w:sz="8" w:space="0" w:color="auto"/>
              <w:bottom w:val="dotted" w:sz="4" w:space="0" w:color="auto"/>
              <w:right w:val="single" w:sz="8" w:space="0" w:color="auto"/>
            </w:tcBorders>
            <w:shd w:val="clear" w:color="000000" w:fill="FFFFFF"/>
            <w:vAlign w:val="bottom"/>
            <w:hideMark/>
          </w:tcPr>
          <w:p w14:paraId="4F2C090B" w14:textId="77777777" w:rsidR="00D31F37" w:rsidRPr="008D628E" w:rsidRDefault="00D31F37" w:rsidP="00492B15">
            <w:pPr>
              <w:spacing w:before="0" w:line="240" w:lineRule="auto"/>
              <w:jc w:val="center"/>
              <w:rPr>
                <w:rFonts w:asciiTheme="majorHAnsi" w:hAnsiTheme="majorHAnsi" w:cstheme="majorHAnsi"/>
                <w:color w:val="000000"/>
                <w:sz w:val="20"/>
                <w:szCs w:val="20"/>
              </w:rPr>
            </w:pPr>
            <w:proofErr w:type="spellStart"/>
            <w:r w:rsidRPr="008D628E">
              <w:rPr>
                <w:rFonts w:asciiTheme="majorHAnsi" w:hAnsiTheme="majorHAnsi" w:cstheme="majorHAnsi"/>
                <w:color w:val="000000"/>
                <w:sz w:val="20"/>
                <w:szCs w:val="20"/>
              </w:rPr>
              <w:t>Akciza</w:t>
            </w:r>
            <w:proofErr w:type="spellEnd"/>
          </w:p>
        </w:tc>
        <w:tc>
          <w:tcPr>
            <w:tcW w:w="519" w:type="pct"/>
            <w:tcBorders>
              <w:top w:val="nil"/>
              <w:left w:val="nil"/>
              <w:bottom w:val="dotted" w:sz="4" w:space="0" w:color="auto"/>
              <w:right w:val="nil"/>
            </w:tcBorders>
            <w:shd w:val="clear" w:color="000000" w:fill="FFFFFF"/>
            <w:vAlign w:val="bottom"/>
            <w:hideMark/>
          </w:tcPr>
          <w:p w14:paraId="6763BAF1"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63,437</w:t>
            </w:r>
          </w:p>
        </w:tc>
        <w:tc>
          <w:tcPr>
            <w:tcW w:w="542" w:type="pct"/>
            <w:tcBorders>
              <w:top w:val="nil"/>
              <w:left w:val="dotted" w:sz="4" w:space="0" w:color="auto"/>
              <w:bottom w:val="dotted" w:sz="4" w:space="0" w:color="auto"/>
              <w:right w:val="dotted" w:sz="4" w:space="0" w:color="auto"/>
            </w:tcBorders>
            <w:shd w:val="clear" w:color="000000" w:fill="F2F2F2"/>
            <w:noWrap/>
            <w:vAlign w:val="bottom"/>
            <w:hideMark/>
          </w:tcPr>
          <w:p w14:paraId="7807A87B" w14:textId="77777777" w:rsidR="00D31F37" w:rsidRPr="008D628E" w:rsidRDefault="00D31F37" w:rsidP="00492B15">
            <w:pPr>
              <w:spacing w:before="0" w:line="240" w:lineRule="auto"/>
              <w:jc w:val="center"/>
              <w:rPr>
                <w:rFonts w:asciiTheme="majorHAnsi" w:hAnsiTheme="majorHAnsi" w:cstheme="majorHAnsi"/>
                <w:sz w:val="20"/>
                <w:szCs w:val="20"/>
              </w:rPr>
            </w:pPr>
            <w:r w:rsidRPr="008D628E">
              <w:rPr>
                <w:rFonts w:asciiTheme="majorHAnsi" w:hAnsiTheme="majorHAnsi" w:cstheme="majorHAnsi"/>
                <w:sz w:val="20"/>
                <w:szCs w:val="20"/>
              </w:rPr>
              <w:t>69,599</w:t>
            </w:r>
          </w:p>
        </w:tc>
        <w:tc>
          <w:tcPr>
            <w:tcW w:w="548" w:type="pct"/>
            <w:tcBorders>
              <w:top w:val="nil"/>
              <w:left w:val="nil"/>
              <w:bottom w:val="dotted" w:sz="4" w:space="0" w:color="auto"/>
              <w:right w:val="single" w:sz="8" w:space="0" w:color="auto"/>
            </w:tcBorders>
            <w:shd w:val="clear" w:color="000000" w:fill="FFFFFF"/>
            <w:noWrap/>
            <w:vAlign w:val="bottom"/>
            <w:hideMark/>
          </w:tcPr>
          <w:p w14:paraId="58D77D54"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70,961</w:t>
            </w:r>
          </w:p>
        </w:tc>
        <w:tc>
          <w:tcPr>
            <w:tcW w:w="706" w:type="pct"/>
            <w:tcBorders>
              <w:top w:val="nil"/>
              <w:left w:val="nil"/>
              <w:bottom w:val="dotted" w:sz="4" w:space="0" w:color="auto"/>
              <w:right w:val="dotted" w:sz="4" w:space="0" w:color="auto"/>
            </w:tcBorders>
            <w:shd w:val="clear" w:color="000000" w:fill="FFFFFF"/>
            <w:noWrap/>
            <w:vAlign w:val="bottom"/>
            <w:hideMark/>
          </w:tcPr>
          <w:p w14:paraId="5DEFE917"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6,162</w:t>
            </w:r>
          </w:p>
        </w:tc>
        <w:tc>
          <w:tcPr>
            <w:tcW w:w="662" w:type="pct"/>
            <w:tcBorders>
              <w:top w:val="nil"/>
              <w:left w:val="nil"/>
              <w:bottom w:val="dotted" w:sz="4" w:space="0" w:color="auto"/>
              <w:right w:val="single" w:sz="8" w:space="0" w:color="auto"/>
            </w:tcBorders>
            <w:shd w:val="clear" w:color="000000" w:fill="FFFFFF"/>
            <w:noWrap/>
            <w:vAlign w:val="bottom"/>
            <w:hideMark/>
          </w:tcPr>
          <w:p w14:paraId="57CDEE92"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9.7%</w:t>
            </w:r>
          </w:p>
        </w:tc>
        <w:tc>
          <w:tcPr>
            <w:tcW w:w="613" w:type="pct"/>
            <w:tcBorders>
              <w:top w:val="nil"/>
              <w:left w:val="nil"/>
              <w:bottom w:val="dotted" w:sz="4" w:space="0" w:color="auto"/>
              <w:right w:val="dotted" w:sz="4" w:space="0" w:color="auto"/>
            </w:tcBorders>
            <w:shd w:val="clear" w:color="000000" w:fill="FFFFFF"/>
            <w:noWrap/>
            <w:vAlign w:val="bottom"/>
            <w:hideMark/>
          </w:tcPr>
          <w:p w14:paraId="1246415E"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-1,362</w:t>
            </w:r>
          </w:p>
        </w:tc>
        <w:tc>
          <w:tcPr>
            <w:tcW w:w="465" w:type="pct"/>
            <w:tcBorders>
              <w:top w:val="nil"/>
              <w:left w:val="nil"/>
              <w:bottom w:val="dotted" w:sz="4" w:space="0" w:color="auto"/>
              <w:right w:val="single" w:sz="8" w:space="0" w:color="auto"/>
            </w:tcBorders>
            <w:shd w:val="clear" w:color="000000" w:fill="FFFFFF"/>
            <w:vAlign w:val="bottom"/>
            <w:hideMark/>
          </w:tcPr>
          <w:p w14:paraId="2C465CF6"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-1.9%</w:t>
            </w:r>
          </w:p>
        </w:tc>
      </w:tr>
      <w:tr w:rsidR="00891ECB" w:rsidRPr="008D628E" w14:paraId="5553D2B5" w14:textId="77777777" w:rsidTr="00891ECB">
        <w:trPr>
          <w:trHeight w:val="211"/>
          <w:jc w:val="center"/>
        </w:trPr>
        <w:tc>
          <w:tcPr>
            <w:tcW w:w="945" w:type="pct"/>
            <w:tcBorders>
              <w:top w:val="nil"/>
              <w:left w:val="single" w:sz="8" w:space="0" w:color="auto"/>
              <w:bottom w:val="dotted" w:sz="4" w:space="0" w:color="auto"/>
              <w:right w:val="single" w:sz="8" w:space="0" w:color="auto"/>
            </w:tcBorders>
            <w:shd w:val="clear" w:color="000000" w:fill="FFFFFF"/>
            <w:vAlign w:val="bottom"/>
            <w:hideMark/>
          </w:tcPr>
          <w:p w14:paraId="32C3E49B"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 xml:space="preserve">Renta </w:t>
            </w:r>
            <w:proofErr w:type="spellStart"/>
            <w:r w:rsidRPr="008D628E">
              <w:rPr>
                <w:rFonts w:asciiTheme="majorHAnsi" w:hAnsiTheme="majorHAnsi" w:cstheme="majorHAnsi"/>
                <w:color w:val="000000"/>
                <w:sz w:val="20"/>
                <w:szCs w:val="20"/>
              </w:rPr>
              <w:t>Minerare</w:t>
            </w:r>
            <w:proofErr w:type="spellEnd"/>
          </w:p>
        </w:tc>
        <w:tc>
          <w:tcPr>
            <w:tcW w:w="519" w:type="pct"/>
            <w:tcBorders>
              <w:top w:val="nil"/>
              <w:left w:val="nil"/>
              <w:bottom w:val="dotted" w:sz="4" w:space="0" w:color="auto"/>
              <w:right w:val="nil"/>
            </w:tcBorders>
            <w:shd w:val="clear" w:color="000000" w:fill="FFFFFF"/>
            <w:vAlign w:val="bottom"/>
            <w:hideMark/>
          </w:tcPr>
          <w:p w14:paraId="2025D292"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2,734</w:t>
            </w:r>
          </w:p>
        </w:tc>
        <w:tc>
          <w:tcPr>
            <w:tcW w:w="542" w:type="pct"/>
            <w:tcBorders>
              <w:top w:val="nil"/>
              <w:left w:val="dotted" w:sz="4" w:space="0" w:color="auto"/>
              <w:bottom w:val="dotted" w:sz="4" w:space="0" w:color="auto"/>
              <w:right w:val="dotted" w:sz="4" w:space="0" w:color="auto"/>
            </w:tcBorders>
            <w:shd w:val="clear" w:color="000000" w:fill="F2F2F2"/>
            <w:noWrap/>
            <w:vAlign w:val="bottom"/>
            <w:hideMark/>
          </w:tcPr>
          <w:p w14:paraId="660BF0B8" w14:textId="77777777" w:rsidR="00D31F37" w:rsidRPr="008D628E" w:rsidRDefault="00D31F37" w:rsidP="00492B15">
            <w:pPr>
              <w:spacing w:before="0" w:line="240" w:lineRule="auto"/>
              <w:jc w:val="center"/>
              <w:rPr>
                <w:rFonts w:asciiTheme="majorHAnsi" w:hAnsiTheme="majorHAnsi" w:cstheme="majorHAnsi"/>
                <w:sz w:val="20"/>
                <w:szCs w:val="20"/>
              </w:rPr>
            </w:pPr>
            <w:r w:rsidRPr="008D628E">
              <w:rPr>
                <w:rFonts w:asciiTheme="majorHAnsi" w:hAnsiTheme="majorHAnsi" w:cstheme="majorHAnsi"/>
                <w:sz w:val="20"/>
                <w:szCs w:val="20"/>
              </w:rPr>
              <w:t>1,854</w:t>
            </w:r>
          </w:p>
        </w:tc>
        <w:tc>
          <w:tcPr>
            <w:tcW w:w="548" w:type="pct"/>
            <w:tcBorders>
              <w:top w:val="nil"/>
              <w:left w:val="nil"/>
              <w:bottom w:val="dotted" w:sz="4" w:space="0" w:color="auto"/>
              <w:right w:val="single" w:sz="8" w:space="0" w:color="auto"/>
            </w:tcBorders>
            <w:shd w:val="clear" w:color="000000" w:fill="FFFFFF"/>
            <w:noWrap/>
            <w:vAlign w:val="bottom"/>
            <w:hideMark/>
          </w:tcPr>
          <w:p w14:paraId="731EC032"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1,989</w:t>
            </w:r>
          </w:p>
        </w:tc>
        <w:tc>
          <w:tcPr>
            <w:tcW w:w="706" w:type="pct"/>
            <w:tcBorders>
              <w:top w:val="nil"/>
              <w:left w:val="nil"/>
              <w:bottom w:val="dotted" w:sz="4" w:space="0" w:color="auto"/>
              <w:right w:val="dotted" w:sz="4" w:space="0" w:color="auto"/>
            </w:tcBorders>
            <w:shd w:val="clear" w:color="000000" w:fill="FFFFFF"/>
            <w:noWrap/>
            <w:vAlign w:val="bottom"/>
            <w:hideMark/>
          </w:tcPr>
          <w:p w14:paraId="7DC039F1"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-879</w:t>
            </w:r>
          </w:p>
        </w:tc>
        <w:tc>
          <w:tcPr>
            <w:tcW w:w="662" w:type="pct"/>
            <w:tcBorders>
              <w:top w:val="nil"/>
              <w:left w:val="nil"/>
              <w:bottom w:val="dotted" w:sz="4" w:space="0" w:color="auto"/>
              <w:right w:val="single" w:sz="8" w:space="0" w:color="auto"/>
            </w:tcBorders>
            <w:shd w:val="clear" w:color="000000" w:fill="FFFFFF"/>
            <w:noWrap/>
            <w:vAlign w:val="bottom"/>
            <w:hideMark/>
          </w:tcPr>
          <w:p w14:paraId="527BD573"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-32.2%</w:t>
            </w:r>
          </w:p>
        </w:tc>
        <w:tc>
          <w:tcPr>
            <w:tcW w:w="613" w:type="pct"/>
            <w:tcBorders>
              <w:top w:val="nil"/>
              <w:left w:val="nil"/>
              <w:bottom w:val="dotted" w:sz="4" w:space="0" w:color="auto"/>
              <w:right w:val="dotted" w:sz="4" w:space="0" w:color="auto"/>
            </w:tcBorders>
            <w:shd w:val="clear" w:color="000000" w:fill="FFFFFF"/>
            <w:noWrap/>
            <w:vAlign w:val="bottom"/>
            <w:hideMark/>
          </w:tcPr>
          <w:p w14:paraId="73B88334"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-135</w:t>
            </w:r>
          </w:p>
        </w:tc>
        <w:tc>
          <w:tcPr>
            <w:tcW w:w="465" w:type="pct"/>
            <w:tcBorders>
              <w:top w:val="nil"/>
              <w:left w:val="nil"/>
              <w:bottom w:val="dotted" w:sz="4" w:space="0" w:color="auto"/>
              <w:right w:val="single" w:sz="8" w:space="0" w:color="auto"/>
            </w:tcBorders>
            <w:shd w:val="clear" w:color="000000" w:fill="FFFFFF"/>
            <w:vAlign w:val="bottom"/>
            <w:hideMark/>
          </w:tcPr>
          <w:p w14:paraId="088E4759"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-6.8%</w:t>
            </w:r>
          </w:p>
        </w:tc>
      </w:tr>
      <w:tr w:rsidR="00891ECB" w:rsidRPr="008D628E" w14:paraId="0982C871" w14:textId="77777777" w:rsidTr="00891ECB">
        <w:trPr>
          <w:trHeight w:val="220"/>
          <w:jc w:val="center"/>
        </w:trPr>
        <w:tc>
          <w:tcPr>
            <w:tcW w:w="945" w:type="pct"/>
            <w:tcBorders>
              <w:top w:val="nil"/>
              <w:left w:val="single" w:sz="8" w:space="0" w:color="auto"/>
              <w:bottom w:val="nil"/>
              <w:right w:val="single" w:sz="8" w:space="0" w:color="auto"/>
            </w:tcBorders>
            <w:shd w:val="clear" w:color="000000" w:fill="FFFFFF"/>
            <w:vAlign w:val="bottom"/>
            <w:hideMark/>
          </w:tcPr>
          <w:p w14:paraId="0BC75E7F" w14:textId="77777777" w:rsidR="00D31F37" w:rsidRPr="008D628E" w:rsidRDefault="00D31F37" w:rsidP="00492B15">
            <w:pPr>
              <w:spacing w:before="0" w:line="240" w:lineRule="auto"/>
              <w:jc w:val="center"/>
              <w:rPr>
                <w:rFonts w:asciiTheme="majorHAnsi" w:hAnsiTheme="majorHAnsi" w:cstheme="majorHAnsi"/>
                <w:color w:val="000000"/>
                <w:sz w:val="20"/>
                <w:szCs w:val="20"/>
              </w:rPr>
            </w:pPr>
            <w:proofErr w:type="spellStart"/>
            <w:r w:rsidRPr="008D628E">
              <w:rPr>
                <w:rFonts w:asciiTheme="majorHAnsi" w:hAnsiTheme="majorHAnsi" w:cstheme="majorHAnsi"/>
                <w:color w:val="000000"/>
                <w:sz w:val="20"/>
                <w:szCs w:val="20"/>
              </w:rPr>
              <w:t>Taksë</w:t>
            </w:r>
            <w:proofErr w:type="spellEnd"/>
            <w:r w:rsidRPr="008D628E">
              <w:rPr>
                <w:rFonts w:asciiTheme="majorHAnsi" w:hAnsiTheme="majorHAnsi" w:cstheme="majorHAnsi"/>
                <w:color w:val="000000"/>
                <w:sz w:val="20"/>
                <w:szCs w:val="20"/>
              </w:rPr>
              <w:t xml:space="preserve"> </w:t>
            </w:r>
            <w:proofErr w:type="spellStart"/>
            <w:r w:rsidRPr="008D628E">
              <w:rPr>
                <w:rFonts w:asciiTheme="majorHAnsi" w:hAnsiTheme="majorHAnsi" w:cstheme="majorHAnsi"/>
                <w:color w:val="000000"/>
                <w:sz w:val="20"/>
                <w:szCs w:val="20"/>
              </w:rPr>
              <w:t>doganore</w:t>
            </w:r>
            <w:proofErr w:type="spellEnd"/>
          </w:p>
        </w:tc>
        <w:tc>
          <w:tcPr>
            <w:tcW w:w="519" w:type="pct"/>
            <w:tcBorders>
              <w:top w:val="nil"/>
              <w:left w:val="nil"/>
              <w:bottom w:val="dotted" w:sz="4" w:space="0" w:color="auto"/>
              <w:right w:val="nil"/>
            </w:tcBorders>
            <w:shd w:val="clear" w:color="000000" w:fill="FFFFFF"/>
            <w:vAlign w:val="bottom"/>
            <w:hideMark/>
          </w:tcPr>
          <w:p w14:paraId="7A80E176"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8,973</w:t>
            </w:r>
          </w:p>
        </w:tc>
        <w:tc>
          <w:tcPr>
            <w:tcW w:w="542" w:type="pct"/>
            <w:tcBorders>
              <w:top w:val="nil"/>
              <w:left w:val="dotted" w:sz="4" w:space="0" w:color="auto"/>
              <w:bottom w:val="dotted" w:sz="4" w:space="0" w:color="auto"/>
              <w:right w:val="dotted" w:sz="4" w:space="0" w:color="auto"/>
            </w:tcBorders>
            <w:shd w:val="clear" w:color="000000" w:fill="F2F2F2"/>
            <w:noWrap/>
            <w:vAlign w:val="bottom"/>
            <w:hideMark/>
          </w:tcPr>
          <w:p w14:paraId="3D5655F7" w14:textId="77777777" w:rsidR="00D31F37" w:rsidRPr="008D628E" w:rsidRDefault="00D31F37" w:rsidP="00492B15">
            <w:pPr>
              <w:spacing w:before="0" w:line="240" w:lineRule="auto"/>
              <w:jc w:val="center"/>
              <w:rPr>
                <w:rFonts w:asciiTheme="majorHAnsi" w:hAnsiTheme="majorHAnsi" w:cstheme="majorHAnsi"/>
                <w:sz w:val="20"/>
                <w:szCs w:val="20"/>
              </w:rPr>
            </w:pPr>
            <w:r w:rsidRPr="008D628E">
              <w:rPr>
                <w:rFonts w:asciiTheme="majorHAnsi" w:hAnsiTheme="majorHAnsi" w:cstheme="majorHAnsi"/>
                <w:sz w:val="20"/>
                <w:szCs w:val="20"/>
              </w:rPr>
              <w:t>9,486</w:t>
            </w:r>
          </w:p>
        </w:tc>
        <w:tc>
          <w:tcPr>
            <w:tcW w:w="548" w:type="pct"/>
            <w:tcBorders>
              <w:top w:val="nil"/>
              <w:left w:val="nil"/>
              <w:bottom w:val="dotted" w:sz="4" w:space="0" w:color="auto"/>
              <w:right w:val="single" w:sz="8" w:space="0" w:color="auto"/>
            </w:tcBorders>
            <w:shd w:val="clear" w:color="000000" w:fill="FFFFFF"/>
            <w:noWrap/>
            <w:vAlign w:val="bottom"/>
            <w:hideMark/>
          </w:tcPr>
          <w:p w14:paraId="342CC65D"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10,267</w:t>
            </w:r>
          </w:p>
        </w:tc>
        <w:tc>
          <w:tcPr>
            <w:tcW w:w="706" w:type="pct"/>
            <w:tcBorders>
              <w:top w:val="nil"/>
              <w:left w:val="nil"/>
              <w:bottom w:val="dotted" w:sz="4" w:space="0" w:color="auto"/>
              <w:right w:val="dotted" w:sz="4" w:space="0" w:color="auto"/>
            </w:tcBorders>
            <w:shd w:val="clear" w:color="000000" w:fill="FFFFFF"/>
            <w:noWrap/>
            <w:vAlign w:val="bottom"/>
            <w:hideMark/>
          </w:tcPr>
          <w:p w14:paraId="34C2AB43"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514</w:t>
            </w:r>
          </w:p>
        </w:tc>
        <w:tc>
          <w:tcPr>
            <w:tcW w:w="662" w:type="pct"/>
            <w:tcBorders>
              <w:top w:val="nil"/>
              <w:left w:val="nil"/>
              <w:bottom w:val="dotted" w:sz="4" w:space="0" w:color="auto"/>
              <w:right w:val="single" w:sz="8" w:space="0" w:color="auto"/>
            </w:tcBorders>
            <w:shd w:val="clear" w:color="000000" w:fill="FFFFFF"/>
            <w:noWrap/>
            <w:vAlign w:val="bottom"/>
            <w:hideMark/>
          </w:tcPr>
          <w:p w14:paraId="2B30FC23"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5.7%</w:t>
            </w:r>
          </w:p>
        </w:tc>
        <w:tc>
          <w:tcPr>
            <w:tcW w:w="613" w:type="pct"/>
            <w:tcBorders>
              <w:top w:val="nil"/>
              <w:left w:val="nil"/>
              <w:bottom w:val="nil"/>
              <w:right w:val="dotted" w:sz="4" w:space="0" w:color="auto"/>
            </w:tcBorders>
            <w:shd w:val="clear" w:color="000000" w:fill="FFFFFF"/>
            <w:noWrap/>
            <w:vAlign w:val="bottom"/>
            <w:hideMark/>
          </w:tcPr>
          <w:p w14:paraId="1145998B"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-780</w:t>
            </w:r>
          </w:p>
        </w:tc>
        <w:tc>
          <w:tcPr>
            <w:tcW w:w="465" w:type="pct"/>
            <w:tcBorders>
              <w:top w:val="nil"/>
              <w:left w:val="nil"/>
              <w:bottom w:val="nil"/>
              <w:right w:val="single" w:sz="8" w:space="0" w:color="auto"/>
            </w:tcBorders>
            <w:shd w:val="clear" w:color="000000" w:fill="FFFFFF"/>
            <w:vAlign w:val="bottom"/>
            <w:hideMark/>
          </w:tcPr>
          <w:p w14:paraId="36202045" w14:textId="77777777" w:rsidR="00D31F37" w:rsidRPr="008D628E" w:rsidRDefault="00D31F37" w:rsidP="00492B15">
            <w:pPr>
              <w:spacing w:before="0" w:line="240" w:lineRule="auto"/>
              <w:jc w:val="center"/>
              <w:rPr>
                <w:rFonts w:asciiTheme="majorHAnsi" w:hAnsiTheme="majorHAnsi" w:cstheme="majorHAnsi"/>
                <w:color w:val="000000"/>
                <w:sz w:val="20"/>
                <w:szCs w:val="20"/>
              </w:rPr>
            </w:pPr>
            <w:r w:rsidRPr="008D628E">
              <w:rPr>
                <w:rFonts w:asciiTheme="majorHAnsi" w:hAnsiTheme="majorHAnsi" w:cstheme="majorHAnsi"/>
                <w:color w:val="000000"/>
                <w:sz w:val="20"/>
                <w:szCs w:val="20"/>
              </w:rPr>
              <w:t>-7.6%</w:t>
            </w:r>
          </w:p>
        </w:tc>
      </w:tr>
      <w:tr w:rsidR="00891ECB" w:rsidRPr="008D628E" w14:paraId="7AFDB42E" w14:textId="77777777" w:rsidTr="00891ECB">
        <w:trPr>
          <w:trHeight w:val="32"/>
          <w:jc w:val="center"/>
        </w:trPr>
        <w:tc>
          <w:tcPr>
            <w:tcW w:w="945" w:type="pct"/>
            <w:tcBorders>
              <w:top w:val="single" w:sz="8" w:space="0" w:color="auto"/>
              <w:left w:val="single" w:sz="8" w:space="0" w:color="auto"/>
              <w:bottom w:val="single" w:sz="8" w:space="0" w:color="auto"/>
              <w:right w:val="single" w:sz="8" w:space="0" w:color="auto"/>
            </w:tcBorders>
            <w:shd w:val="clear" w:color="000000" w:fill="BFBFBF"/>
            <w:vAlign w:val="bottom"/>
            <w:hideMark/>
          </w:tcPr>
          <w:p w14:paraId="79505490" w14:textId="0E812551"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TOTALI</w:t>
            </w:r>
          </w:p>
        </w:tc>
        <w:tc>
          <w:tcPr>
            <w:tcW w:w="519" w:type="pct"/>
            <w:tcBorders>
              <w:top w:val="single" w:sz="8" w:space="0" w:color="auto"/>
              <w:left w:val="nil"/>
              <w:bottom w:val="single" w:sz="8" w:space="0" w:color="auto"/>
              <w:right w:val="nil"/>
            </w:tcBorders>
            <w:shd w:val="clear" w:color="000000" w:fill="BFBFBF"/>
            <w:vAlign w:val="bottom"/>
            <w:hideMark/>
          </w:tcPr>
          <w:p w14:paraId="19C91D63"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229,520</w:t>
            </w:r>
          </w:p>
        </w:tc>
        <w:tc>
          <w:tcPr>
            <w:tcW w:w="542" w:type="pct"/>
            <w:tcBorders>
              <w:top w:val="single" w:sz="8" w:space="0" w:color="auto"/>
              <w:left w:val="single" w:sz="8" w:space="0" w:color="auto"/>
              <w:bottom w:val="single" w:sz="8" w:space="0" w:color="auto"/>
              <w:right w:val="nil"/>
            </w:tcBorders>
            <w:shd w:val="clear" w:color="000000" w:fill="BFBFBF"/>
            <w:vAlign w:val="bottom"/>
            <w:hideMark/>
          </w:tcPr>
          <w:p w14:paraId="53792938"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239,682</w:t>
            </w:r>
          </w:p>
        </w:tc>
        <w:tc>
          <w:tcPr>
            <w:tcW w:w="548" w:type="pct"/>
            <w:tcBorders>
              <w:top w:val="single" w:sz="8" w:space="0" w:color="auto"/>
              <w:left w:val="single" w:sz="8" w:space="0" w:color="auto"/>
              <w:bottom w:val="single" w:sz="8" w:space="0" w:color="auto"/>
              <w:right w:val="single" w:sz="8" w:space="0" w:color="auto"/>
            </w:tcBorders>
            <w:shd w:val="clear" w:color="000000" w:fill="BFBFBF"/>
            <w:vAlign w:val="bottom"/>
            <w:hideMark/>
          </w:tcPr>
          <w:p w14:paraId="6A2F2368"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244,049</w:t>
            </w:r>
          </w:p>
        </w:tc>
        <w:tc>
          <w:tcPr>
            <w:tcW w:w="706" w:type="pct"/>
            <w:tcBorders>
              <w:top w:val="single" w:sz="8" w:space="0" w:color="auto"/>
              <w:left w:val="nil"/>
              <w:bottom w:val="single" w:sz="8" w:space="0" w:color="auto"/>
              <w:right w:val="nil"/>
            </w:tcBorders>
            <w:shd w:val="clear" w:color="000000" w:fill="BFBFBF"/>
            <w:vAlign w:val="bottom"/>
            <w:hideMark/>
          </w:tcPr>
          <w:p w14:paraId="2D6E335C"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10,162</w:t>
            </w:r>
          </w:p>
        </w:tc>
        <w:tc>
          <w:tcPr>
            <w:tcW w:w="662" w:type="pct"/>
            <w:tcBorders>
              <w:top w:val="single" w:sz="8" w:space="0" w:color="auto"/>
              <w:left w:val="single" w:sz="8" w:space="0" w:color="auto"/>
              <w:bottom w:val="single" w:sz="8" w:space="0" w:color="auto"/>
              <w:right w:val="single" w:sz="8" w:space="0" w:color="auto"/>
            </w:tcBorders>
            <w:shd w:val="clear" w:color="000000" w:fill="BFBFBF"/>
            <w:vAlign w:val="bottom"/>
            <w:hideMark/>
          </w:tcPr>
          <w:p w14:paraId="77B51D72"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4.4%</w:t>
            </w:r>
          </w:p>
        </w:tc>
        <w:tc>
          <w:tcPr>
            <w:tcW w:w="613" w:type="pct"/>
            <w:tcBorders>
              <w:top w:val="single" w:sz="8" w:space="0" w:color="auto"/>
              <w:left w:val="nil"/>
              <w:bottom w:val="single" w:sz="8" w:space="0" w:color="auto"/>
              <w:right w:val="nil"/>
            </w:tcBorders>
            <w:shd w:val="clear" w:color="000000" w:fill="BFBFBF"/>
            <w:vAlign w:val="bottom"/>
            <w:hideMark/>
          </w:tcPr>
          <w:p w14:paraId="7A379420"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-4,367</w:t>
            </w:r>
          </w:p>
        </w:tc>
        <w:tc>
          <w:tcPr>
            <w:tcW w:w="465" w:type="pct"/>
            <w:tcBorders>
              <w:top w:val="single" w:sz="8" w:space="0" w:color="auto"/>
              <w:left w:val="single" w:sz="8" w:space="0" w:color="auto"/>
              <w:bottom w:val="single" w:sz="8" w:space="0" w:color="auto"/>
              <w:right w:val="single" w:sz="8" w:space="0" w:color="auto"/>
            </w:tcBorders>
            <w:shd w:val="clear" w:color="000000" w:fill="BFBFBF"/>
            <w:vAlign w:val="bottom"/>
            <w:hideMark/>
          </w:tcPr>
          <w:p w14:paraId="413A7740" w14:textId="77777777" w:rsidR="00D31F37" w:rsidRPr="008D628E" w:rsidRDefault="00D31F37" w:rsidP="00492B15">
            <w:pPr>
              <w:spacing w:before="0" w:line="240" w:lineRule="auto"/>
              <w:jc w:val="center"/>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pPr>
            <w:r w:rsidRPr="008D628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-1.8%</w:t>
            </w:r>
          </w:p>
        </w:tc>
      </w:tr>
    </w:tbl>
    <w:p w14:paraId="7EE6C2B8" w14:textId="0D5DE642" w:rsidR="00126520" w:rsidRPr="00516127" w:rsidRDefault="00126520" w:rsidP="00126520">
      <w:pPr>
        <w:spacing w:before="0" w:line="240" w:lineRule="auto"/>
        <w:rPr>
          <w:rFonts w:asciiTheme="majorHAnsi" w:hAnsiTheme="majorHAnsi" w:cstheme="majorHAnsi"/>
          <w:bCs/>
          <w:i/>
          <w:noProof/>
          <w:sz w:val="18"/>
          <w:szCs w:val="18"/>
          <w:lang w:val="sq-AL"/>
        </w:rPr>
      </w:pPr>
      <w:r w:rsidRPr="00516127">
        <w:rPr>
          <w:rFonts w:asciiTheme="majorHAnsi" w:hAnsiTheme="majorHAnsi" w:cstheme="majorHAnsi"/>
          <w:bCs/>
          <w:i/>
          <w:noProof/>
          <w:sz w:val="18"/>
          <w:szCs w:val="18"/>
          <w:lang w:val="sq-AL"/>
        </w:rPr>
        <w:t xml:space="preserve">Burimi: </w:t>
      </w:r>
      <w:r w:rsidR="007B1A0A" w:rsidRPr="00FF7045">
        <w:rPr>
          <w:rFonts w:asciiTheme="majorHAnsi" w:hAnsiTheme="majorHAnsi" w:cstheme="majorHAnsi"/>
          <w:i/>
          <w:iCs/>
          <w:sz w:val="20"/>
          <w:szCs w:val="20"/>
          <w:lang w:val="it-CH"/>
        </w:rPr>
        <w:t>Drejtoria e Përgjithshme e Dognave</w:t>
      </w:r>
    </w:p>
    <w:p w14:paraId="594446BE" w14:textId="77777777" w:rsidR="00665D96" w:rsidRPr="00665D96" w:rsidRDefault="00665D96" w:rsidP="00492B15">
      <w:pPr>
        <w:spacing w:before="0" w:line="240" w:lineRule="auto"/>
        <w:rPr>
          <w:rFonts w:asciiTheme="majorHAnsi" w:hAnsiTheme="majorHAnsi" w:cstheme="majorHAnsi"/>
          <w:bCs/>
          <w:i/>
          <w:iCs/>
          <w:sz w:val="8"/>
          <w:szCs w:val="8"/>
          <w:lang w:val="it-CH"/>
        </w:rPr>
      </w:pPr>
    </w:p>
    <w:p w14:paraId="0CEB5247" w14:textId="2B6192AA" w:rsidR="00D31F37" w:rsidRPr="000B4A64" w:rsidRDefault="00D31F37" w:rsidP="00492B15">
      <w:pPr>
        <w:spacing w:before="0" w:line="240" w:lineRule="auto"/>
        <w:rPr>
          <w:rFonts w:asciiTheme="majorHAnsi" w:hAnsiTheme="majorHAnsi" w:cstheme="majorHAnsi"/>
          <w:bCs/>
          <w:lang w:val="it-CH"/>
        </w:rPr>
      </w:pPr>
      <w:r w:rsidRPr="000B4A64">
        <w:rPr>
          <w:rFonts w:asciiTheme="majorHAnsi" w:hAnsiTheme="majorHAnsi" w:cstheme="majorHAnsi"/>
          <w:bCs/>
          <w:i/>
          <w:iCs/>
          <w:lang w:val="it-CH"/>
        </w:rPr>
        <w:t>Krahasuar me të njëjtën periudhë të vitit të kaluar</w:t>
      </w:r>
      <w:r w:rsidRPr="000B4A64">
        <w:rPr>
          <w:rFonts w:asciiTheme="majorHAnsi" w:hAnsiTheme="majorHAnsi" w:cstheme="majorHAnsi"/>
          <w:bCs/>
          <w:lang w:val="it-CH"/>
        </w:rPr>
        <w:t xml:space="preserve">, akciza ka pasur rritjen më të madhe të të ardhurave me rreth +6.2 </w:t>
      </w:r>
      <w:r w:rsidR="0056260B">
        <w:rPr>
          <w:rFonts w:asciiTheme="majorHAnsi" w:hAnsiTheme="majorHAnsi" w:cstheme="majorHAnsi"/>
          <w:bCs/>
          <w:lang w:val="it-CH"/>
        </w:rPr>
        <w:t>miliardë</w:t>
      </w:r>
      <w:r w:rsidRPr="000B4A64">
        <w:rPr>
          <w:rFonts w:asciiTheme="majorHAnsi" w:hAnsiTheme="majorHAnsi" w:cstheme="majorHAnsi"/>
          <w:bCs/>
          <w:lang w:val="it-CH"/>
        </w:rPr>
        <w:t xml:space="preserve"> </w:t>
      </w:r>
      <w:r w:rsidR="0056260B">
        <w:rPr>
          <w:rFonts w:asciiTheme="majorHAnsi" w:hAnsiTheme="majorHAnsi" w:cstheme="majorHAnsi"/>
          <w:bCs/>
          <w:lang w:val="it-CH"/>
        </w:rPr>
        <w:t>LEK</w:t>
      </w:r>
      <w:r w:rsidRPr="000B4A64">
        <w:rPr>
          <w:rFonts w:asciiTheme="majorHAnsi" w:hAnsiTheme="majorHAnsi" w:cstheme="majorHAnsi"/>
          <w:bCs/>
          <w:lang w:val="it-CH"/>
        </w:rPr>
        <w:t xml:space="preserve"> e ndjekur nga tvsh-ja në import me rreth +4.4 </w:t>
      </w:r>
      <w:r w:rsidR="0056260B">
        <w:rPr>
          <w:rFonts w:asciiTheme="majorHAnsi" w:hAnsiTheme="majorHAnsi" w:cstheme="majorHAnsi"/>
          <w:bCs/>
          <w:lang w:val="it-CH"/>
        </w:rPr>
        <w:t>miliardë</w:t>
      </w:r>
      <w:r w:rsidRPr="000B4A64">
        <w:rPr>
          <w:rFonts w:asciiTheme="majorHAnsi" w:hAnsiTheme="majorHAnsi" w:cstheme="majorHAnsi"/>
          <w:bCs/>
          <w:lang w:val="it-CH"/>
        </w:rPr>
        <w:t xml:space="preserve"> </w:t>
      </w:r>
      <w:r w:rsidR="0056260B">
        <w:rPr>
          <w:rFonts w:asciiTheme="majorHAnsi" w:hAnsiTheme="majorHAnsi" w:cstheme="majorHAnsi"/>
          <w:bCs/>
          <w:lang w:val="it-CH"/>
        </w:rPr>
        <w:t>LEK</w:t>
      </w:r>
      <w:r w:rsidRPr="000B4A64">
        <w:rPr>
          <w:rFonts w:asciiTheme="majorHAnsi" w:hAnsiTheme="majorHAnsi" w:cstheme="majorHAnsi"/>
          <w:bCs/>
          <w:lang w:val="it-CH"/>
        </w:rPr>
        <w:t xml:space="preserve"> dhe taksa doganore me +514 </w:t>
      </w:r>
      <w:r w:rsidR="0056260B">
        <w:rPr>
          <w:rFonts w:asciiTheme="majorHAnsi" w:hAnsiTheme="majorHAnsi" w:cstheme="majorHAnsi"/>
          <w:bCs/>
          <w:lang w:val="it-CH"/>
        </w:rPr>
        <w:t>milionë</w:t>
      </w:r>
      <w:r w:rsidRPr="000B4A64">
        <w:rPr>
          <w:rFonts w:asciiTheme="majorHAnsi" w:hAnsiTheme="majorHAnsi" w:cstheme="majorHAnsi"/>
          <w:bCs/>
          <w:lang w:val="it-CH"/>
        </w:rPr>
        <w:t xml:space="preserve"> </w:t>
      </w:r>
      <w:r w:rsidR="0056260B">
        <w:rPr>
          <w:rFonts w:asciiTheme="majorHAnsi" w:hAnsiTheme="majorHAnsi" w:cstheme="majorHAnsi"/>
          <w:bCs/>
          <w:lang w:val="it-CH"/>
        </w:rPr>
        <w:t>LEK</w:t>
      </w:r>
      <w:r w:rsidRPr="000B4A64">
        <w:rPr>
          <w:rFonts w:asciiTheme="majorHAnsi" w:hAnsiTheme="majorHAnsi" w:cstheme="majorHAnsi"/>
          <w:bCs/>
          <w:lang w:val="it-CH"/>
        </w:rPr>
        <w:t xml:space="preserve">, ndërkohë që renta minerare ka pësuar një rënie të të ardhurave me rreth -780 </w:t>
      </w:r>
      <w:r w:rsidR="0056260B">
        <w:rPr>
          <w:rFonts w:asciiTheme="majorHAnsi" w:hAnsiTheme="majorHAnsi" w:cstheme="majorHAnsi"/>
          <w:bCs/>
          <w:lang w:val="it-CH"/>
        </w:rPr>
        <w:t>milionë</w:t>
      </w:r>
      <w:r w:rsidRPr="000B4A64">
        <w:rPr>
          <w:rFonts w:asciiTheme="majorHAnsi" w:hAnsiTheme="majorHAnsi" w:cstheme="majorHAnsi"/>
          <w:bCs/>
          <w:lang w:val="it-CH"/>
        </w:rPr>
        <w:t xml:space="preserve"> </w:t>
      </w:r>
      <w:r w:rsidR="0056260B">
        <w:rPr>
          <w:rFonts w:asciiTheme="majorHAnsi" w:hAnsiTheme="majorHAnsi" w:cstheme="majorHAnsi"/>
          <w:bCs/>
          <w:lang w:val="it-CH"/>
        </w:rPr>
        <w:t>LEK</w:t>
      </w:r>
      <w:r w:rsidRPr="000B4A64">
        <w:rPr>
          <w:rFonts w:asciiTheme="majorHAnsi" w:hAnsiTheme="majorHAnsi" w:cstheme="majorHAnsi"/>
          <w:bCs/>
          <w:lang w:val="it-CH"/>
        </w:rPr>
        <w:t xml:space="preserve">sh. </w:t>
      </w:r>
    </w:p>
    <w:p w14:paraId="78759DFA" w14:textId="3BE24CFC" w:rsidR="00D31F37" w:rsidRPr="00516127" w:rsidRDefault="00D31F37" w:rsidP="00492B15">
      <w:pPr>
        <w:spacing w:before="0" w:line="240" w:lineRule="auto"/>
        <w:rPr>
          <w:rFonts w:asciiTheme="majorHAnsi" w:hAnsiTheme="majorHAnsi" w:cstheme="majorHAnsi"/>
          <w:bCs/>
          <w:lang w:val="it-CH"/>
        </w:rPr>
      </w:pPr>
      <w:r w:rsidRPr="00516127">
        <w:rPr>
          <w:rFonts w:asciiTheme="majorHAnsi" w:hAnsiTheme="majorHAnsi" w:cstheme="majorHAnsi"/>
          <w:bCs/>
          <w:i/>
          <w:iCs/>
          <w:lang w:val="it-CH"/>
        </w:rPr>
        <w:t xml:space="preserve">Krahasuar me planin e rishikuar </w:t>
      </w:r>
      <w:r w:rsidRPr="000B4A64">
        <w:rPr>
          <w:rFonts w:asciiTheme="majorHAnsi" w:hAnsiTheme="majorHAnsi" w:cstheme="majorHAnsi"/>
          <w:bCs/>
          <w:lang w:val="it-CH"/>
        </w:rPr>
        <w:t>të gjithë zërat e të ardhurave doganore kanë rezultuar me mosrealizim të</w:t>
      </w:r>
      <w:r w:rsidRPr="00516127">
        <w:rPr>
          <w:rFonts w:asciiTheme="majorHAnsi" w:hAnsiTheme="majorHAnsi" w:cstheme="majorHAnsi"/>
          <w:bCs/>
          <w:lang w:val="it-CH"/>
        </w:rPr>
        <w:t xml:space="preserve"> shumës vjetore të planifikuar.  Të ardhurat e munguara nga tvsh-ja në import janë rreth -2.1 </w:t>
      </w:r>
      <w:r w:rsidR="0056260B">
        <w:rPr>
          <w:rFonts w:asciiTheme="majorHAnsi" w:hAnsiTheme="majorHAnsi" w:cstheme="majorHAnsi"/>
          <w:bCs/>
          <w:lang w:val="it-CH"/>
        </w:rPr>
        <w:t>miliardë</w:t>
      </w:r>
      <w:r w:rsidRPr="00516127">
        <w:rPr>
          <w:rFonts w:asciiTheme="majorHAnsi" w:hAnsiTheme="majorHAnsi" w:cstheme="majorHAnsi"/>
          <w:bCs/>
          <w:lang w:val="it-CH"/>
        </w:rPr>
        <w:t xml:space="preserve"> </w:t>
      </w:r>
      <w:r w:rsidR="0056260B">
        <w:rPr>
          <w:rFonts w:asciiTheme="majorHAnsi" w:hAnsiTheme="majorHAnsi" w:cstheme="majorHAnsi"/>
          <w:bCs/>
          <w:lang w:val="it-CH"/>
        </w:rPr>
        <w:t>LEK</w:t>
      </w:r>
      <w:r w:rsidRPr="00516127">
        <w:rPr>
          <w:rFonts w:asciiTheme="majorHAnsi" w:hAnsiTheme="majorHAnsi" w:cstheme="majorHAnsi"/>
          <w:bCs/>
          <w:lang w:val="it-CH"/>
        </w:rPr>
        <w:t xml:space="preserve"> dhe nga akciza rreth -1.4 </w:t>
      </w:r>
      <w:r w:rsidR="0056260B">
        <w:rPr>
          <w:rFonts w:asciiTheme="majorHAnsi" w:hAnsiTheme="majorHAnsi" w:cstheme="majorHAnsi"/>
          <w:bCs/>
          <w:lang w:val="it-CH"/>
        </w:rPr>
        <w:t>miliardë</w:t>
      </w:r>
      <w:r w:rsidRPr="00516127">
        <w:rPr>
          <w:rFonts w:asciiTheme="majorHAnsi" w:hAnsiTheme="majorHAnsi" w:cstheme="majorHAnsi"/>
          <w:bCs/>
          <w:lang w:val="it-CH"/>
        </w:rPr>
        <w:t xml:space="preserve"> </w:t>
      </w:r>
      <w:r w:rsidR="0056260B">
        <w:rPr>
          <w:rFonts w:asciiTheme="majorHAnsi" w:hAnsiTheme="majorHAnsi" w:cstheme="majorHAnsi"/>
          <w:bCs/>
          <w:lang w:val="it-CH"/>
        </w:rPr>
        <w:t>LEK</w:t>
      </w:r>
      <w:r w:rsidRPr="00516127">
        <w:rPr>
          <w:rFonts w:asciiTheme="majorHAnsi" w:hAnsiTheme="majorHAnsi" w:cstheme="majorHAnsi"/>
          <w:bCs/>
          <w:lang w:val="it-CH"/>
        </w:rPr>
        <w:t xml:space="preserve"> më pak se plani i periudhës. Po ashtu taksat doganore shënuan një mosrealizim prej </w:t>
      </w:r>
      <w:r>
        <w:rPr>
          <w:rFonts w:asciiTheme="majorHAnsi" w:hAnsiTheme="majorHAnsi" w:cstheme="majorHAnsi"/>
          <w:bCs/>
          <w:lang w:val="it-CH"/>
        </w:rPr>
        <w:t>-</w:t>
      </w:r>
      <w:r w:rsidRPr="00516127">
        <w:rPr>
          <w:rFonts w:asciiTheme="majorHAnsi" w:hAnsiTheme="majorHAnsi" w:cstheme="majorHAnsi"/>
          <w:bCs/>
          <w:lang w:val="it-CH"/>
        </w:rPr>
        <w:t xml:space="preserve">780 </w:t>
      </w:r>
      <w:r w:rsidR="0056260B">
        <w:rPr>
          <w:rFonts w:asciiTheme="majorHAnsi" w:hAnsiTheme="majorHAnsi" w:cstheme="majorHAnsi"/>
          <w:bCs/>
          <w:lang w:val="it-CH"/>
        </w:rPr>
        <w:t>milionë</w:t>
      </w:r>
      <w:r w:rsidRPr="00516127">
        <w:rPr>
          <w:rFonts w:asciiTheme="majorHAnsi" w:hAnsiTheme="majorHAnsi" w:cstheme="majorHAnsi"/>
          <w:bCs/>
          <w:lang w:val="it-CH"/>
        </w:rPr>
        <w:t xml:space="preserve"> </w:t>
      </w:r>
      <w:r w:rsidR="0056260B">
        <w:rPr>
          <w:rFonts w:asciiTheme="majorHAnsi" w:hAnsiTheme="majorHAnsi" w:cstheme="majorHAnsi"/>
          <w:bCs/>
          <w:lang w:val="it-CH"/>
        </w:rPr>
        <w:t>LEK</w:t>
      </w:r>
      <w:r w:rsidRPr="00516127">
        <w:rPr>
          <w:rFonts w:asciiTheme="majorHAnsi" w:hAnsiTheme="majorHAnsi" w:cstheme="majorHAnsi"/>
          <w:bCs/>
          <w:lang w:val="it-CH"/>
        </w:rPr>
        <w:t xml:space="preserve">sh dhe renta minerare rezultoi -135 </w:t>
      </w:r>
      <w:r w:rsidR="0056260B">
        <w:rPr>
          <w:rFonts w:asciiTheme="majorHAnsi" w:hAnsiTheme="majorHAnsi" w:cstheme="majorHAnsi"/>
          <w:bCs/>
          <w:lang w:val="it-CH"/>
        </w:rPr>
        <w:t>milionë</w:t>
      </w:r>
      <w:r w:rsidRPr="00516127">
        <w:rPr>
          <w:rFonts w:asciiTheme="majorHAnsi" w:hAnsiTheme="majorHAnsi" w:cstheme="majorHAnsi"/>
          <w:bCs/>
          <w:lang w:val="it-CH"/>
        </w:rPr>
        <w:t xml:space="preserve"> </w:t>
      </w:r>
      <w:r w:rsidR="0056260B">
        <w:rPr>
          <w:rFonts w:asciiTheme="majorHAnsi" w:hAnsiTheme="majorHAnsi" w:cstheme="majorHAnsi"/>
          <w:bCs/>
          <w:lang w:val="it-CH"/>
        </w:rPr>
        <w:t>LEK</w:t>
      </w:r>
      <w:r w:rsidRPr="00516127">
        <w:rPr>
          <w:rFonts w:asciiTheme="majorHAnsi" w:hAnsiTheme="majorHAnsi" w:cstheme="majorHAnsi"/>
          <w:bCs/>
          <w:lang w:val="it-CH"/>
        </w:rPr>
        <w:t xml:space="preserve"> më pak se niveli i parashikuar vjetor. Më poshtë jepet realizimi i të ardhurave doganore gjatë vitit 2025, krahasuar me vitin 2024 dhe me planin e rishikuar sipas An 10</w:t>
      </w:r>
      <w:r w:rsidR="00891ECB">
        <w:rPr>
          <w:rFonts w:asciiTheme="majorHAnsi" w:hAnsiTheme="majorHAnsi" w:cstheme="majorHAnsi"/>
          <w:bCs/>
          <w:lang w:val="it-CH"/>
        </w:rPr>
        <w:t>/2025</w:t>
      </w:r>
      <w:r w:rsidRPr="00516127">
        <w:rPr>
          <w:rFonts w:asciiTheme="majorHAnsi" w:hAnsiTheme="majorHAnsi" w:cstheme="majorHAnsi"/>
          <w:bCs/>
          <w:lang w:val="it-CH"/>
        </w:rPr>
        <w:t xml:space="preserve">. </w:t>
      </w:r>
    </w:p>
    <w:p w14:paraId="3567950B" w14:textId="710FD1AF" w:rsidR="00D31F37" w:rsidRDefault="00431095" w:rsidP="00431095">
      <w:pPr>
        <w:rPr>
          <w:rFonts w:cs="Calibri"/>
          <w:noProof/>
          <w:lang w:val="sq-AL"/>
        </w:rPr>
      </w:pPr>
      <w:r>
        <w:rPr>
          <w:rFonts w:asciiTheme="majorHAnsi" w:hAnsiTheme="majorHAnsi" w:cstheme="majorHAnsi"/>
          <w:lang w:val="it-CH"/>
        </w:rPr>
        <w:t>Nj</w:t>
      </w:r>
      <w:r w:rsidR="005245F0" w:rsidRPr="00431095">
        <w:rPr>
          <w:rFonts w:asciiTheme="majorHAnsi" w:hAnsiTheme="majorHAnsi" w:cstheme="majorHAnsi"/>
          <w:lang w:val="it-CH"/>
        </w:rPr>
        <w:t>ë ndër f</w:t>
      </w:r>
      <w:r w:rsidR="00D31F37" w:rsidRPr="00431095">
        <w:rPr>
          <w:rFonts w:asciiTheme="majorHAnsi" w:hAnsiTheme="majorHAnsi" w:cstheme="majorHAnsi"/>
          <w:lang w:val="it-CH"/>
        </w:rPr>
        <w:t>aktorët kryesorë negativë që kanë ndikuar gjatë periudhës Janar-Dhjetor 2025</w:t>
      </w:r>
      <w:r>
        <w:rPr>
          <w:rFonts w:asciiTheme="majorHAnsi" w:hAnsiTheme="majorHAnsi" w:cstheme="majorHAnsi"/>
          <w:lang w:val="it-CH"/>
        </w:rPr>
        <w:t xml:space="preserve"> ishte r</w:t>
      </w:r>
      <w:r w:rsidR="00D31F37" w:rsidRPr="00431095">
        <w:rPr>
          <w:rFonts w:cs="Calibri"/>
          <w:noProof/>
          <w:lang w:val="sq-AL"/>
        </w:rPr>
        <w:t>ënia e kursit të këmbimit të monedhës shqiptare me dollarin</w:t>
      </w:r>
      <w:r w:rsidR="00665D96" w:rsidRPr="00431095">
        <w:rPr>
          <w:rFonts w:cs="Calibri"/>
          <w:noProof/>
          <w:lang w:val="sq-AL"/>
        </w:rPr>
        <w:t xml:space="preserve"> amerikan </w:t>
      </w:r>
      <w:r w:rsidR="00D31F37" w:rsidRPr="00431095">
        <w:rPr>
          <w:rFonts w:cs="Calibri"/>
          <w:noProof/>
          <w:lang w:val="sq-AL"/>
        </w:rPr>
        <w:t xml:space="preserve">dhe monedhën europiane,  </w:t>
      </w:r>
      <w:r>
        <w:rPr>
          <w:rFonts w:cs="Calibri"/>
          <w:noProof/>
          <w:lang w:val="sq-AL"/>
        </w:rPr>
        <w:t>q</w:t>
      </w:r>
      <w:r w:rsidR="00D31F37" w:rsidRPr="00431095">
        <w:rPr>
          <w:rFonts w:cs="Calibri"/>
          <w:noProof/>
          <w:lang w:val="sq-AL"/>
        </w:rPr>
        <w:t>ë s</w:t>
      </w:r>
      <w:r>
        <w:rPr>
          <w:rFonts w:cs="Calibri"/>
          <w:noProof/>
          <w:lang w:val="sq-AL"/>
        </w:rPr>
        <w:t>olli</w:t>
      </w:r>
      <w:r w:rsidR="00D31F37" w:rsidRPr="00431095">
        <w:rPr>
          <w:rFonts w:cs="Calibri"/>
          <w:noProof/>
          <w:lang w:val="sq-AL"/>
        </w:rPr>
        <w:t xml:space="preserve"> një humbje të të ardhurave  prej -9.5 </w:t>
      </w:r>
      <w:r w:rsidR="0056260B" w:rsidRPr="00431095">
        <w:rPr>
          <w:rFonts w:cs="Calibri"/>
          <w:noProof/>
          <w:lang w:val="sq-AL"/>
        </w:rPr>
        <w:t>miliardë</w:t>
      </w:r>
      <w:r w:rsidR="00D31F37" w:rsidRPr="00431095">
        <w:rPr>
          <w:rFonts w:cs="Calibri"/>
          <w:noProof/>
          <w:lang w:val="sq-AL"/>
        </w:rPr>
        <w:t xml:space="preserve"> </w:t>
      </w:r>
      <w:r w:rsidR="0056260B" w:rsidRPr="00431095">
        <w:rPr>
          <w:rFonts w:cs="Calibri"/>
          <w:noProof/>
          <w:lang w:val="sq-AL"/>
        </w:rPr>
        <w:t>LEK</w:t>
      </w:r>
      <w:r w:rsidR="00D31F37" w:rsidRPr="00431095">
        <w:rPr>
          <w:rFonts w:cs="Calibri"/>
          <w:noProof/>
          <w:lang w:val="sq-AL"/>
        </w:rPr>
        <w:t xml:space="preserve"> gjatë vitit 2025.</w:t>
      </w:r>
    </w:p>
    <w:p w14:paraId="2BC97B5A" w14:textId="77777777" w:rsidR="00431095" w:rsidRPr="00431095" w:rsidRDefault="00431095" w:rsidP="00431095">
      <w:pPr>
        <w:rPr>
          <w:rFonts w:asciiTheme="majorHAnsi" w:hAnsiTheme="majorHAnsi" w:cstheme="majorHAnsi"/>
          <w:lang w:val="it-CH"/>
        </w:rPr>
      </w:pPr>
    </w:p>
    <w:p w14:paraId="6415F86D" w14:textId="2B847A9C" w:rsidR="00D31F37" w:rsidRPr="008D628E" w:rsidRDefault="00D31F37" w:rsidP="00D31F37">
      <w:pPr>
        <w:contextualSpacing/>
        <w:rPr>
          <w:rFonts w:asciiTheme="majorHAnsi" w:hAnsiTheme="majorHAnsi" w:cstheme="majorHAnsi"/>
          <w:b/>
          <w:lang w:val="sq-AL"/>
        </w:rPr>
      </w:pPr>
      <w:r w:rsidRPr="008D628E">
        <w:rPr>
          <w:rFonts w:asciiTheme="majorHAnsi" w:hAnsiTheme="majorHAnsi" w:cstheme="majorHAnsi"/>
          <w:b/>
          <w:lang w:val="sq-AL"/>
        </w:rPr>
        <w:t>Efekti i kursit të këmbimit:</w:t>
      </w:r>
    </w:p>
    <w:p w14:paraId="23A3F056" w14:textId="3E153168" w:rsidR="00D31F37" w:rsidRPr="00516127" w:rsidRDefault="00D31F37" w:rsidP="00891ECB">
      <w:pPr>
        <w:spacing w:before="0"/>
        <w:rPr>
          <w:rFonts w:asciiTheme="majorHAnsi" w:hAnsiTheme="majorHAnsi" w:cstheme="majorHAnsi"/>
          <w:lang w:val="sq-AL"/>
        </w:rPr>
      </w:pPr>
      <w:r w:rsidRPr="00516127">
        <w:rPr>
          <w:rFonts w:asciiTheme="majorHAnsi" w:hAnsiTheme="majorHAnsi" w:cstheme="majorHAnsi"/>
          <w:lang w:val="sq-AL"/>
        </w:rPr>
        <w:t xml:space="preserve">Tabela më poshtë paraqet diferencat në kursin e këmbimit të </w:t>
      </w:r>
      <w:r w:rsidR="00665D96">
        <w:rPr>
          <w:rFonts w:asciiTheme="majorHAnsi" w:hAnsiTheme="majorHAnsi" w:cstheme="majorHAnsi"/>
          <w:lang w:val="sq-AL"/>
        </w:rPr>
        <w:t>EUR</w:t>
      </w:r>
      <w:r w:rsidRPr="00516127">
        <w:rPr>
          <w:rFonts w:asciiTheme="majorHAnsi" w:hAnsiTheme="majorHAnsi" w:cstheme="majorHAnsi"/>
          <w:lang w:val="sq-AL"/>
        </w:rPr>
        <w:t xml:space="preserve"> dhe </w:t>
      </w:r>
      <w:r w:rsidR="00665D96">
        <w:rPr>
          <w:rFonts w:asciiTheme="majorHAnsi" w:hAnsiTheme="majorHAnsi" w:cstheme="majorHAnsi"/>
          <w:lang w:val="sq-AL"/>
        </w:rPr>
        <w:t>USD</w:t>
      </w:r>
      <w:r w:rsidRPr="00516127">
        <w:rPr>
          <w:rFonts w:asciiTheme="majorHAnsi" w:hAnsiTheme="majorHAnsi" w:cstheme="majorHAnsi"/>
          <w:lang w:val="sq-AL"/>
        </w:rPr>
        <w:t xml:space="preserve"> sipas muajve</w:t>
      </w:r>
      <w:r w:rsidR="00665D96">
        <w:rPr>
          <w:rFonts w:asciiTheme="majorHAnsi" w:hAnsiTheme="majorHAnsi" w:cstheme="majorHAnsi"/>
          <w:lang w:val="sq-AL"/>
        </w:rPr>
        <w:t>, s</w:t>
      </w:r>
      <w:r w:rsidRPr="00516127">
        <w:rPr>
          <w:rFonts w:asciiTheme="majorHAnsi" w:hAnsiTheme="majorHAnsi" w:cstheme="majorHAnsi"/>
          <w:lang w:val="sq-AL"/>
        </w:rPr>
        <w:t xml:space="preserve">ipas </w:t>
      </w:r>
      <w:r w:rsidR="00665D96">
        <w:rPr>
          <w:rFonts w:asciiTheme="majorHAnsi" w:hAnsiTheme="majorHAnsi" w:cstheme="majorHAnsi"/>
          <w:lang w:val="sq-AL"/>
        </w:rPr>
        <w:t>së cilës të dy monedhat</w:t>
      </w:r>
      <w:r w:rsidRPr="00516127">
        <w:rPr>
          <w:rFonts w:asciiTheme="majorHAnsi" w:hAnsiTheme="majorHAnsi" w:cstheme="majorHAnsi"/>
          <w:lang w:val="sq-AL"/>
        </w:rPr>
        <w:t xml:space="preserve"> janë zhvlerësuar kundrejt lekut gjatë vitit 2025, duke </w:t>
      </w:r>
      <w:r w:rsidRPr="00431095">
        <w:rPr>
          <w:rFonts w:asciiTheme="majorHAnsi" w:hAnsiTheme="majorHAnsi" w:cstheme="majorHAnsi"/>
          <w:lang w:val="sq-AL"/>
        </w:rPr>
        <w:t xml:space="preserve">sjellë </w:t>
      </w:r>
      <w:r w:rsidR="00431095" w:rsidRPr="00431095">
        <w:rPr>
          <w:rFonts w:asciiTheme="majorHAnsi" w:hAnsiTheme="majorHAnsi" w:cstheme="majorHAnsi"/>
          <w:lang w:val="sq-AL"/>
        </w:rPr>
        <w:t>ndikim</w:t>
      </w:r>
      <w:r w:rsidRPr="00431095">
        <w:rPr>
          <w:rFonts w:asciiTheme="majorHAnsi" w:hAnsiTheme="majorHAnsi" w:cstheme="majorHAnsi"/>
          <w:lang w:val="sq-AL"/>
        </w:rPr>
        <w:t xml:space="preserve"> të konsideruesh</w:t>
      </w:r>
      <w:r w:rsidR="00431095" w:rsidRPr="00431095">
        <w:rPr>
          <w:rFonts w:asciiTheme="majorHAnsi" w:hAnsiTheme="majorHAnsi" w:cstheme="majorHAnsi"/>
          <w:lang w:val="sq-AL"/>
        </w:rPr>
        <w:t>ëm</w:t>
      </w:r>
      <w:r w:rsidRPr="00431095">
        <w:rPr>
          <w:rFonts w:asciiTheme="majorHAnsi" w:hAnsiTheme="majorHAnsi" w:cstheme="majorHAnsi"/>
          <w:lang w:val="sq-AL"/>
        </w:rPr>
        <w:t xml:space="preserve"> </w:t>
      </w:r>
      <w:r w:rsidRPr="00516127">
        <w:rPr>
          <w:rFonts w:asciiTheme="majorHAnsi" w:hAnsiTheme="majorHAnsi" w:cstheme="majorHAnsi"/>
          <w:lang w:val="sq-AL"/>
        </w:rPr>
        <w:t xml:space="preserve">për administratën doganore. </w:t>
      </w:r>
    </w:p>
    <w:p w14:paraId="6347EAFB" w14:textId="67D08AAA" w:rsidR="00D31F37" w:rsidRPr="00126520" w:rsidRDefault="00126520" w:rsidP="00126520">
      <w:pPr>
        <w:pStyle w:val="Caption"/>
        <w:keepNext/>
      </w:pPr>
      <w:bookmarkStart w:id="83" w:name="_Toc229129984"/>
      <w:proofErr w:type="spellStart"/>
      <w:r>
        <w:t>Tabela</w:t>
      </w:r>
      <w:proofErr w:type="spellEnd"/>
      <w:r>
        <w:t xml:space="preserve"> </w:t>
      </w:r>
      <w:fldSimple w:instr=" SEQ Tabela \* ARABIC ">
        <w:r w:rsidR="00CB4DE6">
          <w:rPr>
            <w:noProof/>
          </w:rPr>
          <w:t>10</w:t>
        </w:r>
      </w:fldSimple>
      <w:r>
        <w:t xml:space="preserve"> </w:t>
      </w:r>
      <w:proofErr w:type="spellStart"/>
      <w:r w:rsidRPr="00E8339B">
        <w:t>Kursi</w:t>
      </w:r>
      <w:proofErr w:type="spellEnd"/>
      <w:r w:rsidRPr="00E8339B">
        <w:t xml:space="preserve"> </w:t>
      </w:r>
      <w:proofErr w:type="spellStart"/>
      <w:r w:rsidRPr="00E8339B">
        <w:t>i</w:t>
      </w:r>
      <w:proofErr w:type="spellEnd"/>
      <w:r w:rsidRPr="00E8339B">
        <w:t xml:space="preserve"> </w:t>
      </w:r>
      <w:proofErr w:type="spellStart"/>
      <w:r w:rsidRPr="00E8339B">
        <w:t>këmbimit</w:t>
      </w:r>
      <w:proofErr w:type="spellEnd"/>
      <w:r w:rsidRPr="00E8339B">
        <w:t xml:space="preserve"> </w:t>
      </w:r>
      <w:proofErr w:type="spellStart"/>
      <w:r w:rsidRPr="00E8339B">
        <w:t>të</w:t>
      </w:r>
      <w:proofErr w:type="spellEnd"/>
      <w:r w:rsidRPr="00E8339B">
        <w:t xml:space="preserve"> </w:t>
      </w:r>
      <w:proofErr w:type="spellStart"/>
      <w:r w:rsidRPr="00E8339B">
        <w:t>lekut</w:t>
      </w:r>
      <w:proofErr w:type="spellEnd"/>
      <w:r w:rsidRPr="00E8339B">
        <w:t xml:space="preserve"> me </w:t>
      </w:r>
      <w:proofErr w:type="spellStart"/>
      <w:r w:rsidRPr="00E8339B">
        <w:t>euron</w:t>
      </w:r>
      <w:proofErr w:type="spellEnd"/>
      <w:r w:rsidRPr="00E8339B">
        <w:t xml:space="preserve"> </w:t>
      </w:r>
      <w:proofErr w:type="spellStart"/>
      <w:r w:rsidRPr="00E8339B">
        <w:t>dhe</w:t>
      </w:r>
      <w:proofErr w:type="spellEnd"/>
      <w:r w:rsidRPr="00E8339B">
        <w:t xml:space="preserve"> </w:t>
      </w:r>
      <w:proofErr w:type="spellStart"/>
      <w:r w:rsidRPr="00E8339B">
        <w:t>dollarin</w:t>
      </w:r>
      <w:bookmarkEnd w:id="83"/>
      <w:proofErr w:type="spellEnd"/>
    </w:p>
    <w:tbl>
      <w:tblPr>
        <w:tblStyle w:val="GridTable1Light-Accent21"/>
        <w:tblW w:w="4961" w:type="pct"/>
        <w:jc w:val="center"/>
        <w:tblInd w:w="0" w:type="dxa"/>
        <w:tblLook w:val="04A0" w:firstRow="1" w:lastRow="0" w:firstColumn="1" w:lastColumn="0" w:noHBand="0" w:noVBand="1"/>
      </w:tblPr>
      <w:tblGrid>
        <w:gridCol w:w="1865"/>
        <w:gridCol w:w="1987"/>
        <w:gridCol w:w="1989"/>
        <w:gridCol w:w="1986"/>
        <w:gridCol w:w="1986"/>
      </w:tblGrid>
      <w:tr w:rsidR="00D31F37" w:rsidRPr="00A418CC" w14:paraId="09F8C184" w14:textId="77777777" w:rsidTr="00665D96">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590E93EC" w14:textId="105E1D74"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Muajt</w:t>
            </w:r>
            <w:proofErr w:type="spellEnd"/>
          </w:p>
        </w:tc>
        <w:tc>
          <w:tcPr>
            <w:tcW w:w="2025" w:type="pct"/>
            <w:gridSpan w:val="2"/>
            <w:tcBorders>
              <w:top w:val="single" w:sz="4" w:space="0" w:color="F6C5AC"/>
              <w:left w:val="single" w:sz="4" w:space="0" w:color="F6C5AC"/>
              <w:right w:val="single" w:sz="4" w:space="0" w:color="F6C5AC"/>
            </w:tcBorders>
            <w:shd w:val="clear" w:color="auto" w:fill="C0D7F1" w:themeFill="text2" w:themeFillTint="33"/>
            <w:noWrap/>
            <w:vAlign w:val="center"/>
            <w:hideMark/>
          </w:tcPr>
          <w:p w14:paraId="1F4D9E6D" w14:textId="77777777"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F7045">
              <w:rPr>
                <w:rFonts w:asciiTheme="majorHAnsi" w:hAnsiTheme="majorHAnsi" w:cstheme="majorHAnsi"/>
                <w:sz w:val="20"/>
                <w:szCs w:val="20"/>
              </w:rPr>
              <w:t>2025</w:t>
            </w:r>
          </w:p>
        </w:tc>
        <w:tc>
          <w:tcPr>
            <w:tcW w:w="2024" w:type="pct"/>
            <w:gridSpan w:val="2"/>
            <w:tcBorders>
              <w:top w:val="single" w:sz="4" w:space="0" w:color="F6C5AC"/>
              <w:left w:val="single" w:sz="4" w:space="0" w:color="F6C5AC"/>
              <w:right w:val="single" w:sz="4" w:space="0" w:color="F6C5AC"/>
            </w:tcBorders>
            <w:shd w:val="clear" w:color="auto" w:fill="C0D7F1" w:themeFill="text2" w:themeFillTint="33"/>
            <w:noWrap/>
            <w:vAlign w:val="center"/>
            <w:hideMark/>
          </w:tcPr>
          <w:p w14:paraId="7FC37F54" w14:textId="77777777"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F7045">
              <w:rPr>
                <w:rFonts w:asciiTheme="majorHAnsi" w:hAnsiTheme="majorHAnsi" w:cstheme="majorHAnsi"/>
                <w:sz w:val="20"/>
                <w:szCs w:val="20"/>
              </w:rPr>
              <w:t>2024</w:t>
            </w:r>
          </w:p>
        </w:tc>
      </w:tr>
      <w:tr w:rsidR="00D31F37" w:rsidRPr="00A418CC" w14:paraId="216EFE30" w14:textId="77777777" w:rsidTr="00665D96">
        <w:trPr>
          <w:trHeight w:val="79"/>
          <w:jc w:val="center"/>
        </w:trPr>
        <w:tc>
          <w:tcPr>
            <w:cnfStyle w:val="001000000000" w:firstRow="0" w:lastRow="0" w:firstColumn="1" w:lastColumn="0" w:oddVBand="0" w:evenVBand="0" w:oddHBand="0" w:evenHBand="0" w:firstRowFirstColumn="0" w:firstRowLastColumn="0" w:lastRowFirstColumn="0" w:lastRowLastColumn="0"/>
            <w:tcW w:w="950" w:type="pct"/>
            <w:vMerge/>
            <w:tcBorders>
              <w:top w:val="single" w:sz="4" w:space="0" w:color="F6C5AC"/>
              <w:left w:val="single" w:sz="4" w:space="0" w:color="F6C5AC"/>
              <w:bottom w:val="single" w:sz="4" w:space="0" w:color="F6C5AC"/>
              <w:right w:val="single" w:sz="4" w:space="0" w:color="F6C5AC"/>
            </w:tcBorders>
            <w:shd w:val="clear" w:color="auto" w:fill="C0D7F1" w:themeFill="text2" w:themeFillTint="33"/>
            <w:vAlign w:val="center"/>
            <w:hideMark/>
          </w:tcPr>
          <w:p w14:paraId="27248C24" w14:textId="77777777" w:rsidR="00D31F37" w:rsidRPr="00FF7045" w:rsidRDefault="00D31F37" w:rsidP="00FF7045">
            <w:pPr>
              <w:spacing w:before="0" w:line="240" w:lineRule="auto"/>
              <w:jc w:val="center"/>
              <w:rPr>
                <w:rFonts w:asciiTheme="majorHAnsi" w:hAnsiTheme="majorHAnsi" w:cstheme="majorHAnsi"/>
                <w:sz w:val="20"/>
                <w:szCs w:val="20"/>
              </w:rPr>
            </w:pP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40211AD8" w14:textId="059CB1CD"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U$D</w:t>
            </w:r>
          </w:p>
        </w:tc>
        <w:tc>
          <w:tcPr>
            <w:tcW w:w="1013"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510F9B2C" w14:textId="675DC3F6"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€URO</w:t>
            </w: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5EC0C47E" w14:textId="1333A0F1"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U$D</w:t>
            </w: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243F09FD" w14:textId="3EB1F898"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€URO</w:t>
            </w:r>
          </w:p>
        </w:tc>
      </w:tr>
      <w:tr w:rsidR="00D31F37" w:rsidRPr="00A418CC" w14:paraId="68190D37"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3A1A31A8" w14:textId="4C9ABE2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Janar</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19EFD90B"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94.26</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21663AC3"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98.15</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9E9146B"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93.94</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2DC134F3"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103.88</w:t>
            </w:r>
          </w:p>
        </w:tc>
      </w:tr>
      <w:tr w:rsidR="00D31F37" w:rsidRPr="00A418CC" w14:paraId="6C5CDBB9"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241CE700"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Shkurt</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03D6B3AF"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96.14</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5EB7FB64"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99.8</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53341BB8"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95.95</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11184D5E"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103.9</w:t>
            </w:r>
          </w:p>
        </w:tc>
      </w:tr>
      <w:tr w:rsidR="00D31F37" w:rsidRPr="00A418CC" w14:paraId="52EC54FB"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41663A79"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Mars</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09DE0DF3"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95.41</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26C9DC86"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99.23</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291DD1D4"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95.92</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780780FD"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103.99</w:t>
            </w:r>
          </w:p>
        </w:tc>
      </w:tr>
      <w:tr w:rsidR="00D31F37" w:rsidRPr="00A418CC" w14:paraId="4BBC8C6D"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4F8510C0"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Prill</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3EE08159"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88.97</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45CF06E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99.29</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3247AD85"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95.37</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02D8A19C"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102.87</w:t>
            </w:r>
          </w:p>
        </w:tc>
      </w:tr>
      <w:tr w:rsidR="00D31F37" w:rsidRPr="00A418CC" w14:paraId="20B11182"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1B6418A1"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Maj</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A119999"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86.78</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403E7CDE"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98.71</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384914E9"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93.77</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6B3F453"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100.64</w:t>
            </w:r>
          </w:p>
        </w:tc>
      </w:tr>
      <w:tr w:rsidR="00D31F37" w:rsidRPr="00A418CC" w14:paraId="0FDA6F44"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43F97DA5"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Qershor</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5555FF7A"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86.86</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5F36D1AC"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98.39</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551691F8"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93.01</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5DEAB2CE"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100.86</w:t>
            </w:r>
          </w:p>
        </w:tc>
      </w:tr>
      <w:tr w:rsidR="00D31F37" w:rsidRPr="00A418CC" w14:paraId="0DD25518"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49EB42CB"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Korrik</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16E3D56"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83.67</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5D33F30B"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98.08</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2CFFCEEE"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93.7</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CB24372"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100.31</w:t>
            </w:r>
          </w:p>
        </w:tc>
      </w:tr>
      <w:tr w:rsidR="00D31F37" w:rsidRPr="00A418CC" w14:paraId="24A89616"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591723C1" w14:textId="677DBD53"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Gusht</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67C3792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85.41</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510AD4E8"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97.47</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2796B408"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92.58</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5B855206"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100.22</w:t>
            </w:r>
          </w:p>
        </w:tc>
      </w:tr>
      <w:tr w:rsidR="00D31F37" w:rsidRPr="00A418CC" w14:paraId="3DF175E6"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hideMark/>
          </w:tcPr>
          <w:p w14:paraId="72927EAA" w14:textId="5DD50D3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Shtator</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7912343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83.85</w:t>
            </w:r>
          </w:p>
        </w:tc>
        <w:tc>
          <w:tcPr>
            <w:tcW w:w="1013" w:type="pct"/>
            <w:tcBorders>
              <w:top w:val="single" w:sz="4" w:space="0" w:color="F6C5AC"/>
              <w:left w:val="single" w:sz="4" w:space="0" w:color="F6C5AC"/>
              <w:bottom w:val="single" w:sz="4" w:space="0" w:color="F6C5AC"/>
              <w:right w:val="single" w:sz="4" w:space="0" w:color="F6C5AC"/>
            </w:tcBorders>
            <w:vAlign w:val="center"/>
            <w:hideMark/>
          </w:tcPr>
          <w:p w14:paraId="4A69467E"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97.88</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43C2320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89.62</w:t>
            </w:r>
          </w:p>
        </w:tc>
        <w:tc>
          <w:tcPr>
            <w:tcW w:w="1012" w:type="pct"/>
            <w:tcBorders>
              <w:top w:val="single" w:sz="4" w:space="0" w:color="F6C5AC"/>
              <w:left w:val="single" w:sz="4" w:space="0" w:color="F6C5AC"/>
              <w:bottom w:val="single" w:sz="4" w:space="0" w:color="F6C5AC"/>
              <w:right w:val="single" w:sz="4" w:space="0" w:color="F6C5AC"/>
            </w:tcBorders>
            <w:vAlign w:val="center"/>
            <w:hideMark/>
          </w:tcPr>
          <w:p w14:paraId="0C052F3A"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99.65</w:t>
            </w:r>
          </w:p>
        </w:tc>
      </w:tr>
      <w:tr w:rsidR="00D31F37" w:rsidRPr="00A418CC" w14:paraId="04C94D3A"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tcPr>
          <w:p w14:paraId="7344CA60"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Tetor</w:t>
            </w:r>
          </w:p>
        </w:tc>
        <w:tc>
          <w:tcPr>
            <w:tcW w:w="1012" w:type="pct"/>
            <w:tcBorders>
              <w:top w:val="single" w:sz="4" w:space="0" w:color="F6C5AC"/>
              <w:left w:val="single" w:sz="4" w:space="0" w:color="F6C5AC"/>
              <w:bottom w:val="single" w:sz="4" w:space="0" w:color="F6C5AC"/>
              <w:right w:val="single" w:sz="4" w:space="0" w:color="F6C5AC"/>
            </w:tcBorders>
            <w:vAlign w:val="center"/>
          </w:tcPr>
          <w:p w14:paraId="3114AC34"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82.41</w:t>
            </w:r>
          </w:p>
        </w:tc>
        <w:tc>
          <w:tcPr>
            <w:tcW w:w="1013" w:type="pct"/>
            <w:tcBorders>
              <w:top w:val="single" w:sz="4" w:space="0" w:color="F6C5AC"/>
              <w:left w:val="single" w:sz="4" w:space="0" w:color="F6C5AC"/>
              <w:bottom w:val="single" w:sz="4" w:space="0" w:color="F6C5AC"/>
              <w:right w:val="single" w:sz="4" w:space="0" w:color="F6C5AC"/>
            </w:tcBorders>
            <w:vAlign w:val="center"/>
          </w:tcPr>
          <w:p w14:paraId="011F0CF4"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96.82</w:t>
            </w:r>
          </w:p>
        </w:tc>
        <w:tc>
          <w:tcPr>
            <w:tcW w:w="1012" w:type="pct"/>
            <w:tcBorders>
              <w:top w:val="single" w:sz="4" w:space="0" w:color="F6C5AC"/>
              <w:left w:val="single" w:sz="4" w:space="0" w:color="F6C5AC"/>
              <w:bottom w:val="single" w:sz="4" w:space="0" w:color="F6C5AC"/>
              <w:right w:val="single" w:sz="4" w:space="0" w:color="F6C5AC"/>
            </w:tcBorders>
            <w:vAlign w:val="center"/>
          </w:tcPr>
          <w:p w14:paraId="1F4099C0"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88.25</w:t>
            </w:r>
          </w:p>
        </w:tc>
        <w:tc>
          <w:tcPr>
            <w:tcW w:w="1012" w:type="pct"/>
            <w:tcBorders>
              <w:top w:val="single" w:sz="4" w:space="0" w:color="F6C5AC"/>
              <w:left w:val="single" w:sz="4" w:space="0" w:color="F6C5AC"/>
              <w:bottom w:val="single" w:sz="4" w:space="0" w:color="F6C5AC"/>
              <w:right w:val="single" w:sz="4" w:space="0" w:color="F6C5AC"/>
            </w:tcBorders>
            <w:vAlign w:val="center"/>
          </w:tcPr>
          <w:p w14:paraId="0C571B9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98.77</w:t>
            </w:r>
          </w:p>
        </w:tc>
      </w:tr>
      <w:tr w:rsidR="00D31F37" w:rsidRPr="00A418CC" w14:paraId="5DA98A3B"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tcPr>
          <w:p w14:paraId="39A4671A" w14:textId="5168DEAE"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Nëntor</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tcPr>
          <w:p w14:paraId="7314150A"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83.89</w:t>
            </w:r>
          </w:p>
        </w:tc>
        <w:tc>
          <w:tcPr>
            <w:tcW w:w="1013" w:type="pct"/>
            <w:tcBorders>
              <w:top w:val="single" w:sz="4" w:space="0" w:color="F6C5AC"/>
              <w:left w:val="single" w:sz="4" w:space="0" w:color="F6C5AC"/>
              <w:bottom w:val="single" w:sz="4" w:space="0" w:color="F6C5AC"/>
              <w:right w:val="single" w:sz="4" w:space="0" w:color="F6C5AC"/>
            </w:tcBorders>
            <w:vAlign w:val="center"/>
          </w:tcPr>
          <w:p w14:paraId="647818D1"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96.85</w:t>
            </w:r>
          </w:p>
        </w:tc>
        <w:tc>
          <w:tcPr>
            <w:tcW w:w="1012" w:type="pct"/>
            <w:tcBorders>
              <w:top w:val="single" w:sz="4" w:space="0" w:color="F6C5AC"/>
              <w:left w:val="single" w:sz="4" w:space="0" w:color="F6C5AC"/>
              <w:bottom w:val="single" w:sz="4" w:space="0" w:color="F6C5AC"/>
              <w:right w:val="single" w:sz="4" w:space="0" w:color="F6C5AC"/>
            </w:tcBorders>
            <w:vAlign w:val="center"/>
          </w:tcPr>
          <w:p w14:paraId="6E5CF140"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90.45</w:t>
            </w:r>
          </w:p>
        </w:tc>
        <w:tc>
          <w:tcPr>
            <w:tcW w:w="1012" w:type="pct"/>
            <w:tcBorders>
              <w:top w:val="single" w:sz="4" w:space="0" w:color="F6C5AC"/>
              <w:left w:val="single" w:sz="4" w:space="0" w:color="F6C5AC"/>
              <w:bottom w:val="single" w:sz="4" w:space="0" w:color="F6C5AC"/>
              <w:right w:val="single" w:sz="4" w:space="0" w:color="F6C5AC"/>
            </w:tcBorders>
            <w:vAlign w:val="center"/>
          </w:tcPr>
          <w:p w14:paraId="7EA01098"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98.29</w:t>
            </w:r>
          </w:p>
        </w:tc>
      </w:tr>
      <w:tr w:rsidR="00D31F37" w:rsidRPr="00A418CC" w14:paraId="01A8B985" w14:textId="77777777" w:rsidTr="00665D96">
        <w:trPr>
          <w:trHeight w:val="248"/>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vAlign w:val="center"/>
          </w:tcPr>
          <w:p w14:paraId="4C28F2BE"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Dhjetor</w:t>
            </w:r>
            <w:proofErr w:type="spellEnd"/>
          </w:p>
        </w:tc>
        <w:tc>
          <w:tcPr>
            <w:tcW w:w="1012" w:type="pct"/>
            <w:tcBorders>
              <w:top w:val="single" w:sz="4" w:space="0" w:color="F6C5AC"/>
              <w:left w:val="single" w:sz="4" w:space="0" w:color="F6C5AC"/>
              <w:bottom w:val="single" w:sz="4" w:space="0" w:color="F6C5AC"/>
              <w:right w:val="single" w:sz="4" w:space="0" w:color="F6C5AC"/>
            </w:tcBorders>
            <w:vAlign w:val="center"/>
          </w:tcPr>
          <w:p w14:paraId="59F53FC9"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83.48</w:t>
            </w:r>
          </w:p>
        </w:tc>
        <w:tc>
          <w:tcPr>
            <w:tcW w:w="1013" w:type="pct"/>
            <w:tcBorders>
              <w:top w:val="single" w:sz="4" w:space="0" w:color="F6C5AC"/>
              <w:left w:val="single" w:sz="4" w:space="0" w:color="F6C5AC"/>
              <w:bottom w:val="single" w:sz="4" w:space="0" w:color="F6C5AC"/>
              <w:right w:val="single" w:sz="4" w:space="0" w:color="F6C5AC"/>
            </w:tcBorders>
            <w:vAlign w:val="center"/>
          </w:tcPr>
          <w:p w14:paraId="309CD6EA"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96.7</w:t>
            </w:r>
          </w:p>
        </w:tc>
        <w:tc>
          <w:tcPr>
            <w:tcW w:w="1012" w:type="pct"/>
            <w:tcBorders>
              <w:top w:val="single" w:sz="4" w:space="0" w:color="F6C5AC"/>
              <w:left w:val="single" w:sz="4" w:space="0" w:color="F6C5AC"/>
              <w:bottom w:val="single" w:sz="4" w:space="0" w:color="F6C5AC"/>
              <w:right w:val="single" w:sz="4" w:space="0" w:color="F6C5AC"/>
            </w:tcBorders>
            <w:vAlign w:val="center"/>
          </w:tcPr>
          <w:p w14:paraId="0BEDA122"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93.45</w:t>
            </w:r>
          </w:p>
        </w:tc>
        <w:tc>
          <w:tcPr>
            <w:tcW w:w="1012" w:type="pct"/>
            <w:tcBorders>
              <w:top w:val="single" w:sz="4" w:space="0" w:color="F6C5AC"/>
              <w:left w:val="single" w:sz="4" w:space="0" w:color="F6C5AC"/>
              <w:bottom w:val="single" w:sz="4" w:space="0" w:color="F6C5AC"/>
              <w:right w:val="single" w:sz="4" w:space="0" w:color="F6C5AC"/>
            </w:tcBorders>
            <w:vAlign w:val="center"/>
          </w:tcPr>
          <w:p w14:paraId="364B4BD3" w14:textId="77777777" w:rsidR="00D31F37" w:rsidRPr="00891ECB"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1ECB">
              <w:rPr>
                <w:rFonts w:asciiTheme="majorHAnsi" w:hAnsiTheme="majorHAnsi" w:cstheme="majorHAnsi"/>
                <w:sz w:val="20"/>
                <w:szCs w:val="20"/>
              </w:rPr>
              <w:t>98.35</w:t>
            </w:r>
          </w:p>
        </w:tc>
      </w:tr>
      <w:tr w:rsidR="00D31F37" w:rsidRPr="00A418CC" w14:paraId="1AA586BF" w14:textId="77777777" w:rsidTr="00665D96">
        <w:trPr>
          <w:trHeight w:val="312"/>
          <w:jc w:val="center"/>
        </w:trPr>
        <w:tc>
          <w:tcPr>
            <w:cnfStyle w:val="001000000000" w:firstRow="0" w:lastRow="0" w:firstColumn="1" w:lastColumn="0" w:oddVBand="0" w:evenVBand="0" w:oddHBand="0" w:evenHBand="0" w:firstRowFirstColumn="0" w:firstRowLastColumn="0" w:lastRowFirstColumn="0" w:lastRowLastColumn="0"/>
            <w:tcW w:w="950"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40E1CAF4"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Mesatarja</w:t>
            </w: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3133CFDB"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87.59</w:t>
            </w:r>
          </w:p>
        </w:tc>
        <w:tc>
          <w:tcPr>
            <w:tcW w:w="1013"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2BB9C200"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98.11</w:t>
            </w: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105451BF"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93</w:t>
            </w:r>
          </w:p>
        </w:tc>
        <w:tc>
          <w:tcPr>
            <w:tcW w:w="1012" w:type="pct"/>
            <w:tcBorders>
              <w:top w:val="single" w:sz="4" w:space="0" w:color="F6C5AC"/>
              <w:left w:val="single" w:sz="4" w:space="0" w:color="F6C5AC"/>
              <w:bottom w:val="single" w:sz="4" w:space="0" w:color="F6C5AC"/>
              <w:right w:val="single" w:sz="4" w:space="0" w:color="F6C5AC"/>
            </w:tcBorders>
            <w:shd w:val="clear" w:color="auto" w:fill="C0D7F1" w:themeFill="text2" w:themeFillTint="33"/>
            <w:noWrap/>
            <w:vAlign w:val="center"/>
            <w:hideMark/>
          </w:tcPr>
          <w:p w14:paraId="0DD0B467"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100.98</w:t>
            </w:r>
          </w:p>
        </w:tc>
      </w:tr>
    </w:tbl>
    <w:p w14:paraId="5B2F111F" w14:textId="77777777" w:rsidR="00D31F37" w:rsidRPr="00FF7045" w:rsidRDefault="00D31F37" w:rsidP="007B1A0A">
      <w:pPr>
        <w:spacing w:before="0" w:line="240" w:lineRule="auto"/>
        <w:rPr>
          <w:rFonts w:asciiTheme="majorHAnsi" w:hAnsiTheme="majorHAnsi" w:cstheme="majorHAnsi"/>
          <w:i/>
          <w:iCs/>
          <w:sz w:val="20"/>
          <w:szCs w:val="20"/>
          <w:lang w:val="it-CH"/>
        </w:rPr>
      </w:pPr>
      <w:r w:rsidRPr="00FF7045">
        <w:rPr>
          <w:rFonts w:asciiTheme="majorHAnsi" w:hAnsiTheme="majorHAnsi" w:cstheme="majorHAnsi"/>
          <w:i/>
          <w:iCs/>
          <w:sz w:val="20"/>
          <w:szCs w:val="20"/>
          <w:lang w:val="it-CH"/>
        </w:rPr>
        <w:t>Burimi: Drejtoria e Përgjithshme e Dognave</w:t>
      </w:r>
    </w:p>
    <w:p w14:paraId="349BE3EB" w14:textId="31395B60" w:rsidR="00D31F37" w:rsidRPr="00FF7045" w:rsidRDefault="00D31F37" w:rsidP="0019308C">
      <w:pPr>
        <w:spacing w:line="240" w:lineRule="auto"/>
        <w:rPr>
          <w:rFonts w:asciiTheme="majorHAnsi" w:hAnsiTheme="majorHAnsi" w:cstheme="majorHAnsi"/>
          <w:lang w:val="sq-AL"/>
        </w:rPr>
      </w:pPr>
      <w:r w:rsidRPr="0019308C">
        <w:rPr>
          <w:rFonts w:asciiTheme="majorHAnsi" w:hAnsiTheme="majorHAnsi" w:cstheme="majorHAnsi"/>
          <w:b/>
          <w:bCs/>
          <w:i/>
          <w:iCs/>
          <w:lang w:val="sq-AL"/>
        </w:rPr>
        <w:lastRenderedPageBreak/>
        <w:t xml:space="preserve">Të ardhurat nga </w:t>
      </w:r>
      <w:r w:rsidR="00665D96" w:rsidRPr="0019308C">
        <w:rPr>
          <w:rFonts w:asciiTheme="majorHAnsi" w:hAnsiTheme="majorHAnsi" w:cstheme="majorHAnsi"/>
          <w:b/>
          <w:bCs/>
          <w:i/>
          <w:iCs/>
          <w:lang w:val="sq-AL"/>
        </w:rPr>
        <w:t xml:space="preserve">TVSH </w:t>
      </w:r>
      <w:r w:rsidRPr="0019308C">
        <w:rPr>
          <w:rFonts w:asciiTheme="majorHAnsi" w:hAnsiTheme="majorHAnsi" w:cstheme="majorHAnsi"/>
          <w:b/>
          <w:bCs/>
          <w:i/>
          <w:iCs/>
          <w:lang w:val="sq-AL"/>
        </w:rPr>
        <w:t>në import</w:t>
      </w:r>
      <w:r w:rsidRPr="00FF7045">
        <w:rPr>
          <w:rFonts w:asciiTheme="majorHAnsi" w:hAnsiTheme="majorHAnsi" w:cstheme="majorHAnsi"/>
          <w:lang w:val="sq-AL"/>
        </w:rPr>
        <w:t xml:space="preserve"> për vitin 2025 rezultojnë 158.7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rreth +4.4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ose +2.8% më shumë se e njëjta periudhë e një viti më parë, ndërkohë krahasuar me planin e periudhës të ardhurat nga ky zë rezultojnë rreth -2.1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ose -1.3 % më të ulëta. </w:t>
      </w:r>
    </w:p>
    <w:p w14:paraId="579ACA5B" w14:textId="77777777" w:rsidR="00FF7045" w:rsidRPr="00FF7045" w:rsidRDefault="00FF7045" w:rsidP="0019308C">
      <w:pPr>
        <w:spacing w:line="240" w:lineRule="auto"/>
        <w:contextualSpacing/>
        <w:rPr>
          <w:rFonts w:asciiTheme="majorHAnsi" w:hAnsiTheme="majorHAnsi" w:cstheme="majorHAnsi"/>
          <w:sz w:val="8"/>
          <w:szCs w:val="8"/>
          <w:lang w:val="sq-AL"/>
        </w:rPr>
      </w:pPr>
    </w:p>
    <w:p w14:paraId="5E66C44C" w14:textId="298111F6" w:rsidR="00D31F37" w:rsidRPr="00FF7045" w:rsidRDefault="00D31F37" w:rsidP="0019308C">
      <w:pPr>
        <w:spacing w:line="240" w:lineRule="auto"/>
        <w:contextualSpacing/>
        <w:rPr>
          <w:rFonts w:asciiTheme="majorHAnsi" w:hAnsiTheme="majorHAnsi" w:cstheme="majorHAnsi"/>
          <w:lang w:val="sq-AL"/>
        </w:rPr>
      </w:pPr>
      <w:r w:rsidRPr="00FF7045">
        <w:rPr>
          <w:rFonts w:asciiTheme="majorHAnsi" w:hAnsiTheme="majorHAnsi" w:cstheme="majorHAnsi"/>
          <w:lang w:val="sq-AL"/>
        </w:rPr>
        <w:t xml:space="preserve">Nga 60 grup produktet doganore me </w:t>
      </w:r>
      <w:r w:rsidRPr="00665D96">
        <w:rPr>
          <w:rFonts w:asciiTheme="majorHAnsi" w:hAnsiTheme="majorHAnsi" w:cstheme="majorHAnsi"/>
          <w:i/>
          <w:iCs/>
          <w:lang w:val="sq-AL"/>
        </w:rPr>
        <w:t>efekt pozitiv</w:t>
      </w:r>
      <w:r w:rsidRPr="00FF7045">
        <w:rPr>
          <w:rFonts w:asciiTheme="majorHAnsi" w:hAnsiTheme="majorHAnsi" w:cstheme="majorHAnsi"/>
          <w:lang w:val="sq-AL"/>
        </w:rPr>
        <w:t xml:space="preserve"> në të ardhurat e TVSH-së krahasuar me të njëjtën periudhë të vitit 2024 janë: </w:t>
      </w:r>
    </w:p>
    <w:p w14:paraId="27858F59" w14:textId="00AEAE9E"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Energjia elektrike, me efekt në të ardhura +2.1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ose +80%. Kjo përqindje tepër e lartë vjen si pasojë e faktit se deri në fund të vitit 2024, të ardhurat nga tvsh-ja në import nga energjia elektrike kanë qënë me minus, për shkak të rënies së çmimeve ndërkombëtare. Ndërkohë për Janar-Dhjetor 2025, janë rritur jo vetëm çmimet por edhe sasia e energjisë elektrike ka pasur një rritje me </w:t>
      </w:r>
      <w:r w:rsidR="00FF7045">
        <w:rPr>
          <w:rFonts w:cs="Calibri"/>
          <w:i/>
          <w:iCs/>
          <w:noProof/>
          <w:lang w:val="sq-AL"/>
        </w:rPr>
        <w:t xml:space="preserve">rreth </w:t>
      </w:r>
      <w:r w:rsidRPr="00FF7045">
        <w:rPr>
          <w:rFonts w:cs="Calibri"/>
          <w:i/>
          <w:iCs/>
          <w:noProof/>
          <w:lang w:val="sq-AL"/>
        </w:rPr>
        <w:t xml:space="preserve">+52 %. </w:t>
      </w:r>
    </w:p>
    <w:p w14:paraId="49D906D9" w14:textId="591F5519"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Cigaret, me efekt në të ardhura +646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ose+ 9%, ndikuar nga rritja e sasisë së importuar me rreth 222 ton ose +7%. </w:t>
      </w:r>
    </w:p>
    <w:p w14:paraId="25E8918B" w14:textId="6C926ADF"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Karburantet e importit me efekt në të ardhura nga TVSH me rreth +680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ose +3%, ndikuar nga rritja e sasisë së importuar me rreth +81,077 ton ose +12%.</w:t>
      </w:r>
    </w:p>
    <w:p w14:paraId="197ADED1" w14:textId="5DDB3A5B" w:rsidR="00D31F37" w:rsidRPr="00FF7045" w:rsidRDefault="00D31F37" w:rsidP="0019308C">
      <w:pPr>
        <w:shd w:val="clear" w:color="auto" w:fill="FFFFFF"/>
        <w:spacing w:line="240" w:lineRule="auto"/>
        <w:contextualSpacing/>
        <w:textAlignment w:val="baseline"/>
        <w:rPr>
          <w:rFonts w:asciiTheme="majorHAnsi" w:hAnsiTheme="majorHAnsi" w:cstheme="majorHAnsi"/>
          <w:color w:val="201F1E"/>
          <w:lang w:val="sq-AL"/>
        </w:rPr>
      </w:pPr>
      <w:r w:rsidRPr="00FF7045">
        <w:rPr>
          <w:rFonts w:asciiTheme="majorHAnsi" w:hAnsiTheme="majorHAnsi" w:cstheme="majorHAnsi"/>
          <w:color w:val="201F1E"/>
          <w:lang w:val="sq-AL"/>
        </w:rPr>
        <w:t xml:space="preserve">Ndër produktet me </w:t>
      </w:r>
      <w:r w:rsidRPr="00EA2E68">
        <w:rPr>
          <w:rFonts w:asciiTheme="majorHAnsi" w:hAnsiTheme="majorHAnsi" w:cstheme="majorHAnsi"/>
          <w:i/>
          <w:iCs/>
          <w:lang w:val="sq-AL"/>
        </w:rPr>
        <w:t>efekt negativ</w:t>
      </w:r>
      <w:r w:rsidRPr="00EA2E68">
        <w:rPr>
          <w:rFonts w:asciiTheme="majorHAnsi" w:hAnsiTheme="majorHAnsi" w:cstheme="majorHAnsi"/>
          <w:lang w:val="sq-AL"/>
        </w:rPr>
        <w:t xml:space="preserve"> në </w:t>
      </w:r>
      <w:r w:rsidR="00665D96" w:rsidRPr="00EA2E68">
        <w:rPr>
          <w:rFonts w:asciiTheme="majorHAnsi" w:hAnsiTheme="majorHAnsi" w:cstheme="majorHAnsi"/>
          <w:lang w:val="sq-AL"/>
        </w:rPr>
        <w:t>TVSH</w:t>
      </w:r>
      <w:r w:rsidRPr="00EA2E68">
        <w:rPr>
          <w:rFonts w:asciiTheme="majorHAnsi" w:hAnsiTheme="majorHAnsi" w:cstheme="majorHAnsi"/>
          <w:lang w:val="sq-AL"/>
        </w:rPr>
        <w:t xml:space="preserve"> </w:t>
      </w:r>
      <w:r w:rsidRPr="00FF7045">
        <w:rPr>
          <w:rFonts w:asciiTheme="majorHAnsi" w:hAnsiTheme="majorHAnsi" w:cstheme="majorHAnsi"/>
          <w:color w:val="201F1E"/>
          <w:lang w:val="sq-AL"/>
        </w:rPr>
        <w:t>kanë qenë:</w:t>
      </w:r>
    </w:p>
    <w:p w14:paraId="19C2B824" w14:textId="20EF5AE4"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Automjetet e përdorura me efekt -792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ose </w:t>
      </w:r>
      <w:r w:rsidR="00271BDD">
        <w:rPr>
          <w:rFonts w:cs="Calibri"/>
          <w:i/>
          <w:iCs/>
          <w:noProof/>
          <w:lang w:val="sq-AL"/>
        </w:rPr>
        <w:t>-</w:t>
      </w:r>
      <w:r w:rsidRPr="00FF7045">
        <w:rPr>
          <w:rFonts w:cs="Calibri"/>
          <w:i/>
          <w:iCs/>
          <w:noProof/>
          <w:lang w:val="sq-AL"/>
        </w:rPr>
        <w:t xml:space="preserve">8%, si rezultat i rënies së sasisë së importuar me rreth -43%, ose </w:t>
      </w:r>
      <w:r w:rsidR="00271BDD">
        <w:rPr>
          <w:rFonts w:cs="Calibri"/>
          <w:i/>
          <w:iCs/>
          <w:noProof/>
          <w:lang w:val="sq-AL"/>
        </w:rPr>
        <w:t>-</w:t>
      </w:r>
      <w:r w:rsidRPr="00FF7045">
        <w:rPr>
          <w:rFonts w:cs="Calibri"/>
          <w:i/>
          <w:iCs/>
          <w:noProof/>
          <w:lang w:val="sq-AL"/>
        </w:rPr>
        <w:t xml:space="preserve">36,573 copë më pak. </w:t>
      </w:r>
    </w:p>
    <w:p w14:paraId="5E1F0A1A" w14:textId="14DB7D10"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Automjetet e reja me efekt negativ -244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ose -11% më pak se e njëjta periudhë e vitit 2024, ndikuar gjithashtu nga rënia e sasisë së importuar me rreth -8 %.</w:t>
      </w:r>
    </w:p>
    <w:p w14:paraId="35004A05" w14:textId="77777777" w:rsidR="00665D96" w:rsidRPr="00665D96" w:rsidRDefault="00665D96" w:rsidP="0019308C">
      <w:pPr>
        <w:spacing w:line="240" w:lineRule="auto"/>
        <w:rPr>
          <w:rFonts w:asciiTheme="majorHAnsi" w:hAnsiTheme="majorHAnsi" w:cstheme="majorHAnsi"/>
          <w:i/>
          <w:iCs/>
          <w:sz w:val="8"/>
          <w:szCs w:val="10"/>
          <w:lang w:val="sq-AL"/>
        </w:rPr>
      </w:pPr>
    </w:p>
    <w:p w14:paraId="2A67B385" w14:textId="3E5A9B30" w:rsidR="00D31F37" w:rsidRPr="00FF7045" w:rsidRDefault="00D31F37" w:rsidP="0019308C">
      <w:pPr>
        <w:spacing w:line="240" w:lineRule="auto"/>
        <w:rPr>
          <w:rFonts w:asciiTheme="majorHAnsi" w:hAnsiTheme="majorHAnsi" w:cstheme="majorHAnsi"/>
          <w:lang w:val="sq-AL"/>
        </w:rPr>
      </w:pPr>
      <w:r w:rsidRPr="0019308C">
        <w:rPr>
          <w:rFonts w:asciiTheme="majorHAnsi" w:hAnsiTheme="majorHAnsi" w:cstheme="majorHAnsi"/>
          <w:b/>
          <w:bCs/>
          <w:i/>
          <w:iCs/>
          <w:lang w:val="sq-AL"/>
        </w:rPr>
        <w:t>Të ardhurat nga akciza</w:t>
      </w:r>
      <w:r w:rsidRPr="0019308C">
        <w:rPr>
          <w:rFonts w:asciiTheme="majorHAnsi" w:hAnsiTheme="majorHAnsi" w:cstheme="majorHAnsi"/>
          <w:b/>
          <w:bCs/>
          <w:i/>
          <w:lang w:val="sq-AL"/>
        </w:rPr>
        <w:t xml:space="preserve"> </w:t>
      </w:r>
      <w:r w:rsidRPr="0019308C">
        <w:rPr>
          <w:rFonts w:asciiTheme="majorHAnsi" w:hAnsiTheme="majorHAnsi" w:cstheme="majorHAnsi"/>
          <w:iCs/>
          <w:lang w:val="sq-AL"/>
        </w:rPr>
        <w:t>për vitin 2025 janë</w:t>
      </w:r>
      <w:r w:rsidRPr="00FF7045">
        <w:rPr>
          <w:rFonts w:asciiTheme="majorHAnsi" w:hAnsiTheme="majorHAnsi" w:cstheme="majorHAnsi"/>
          <w:lang w:val="sq-AL"/>
        </w:rPr>
        <w:t xml:space="preserve"> arkëtuar në vlerën 69.6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rreth +6.2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ose +9.7% më shumë se e njëjta periudhë e vitit 2024, por me rreth -1.4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më pak të arkëtuara krahasuar me planin vjetor të rishikuar të akcizës për vitin 2025.</w:t>
      </w:r>
    </w:p>
    <w:p w14:paraId="675EB574" w14:textId="6AA5A1F9" w:rsidR="00D31F37" w:rsidRPr="00FF7045" w:rsidRDefault="00D31F37" w:rsidP="0019308C">
      <w:pPr>
        <w:spacing w:line="240" w:lineRule="auto"/>
        <w:rPr>
          <w:rFonts w:asciiTheme="majorHAnsi" w:hAnsiTheme="majorHAnsi" w:cstheme="majorHAnsi"/>
          <w:lang w:val="sq-AL"/>
        </w:rPr>
      </w:pPr>
      <w:r w:rsidRPr="005D645F">
        <w:rPr>
          <w:rFonts w:asciiTheme="majorHAnsi" w:hAnsiTheme="majorHAnsi" w:cstheme="majorHAnsi"/>
          <w:i/>
          <w:iCs/>
          <w:lang w:val="sq-AL"/>
        </w:rPr>
        <w:t xml:space="preserve">Ndikim </w:t>
      </w:r>
      <w:r w:rsidR="005D645F" w:rsidRPr="005D645F">
        <w:rPr>
          <w:rFonts w:asciiTheme="majorHAnsi" w:hAnsiTheme="majorHAnsi" w:cstheme="majorHAnsi"/>
          <w:i/>
          <w:iCs/>
          <w:lang w:val="sq-AL"/>
        </w:rPr>
        <w:t>pozitiv</w:t>
      </w:r>
      <w:r w:rsidR="005D645F" w:rsidRPr="00665D96">
        <w:rPr>
          <w:rFonts w:asciiTheme="majorHAnsi" w:hAnsiTheme="majorHAnsi" w:cstheme="majorHAnsi"/>
          <w:i/>
          <w:iCs/>
          <w:lang w:val="sq-AL"/>
        </w:rPr>
        <w:t xml:space="preserve"> </w:t>
      </w:r>
      <w:r w:rsidRPr="00665D96">
        <w:rPr>
          <w:rFonts w:asciiTheme="majorHAnsi" w:hAnsiTheme="majorHAnsi" w:cstheme="majorHAnsi"/>
          <w:lang w:val="sq-AL"/>
        </w:rPr>
        <w:t xml:space="preserve">të rëndësishëm </w:t>
      </w:r>
      <w:r w:rsidRPr="00FF7045">
        <w:rPr>
          <w:rFonts w:asciiTheme="majorHAnsi" w:hAnsiTheme="majorHAnsi" w:cstheme="majorHAnsi"/>
          <w:lang w:val="sq-AL"/>
        </w:rPr>
        <w:t xml:space="preserve">në të ardhurat nga akciza kanë pasur produktet: </w:t>
      </w:r>
    </w:p>
    <w:p w14:paraId="37640F90" w14:textId="1230B7E1"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Karburant</w:t>
      </w:r>
      <w:r w:rsidR="005D645F">
        <w:rPr>
          <w:rFonts w:cs="Calibri"/>
          <w:i/>
          <w:iCs/>
          <w:noProof/>
          <w:lang w:val="sq-AL"/>
        </w:rPr>
        <w:t>et</w:t>
      </w:r>
      <w:r w:rsidRPr="00FF7045">
        <w:rPr>
          <w:rFonts w:cs="Calibri"/>
          <w:i/>
          <w:iCs/>
          <w:noProof/>
          <w:lang w:val="sq-AL"/>
        </w:rPr>
        <w:t xml:space="preserve"> në import, me një rritje të </w:t>
      </w:r>
      <w:bookmarkStart w:id="84" w:name="_Hlk225418689"/>
      <w:r w:rsidRPr="00FF7045">
        <w:rPr>
          <w:rFonts w:cs="Calibri"/>
          <w:i/>
          <w:iCs/>
          <w:noProof/>
          <w:lang w:val="sq-AL"/>
        </w:rPr>
        <w:t xml:space="preserve">sasisë së hedhur për konsum me rreth +78 mijë ton (+11%) </w:t>
      </w:r>
      <w:bookmarkEnd w:id="84"/>
      <w:r w:rsidRPr="00FF7045">
        <w:rPr>
          <w:rFonts w:cs="Calibri"/>
          <w:i/>
          <w:iCs/>
          <w:noProof/>
          <w:lang w:val="sq-AL"/>
        </w:rPr>
        <w:t xml:space="preserve">më shumë se periudha Janar- Dhjetor e vitit 2024, me efekt në të ardhura me rreth +3.5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 ose +12%.</w:t>
      </w:r>
    </w:p>
    <w:p w14:paraId="14B5DAC9" w14:textId="04655B53" w:rsidR="00D31F37"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Cigaret e hedhura për konsum gjithashtu kanë pësuar rritje me +7% ose +210 ton më shumë.Të ardhurat nga akciza për këtë kategori janë me rritje rreth +2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ose +9% si rezultat edhe i zbatimit të kalendarit të rritjes së akcizës. </w:t>
      </w:r>
    </w:p>
    <w:p w14:paraId="221BBDCD" w14:textId="77777777" w:rsidR="00431095" w:rsidRPr="00FF7045" w:rsidRDefault="00431095" w:rsidP="00431095">
      <w:pPr>
        <w:pStyle w:val="ListParagraph"/>
        <w:autoSpaceDE w:val="0"/>
        <w:autoSpaceDN w:val="0"/>
        <w:adjustRightInd w:val="0"/>
        <w:spacing w:before="0" w:line="240" w:lineRule="auto"/>
        <w:rPr>
          <w:rFonts w:cs="Calibri"/>
          <w:i/>
          <w:iCs/>
          <w:noProof/>
          <w:lang w:val="sq-AL"/>
        </w:rPr>
      </w:pPr>
    </w:p>
    <w:p w14:paraId="63604E2C" w14:textId="7A75D162" w:rsidR="00D31F37" w:rsidRPr="00516127" w:rsidRDefault="00D31F37" w:rsidP="00D31F37">
      <w:pPr>
        <w:rPr>
          <w:rFonts w:asciiTheme="majorHAnsi" w:hAnsiTheme="majorHAnsi" w:cstheme="majorHAnsi"/>
          <w:lang w:val="sq-AL" w:eastAsia="ja-JP"/>
        </w:rPr>
      </w:pPr>
      <w:r w:rsidRPr="005D645F">
        <w:rPr>
          <w:rFonts w:asciiTheme="majorHAnsi" w:hAnsiTheme="majorHAnsi" w:cstheme="majorHAnsi"/>
          <w:color w:val="EE0000"/>
          <w:lang w:val="sq-AL"/>
        </w:rPr>
        <w:t xml:space="preserve"> </w:t>
      </w:r>
      <w:r w:rsidRPr="00FF7045">
        <w:rPr>
          <w:rFonts w:asciiTheme="majorHAnsi" w:hAnsiTheme="majorHAnsi" w:cstheme="majorHAnsi"/>
          <w:lang w:val="sq-AL"/>
        </w:rPr>
        <w:t>Në tabelën më poshtë paraqit</w:t>
      </w:r>
      <w:r w:rsidR="00FF7045">
        <w:rPr>
          <w:rFonts w:asciiTheme="majorHAnsi" w:hAnsiTheme="majorHAnsi" w:cstheme="majorHAnsi"/>
          <w:lang w:val="sq-AL"/>
        </w:rPr>
        <w:t>en</w:t>
      </w:r>
      <w:r w:rsidRPr="00FF7045">
        <w:rPr>
          <w:rFonts w:asciiTheme="majorHAnsi" w:hAnsiTheme="majorHAnsi" w:cstheme="majorHAnsi"/>
          <w:lang w:val="sq-AL"/>
        </w:rPr>
        <w:t xml:space="preserve"> sasitë </w:t>
      </w:r>
      <w:r w:rsidR="00FF7045">
        <w:rPr>
          <w:rFonts w:asciiTheme="majorHAnsi" w:hAnsiTheme="majorHAnsi" w:cstheme="majorHAnsi"/>
          <w:lang w:val="sq-AL"/>
        </w:rPr>
        <w:t>mujore të</w:t>
      </w:r>
      <w:r w:rsidRPr="00FF7045">
        <w:rPr>
          <w:rFonts w:asciiTheme="majorHAnsi" w:hAnsiTheme="majorHAnsi" w:cstheme="majorHAnsi"/>
          <w:lang w:val="sq-AL"/>
        </w:rPr>
        <w:t xml:space="preserve"> hedhura për konsum</w:t>
      </w:r>
      <w:r w:rsidR="00FF7045">
        <w:rPr>
          <w:rFonts w:asciiTheme="majorHAnsi" w:hAnsiTheme="majorHAnsi" w:cstheme="majorHAnsi"/>
          <w:lang w:val="sq-AL"/>
        </w:rPr>
        <w:t>,</w:t>
      </w:r>
      <w:r w:rsidRPr="00FF7045">
        <w:rPr>
          <w:rFonts w:asciiTheme="majorHAnsi" w:hAnsiTheme="majorHAnsi" w:cstheme="majorHAnsi"/>
          <w:lang w:val="sq-AL"/>
        </w:rPr>
        <w:t xml:space="preserve"> p</w:t>
      </w:r>
      <w:r w:rsidRPr="00FF7045">
        <w:rPr>
          <w:rFonts w:asciiTheme="majorHAnsi" w:hAnsiTheme="majorHAnsi" w:cstheme="majorHAnsi"/>
          <w:lang w:val="sq-AL" w:eastAsia="ja-JP"/>
        </w:rPr>
        <w:t>ër dy nga artikujt kryesorë të</w:t>
      </w:r>
      <w:r w:rsidRPr="00516127">
        <w:rPr>
          <w:rFonts w:asciiTheme="majorHAnsi" w:hAnsiTheme="majorHAnsi" w:cstheme="majorHAnsi"/>
          <w:lang w:val="sq-AL" w:eastAsia="ja-JP"/>
        </w:rPr>
        <w:t xml:space="preserve"> akcizës: </w:t>
      </w:r>
    </w:p>
    <w:p w14:paraId="00A3DE91" w14:textId="112B7D1F" w:rsidR="00D31F37" w:rsidRPr="00126520" w:rsidRDefault="00126520" w:rsidP="00126520">
      <w:pPr>
        <w:pStyle w:val="Caption"/>
        <w:keepNext/>
      </w:pPr>
      <w:bookmarkStart w:id="85" w:name="_Toc229129985"/>
      <w:proofErr w:type="spellStart"/>
      <w:r>
        <w:t>Tabela</w:t>
      </w:r>
      <w:proofErr w:type="spellEnd"/>
      <w:r>
        <w:t xml:space="preserve"> </w:t>
      </w:r>
      <w:fldSimple w:instr=" SEQ Tabela \* ARABIC ">
        <w:r w:rsidR="00CB4DE6">
          <w:rPr>
            <w:noProof/>
          </w:rPr>
          <w:t>11</w:t>
        </w:r>
      </w:fldSimple>
      <w:r>
        <w:t xml:space="preserve"> </w:t>
      </w:r>
      <w:proofErr w:type="spellStart"/>
      <w:r w:rsidRPr="003257F7">
        <w:t>Sasitë</w:t>
      </w:r>
      <w:proofErr w:type="spellEnd"/>
      <w:r w:rsidRPr="003257F7">
        <w:t xml:space="preserve"> e </w:t>
      </w:r>
      <w:proofErr w:type="spellStart"/>
      <w:r w:rsidRPr="003257F7">
        <w:t>karburantit</w:t>
      </w:r>
      <w:proofErr w:type="spellEnd"/>
      <w:r w:rsidRPr="003257F7">
        <w:t xml:space="preserve"> </w:t>
      </w:r>
      <w:proofErr w:type="spellStart"/>
      <w:r w:rsidRPr="003257F7">
        <w:t>dhe</w:t>
      </w:r>
      <w:proofErr w:type="spellEnd"/>
      <w:r w:rsidRPr="003257F7">
        <w:t xml:space="preserve"> </w:t>
      </w:r>
      <w:proofErr w:type="spellStart"/>
      <w:r w:rsidRPr="003257F7">
        <w:t>cigareve</w:t>
      </w:r>
      <w:proofErr w:type="spellEnd"/>
      <w:r w:rsidRPr="003257F7">
        <w:t xml:space="preserve">, </w:t>
      </w:r>
      <w:proofErr w:type="spellStart"/>
      <w:r w:rsidRPr="003257F7">
        <w:t>të</w:t>
      </w:r>
      <w:proofErr w:type="spellEnd"/>
      <w:r w:rsidRPr="003257F7">
        <w:t xml:space="preserve"> </w:t>
      </w:r>
      <w:proofErr w:type="spellStart"/>
      <w:r w:rsidRPr="003257F7">
        <w:t>hedhura</w:t>
      </w:r>
      <w:proofErr w:type="spellEnd"/>
      <w:r w:rsidRPr="003257F7">
        <w:t xml:space="preserve"> </w:t>
      </w:r>
      <w:proofErr w:type="spellStart"/>
      <w:r w:rsidRPr="003257F7">
        <w:t>për</w:t>
      </w:r>
      <w:proofErr w:type="spellEnd"/>
      <w:r w:rsidRPr="003257F7">
        <w:t xml:space="preserve"> </w:t>
      </w:r>
      <w:proofErr w:type="spellStart"/>
      <w:r w:rsidRPr="003257F7">
        <w:t>konsum</w:t>
      </w:r>
      <w:proofErr w:type="spellEnd"/>
      <w:r w:rsidRPr="003257F7">
        <w:t>, 2025/2024</w:t>
      </w:r>
      <w:r>
        <w:t xml:space="preserve"> (</w:t>
      </w:r>
      <w:proofErr w:type="spellStart"/>
      <w:r>
        <w:t>në</w:t>
      </w:r>
      <w:proofErr w:type="spellEnd"/>
      <w:r>
        <w:t xml:space="preserve"> </w:t>
      </w:r>
      <w:proofErr w:type="spellStart"/>
      <w:r>
        <w:t>mijë</w:t>
      </w:r>
      <w:proofErr w:type="spellEnd"/>
      <w:r>
        <w:t xml:space="preserve"> </w:t>
      </w:r>
      <w:r w:rsidR="0056260B">
        <w:t>LEK</w:t>
      </w:r>
      <w:r>
        <w:t>)</w:t>
      </w:r>
      <w:bookmarkEnd w:id="85"/>
    </w:p>
    <w:tbl>
      <w:tblPr>
        <w:tblStyle w:val="GridTable1Light-Accent11"/>
        <w:tblW w:w="4950" w:type="pct"/>
        <w:jc w:val="center"/>
        <w:tblLook w:val="04A0" w:firstRow="1" w:lastRow="0" w:firstColumn="1" w:lastColumn="0" w:noHBand="0" w:noVBand="1"/>
      </w:tblPr>
      <w:tblGrid>
        <w:gridCol w:w="1634"/>
        <w:gridCol w:w="1444"/>
        <w:gridCol w:w="1447"/>
        <w:gridCol w:w="1113"/>
        <w:gridCol w:w="846"/>
        <w:gridCol w:w="674"/>
        <w:gridCol w:w="674"/>
        <w:gridCol w:w="1113"/>
        <w:gridCol w:w="846"/>
      </w:tblGrid>
      <w:tr w:rsidR="00D31F37" w:rsidRPr="00516127" w14:paraId="0C5C733F" w14:textId="77777777" w:rsidTr="005D645F">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839" w:type="pct"/>
            <w:vMerge w:val="restart"/>
            <w:shd w:val="clear" w:color="auto" w:fill="C0D7F1" w:themeFill="text2" w:themeFillTint="33"/>
            <w:noWrap/>
            <w:vAlign w:val="center"/>
            <w:hideMark/>
          </w:tcPr>
          <w:p w14:paraId="299E241D"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Muajt</w:t>
            </w:r>
            <w:proofErr w:type="spellEnd"/>
          </w:p>
        </w:tc>
        <w:tc>
          <w:tcPr>
            <w:tcW w:w="1485" w:type="pct"/>
            <w:gridSpan w:val="2"/>
            <w:shd w:val="clear" w:color="auto" w:fill="C0D7F1" w:themeFill="text2" w:themeFillTint="33"/>
            <w:noWrap/>
            <w:vAlign w:val="center"/>
            <w:hideMark/>
          </w:tcPr>
          <w:p w14:paraId="32DC324C" w14:textId="77777777"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proofErr w:type="spellStart"/>
            <w:r w:rsidRPr="00FF7045">
              <w:rPr>
                <w:rFonts w:asciiTheme="majorHAnsi" w:hAnsiTheme="majorHAnsi" w:cstheme="majorHAnsi"/>
                <w:sz w:val="20"/>
                <w:szCs w:val="20"/>
              </w:rPr>
              <w:t>Karburante</w:t>
            </w:r>
            <w:proofErr w:type="spellEnd"/>
            <w:r w:rsidRPr="00FF7045">
              <w:rPr>
                <w:rFonts w:asciiTheme="majorHAnsi" w:hAnsiTheme="majorHAnsi" w:cstheme="majorHAnsi"/>
                <w:sz w:val="20"/>
                <w:szCs w:val="20"/>
              </w:rPr>
              <w:t xml:space="preserve"> </w:t>
            </w:r>
            <w:proofErr w:type="spellStart"/>
            <w:r w:rsidRPr="00FF7045">
              <w:rPr>
                <w:rFonts w:asciiTheme="majorHAnsi" w:hAnsiTheme="majorHAnsi" w:cstheme="majorHAnsi"/>
                <w:sz w:val="20"/>
                <w:szCs w:val="20"/>
              </w:rPr>
              <w:t>në</w:t>
            </w:r>
            <w:proofErr w:type="spellEnd"/>
            <w:r w:rsidRPr="00FF7045">
              <w:rPr>
                <w:rFonts w:asciiTheme="majorHAnsi" w:hAnsiTheme="majorHAnsi" w:cstheme="majorHAnsi"/>
                <w:sz w:val="20"/>
                <w:szCs w:val="20"/>
              </w:rPr>
              <w:t xml:space="preserve"> ton</w:t>
            </w:r>
          </w:p>
        </w:tc>
        <w:tc>
          <w:tcPr>
            <w:tcW w:w="995" w:type="pct"/>
            <w:gridSpan w:val="2"/>
            <w:shd w:val="clear" w:color="auto" w:fill="C0D7F1" w:themeFill="text2" w:themeFillTint="33"/>
            <w:noWrap/>
            <w:vAlign w:val="center"/>
            <w:hideMark/>
          </w:tcPr>
          <w:p w14:paraId="448250B5" w14:textId="77777777"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proofErr w:type="spellStart"/>
            <w:r w:rsidRPr="00FF7045">
              <w:rPr>
                <w:rFonts w:asciiTheme="majorHAnsi" w:hAnsiTheme="majorHAnsi" w:cstheme="majorHAnsi"/>
                <w:sz w:val="20"/>
                <w:szCs w:val="20"/>
              </w:rPr>
              <w:t>Diferenca</w:t>
            </w:r>
            <w:proofErr w:type="spellEnd"/>
            <w:r w:rsidRPr="00FF7045">
              <w:rPr>
                <w:rFonts w:asciiTheme="majorHAnsi" w:hAnsiTheme="majorHAnsi" w:cstheme="majorHAnsi"/>
                <w:sz w:val="20"/>
                <w:szCs w:val="20"/>
              </w:rPr>
              <w:t xml:space="preserve"> 2025/2024</w:t>
            </w:r>
          </w:p>
        </w:tc>
        <w:tc>
          <w:tcPr>
            <w:tcW w:w="685" w:type="pct"/>
            <w:gridSpan w:val="2"/>
            <w:shd w:val="clear" w:color="auto" w:fill="C0D7F1" w:themeFill="text2" w:themeFillTint="33"/>
            <w:noWrap/>
            <w:vAlign w:val="center"/>
            <w:hideMark/>
          </w:tcPr>
          <w:p w14:paraId="565F0FB3" w14:textId="304FE0F8"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proofErr w:type="spellStart"/>
            <w:r w:rsidRPr="00FF7045">
              <w:rPr>
                <w:rFonts w:asciiTheme="majorHAnsi" w:hAnsiTheme="majorHAnsi" w:cstheme="majorHAnsi"/>
                <w:sz w:val="20"/>
                <w:szCs w:val="20"/>
              </w:rPr>
              <w:t>Cigare</w:t>
            </w:r>
            <w:proofErr w:type="spellEnd"/>
            <w:r w:rsidRPr="00FF7045">
              <w:rPr>
                <w:rFonts w:asciiTheme="majorHAnsi" w:hAnsiTheme="majorHAnsi" w:cstheme="majorHAnsi"/>
                <w:sz w:val="20"/>
                <w:szCs w:val="20"/>
              </w:rPr>
              <w:t xml:space="preserve"> </w:t>
            </w:r>
            <w:proofErr w:type="spellStart"/>
            <w:r w:rsidRPr="00FF7045">
              <w:rPr>
                <w:rFonts w:asciiTheme="majorHAnsi" w:hAnsiTheme="majorHAnsi" w:cstheme="majorHAnsi"/>
                <w:sz w:val="20"/>
                <w:szCs w:val="20"/>
              </w:rPr>
              <w:t>në</w:t>
            </w:r>
            <w:proofErr w:type="spellEnd"/>
            <w:r w:rsidRPr="00FF7045">
              <w:rPr>
                <w:rFonts w:asciiTheme="majorHAnsi" w:hAnsiTheme="majorHAnsi" w:cstheme="majorHAnsi"/>
                <w:sz w:val="20"/>
                <w:szCs w:val="20"/>
              </w:rPr>
              <w:t xml:space="preserve"> ton</w:t>
            </w:r>
          </w:p>
        </w:tc>
        <w:tc>
          <w:tcPr>
            <w:tcW w:w="995" w:type="pct"/>
            <w:gridSpan w:val="2"/>
            <w:shd w:val="clear" w:color="auto" w:fill="C0D7F1" w:themeFill="text2" w:themeFillTint="33"/>
            <w:noWrap/>
            <w:vAlign w:val="center"/>
            <w:hideMark/>
          </w:tcPr>
          <w:p w14:paraId="17EA2364" w14:textId="77777777" w:rsidR="00D31F37" w:rsidRPr="00FF7045" w:rsidRDefault="00D31F37" w:rsidP="00FF704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proofErr w:type="spellStart"/>
            <w:r w:rsidRPr="00FF7045">
              <w:rPr>
                <w:rFonts w:asciiTheme="majorHAnsi" w:hAnsiTheme="majorHAnsi" w:cstheme="majorHAnsi"/>
                <w:sz w:val="20"/>
                <w:szCs w:val="20"/>
              </w:rPr>
              <w:t>Diferenca</w:t>
            </w:r>
            <w:proofErr w:type="spellEnd"/>
            <w:r w:rsidRPr="00FF7045">
              <w:rPr>
                <w:rFonts w:asciiTheme="majorHAnsi" w:hAnsiTheme="majorHAnsi" w:cstheme="majorHAnsi"/>
                <w:sz w:val="20"/>
                <w:szCs w:val="20"/>
              </w:rPr>
              <w:t xml:space="preserve"> 2025/2024</w:t>
            </w:r>
          </w:p>
        </w:tc>
      </w:tr>
      <w:tr w:rsidR="005D645F" w:rsidRPr="00516127" w14:paraId="51E71687"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vMerge/>
            <w:shd w:val="clear" w:color="auto" w:fill="C0D7F1" w:themeFill="text2" w:themeFillTint="33"/>
            <w:vAlign w:val="center"/>
            <w:hideMark/>
          </w:tcPr>
          <w:p w14:paraId="51BDE90A" w14:textId="77777777" w:rsidR="00D31F37" w:rsidRPr="00FF7045" w:rsidRDefault="00D31F37" w:rsidP="00FF7045">
            <w:pPr>
              <w:spacing w:before="0" w:line="240" w:lineRule="auto"/>
              <w:jc w:val="center"/>
              <w:rPr>
                <w:rFonts w:asciiTheme="majorHAnsi" w:hAnsiTheme="majorHAnsi" w:cstheme="majorHAnsi"/>
                <w:sz w:val="20"/>
                <w:szCs w:val="20"/>
              </w:rPr>
            </w:pPr>
          </w:p>
        </w:tc>
        <w:tc>
          <w:tcPr>
            <w:tcW w:w="742" w:type="pct"/>
            <w:shd w:val="clear" w:color="auto" w:fill="C0D7F1" w:themeFill="text2" w:themeFillTint="33"/>
            <w:noWrap/>
            <w:vAlign w:val="center"/>
            <w:hideMark/>
          </w:tcPr>
          <w:p w14:paraId="7DA20476"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FF7045">
              <w:rPr>
                <w:rFonts w:asciiTheme="majorHAnsi" w:hAnsiTheme="majorHAnsi" w:cstheme="majorHAnsi"/>
                <w:b/>
                <w:bCs/>
                <w:color w:val="000000"/>
                <w:sz w:val="20"/>
                <w:szCs w:val="20"/>
              </w:rPr>
              <w:t>2024</w:t>
            </w:r>
          </w:p>
        </w:tc>
        <w:tc>
          <w:tcPr>
            <w:tcW w:w="743" w:type="pct"/>
            <w:shd w:val="clear" w:color="auto" w:fill="C0D7F1" w:themeFill="text2" w:themeFillTint="33"/>
            <w:noWrap/>
            <w:vAlign w:val="center"/>
            <w:hideMark/>
          </w:tcPr>
          <w:p w14:paraId="4B922F48"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FF7045">
              <w:rPr>
                <w:rFonts w:asciiTheme="majorHAnsi" w:hAnsiTheme="majorHAnsi" w:cstheme="majorHAnsi"/>
                <w:b/>
                <w:bCs/>
                <w:color w:val="000000"/>
                <w:sz w:val="20"/>
                <w:szCs w:val="20"/>
              </w:rPr>
              <w:t>2025</w:t>
            </w:r>
          </w:p>
        </w:tc>
        <w:tc>
          <w:tcPr>
            <w:tcW w:w="565" w:type="pct"/>
            <w:shd w:val="clear" w:color="auto" w:fill="C0D7F1" w:themeFill="text2" w:themeFillTint="33"/>
            <w:noWrap/>
            <w:vAlign w:val="center"/>
            <w:hideMark/>
          </w:tcPr>
          <w:p w14:paraId="422CC648"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roofErr w:type="spellStart"/>
            <w:r w:rsidRPr="00FF7045">
              <w:rPr>
                <w:rFonts w:asciiTheme="majorHAnsi" w:hAnsiTheme="majorHAnsi" w:cstheme="majorHAnsi"/>
                <w:b/>
                <w:bCs/>
                <w:sz w:val="20"/>
                <w:szCs w:val="20"/>
              </w:rPr>
              <w:t>Në</w:t>
            </w:r>
            <w:proofErr w:type="spellEnd"/>
            <w:r w:rsidRPr="00FF7045">
              <w:rPr>
                <w:rFonts w:asciiTheme="majorHAnsi" w:hAnsiTheme="majorHAnsi" w:cstheme="majorHAnsi"/>
                <w:b/>
                <w:bCs/>
                <w:sz w:val="20"/>
                <w:szCs w:val="20"/>
              </w:rPr>
              <w:t xml:space="preserve"> </w:t>
            </w:r>
            <w:proofErr w:type="spellStart"/>
            <w:r w:rsidRPr="00FF7045">
              <w:rPr>
                <w:rFonts w:asciiTheme="majorHAnsi" w:hAnsiTheme="majorHAnsi" w:cstheme="majorHAnsi"/>
                <w:b/>
                <w:bCs/>
                <w:sz w:val="20"/>
                <w:szCs w:val="20"/>
              </w:rPr>
              <w:t>vlerë</w:t>
            </w:r>
            <w:proofErr w:type="spellEnd"/>
          </w:p>
        </w:tc>
        <w:tc>
          <w:tcPr>
            <w:tcW w:w="430" w:type="pct"/>
            <w:shd w:val="clear" w:color="auto" w:fill="C0D7F1" w:themeFill="text2" w:themeFillTint="33"/>
            <w:noWrap/>
            <w:vAlign w:val="center"/>
            <w:hideMark/>
          </w:tcPr>
          <w:p w14:paraId="4ABF8BED" w14:textId="03764E22"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roofErr w:type="spellStart"/>
            <w:r w:rsidRPr="00FF7045">
              <w:rPr>
                <w:rFonts w:asciiTheme="majorHAnsi" w:hAnsiTheme="majorHAnsi" w:cstheme="majorHAnsi"/>
                <w:b/>
                <w:bCs/>
                <w:sz w:val="20"/>
                <w:szCs w:val="20"/>
              </w:rPr>
              <w:t>Në</w:t>
            </w:r>
            <w:proofErr w:type="spellEnd"/>
            <w:r w:rsidRPr="00FF7045">
              <w:rPr>
                <w:rFonts w:asciiTheme="majorHAnsi" w:hAnsiTheme="majorHAnsi" w:cstheme="majorHAnsi"/>
                <w:b/>
                <w:bCs/>
                <w:sz w:val="20"/>
                <w:szCs w:val="20"/>
              </w:rPr>
              <w:t xml:space="preserve"> %</w:t>
            </w:r>
          </w:p>
        </w:tc>
        <w:tc>
          <w:tcPr>
            <w:tcW w:w="342" w:type="pct"/>
            <w:shd w:val="clear" w:color="auto" w:fill="C0D7F1" w:themeFill="text2" w:themeFillTint="33"/>
            <w:noWrap/>
            <w:vAlign w:val="center"/>
            <w:hideMark/>
          </w:tcPr>
          <w:p w14:paraId="3167DFC9"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FF7045">
              <w:rPr>
                <w:rFonts w:asciiTheme="majorHAnsi" w:hAnsiTheme="majorHAnsi" w:cstheme="majorHAnsi"/>
                <w:b/>
                <w:bCs/>
                <w:color w:val="000000"/>
                <w:sz w:val="20"/>
                <w:szCs w:val="20"/>
              </w:rPr>
              <w:t>2024</w:t>
            </w:r>
          </w:p>
        </w:tc>
        <w:tc>
          <w:tcPr>
            <w:tcW w:w="342" w:type="pct"/>
            <w:shd w:val="clear" w:color="auto" w:fill="C0D7F1" w:themeFill="text2" w:themeFillTint="33"/>
            <w:noWrap/>
            <w:vAlign w:val="center"/>
            <w:hideMark/>
          </w:tcPr>
          <w:p w14:paraId="7900EFF1"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FF7045">
              <w:rPr>
                <w:rFonts w:asciiTheme="majorHAnsi" w:hAnsiTheme="majorHAnsi" w:cstheme="majorHAnsi"/>
                <w:b/>
                <w:bCs/>
                <w:color w:val="000000"/>
                <w:sz w:val="20"/>
                <w:szCs w:val="20"/>
              </w:rPr>
              <w:t>2025</w:t>
            </w:r>
          </w:p>
        </w:tc>
        <w:tc>
          <w:tcPr>
            <w:tcW w:w="565" w:type="pct"/>
            <w:shd w:val="clear" w:color="auto" w:fill="C0D7F1" w:themeFill="text2" w:themeFillTint="33"/>
            <w:noWrap/>
            <w:vAlign w:val="center"/>
            <w:hideMark/>
          </w:tcPr>
          <w:p w14:paraId="3401ED28"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roofErr w:type="spellStart"/>
            <w:r w:rsidRPr="00FF7045">
              <w:rPr>
                <w:rFonts w:asciiTheme="majorHAnsi" w:hAnsiTheme="majorHAnsi" w:cstheme="majorHAnsi"/>
                <w:b/>
                <w:bCs/>
                <w:sz w:val="20"/>
                <w:szCs w:val="20"/>
              </w:rPr>
              <w:t>Në</w:t>
            </w:r>
            <w:proofErr w:type="spellEnd"/>
            <w:r w:rsidRPr="00FF7045">
              <w:rPr>
                <w:rFonts w:asciiTheme="majorHAnsi" w:hAnsiTheme="majorHAnsi" w:cstheme="majorHAnsi"/>
                <w:b/>
                <w:bCs/>
                <w:sz w:val="20"/>
                <w:szCs w:val="20"/>
              </w:rPr>
              <w:t xml:space="preserve"> </w:t>
            </w:r>
            <w:proofErr w:type="spellStart"/>
            <w:r w:rsidRPr="00FF7045">
              <w:rPr>
                <w:rFonts w:asciiTheme="majorHAnsi" w:hAnsiTheme="majorHAnsi" w:cstheme="majorHAnsi"/>
                <w:b/>
                <w:bCs/>
                <w:sz w:val="20"/>
                <w:szCs w:val="20"/>
              </w:rPr>
              <w:t>vlerë</w:t>
            </w:r>
            <w:proofErr w:type="spellEnd"/>
          </w:p>
        </w:tc>
        <w:tc>
          <w:tcPr>
            <w:tcW w:w="430" w:type="pct"/>
            <w:shd w:val="clear" w:color="auto" w:fill="C0D7F1" w:themeFill="text2" w:themeFillTint="33"/>
            <w:noWrap/>
            <w:vAlign w:val="center"/>
            <w:hideMark/>
          </w:tcPr>
          <w:p w14:paraId="48F3F411" w14:textId="6CA01F21"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roofErr w:type="spellStart"/>
            <w:r w:rsidRPr="00FF7045">
              <w:rPr>
                <w:rFonts w:asciiTheme="majorHAnsi" w:hAnsiTheme="majorHAnsi" w:cstheme="majorHAnsi"/>
                <w:b/>
                <w:bCs/>
                <w:sz w:val="20"/>
                <w:szCs w:val="20"/>
              </w:rPr>
              <w:t>Në</w:t>
            </w:r>
            <w:proofErr w:type="spellEnd"/>
            <w:r w:rsidRPr="00FF7045">
              <w:rPr>
                <w:rFonts w:asciiTheme="majorHAnsi" w:hAnsiTheme="majorHAnsi" w:cstheme="majorHAnsi"/>
                <w:b/>
                <w:bCs/>
                <w:sz w:val="20"/>
                <w:szCs w:val="20"/>
              </w:rPr>
              <w:t xml:space="preserve"> %</w:t>
            </w:r>
          </w:p>
        </w:tc>
      </w:tr>
      <w:tr w:rsidR="005D645F" w:rsidRPr="00516127" w14:paraId="23CD023F"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29581787"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Janar</w:t>
            </w:r>
          </w:p>
        </w:tc>
        <w:tc>
          <w:tcPr>
            <w:tcW w:w="742" w:type="pct"/>
            <w:noWrap/>
            <w:vAlign w:val="center"/>
            <w:hideMark/>
          </w:tcPr>
          <w:p w14:paraId="338B71C2"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47,317</w:t>
            </w:r>
          </w:p>
        </w:tc>
        <w:tc>
          <w:tcPr>
            <w:tcW w:w="743" w:type="pct"/>
            <w:noWrap/>
            <w:vAlign w:val="center"/>
            <w:hideMark/>
          </w:tcPr>
          <w:p w14:paraId="0797DF8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55,387</w:t>
            </w:r>
          </w:p>
        </w:tc>
        <w:tc>
          <w:tcPr>
            <w:tcW w:w="565" w:type="pct"/>
            <w:noWrap/>
            <w:vAlign w:val="center"/>
            <w:hideMark/>
          </w:tcPr>
          <w:p w14:paraId="6867969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8,070</w:t>
            </w:r>
          </w:p>
        </w:tc>
        <w:tc>
          <w:tcPr>
            <w:tcW w:w="430" w:type="pct"/>
            <w:noWrap/>
            <w:vAlign w:val="center"/>
            <w:hideMark/>
          </w:tcPr>
          <w:p w14:paraId="6908D01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17%</w:t>
            </w:r>
          </w:p>
        </w:tc>
        <w:tc>
          <w:tcPr>
            <w:tcW w:w="342" w:type="pct"/>
            <w:noWrap/>
            <w:vAlign w:val="center"/>
            <w:hideMark/>
          </w:tcPr>
          <w:p w14:paraId="12239C6F"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225</w:t>
            </w:r>
          </w:p>
        </w:tc>
        <w:tc>
          <w:tcPr>
            <w:tcW w:w="342" w:type="pct"/>
            <w:noWrap/>
            <w:vAlign w:val="center"/>
            <w:hideMark/>
          </w:tcPr>
          <w:p w14:paraId="7B3509E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233</w:t>
            </w:r>
          </w:p>
        </w:tc>
        <w:tc>
          <w:tcPr>
            <w:tcW w:w="565" w:type="pct"/>
            <w:noWrap/>
            <w:vAlign w:val="center"/>
            <w:hideMark/>
          </w:tcPr>
          <w:p w14:paraId="3CC9592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w:t>
            </w:r>
          </w:p>
        </w:tc>
        <w:tc>
          <w:tcPr>
            <w:tcW w:w="430" w:type="pct"/>
            <w:noWrap/>
            <w:vAlign w:val="center"/>
            <w:hideMark/>
          </w:tcPr>
          <w:p w14:paraId="136EFC2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w:t>
            </w:r>
          </w:p>
        </w:tc>
      </w:tr>
      <w:tr w:rsidR="005D645F" w:rsidRPr="00516127" w14:paraId="33C432BE"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0ADBF1B3"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Shkurt</w:t>
            </w:r>
          </w:p>
        </w:tc>
        <w:tc>
          <w:tcPr>
            <w:tcW w:w="742" w:type="pct"/>
            <w:noWrap/>
            <w:vAlign w:val="center"/>
            <w:hideMark/>
          </w:tcPr>
          <w:p w14:paraId="32D4061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46,830</w:t>
            </w:r>
          </w:p>
        </w:tc>
        <w:tc>
          <w:tcPr>
            <w:tcW w:w="743" w:type="pct"/>
            <w:noWrap/>
            <w:vAlign w:val="center"/>
            <w:hideMark/>
          </w:tcPr>
          <w:p w14:paraId="0AFA84B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55,001</w:t>
            </w:r>
          </w:p>
        </w:tc>
        <w:tc>
          <w:tcPr>
            <w:tcW w:w="565" w:type="pct"/>
            <w:noWrap/>
            <w:vAlign w:val="center"/>
            <w:hideMark/>
          </w:tcPr>
          <w:p w14:paraId="47C10FB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8,171</w:t>
            </w:r>
          </w:p>
        </w:tc>
        <w:tc>
          <w:tcPr>
            <w:tcW w:w="430" w:type="pct"/>
            <w:noWrap/>
            <w:vAlign w:val="center"/>
            <w:hideMark/>
          </w:tcPr>
          <w:p w14:paraId="548550D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17%</w:t>
            </w:r>
          </w:p>
        </w:tc>
        <w:tc>
          <w:tcPr>
            <w:tcW w:w="342" w:type="pct"/>
            <w:noWrap/>
            <w:vAlign w:val="center"/>
            <w:hideMark/>
          </w:tcPr>
          <w:p w14:paraId="197A8AF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205</w:t>
            </w:r>
          </w:p>
        </w:tc>
        <w:tc>
          <w:tcPr>
            <w:tcW w:w="342" w:type="pct"/>
            <w:noWrap/>
            <w:vAlign w:val="center"/>
            <w:hideMark/>
          </w:tcPr>
          <w:p w14:paraId="0D31F72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217</w:t>
            </w:r>
          </w:p>
        </w:tc>
        <w:tc>
          <w:tcPr>
            <w:tcW w:w="565" w:type="pct"/>
            <w:noWrap/>
            <w:vAlign w:val="center"/>
            <w:hideMark/>
          </w:tcPr>
          <w:p w14:paraId="50E46432"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12</w:t>
            </w:r>
          </w:p>
        </w:tc>
        <w:tc>
          <w:tcPr>
            <w:tcW w:w="430" w:type="pct"/>
            <w:noWrap/>
            <w:vAlign w:val="center"/>
            <w:hideMark/>
          </w:tcPr>
          <w:p w14:paraId="64E4ACC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w:t>
            </w:r>
          </w:p>
        </w:tc>
      </w:tr>
      <w:tr w:rsidR="005D645F" w:rsidRPr="00516127" w14:paraId="61E55FAB"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08DB7992"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Mars</w:t>
            </w:r>
          </w:p>
        </w:tc>
        <w:tc>
          <w:tcPr>
            <w:tcW w:w="742" w:type="pct"/>
            <w:noWrap/>
            <w:vAlign w:val="center"/>
            <w:hideMark/>
          </w:tcPr>
          <w:p w14:paraId="66D381A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48,702</w:t>
            </w:r>
          </w:p>
        </w:tc>
        <w:tc>
          <w:tcPr>
            <w:tcW w:w="743" w:type="pct"/>
            <w:noWrap/>
            <w:vAlign w:val="center"/>
            <w:hideMark/>
          </w:tcPr>
          <w:p w14:paraId="5B218C3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54,883</w:t>
            </w:r>
          </w:p>
        </w:tc>
        <w:tc>
          <w:tcPr>
            <w:tcW w:w="565" w:type="pct"/>
            <w:noWrap/>
            <w:vAlign w:val="center"/>
            <w:hideMark/>
          </w:tcPr>
          <w:p w14:paraId="310C8AFF"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6,181</w:t>
            </w:r>
          </w:p>
        </w:tc>
        <w:tc>
          <w:tcPr>
            <w:tcW w:w="430" w:type="pct"/>
            <w:noWrap/>
            <w:vAlign w:val="center"/>
            <w:hideMark/>
          </w:tcPr>
          <w:p w14:paraId="493D25E3" w14:textId="55D71858"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13%</w:t>
            </w:r>
          </w:p>
        </w:tc>
        <w:tc>
          <w:tcPr>
            <w:tcW w:w="342" w:type="pct"/>
            <w:noWrap/>
            <w:vAlign w:val="center"/>
            <w:hideMark/>
          </w:tcPr>
          <w:p w14:paraId="49E359B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240</w:t>
            </w:r>
          </w:p>
        </w:tc>
        <w:tc>
          <w:tcPr>
            <w:tcW w:w="342" w:type="pct"/>
            <w:noWrap/>
            <w:vAlign w:val="center"/>
            <w:hideMark/>
          </w:tcPr>
          <w:p w14:paraId="31F5C30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258</w:t>
            </w:r>
          </w:p>
        </w:tc>
        <w:tc>
          <w:tcPr>
            <w:tcW w:w="565" w:type="pct"/>
            <w:noWrap/>
            <w:vAlign w:val="center"/>
            <w:hideMark/>
          </w:tcPr>
          <w:p w14:paraId="3C47E5E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18</w:t>
            </w:r>
          </w:p>
        </w:tc>
        <w:tc>
          <w:tcPr>
            <w:tcW w:w="430" w:type="pct"/>
            <w:noWrap/>
            <w:vAlign w:val="center"/>
            <w:hideMark/>
          </w:tcPr>
          <w:p w14:paraId="2D4C444F"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7.5%</w:t>
            </w:r>
          </w:p>
        </w:tc>
      </w:tr>
      <w:tr w:rsidR="005D645F" w:rsidRPr="00516127" w14:paraId="40C89980"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3793FC36"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Prill</w:t>
            </w:r>
          </w:p>
        </w:tc>
        <w:tc>
          <w:tcPr>
            <w:tcW w:w="742" w:type="pct"/>
            <w:noWrap/>
            <w:vAlign w:val="center"/>
            <w:hideMark/>
          </w:tcPr>
          <w:p w14:paraId="433F7C5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55,271</w:t>
            </w:r>
          </w:p>
        </w:tc>
        <w:tc>
          <w:tcPr>
            <w:tcW w:w="743" w:type="pct"/>
            <w:noWrap/>
            <w:vAlign w:val="center"/>
            <w:hideMark/>
          </w:tcPr>
          <w:p w14:paraId="7591A51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63,782</w:t>
            </w:r>
          </w:p>
        </w:tc>
        <w:tc>
          <w:tcPr>
            <w:tcW w:w="565" w:type="pct"/>
            <w:noWrap/>
            <w:vAlign w:val="center"/>
            <w:hideMark/>
          </w:tcPr>
          <w:p w14:paraId="6F783A60" w14:textId="37CDBC6A"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8,511</w:t>
            </w:r>
          </w:p>
        </w:tc>
        <w:tc>
          <w:tcPr>
            <w:tcW w:w="430" w:type="pct"/>
            <w:noWrap/>
            <w:vAlign w:val="center"/>
            <w:hideMark/>
          </w:tcPr>
          <w:p w14:paraId="726463F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15 %</w:t>
            </w:r>
          </w:p>
        </w:tc>
        <w:tc>
          <w:tcPr>
            <w:tcW w:w="342" w:type="pct"/>
            <w:noWrap/>
            <w:vAlign w:val="center"/>
            <w:hideMark/>
          </w:tcPr>
          <w:p w14:paraId="105CEF8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201</w:t>
            </w:r>
          </w:p>
        </w:tc>
        <w:tc>
          <w:tcPr>
            <w:tcW w:w="342" w:type="pct"/>
            <w:noWrap/>
            <w:vAlign w:val="center"/>
            <w:hideMark/>
          </w:tcPr>
          <w:p w14:paraId="585CCE7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238</w:t>
            </w:r>
          </w:p>
        </w:tc>
        <w:tc>
          <w:tcPr>
            <w:tcW w:w="565" w:type="pct"/>
            <w:noWrap/>
            <w:vAlign w:val="center"/>
            <w:hideMark/>
          </w:tcPr>
          <w:p w14:paraId="7B69008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37</w:t>
            </w:r>
          </w:p>
        </w:tc>
        <w:tc>
          <w:tcPr>
            <w:tcW w:w="430" w:type="pct"/>
            <w:noWrap/>
            <w:vAlign w:val="center"/>
            <w:hideMark/>
          </w:tcPr>
          <w:p w14:paraId="0645D9FE" w14:textId="6AC1FD2E"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18%</w:t>
            </w:r>
          </w:p>
        </w:tc>
      </w:tr>
      <w:tr w:rsidR="005D645F" w:rsidRPr="00516127" w14:paraId="51E9ABA6"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6AB58E20" w14:textId="2F1AC346"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Maj</w:t>
            </w:r>
          </w:p>
        </w:tc>
        <w:tc>
          <w:tcPr>
            <w:tcW w:w="742" w:type="pct"/>
            <w:noWrap/>
            <w:vAlign w:val="center"/>
            <w:hideMark/>
          </w:tcPr>
          <w:p w14:paraId="521A5E8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58,645</w:t>
            </w:r>
          </w:p>
        </w:tc>
        <w:tc>
          <w:tcPr>
            <w:tcW w:w="743" w:type="pct"/>
            <w:noWrap/>
            <w:vAlign w:val="center"/>
            <w:hideMark/>
          </w:tcPr>
          <w:p w14:paraId="58A9596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61,085</w:t>
            </w:r>
          </w:p>
        </w:tc>
        <w:tc>
          <w:tcPr>
            <w:tcW w:w="565" w:type="pct"/>
            <w:noWrap/>
            <w:vAlign w:val="center"/>
            <w:hideMark/>
          </w:tcPr>
          <w:p w14:paraId="73D6AD2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2,440</w:t>
            </w:r>
          </w:p>
        </w:tc>
        <w:tc>
          <w:tcPr>
            <w:tcW w:w="430" w:type="pct"/>
            <w:noWrap/>
            <w:vAlign w:val="center"/>
            <w:hideMark/>
          </w:tcPr>
          <w:p w14:paraId="0DBCFBD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w:t>
            </w:r>
          </w:p>
        </w:tc>
        <w:tc>
          <w:tcPr>
            <w:tcW w:w="342" w:type="pct"/>
            <w:noWrap/>
            <w:vAlign w:val="center"/>
            <w:hideMark/>
          </w:tcPr>
          <w:p w14:paraId="2615748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260</w:t>
            </w:r>
          </w:p>
        </w:tc>
        <w:tc>
          <w:tcPr>
            <w:tcW w:w="342" w:type="pct"/>
            <w:noWrap/>
            <w:vAlign w:val="center"/>
            <w:hideMark/>
          </w:tcPr>
          <w:p w14:paraId="2024B66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140</w:t>
            </w:r>
          </w:p>
        </w:tc>
        <w:tc>
          <w:tcPr>
            <w:tcW w:w="565" w:type="pct"/>
            <w:noWrap/>
            <w:vAlign w:val="center"/>
            <w:hideMark/>
          </w:tcPr>
          <w:p w14:paraId="3B75CF2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120</w:t>
            </w:r>
          </w:p>
        </w:tc>
        <w:tc>
          <w:tcPr>
            <w:tcW w:w="430" w:type="pct"/>
            <w:noWrap/>
            <w:vAlign w:val="center"/>
            <w:hideMark/>
          </w:tcPr>
          <w:p w14:paraId="3198E72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46%</w:t>
            </w:r>
          </w:p>
        </w:tc>
      </w:tr>
      <w:tr w:rsidR="005D645F" w:rsidRPr="00516127" w14:paraId="6B8EEB5C"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0C6AD447"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Qershor</w:t>
            </w:r>
            <w:proofErr w:type="spellEnd"/>
          </w:p>
        </w:tc>
        <w:tc>
          <w:tcPr>
            <w:tcW w:w="742" w:type="pct"/>
            <w:noWrap/>
            <w:vAlign w:val="center"/>
            <w:hideMark/>
          </w:tcPr>
          <w:p w14:paraId="795E5A8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56,975</w:t>
            </w:r>
          </w:p>
        </w:tc>
        <w:tc>
          <w:tcPr>
            <w:tcW w:w="743" w:type="pct"/>
            <w:noWrap/>
            <w:vAlign w:val="center"/>
            <w:hideMark/>
          </w:tcPr>
          <w:p w14:paraId="33C3790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67,276</w:t>
            </w:r>
          </w:p>
        </w:tc>
        <w:tc>
          <w:tcPr>
            <w:tcW w:w="565" w:type="pct"/>
            <w:noWrap/>
            <w:vAlign w:val="center"/>
            <w:hideMark/>
          </w:tcPr>
          <w:p w14:paraId="6D07042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10,301</w:t>
            </w:r>
          </w:p>
        </w:tc>
        <w:tc>
          <w:tcPr>
            <w:tcW w:w="430" w:type="pct"/>
            <w:noWrap/>
            <w:vAlign w:val="center"/>
            <w:hideMark/>
          </w:tcPr>
          <w:p w14:paraId="4136C9E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18%</w:t>
            </w:r>
          </w:p>
        </w:tc>
        <w:tc>
          <w:tcPr>
            <w:tcW w:w="342" w:type="pct"/>
            <w:noWrap/>
            <w:vAlign w:val="center"/>
            <w:hideMark/>
          </w:tcPr>
          <w:p w14:paraId="6DED2B7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309</w:t>
            </w:r>
          </w:p>
        </w:tc>
        <w:tc>
          <w:tcPr>
            <w:tcW w:w="342" w:type="pct"/>
            <w:noWrap/>
            <w:vAlign w:val="center"/>
            <w:hideMark/>
          </w:tcPr>
          <w:p w14:paraId="3EAA429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304</w:t>
            </w:r>
          </w:p>
        </w:tc>
        <w:tc>
          <w:tcPr>
            <w:tcW w:w="565" w:type="pct"/>
            <w:noWrap/>
            <w:vAlign w:val="center"/>
            <w:hideMark/>
          </w:tcPr>
          <w:p w14:paraId="24C8545F"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w:t>
            </w:r>
          </w:p>
        </w:tc>
        <w:tc>
          <w:tcPr>
            <w:tcW w:w="430" w:type="pct"/>
            <w:noWrap/>
            <w:vAlign w:val="center"/>
            <w:hideMark/>
          </w:tcPr>
          <w:p w14:paraId="345993F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w:t>
            </w:r>
          </w:p>
        </w:tc>
      </w:tr>
      <w:tr w:rsidR="005D645F" w:rsidRPr="00516127" w14:paraId="52CFA41E"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64E806D4"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Korrik</w:t>
            </w:r>
            <w:proofErr w:type="spellEnd"/>
          </w:p>
        </w:tc>
        <w:tc>
          <w:tcPr>
            <w:tcW w:w="742" w:type="pct"/>
            <w:noWrap/>
            <w:vAlign w:val="center"/>
            <w:hideMark/>
          </w:tcPr>
          <w:p w14:paraId="345AEE2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67,361</w:t>
            </w:r>
          </w:p>
        </w:tc>
        <w:tc>
          <w:tcPr>
            <w:tcW w:w="743" w:type="pct"/>
            <w:noWrap/>
            <w:vAlign w:val="center"/>
            <w:hideMark/>
          </w:tcPr>
          <w:p w14:paraId="1F6E05D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73,555</w:t>
            </w:r>
          </w:p>
        </w:tc>
        <w:tc>
          <w:tcPr>
            <w:tcW w:w="565" w:type="pct"/>
            <w:noWrap/>
            <w:vAlign w:val="center"/>
            <w:hideMark/>
          </w:tcPr>
          <w:p w14:paraId="5AE1BB4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6,194</w:t>
            </w:r>
          </w:p>
        </w:tc>
        <w:tc>
          <w:tcPr>
            <w:tcW w:w="430" w:type="pct"/>
            <w:noWrap/>
            <w:vAlign w:val="center"/>
            <w:hideMark/>
          </w:tcPr>
          <w:p w14:paraId="20DA6DE8" w14:textId="30C22E0C"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9%</w:t>
            </w:r>
          </w:p>
        </w:tc>
        <w:tc>
          <w:tcPr>
            <w:tcW w:w="342" w:type="pct"/>
            <w:noWrap/>
            <w:vAlign w:val="center"/>
            <w:hideMark/>
          </w:tcPr>
          <w:p w14:paraId="76B73252"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280</w:t>
            </w:r>
          </w:p>
        </w:tc>
        <w:tc>
          <w:tcPr>
            <w:tcW w:w="342" w:type="pct"/>
            <w:noWrap/>
            <w:vAlign w:val="center"/>
            <w:hideMark/>
          </w:tcPr>
          <w:p w14:paraId="6D127A3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337</w:t>
            </w:r>
          </w:p>
        </w:tc>
        <w:tc>
          <w:tcPr>
            <w:tcW w:w="565" w:type="pct"/>
            <w:noWrap/>
            <w:vAlign w:val="center"/>
            <w:hideMark/>
          </w:tcPr>
          <w:p w14:paraId="78E73E5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57</w:t>
            </w:r>
          </w:p>
        </w:tc>
        <w:tc>
          <w:tcPr>
            <w:tcW w:w="430" w:type="pct"/>
            <w:noWrap/>
            <w:vAlign w:val="center"/>
            <w:hideMark/>
          </w:tcPr>
          <w:p w14:paraId="5A503A0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20%</w:t>
            </w:r>
          </w:p>
        </w:tc>
      </w:tr>
      <w:tr w:rsidR="005D645F" w:rsidRPr="00516127" w14:paraId="7A7CA8D1"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02D7F0DD"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Gusht</w:t>
            </w:r>
            <w:proofErr w:type="spellEnd"/>
          </w:p>
        </w:tc>
        <w:tc>
          <w:tcPr>
            <w:tcW w:w="742" w:type="pct"/>
            <w:noWrap/>
            <w:vAlign w:val="center"/>
            <w:hideMark/>
          </w:tcPr>
          <w:p w14:paraId="313FF93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76,155</w:t>
            </w:r>
          </w:p>
        </w:tc>
        <w:tc>
          <w:tcPr>
            <w:tcW w:w="743" w:type="pct"/>
            <w:noWrap/>
            <w:vAlign w:val="center"/>
            <w:hideMark/>
          </w:tcPr>
          <w:p w14:paraId="7E48B641"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76,424</w:t>
            </w:r>
          </w:p>
        </w:tc>
        <w:tc>
          <w:tcPr>
            <w:tcW w:w="565" w:type="pct"/>
            <w:noWrap/>
            <w:vAlign w:val="center"/>
            <w:hideMark/>
          </w:tcPr>
          <w:p w14:paraId="4684D572"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269</w:t>
            </w:r>
          </w:p>
        </w:tc>
        <w:tc>
          <w:tcPr>
            <w:tcW w:w="430" w:type="pct"/>
            <w:noWrap/>
            <w:vAlign w:val="center"/>
            <w:hideMark/>
          </w:tcPr>
          <w:p w14:paraId="70FD5DB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0.35</w:t>
            </w:r>
          </w:p>
        </w:tc>
        <w:tc>
          <w:tcPr>
            <w:tcW w:w="342" w:type="pct"/>
            <w:noWrap/>
            <w:vAlign w:val="center"/>
            <w:hideMark/>
          </w:tcPr>
          <w:p w14:paraId="43020802"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344</w:t>
            </w:r>
          </w:p>
        </w:tc>
        <w:tc>
          <w:tcPr>
            <w:tcW w:w="342" w:type="pct"/>
            <w:noWrap/>
            <w:vAlign w:val="center"/>
            <w:hideMark/>
          </w:tcPr>
          <w:p w14:paraId="3FFA0161"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367</w:t>
            </w:r>
          </w:p>
        </w:tc>
        <w:tc>
          <w:tcPr>
            <w:tcW w:w="565" w:type="pct"/>
            <w:noWrap/>
            <w:vAlign w:val="center"/>
            <w:hideMark/>
          </w:tcPr>
          <w:p w14:paraId="7513B91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23</w:t>
            </w:r>
          </w:p>
        </w:tc>
        <w:tc>
          <w:tcPr>
            <w:tcW w:w="430" w:type="pct"/>
            <w:noWrap/>
            <w:vAlign w:val="center"/>
            <w:hideMark/>
          </w:tcPr>
          <w:p w14:paraId="10B13CF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6.7</w:t>
            </w:r>
          </w:p>
        </w:tc>
      </w:tr>
      <w:tr w:rsidR="005D645F" w:rsidRPr="00516127" w14:paraId="7368F3A8"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1B655902" w14:textId="77777777"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Shtator</w:t>
            </w:r>
            <w:proofErr w:type="spellEnd"/>
          </w:p>
        </w:tc>
        <w:tc>
          <w:tcPr>
            <w:tcW w:w="742" w:type="pct"/>
            <w:noWrap/>
            <w:vAlign w:val="center"/>
            <w:hideMark/>
          </w:tcPr>
          <w:p w14:paraId="1A14579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56,035</w:t>
            </w:r>
          </w:p>
        </w:tc>
        <w:tc>
          <w:tcPr>
            <w:tcW w:w="743" w:type="pct"/>
            <w:noWrap/>
            <w:vAlign w:val="center"/>
            <w:hideMark/>
          </w:tcPr>
          <w:p w14:paraId="1971796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65,033</w:t>
            </w:r>
          </w:p>
        </w:tc>
        <w:tc>
          <w:tcPr>
            <w:tcW w:w="565" w:type="pct"/>
            <w:noWrap/>
            <w:vAlign w:val="center"/>
            <w:hideMark/>
          </w:tcPr>
          <w:p w14:paraId="314C133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8,998</w:t>
            </w:r>
          </w:p>
        </w:tc>
        <w:tc>
          <w:tcPr>
            <w:tcW w:w="430" w:type="pct"/>
            <w:noWrap/>
            <w:vAlign w:val="center"/>
            <w:hideMark/>
          </w:tcPr>
          <w:p w14:paraId="4E898C1B"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16</w:t>
            </w:r>
          </w:p>
        </w:tc>
        <w:tc>
          <w:tcPr>
            <w:tcW w:w="342" w:type="pct"/>
            <w:noWrap/>
            <w:vAlign w:val="center"/>
            <w:hideMark/>
          </w:tcPr>
          <w:p w14:paraId="0DD0B5F6"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278</w:t>
            </w:r>
          </w:p>
        </w:tc>
        <w:tc>
          <w:tcPr>
            <w:tcW w:w="342" w:type="pct"/>
            <w:noWrap/>
            <w:vAlign w:val="center"/>
            <w:hideMark/>
          </w:tcPr>
          <w:p w14:paraId="1AE1632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311</w:t>
            </w:r>
          </w:p>
        </w:tc>
        <w:tc>
          <w:tcPr>
            <w:tcW w:w="565" w:type="pct"/>
            <w:noWrap/>
            <w:vAlign w:val="center"/>
            <w:hideMark/>
          </w:tcPr>
          <w:p w14:paraId="53A59F4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33</w:t>
            </w:r>
          </w:p>
        </w:tc>
        <w:tc>
          <w:tcPr>
            <w:tcW w:w="430" w:type="pct"/>
            <w:noWrap/>
            <w:vAlign w:val="center"/>
            <w:hideMark/>
          </w:tcPr>
          <w:p w14:paraId="13DBD43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12</w:t>
            </w:r>
          </w:p>
        </w:tc>
      </w:tr>
      <w:tr w:rsidR="005D645F" w:rsidRPr="00516127" w14:paraId="149C4E0F"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tcPr>
          <w:p w14:paraId="1C585E48" w14:textId="77777777" w:rsidR="00D31F37" w:rsidRPr="00FF7045" w:rsidRDefault="00D31F37" w:rsidP="00FF7045">
            <w:pPr>
              <w:spacing w:before="0" w:line="240" w:lineRule="auto"/>
              <w:jc w:val="center"/>
              <w:rPr>
                <w:rFonts w:asciiTheme="majorHAnsi" w:hAnsiTheme="majorHAnsi" w:cstheme="majorHAnsi"/>
                <w:sz w:val="20"/>
                <w:szCs w:val="20"/>
              </w:rPr>
            </w:pPr>
            <w:r w:rsidRPr="00FF7045">
              <w:rPr>
                <w:rFonts w:asciiTheme="majorHAnsi" w:hAnsiTheme="majorHAnsi" w:cstheme="majorHAnsi"/>
                <w:sz w:val="20"/>
                <w:szCs w:val="20"/>
              </w:rPr>
              <w:t>Tetor</w:t>
            </w:r>
          </w:p>
        </w:tc>
        <w:tc>
          <w:tcPr>
            <w:tcW w:w="742" w:type="pct"/>
            <w:noWrap/>
            <w:vAlign w:val="center"/>
          </w:tcPr>
          <w:p w14:paraId="0525B984"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55,592</w:t>
            </w:r>
          </w:p>
        </w:tc>
        <w:tc>
          <w:tcPr>
            <w:tcW w:w="743" w:type="pct"/>
            <w:noWrap/>
            <w:vAlign w:val="center"/>
          </w:tcPr>
          <w:p w14:paraId="134AA9C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67,420</w:t>
            </w:r>
          </w:p>
        </w:tc>
        <w:tc>
          <w:tcPr>
            <w:tcW w:w="565" w:type="pct"/>
            <w:noWrap/>
            <w:vAlign w:val="center"/>
          </w:tcPr>
          <w:p w14:paraId="325F6925"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11,828</w:t>
            </w:r>
          </w:p>
        </w:tc>
        <w:tc>
          <w:tcPr>
            <w:tcW w:w="430" w:type="pct"/>
            <w:noWrap/>
            <w:vAlign w:val="center"/>
          </w:tcPr>
          <w:p w14:paraId="115178F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21.3</w:t>
            </w:r>
          </w:p>
        </w:tc>
        <w:tc>
          <w:tcPr>
            <w:tcW w:w="342" w:type="pct"/>
            <w:noWrap/>
            <w:vAlign w:val="center"/>
          </w:tcPr>
          <w:p w14:paraId="7D9ABBB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274</w:t>
            </w:r>
          </w:p>
        </w:tc>
        <w:tc>
          <w:tcPr>
            <w:tcW w:w="342" w:type="pct"/>
            <w:noWrap/>
            <w:vAlign w:val="center"/>
          </w:tcPr>
          <w:p w14:paraId="341FBAA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297</w:t>
            </w:r>
          </w:p>
        </w:tc>
        <w:tc>
          <w:tcPr>
            <w:tcW w:w="565" w:type="pct"/>
            <w:noWrap/>
            <w:vAlign w:val="center"/>
          </w:tcPr>
          <w:p w14:paraId="4048D051"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23</w:t>
            </w:r>
          </w:p>
        </w:tc>
        <w:tc>
          <w:tcPr>
            <w:tcW w:w="430" w:type="pct"/>
            <w:noWrap/>
            <w:vAlign w:val="center"/>
          </w:tcPr>
          <w:p w14:paraId="446C94F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8.4</w:t>
            </w:r>
          </w:p>
        </w:tc>
      </w:tr>
      <w:tr w:rsidR="005D645F" w:rsidRPr="00516127" w14:paraId="15D04513"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tcPr>
          <w:p w14:paraId="4B6B4601" w14:textId="246D3F21" w:rsidR="00D31F37" w:rsidRPr="00FF7045" w:rsidRDefault="00D31F37" w:rsidP="00FF7045">
            <w:pPr>
              <w:spacing w:before="0" w:line="240" w:lineRule="auto"/>
              <w:jc w:val="center"/>
              <w:rPr>
                <w:rFonts w:asciiTheme="majorHAnsi" w:hAnsiTheme="majorHAnsi" w:cstheme="majorHAnsi"/>
                <w:sz w:val="20"/>
                <w:szCs w:val="20"/>
              </w:rPr>
            </w:pPr>
            <w:proofErr w:type="spellStart"/>
            <w:r w:rsidRPr="00FF7045">
              <w:rPr>
                <w:rFonts w:asciiTheme="majorHAnsi" w:hAnsiTheme="majorHAnsi" w:cstheme="majorHAnsi"/>
                <w:sz w:val="20"/>
                <w:szCs w:val="20"/>
              </w:rPr>
              <w:t>Nëntor</w:t>
            </w:r>
            <w:proofErr w:type="spellEnd"/>
          </w:p>
        </w:tc>
        <w:tc>
          <w:tcPr>
            <w:tcW w:w="742" w:type="pct"/>
            <w:noWrap/>
            <w:vAlign w:val="center"/>
          </w:tcPr>
          <w:p w14:paraId="6D6962D0"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54,496</w:t>
            </w:r>
          </w:p>
        </w:tc>
        <w:tc>
          <w:tcPr>
            <w:tcW w:w="743" w:type="pct"/>
            <w:noWrap/>
            <w:vAlign w:val="center"/>
          </w:tcPr>
          <w:p w14:paraId="7F00A637"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53,647</w:t>
            </w:r>
          </w:p>
        </w:tc>
        <w:tc>
          <w:tcPr>
            <w:tcW w:w="565" w:type="pct"/>
            <w:noWrap/>
            <w:vAlign w:val="center"/>
          </w:tcPr>
          <w:p w14:paraId="56F5987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-849</w:t>
            </w:r>
          </w:p>
        </w:tc>
        <w:tc>
          <w:tcPr>
            <w:tcW w:w="430" w:type="pct"/>
            <w:noWrap/>
            <w:vAlign w:val="center"/>
          </w:tcPr>
          <w:p w14:paraId="26E7239D"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-1.5</w:t>
            </w:r>
          </w:p>
        </w:tc>
        <w:tc>
          <w:tcPr>
            <w:tcW w:w="342" w:type="pct"/>
            <w:noWrap/>
            <w:vAlign w:val="center"/>
          </w:tcPr>
          <w:p w14:paraId="0C4E06B8"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302</w:t>
            </w:r>
          </w:p>
        </w:tc>
        <w:tc>
          <w:tcPr>
            <w:tcW w:w="342" w:type="pct"/>
            <w:noWrap/>
            <w:vAlign w:val="center"/>
          </w:tcPr>
          <w:p w14:paraId="28647BA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289</w:t>
            </w:r>
          </w:p>
        </w:tc>
        <w:tc>
          <w:tcPr>
            <w:tcW w:w="565" w:type="pct"/>
            <w:noWrap/>
            <w:vAlign w:val="center"/>
          </w:tcPr>
          <w:p w14:paraId="31E8F2C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-13</w:t>
            </w:r>
          </w:p>
        </w:tc>
        <w:tc>
          <w:tcPr>
            <w:tcW w:w="430" w:type="pct"/>
            <w:noWrap/>
            <w:vAlign w:val="center"/>
          </w:tcPr>
          <w:p w14:paraId="50B6F48A"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-4.3</w:t>
            </w:r>
          </w:p>
        </w:tc>
      </w:tr>
      <w:tr w:rsidR="005D645F" w:rsidRPr="00516127" w14:paraId="42B51668"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tcPr>
          <w:p w14:paraId="71F6B5CD" w14:textId="0E1B9462" w:rsidR="00D31F37" w:rsidRPr="00FF7045" w:rsidRDefault="00D31F37" w:rsidP="00FF7045">
            <w:pPr>
              <w:spacing w:before="0" w:line="240" w:lineRule="auto"/>
              <w:jc w:val="center"/>
              <w:rPr>
                <w:rFonts w:asciiTheme="majorHAnsi" w:hAnsiTheme="majorHAnsi" w:cstheme="majorHAnsi"/>
                <w:b w:val="0"/>
                <w:bCs w:val="0"/>
                <w:sz w:val="20"/>
                <w:szCs w:val="20"/>
              </w:rPr>
            </w:pPr>
            <w:proofErr w:type="spellStart"/>
            <w:r w:rsidRPr="00FF7045">
              <w:rPr>
                <w:rFonts w:asciiTheme="majorHAnsi" w:hAnsiTheme="majorHAnsi" w:cstheme="majorHAnsi"/>
                <w:sz w:val="20"/>
                <w:szCs w:val="20"/>
              </w:rPr>
              <w:t>Dhjetor</w:t>
            </w:r>
            <w:proofErr w:type="spellEnd"/>
          </w:p>
        </w:tc>
        <w:tc>
          <w:tcPr>
            <w:tcW w:w="742" w:type="pct"/>
            <w:noWrap/>
            <w:vAlign w:val="center"/>
          </w:tcPr>
          <w:p w14:paraId="20B09364" w14:textId="34EBCAA4" w:rsidR="00D31F37" w:rsidRPr="00516127" w:rsidRDefault="00D31F37" w:rsidP="005D645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59,986</w:t>
            </w:r>
          </w:p>
        </w:tc>
        <w:tc>
          <w:tcPr>
            <w:tcW w:w="743" w:type="pct"/>
            <w:noWrap/>
            <w:vAlign w:val="center"/>
          </w:tcPr>
          <w:p w14:paraId="31133899"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68,096</w:t>
            </w:r>
          </w:p>
        </w:tc>
        <w:tc>
          <w:tcPr>
            <w:tcW w:w="565" w:type="pct"/>
            <w:noWrap/>
            <w:vAlign w:val="center"/>
          </w:tcPr>
          <w:p w14:paraId="496F142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8,110</w:t>
            </w:r>
          </w:p>
        </w:tc>
        <w:tc>
          <w:tcPr>
            <w:tcW w:w="430" w:type="pct"/>
            <w:noWrap/>
            <w:vAlign w:val="center"/>
          </w:tcPr>
          <w:p w14:paraId="4566174E"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13.5</w:t>
            </w:r>
          </w:p>
        </w:tc>
        <w:tc>
          <w:tcPr>
            <w:tcW w:w="342" w:type="pct"/>
            <w:noWrap/>
            <w:vAlign w:val="center"/>
          </w:tcPr>
          <w:p w14:paraId="7898E911"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282</w:t>
            </w:r>
          </w:p>
        </w:tc>
        <w:tc>
          <w:tcPr>
            <w:tcW w:w="342" w:type="pct"/>
            <w:noWrap/>
            <w:vAlign w:val="center"/>
          </w:tcPr>
          <w:p w14:paraId="1D323A4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273</w:t>
            </w:r>
          </w:p>
        </w:tc>
        <w:tc>
          <w:tcPr>
            <w:tcW w:w="565" w:type="pct"/>
            <w:noWrap/>
            <w:vAlign w:val="center"/>
          </w:tcPr>
          <w:p w14:paraId="2AF338AC"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-9</w:t>
            </w:r>
          </w:p>
        </w:tc>
        <w:tc>
          <w:tcPr>
            <w:tcW w:w="430" w:type="pct"/>
            <w:noWrap/>
            <w:vAlign w:val="center"/>
          </w:tcPr>
          <w:p w14:paraId="4FD1E7C3" w14:textId="77777777" w:rsidR="00D31F37" w:rsidRPr="00516127"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16127">
              <w:rPr>
                <w:rFonts w:asciiTheme="majorHAnsi" w:hAnsiTheme="majorHAnsi" w:cstheme="majorHAnsi"/>
                <w:sz w:val="18"/>
                <w:szCs w:val="18"/>
              </w:rPr>
              <w:t>-3</w:t>
            </w:r>
          </w:p>
        </w:tc>
      </w:tr>
      <w:tr w:rsidR="005D645F" w:rsidRPr="00516127" w14:paraId="12788D70" w14:textId="77777777" w:rsidTr="005D645F">
        <w:trPr>
          <w:trHeight w:val="239"/>
          <w:jc w:val="center"/>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38296335" w14:textId="77777777" w:rsidR="00D31F37" w:rsidRPr="00FF7045" w:rsidRDefault="00D31F37" w:rsidP="00FF7045">
            <w:pPr>
              <w:spacing w:before="0" w:line="240" w:lineRule="auto"/>
              <w:jc w:val="center"/>
              <w:rPr>
                <w:rFonts w:asciiTheme="majorHAnsi" w:hAnsiTheme="majorHAnsi" w:cstheme="majorHAnsi"/>
                <w:b w:val="0"/>
                <w:bCs w:val="0"/>
                <w:sz w:val="20"/>
                <w:szCs w:val="20"/>
              </w:rPr>
            </w:pPr>
            <w:r w:rsidRPr="00FF7045">
              <w:rPr>
                <w:rFonts w:asciiTheme="majorHAnsi" w:hAnsiTheme="majorHAnsi" w:cstheme="majorHAnsi"/>
                <w:sz w:val="20"/>
                <w:szCs w:val="20"/>
              </w:rPr>
              <w:t>Total</w:t>
            </w:r>
          </w:p>
        </w:tc>
        <w:tc>
          <w:tcPr>
            <w:tcW w:w="742" w:type="pct"/>
            <w:noWrap/>
            <w:vAlign w:val="center"/>
            <w:hideMark/>
          </w:tcPr>
          <w:p w14:paraId="26CFB069"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683,364</w:t>
            </w:r>
          </w:p>
        </w:tc>
        <w:tc>
          <w:tcPr>
            <w:tcW w:w="743" w:type="pct"/>
            <w:noWrap/>
            <w:vAlign w:val="center"/>
            <w:hideMark/>
          </w:tcPr>
          <w:p w14:paraId="08AF82EA"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761,589</w:t>
            </w:r>
          </w:p>
        </w:tc>
        <w:tc>
          <w:tcPr>
            <w:tcW w:w="565" w:type="pct"/>
            <w:noWrap/>
            <w:vAlign w:val="center"/>
            <w:hideMark/>
          </w:tcPr>
          <w:p w14:paraId="503E0B85"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78,225</w:t>
            </w:r>
          </w:p>
        </w:tc>
        <w:tc>
          <w:tcPr>
            <w:tcW w:w="430" w:type="pct"/>
            <w:noWrap/>
            <w:vAlign w:val="center"/>
            <w:hideMark/>
          </w:tcPr>
          <w:p w14:paraId="774CD637"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11%</w:t>
            </w:r>
          </w:p>
        </w:tc>
        <w:tc>
          <w:tcPr>
            <w:tcW w:w="342" w:type="pct"/>
            <w:noWrap/>
            <w:vAlign w:val="center"/>
            <w:hideMark/>
          </w:tcPr>
          <w:p w14:paraId="59C2E135"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3,200</w:t>
            </w:r>
          </w:p>
        </w:tc>
        <w:tc>
          <w:tcPr>
            <w:tcW w:w="342" w:type="pct"/>
            <w:noWrap/>
            <w:vAlign w:val="center"/>
            <w:hideMark/>
          </w:tcPr>
          <w:p w14:paraId="24469761"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3,410</w:t>
            </w:r>
          </w:p>
        </w:tc>
        <w:tc>
          <w:tcPr>
            <w:tcW w:w="565" w:type="pct"/>
            <w:noWrap/>
            <w:vAlign w:val="center"/>
            <w:hideMark/>
          </w:tcPr>
          <w:p w14:paraId="432A3802"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210</w:t>
            </w:r>
          </w:p>
        </w:tc>
        <w:tc>
          <w:tcPr>
            <w:tcW w:w="430" w:type="pct"/>
            <w:noWrap/>
            <w:vAlign w:val="center"/>
            <w:hideMark/>
          </w:tcPr>
          <w:p w14:paraId="45B3816A" w14:textId="77777777" w:rsidR="00D31F37" w:rsidRPr="00FF7045" w:rsidRDefault="00D31F37" w:rsidP="00FF704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FF7045">
              <w:rPr>
                <w:rFonts w:asciiTheme="majorHAnsi" w:hAnsiTheme="majorHAnsi" w:cstheme="majorHAnsi"/>
                <w:b/>
                <w:bCs/>
                <w:sz w:val="20"/>
                <w:szCs w:val="20"/>
              </w:rPr>
              <w:t>7%</w:t>
            </w:r>
          </w:p>
        </w:tc>
      </w:tr>
    </w:tbl>
    <w:p w14:paraId="35D6B191" w14:textId="77777777" w:rsidR="00D31F37" w:rsidRDefault="00D31F37" w:rsidP="005D645F">
      <w:pPr>
        <w:spacing w:before="0" w:line="240" w:lineRule="auto"/>
        <w:rPr>
          <w:rFonts w:asciiTheme="majorHAnsi" w:hAnsiTheme="majorHAnsi" w:cstheme="majorHAnsi"/>
          <w:i/>
          <w:iCs/>
          <w:sz w:val="20"/>
          <w:szCs w:val="22"/>
          <w:lang w:val="sq-AL"/>
        </w:rPr>
      </w:pPr>
      <w:r w:rsidRPr="005D645F">
        <w:rPr>
          <w:rFonts w:asciiTheme="majorHAnsi" w:hAnsiTheme="majorHAnsi" w:cstheme="majorHAnsi"/>
          <w:i/>
          <w:iCs/>
          <w:sz w:val="20"/>
          <w:szCs w:val="22"/>
          <w:lang w:val="sq-AL"/>
        </w:rPr>
        <w:t>Burimi: Drejtoria e Përgjithshme e Doganave</w:t>
      </w:r>
    </w:p>
    <w:p w14:paraId="315D3D9F" w14:textId="77777777" w:rsidR="00431095" w:rsidRDefault="00431095" w:rsidP="005D645F">
      <w:pPr>
        <w:spacing w:before="0" w:line="240" w:lineRule="auto"/>
        <w:rPr>
          <w:rFonts w:asciiTheme="majorHAnsi" w:hAnsiTheme="majorHAnsi" w:cstheme="majorHAnsi"/>
          <w:i/>
          <w:iCs/>
          <w:sz w:val="20"/>
          <w:szCs w:val="22"/>
          <w:lang w:val="sq-AL"/>
        </w:rPr>
      </w:pPr>
    </w:p>
    <w:p w14:paraId="04B32000" w14:textId="77777777" w:rsidR="00431095" w:rsidRPr="005D645F" w:rsidRDefault="00431095" w:rsidP="005D645F">
      <w:pPr>
        <w:spacing w:before="0" w:line="240" w:lineRule="auto"/>
        <w:rPr>
          <w:rFonts w:asciiTheme="majorHAnsi" w:hAnsiTheme="majorHAnsi" w:cstheme="majorHAnsi"/>
          <w:i/>
          <w:iCs/>
          <w:sz w:val="20"/>
          <w:szCs w:val="22"/>
          <w:lang w:val="sq-AL"/>
        </w:rPr>
      </w:pPr>
    </w:p>
    <w:p w14:paraId="0866E424" w14:textId="77777777" w:rsidR="00D31F37" w:rsidRPr="00FF7045" w:rsidRDefault="00D31F37" w:rsidP="00D31F37">
      <w:pPr>
        <w:spacing w:line="240" w:lineRule="auto"/>
        <w:rPr>
          <w:rFonts w:asciiTheme="majorHAnsi" w:hAnsiTheme="majorHAnsi" w:cstheme="majorHAnsi"/>
          <w:sz w:val="8"/>
          <w:szCs w:val="10"/>
          <w:lang w:val="sq-AL"/>
        </w:rPr>
      </w:pPr>
      <w:r w:rsidRPr="00516127">
        <w:rPr>
          <w:rFonts w:asciiTheme="majorHAnsi" w:hAnsiTheme="majorHAnsi" w:cstheme="majorHAnsi"/>
          <w:lang w:val="sq-AL"/>
        </w:rPr>
        <w:t xml:space="preserve">     </w:t>
      </w:r>
    </w:p>
    <w:p w14:paraId="6E4AF219" w14:textId="7DDA225E" w:rsidR="00D31F37" w:rsidRPr="00126520" w:rsidRDefault="00126520" w:rsidP="00126520">
      <w:pPr>
        <w:pStyle w:val="Caption"/>
        <w:keepNext/>
      </w:pPr>
      <w:bookmarkStart w:id="86" w:name="_Toc229129986"/>
      <w:proofErr w:type="spellStart"/>
      <w:r>
        <w:lastRenderedPageBreak/>
        <w:t>Tabela</w:t>
      </w:r>
      <w:proofErr w:type="spellEnd"/>
      <w:r>
        <w:t xml:space="preserve"> </w:t>
      </w:r>
      <w:fldSimple w:instr=" SEQ Tabela \* ARABIC ">
        <w:r w:rsidR="00CB4DE6">
          <w:rPr>
            <w:noProof/>
          </w:rPr>
          <w:t>12</w:t>
        </w:r>
      </w:fldSimple>
      <w:r>
        <w:t xml:space="preserve"> </w:t>
      </w:r>
      <w:proofErr w:type="spellStart"/>
      <w:r w:rsidRPr="00657F70">
        <w:t>Të</w:t>
      </w:r>
      <w:proofErr w:type="spellEnd"/>
      <w:r w:rsidRPr="00657F70">
        <w:t xml:space="preserve"> </w:t>
      </w:r>
      <w:proofErr w:type="spellStart"/>
      <w:r w:rsidRPr="00657F70">
        <w:t>ardhurat</w:t>
      </w:r>
      <w:proofErr w:type="spellEnd"/>
      <w:r w:rsidRPr="00657F70">
        <w:t xml:space="preserve"> </w:t>
      </w:r>
      <w:proofErr w:type="spellStart"/>
      <w:r w:rsidRPr="00657F70">
        <w:t>në</w:t>
      </w:r>
      <w:proofErr w:type="spellEnd"/>
      <w:r w:rsidRPr="00657F70">
        <w:t xml:space="preserve"> </w:t>
      </w:r>
      <w:proofErr w:type="spellStart"/>
      <w:r w:rsidRPr="00657F70">
        <w:t>akcizë</w:t>
      </w:r>
      <w:proofErr w:type="spellEnd"/>
      <w:r w:rsidRPr="00657F70">
        <w:t xml:space="preserve"> </w:t>
      </w:r>
      <w:proofErr w:type="spellStart"/>
      <w:r w:rsidRPr="00657F70">
        <w:t>nga</w:t>
      </w:r>
      <w:proofErr w:type="spellEnd"/>
      <w:r w:rsidRPr="00657F70">
        <w:t xml:space="preserve"> mallrat </w:t>
      </w:r>
      <w:proofErr w:type="spellStart"/>
      <w:r w:rsidRPr="00657F70">
        <w:t>kryesore</w:t>
      </w:r>
      <w:proofErr w:type="spellEnd"/>
      <w:r w:rsidRPr="00657F70">
        <w:t xml:space="preserve"> </w:t>
      </w:r>
      <w:proofErr w:type="spellStart"/>
      <w:r w:rsidRPr="00657F70">
        <w:t>të</w:t>
      </w:r>
      <w:proofErr w:type="spellEnd"/>
      <w:r w:rsidRPr="00657F70">
        <w:t xml:space="preserve"> </w:t>
      </w:r>
      <w:proofErr w:type="spellStart"/>
      <w:r w:rsidRPr="00657F70">
        <w:t>për</w:t>
      </w:r>
      <w:proofErr w:type="spellEnd"/>
      <w:r w:rsidRPr="00657F70">
        <w:t xml:space="preserve"> </w:t>
      </w:r>
      <w:proofErr w:type="spellStart"/>
      <w:r w:rsidRPr="00657F70">
        <w:t>vitin</w:t>
      </w:r>
      <w:proofErr w:type="spellEnd"/>
      <w:r w:rsidRPr="00657F70">
        <w:t xml:space="preserve"> 2024/2025 </w:t>
      </w:r>
      <w:proofErr w:type="spellStart"/>
      <w:r w:rsidRPr="00657F70">
        <w:t>sipas</w:t>
      </w:r>
      <w:proofErr w:type="spellEnd"/>
      <w:r w:rsidRPr="00657F70">
        <w:t xml:space="preserve"> 60 grup </w:t>
      </w:r>
      <w:proofErr w:type="spellStart"/>
      <w:r w:rsidRPr="00657F70">
        <w:t>produkteve</w:t>
      </w:r>
      <w:bookmarkEnd w:id="86"/>
      <w:proofErr w:type="spellEnd"/>
    </w:p>
    <w:tbl>
      <w:tblPr>
        <w:tblW w:w="4886" w:type="pct"/>
        <w:jc w:val="center"/>
        <w:tblLook w:val="04A0" w:firstRow="1" w:lastRow="0" w:firstColumn="1" w:lastColumn="0" w:noHBand="0" w:noVBand="1"/>
      </w:tblPr>
      <w:tblGrid>
        <w:gridCol w:w="858"/>
        <w:gridCol w:w="2941"/>
        <w:gridCol w:w="1515"/>
        <w:gridCol w:w="1614"/>
        <w:gridCol w:w="1705"/>
        <w:gridCol w:w="1041"/>
      </w:tblGrid>
      <w:tr w:rsidR="005D645F" w:rsidRPr="005D645F" w14:paraId="731D0D8A" w14:textId="77777777" w:rsidTr="0019308C">
        <w:trPr>
          <w:trHeight w:val="253"/>
          <w:jc w:val="center"/>
        </w:trPr>
        <w:tc>
          <w:tcPr>
            <w:tcW w:w="443" w:type="pct"/>
            <w:tcBorders>
              <w:top w:val="nil"/>
              <w:left w:val="nil"/>
              <w:bottom w:val="nil"/>
              <w:right w:val="nil"/>
            </w:tcBorders>
            <w:noWrap/>
            <w:vAlign w:val="bottom"/>
            <w:hideMark/>
          </w:tcPr>
          <w:p w14:paraId="4C368BB0" w14:textId="77777777" w:rsidR="00D31F37" w:rsidRPr="005D645F" w:rsidRDefault="00D31F37" w:rsidP="005D645F">
            <w:pPr>
              <w:spacing w:before="0" w:line="240" w:lineRule="auto"/>
              <w:rPr>
                <w:rFonts w:asciiTheme="majorHAnsi" w:hAnsiTheme="majorHAnsi" w:cstheme="majorHAnsi"/>
                <w:sz w:val="18"/>
                <w:szCs w:val="18"/>
                <w:lang w:val="sq-AL"/>
              </w:rPr>
            </w:pPr>
          </w:p>
        </w:tc>
        <w:tc>
          <w:tcPr>
            <w:tcW w:w="1520" w:type="pct"/>
            <w:tcBorders>
              <w:top w:val="nil"/>
              <w:left w:val="nil"/>
              <w:bottom w:val="nil"/>
              <w:right w:val="nil"/>
            </w:tcBorders>
            <w:noWrap/>
            <w:vAlign w:val="bottom"/>
            <w:hideMark/>
          </w:tcPr>
          <w:p w14:paraId="6399BA46" w14:textId="77777777" w:rsidR="00D31F37" w:rsidRPr="005D645F" w:rsidRDefault="00D31F37" w:rsidP="005D645F">
            <w:pPr>
              <w:spacing w:before="0" w:line="240" w:lineRule="auto"/>
              <w:rPr>
                <w:rFonts w:asciiTheme="majorHAnsi" w:hAnsiTheme="majorHAnsi" w:cstheme="majorHAnsi"/>
                <w:sz w:val="18"/>
                <w:szCs w:val="18"/>
                <w:lang w:val="sq-AL"/>
              </w:rPr>
            </w:pPr>
          </w:p>
        </w:tc>
        <w:tc>
          <w:tcPr>
            <w:tcW w:w="783" w:type="pct"/>
            <w:tcBorders>
              <w:top w:val="nil"/>
              <w:left w:val="nil"/>
              <w:bottom w:val="nil"/>
              <w:right w:val="nil"/>
            </w:tcBorders>
            <w:noWrap/>
            <w:vAlign w:val="bottom"/>
            <w:hideMark/>
          </w:tcPr>
          <w:p w14:paraId="1B8BF961" w14:textId="77777777" w:rsidR="00D31F37" w:rsidRPr="005D645F" w:rsidRDefault="00D31F37" w:rsidP="005D645F">
            <w:pPr>
              <w:spacing w:before="0" w:line="240" w:lineRule="auto"/>
              <w:rPr>
                <w:rFonts w:asciiTheme="majorHAnsi" w:hAnsiTheme="majorHAnsi" w:cstheme="majorHAnsi"/>
                <w:sz w:val="18"/>
                <w:szCs w:val="18"/>
                <w:lang w:val="sq-AL"/>
              </w:rPr>
            </w:pPr>
          </w:p>
        </w:tc>
        <w:tc>
          <w:tcPr>
            <w:tcW w:w="834" w:type="pct"/>
            <w:tcBorders>
              <w:top w:val="nil"/>
              <w:left w:val="nil"/>
              <w:bottom w:val="nil"/>
              <w:right w:val="nil"/>
            </w:tcBorders>
            <w:noWrap/>
            <w:vAlign w:val="bottom"/>
            <w:hideMark/>
          </w:tcPr>
          <w:p w14:paraId="63EAD1EE" w14:textId="77777777" w:rsidR="00D31F37" w:rsidRPr="005D645F" w:rsidRDefault="00D31F37" w:rsidP="005D645F">
            <w:pPr>
              <w:spacing w:before="0" w:line="240" w:lineRule="auto"/>
              <w:rPr>
                <w:rFonts w:asciiTheme="majorHAnsi" w:hAnsiTheme="majorHAnsi" w:cstheme="majorHAnsi"/>
                <w:sz w:val="18"/>
                <w:szCs w:val="18"/>
                <w:lang w:val="sq-AL"/>
              </w:rPr>
            </w:pPr>
          </w:p>
        </w:tc>
        <w:tc>
          <w:tcPr>
            <w:tcW w:w="1419" w:type="pct"/>
            <w:gridSpan w:val="2"/>
            <w:tcBorders>
              <w:top w:val="nil"/>
              <w:left w:val="nil"/>
              <w:bottom w:val="nil"/>
              <w:right w:val="nil"/>
            </w:tcBorders>
            <w:noWrap/>
            <w:vAlign w:val="bottom"/>
            <w:hideMark/>
          </w:tcPr>
          <w:p w14:paraId="4284938B" w14:textId="0772100D" w:rsidR="00D31F37" w:rsidRPr="005D645F" w:rsidRDefault="00492B15" w:rsidP="005D645F">
            <w:pPr>
              <w:spacing w:before="0" w:line="240" w:lineRule="auto"/>
              <w:rPr>
                <w:rFonts w:asciiTheme="majorHAnsi" w:hAnsiTheme="majorHAnsi" w:cstheme="majorHAnsi"/>
                <w:sz w:val="18"/>
                <w:szCs w:val="18"/>
                <w:lang w:val="sq-AL"/>
              </w:rPr>
            </w:pPr>
            <w:r w:rsidRPr="005D645F">
              <w:rPr>
                <w:rFonts w:asciiTheme="majorHAnsi" w:hAnsiTheme="majorHAnsi" w:cstheme="majorHAnsi"/>
                <w:sz w:val="18"/>
                <w:szCs w:val="18"/>
                <w:lang w:val="sq-AL"/>
              </w:rPr>
              <w:t xml:space="preserve">               </w:t>
            </w:r>
            <w:r w:rsidR="00D31F37" w:rsidRPr="005D645F">
              <w:rPr>
                <w:rFonts w:asciiTheme="majorHAnsi" w:hAnsiTheme="majorHAnsi" w:cstheme="majorHAnsi"/>
                <w:sz w:val="18"/>
                <w:szCs w:val="18"/>
                <w:lang w:val="sq-AL"/>
              </w:rPr>
              <w:t xml:space="preserve">në mijë </w:t>
            </w:r>
            <w:r w:rsidR="0056260B" w:rsidRPr="005D645F">
              <w:rPr>
                <w:rFonts w:asciiTheme="majorHAnsi" w:hAnsiTheme="majorHAnsi" w:cstheme="majorHAnsi"/>
                <w:sz w:val="18"/>
                <w:szCs w:val="18"/>
                <w:lang w:val="sq-AL"/>
              </w:rPr>
              <w:t>LEK</w:t>
            </w:r>
          </w:p>
        </w:tc>
      </w:tr>
      <w:tr w:rsidR="005D645F" w:rsidRPr="005D645F" w14:paraId="120E701A" w14:textId="77777777" w:rsidTr="0019308C">
        <w:trPr>
          <w:trHeight w:val="253"/>
          <w:jc w:val="center"/>
        </w:trPr>
        <w:tc>
          <w:tcPr>
            <w:tcW w:w="443"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3C9D635D"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Nr</w:t>
            </w:r>
          </w:p>
        </w:tc>
        <w:tc>
          <w:tcPr>
            <w:tcW w:w="1520"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7CF9C6EA"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Artikulli</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55100F0"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2024</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F9DA976"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2025</w:t>
            </w:r>
          </w:p>
        </w:tc>
        <w:tc>
          <w:tcPr>
            <w:tcW w:w="1419" w:type="pct"/>
            <w:gridSpan w:val="2"/>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3E7B0F80"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Diferenca</w:t>
            </w:r>
          </w:p>
        </w:tc>
      </w:tr>
      <w:tr w:rsidR="005D645F" w:rsidRPr="005D645F" w14:paraId="6C80D213" w14:textId="77777777" w:rsidTr="0019308C">
        <w:trPr>
          <w:trHeight w:val="253"/>
          <w:jc w:val="center"/>
        </w:trPr>
        <w:tc>
          <w:tcPr>
            <w:tcW w:w="443"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EEF5DAD"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FE99395"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783"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ECF9DE2"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834"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0DE8D061"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881" w:type="pct"/>
            <w:tcBorders>
              <w:top w:val="nil"/>
              <w:left w:val="nil"/>
              <w:bottom w:val="single" w:sz="4" w:space="0" w:color="auto"/>
              <w:right w:val="single" w:sz="4" w:space="0" w:color="auto"/>
            </w:tcBorders>
            <w:shd w:val="clear" w:color="auto" w:fill="C0D7F1" w:themeFill="text2" w:themeFillTint="33"/>
            <w:noWrap/>
            <w:vAlign w:val="center"/>
            <w:hideMark/>
          </w:tcPr>
          <w:p w14:paraId="378ED495"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Vlerë</w:t>
            </w:r>
          </w:p>
        </w:tc>
        <w:tc>
          <w:tcPr>
            <w:tcW w:w="538" w:type="pct"/>
            <w:tcBorders>
              <w:top w:val="nil"/>
              <w:left w:val="nil"/>
              <w:bottom w:val="single" w:sz="4" w:space="0" w:color="auto"/>
              <w:right w:val="single" w:sz="4" w:space="0" w:color="auto"/>
            </w:tcBorders>
            <w:shd w:val="clear" w:color="auto" w:fill="C0D7F1" w:themeFill="text2" w:themeFillTint="33"/>
            <w:noWrap/>
            <w:vAlign w:val="center"/>
            <w:hideMark/>
          </w:tcPr>
          <w:p w14:paraId="7D7E2C92"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në %</w:t>
            </w:r>
          </w:p>
        </w:tc>
      </w:tr>
      <w:tr w:rsidR="005D645F" w:rsidRPr="005D645F" w14:paraId="2038933E"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2508189E"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w:t>
            </w:r>
          </w:p>
        </w:tc>
        <w:tc>
          <w:tcPr>
            <w:tcW w:w="1520" w:type="pct"/>
            <w:tcBorders>
              <w:top w:val="nil"/>
              <w:left w:val="nil"/>
              <w:bottom w:val="single" w:sz="4" w:space="0" w:color="auto"/>
              <w:right w:val="single" w:sz="4" w:space="0" w:color="auto"/>
            </w:tcBorders>
            <w:noWrap/>
            <w:vAlign w:val="bottom"/>
            <w:hideMark/>
          </w:tcPr>
          <w:p w14:paraId="42A526A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Cigare</w:t>
            </w:r>
          </w:p>
        </w:tc>
        <w:tc>
          <w:tcPr>
            <w:tcW w:w="783" w:type="pct"/>
            <w:tcBorders>
              <w:top w:val="nil"/>
              <w:left w:val="nil"/>
              <w:bottom w:val="single" w:sz="4" w:space="0" w:color="auto"/>
              <w:right w:val="single" w:sz="4" w:space="0" w:color="auto"/>
            </w:tcBorders>
            <w:noWrap/>
            <w:vAlign w:val="bottom"/>
            <w:hideMark/>
          </w:tcPr>
          <w:p w14:paraId="54C90340"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23,650,124</w:t>
            </w:r>
          </w:p>
        </w:tc>
        <w:tc>
          <w:tcPr>
            <w:tcW w:w="834" w:type="pct"/>
            <w:tcBorders>
              <w:top w:val="nil"/>
              <w:left w:val="nil"/>
              <w:bottom w:val="single" w:sz="4" w:space="0" w:color="auto"/>
              <w:right w:val="single" w:sz="4" w:space="0" w:color="auto"/>
            </w:tcBorders>
            <w:noWrap/>
            <w:vAlign w:val="bottom"/>
            <w:hideMark/>
          </w:tcPr>
          <w:p w14:paraId="3E8E90A2"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25,705,663</w:t>
            </w:r>
          </w:p>
        </w:tc>
        <w:tc>
          <w:tcPr>
            <w:tcW w:w="881" w:type="pct"/>
            <w:tcBorders>
              <w:top w:val="nil"/>
              <w:left w:val="nil"/>
              <w:bottom w:val="single" w:sz="4" w:space="0" w:color="auto"/>
              <w:right w:val="single" w:sz="4" w:space="0" w:color="auto"/>
            </w:tcBorders>
            <w:noWrap/>
            <w:vAlign w:val="bottom"/>
            <w:hideMark/>
          </w:tcPr>
          <w:p w14:paraId="7E4F5D48"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2,055,538</w:t>
            </w:r>
          </w:p>
        </w:tc>
        <w:tc>
          <w:tcPr>
            <w:tcW w:w="538" w:type="pct"/>
            <w:tcBorders>
              <w:top w:val="nil"/>
              <w:left w:val="nil"/>
              <w:bottom w:val="single" w:sz="4" w:space="0" w:color="auto"/>
              <w:right w:val="single" w:sz="4" w:space="0" w:color="auto"/>
            </w:tcBorders>
            <w:noWrap/>
            <w:vAlign w:val="bottom"/>
            <w:hideMark/>
          </w:tcPr>
          <w:p w14:paraId="45BA8978"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9%</w:t>
            </w:r>
          </w:p>
        </w:tc>
      </w:tr>
      <w:tr w:rsidR="005D645F" w:rsidRPr="005D645F" w14:paraId="3D22AAC9"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575726A"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w:t>
            </w:r>
          </w:p>
        </w:tc>
        <w:tc>
          <w:tcPr>
            <w:tcW w:w="1520" w:type="pct"/>
            <w:tcBorders>
              <w:top w:val="nil"/>
              <w:left w:val="nil"/>
              <w:bottom w:val="single" w:sz="4" w:space="0" w:color="auto"/>
              <w:right w:val="single" w:sz="4" w:space="0" w:color="auto"/>
            </w:tcBorders>
            <w:noWrap/>
            <w:vAlign w:val="bottom"/>
            <w:hideMark/>
          </w:tcPr>
          <w:p w14:paraId="75B30B85"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Duhan Importi</w:t>
            </w:r>
          </w:p>
        </w:tc>
        <w:tc>
          <w:tcPr>
            <w:tcW w:w="783" w:type="pct"/>
            <w:tcBorders>
              <w:top w:val="nil"/>
              <w:left w:val="nil"/>
              <w:bottom w:val="single" w:sz="4" w:space="0" w:color="auto"/>
              <w:right w:val="single" w:sz="4" w:space="0" w:color="auto"/>
            </w:tcBorders>
            <w:noWrap/>
            <w:vAlign w:val="bottom"/>
            <w:hideMark/>
          </w:tcPr>
          <w:p w14:paraId="70CDE44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881,621</w:t>
            </w:r>
          </w:p>
        </w:tc>
        <w:tc>
          <w:tcPr>
            <w:tcW w:w="834" w:type="pct"/>
            <w:tcBorders>
              <w:top w:val="nil"/>
              <w:left w:val="nil"/>
              <w:bottom w:val="single" w:sz="4" w:space="0" w:color="auto"/>
              <w:right w:val="single" w:sz="4" w:space="0" w:color="auto"/>
            </w:tcBorders>
            <w:noWrap/>
            <w:vAlign w:val="bottom"/>
            <w:hideMark/>
          </w:tcPr>
          <w:p w14:paraId="25BC48E6"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509,682</w:t>
            </w:r>
          </w:p>
        </w:tc>
        <w:tc>
          <w:tcPr>
            <w:tcW w:w="881" w:type="pct"/>
            <w:tcBorders>
              <w:top w:val="nil"/>
              <w:left w:val="nil"/>
              <w:bottom w:val="single" w:sz="4" w:space="0" w:color="auto"/>
              <w:right w:val="single" w:sz="4" w:space="0" w:color="auto"/>
            </w:tcBorders>
            <w:noWrap/>
            <w:vAlign w:val="bottom"/>
            <w:hideMark/>
          </w:tcPr>
          <w:p w14:paraId="43455AD3"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     371,939</w:t>
            </w:r>
          </w:p>
        </w:tc>
        <w:tc>
          <w:tcPr>
            <w:tcW w:w="538" w:type="pct"/>
            <w:tcBorders>
              <w:top w:val="nil"/>
              <w:left w:val="nil"/>
              <w:bottom w:val="single" w:sz="4" w:space="0" w:color="auto"/>
              <w:right w:val="single" w:sz="4" w:space="0" w:color="auto"/>
            </w:tcBorders>
            <w:noWrap/>
            <w:vAlign w:val="bottom"/>
            <w:hideMark/>
          </w:tcPr>
          <w:p w14:paraId="56BA1E21"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-42%</w:t>
            </w:r>
          </w:p>
        </w:tc>
      </w:tr>
      <w:tr w:rsidR="005D645F" w:rsidRPr="005D645F" w14:paraId="44155C53"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75FEAFD7"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w:t>
            </w:r>
          </w:p>
        </w:tc>
        <w:tc>
          <w:tcPr>
            <w:tcW w:w="1520" w:type="pct"/>
            <w:tcBorders>
              <w:top w:val="nil"/>
              <w:left w:val="nil"/>
              <w:bottom w:val="single" w:sz="4" w:space="0" w:color="auto"/>
              <w:right w:val="single" w:sz="4" w:space="0" w:color="auto"/>
            </w:tcBorders>
            <w:noWrap/>
            <w:vAlign w:val="bottom"/>
            <w:hideMark/>
          </w:tcPr>
          <w:p w14:paraId="46ACCE9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Duhan Prodhim Vendi</w:t>
            </w:r>
          </w:p>
        </w:tc>
        <w:tc>
          <w:tcPr>
            <w:tcW w:w="783" w:type="pct"/>
            <w:tcBorders>
              <w:top w:val="nil"/>
              <w:left w:val="nil"/>
              <w:bottom w:val="single" w:sz="4" w:space="0" w:color="auto"/>
              <w:right w:val="single" w:sz="4" w:space="0" w:color="auto"/>
            </w:tcBorders>
            <w:noWrap/>
            <w:vAlign w:val="bottom"/>
            <w:hideMark/>
          </w:tcPr>
          <w:p w14:paraId="6E7EE1C1"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212,095</w:t>
            </w:r>
          </w:p>
        </w:tc>
        <w:tc>
          <w:tcPr>
            <w:tcW w:w="834" w:type="pct"/>
            <w:tcBorders>
              <w:top w:val="nil"/>
              <w:left w:val="nil"/>
              <w:bottom w:val="single" w:sz="4" w:space="0" w:color="auto"/>
              <w:right w:val="single" w:sz="4" w:space="0" w:color="auto"/>
            </w:tcBorders>
            <w:noWrap/>
            <w:vAlign w:val="bottom"/>
            <w:hideMark/>
          </w:tcPr>
          <w:p w14:paraId="14A793F7"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266,541</w:t>
            </w:r>
          </w:p>
        </w:tc>
        <w:tc>
          <w:tcPr>
            <w:tcW w:w="881" w:type="pct"/>
            <w:tcBorders>
              <w:top w:val="nil"/>
              <w:left w:val="nil"/>
              <w:bottom w:val="single" w:sz="4" w:space="0" w:color="auto"/>
              <w:right w:val="single" w:sz="4" w:space="0" w:color="auto"/>
            </w:tcBorders>
            <w:noWrap/>
            <w:vAlign w:val="bottom"/>
            <w:hideMark/>
          </w:tcPr>
          <w:p w14:paraId="7BE41F1A"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54,446</w:t>
            </w:r>
          </w:p>
        </w:tc>
        <w:tc>
          <w:tcPr>
            <w:tcW w:w="538" w:type="pct"/>
            <w:tcBorders>
              <w:top w:val="nil"/>
              <w:left w:val="nil"/>
              <w:bottom w:val="single" w:sz="4" w:space="0" w:color="auto"/>
              <w:right w:val="single" w:sz="4" w:space="0" w:color="auto"/>
            </w:tcBorders>
            <w:noWrap/>
            <w:vAlign w:val="bottom"/>
            <w:hideMark/>
          </w:tcPr>
          <w:p w14:paraId="798A275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26%</w:t>
            </w:r>
          </w:p>
        </w:tc>
      </w:tr>
      <w:tr w:rsidR="005D645F" w:rsidRPr="005D645F" w14:paraId="01C3D468"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0283BCE4"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tcBorders>
              <w:top w:val="nil"/>
              <w:left w:val="nil"/>
              <w:bottom w:val="single" w:sz="4" w:space="0" w:color="auto"/>
              <w:right w:val="single" w:sz="4" w:space="0" w:color="auto"/>
            </w:tcBorders>
            <w:noWrap/>
            <w:vAlign w:val="bottom"/>
            <w:hideMark/>
          </w:tcPr>
          <w:p w14:paraId="12F2170D"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Cigare Duhan Total</w:t>
            </w:r>
          </w:p>
        </w:tc>
        <w:tc>
          <w:tcPr>
            <w:tcW w:w="783" w:type="pct"/>
            <w:tcBorders>
              <w:top w:val="nil"/>
              <w:left w:val="nil"/>
              <w:bottom w:val="single" w:sz="4" w:space="0" w:color="auto"/>
              <w:right w:val="single" w:sz="4" w:space="0" w:color="auto"/>
            </w:tcBorders>
            <w:noWrap/>
            <w:vAlign w:val="bottom"/>
            <w:hideMark/>
          </w:tcPr>
          <w:p w14:paraId="6C6B053F"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24,743,840</w:t>
            </w:r>
          </w:p>
        </w:tc>
        <w:tc>
          <w:tcPr>
            <w:tcW w:w="834" w:type="pct"/>
            <w:tcBorders>
              <w:top w:val="nil"/>
              <w:left w:val="nil"/>
              <w:bottom w:val="single" w:sz="4" w:space="0" w:color="auto"/>
              <w:right w:val="single" w:sz="4" w:space="0" w:color="auto"/>
            </w:tcBorders>
            <w:noWrap/>
            <w:vAlign w:val="bottom"/>
            <w:hideMark/>
          </w:tcPr>
          <w:p w14:paraId="60B52338"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26,481,886</w:t>
            </w:r>
          </w:p>
        </w:tc>
        <w:tc>
          <w:tcPr>
            <w:tcW w:w="881" w:type="pct"/>
            <w:tcBorders>
              <w:top w:val="nil"/>
              <w:left w:val="nil"/>
              <w:bottom w:val="single" w:sz="4" w:space="0" w:color="auto"/>
              <w:right w:val="single" w:sz="4" w:space="0" w:color="auto"/>
            </w:tcBorders>
            <w:noWrap/>
            <w:vAlign w:val="bottom"/>
            <w:hideMark/>
          </w:tcPr>
          <w:p w14:paraId="2014F363"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1,738,045</w:t>
            </w:r>
          </w:p>
        </w:tc>
        <w:tc>
          <w:tcPr>
            <w:tcW w:w="538" w:type="pct"/>
            <w:tcBorders>
              <w:top w:val="nil"/>
              <w:left w:val="nil"/>
              <w:bottom w:val="single" w:sz="4" w:space="0" w:color="auto"/>
              <w:right w:val="single" w:sz="4" w:space="0" w:color="auto"/>
            </w:tcBorders>
            <w:noWrap/>
            <w:vAlign w:val="bottom"/>
            <w:hideMark/>
          </w:tcPr>
          <w:p w14:paraId="5EC9E0D9"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7%</w:t>
            </w:r>
          </w:p>
        </w:tc>
      </w:tr>
      <w:tr w:rsidR="005D645F" w:rsidRPr="005D645F" w14:paraId="437A0F7F"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50B838A7"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4</w:t>
            </w:r>
          </w:p>
        </w:tc>
        <w:tc>
          <w:tcPr>
            <w:tcW w:w="1520" w:type="pct"/>
            <w:tcBorders>
              <w:top w:val="nil"/>
              <w:left w:val="nil"/>
              <w:bottom w:val="single" w:sz="4" w:space="0" w:color="auto"/>
              <w:right w:val="single" w:sz="4" w:space="0" w:color="auto"/>
            </w:tcBorders>
            <w:noWrap/>
            <w:vAlign w:val="bottom"/>
            <w:hideMark/>
          </w:tcPr>
          <w:p w14:paraId="46623237"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Birrë Importi</w:t>
            </w:r>
          </w:p>
        </w:tc>
        <w:tc>
          <w:tcPr>
            <w:tcW w:w="783" w:type="pct"/>
            <w:tcBorders>
              <w:top w:val="nil"/>
              <w:left w:val="nil"/>
              <w:bottom w:val="single" w:sz="4" w:space="0" w:color="auto"/>
              <w:right w:val="single" w:sz="4" w:space="0" w:color="auto"/>
            </w:tcBorders>
            <w:noWrap/>
            <w:vAlign w:val="bottom"/>
            <w:hideMark/>
          </w:tcPr>
          <w:p w14:paraId="402D46C4"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1,980,530</w:t>
            </w:r>
          </w:p>
        </w:tc>
        <w:tc>
          <w:tcPr>
            <w:tcW w:w="834" w:type="pct"/>
            <w:tcBorders>
              <w:top w:val="nil"/>
              <w:left w:val="nil"/>
              <w:bottom w:val="single" w:sz="4" w:space="0" w:color="auto"/>
              <w:right w:val="single" w:sz="4" w:space="0" w:color="auto"/>
            </w:tcBorders>
            <w:noWrap/>
            <w:vAlign w:val="bottom"/>
            <w:hideMark/>
          </w:tcPr>
          <w:p w14:paraId="24009E6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1,874,359</w:t>
            </w:r>
          </w:p>
        </w:tc>
        <w:tc>
          <w:tcPr>
            <w:tcW w:w="881" w:type="pct"/>
            <w:tcBorders>
              <w:top w:val="nil"/>
              <w:left w:val="nil"/>
              <w:bottom w:val="single" w:sz="4" w:space="0" w:color="auto"/>
              <w:right w:val="single" w:sz="4" w:space="0" w:color="auto"/>
            </w:tcBorders>
            <w:noWrap/>
            <w:vAlign w:val="bottom"/>
            <w:hideMark/>
          </w:tcPr>
          <w:p w14:paraId="46CA918A"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     106,171</w:t>
            </w:r>
          </w:p>
        </w:tc>
        <w:tc>
          <w:tcPr>
            <w:tcW w:w="538" w:type="pct"/>
            <w:tcBorders>
              <w:top w:val="nil"/>
              <w:left w:val="nil"/>
              <w:bottom w:val="single" w:sz="4" w:space="0" w:color="auto"/>
              <w:right w:val="single" w:sz="4" w:space="0" w:color="auto"/>
            </w:tcBorders>
            <w:noWrap/>
            <w:vAlign w:val="bottom"/>
            <w:hideMark/>
          </w:tcPr>
          <w:p w14:paraId="643E4215"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w:t>
            </w:r>
          </w:p>
        </w:tc>
      </w:tr>
      <w:tr w:rsidR="005D645F" w:rsidRPr="005D645F" w14:paraId="23CD4DF1"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CB15C3F"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5</w:t>
            </w:r>
          </w:p>
        </w:tc>
        <w:tc>
          <w:tcPr>
            <w:tcW w:w="1520" w:type="pct"/>
            <w:tcBorders>
              <w:top w:val="nil"/>
              <w:left w:val="nil"/>
              <w:bottom w:val="single" w:sz="4" w:space="0" w:color="auto"/>
              <w:right w:val="single" w:sz="4" w:space="0" w:color="auto"/>
            </w:tcBorders>
            <w:noWrap/>
            <w:vAlign w:val="bottom"/>
            <w:hideMark/>
          </w:tcPr>
          <w:p w14:paraId="7B2C9FF2"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Birrë Prodhim Vendi</w:t>
            </w:r>
          </w:p>
        </w:tc>
        <w:tc>
          <w:tcPr>
            <w:tcW w:w="783" w:type="pct"/>
            <w:tcBorders>
              <w:top w:val="nil"/>
              <w:left w:val="nil"/>
              <w:bottom w:val="single" w:sz="4" w:space="0" w:color="auto"/>
              <w:right w:val="single" w:sz="4" w:space="0" w:color="auto"/>
            </w:tcBorders>
            <w:noWrap/>
            <w:vAlign w:val="bottom"/>
            <w:hideMark/>
          </w:tcPr>
          <w:p w14:paraId="7A00F68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1,176,811</w:t>
            </w:r>
          </w:p>
        </w:tc>
        <w:tc>
          <w:tcPr>
            <w:tcW w:w="834" w:type="pct"/>
            <w:tcBorders>
              <w:top w:val="nil"/>
              <w:left w:val="nil"/>
              <w:bottom w:val="single" w:sz="4" w:space="0" w:color="auto"/>
              <w:right w:val="single" w:sz="4" w:space="0" w:color="auto"/>
            </w:tcBorders>
            <w:noWrap/>
            <w:vAlign w:val="bottom"/>
            <w:hideMark/>
          </w:tcPr>
          <w:p w14:paraId="11FF984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1,261,904</w:t>
            </w:r>
          </w:p>
        </w:tc>
        <w:tc>
          <w:tcPr>
            <w:tcW w:w="881" w:type="pct"/>
            <w:tcBorders>
              <w:top w:val="nil"/>
              <w:left w:val="nil"/>
              <w:bottom w:val="single" w:sz="4" w:space="0" w:color="auto"/>
              <w:right w:val="single" w:sz="4" w:space="0" w:color="auto"/>
            </w:tcBorders>
            <w:noWrap/>
            <w:vAlign w:val="bottom"/>
            <w:hideMark/>
          </w:tcPr>
          <w:p w14:paraId="15829F6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85,093</w:t>
            </w:r>
          </w:p>
        </w:tc>
        <w:tc>
          <w:tcPr>
            <w:tcW w:w="538" w:type="pct"/>
            <w:tcBorders>
              <w:top w:val="nil"/>
              <w:left w:val="nil"/>
              <w:bottom w:val="single" w:sz="4" w:space="0" w:color="auto"/>
              <w:right w:val="single" w:sz="4" w:space="0" w:color="auto"/>
            </w:tcBorders>
            <w:noWrap/>
            <w:vAlign w:val="bottom"/>
            <w:hideMark/>
          </w:tcPr>
          <w:p w14:paraId="4F2A4607"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7%</w:t>
            </w:r>
          </w:p>
        </w:tc>
      </w:tr>
      <w:tr w:rsidR="005D645F" w:rsidRPr="005D645F" w14:paraId="40D4A9F3"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1633D066"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tcBorders>
              <w:top w:val="nil"/>
              <w:left w:val="nil"/>
              <w:bottom w:val="single" w:sz="4" w:space="0" w:color="auto"/>
              <w:right w:val="single" w:sz="4" w:space="0" w:color="auto"/>
            </w:tcBorders>
            <w:noWrap/>
            <w:vAlign w:val="bottom"/>
            <w:hideMark/>
          </w:tcPr>
          <w:p w14:paraId="5CCE9538"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Birre Total</w:t>
            </w:r>
          </w:p>
        </w:tc>
        <w:tc>
          <w:tcPr>
            <w:tcW w:w="783" w:type="pct"/>
            <w:tcBorders>
              <w:top w:val="nil"/>
              <w:left w:val="nil"/>
              <w:bottom w:val="single" w:sz="4" w:space="0" w:color="auto"/>
              <w:right w:val="single" w:sz="4" w:space="0" w:color="auto"/>
            </w:tcBorders>
            <w:noWrap/>
            <w:vAlign w:val="bottom"/>
            <w:hideMark/>
          </w:tcPr>
          <w:p w14:paraId="7C3F8013"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3,157,341</w:t>
            </w:r>
          </w:p>
        </w:tc>
        <w:tc>
          <w:tcPr>
            <w:tcW w:w="834" w:type="pct"/>
            <w:tcBorders>
              <w:top w:val="nil"/>
              <w:left w:val="nil"/>
              <w:bottom w:val="single" w:sz="4" w:space="0" w:color="auto"/>
              <w:right w:val="single" w:sz="4" w:space="0" w:color="auto"/>
            </w:tcBorders>
            <w:noWrap/>
            <w:vAlign w:val="bottom"/>
            <w:hideMark/>
          </w:tcPr>
          <w:p w14:paraId="2B2146F9"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3,136,263</w:t>
            </w:r>
          </w:p>
        </w:tc>
        <w:tc>
          <w:tcPr>
            <w:tcW w:w="881" w:type="pct"/>
            <w:tcBorders>
              <w:top w:val="nil"/>
              <w:left w:val="nil"/>
              <w:bottom w:val="single" w:sz="4" w:space="0" w:color="auto"/>
              <w:right w:val="single" w:sz="4" w:space="0" w:color="auto"/>
            </w:tcBorders>
            <w:noWrap/>
            <w:vAlign w:val="bottom"/>
            <w:hideMark/>
          </w:tcPr>
          <w:p w14:paraId="36AC91DA"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       21,078</w:t>
            </w:r>
          </w:p>
        </w:tc>
        <w:tc>
          <w:tcPr>
            <w:tcW w:w="538" w:type="pct"/>
            <w:tcBorders>
              <w:top w:val="nil"/>
              <w:left w:val="nil"/>
              <w:bottom w:val="single" w:sz="4" w:space="0" w:color="auto"/>
              <w:right w:val="single" w:sz="4" w:space="0" w:color="auto"/>
            </w:tcBorders>
            <w:noWrap/>
            <w:vAlign w:val="bottom"/>
            <w:hideMark/>
          </w:tcPr>
          <w:p w14:paraId="15643868"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w:t>
            </w:r>
          </w:p>
        </w:tc>
      </w:tr>
      <w:tr w:rsidR="005D645F" w:rsidRPr="005D645F" w14:paraId="7F3F20E5"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988A3A6"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6</w:t>
            </w:r>
          </w:p>
        </w:tc>
        <w:tc>
          <w:tcPr>
            <w:tcW w:w="1520" w:type="pct"/>
            <w:tcBorders>
              <w:top w:val="nil"/>
              <w:left w:val="nil"/>
              <w:bottom w:val="single" w:sz="4" w:space="0" w:color="auto"/>
              <w:right w:val="single" w:sz="4" w:space="0" w:color="auto"/>
            </w:tcBorders>
            <w:noWrap/>
            <w:vAlign w:val="bottom"/>
            <w:hideMark/>
          </w:tcPr>
          <w:p w14:paraId="49FADF03"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Pije Alkolike Import</w:t>
            </w:r>
          </w:p>
        </w:tc>
        <w:tc>
          <w:tcPr>
            <w:tcW w:w="783" w:type="pct"/>
            <w:tcBorders>
              <w:top w:val="nil"/>
              <w:left w:val="nil"/>
              <w:bottom w:val="single" w:sz="4" w:space="0" w:color="auto"/>
              <w:right w:val="single" w:sz="4" w:space="0" w:color="auto"/>
            </w:tcBorders>
            <w:noWrap/>
            <w:vAlign w:val="bottom"/>
            <w:hideMark/>
          </w:tcPr>
          <w:p w14:paraId="384A496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597,764</w:t>
            </w:r>
          </w:p>
        </w:tc>
        <w:tc>
          <w:tcPr>
            <w:tcW w:w="834" w:type="pct"/>
            <w:tcBorders>
              <w:top w:val="nil"/>
              <w:left w:val="nil"/>
              <w:bottom w:val="single" w:sz="4" w:space="0" w:color="auto"/>
              <w:right w:val="single" w:sz="4" w:space="0" w:color="auto"/>
            </w:tcBorders>
            <w:noWrap/>
            <w:vAlign w:val="bottom"/>
            <w:hideMark/>
          </w:tcPr>
          <w:p w14:paraId="14EF1A63"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643,690</w:t>
            </w:r>
          </w:p>
        </w:tc>
        <w:tc>
          <w:tcPr>
            <w:tcW w:w="881" w:type="pct"/>
            <w:tcBorders>
              <w:top w:val="nil"/>
              <w:left w:val="nil"/>
              <w:bottom w:val="single" w:sz="4" w:space="0" w:color="auto"/>
              <w:right w:val="single" w:sz="4" w:space="0" w:color="auto"/>
            </w:tcBorders>
            <w:noWrap/>
            <w:vAlign w:val="bottom"/>
            <w:hideMark/>
          </w:tcPr>
          <w:p w14:paraId="33D40841"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45,926</w:t>
            </w:r>
          </w:p>
        </w:tc>
        <w:tc>
          <w:tcPr>
            <w:tcW w:w="538" w:type="pct"/>
            <w:tcBorders>
              <w:top w:val="nil"/>
              <w:left w:val="nil"/>
              <w:bottom w:val="single" w:sz="4" w:space="0" w:color="auto"/>
              <w:right w:val="single" w:sz="4" w:space="0" w:color="auto"/>
            </w:tcBorders>
            <w:noWrap/>
            <w:vAlign w:val="bottom"/>
            <w:hideMark/>
          </w:tcPr>
          <w:p w14:paraId="684D799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w:t>
            </w:r>
          </w:p>
        </w:tc>
      </w:tr>
      <w:tr w:rsidR="005D645F" w:rsidRPr="005D645F" w14:paraId="100474F2"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3DDFF7B"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7</w:t>
            </w:r>
          </w:p>
        </w:tc>
        <w:tc>
          <w:tcPr>
            <w:tcW w:w="1520" w:type="pct"/>
            <w:tcBorders>
              <w:top w:val="nil"/>
              <w:left w:val="nil"/>
              <w:bottom w:val="single" w:sz="4" w:space="0" w:color="auto"/>
              <w:right w:val="single" w:sz="4" w:space="0" w:color="auto"/>
            </w:tcBorders>
            <w:noWrap/>
            <w:vAlign w:val="bottom"/>
            <w:hideMark/>
          </w:tcPr>
          <w:p w14:paraId="669EE91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Pije Alkolike Prodhim Vendi</w:t>
            </w:r>
          </w:p>
        </w:tc>
        <w:tc>
          <w:tcPr>
            <w:tcW w:w="783" w:type="pct"/>
            <w:tcBorders>
              <w:top w:val="nil"/>
              <w:left w:val="nil"/>
              <w:bottom w:val="single" w:sz="4" w:space="0" w:color="auto"/>
              <w:right w:val="single" w:sz="4" w:space="0" w:color="auto"/>
            </w:tcBorders>
            <w:noWrap/>
            <w:vAlign w:val="bottom"/>
            <w:hideMark/>
          </w:tcPr>
          <w:p w14:paraId="7962497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85,112</w:t>
            </w:r>
          </w:p>
        </w:tc>
        <w:tc>
          <w:tcPr>
            <w:tcW w:w="834" w:type="pct"/>
            <w:tcBorders>
              <w:top w:val="nil"/>
              <w:left w:val="nil"/>
              <w:bottom w:val="single" w:sz="4" w:space="0" w:color="auto"/>
              <w:right w:val="single" w:sz="4" w:space="0" w:color="auto"/>
            </w:tcBorders>
            <w:noWrap/>
            <w:vAlign w:val="bottom"/>
            <w:hideMark/>
          </w:tcPr>
          <w:p w14:paraId="4AAA2A95"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94,514</w:t>
            </w:r>
          </w:p>
        </w:tc>
        <w:tc>
          <w:tcPr>
            <w:tcW w:w="881" w:type="pct"/>
            <w:tcBorders>
              <w:top w:val="nil"/>
              <w:left w:val="nil"/>
              <w:bottom w:val="single" w:sz="4" w:space="0" w:color="auto"/>
              <w:right w:val="single" w:sz="4" w:space="0" w:color="auto"/>
            </w:tcBorders>
            <w:noWrap/>
            <w:vAlign w:val="bottom"/>
            <w:hideMark/>
          </w:tcPr>
          <w:p w14:paraId="7D307EC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9,402</w:t>
            </w:r>
          </w:p>
        </w:tc>
        <w:tc>
          <w:tcPr>
            <w:tcW w:w="538" w:type="pct"/>
            <w:tcBorders>
              <w:top w:val="nil"/>
              <w:left w:val="nil"/>
              <w:bottom w:val="single" w:sz="4" w:space="0" w:color="auto"/>
              <w:right w:val="single" w:sz="4" w:space="0" w:color="auto"/>
            </w:tcBorders>
            <w:noWrap/>
            <w:vAlign w:val="bottom"/>
            <w:hideMark/>
          </w:tcPr>
          <w:p w14:paraId="487D752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11%</w:t>
            </w:r>
          </w:p>
        </w:tc>
      </w:tr>
      <w:tr w:rsidR="005D645F" w:rsidRPr="005D645F" w14:paraId="4EE866E6"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16073398"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tcBorders>
              <w:top w:val="nil"/>
              <w:left w:val="nil"/>
              <w:bottom w:val="single" w:sz="4" w:space="0" w:color="auto"/>
              <w:right w:val="single" w:sz="4" w:space="0" w:color="auto"/>
            </w:tcBorders>
            <w:noWrap/>
            <w:vAlign w:val="bottom"/>
            <w:hideMark/>
          </w:tcPr>
          <w:p w14:paraId="2D53133B"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Pije Alkolike Total</w:t>
            </w:r>
          </w:p>
        </w:tc>
        <w:tc>
          <w:tcPr>
            <w:tcW w:w="783" w:type="pct"/>
            <w:tcBorders>
              <w:top w:val="nil"/>
              <w:left w:val="nil"/>
              <w:bottom w:val="single" w:sz="4" w:space="0" w:color="auto"/>
              <w:right w:val="single" w:sz="4" w:space="0" w:color="auto"/>
            </w:tcBorders>
            <w:noWrap/>
            <w:vAlign w:val="bottom"/>
            <w:hideMark/>
          </w:tcPr>
          <w:p w14:paraId="67157D12"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682,876</w:t>
            </w:r>
          </w:p>
        </w:tc>
        <w:tc>
          <w:tcPr>
            <w:tcW w:w="834" w:type="pct"/>
            <w:tcBorders>
              <w:top w:val="nil"/>
              <w:left w:val="nil"/>
              <w:bottom w:val="single" w:sz="4" w:space="0" w:color="auto"/>
              <w:right w:val="single" w:sz="4" w:space="0" w:color="auto"/>
            </w:tcBorders>
            <w:noWrap/>
            <w:vAlign w:val="bottom"/>
            <w:hideMark/>
          </w:tcPr>
          <w:p w14:paraId="3E6C160C"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738,204</w:t>
            </w:r>
          </w:p>
        </w:tc>
        <w:tc>
          <w:tcPr>
            <w:tcW w:w="881" w:type="pct"/>
            <w:tcBorders>
              <w:top w:val="nil"/>
              <w:left w:val="nil"/>
              <w:bottom w:val="single" w:sz="4" w:space="0" w:color="auto"/>
              <w:right w:val="single" w:sz="4" w:space="0" w:color="auto"/>
            </w:tcBorders>
            <w:noWrap/>
            <w:vAlign w:val="bottom"/>
            <w:hideMark/>
          </w:tcPr>
          <w:p w14:paraId="5396A386"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55,329</w:t>
            </w:r>
          </w:p>
        </w:tc>
        <w:tc>
          <w:tcPr>
            <w:tcW w:w="538" w:type="pct"/>
            <w:tcBorders>
              <w:top w:val="nil"/>
              <w:left w:val="nil"/>
              <w:bottom w:val="single" w:sz="4" w:space="0" w:color="auto"/>
              <w:right w:val="single" w:sz="4" w:space="0" w:color="auto"/>
            </w:tcBorders>
            <w:noWrap/>
            <w:vAlign w:val="bottom"/>
            <w:hideMark/>
          </w:tcPr>
          <w:p w14:paraId="550C2B5D"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8%</w:t>
            </w:r>
          </w:p>
        </w:tc>
      </w:tr>
      <w:tr w:rsidR="005D645F" w:rsidRPr="005D645F" w14:paraId="3CE1994D"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44C076C5"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8</w:t>
            </w:r>
          </w:p>
        </w:tc>
        <w:tc>
          <w:tcPr>
            <w:tcW w:w="1520" w:type="pct"/>
            <w:tcBorders>
              <w:top w:val="nil"/>
              <w:left w:val="nil"/>
              <w:bottom w:val="single" w:sz="4" w:space="0" w:color="auto"/>
              <w:right w:val="single" w:sz="4" w:space="0" w:color="auto"/>
            </w:tcBorders>
            <w:noWrap/>
            <w:vAlign w:val="bottom"/>
            <w:hideMark/>
          </w:tcPr>
          <w:p w14:paraId="26994F04"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Verë Import</w:t>
            </w:r>
          </w:p>
        </w:tc>
        <w:tc>
          <w:tcPr>
            <w:tcW w:w="783" w:type="pct"/>
            <w:tcBorders>
              <w:top w:val="nil"/>
              <w:left w:val="nil"/>
              <w:bottom w:val="single" w:sz="4" w:space="0" w:color="auto"/>
              <w:right w:val="single" w:sz="4" w:space="0" w:color="auto"/>
            </w:tcBorders>
            <w:noWrap/>
            <w:vAlign w:val="bottom"/>
            <w:hideMark/>
          </w:tcPr>
          <w:p w14:paraId="6279120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352,397</w:t>
            </w:r>
          </w:p>
        </w:tc>
        <w:tc>
          <w:tcPr>
            <w:tcW w:w="834" w:type="pct"/>
            <w:tcBorders>
              <w:top w:val="nil"/>
              <w:left w:val="nil"/>
              <w:bottom w:val="single" w:sz="4" w:space="0" w:color="auto"/>
              <w:right w:val="single" w:sz="4" w:space="0" w:color="auto"/>
            </w:tcBorders>
            <w:noWrap/>
            <w:vAlign w:val="bottom"/>
            <w:hideMark/>
          </w:tcPr>
          <w:p w14:paraId="59B6BFD6"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374,887</w:t>
            </w:r>
          </w:p>
        </w:tc>
        <w:tc>
          <w:tcPr>
            <w:tcW w:w="881" w:type="pct"/>
            <w:tcBorders>
              <w:top w:val="nil"/>
              <w:left w:val="nil"/>
              <w:bottom w:val="single" w:sz="4" w:space="0" w:color="auto"/>
              <w:right w:val="single" w:sz="4" w:space="0" w:color="auto"/>
            </w:tcBorders>
            <w:noWrap/>
            <w:vAlign w:val="bottom"/>
            <w:hideMark/>
          </w:tcPr>
          <w:p w14:paraId="52EA4E48"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22,491</w:t>
            </w:r>
          </w:p>
        </w:tc>
        <w:tc>
          <w:tcPr>
            <w:tcW w:w="538" w:type="pct"/>
            <w:tcBorders>
              <w:top w:val="nil"/>
              <w:left w:val="nil"/>
              <w:bottom w:val="single" w:sz="4" w:space="0" w:color="auto"/>
              <w:right w:val="single" w:sz="4" w:space="0" w:color="auto"/>
            </w:tcBorders>
            <w:noWrap/>
            <w:vAlign w:val="bottom"/>
            <w:hideMark/>
          </w:tcPr>
          <w:p w14:paraId="01C9FC52"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6%</w:t>
            </w:r>
          </w:p>
        </w:tc>
      </w:tr>
      <w:tr w:rsidR="005D645F" w:rsidRPr="005D645F" w14:paraId="098935CF"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5C2EBB4"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9</w:t>
            </w:r>
          </w:p>
        </w:tc>
        <w:tc>
          <w:tcPr>
            <w:tcW w:w="1520" w:type="pct"/>
            <w:tcBorders>
              <w:top w:val="nil"/>
              <w:left w:val="nil"/>
              <w:bottom w:val="single" w:sz="4" w:space="0" w:color="auto"/>
              <w:right w:val="single" w:sz="4" w:space="0" w:color="auto"/>
            </w:tcBorders>
            <w:noWrap/>
            <w:vAlign w:val="bottom"/>
            <w:hideMark/>
          </w:tcPr>
          <w:p w14:paraId="11D922D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Verë Prodhim Vendi</w:t>
            </w:r>
          </w:p>
        </w:tc>
        <w:tc>
          <w:tcPr>
            <w:tcW w:w="783" w:type="pct"/>
            <w:tcBorders>
              <w:top w:val="nil"/>
              <w:left w:val="nil"/>
              <w:bottom w:val="single" w:sz="4" w:space="0" w:color="auto"/>
              <w:right w:val="single" w:sz="4" w:space="0" w:color="auto"/>
            </w:tcBorders>
            <w:noWrap/>
            <w:vAlign w:val="bottom"/>
            <w:hideMark/>
          </w:tcPr>
          <w:p w14:paraId="521B8D9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51,062</w:t>
            </w:r>
          </w:p>
        </w:tc>
        <w:tc>
          <w:tcPr>
            <w:tcW w:w="834" w:type="pct"/>
            <w:tcBorders>
              <w:top w:val="nil"/>
              <w:left w:val="nil"/>
              <w:bottom w:val="single" w:sz="4" w:space="0" w:color="auto"/>
              <w:right w:val="single" w:sz="4" w:space="0" w:color="auto"/>
            </w:tcBorders>
            <w:noWrap/>
            <w:vAlign w:val="bottom"/>
            <w:hideMark/>
          </w:tcPr>
          <w:p w14:paraId="0614C09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55,093</w:t>
            </w:r>
          </w:p>
        </w:tc>
        <w:tc>
          <w:tcPr>
            <w:tcW w:w="881" w:type="pct"/>
            <w:tcBorders>
              <w:top w:val="nil"/>
              <w:left w:val="nil"/>
              <w:bottom w:val="single" w:sz="4" w:space="0" w:color="auto"/>
              <w:right w:val="single" w:sz="4" w:space="0" w:color="auto"/>
            </w:tcBorders>
            <w:noWrap/>
            <w:vAlign w:val="bottom"/>
            <w:hideMark/>
          </w:tcPr>
          <w:p w14:paraId="652E152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4,031</w:t>
            </w:r>
          </w:p>
        </w:tc>
        <w:tc>
          <w:tcPr>
            <w:tcW w:w="538" w:type="pct"/>
            <w:tcBorders>
              <w:top w:val="nil"/>
              <w:left w:val="nil"/>
              <w:bottom w:val="single" w:sz="4" w:space="0" w:color="auto"/>
              <w:right w:val="single" w:sz="4" w:space="0" w:color="auto"/>
            </w:tcBorders>
            <w:noWrap/>
            <w:vAlign w:val="bottom"/>
            <w:hideMark/>
          </w:tcPr>
          <w:p w14:paraId="33EF973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w:t>
            </w:r>
          </w:p>
        </w:tc>
      </w:tr>
      <w:tr w:rsidR="005D645F" w:rsidRPr="005D645F" w14:paraId="1AEC178E"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6FE20057"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tcBorders>
              <w:top w:val="nil"/>
              <w:left w:val="nil"/>
              <w:bottom w:val="single" w:sz="4" w:space="0" w:color="auto"/>
              <w:right w:val="single" w:sz="4" w:space="0" w:color="auto"/>
            </w:tcBorders>
            <w:noWrap/>
            <w:vAlign w:val="bottom"/>
            <w:hideMark/>
          </w:tcPr>
          <w:p w14:paraId="4C340802"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Vere Total</w:t>
            </w:r>
          </w:p>
        </w:tc>
        <w:tc>
          <w:tcPr>
            <w:tcW w:w="783" w:type="pct"/>
            <w:tcBorders>
              <w:top w:val="nil"/>
              <w:left w:val="nil"/>
              <w:bottom w:val="single" w:sz="4" w:space="0" w:color="auto"/>
              <w:right w:val="single" w:sz="4" w:space="0" w:color="auto"/>
            </w:tcBorders>
            <w:noWrap/>
            <w:vAlign w:val="bottom"/>
            <w:hideMark/>
          </w:tcPr>
          <w:p w14:paraId="03241F0E"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403,459</w:t>
            </w:r>
          </w:p>
        </w:tc>
        <w:tc>
          <w:tcPr>
            <w:tcW w:w="834" w:type="pct"/>
            <w:tcBorders>
              <w:top w:val="nil"/>
              <w:left w:val="nil"/>
              <w:bottom w:val="single" w:sz="4" w:space="0" w:color="auto"/>
              <w:right w:val="single" w:sz="4" w:space="0" w:color="auto"/>
            </w:tcBorders>
            <w:noWrap/>
            <w:vAlign w:val="bottom"/>
            <w:hideMark/>
          </w:tcPr>
          <w:p w14:paraId="1BC805E6"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429,981</w:t>
            </w:r>
          </w:p>
        </w:tc>
        <w:tc>
          <w:tcPr>
            <w:tcW w:w="881" w:type="pct"/>
            <w:tcBorders>
              <w:top w:val="nil"/>
              <w:left w:val="nil"/>
              <w:bottom w:val="single" w:sz="4" w:space="0" w:color="auto"/>
              <w:right w:val="single" w:sz="4" w:space="0" w:color="auto"/>
            </w:tcBorders>
            <w:noWrap/>
            <w:vAlign w:val="bottom"/>
            <w:hideMark/>
          </w:tcPr>
          <w:p w14:paraId="639709AB"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26,522</w:t>
            </w:r>
          </w:p>
        </w:tc>
        <w:tc>
          <w:tcPr>
            <w:tcW w:w="538" w:type="pct"/>
            <w:tcBorders>
              <w:top w:val="nil"/>
              <w:left w:val="nil"/>
              <w:bottom w:val="single" w:sz="4" w:space="0" w:color="auto"/>
              <w:right w:val="single" w:sz="4" w:space="0" w:color="auto"/>
            </w:tcBorders>
            <w:noWrap/>
            <w:vAlign w:val="bottom"/>
            <w:hideMark/>
          </w:tcPr>
          <w:p w14:paraId="345AD00B"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7%</w:t>
            </w:r>
          </w:p>
        </w:tc>
      </w:tr>
      <w:tr w:rsidR="005D645F" w:rsidRPr="005D645F" w14:paraId="4C7F170A"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6E506917"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10</w:t>
            </w:r>
          </w:p>
        </w:tc>
        <w:tc>
          <w:tcPr>
            <w:tcW w:w="1520" w:type="pct"/>
            <w:tcBorders>
              <w:top w:val="nil"/>
              <w:left w:val="nil"/>
              <w:bottom w:val="single" w:sz="4" w:space="0" w:color="auto"/>
              <w:right w:val="single" w:sz="4" w:space="0" w:color="auto"/>
            </w:tcBorders>
            <w:noWrap/>
            <w:vAlign w:val="bottom"/>
            <w:hideMark/>
          </w:tcPr>
          <w:p w14:paraId="1DDC94A3"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Kafe</w:t>
            </w:r>
          </w:p>
        </w:tc>
        <w:tc>
          <w:tcPr>
            <w:tcW w:w="783" w:type="pct"/>
            <w:tcBorders>
              <w:top w:val="nil"/>
              <w:left w:val="nil"/>
              <w:bottom w:val="single" w:sz="4" w:space="0" w:color="auto"/>
              <w:right w:val="single" w:sz="4" w:space="0" w:color="auto"/>
            </w:tcBorders>
            <w:noWrap/>
            <w:vAlign w:val="bottom"/>
            <w:hideMark/>
          </w:tcPr>
          <w:p w14:paraId="323EFFAA"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466,143</w:t>
            </w:r>
          </w:p>
        </w:tc>
        <w:tc>
          <w:tcPr>
            <w:tcW w:w="834" w:type="pct"/>
            <w:tcBorders>
              <w:top w:val="nil"/>
              <w:left w:val="nil"/>
              <w:bottom w:val="single" w:sz="4" w:space="0" w:color="auto"/>
              <w:right w:val="single" w:sz="4" w:space="0" w:color="auto"/>
            </w:tcBorders>
            <w:noWrap/>
            <w:vAlign w:val="bottom"/>
            <w:hideMark/>
          </w:tcPr>
          <w:p w14:paraId="35E2FD6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490,194</w:t>
            </w:r>
          </w:p>
        </w:tc>
        <w:tc>
          <w:tcPr>
            <w:tcW w:w="881" w:type="pct"/>
            <w:tcBorders>
              <w:top w:val="nil"/>
              <w:left w:val="nil"/>
              <w:bottom w:val="single" w:sz="4" w:space="0" w:color="auto"/>
              <w:right w:val="single" w:sz="4" w:space="0" w:color="auto"/>
            </w:tcBorders>
            <w:noWrap/>
            <w:vAlign w:val="bottom"/>
            <w:hideMark/>
          </w:tcPr>
          <w:p w14:paraId="6020B17C"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24,051</w:t>
            </w:r>
          </w:p>
        </w:tc>
        <w:tc>
          <w:tcPr>
            <w:tcW w:w="538" w:type="pct"/>
            <w:tcBorders>
              <w:top w:val="nil"/>
              <w:left w:val="nil"/>
              <w:bottom w:val="single" w:sz="4" w:space="0" w:color="auto"/>
              <w:right w:val="single" w:sz="4" w:space="0" w:color="auto"/>
            </w:tcBorders>
            <w:noWrap/>
            <w:vAlign w:val="bottom"/>
            <w:hideMark/>
          </w:tcPr>
          <w:p w14:paraId="6145C40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5%</w:t>
            </w:r>
          </w:p>
        </w:tc>
      </w:tr>
      <w:tr w:rsidR="005D645F" w:rsidRPr="005D645F" w14:paraId="1FE64E27"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42A3BF30"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11</w:t>
            </w:r>
          </w:p>
        </w:tc>
        <w:tc>
          <w:tcPr>
            <w:tcW w:w="1520" w:type="pct"/>
            <w:tcBorders>
              <w:top w:val="nil"/>
              <w:left w:val="nil"/>
              <w:bottom w:val="single" w:sz="4" w:space="0" w:color="auto"/>
              <w:right w:val="single" w:sz="4" w:space="0" w:color="auto"/>
            </w:tcBorders>
            <w:noWrap/>
            <w:vAlign w:val="bottom"/>
            <w:hideMark/>
          </w:tcPr>
          <w:p w14:paraId="1EEA6523"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Karburante Import</w:t>
            </w:r>
          </w:p>
        </w:tc>
        <w:tc>
          <w:tcPr>
            <w:tcW w:w="783" w:type="pct"/>
            <w:tcBorders>
              <w:top w:val="nil"/>
              <w:left w:val="nil"/>
              <w:bottom w:val="single" w:sz="4" w:space="0" w:color="auto"/>
              <w:right w:val="single" w:sz="4" w:space="0" w:color="auto"/>
            </w:tcBorders>
            <w:noWrap/>
            <w:vAlign w:val="bottom"/>
            <w:hideMark/>
          </w:tcPr>
          <w:p w14:paraId="2136BB3F"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29,958,454</w:t>
            </w:r>
          </w:p>
        </w:tc>
        <w:tc>
          <w:tcPr>
            <w:tcW w:w="834" w:type="pct"/>
            <w:tcBorders>
              <w:top w:val="nil"/>
              <w:left w:val="nil"/>
              <w:bottom w:val="single" w:sz="4" w:space="0" w:color="auto"/>
              <w:right w:val="single" w:sz="4" w:space="0" w:color="auto"/>
            </w:tcBorders>
            <w:noWrap/>
            <w:vAlign w:val="bottom"/>
            <w:hideMark/>
          </w:tcPr>
          <w:p w14:paraId="4BBA16F5"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33,435,401</w:t>
            </w:r>
          </w:p>
        </w:tc>
        <w:tc>
          <w:tcPr>
            <w:tcW w:w="881" w:type="pct"/>
            <w:tcBorders>
              <w:top w:val="nil"/>
              <w:left w:val="nil"/>
              <w:bottom w:val="single" w:sz="4" w:space="0" w:color="auto"/>
              <w:right w:val="single" w:sz="4" w:space="0" w:color="auto"/>
            </w:tcBorders>
            <w:noWrap/>
            <w:vAlign w:val="bottom"/>
            <w:hideMark/>
          </w:tcPr>
          <w:p w14:paraId="3D0FA240"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3,476,947</w:t>
            </w:r>
          </w:p>
        </w:tc>
        <w:tc>
          <w:tcPr>
            <w:tcW w:w="538" w:type="pct"/>
            <w:tcBorders>
              <w:top w:val="nil"/>
              <w:left w:val="nil"/>
              <w:bottom w:val="single" w:sz="4" w:space="0" w:color="auto"/>
              <w:right w:val="single" w:sz="4" w:space="0" w:color="auto"/>
            </w:tcBorders>
            <w:noWrap/>
            <w:vAlign w:val="bottom"/>
            <w:hideMark/>
          </w:tcPr>
          <w:p w14:paraId="1BD044A6"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12%</w:t>
            </w:r>
          </w:p>
        </w:tc>
      </w:tr>
      <w:tr w:rsidR="005D645F" w:rsidRPr="005D645F" w14:paraId="51C1ED5E"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6150EA55"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12</w:t>
            </w:r>
          </w:p>
        </w:tc>
        <w:tc>
          <w:tcPr>
            <w:tcW w:w="1520" w:type="pct"/>
            <w:tcBorders>
              <w:top w:val="nil"/>
              <w:left w:val="nil"/>
              <w:bottom w:val="single" w:sz="4" w:space="0" w:color="auto"/>
              <w:right w:val="single" w:sz="4" w:space="0" w:color="auto"/>
            </w:tcBorders>
            <w:noWrap/>
            <w:vAlign w:val="bottom"/>
            <w:hideMark/>
          </w:tcPr>
          <w:p w14:paraId="783AB99C"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Karburante Prodhim Vendi</w:t>
            </w:r>
          </w:p>
        </w:tc>
        <w:tc>
          <w:tcPr>
            <w:tcW w:w="783" w:type="pct"/>
            <w:tcBorders>
              <w:top w:val="nil"/>
              <w:left w:val="nil"/>
              <w:bottom w:val="single" w:sz="4" w:space="0" w:color="auto"/>
              <w:right w:val="single" w:sz="4" w:space="0" w:color="auto"/>
            </w:tcBorders>
            <w:noWrap/>
            <w:vAlign w:val="bottom"/>
            <w:hideMark/>
          </w:tcPr>
          <w:p w14:paraId="7FEF83B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801,398</w:t>
            </w:r>
          </w:p>
        </w:tc>
        <w:tc>
          <w:tcPr>
            <w:tcW w:w="834" w:type="pct"/>
            <w:tcBorders>
              <w:top w:val="nil"/>
              <w:left w:val="nil"/>
              <w:bottom w:val="single" w:sz="4" w:space="0" w:color="auto"/>
              <w:right w:val="single" w:sz="4" w:space="0" w:color="auto"/>
            </w:tcBorders>
            <w:noWrap/>
            <w:vAlign w:val="bottom"/>
            <w:hideMark/>
          </w:tcPr>
          <w:p w14:paraId="229DE36C"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814,959</w:t>
            </w:r>
          </w:p>
        </w:tc>
        <w:tc>
          <w:tcPr>
            <w:tcW w:w="881" w:type="pct"/>
            <w:tcBorders>
              <w:top w:val="nil"/>
              <w:left w:val="nil"/>
              <w:bottom w:val="single" w:sz="4" w:space="0" w:color="auto"/>
              <w:right w:val="single" w:sz="4" w:space="0" w:color="auto"/>
            </w:tcBorders>
            <w:noWrap/>
            <w:vAlign w:val="bottom"/>
            <w:hideMark/>
          </w:tcPr>
          <w:p w14:paraId="1E2A6028"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13,562</w:t>
            </w:r>
          </w:p>
        </w:tc>
        <w:tc>
          <w:tcPr>
            <w:tcW w:w="538" w:type="pct"/>
            <w:tcBorders>
              <w:top w:val="nil"/>
              <w:left w:val="nil"/>
              <w:bottom w:val="single" w:sz="4" w:space="0" w:color="auto"/>
              <w:right w:val="single" w:sz="4" w:space="0" w:color="auto"/>
            </w:tcBorders>
            <w:noWrap/>
            <w:vAlign w:val="bottom"/>
            <w:hideMark/>
          </w:tcPr>
          <w:p w14:paraId="5AB7A1AA"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w:t>
            </w:r>
          </w:p>
        </w:tc>
      </w:tr>
      <w:tr w:rsidR="005D645F" w:rsidRPr="005D645F" w14:paraId="4338E36E"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17BC1D98"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p>
        </w:tc>
        <w:tc>
          <w:tcPr>
            <w:tcW w:w="1520" w:type="pct"/>
            <w:tcBorders>
              <w:top w:val="nil"/>
              <w:left w:val="nil"/>
              <w:bottom w:val="single" w:sz="4" w:space="0" w:color="auto"/>
              <w:right w:val="single" w:sz="4" w:space="0" w:color="auto"/>
            </w:tcBorders>
            <w:noWrap/>
            <w:vAlign w:val="bottom"/>
            <w:hideMark/>
          </w:tcPr>
          <w:p w14:paraId="26C82005"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Karburante Total</w:t>
            </w:r>
          </w:p>
        </w:tc>
        <w:tc>
          <w:tcPr>
            <w:tcW w:w="783" w:type="pct"/>
            <w:tcBorders>
              <w:top w:val="nil"/>
              <w:left w:val="nil"/>
              <w:bottom w:val="single" w:sz="4" w:space="0" w:color="auto"/>
              <w:right w:val="single" w:sz="4" w:space="0" w:color="auto"/>
            </w:tcBorders>
            <w:noWrap/>
            <w:vAlign w:val="bottom"/>
            <w:hideMark/>
          </w:tcPr>
          <w:p w14:paraId="66812473"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30,759,852</w:t>
            </w:r>
          </w:p>
        </w:tc>
        <w:tc>
          <w:tcPr>
            <w:tcW w:w="834" w:type="pct"/>
            <w:tcBorders>
              <w:top w:val="nil"/>
              <w:left w:val="nil"/>
              <w:bottom w:val="single" w:sz="4" w:space="0" w:color="auto"/>
              <w:right w:val="single" w:sz="4" w:space="0" w:color="auto"/>
            </w:tcBorders>
            <w:noWrap/>
            <w:vAlign w:val="bottom"/>
            <w:hideMark/>
          </w:tcPr>
          <w:p w14:paraId="0360384E"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34,250,360</w:t>
            </w:r>
          </w:p>
        </w:tc>
        <w:tc>
          <w:tcPr>
            <w:tcW w:w="881" w:type="pct"/>
            <w:tcBorders>
              <w:top w:val="nil"/>
              <w:left w:val="nil"/>
              <w:bottom w:val="single" w:sz="4" w:space="0" w:color="auto"/>
              <w:right w:val="single" w:sz="4" w:space="0" w:color="auto"/>
            </w:tcBorders>
            <w:noWrap/>
            <w:vAlign w:val="bottom"/>
            <w:hideMark/>
          </w:tcPr>
          <w:p w14:paraId="1D5CCABA"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3,490,508</w:t>
            </w:r>
          </w:p>
        </w:tc>
        <w:tc>
          <w:tcPr>
            <w:tcW w:w="538" w:type="pct"/>
            <w:tcBorders>
              <w:top w:val="nil"/>
              <w:left w:val="nil"/>
              <w:bottom w:val="single" w:sz="4" w:space="0" w:color="auto"/>
              <w:right w:val="single" w:sz="4" w:space="0" w:color="auto"/>
            </w:tcBorders>
            <w:noWrap/>
            <w:vAlign w:val="bottom"/>
            <w:hideMark/>
          </w:tcPr>
          <w:p w14:paraId="0BD9F281"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11%</w:t>
            </w:r>
          </w:p>
        </w:tc>
      </w:tr>
      <w:tr w:rsidR="005D645F" w:rsidRPr="005D645F" w14:paraId="42437AC9"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7879BF03"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13</w:t>
            </w:r>
          </w:p>
        </w:tc>
        <w:tc>
          <w:tcPr>
            <w:tcW w:w="1520" w:type="pct"/>
            <w:tcBorders>
              <w:top w:val="nil"/>
              <w:left w:val="nil"/>
              <w:bottom w:val="single" w:sz="4" w:space="0" w:color="auto"/>
              <w:right w:val="single" w:sz="4" w:space="0" w:color="auto"/>
            </w:tcBorders>
            <w:noWrap/>
            <w:vAlign w:val="bottom"/>
            <w:hideMark/>
          </w:tcPr>
          <w:p w14:paraId="71A1BDF0"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Gaz i Lëngët</w:t>
            </w:r>
          </w:p>
        </w:tc>
        <w:tc>
          <w:tcPr>
            <w:tcW w:w="783" w:type="pct"/>
            <w:tcBorders>
              <w:top w:val="nil"/>
              <w:left w:val="nil"/>
              <w:bottom w:val="single" w:sz="4" w:space="0" w:color="auto"/>
              <w:right w:val="single" w:sz="4" w:space="0" w:color="auto"/>
            </w:tcBorders>
            <w:noWrap/>
            <w:vAlign w:val="bottom"/>
            <w:hideMark/>
          </w:tcPr>
          <w:p w14:paraId="65009719"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2,042,865</w:t>
            </w:r>
          </w:p>
        </w:tc>
        <w:tc>
          <w:tcPr>
            <w:tcW w:w="834" w:type="pct"/>
            <w:tcBorders>
              <w:top w:val="nil"/>
              <w:left w:val="nil"/>
              <w:bottom w:val="single" w:sz="4" w:space="0" w:color="auto"/>
              <w:right w:val="single" w:sz="4" w:space="0" w:color="auto"/>
            </w:tcBorders>
            <w:noWrap/>
            <w:vAlign w:val="bottom"/>
            <w:hideMark/>
          </w:tcPr>
          <w:p w14:paraId="62B17E1C"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2,107,010</w:t>
            </w:r>
          </w:p>
        </w:tc>
        <w:tc>
          <w:tcPr>
            <w:tcW w:w="881" w:type="pct"/>
            <w:tcBorders>
              <w:top w:val="nil"/>
              <w:left w:val="nil"/>
              <w:bottom w:val="single" w:sz="4" w:space="0" w:color="auto"/>
              <w:right w:val="single" w:sz="4" w:space="0" w:color="auto"/>
            </w:tcBorders>
            <w:noWrap/>
            <w:vAlign w:val="bottom"/>
            <w:hideMark/>
          </w:tcPr>
          <w:p w14:paraId="4E3FE4D1"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64,145</w:t>
            </w:r>
          </w:p>
        </w:tc>
        <w:tc>
          <w:tcPr>
            <w:tcW w:w="538" w:type="pct"/>
            <w:tcBorders>
              <w:top w:val="nil"/>
              <w:left w:val="nil"/>
              <w:bottom w:val="single" w:sz="4" w:space="0" w:color="auto"/>
              <w:right w:val="single" w:sz="4" w:space="0" w:color="auto"/>
            </w:tcBorders>
            <w:noWrap/>
            <w:vAlign w:val="bottom"/>
            <w:hideMark/>
          </w:tcPr>
          <w:p w14:paraId="043A0E4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w:t>
            </w:r>
          </w:p>
        </w:tc>
      </w:tr>
      <w:tr w:rsidR="005D645F" w:rsidRPr="005D645F" w14:paraId="23DC2379"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31CA508E"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14</w:t>
            </w:r>
          </w:p>
        </w:tc>
        <w:tc>
          <w:tcPr>
            <w:tcW w:w="1520" w:type="pct"/>
            <w:tcBorders>
              <w:top w:val="nil"/>
              <w:left w:val="nil"/>
              <w:bottom w:val="single" w:sz="4" w:space="0" w:color="auto"/>
              <w:right w:val="single" w:sz="4" w:space="0" w:color="auto"/>
            </w:tcBorders>
            <w:noWrap/>
            <w:vAlign w:val="bottom"/>
            <w:hideMark/>
          </w:tcPr>
          <w:p w14:paraId="398121C4"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Goma të reja</w:t>
            </w:r>
          </w:p>
        </w:tc>
        <w:tc>
          <w:tcPr>
            <w:tcW w:w="783" w:type="pct"/>
            <w:tcBorders>
              <w:top w:val="nil"/>
              <w:left w:val="nil"/>
              <w:bottom w:val="single" w:sz="4" w:space="0" w:color="auto"/>
              <w:right w:val="single" w:sz="4" w:space="0" w:color="auto"/>
            </w:tcBorders>
            <w:noWrap/>
            <w:vAlign w:val="bottom"/>
            <w:hideMark/>
          </w:tcPr>
          <w:p w14:paraId="29F92F4D"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237,491</w:t>
            </w:r>
          </w:p>
        </w:tc>
        <w:tc>
          <w:tcPr>
            <w:tcW w:w="834" w:type="pct"/>
            <w:tcBorders>
              <w:top w:val="nil"/>
              <w:left w:val="nil"/>
              <w:bottom w:val="single" w:sz="4" w:space="0" w:color="auto"/>
              <w:right w:val="single" w:sz="4" w:space="0" w:color="auto"/>
            </w:tcBorders>
            <w:noWrap/>
            <w:vAlign w:val="bottom"/>
            <w:hideMark/>
          </w:tcPr>
          <w:p w14:paraId="5798614E"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282,021</w:t>
            </w:r>
          </w:p>
        </w:tc>
        <w:tc>
          <w:tcPr>
            <w:tcW w:w="881" w:type="pct"/>
            <w:tcBorders>
              <w:top w:val="nil"/>
              <w:left w:val="nil"/>
              <w:bottom w:val="single" w:sz="4" w:space="0" w:color="auto"/>
              <w:right w:val="single" w:sz="4" w:space="0" w:color="auto"/>
            </w:tcBorders>
            <w:noWrap/>
            <w:vAlign w:val="bottom"/>
            <w:hideMark/>
          </w:tcPr>
          <w:p w14:paraId="0BD9E05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44,530</w:t>
            </w:r>
          </w:p>
        </w:tc>
        <w:tc>
          <w:tcPr>
            <w:tcW w:w="538" w:type="pct"/>
            <w:tcBorders>
              <w:top w:val="nil"/>
              <w:left w:val="nil"/>
              <w:bottom w:val="single" w:sz="4" w:space="0" w:color="auto"/>
              <w:right w:val="single" w:sz="4" w:space="0" w:color="auto"/>
            </w:tcBorders>
            <w:noWrap/>
            <w:vAlign w:val="bottom"/>
            <w:hideMark/>
          </w:tcPr>
          <w:p w14:paraId="4080AF91"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19%</w:t>
            </w:r>
          </w:p>
        </w:tc>
      </w:tr>
      <w:tr w:rsidR="005D645F" w:rsidRPr="005D645F" w14:paraId="4BE2AD63" w14:textId="77777777" w:rsidTr="0019308C">
        <w:trPr>
          <w:trHeight w:val="253"/>
          <w:jc w:val="center"/>
        </w:trPr>
        <w:tc>
          <w:tcPr>
            <w:tcW w:w="443" w:type="pct"/>
            <w:tcBorders>
              <w:top w:val="nil"/>
              <w:left w:val="single" w:sz="4" w:space="0" w:color="auto"/>
              <w:bottom w:val="single" w:sz="4" w:space="0" w:color="auto"/>
              <w:right w:val="single" w:sz="4" w:space="0" w:color="auto"/>
            </w:tcBorders>
            <w:noWrap/>
            <w:vAlign w:val="bottom"/>
            <w:hideMark/>
          </w:tcPr>
          <w:p w14:paraId="4F498B9C" w14:textId="77777777" w:rsidR="00D31F37" w:rsidRPr="005D645F" w:rsidRDefault="00D31F37" w:rsidP="005D645F">
            <w:pPr>
              <w:spacing w:before="0" w:line="240" w:lineRule="auto"/>
              <w:jc w:val="center"/>
              <w:rPr>
                <w:rFonts w:asciiTheme="majorHAnsi" w:hAnsiTheme="majorHAnsi" w:cstheme="majorHAnsi"/>
                <w:b/>
                <w:bCs/>
                <w:sz w:val="18"/>
                <w:szCs w:val="18"/>
                <w:lang w:val="sq-AL"/>
              </w:rPr>
            </w:pPr>
            <w:r w:rsidRPr="005D645F">
              <w:rPr>
                <w:rFonts w:asciiTheme="majorHAnsi" w:hAnsiTheme="majorHAnsi" w:cstheme="majorHAnsi"/>
                <w:b/>
                <w:bCs/>
                <w:sz w:val="18"/>
                <w:szCs w:val="18"/>
                <w:lang w:val="sq-AL"/>
              </w:rPr>
              <w:t>15</w:t>
            </w:r>
          </w:p>
        </w:tc>
        <w:tc>
          <w:tcPr>
            <w:tcW w:w="1520" w:type="pct"/>
            <w:tcBorders>
              <w:top w:val="nil"/>
              <w:left w:val="nil"/>
              <w:bottom w:val="single" w:sz="4" w:space="0" w:color="auto"/>
              <w:right w:val="single" w:sz="4" w:space="0" w:color="auto"/>
            </w:tcBorders>
            <w:noWrap/>
            <w:vAlign w:val="bottom"/>
            <w:hideMark/>
          </w:tcPr>
          <w:p w14:paraId="537DB16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Vaj Lubrifikant</w:t>
            </w:r>
          </w:p>
        </w:tc>
        <w:tc>
          <w:tcPr>
            <w:tcW w:w="783" w:type="pct"/>
            <w:tcBorders>
              <w:top w:val="nil"/>
              <w:left w:val="nil"/>
              <w:bottom w:val="single" w:sz="4" w:space="0" w:color="auto"/>
              <w:right w:val="single" w:sz="4" w:space="0" w:color="auto"/>
            </w:tcBorders>
            <w:noWrap/>
            <w:vAlign w:val="bottom"/>
            <w:hideMark/>
          </w:tcPr>
          <w:p w14:paraId="180C363B"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385,415</w:t>
            </w:r>
          </w:p>
        </w:tc>
        <w:tc>
          <w:tcPr>
            <w:tcW w:w="834" w:type="pct"/>
            <w:tcBorders>
              <w:top w:val="nil"/>
              <w:left w:val="nil"/>
              <w:bottom w:val="single" w:sz="4" w:space="0" w:color="auto"/>
              <w:right w:val="single" w:sz="4" w:space="0" w:color="auto"/>
            </w:tcBorders>
            <w:noWrap/>
            <w:vAlign w:val="bottom"/>
            <w:hideMark/>
          </w:tcPr>
          <w:p w14:paraId="27893F8A"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446,398</w:t>
            </w:r>
          </w:p>
        </w:tc>
        <w:tc>
          <w:tcPr>
            <w:tcW w:w="881" w:type="pct"/>
            <w:tcBorders>
              <w:top w:val="nil"/>
              <w:left w:val="nil"/>
              <w:bottom w:val="single" w:sz="4" w:space="0" w:color="auto"/>
              <w:right w:val="single" w:sz="4" w:space="0" w:color="auto"/>
            </w:tcBorders>
            <w:noWrap/>
            <w:vAlign w:val="bottom"/>
            <w:hideMark/>
          </w:tcPr>
          <w:p w14:paraId="57575D42"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60,983</w:t>
            </w:r>
          </w:p>
        </w:tc>
        <w:tc>
          <w:tcPr>
            <w:tcW w:w="538" w:type="pct"/>
            <w:tcBorders>
              <w:top w:val="nil"/>
              <w:left w:val="nil"/>
              <w:bottom w:val="single" w:sz="4" w:space="0" w:color="auto"/>
              <w:right w:val="single" w:sz="4" w:space="0" w:color="auto"/>
            </w:tcBorders>
            <w:noWrap/>
            <w:vAlign w:val="bottom"/>
            <w:hideMark/>
          </w:tcPr>
          <w:p w14:paraId="4DA19BCC" w14:textId="77777777" w:rsidR="00D31F37" w:rsidRPr="005D645F" w:rsidRDefault="00D31F37" w:rsidP="005D645F">
            <w:pPr>
              <w:spacing w:before="0" w:line="240" w:lineRule="auto"/>
              <w:jc w:val="right"/>
              <w:rPr>
                <w:rFonts w:asciiTheme="majorHAnsi" w:hAnsiTheme="majorHAnsi" w:cstheme="majorHAnsi"/>
                <w:sz w:val="18"/>
                <w:szCs w:val="18"/>
                <w:lang w:val="sq-AL"/>
              </w:rPr>
            </w:pPr>
            <w:r w:rsidRPr="005D645F">
              <w:rPr>
                <w:rFonts w:asciiTheme="majorHAnsi" w:hAnsiTheme="majorHAnsi" w:cstheme="majorHAnsi"/>
                <w:sz w:val="18"/>
                <w:szCs w:val="18"/>
                <w:lang w:val="sq-AL"/>
              </w:rPr>
              <w:t>16%</w:t>
            </w:r>
          </w:p>
        </w:tc>
      </w:tr>
    </w:tbl>
    <w:p w14:paraId="1162DE76" w14:textId="54F967EA" w:rsidR="00D31F37" w:rsidRPr="00516127" w:rsidRDefault="00D31F37" w:rsidP="00D31F37">
      <w:pPr>
        <w:spacing w:line="240" w:lineRule="auto"/>
        <w:rPr>
          <w:rFonts w:asciiTheme="majorHAnsi" w:hAnsiTheme="majorHAnsi" w:cstheme="majorHAnsi"/>
          <w:sz w:val="20"/>
          <w:szCs w:val="20"/>
          <w:lang w:val="sq-AL"/>
        </w:rPr>
      </w:pPr>
      <w:r w:rsidRPr="00516127">
        <w:rPr>
          <w:rFonts w:asciiTheme="majorHAnsi" w:hAnsiTheme="majorHAnsi" w:cstheme="majorHAnsi"/>
          <w:lang w:val="sq-AL"/>
        </w:rPr>
        <w:t>Referuar tabelave mësipër</w:t>
      </w:r>
      <w:r w:rsidR="00FF7045">
        <w:rPr>
          <w:rFonts w:asciiTheme="majorHAnsi" w:hAnsiTheme="majorHAnsi" w:cstheme="majorHAnsi"/>
          <w:lang w:val="sq-AL"/>
        </w:rPr>
        <w:t>,</w:t>
      </w:r>
      <w:r w:rsidRPr="00516127">
        <w:rPr>
          <w:rFonts w:asciiTheme="majorHAnsi" w:hAnsiTheme="majorHAnsi" w:cstheme="majorHAnsi"/>
          <w:lang w:val="sq-AL"/>
        </w:rPr>
        <w:t xml:space="preserve"> vihet re një rritje e sasisë së karburanteve dhe cigareve të hedhura për konsum, të cilët janë edhe kontribuesit kryesorë në të ardhurat nga akciza. </w:t>
      </w:r>
    </w:p>
    <w:p w14:paraId="3DCE6E4C" w14:textId="1A64B49E" w:rsidR="00D31F37" w:rsidRPr="00516127" w:rsidRDefault="00D31F37" w:rsidP="00D31F37">
      <w:pPr>
        <w:rPr>
          <w:rFonts w:asciiTheme="majorHAnsi" w:hAnsiTheme="majorHAnsi" w:cstheme="majorHAnsi"/>
          <w:lang w:val="sq-AL"/>
        </w:rPr>
      </w:pPr>
      <w:r w:rsidRPr="005D645F">
        <w:rPr>
          <w:rFonts w:asciiTheme="majorHAnsi" w:hAnsiTheme="majorHAnsi" w:cstheme="majorHAnsi"/>
          <w:b/>
          <w:bCs/>
          <w:i/>
          <w:iCs/>
          <w:lang w:val="sq-AL"/>
        </w:rPr>
        <w:t>Të ardhurat nga renta minerare</w:t>
      </w:r>
      <w:r w:rsidRPr="00516127">
        <w:rPr>
          <w:rFonts w:asciiTheme="majorHAnsi" w:hAnsiTheme="majorHAnsi" w:cstheme="majorHAnsi"/>
          <w:lang w:val="sq-AL"/>
        </w:rPr>
        <w:t xml:space="preserve"> në eksport janë realizuar në vlerën rreth 1.9 </w:t>
      </w:r>
      <w:r w:rsidR="0056260B">
        <w:rPr>
          <w:rFonts w:asciiTheme="majorHAnsi" w:hAnsiTheme="majorHAnsi" w:cstheme="majorHAnsi"/>
          <w:lang w:val="sq-AL"/>
        </w:rPr>
        <w:t>miliardë</w:t>
      </w:r>
      <w:r w:rsidRPr="00516127">
        <w:rPr>
          <w:rFonts w:asciiTheme="majorHAnsi" w:hAnsiTheme="majorHAnsi" w:cstheme="majorHAnsi"/>
          <w:lang w:val="sq-AL"/>
        </w:rPr>
        <w:t xml:space="preserve"> </w:t>
      </w:r>
      <w:r w:rsidR="0056260B">
        <w:rPr>
          <w:rFonts w:asciiTheme="majorHAnsi" w:hAnsiTheme="majorHAnsi" w:cstheme="majorHAnsi"/>
          <w:lang w:val="sq-AL"/>
        </w:rPr>
        <w:t>LEK</w:t>
      </w:r>
      <w:r w:rsidRPr="00516127">
        <w:rPr>
          <w:rFonts w:asciiTheme="majorHAnsi" w:hAnsiTheme="majorHAnsi" w:cstheme="majorHAnsi"/>
          <w:lang w:val="sq-AL"/>
        </w:rPr>
        <w:t xml:space="preserve">, -879 </w:t>
      </w:r>
      <w:r w:rsidR="0056260B">
        <w:rPr>
          <w:rFonts w:asciiTheme="majorHAnsi" w:hAnsiTheme="majorHAnsi" w:cstheme="majorHAnsi"/>
          <w:lang w:val="sq-AL"/>
        </w:rPr>
        <w:t>milionë</w:t>
      </w:r>
      <w:r w:rsidRPr="00516127">
        <w:rPr>
          <w:rFonts w:asciiTheme="majorHAnsi" w:hAnsiTheme="majorHAnsi" w:cstheme="majorHAnsi"/>
          <w:lang w:val="sq-AL"/>
        </w:rPr>
        <w:t xml:space="preserve"> </w:t>
      </w:r>
      <w:r w:rsidR="0056260B">
        <w:rPr>
          <w:rFonts w:asciiTheme="majorHAnsi" w:hAnsiTheme="majorHAnsi" w:cstheme="majorHAnsi"/>
          <w:lang w:val="sq-AL"/>
        </w:rPr>
        <w:t>LEK</w:t>
      </w:r>
      <w:r w:rsidRPr="00516127">
        <w:rPr>
          <w:rFonts w:asciiTheme="majorHAnsi" w:hAnsiTheme="majorHAnsi" w:cstheme="majorHAnsi"/>
          <w:lang w:val="sq-AL"/>
        </w:rPr>
        <w:t xml:space="preserve"> ose rreth -32.2% më pak krahasuar me të njëjtën periudhë të vitit të kaluar dhe realizim në masën 93.2% kundrejt planit për vitin  2025.</w:t>
      </w:r>
    </w:p>
    <w:p w14:paraId="336A2DE8" w14:textId="536849A9" w:rsidR="00D31F37" w:rsidRPr="005D645F" w:rsidRDefault="00D31F37">
      <w:pPr>
        <w:pStyle w:val="ListParagraph"/>
        <w:numPr>
          <w:ilvl w:val="0"/>
          <w:numId w:val="40"/>
        </w:numPr>
        <w:autoSpaceDE w:val="0"/>
        <w:autoSpaceDN w:val="0"/>
        <w:adjustRightInd w:val="0"/>
        <w:spacing w:before="0"/>
        <w:rPr>
          <w:rFonts w:cs="Calibri"/>
          <w:noProof/>
          <w:lang w:val="sq-AL"/>
        </w:rPr>
      </w:pPr>
      <w:r w:rsidRPr="005D645F">
        <w:rPr>
          <w:rFonts w:cs="Calibri"/>
          <w:noProof/>
          <w:lang w:val="sq-AL"/>
        </w:rPr>
        <w:t xml:space="preserve">Të ardhurat nga renta minerare e naftës bruto janë rreth 1.4 </w:t>
      </w:r>
      <w:r w:rsidR="0056260B" w:rsidRPr="005D645F">
        <w:rPr>
          <w:rFonts w:cs="Calibri"/>
          <w:noProof/>
          <w:lang w:val="sq-AL"/>
        </w:rPr>
        <w:t>miliardë</w:t>
      </w:r>
      <w:r w:rsidRPr="005D645F">
        <w:rPr>
          <w:rFonts w:cs="Calibri"/>
          <w:noProof/>
          <w:lang w:val="sq-AL"/>
        </w:rPr>
        <w:t xml:space="preserve"> </w:t>
      </w:r>
      <w:r w:rsidR="0056260B" w:rsidRPr="005D645F">
        <w:rPr>
          <w:rFonts w:cs="Calibri"/>
          <w:noProof/>
          <w:lang w:val="sq-AL"/>
        </w:rPr>
        <w:t>LEK</w:t>
      </w:r>
      <w:r w:rsidRPr="005D645F">
        <w:rPr>
          <w:rFonts w:cs="Calibri"/>
          <w:noProof/>
          <w:lang w:val="sq-AL"/>
        </w:rPr>
        <w:t>. Krahasuar me vitin e kaluar, të ardhurat nga renta minerare për naftën bruto kanë pësuar rënie me rreth -602</w:t>
      </w:r>
      <w:r w:rsidR="005D645F" w:rsidRPr="005D645F">
        <w:rPr>
          <w:rFonts w:cs="Calibri"/>
          <w:noProof/>
          <w:lang w:val="sq-AL"/>
        </w:rPr>
        <w:t>mln</w:t>
      </w:r>
      <w:r w:rsidRPr="005D645F">
        <w:rPr>
          <w:rFonts w:cs="Calibri"/>
          <w:noProof/>
          <w:lang w:val="sq-AL"/>
        </w:rPr>
        <w:t xml:space="preserve"> </w:t>
      </w:r>
      <w:r w:rsidR="0056260B" w:rsidRPr="005D645F">
        <w:rPr>
          <w:rFonts w:cs="Calibri"/>
          <w:noProof/>
          <w:lang w:val="sq-AL"/>
        </w:rPr>
        <w:t>LEK</w:t>
      </w:r>
      <w:r w:rsidRPr="005D645F">
        <w:rPr>
          <w:rFonts w:cs="Calibri"/>
          <w:noProof/>
          <w:lang w:val="sq-AL"/>
        </w:rPr>
        <w:t xml:space="preserve"> si rezultat i:</w:t>
      </w:r>
    </w:p>
    <w:p w14:paraId="0B6FDE06" w14:textId="41B5EA3E" w:rsidR="00D31F37" w:rsidRPr="005D645F" w:rsidRDefault="00D31F37">
      <w:pPr>
        <w:numPr>
          <w:ilvl w:val="0"/>
          <w:numId w:val="48"/>
        </w:numPr>
        <w:spacing w:before="0"/>
        <w:ind w:left="1080" w:hanging="270"/>
        <w:contextualSpacing/>
        <w:rPr>
          <w:rFonts w:asciiTheme="majorHAnsi" w:hAnsiTheme="majorHAnsi" w:cstheme="majorHAnsi"/>
          <w:i/>
          <w:iCs/>
          <w:lang w:val="sq-AL"/>
        </w:rPr>
      </w:pPr>
      <w:r w:rsidRPr="005D645F">
        <w:rPr>
          <w:rFonts w:asciiTheme="majorHAnsi" w:hAnsiTheme="majorHAnsi" w:cstheme="majorHAnsi"/>
          <w:i/>
          <w:iCs/>
          <w:lang w:val="sq-AL"/>
        </w:rPr>
        <w:t xml:space="preserve"> rënies së çmimit nga 3.99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/njësi në 3.33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 për njësi me efekt -271 </w:t>
      </w:r>
      <w:r w:rsidR="0056260B" w:rsidRPr="005D645F">
        <w:rPr>
          <w:rFonts w:asciiTheme="majorHAnsi" w:hAnsiTheme="majorHAnsi" w:cstheme="majorHAnsi"/>
          <w:i/>
          <w:iCs/>
          <w:lang w:val="sq-AL"/>
        </w:rPr>
        <w:t>milionë</w:t>
      </w:r>
      <w:r w:rsidRPr="005D645F">
        <w:rPr>
          <w:rFonts w:asciiTheme="majorHAnsi" w:hAnsiTheme="majorHAnsi" w:cstheme="majorHAnsi"/>
          <w:i/>
          <w:iCs/>
          <w:lang w:val="sq-AL"/>
        </w:rPr>
        <w:t xml:space="preserve">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 si dhe</w:t>
      </w:r>
    </w:p>
    <w:p w14:paraId="5DA53D42" w14:textId="36D2726F" w:rsidR="00D31F37" w:rsidRPr="005D645F" w:rsidRDefault="00D31F37">
      <w:pPr>
        <w:numPr>
          <w:ilvl w:val="0"/>
          <w:numId w:val="48"/>
        </w:numPr>
        <w:spacing w:before="0"/>
        <w:ind w:left="1080" w:hanging="270"/>
        <w:contextualSpacing/>
        <w:rPr>
          <w:rFonts w:asciiTheme="majorHAnsi" w:hAnsiTheme="majorHAnsi" w:cstheme="majorHAnsi"/>
          <w:i/>
          <w:iCs/>
          <w:lang w:val="sq-AL"/>
        </w:rPr>
      </w:pPr>
      <w:r w:rsidRPr="005D645F">
        <w:rPr>
          <w:rFonts w:asciiTheme="majorHAnsi" w:hAnsiTheme="majorHAnsi" w:cstheme="majorHAnsi"/>
          <w:i/>
          <w:iCs/>
          <w:lang w:val="sq-AL"/>
        </w:rPr>
        <w:t xml:space="preserve"> rënies së sasisë së eksportuar (me -17%, ose -83,097 ton), me efekt -331 </w:t>
      </w:r>
      <w:r w:rsidR="0056260B" w:rsidRPr="005D645F">
        <w:rPr>
          <w:rFonts w:asciiTheme="majorHAnsi" w:hAnsiTheme="majorHAnsi" w:cstheme="majorHAnsi"/>
          <w:i/>
          <w:iCs/>
          <w:lang w:val="sq-AL"/>
        </w:rPr>
        <w:t>milionë</w:t>
      </w:r>
      <w:r w:rsidRPr="005D645F">
        <w:rPr>
          <w:rFonts w:asciiTheme="majorHAnsi" w:hAnsiTheme="majorHAnsi" w:cstheme="majorHAnsi"/>
          <w:i/>
          <w:iCs/>
          <w:lang w:val="sq-AL"/>
        </w:rPr>
        <w:t xml:space="preserve">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w:t>
      </w:r>
    </w:p>
    <w:p w14:paraId="272BE5D8" w14:textId="54C61275" w:rsidR="00D31F37" w:rsidRPr="005D645F" w:rsidRDefault="00D31F37">
      <w:pPr>
        <w:pStyle w:val="ListParagraph"/>
        <w:numPr>
          <w:ilvl w:val="0"/>
          <w:numId w:val="40"/>
        </w:numPr>
        <w:autoSpaceDE w:val="0"/>
        <w:autoSpaceDN w:val="0"/>
        <w:adjustRightInd w:val="0"/>
        <w:spacing w:before="0"/>
        <w:rPr>
          <w:rFonts w:cs="Calibri"/>
          <w:noProof/>
          <w:lang w:val="sq-AL"/>
        </w:rPr>
      </w:pPr>
      <w:r w:rsidRPr="005D645F">
        <w:rPr>
          <w:rFonts w:cs="Calibri"/>
          <w:noProof/>
          <w:lang w:val="sq-AL"/>
        </w:rPr>
        <w:t xml:space="preserve">Ndërkohë, të ardhurat nga mineralet e tjera janë realizuar në vlerën rreth 469 </w:t>
      </w:r>
      <w:r w:rsidR="0056260B" w:rsidRPr="005D645F">
        <w:rPr>
          <w:rFonts w:cs="Calibri"/>
          <w:noProof/>
          <w:lang w:val="sq-AL"/>
        </w:rPr>
        <w:t>milionë</w:t>
      </w:r>
      <w:r w:rsidRPr="005D645F">
        <w:rPr>
          <w:rFonts w:cs="Calibri"/>
          <w:noProof/>
          <w:lang w:val="sq-AL"/>
        </w:rPr>
        <w:t xml:space="preserve"> </w:t>
      </w:r>
      <w:r w:rsidR="0056260B" w:rsidRPr="005D645F">
        <w:rPr>
          <w:rFonts w:cs="Calibri"/>
          <w:noProof/>
          <w:lang w:val="sq-AL"/>
        </w:rPr>
        <w:t>LEK</w:t>
      </w:r>
      <w:r w:rsidRPr="005D645F">
        <w:rPr>
          <w:rFonts w:cs="Calibri"/>
          <w:noProof/>
          <w:lang w:val="sq-AL"/>
        </w:rPr>
        <w:t xml:space="preserve">, me rënie rreth -319 </w:t>
      </w:r>
      <w:r w:rsidR="0056260B" w:rsidRPr="005D645F">
        <w:rPr>
          <w:rFonts w:cs="Calibri"/>
          <w:noProof/>
          <w:lang w:val="sq-AL"/>
        </w:rPr>
        <w:t>milionë</w:t>
      </w:r>
      <w:r w:rsidRPr="005D645F">
        <w:rPr>
          <w:rFonts w:cs="Calibri"/>
          <w:noProof/>
          <w:lang w:val="sq-AL"/>
        </w:rPr>
        <w:t xml:space="preserve"> </w:t>
      </w:r>
      <w:r w:rsidR="0056260B" w:rsidRPr="005D645F">
        <w:rPr>
          <w:rFonts w:cs="Calibri"/>
          <w:noProof/>
          <w:lang w:val="sq-AL"/>
        </w:rPr>
        <w:t>LEK</w:t>
      </w:r>
      <w:r w:rsidRPr="005D645F">
        <w:rPr>
          <w:rFonts w:cs="Calibri"/>
          <w:noProof/>
          <w:lang w:val="sq-AL"/>
        </w:rPr>
        <w:t xml:space="preserve"> ose -40 % nga 12 mujori i vitit 2024. Ky efekt ka ardhur i ndikuar nga</w:t>
      </w:r>
    </w:p>
    <w:p w14:paraId="5A1D5347" w14:textId="3B4F9613" w:rsidR="00D31F37" w:rsidRPr="005D645F" w:rsidRDefault="00D31F37">
      <w:pPr>
        <w:numPr>
          <w:ilvl w:val="0"/>
          <w:numId w:val="48"/>
        </w:numPr>
        <w:spacing w:before="0"/>
        <w:ind w:left="1080" w:hanging="270"/>
        <w:contextualSpacing/>
        <w:rPr>
          <w:rFonts w:asciiTheme="majorHAnsi" w:hAnsiTheme="majorHAnsi" w:cstheme="majorHAnsi"/>
          <w:i/>
          <w:iCs/>
          <w:lang w:val="sq-AL"/>
        </w:rPr>
      </w:pPr>
      <w:r w:rsidRPr="005D645F">
        <w:rPr>
          <w:rFonts w:asciiTheme="majorHAnsi" w:hAnsiTheme="majorHAnsi" w:cstheme="majorHAnsi"/>
          <w:i/>
          <w:iCs/>
          <w:lang w:val="sq-AL"/>
        </w:rPr>
        <w:t xml:space="preserve"> rënia e çmimit për njësi nga 0.42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/njësi në 0.27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/njësi, me efekt -272 </w:t>
      </w:r>
      <w:r w:rsidR="0056260B" w:rsidRPr="005D645F">
        <w:rPr>
          <w:rFonts w:asciiTheme="majorHAnsi" w:hAnsiTheme="majorHAnsi" w:cstheme="majorHAnsi"/>
          <w:i/>
          <w:iCs/>
          <w:lang w:val="sq-AL"/>
        </w:rPr>
        <w:t>milionë</w:t>
      </w:r>
      <w:r w:rsidRPr="005D645F">
        <w:rPr>
          <w:rFonts w:asciiTheme="majorHAnsi" w:hAnsiTheme="majorHAnsi" w:cstheme="majorHAnsi"/>
          <w:i/>
          <w:iCs/>
          <w:lang w:val="sq-AL"/>
        </w:rPr>
        <w:t xml:space="preserve">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 si dhe nga rënia e sasisë së eksportuar me -111 mijë ton ose -6%, me efekt në të ardhura -47 </w:t>
      </w:r>
      <w:r w:rsidR="0056260B" w:rsidRPr="005D645F">
        <w:rPr>
          <w:rFonts w:asciiTheme="majorHAnsi" w:hAnsiTheme="majorHAnsi" w:cstheme="majorHAnsi"/>
          <w:i/>
          <w:iCs/>
          <w:lang w:val="sq-AL"/>
        </w:rPr>
        <w:t>milionë</w:t>
      </w:r>
      <w:r w:rsidRPr="005D645F">
        <w:rPr>
          <w:rFonts w:asciiTheme="majorHAnsi" w:hAnsiTheme="majorHAnsi" w:cstheme="majorHAnsi"/>
          <w:i/>
          <w:iCs/>
          <w:lang w:val="sq-AL"/>
        </w:rPr>
        <w:t xml:space="preserve"> </w:t>
      </w:r>
      <w:r w:rsidR="0056260B" w:rsidRPr="005D645F">
        <w:rPr>
          <w:rFonts w:asciiTheme="majorHAnsi" w:hAnsiTheme="majorHAnsi" w:cstheme="majorHAnsi"/>
          <w:i/>
          <w:iCs/>
          <w:lang w:val="sq-AL"/>
        </w:rPr>
        <w:t>LEK</w:t>
      </w:r>
      <w:r w:rsidRPr="005D645F">
        <w:rPr>
          <w:rFonts w:asciiTheme="majorHAnsi" w:hAnsiTheme="majorHAnsi" w:cstheme="majorHAnsi"/>
          <w:i/>
          <w:iCs/>
          <w:lang w:val="sq-AL"/>
        </w:rPr>
        <w:t xml:space="preserve">. </w:t>
      </w:r>
    </w:p>
    <w:p w14:paraId="497EE688" w14:textId="679B10C1" w:rsidR="00D31F37" w:rsidRPr="00FF7045" w:rsidRDefault="00D31F37" w:rsidP="00D31F37">
      <w:pPr>
        <w:rPr>
          <w:rFonts w:asciiTheme="majorHAnsi" w:hAnsiTheme="majorHAnsi" w:cstheme="majorHAnsi"/>
          <w:lang w:val="sq-AL"/>
        </w:rPr>
      </w:pPr>
      <w:r w:rsidRPr="005D645F">
        <w:rPr>
          <w:rFonts w:asciiTheme="majorHAnsi" w:hAnsiTheme="majorHAnsi" w:cstheme="majorHAnsi"/>
          <w:b/>
          <w:bCs/>
          <w:i/>
          <w:iCs/>
          <w:lang w:val="sq-AL"/>
        </w:rPr>
        <w:t>Të ardhurat nga taksat doganore</w:t>
      </w:r>
      <w:r w:rsidRPr="00FF7045">
        <w:rPr>
          <w:rFonts w:asciiTheme="majorHAnsi" w:hAnsiTheme="majorHAnsi" w:cstheme="majorHAnsi"/>
          <w:lang w:val="sq-AL"/>
        </w:rPr>
        <w:t xml:space="preserve"> janë realizuar në vlerën 9.5 </w:t>
      </w:r>
      <w:r w:rsidR="0056260B">
        <w:rPr>
          <w:rFonts w:asciiTheme="majorHAnsi" w:hAnsiTheme="majorHAnsi" w:cstheme="majorHAnsi"/>
          <w:lang w:val="sq-AL"/>
        </w:rPr>
        <w:t>miliardë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+514 </w:t>
      </w:r>
      <w:r w:rsidR="0056260B">
        <w:rPr>
          <w:rFonts w:asciiTheme="majorHAnsi" w:hAnsiTheme="majorHAnsi" w:cstheme="majorHAnsi"/>
          <w:lang w:val="sq-AL"/>
        </w:rPr>
        <w:t>milionë</w:t>
      </w:r>
      <w:r w:rsidRPr="00FF7045">
        <w:rPr>
          <w:rFonts w:asciiTheme="majorHAnsi" w:hAnsiTheme="majorHAnsi" w:cstheme="majorHAnsi"/>
          <w:lang w:val="sq-AL"/>
        </w:rPr>
        <w:t xml:space="preserve"> </w:t>
      </w:r>
      <w:r w:rsidR="0056260B">
        <w:rPr>
          <w:rFonts w:asciiTheme="majorHAnsi" w:hAnsiTheme="majorHAnsi" w:cstheme="majorHAnsi"/>
          <w:lang w:val="sq-AL"/>
        </w:rPr>
        <w:t>LEK</w:t>
      </w:r>
      <w:r w:rsidRPr="00FF7045">
        <w:rPr>
          <w:rFonts w:asciiTheme="majorHAnsi" w:hAnsiTheme="majorHAnsi" w:cstheme="majorHAnsi"/>
          <w:lang w:val="sq-AL"/>
        </w:rPr>
        <w:t xml:space="preserve"> ose +5.7% më shumë se  viti 2024, si dhe realizim rreth 92.4% kundrejt planit.</w:t>
      </w:r>
    </w:p>
    <w:p w14:paraId="597FFBF7" w14:textId="77777777" w:rsidR="003C5EDE" w:rsidRDefault="003C5EDE" w:rsidP="00D31F37">
      <w:pPr>
        <w:spacing w:line="240" w:lineRule="auto"/>
        <w:rPr>
          <w:rFonts w:asciiTheme="majorHAnsi" w:hAnsiTheme="majorHAnsi" w:cstheme="majorHAnsi"/>
          <w:b/>
          <w:bCs/>
          <w:color w:val="1F4E78"/>
          <w:sz w:val="24"/>
          <w:lang w:val="sq-AL"/>
        </w:rPr>
      </w:pPr>
    </w:p>
    <w:p w14:paraId="314742EE" w14:textId="77777777" w:rsidR="00431095" w:rsidRPr="004A7275" w:rsidRDefault="00431095" w:rsidP="00D31F37">
      <w:pPr>
        <w:spacing w:line="240" w:lineRule="auto"/>
        <w:rPr>
          <w:rFonts w:asciiTheme="majorHAnsi" w:hAnsiTheme="majorHAnsi" w:cstheme="majorHAnsi"/>
          <w:b/>
          <w:bCs/>
          <w:color w:val="1F4E78"/>
          <w:sz w:val="24"/>
          <w:lang w:val="sq-AL"/>
        </w:rPr>
      </w:pPr>
    </w:p>
    <w:p w14:paraId="2E78D38D" w14:textId="44DC9461" w:rsidR="00D31F37" w:rsidRPr="00FF7045" w:rsidRDefault="003C5EDE" w:rsidP="00D31F37">
      <w:pPr>
        <w:spacing w:line="240" w:lineRule="auto"/>
        <w:rPr>
          <w:rFonts w:asciiTheme="majorHAnsi" w:hAnsiTheme="majorHAnsi" w:cstheme="majorHAnsi"/>
          <w:b/>
          <w:bCs/>
          <w:sz w:val="24"/>
          <w:lang w:val="sq-AL"/>
        </w:rPr>
      </w:pPr>
      <w:r w:rsidRPr="00FF7045">
        <w:rPr>
          <w:rFonts w:asciiTheme="majorHAnsi" w:hAnsiTheme="majorHAnsi" w:cstheme="majorHAnsi"/>
          <w:b/>
          <w:bCs/>
          <w:sz w:val="24"/>
          <w:lang w:val="sq-AL"/>
        </w:rPr>
        <w:t>ADMINISTRATA TATIMORE</w:t>
      </w:r>
    </w:p>
    <w:p w14:paraId="6C589A7E" w14:textId="77777777" w:rsidR="00D31F37" w:rsidRPr="00492B15" w:rsidRDefault="00D31F37" w:rsidP="00D31F37">
      <w:pPr>
        <w:shd w:val="clear" w:color="auto" w:fill="FFFFFF"/>
        <w:spacing w:before="0" w:line="240" w:lineRule="auto"/>
        <w:textAlignment w:val="baseline"/>
        <w:rPr>
          <w:rFonts w:asciiTheme="majorHAnsi" w:hAnsiTheme="majorHAnsi" w:cstheme="majorHAnsi"/>
          <w:i/>
          <w:iCs/>
          <w:color w:val="201F1E"/>
          <w:sz w:val="4"/>
          <w:szCs w:val="4"/>
          <w:lang w:val="sq-AL"/>
        </w:rPr>
      </w:pPr>
    </w:p>
    <w:p w14:paraId="1E2BBE8C" w14:textId="7598759F" w:rsidR="00D31F37" w:rsidRDefault="00D31F37" w:rsidP="00D31F37">
      <w:pPr>
        <w:spacing w:line="240" w:lineRule="auto"/>
        <w:contextualSpacing/>
        <w:rPr>
          <w:rFonts w:asciiTheme="majorHAnsi" w:hAnsiTheme="majorHAnsi" w:cstheme="majorHAnsi"/>
          <w:bCs/>
          <w:lang w:val="sq-AL"/>
        </w:rPr>
      </w:pPr>
      <w:r w:rsidRPr="00FF7045">
        <w:rPr>
          <w:rFonts w:asciiTheme="majorHAnsi" w:hAnsiTheme="majorHAnsi" w:cstheme="majorHAnsi"/>
          <w:bCs/>
          <w:lang w:val="sq-AL"/>
        </w:rPr>
        <w:t xml:space="preserve">Të ardhurat e Administratës Tatimore (të ardhurat nga TVSH neto në vend, tatimi mbi fitimin, tatimi mbi të ardhurat personale, taksat nacionale dhe kontributet e mbledhura nga DPT) për vitin 2025 u realizuan në masën 428.6 </w:t>
      </w:r>
      <w:r w:rsidR="0056260B">
        <w:rPr>
          <w:rFonts w:asciiTheme="majorHAnsi" w:hAnsiTheme="majorHAnsi" w:cstheme="majorHAnsi"/>
          <w:bCs/>
          <w:lang w:val="sq-AL"/>
        </w:rPr>
        <w:t>miliardë</w:t>
      </w:r>
      <w:r w:rsidRPr="00FF7045">
        <w:rPr>
          <w:rFonts w:asciiTheme="majorHAnsi" w:hAnsiTheme="majorHAnsi" w:cstheme="majorHAnsi"/>
          <w:bCs/>
          <w:lang w:val="sq-AL"/>
        </w:rPr>
        <w:t xml:space="preserve"> </w:t>
      </w:r>
      <w:r w:rsidR="0056260B">
        <w:rPr>
          <w:rFonts w:asciiTheme="majorHAnsi" w:hAnsiTheme="majorHAnsi" w:cstheme="majorHAnsi"/>
          <w:bCs/>
          <w:lang w:val="sq-AL"/>
        </w:rPr>
        <w:t>LEK</w:t>
      </w:r>
      <w:r w:rsidRPr="00FF7045">
        <w:rPr>
          <w:rFonts w:asciiTheme="majorHAnsi" w:hAnsiTheme="majorHAnsi" w:cstheme="majorHAnsi"/>
          <w:bCs/>
          <w:lang w:val="sq-AL"/>
        </w:rPr>
        <w:t xml:space="preserve">, +45.5 </w:t>
      </w:r>
      <w:r w:rsidR="0056260B">
        <w:rPr>
          <w:rFonts w:asciiTheme="majorHAnsi" w:hAnsiTheme="majorHAnsi" w:cstheme="majorHAnsi"/>
          <w:bCs/>
          <w:lang w:val="sq-AL"/>
        </w:rPr>
        <w:t>miliardë</w:t>
      </w:r>
      <w:r w:rsidRPr="00FF7045">
        <w:rPr>
          <w:rFonts w:asciiTheme="majorHAnsi" w:hAnsiTheme="majorHAnsi" w:cstheme="majorHAnsi"/>
          <w:bCs/>
          <w:lang w:val="sq-AL"/>
        </w:rPr>
        <w:t xml:space="preserve"> </w:t>
      </w:r>
      <w:r w:rsidR="0056260B">
        <w:rPr>
          <w:rFonts w:asciiTheme="majorHAnsi" w:hAnsiTheme="majorHAnsi" w:cstheme="majorHAnsi"/>
          <w:bCs/>
          <w:lang w:val="sq-AL"/>
        </w:rPr>
        <w:t>LEK</w:t>
      </w:r>
      <w:r w:rsidRPr="00FF7045">
        <w:rPr>
          <w:rFonts w:asciiTheme="majorHAnsi" w:hAnsiTheme="majorHAnsi" w:cstheme="majorHAnsi"/>
          <w:bCs/>
          <w:lang w:val="sq-AL"/>
        </w:rPr>
        <w:t xml:space="preserve"> ose 11.9% më shumë se viti 2024, si dhe 1.6 </w:t>
      </w:r>
      <w:r w:rsidR="0056260B">
        <w:rPr>
          <w:rFonts w:asciiTheme="majorHAnsi" w:hAnsiTheme="majorHAnsi" w:cstheme="majorHAnsi"/>
          <w:bCs/>
          <w:lang w:val="sq-AL"/>
        </w:rPr>
        <w:t>miliardë</w:t>
      </w:r>
      <w:r w:rsidRPr="00FF7045">
        <w:rPr>
          <w:rFonts w:asciiTheme="majorHAnsi" w:hAnsiTheme="majorHAnsi" w:cstheme="majorHAnsi"/>
          <w:bCs/>
          <w:lang w:val="sq-AL"/>
        </w:rPr>
        <w:t xml:space="preserve"> </w:t>
      </w:r>
      <w:r w:rsidR="0056260B">
        <w:rPr>
          <w:rFonts w:asciiTheme="majorHAnsi" w:hAnsiTheme="majorHAnsi" w:cstheme="majorHAnsi"/>
          <w:bCs/>
          <w:lang w:val="sq-AL"/>
        </w:rPr>
        <w:t>LEK</w:t>
      </w:r>
      <w:r w:rsidRPr="00FF7045">
        <w:rPr>
          <w:rFonts w:asciiTheme="majorHAnsi" w:hAnsiTheme="majorHAnsi" w:cstheme="majorHAnsi"/>
          <w:bCs/>
          <w:lang w:val="sq-AL"/>
        </w:rPr>
        <w:t xml:space="preserve">, ose 0.4% më shumë se plani i rishikuar për vitin 2025. </w:t>
      </w:r>
    </w:p>
    <w:p w14:paraId="4CC359C2" w14:textId="77777777" w:rsidR="00431095" w:rsidRDefault="00431095" w:rsidP="00D31F37">
      <w:pPr>
        <w:spacing w:line="240" w:lineRule="auto"/>
        <w:contextualSpacing/>
        <w:rPr>
          <w:rFonts w:asciiTheme="majorHAnsi" w:hAnsiTheme="majorHAnsi" w:cstheme="majorHAnsi"/>
          <w:bCs/>
          <w:lang w:val="sq-AL"/>
        </w:rPr>
      </w:pPr>
    </w:p>
    <w:p w14:paraId="190F7F7A" w14:textId="77777777" w:rsidR="00431095" w:rsidRDefault="00431095" w:rsidP="00D31F37">
      <w:pPr>
        <w:spacing w:line="240" w:lineRule="auto"/>
        <w:contextualSpacing/>
        <w:rPr>
          <w:rFonts w:asciiTheme="majorHAnsi" w:hAnsiTheme="majorHAnsi" w:cstheme="majorHAnsi"/>
          <w:bCs/>
          <w:lang w:val="sq-AL"/>
        </w:rPr>
      </w:pPr>
    </w:p>
    <w:p w14:paraId="709EA71F" w14:textId="77777777" w:rsidR="00431095" w:rsidRPr="00FF7045" w:rsidRDefault="00431095" w:rsidP="00D31F37">
      <w:pPr>
        <w:spacing w:line="240" w:lineRule="auto"/>
        <w:contextualSpacing/>
        <w:rPr>
          <w:rFonts w:asciiTheme="majorHAnsi" w:hAnsiTheme="majorHAnsi" w:cstheme="majorHAnsi"/>
          <w:bCs/>
          <w:lang w:val="sq-AL"/>
        </w:rPr>
      </w:pPr>
    </w:p>
    <w:p w14:paraId="0F39D48F" w14:textId="77777777" w:rsidR="00D31F37" w:rsidRPr="00FF7045" w:rsidRDefault="00D31F37" w:rsidP="00D31F37">
      <w:pPr>
        <w:spacing w:line="240" w:lineRule="auto"/>
        <w:contextualSpacing/>
        <w:rPr>
          <w:rFonts w:asciiTheme="majorHAnsi" w:hAnsiTheme="majorHAnsi" w:cstheme="majorHAnsi"/>
          <w:sz w:val="8"/>
          <w:szCs w:val="8"/>
          <w:lang w:val="sq-AL"/>
        </w:rPr>
      </w:pPr>
    </w:p>
    <w:p w14:paraId="17E6E397" w14:textId="68728E19" w:rsidR="007B1A0A" w:rsidRDefault="007B1A0A" w:rsidP="007B1A0A">
      <w:pPr>
        <w:pStyle w:val="Caption"/>
        <w:keepNext/>
      </w:pPr>
      <w:bookmarkStart w:id="87" w:name="_Toc229129987"/>
      <w:proofErr w:type="spellStart"/>
      <w:r>
        <w:lastRenderedPageBreak/>
        <w:t>Tabela</w:t>
      </w:r>
      <w:proofErr w:type="spellEnd"/>
      <w:r>
        <w:t xml:space="preserve"> </w:t>
      </w:r>
      <w:fldSimple w:instr=" SEQ Tabela \* ARABIC ">
        <w:r w:rsidR="00CB4DE6">
          <w:rPr>
            <w:noProof/>
          </w:rPr>
          <w:t>13</w:t>
        </w:r>
      </w:fldSimple>
      <w:r>
        <w:t xml:space="preserve"> </w:t>
      </w:r>
      <w:proofErr w:type="spellStart"/>
      <w:r w:rsidRPr="00D90A8A">
        <w:t>Të</w:t>
      </w:r>
      <w:proofErr w:type="spellEnd"/>
      <w:r w:rsidRPr="00D90A8A">
        <w:t xml:space="preserve"> </w:t>
      </w:r>
      <w:proofErr w:type="spellStart"/>
      <w:r w:rsidRPr="00D90A8A">
        <w:t>ardhurat</w:t>
      </w:r>
      <w:proofErr w:type="spellEnd"/>
      <w:r w:rsidRPr="00D90A8A">
        <w:t xml:space="preserve"> </w:t>
      </w:r>
      <w:proofErr w:type="spellStart"/>
      <w:r w:rsidRPr="00D90A8A">
        <w:t>progresive</w:t>
      </w:r>
      <w:proofErr w:type="spellEnd"/>
      <w:r w:rsidRPr="00D90A8A">
        <w:t xml:space="preserve"> </w:t>
      </w:r>
      <w:proofErr w:type="spellStart"/>
      <w:r w:rsidRPr="00D90A8A">
        <w:t>Administrata</w:t>
      </w:r>
      <w:proofErr w:type="spellEnd"/>
      <w:r w:rsidRPr="00D90A8A">
        <w:t xml:space="preserve"> </w:t>
      </w:r>
      <w:proofErr w:type="spellStart"/>
      <w:r w:rsidRPr="00D90A8A">
        <w:t>Tatimore</w:t>
      </w:r>
      <w:proofErr w:type="spellEnd"/>
      <w:r w:rsidRPr="00D90A8A">
        <w:t xml:space="preserve"> Janar – </w:t>
      </w:r>
      <w:proofErr w:type="spellStart"/>
      <w:r w:rsidRPr="00D90A8A">
        <w:t>Dhjetor</w:t>
      </w:r>
      <w:proofErr w:type="spellEnd"/>
      <w:r w:rsidRPr="00D90A8A">
        <w:t xml:space="preserve"> 2025</w:t>
      </w:r>
      <w:bookmarkEnd w:id="87"/>
    </w:p>
    <w:p w14:paraId="58B67F62" w14:textId="6201104B" w:rsidR="00D31F37" w:rsidRPr="00A418CC" w:rsidRDefault="00D31F37" w:rsidP="00D31F37">
      <w:pPr>
        <w:spacing w:line="240" w:lineRule="auto"/>
        <w:contextualSpacing/>
        <w:jc w:val="right"/>
        <w:rPr>
          <w:rFonts w:asciiTheme="majorHAnsi" w:hAnsiTheme="majorHAnsi" w:cstheme="majorHAnsi"/>
          <w:bCs/>
          <w:i/>
          <w:sz w:val="16"/>
          <w:szCs w:val="16"/>
        </w:rPr>
      </w:pPr>
      <w:proofErr w:type="spellStart"/>
      <w:r w:rsidRPr="00A418CC">
        <w:rPr>
          <w:rFonts w:asciiTheme="majorHAnsi" w:hAnsiTheme="majorHAnsi" w:cstheme="majorHAnsi"/>
          <w:bCs/>
          <w:i/>
          <w:sz w:val="16"/>
          <w:szCs w:val="16"/>
        </w:rPr>
        <w:t>në</w:t>
      </w:r>
      <w:proofErr w:type="spellEnd"/>
      <w:r w:rsidRPr="00A418CC">
        <w:rPr>
          <w:rFonts w:asciiTheme="majorHAnsi" w:hAnsiTheme="majorHAnsi" w:cstheme="majorHAnsi"/>
          <w:bCs/>
          <w:i/>
          <w:sz w:val="16"/>
          <w:szCs w:val="16"/>
        </w:rPr>
        <w:t xml:space="preserve"> </w:t>
      </w:r>
      <w:proofErr w:type="spellStart"/>
      <w:r w:rsidR="0056260B">
        <w:rPr>
          <w:rFonts w:asciiTheme="majorHAnsi" w:hAnsiTheme="majorHAnsi" w:cstheme="majorHAnsi"/>
          <w:bCs/>
          <w:i/>
          <w:sz w:val="16"/>
          <w:szCs w:val="16"/>
        </w:rPr>
        <w:t>milionë</w:t>
      </w:r>
      <w:proofErr w:type="spellEnd"/>
      <w:r w:rsidRPr="00A418CC">
        <w:rPr>
          <w:rFonts w:asciiTheme="majorHAnsi" w:hAnsiTheme="majorHAnsi" w:cstheme="majorHAnsi"/>
          <w:bCs/>
          <w:i/>
          <w:sz w:val="16"/>
          <w:szCs w:val="16"/>
        </w:rPr>
        <w:t xml:space="preserve"> </w:t>
      </w:r>
      <w:r w:rsidR="0056260B">
        <w:rPr>
          <w:rFonts w:asciiTheme="majorHAnsi" w:hAnsiTheme="majorHAnsi" w:cstheme="majorHAnsi"/>
          <w:bCs/>
          <w:i/>
          <w:sz w:val="16"/>
          <w:szCs w:val="16"/>
        </w:rPr>
        <w:t>LEK</w:t>
      </w:r>
    </w:p>
    <w:tbl>
      <w:tblPr>
        <w:tblW w:w="5000" w:type="pct"/>
        <w:jc w:val="center"/>
        <w:tblLook w:val="04A0" w:firstRow="1" w:lastRow="0" w:firstColumn="1" w:lastColumn="0" w:noHBand="0" w:noVBand="1"/>
      </w:tblPr>
      <w:tblGrid>
        <w:gridCol w:w="2637"/>
        <w:gridCol w:w="1078"/>
        <w:gridCol w:w="891"/>
        <w:gridCol w:w="1055"/>
        <w:gridCol w:w="1380"/>
        <w:gridCol w:w="1315"/>
        <w:gridCol w:w="761"/>
        <w:gridCol w:w="763"/>
      </w:tblGrid>
      <w:tr w:rsidR="00D31F37" w:rsidRPr="003C5EDE" w14:paraId="5BED6149" w14:textId="77777777" w:rsidTr="00FF7045">
        <w:trPr>
          <w:trHeight w:val="311"/>
          <w:jc w:val="center"/>
        </w:trPr>
        <w:tc>
          <w:tcPr>
            <w:tcW w:w="135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41A878"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Totali</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i</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të</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ardhurave</w:t>
            </w:r>
            <w:proofErr w:type="spellEnd"/>
          </w:p>
        </w:tc>
        <w:tc>
          <w:tcPr>
            <w:tcW w:w="1600" w:type="pct"/>
            <w:gridSpan w:val="3"/>
            <w:tcBorders>
              <w:top w:val="single" w:sz="8" w:space="0" w:color="auto"/>
              <w:left w:val="nil"/>
              <w:bottom w:val="single" w:sz="4" w:space="0" w:color="auto"/>
              <w:right w:val="single" w:sz="8" w:space="0" w:color="000000"/>
            </w:tcBorders>
            <w:shd w:val="clear" w:color="000000" w:fill="FFFFFF"/>
            <w:vAlign w:val="center"/>
            <w:hideMark/>
          </w:tcPr>
          <w:p w14:paraId="2DE8E394"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Progresive</w:t>
            </w:r>
            <w:proofErr w:type="spellEnd"/>
            <w:r w:rsidRPr="003C5EDE">
              <w:rPr>
                <w:rFonts w:asciiTheme="majorHAnsi" w:hAnsiTheme="majorHAnsi" w:cstheme="majorHAnsi"/>
                <w:b/>
                <w:bCs/>
                <w:color w:val="000000"/>
                <w:sz w:val="20"/>
                <w:szCs w:val="20"/>
              </w:rPr>
              <w:t xml:space="preserve"> Janar - </w:t>
            </w:r>
            <w:proofErr w:type="spellStart"/>
            <w:r w:rsidRPr="003C5EDE">
              <w:rPr>
                <w:rFonts w:asciiTheme="majorHAnsi" w:hAnsiTheme="majorHAnsi" w:cstheme="majorHAnsi"/>
                <w:b/>
                <w:bCs/>
                <w:color w:val="000000"/>
                <w:sz w:val="20"/>
                <w:szCs w:val="20"/>
              </w:rPr>
              <w:t>Dhjetor</w:t>
            </w:r>
            <w:proofErr w:type="spellEnd"/>
          </w:p>
        </w:tc>
        <w:tc>
          <w:tcPr>
            <w:tcW w:w="1225" w:type="pct"/>
            <w:gridSpan w:val="2"/>
            <w:tcBorders>
              <w:top w:val="single" w:sz="8" w:space="0" w:color="auto"/>
              <w:left w:val="nil"/>
              <w:bottom w:val="nil"/>
              <w:right w:val="single" w:sz="8" w:space="0" w:color="000000"/>
            </w:tcBorders>
            <w:shd w:val="clear" w:color="000000" w:fill="FFFFFF"/>
            <w:noWrap/>
            <w:vAlign w:val="center"/>
            <w:hideMark/>
          </w:tcPr>
          <w:p w14:paraId="5A6F7277"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Dif</w:t>
            </w:r>
            <w:proofErr w:type="spellEnd"/>
            <w:r w:rsidRPr="003C5EDE">
              <w:rPr>
                <w:rFonts w:asciiTheme="majorHAnsi" w:hAnsiTheme="majorHAnsi" w:cstheme="majorHAnsi"/>
                <w:b/>
                <w:bCs/>
                <w:color w:val="000000"/>
                <w:sz w:val="20"/>
                <w:szCs w:val="20"/>
              </w:rPr>
              <w:t xml:space="preserve"> Fakt </w:t>
            </w:r>
            <w:proofErr w:type="spellStart"/>
            <w:r w:rsidRPr="003C5EDE">
              <w:rPr>
                <w:rFonts w:asciiTheme="majorHAnsi" w:hAnsiTheme="majorHAnsi" w:cstheme="majorHAnsi"/>
                <w:b/>
                <w:bCs/>
                <w:color w:val="000000"/>
                <w:sz w:val="20"/>
                <w:szCs w:val="20"/>
              </w:rPr>
              <w:t>Progresive</w:t>
            </w:r>
            <w:proofErr w:type="spellEnd"/>
            <w:r w:rsidRPr="003C5EDE">
              <w:rPr>
                <w:rFonts w:asciiTheme="majorHAnsi" w:hAnsiTheme="majorHAnsi" w:cstheme="majorHAnsi"/>
                <w:b/>
                <w:bCs/>
                <w:color w:val="000000"/>
                <w:sz w:val="20"/>
                <w:szCs w:val="20"/>
              </w:rPr>
              <w:t xml:space="preserve"> 2025-2024</w:t>
            </w:r>
          </w:p>
        </w:tc>
        <w:tc>
          <w:tcPr>
            <w:tcW w:w="817" w:type="pct"/>
            <w:gridSpan w:val="2"/>
            <w:tcBorders>
              <w:top w:val="single" w:sz="8" w:space="0" w:color="auto"/>
              <w:left w:val="nil"/>
              <w:bottom w:val="nil"/>
              <w:right w:val="single" w:sz="8" w:space="0" w:color="000000"/>
            </w:tcBorders>
            <w:shd w:val="clear" w:color="000000" w:fill="FFFFFF"/>
            <w:vAlign w:val="center"/>
            <w:hideMark/>
          </w:tcPr>
          <w:p w14:paraId="008726EF"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Dif</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Progresiv</w:t>
            </w:r>
            <w:proofErr w:type="spellEnd"/>
            <w:r w:rsidRPr="003C5EDE">
              <w:rPr>
                <w:rFonts w:asciiTheme="majorHAnsi" w:hAnsiTheme="majorHAnsi" w:cstheme="majorHAnsi"/>
                <w:b/>
                <w:bCs/>
                <w:color w:val="000000"/>
                <w:sz w:val="20"/>
                <w:szCs w:val="20"/>
              </w:rPr>
              <w:t>-Fakt-Plan</w:t>
            </w:r>
          </w:p>
        </w:tc>
      </w:tr>
      <w:tr w:rsidR="00D31F37" w:rsidRPr="003C5EDE" w14:paraId="42025497" w14:textId="77777777" w:rsidTr="00FF7045">
        <w:trPr>
          <w:trHeight w:val="467"/>
          <w:jc w:val="center"/>
        </w:trPr>
        <w:tc>
          <w:tcPr>
            <w:tcW w:w="1358" w:type="pct"/>
            <w:vMerge/>
            <w:tcBorders>
              <w:top w:val="single" w:sz="8" w:space="0" w:color="auto"/>
              <w:left w:val="single" w:sz="8" w:space="0" w:color="auto"/>
              <w:bottom w:val="single" w:sz="8" w:space="0" w:color="000000"/>
              <w:right w:val="single" w:sz="8" w:space="0" w:color="auto"/>
            </w:tcBorders>
            <w:vAlign w:val="center"/>
            <w:hideMark/>
          </w:tcPr>
          <w:p w14:paraId="3CBA0BC8"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
        </w:tc>
        <w:tc>
          <w:tcPr>
            <w:tcW w:w="569" w:type="pct"/>
            <w:tcBorders>
              <w:top w:val="nil"/>
              <w:left w:val="nil"/>
              <w:bottom w:val="single" w:sz="4" w:space="0" w:color="auto"/>
              <w:right w:val="single" w:sz="4" w:space="0" w:color="auto"/>
            </w:tcBorders>
            <w:shd w:val="clear" w:color="000000" w:fill="FFFFFF"/>
            <w:vAlign w:val="center"/>
            <w:hideMark/>
          </w:tcPr>
          <w:p w14:paraId="4862C9ED"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Fakt 2024</w:t>
            </w:r>
          </w:p>
        </w:tc>
        <w:tc>
          <w:tcPr>
            <w:tcW w:w="474" w:type="pct"/>
            <w:tcBorders>
              <w:top w:val="nil"/>
              <w:left w:val="nil"/>
              <w:bottom w:val="single" w:sz="4" w:space="0" w:color="auto"/>
              <w:right w:val="single" w:sz="4" w:space="0" w:color="auto"/>
            </w:tcBorders>
            <w:shd w:val="clear" w:color="000000" w:fill="FFFFFF"/>
            <w:vAlign w:val="center"/>
            <w:hideMark/>
          </w:tcPr>
          <w:p w14:paraId="10E973E0" w14:textId="520BBF42"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Fakt 2025</w:t>
            </w:r>
          </w:p>
        </w:tc>
        <w:tc>
          <w:tcPr>
            <w:tcW w:w="556" w:type="pct"/>
            <w:tcBorders>
              <w:top w:val="nil"/>
              <w:left w:val="nil"/>
              <w:bottom w:val="single" w:sz="8" w:space="0" w:color="auto"/>
              <w:right w:val="single" w:sz="4" w:space="0" w:color="auto"/>
            </w:tcBorders>
            <w:shd w:val="clear" w:color="000000" w:fill="FFFFFF"/>
            <w:vAlign w:val="center"/>
            <w:hideMark/>
          </w:tcPr>
          <w:p w14:paraId="670F05A1" w14:textId="27B52CA8"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Plan AN 10/2025</w:t>
            </w:r>
          </w:p>
        </w:tc>
        <w:tc>
          <w:tcPr>
            <w:tcW w:w="627" w:type="pct"/>
            <w:tcBorders>
              <w:top w:val="single" w:sz="4" w:space="0" w:color="auto"/>
              <w:left w:val="single" w:sz="4" w:space="0" w:color="auto"/>
              <w:bottom w:val="single" w:sz="8" w:space="0" w:color="auto"/>
              <w:right w:val="single" w:sz="4" w:space="0" w:color="auto"/>
            </w:tcBorders>
            <w:shd w:val="clear" w:color="000000" w:fill="FFFFFF"/>
            <w:vAlign w:val="center"/>
            <w:hideMark/>
          </w:tcPr>
          <w:p w14:paraId="4657E69A"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Në</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vlerë</w:t>
            </w:r>
            <w:proofErr w:type="spellEnd"/>
          </w:p>
        </w:tc>
        <w:tc>
          <w:tcPr>
            <w:tcW w:w="598" w:type="pct"/>
            <w:tcBorders>
              <w:top w:val="single" w:sz="4" w:space="0" w:color="auto"/>
              <w:left w:val="single" w:sz="4" w:space="0" w:color="auto"/>
              <w:bottom w:val="single" w:sz="8" w:space="0" w:color="auto"/>
              <w:right w:val="single" w:sz="4" w:space="0" w:color="auto"/>
            </w:tcBorders>
            <w:shd w:val="clear" w:color="000000" w:fill="FFFFFF"/>
            <w:vAlign w:val="center"/>
            <w:hideMark/>
          </w:tcPr>
          <w:p w14:paraId="3536781D" w14:textId="6C7EEF29"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Në</w:t>
            </w:r>
            <w:proofErr w:type="spellEnd"/>
            <w:r w:rsidRPr="003C5EDE">
              <w:rPr>
                <w:rFonts w:asciiTheme="majorHAnsi" w:hAnsiTheme="majorHAnsi" w:cstheme="majorHAnsi"/>
                <w:b/>
                <w:bCs/>
                <w:color w:val="000000"/>
                <w:sz w:val="20"/>
                <w:szCs w:val="20"/>
              </w:rPr>
              <w:t xml:space="preserve"> %</w:t>
            </w:r>
          </w:p>
        </w:tc>
        <w:tc>
          <w:tcPr>
            <w:tcW w:w="408" w:type="pct"/>
            <w:tcBorders>
              <w:top w:val="single" w:sz="4" w:space="0" w:color="auto"/>
              <w:left w:val="single" w:sz="4" w:space="0" w:color="auto"/>
              <w:bottom w:val="single" w:sz="8" w:space="0" w:color="auto"/>
              <w:right w:val="single" w:sz="4" w:space="0" w:color="auto"/>
            </w:tcBorders>
            <w:shd w:val="clear" w:color="000000" w:fill="FFFFFF"/>
            <w:vAlign w:val="center"/>
            <w:hideMark/>
          </w:tcPr>
          <w:p w14:paraId="05AAC608"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Në</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vlerë</w:t>
            </w:r>
            <w:proofErr w:type="spellEnd"/>
          </w:p>
        </w:tc>
        <w:tc>
          <w:tcPr>
            <w:tcW w:w="409" w:type="pct"/>
            <w:tcBorders>
              <w:top w:val="single" w:sz="4" w:space="0" w:color="auto"/>
              <w:left w:val="single" w:sz="4" w:space="0" w:color="auto"/>
              <w:bottom w:val="single" w:sz="8" w:space="0" w:color="auto"/>
              <w:right w:val="single" w:sz="8" w:space="0" w:color="auto"/>
            </w:tcBorders>
            <w:shd w:val="clear" w:color="000000" w:fill="FFFFFF"/>
            <w:vAlign w:val="center"/>
            <w:hideMark/>
          </w:tcPr>
          <w:p w14:paraId="037BDE0D" w14:textId="5CA9F8B2"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Në</w:t>
            </w:r>
            <w:proofErr w:type="spellEnd"/>
            <w:r w:rsidRPr="003C5EDE">
              <w:rPr>
                <w:rFonts w:asciiTheme="majorHAnsi" w:hAnsiTheme="majorHAnsi" w:cstheme="majorHAnsi"/>
                <w:b/>
                <w:bCs/>
                <w:color w:val="000000"/>
                <w:sz w:val="20"/>
                <w:szCs w:val="20"/>
              </w:rPr>
              <w:t xml:space="preserve"> %</w:t>
            </w:r>
          </w:p>
        </w:tc>
      </w:tr>
      <w:tr w:rsidR="00D31F37" w:rsidRPr="003C5EDE" w14:paraId="050388AE" w14:textId="77777777" w:rsidTr="00FF7045">
        <w:trPr>
          <w:trHeight w:val="141"/>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6E7403B6"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Tvsh</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brenda</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vendit</w:t>
            </w:r>
            <w:proofErr w:type="spellEnd"/>
            <w:r w:rsidRPr="003C5EDE">
              <w:rPr>
                <w:rFonts w:asciiTheme="majorHAnsi" w:hAnsiTheme="majorHAnsi" w:cstheme="majorHAnsi"/>
                <w:b/>
                <w:bCs/>
                <w:color w:val="000000"/>
                <w:sz w:val="20"/>
                <w:szCs w:val="20"/>
              </w:rPr>
              <w:t xml:space="preserve"> Neto</w:t>
            </w:r>
          </w:p>
        </w:tc>
        <w:tc>
          <w:tcPr>
            <w:tcW w:w="569" w:type="pct"/>
            <w:tcBorders>
              <w:top w:val="single" w:sz="4" w:space="0" w:color="auto"/>
              <w:left w:val="single" w:sz="4" w:space="0" w:color="auto"/>
              <w:bottom w:val="dotted" w:sz="4" w:space="0" w:color="auto"/>
              <w:right w:val="single" w:sz="4" w:space="0" w:color="auto"/>
            </w:tcBorders>
            <w:shd w:val="clear" w:color="000000" w:fill="FFFFFF"/>
            <w:vAlign w:val="center"/>
            <w:hideMark/>
          </w:tcPr>
          <w:p w14:paraId="73BF5BAB" w14:textId="1D4FFC80"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59,623</w:t>
            </w:r>
          </w:p>
        </w:tc>
        <w:tc>
          <w:tcPr>
            <w:tcW w:w="474" w:type="pct"/>
            <w:tcBorders>
              <w:top w:val="single" w:sz="4" w:space="0" w:color="auto"/>
              <w:left w:val="single" w:sz="4" w:space="0" w:color="auto"/>
              <w:bottom w:val="dotted" w:sz="4" w:space="0" w:color="auto"/>
              <w:right w:val="single" w:sz="4" w:space="0" w:color="auto"/>
            </w:tcBorders>
            <w:shd w:val="clear" w:color="000000" w:fill="FFFFFF"/>
            <w:vAlign w:val="center"/>
            <w:hideMark/>
          </w:tcPr>
          <w:p w14:paraId="0F2CA762" w14:textId="49E2B501"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68,519</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3F1E229C" w14:textId="4AA2773C"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65,854</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02228382"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8,897</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011BB49F"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14.9%</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1EECF98E"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2,665</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042E7322"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4.0%</w:t>
            </w:r>
          </w:p>
        </w:tc>
      </w:tr>
      <w:tr w:rsidR="00D31F37" w:rsidRPr="003C5EDE" w14:paraId="64DA8BD9" w14:textId="77777777" w:rsidTr="00FF7045">
        <w:trPr>
          <w:trHeight w:val="276"/>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739F2235"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Tvsh</w:t>
            </w:r>
            <w:proofErr w:type="spellEnd"/>
            <w:r w:rsidRPr="003C5EDE">
              <w:rPr>
                <w:rFonts w:asciiTheme="majorHAnsi" w:hAnsiTheme="majorHAnsi" w:cstheme="majorHAnsi"/>
                <w:b/>
                <w:bCs/>
                <w:color w:val="000000"/>
                <w:sz w:val="20"/>
                <w:szCs w:val="20"/>
              </w:rPr>
              <w:t xml:space="preserve"> e </w:t>
            </w:r>
            <w:proofErr w:type="spellStart"/>
            <w:r w:rsidRPr="003C5EDE">
              <w:rPr>
                <w:rFonts w:asciiTheme="majorHAnsi" w:hAnsiTheme="majorHAnsi" w:cstheme="majorHAnsi"/>
                <w:b/>
                <w:bCs/>
                <w:color w:val="000000"/>
                <w:sz w:val="20"/>
                <w:szCs w:val="20"/>
              </w:rPr>
              <w:t>arketuar</w:t>
            </w:r>
            <w:proofErr w:type="spellEnd"/>
          </w:p>
        </w:tc>
        <w:tc>
          <w:tcPr>
            <w:tcW w:w="569" w:type="pct"/>
            <w:tcBorders>
              <w:top w:val="nil"/>
              <w:left w:val="single" w:sz="4" w:space="0" w:color="auto"/>
              <w:bottom w:val="dotted" w:sz="4" w:space="0" w:color="auto"/>
              <w:right w:val="single" w:sz="4" w:space="0" w:color="auto"/>
            </w:tcBorders>
            <w:shd w:val="clear" w:color="000000" w:fill="FFFFFF"/>
            <w:vAlign w:val="center"/>
            <w:hideMark/>
          </w:tcPr>
          <w:p w14:paraId="3AF04D25" w14:textId="04B94545"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81,996</w:t>
            </w:r>
          </w:p>
        </w:tc>
        <w:tc>
          <w:tcPr>
            <w:tcW w:w="474" w:type="pct"/>
            <w:tcBorders>
              <w:top w:val="nil"/>
              <w:left w:val="nil"/>
              <w:bottom w:val="dotted" w:sz="4" w:space="0" w:color="auto"/>
              <w:right w:val="single" w:sz="4" w:space="0" w:color="auto"/>
            </w:tcBorders>
            <w:shd w:val="clear" w:color="000000" w:fill="FFFFFF"/>
            <w:vAlign w:val="center"/>
            <w:hideMark/>
          </w:tcPr>
          <w:p w14:paraId="2FCC464E" w14:textId="5647B676"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93,818</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4AB1EB36" w14:textId="77773B49"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92,531</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26995E65"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11,822</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64C7121F"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14.4%</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440F0967"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1,287</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0FE87B9A"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1.4%</w:t>
            </w:r>
          </w:p>
        </w:tc>
      </w:tr>
      <w:tr w:rsidR="00D31F37" w:rsidRPr="003C5EDE" w14:paraId="25628707" w14:textId="77777777" w:rsidTr="00FF7045">
        <w:trPr>
          <w:trHeight w:val="276"/>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2F33F9EC"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Rimbursimet</w:t>
            </w:r>
            <w:proofErr w:type="spellEnd"/>
          </w:p>
        </w:tc>
        <w:tc>
          <w:tcPr>
            <w:tcW w:w="569" w:type="pct"/>
            <w:tcBorders>
              <w:top w:val="nil"/>
              <w:left w:val="single" w:sz="4" w:space="0" w:color="auto"/>
              <w:bottom w:val="dotted" w:sz="4" w:space="0" w:color="auto"/>
              <w:right w:val="single" w:sz="4" w:space="0" w:color="auto"/>
            </w:tcBorders>
            <w:shd w:val="clear" w:color="000000" w:fill="FFFFFF"/>
            <w:vAlign w:val="center"/>
            <w:hideMark/>
          </w:tcPr>
          <w:p w14:paraId="78079066" w14:textId="5611EBB3"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22,374</w:t>
            </w:r>
          </w:p>
        </w:tc>
        <w:tc>
          <w:tcPr>
            <w:tcW w:w="474" w:type="pct"/>
            <w:tcBorders>
              <w:top w:val="nil"/>
              <w:left w:val="nil"/>
              <w:bottom w:val="dotted" w:sz="4" w:space="0" w:color="auto"/>
              <w:right w:val="single" w:sz="4" w:space="0" w:color="auto"/>
            </w:tcBorders>
            <w:shd w:val="clear" w:color="000000" w:fill="FFFFFF"/>
            <w:vAlign w:val="center"/>
            <w:hideMark/>
          </w:tcPr>
          <w:p w14:paraId="553B85B3" w14:textId="7EFAFD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25,299</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67850C8D" w14:textId="4A612A50"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26,677</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763F65F8"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2,925</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7937D8BF"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13.1%</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6E8308C0"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-1,378</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33F3A736"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-5.2%</w:t>
            </w:r>
          </w:p>
        </w:tc>
      </w:tr>
      <w:tr w:rsidR="00D31F37" w:rsidRPr="003C5EDE" w14:paraId="0A6881A8" w14:textId="77777777" w:rsidTr="00FF7045">
        <w:trPr>
          <w:trHeight w:val="276"/>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4FE2EB2A"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Tatimi</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mbi</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fitimin</w:t>
            </w:r>
            <w:proofErr w:type="spellEnd"/>
          </w:p>
        </w:tc>
        <w:tc>
          <w:tcPr>
            <w:tcW w:w="569" w:type="pct"/>
            <w:tcBorders>
              <w:top w:val="nil"/>
              <w:left w:val="single" w:sz="4" w:space="0" w:color="auto"/>
              <w:bottom w:val="dotted" w:sz="4" w:space="0" w:color="auto"/>
              <w:right w:val="single" w:sz="4" w:space="0" w:color="auto"/>
            </w:tcBorders>
            <w:shd w:val="clear" w:color="000000" w:fill="FFFFFF"/>
            <w:vAlign w:val="center"/>
            <w:hideMark/>
          </w:tcPr>
          <w:p w14:paraId="4F647902" w14:textId="1A033614"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56,995</w:t>
            </w:r>
          </w:p>
        </w:tc>
        <w:tc>
          <w:tcPr>
            <w:tcW w:w="474" w:type="pct"/>
            <w:tcBorders>
              <w:top w:val="nil"/>
              <w:left w:val="nil"/>
              <w:bottom w:val="dotted" w:sz="4" w:space="0" w:color="auto"/>
              <w:right w:val="single" w:sz="4" w:space="0" w:color="auto"/>
            </w:tcBorders>
            <w:shd w:val="clear" w:color="000000" w:fill="FFFFFF"/>
            <w:vAlign w:val="center"/>
            <w:hideMark/>
          </w:tcPr>
          <w:p w14:paraId="5C8317E5" w14:textId="59C9196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58,547</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2C3881B0" w14:textId="440E615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60,387</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0ED3FA15"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1,552</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752DB37E"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2.7%</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754BEDFE"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-1,840</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7CF627F9"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-3.0%</w:t>
            </w:r>
          </w:p>
        </w:tc>
      </w:tr>
      <w:tr w:rsidR="00D31F37" w:rsidRPr="003C5EDE" w14:paraId="499EDA07" w14:textId="77777777" w:rsidTr="00FF7045">
        <w:trPr>
          <w:trHeight w:val="276"/>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6642C9CB" w14:textId="77777777" w:rsidR="00D31F37" w:rsidRPr="003C5EDE" w:rsidRDefault="00D31F37" w:rsidP="00FF7045">
            <w:pPr>
              <w:spacing w:before="0" w:line="240" w:lineRule="auto"/>
              <w:jc w:val="center"/>
              <w:rPr>
                <w:rFonts w:asciiTheme="majorHAnsi" w:hAnsiTheme="majorHAnsi" w:cstheme="majorHAnsi"/>
                <w:b/>
                <w:bCs/>
                <w:color w:val="000000"/>
                <w:sz w:val="20"/>
                <w:szCs w:val="20"/>
                <w:lang w:val="it-CH"/>
              </w:rPr>
            </w:pPr>
            <w:r w:rsidRPr="003C5EDE">
              <w:rPr>
                <w:rFonts w:asciiTheme="majorHAnsi" w:hAnsiTheme="majorHAnsi" w:cstheme="majorHAnsi"/>
                <w:b/>
                <w:bCs/>
                <w:color w:val="000000"/>
                <w:sz w:val="20"/>
                <w:szCs w:val="20"/>
                <w:lang w:val="it-CH"/>
              </w:rPr>
              <w:t>Tatimi mbi të ardhurat personale</w:t>
            </w:r>
          </w:p>
        </w:tc>
        <w:tc>
          <w:tcPr>
            <w:tcW w:w="569" w:type="pct"/>
            <w:tcBorders>
              <w:top w:val="nil"/>
              <w:left w:val="single" w:sz="4" w:space="0" w:color="auto"/>
              <w:bottom w:val="dotted" w:sz="4" w:space="0" w:color="auto"/>
              <w:right w:val="single" w:sz="4" w:space="0" w:color="auto"/>
            </w:tcBorders>
            <w:shd w:val="clear" w:color="000000" w:fill="FFFFFF"/>
            <w:vAlign w:val="center"/>
            <w:hideMark/>
          </w:tcPr>
          <w:p w14:paraId="2B4460B1" w14:textId="357AD9F8"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66,163</w:t>
            </w:r>
          </w:p>
        </w:tc>
        <w:tc>
          <w:tcPr>
            <w:tcW w:w="474" w:type="pct"/>
            <w:tcBorders>
              <w:top w:val="nil"/>
              <w:left w:val="nil"/>
              <w:bottom w:val="dotted" w:sz="4" w:space="0" w:color="auto"/>
              <w:right w:val="single" w:sz="4" w:space="0" w:color="auto"/>
            </w:tcBorders>
            <w:shd w:val="clear" w:color="000000" w:fill="FFFFFF"/>
            <w:vAlign w:val="center"/>
            <w:hideMark/>
          </w:tcPr>
          <w:p w14:paraId="793E2802" w14:textId="7D943038"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82,532</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6091E064" w14:textId="6FBC8E4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84,212</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575A4C58"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16,369</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3E2FBB03"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24.7%</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48264346"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-1,680</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7EEF9E75"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-2.0%</w:t>
            </w:r>
          </w:p>
        </w:tc>
      </w:tr>
      <w:tr w:rsidR="00D31F37" w:rsidRPr="003C5EDE" w14:paraId="7A894DF2" w14:textId="77777777" w:rsidTr="00FF7045">
        <w:trPr>
          <w:trHeight w:val="322"/>
          <w:jc w:val="center"/>
        </w:trPr>
        <w:tc>
          <w:tcPr>
            <w:tcW w:w="1358" w:type="pct"/>
            <w:tcBorders>
              <w:top w:val="nil"/>
              <w:left w:val="single" w:sz="8" w:space="0" w:color="auto"/>
              <w:bottom w:val="dotted" w:sz="4" w:space="0" w:color="auto"/>
              <w:right w:val="single" w:sz="4" w:space="0" w:color="auto"/>
            </w:tcBorders>
            <w:shd w:val="clear" w:color="000000" w:fill="FFFFFF"/>
            <w:vAlign w:val="center"/>
            <w:hideMark/>
          </w:tcPr>
          <w:p w14:paraId="6E1F0B31"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proofErr w:type="spellStart"/>
            <w:r w:rsidRPr="003C5EDE">
              <w:rPr>
                <w:rFonts w:asciiTheme="majorHAnsi" w:hAnsiTheme="majorHAnsi" w:cstheme="majorHAnsi"/>
                <w:b/>
                <w:bCs/>
                <w:color w:val="000000"/>
                <w:sz w:val="20"/>
                <w:szCs w:val="20"/>
              </w:rPr>
              <w:t>Taksat</w:t>
            </w:r>
            <w:proofErr w:type="spellEnd"/>
            <w:r w:rsidRPr="003C5EDE">
              <w:rPr>
                <w:rFonts w:asciiTheme="majorHAnsi" w:hAnsiTheme="majorHAnsi" w:cstheme="majorHAnsi"/>
                <w:b/>
                <w:bCs/>
                <w:color w:val="000000"/>
                <w:sz w:val="20"/>
                <w:szCs w:val="20"/>
              </w:rPr>
              <w:t xml:space="preserve"> </w:t>
            </w:r>
            <w:proofErr w:type="spellStart"/>
            <w:r w:rsidRPr="003C5EDE">
              <w:rPr>
                <w:rFonts w:asciiTheme="majorHAnsi" w:hAnsiTheme="majorHAnsi" w:cstheme="majorHAnsi"/>
                <w:b/>
                <w:bCs/>
                <w:color w:val="000000"/>
                <w:sz w:val="20"/>
                <w:szCs w:val="20"/>
              </w:rPr>
              <w:t>nacionale</w:t>
            </w:r>
            <w:proofErr w:type="spellEnd"/>
          </w:p>
        </w:tc>
        <w:tc>
          <w:tcPr>
            <w:tcW w:w="569" w:type="pct"/>
            <w:tcBorders>
              <w:top w:val="nil"/>
              <w:left w:val="single" w:sz="4" w:space="0" w:color="auto"/>
              <w:bottom w:val="dotted" w:sz="4" w:space="0" w:color="auto"/>
              <w:right w:val="single" w:sz="4" w:space="0" w:color="auto"/>
            </w:tcBorders>
            <w:shd w:val="clear" w:color="000000" w:fill="FFFFFF"/>
            <w:vAlign w:val="center"/>
            <w:hideMark/>
          </w:tcPr>
          <w:p w14:paraId="37FD5009" w14:textId="5278CFE0"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44,685</w:t>
            </w:r>
          </w:p>
        </w:tc>
        <w:tc>
          <w:tcPr>
            <w:tcW w:w="474" w:type="pct"/>
            <w:tcBorders>
              <w:top w:val="nil"/>
              <w:left w:val="nil"/>
              <w:bottom w:val="dotted" w:sz="4" w:space="0" w:color="auto"/>
              <w:right w:val="single" w:sz="4" w:space="0" w:color="auto"/>
            </w:tcBorders>
            <w:shd w:val="clear" w:color="000000" w:fill="FFFFFF"/>
            <w:vAlign w:val="center"/>
            <w:hideMark/>
          </w:tcPr>
          <w:p w14:paraId="0BF43F37" w14:textId="4173164D"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46,945</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3429E192" w14:textId="539C9988"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45,118</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45BF678B"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2,260</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5AF4209A"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5.1%</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62939D5E"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1,827</w:t>
            </w:r>
          </w:p>
        </w:tc>
        <w:tc>
          <w:tcPr>
            <w:tcW w:w="409" w:type="pct"/>
            <w:tcBorders>
              <w:top w:val="nil"/>
              <w:left w:val="single" w:sz="4" w:space="0" w:color="auto"/>
              <w:bottom w:val="dotted" w:sz="4" w:space="0" w:color="auto"/>
              <w:right w:val="single" w:sz="8" w:space="0" w:color="auto"/>
            </w:tcBorders>
            <w:shd w:val="clear" w:color="000000" w:fill="FFFFFF"/>
            <w:vAlign w:val="center"/>
            <w:hideMark/>
          </w:tcPr>
          <w:p w14:paraId="54090ECA"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4.0%</w:t>
            </w:r>
          </w:p>
        </w:tc>
      </w:tr>
      <w:tr w:rsidR="00D31F37" w:rsidRPr="003C5EDE" w14:paraId="5E5DBB14" w14:textId="77777777" w:rsidTr="00FF7045">
        <w:trPr>
          <w:trHeight w:val="276"/>
          <w:jc w:val="center"/>
        </w:trPr>
        <w:tc>
          <w:tcPr>
            <w:tcW w:w="1358" w:type="pct"/>
            <w:tcBorders>
              <w:top w:val="nil"/>
              <w:left w:val="single" w:sz="8" w:space="0" w:color="auto"/>
              <w:bottom w:val="dotted" w:sz="4" w:space="0" w:color="auto"/>
              <w:right w:val="single" w:sz="4" w:space="0" w:color="auto"/>
            </w:tcBorders>
            <w:shd w:val="clear" w:color="000000" w:fill="F2F2F2"/>
            <w:vAlign w:val="center"/>
            <w:hideMark/>
          </w:tcPr>
          <w:p w14:paraId="008032B5" w14:textId="39BACFA6" w:rsidR="00D31F37" w:rsidRPr="003C5EDE" w:rsidRDefault="00D31F37" w:rsidP="00FF7045">
            <w:pPr>
              <w:spacing w:before="0" w:line="240" w:lineRule="auto"/>
              <w:jc w:val="center"/>
              <w:rPr>
                <w:rFonts w:asciiTheme="majorHAnsi" w:hAnsiTheme="majorHAnsi" w:cstheme="majorHAnsi"/>
                <w:b/>
                <w:bCs/>
                <w:sz w:val="20"/>
                <w:szCs w:val="20"/>
              </w:rPr>
            </w:pPr>
            <w:r w:rsidRPr="003C5EDE">
              <w:rPr>
                <w:rFonts w:asciiTheme="majorHAnsi" w:hAnsiTheme="majorHAnsi" w:cstheme="majorHAnsi"/>
                <w:b/>
                <w:bCs/>
                <w:sz w:val="20"/>
                <w:szCs w:val="20"/>
              </w:rPr>
              <w:t>TOTALI TATIME</w:t>
            </w:r>
          </w:p>
        </w:tc>
        <w:tc>
          <w:tcPr>
            <w:tcW w:w="569" w:type="pct"/>
            <w:tcBorders>
              <w:top w:val="nil"/>
              <w:left w:val="single" w:sz="4" w:space="0" w:color="auto"/>
              <w:bottom w:val="dotted" w:sz="4" w:space="0" w:color="auto"/>
              <w:right w:val="single" w:sz="4" w:space="0" w:color="auto"/>
            </w:tcBorders>
            <w:shd w:val="clear" w:color="000000" w:fill="F2F2F2"/>
            <w:vAlign w:val="center"/>
            <w:hideMark/>
          </w:tcPr>
          <w:p w14:paraId="5125EB8C" w14:textId="3D0E423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227,465</w:t>
            </w:r>
          </w:p>
        </w:tc>
        <w:tc>
          <w:tcPr>
            <w:tcW w:w="474" w:type="pct"/>
            <w:tcBorders>
              <w:top w:val="nil"/>
              <w:left w:val="nil"/>
              <w:bottom w:val="dotted" w:sz="4" w:space="0" w:color="auto"/>
              <w:right w:val="single" w:sz="4" w:space="0" w:color="auto"/>
            </w:tcBorders>
            <w:shd w:val="clear" w:color="000000" w:fill="E7E6E6"/>
            <w:vAlign w:val="center"/>
            <w:hideMark/>
          </w:tcPr>
          <w:p w14:paraId="36CA30A1" w14:textId="45FAF02E"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256,543</w:t>
            </w:r>
          </w:p>
        </w:tc>
        <w:tc>
          <w:tcPr>
            <w:tcW w:w="556" w:type="pct"/>
            <w:tcBorders>
              <w:top w:val="nil"/>
              <w:left w:val="single" w:sz="4" w:space="0" w:color="auto"/>
              <w:bottom w:val="dotted" w:sz="4" w:space="0" w:color="auto"/>
              <w:right w:val="single" w:sz="4" w:space="0" w:color="auto"/>
            </w:tcBorders>
            <w:shd w:val="clear" w:color="000000" w:fill="E7E6E6"/>
            <w:vAlign w:val="center"/>
            <w:hideMark/>
          </w:tcPr>
          <w:p w14:paraId="05B85C78" w14:textId="24598D2A"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sz w:val="20"/>
                <w:szCs w:val="20"/>
                <w14:shadow w14:blurRad="50800" w14:dist="38100" w14:dir="2700000" w14:sx="100000" w14:sy="100000" w14:kx="0" w14:ky="0" w14:algn="tl">
                  <w14:srgbClr w14:val="000000">
                    <w14:alpha w14:val="60000"/>
                  </w14:srgbClr>
                </w14:shadow>
              </w:rPr>
              <w:t>255,572</w:t>
            </w:r>
          </w:p>
        </w:tc>
        <w:tc>
          <w:tcPr>
            <w:tcW w:w="627" w:type="pct"/>
            <w:tcBorders>
              <w:top w:val="nil"/>
              <w:left w:val="single" w:sz="4" w:space="0" w:color="auto"/>
              <w:bottom w:val="dotted" w:sz="4" w:space="0" w:color="auto"/>
              <w:right w:val="single" w:sz="4" w:space="0" w:color="auto"/>
            </w:tcBorders>
            <w:shd w:val="clear" w:color="000000" w:fill="EDEDED"/>
            <w:vAlign w:val="center"/>
            <w:hideMark/>
          </w:tcPr>
          <w:p w14:paraId="0CC0221E"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29,078</w:t>
            </w:r>
          </w:p>
        </w:tc>
        <w:tc>
          <w:tcPr>
            <w:tcW w:w="598" w:type="pct"/>
            <w:tcBorders>
              <w:top w:val="nil"/>
              <w:left w:val="single" w:sz="4" w:space="0" w:color="auto"/>
              <w:bottom w:val="dotted" w:sz="4" w:space="0" w:color="auto"/>
              <w:right w:val="single" w:sz="4" w:space="0" w:color="auto"/>
            </w:tcBorders>
            <w:shd w:val="clear" w:color="000000" w:fill="EDEDED"/>
            <w:vAlign w:val="center"/>
            <w:hideMark/>
          </w:tcPr>
          <w:p w14:paraId="41E9870E"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12.8%</w:t>
            </w:r>
          </w:p>
        </w:tc>
        <w:tc>
          <w:tcPr>
            <w:tcW w:w="408" w:type="pct"/>
            <w:tcBorders>
              <w:top w:val="nil"/>
              <w:left w:val="single" w:sz="4" w:space="0" w:color="auto"/>
              <w:bottom w:val="dotted" w:sz="4" w:space="0" w:color="auto"/>
              <w:right w:val="single" w:sz="4" w:space="0" w:color="auto"/>
            </w:tcBorders>
            <w:shd w:val="clear" w:color="000000" w:fill="EDEDED"/>
            <w:vAlign w:val="center"/>
            <w:hideMark/>
          </w:tcPr>
          <w:p w14:paraId="36EEF9BB"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971</w:t>
            </w:r>
          </w:p>
        </w:tc>
        <w:tc>
          <w:tcPr>
            <w:tcW w:w="409" w:type="pct"/>
            <w:tcBorders>
              <w:top w:val="nil"/>
              <w:left w:val="single" w:sz="4" w:space="0" w:color="auto"/>
              <w:bottom w:val="dotted" w:sz="4" w:space="0" w:color="auto"/>
              <w:right w:val="single" w:sz="8" w:space="0" w:color="auto"/>
            </w:tcBorders>
            <w:shd w:val="clear" w:color="000000" w:fill="EDEDED"/>
            <w:vAlign w:val="center"/>
            <w:hideMark/>
          </w:tcPr>
          <w:p w14:paraId="08EF4604" w14:textId="77777777" w:rsidR="00D31F37" w:rsidRPr="003C5EDE" w:rsidRDefault="00D31F37" w:rsidP="00FF7045">
            <w:pPr>
              <w:spacing w:before="0" w:line="240" w:lineRule="auto"/>
              <w:jc w:val="center"/>
              <w:rPr>
                <w:rFonts w:asciiTheme="majorHAnsi" w:hAnsiTheme="majorHAnsi" w:cstheme="majorHAnsi"/>
                <w:b/>
                <w:bCs/>
                <w:color w:val="000000"/>
                <w:sz w:val="20"/>
                <w:szCs w:val="20"/>
              </w:rPr>
            </w:pPr>
            <w:r w:rsidRPr="003C5EDE">
              <w:rPr>
                <w:rFonts w:asciiTheme="majorHAnsi" w:hAnsiTheme="majorHAnsi" w:cstheme="majorHAnsi"/>
                <w:b/>
                <w:bCs/>
                <w:color w:val="000000"/>
                <w:sz w:val="20"/>
                <w:szCs w:val="20"/>
              </w:rPr>
              <w:t>0.4%</w:t>
            </w:r>
          </w:p>
        </w:tc>
      </w:tr>
      <w:tr w:rsidR="00D31F37" w:rsidRPr="003C5EDE" w14:paraId="695183D6" w14:textId="77777777" w:rsidTr="00FF7045">
        <w:trPr>
          <w:trHeight w:val="289"/>
          <w:jc w:val="center"/>
        </w:trPr>
        <w:tc>
          <w:tcPr>
            <w:tcW w:w="1358" w:type="pct"/>
            <w:tcBorders>
              <w:top w:val="nil"/>
              <w:left w:val="single" w:sz="8" w:space="0" w:color="auto"/>
              <w:bottom w:val="nil"/>
              <w:right w:val="single" w:sz="4" w:space="0" w:color="auto"/>
            </w:tcBorders>
            <w:shd w:val="clear" w:color="000000" w:fill="FFFFFF"/>
            <w:vAlign w:val="center"/>
            <w:hideMark/>
          </w:tcPr>
          <w:p w14:paraId="4CDECDE0" w14:textId="77777777" w:rsidR="00D31F37" w:rsidRPr="003C5EDE" w:rsidRDefault="00D31F37" w:rsidP="00FF7045">
            <w:pPr>
              <w:spacing w:before="0" w:line="240" w:lineRule="auto"/>
              <w:jc w:val="center"/>
              <w:rPr>
                <w:rFonts w:asciiTheme="majorHAnsi" w:hAnsiTheme="majorHAnsi" w:cstheme="majorHAnsi"/>
                <w:sz w:val="20"/>
                <w:szCs w:val="20"/>
              </w:rPr>
            </w:pPr>
            <w:proofErr w:type="spellStart"/>
            <w:r w:rsidRPr="003C5EDE">
              <w:rPr>
                <w:rFonts w:asciiTheme="majorHAnsi" w:hAnsiTheme="majorHAnsi" w:cstheme="majorHAnsi"/>
                <w:sz w:val="20"/>
                <w:szCs w:val="20"/>
              </w:rPr>
              <w:t>Kontributet</w:t>
            </w:r>
            <w:proofErr w:type="spellEnd"/>
            <w:r w:rsidRPr="003C5EDE">
              <w:rPr>
                <w:rFonts w:asciiTheme="majorHAnsi" w:hAnsiTheme="majorHAnsi" w:cstheme="majorHAnsi"/>
                <w:sz w:val="20"/>
                <w:szCs w:val="20"/>
              </w:rPr>
              <w:t xml:space="preserve"> e </w:t>
            </w:r>
            <w:proofErr w:type="spellStart"/>
            <w:r w:rsidRPr="003C5EDE">
              <w:rPr>
                <w:rFonts w:asciiTheme="majorHAnsi" w:hAnsiTheme="majorHAnsi" w:cstheme="majorHAnsi"/>
                <w:sz w:val="20"/>
                <w:szCs w:val="20"/>
              </w:rPr>
              <w:t>mbledhura</w:t>
            </w:r>
            <w:proofErr w:type="spellEnd"/>
            <w:r w:rsidRPr="003C5EDE">
              <w:rPr>
                <w:rFonts w:asciiTheme="majorHAnsi" w:hAnsiTheme="majorHAnsi" w:cstheme="majorHAnsi"/>
                <w:sz w:val="20"/>
                <w:szCs w:val="20"/>
              </w:rPr>
              <w:t xml:space="preserve"> (DPT)</w:t>
            </w:r>
          </w:p>
        </w:tc>
        <w:tc>
          <w:tcPr>
            <w:tcW w:w="569" w:type="pct"/>
            <w:tcBorders>
              <w:top w:val="nil"/>
              <w:left w:val="single" w:sz="4" w:space="0" w:color="auto"/>
              <w:bottom w:val="single" w:sz="8" w:space="0" w:color="auto"/>
              <w:right w:val="single" w:sz="4" w:space="0" w:color="auto"/>
            </w:tcBorders>
            <w:shd w:val="clear" w:color="000000" w:fill="FFFFFF"/>
            <w:vAlign w:val="center"/>
            <w:hideMark/>
          </w:tcPr>
          <w:p w14:paraId="1A8CDB86" w14:textId="651C2BD5"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155,612</w:t>
            </w:r>
          </w:p>
        </w:tc>
        <w:tc>
          <w:tcPr>
            <w:tcW w:w="474" w:type="pct"/>
            <w:tcBorders>
              <w:top w:val="nil"/>
              <w:left w:val="nil"/>
              <w:bottom w:val="nil"/>
              <w:right w:val="single" w:sz="4" w:space="0" w:color="auto"/>
            </w:tcBorders>
            <w:shd w:val="clear" w:color="000000" w:fill="FFFFFF"/>
            <w:vAlign w:val="center"/>
            <w:hideMark/>
          </w:tcPr>
          <w:p w14:paraId="28CE72A8" w14:textId="67AF3942"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172,039</w:t>
            </w:r>
          </w:p>
        </w:tc>
        <w:tc>
          <w:tcPr>
            <w:tcW w:w="556" w:type="pct"/>
            <w:tcBorders>
              <w:top w:val="nil"/>
              <w:left w:val="single" w:sz="4" w:space="0" w:color="auto"/>
              <w:bottom w:val="dotted" w:sz="4" w:space="0" w:color="auto"/>
              <w:right w:val="single" w:sz="4" w:space="0" w:color="auto"/>
            </w:tcBorders>
            <w:shd w:val="clear" w:color="000000" w:fill="FFFFFF"/>
            <w:vAlign w:val="center"/>
            <w:hideMark/>
          </w:tcPr>
          <w:p w14:paraId="13115BBE" w14:textId="21F70D24"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sz w:val="20"/>
                <w:szCs w:val="20"/>
              </w:rPr>
              <w:t>171,403</w:t>
            </w:r>
          </w:p>
        </w:tc>
        <w:tc>
          <w:tcPr>
            <w:tcW w:w="627" w:type="pct"/>
            <w:tcBorders>
              <w:top w:val="nil"/>
              <w:left w:val="single" w:sz="4" w:space="0" w:color="auto"/>
              <w:bottom w:val="dotted" w:sz="4" w:space="0" w:color="auto"/>
              <w:right w:val="single" w:sz="4" w:space="0" w:color="auto"/>
            </w:tcBorders>
            <w:shd w:val="clear" w:color="000000" w:fill="FFFFFF"/>
            <w:vAlign w:val="center"/>
            <w:hideMark/>
          </w:tcPr>
          <w:p w14:paraId="1BF95128"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16,427</w:t>
            </w:r>
          </w:p>
        </w:tc>
        <w:tc>
          <w:tcPr>
            <w:tcW w:w="598" w:type="pct"/>
            <w:tcBorders>
              <w:top w:val="nil"/>
              <w:left w:val="single" w:sz="4" w:space="0" w:color="auto"/>
              <w:bottom w:val="dotted" w:sz="4" w:space="0" w:color="auto"/>
              <w:right w:val="single" w:sz="4" w:space="0" w:color="auto"/>
            </w:tcBorders>
            <w:shd w:val="clear" w:color="000000" w:fill="FFFFFF"/>
            <w:vAlign w:val="center"/>
            <w:hideMark/>
          </w:tcPr>
          <w:p w14:paraId="46AB29CC"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10.6%</w:t>
            </w:r>
          </w:p>
        </w:tc>
        <w:tc>
          <w:tcPr>
            <w:tcW w:w="408" w:type="pct"/>
            <w:tcBorders>
              <w:top w:val="nil"/>
              <w:left w:val="single" w:sz="4" w:space="0" w:color="auto"/>
              <w:bottom w:val="dotted" w:sz="4" w:space="0" w:color="auto"/>
              <w:right w:val="single" w:sz="4" w:space="0" w:color="auto"/>
            </w:tcBorders>
            <w:shd w:val="clear" w:color="000000" w:fill="FFFFFF"/>
            <w:vAlign w:val="center"/>
            <w:hideMark/>
          </w:tcPr>
          <w:p w14:paraId="2F6F4EC7"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636</w:t>
            </w:r>
          </w:p>
        </w:tc>
        <w:tc>
          <w:tcPr>
            <w:tcW w:w="409" w:type="pct"/>
            <w:tcBorders>
              <w:top w:val="nil"/>
              <w:left w:val="single" w:sz="4" w:space="0" w:color="auto"/>
              <w:bottom w:val="nil"/>
              <w:right w:val="single" w:sz="8" w:space="0" w:color="auto"/>
            </w:tcBorders>
            <w:shd w:val="clear" w:color="000000" w:fill="FFFFFF"/>
            <w:vAlign w:val="center"/>
            <w:hideMark/>
          </w:tcPr>
          <w:p w14:paraId="5C2DEFB3" w14:textId="77777777" w:rsidR="00D31F37" w:rsidRPr="003C5EDE" w:rsidRDefault="00D31F37" w:rsidP="00FF7045">
            <w:pPr>
              <w:spacing w:before="0" w:line="240" w:lineRule="auto"/>
              <w:jc w:val="center"/>
              <w:rPr>
                <w:rFonts w:asciiTheme="majorHAnsi" w:hAnsiTheme="majorHAnsi" w:cstheme="majorHAnsi"/>
                <w:color w:val="000000"/>
                <w:sz w:val="20"/>
                <w:szCs w:val="20"/>
              </w:rPr>
            </w:pPr>
            <w:r w:rsidRPr="003C5EDE">
              <w:rPr>
                <w:rFonts w:asciiTheme="majorHAnsi" w:hAnsiTheme="majorHAnsi" w:cstheme="majorHAnsi"/>
                <w:color w:val="000000"/>
                <w:sz w:val="20"/>
                <w:szCs w:val="20"/>
              </w:rPr>
              <w:t>0.4%</w:t>
            </w:r>
          </w:p>
        </w:tc>
      </w:tr>
      <w:tr w:rsidR="00D31F37" w:rsidRPr="003C5EDE" w14:paraId="6959D496" w14:textId="77777777" w:rsidTr="00FF7045">
        <w:trPr>
          <w:trHeight w:val="589"/>
          <w:jc w:val="center"/>
        </w:trPr>
        <w:tc>
          <w:tcPr>
            <w:tcW w:w="1358" w:type="pct"/>
            <w:tcBorders>
              <w:top w:val="single" w:sz="8" w:space="0" w:color="auto"/>
              <w:left w:val="single" w:sz="8" w:space="0" w:color="auto"/>
              <w:bottom w:val="single" w:sz="8" w:space="0" w:color="auto"/>
              <w:right w:val="single" w:sz="4" w:space="0" w:color="auto"/>
            </w:tcBorders>
            <w:shd w:val="clear" w:color="000000" w:fill="BFBFBF"/>
            <w:vAlign w:val="center"/>
            <w:hideMark/>
          </w:tcPr>
          <w:p w14:paraId="773B9277" w14:textId="77777777" w:rsidR="00D31F37" w:rsidRPr="003C5EDE" w:rsidRDefault="00D31F37" w:rsidP="00FF7045">
            <w:pPr>
              <w:spacing w:before="0" w:line="240" w:lineRule="auto"/>
              <w:jc w:val="center"/>
              <w:rPr>
                <w:rFonts w:asciiTheme="majorHAnsi" w:hAnsiTheme="majorHAnsi" w:cstheme="majorHAnsi"/>
                <w:b/>
                <w:bCs/>
                <w:color w:val="C00000"/>
                <w:sz w:val="20"/>
                <w:szCs w:val="20"/>
                <w:lang w:val="it-CH"/>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lang w:val="it-CH"/>
                <w14:shadow w14:blurRad="50800" w14:dist="38100" w14:dir="2700000" w14:sx="100000" w14:sy="100000" w14:kx="0" w14:ky="0" w14:algn="tl">
                  <w14:srgbClr w14:val="000000">
                    <w14:alpha w14:val="60000"/>
                  </w14:srgbClr>
                </w14:shadow>
              </w:rPr>
              <w:t>TOTALI TATIME (përfshirë kontributet DPT)</w:t>
            </w:r>
          </w:p>
        </w:tc>
        <w:tc>
          <w:tcPr>
            <w:tcW w:w="569" w:type="pct"/>
            <w:tcBorders>
              <w:top w:val="nil"/>
              <w:left w:val="single" w:sz="4" w:space="0" w:color="auto"/>
              <w:bottom w:val="single" w:sz="4" w:space="0" w:color="auto"/>
              <w:right w:val="single" w:sz="4" w:space="0" w:color="auto"/>
            </w:tcBorders>
            <w:shd w:val="clear" w:color="000000" w:fill="BFBFBF"/>
            <w:vAlign w:val="center"/>
            <w:hideMark/>
          </w:tcPr>
          <w:p w14:paraId="436EC462" w14:textId="203CB5AA"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383,077</w:t>
            </w:r>
          </w:p>
        </w:tc>
        <w:tc>
          <w:tcPr>
            <w:tcW w:w="474" w:type="pct"/>
            <w:tcBorders>
              <w:top w:val="single" w:sz="8" w:space="0" w:color="auto"/>
              <w:left w:val="single" w:sz="4" w:space="0" w:color="auto"/>
              <w:bottom w:val="single" w:sz="4" w:space="0" w:color="auto"/>
              <w:right w:val="single" w:sz="4" w:space="0" w:color="auto"/>
            </w:tcBorders>
            <w:shd w:val="clear" w:color="000000" w:fill="BFBFBF"/>
            <w:vAlign w:val="center"/>
            <w:hideMark/>
          </w:tcPr>
          <w:p w14:paraId="0B70C5D6" w14:textId="52BBB9A0"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428,582</w:t>
            </w:r>
          </w:p>
        </w:tc>
        <w:tc>
          <w:tcPr>
            <w:tcW w:w="556" w:type="pct"/>
            <w:tcBorders>
              <w:top w:val="single" w:sz="8" w:space="0" w:color="auto"/>
              <w:left w:val="single" w:sz="4" w:space="0" w:color="auto"/>
              <w:bottom w:val="single" w:sz="8" w:space="0" w:color="auto"/>
              <w:right w:val="single" w:sz="4" w:space="0" w:color="auto"/>
            </w:tcBorders>
            <w:shd w:val="clear" w:color="000000" w:fill="BFBFBF"/>
            <w:vAlign w:val="center"/>
            <w:hideMark/>
          </w:tcPr>
          <w:p w14:paraId="00625B3E" w14:textId="0627F784"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426,975</w:t>
            </w:r>
          </w:p>
        </w:tc>
        <w:tc>
          <w:tcPr>
            <w:tcW w:w="627" w:type="pct"/>
            <w:tcBorders>
              <w:top w:val="single" w:sz="8" w:space="0" w:color="auto"/>
              <w:left w:val="single" w:sz="4" w:space="0" w:color="auto"/>
              <w:bottom w:val="single" w:sz="4" w:space="0" w:color="auto"/>
              <w:right w:val="single" w:sz="4" w:space="0" w:color="auto"/>
            </w:tcBorders>
            <w:shd w:val="clear" w:color="000000" w:fill="BFBFBF"/>
            <w:vAlign w:val="center"/>
            <w:hideMark/>
          </w:tcPr>
          <w:p w14:paraId="58530B59" w14:textId="77777777"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45,506</w:t>
            </w:r>
          </w:p>
        </w:tc>
        <w:tc>
          <w:tcPr>
            <w:tcW w:w="598" w:type="pct"/>
            <w:tcBorders>
              <w:top w:val="single" w:sz="8" w:space="0" w:color="auto"/>
              <w:left w:val="single" w:sz="4" w:space="0" w:color="auto"/>
              <w:bottom w:val="single" w:sz="8" w:space="0" w:color="auto"/>
              <w:right w:val="single" w:sz="4" w:space="0" w:color="auto"/>
            </w:tcBorders>
            <w:shd w:val="clear" w:color="000000" w:fill="BFBFBF"/>
            <w:vAlign w:val="center"/>
            <w:hideMark/>
          </w:tcPr>
          <w:p w14:paraId="04E74D86" w14:textId="77777777"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11.9%</w:t>
            </w:r>
          </w:p>
        </w:tc>
        <w:tc>
          <w:tcPr>
            <w:tcW w:w="408" w:type="pct"/>
            <w:tcBorders>
              <w:top w:val="single" w:sz="8" w:space="0" w:color="auto"/>
              <w:left w:val="single" w:sz="4" w:space="0" w:color="auto"/>
              <w:bottom w:val="single" w:sz="4" w:space="0" w:color="auto"/>
              <w:right w:val="single" w:sz="4" w:space="0" w:color="auto"/>
            </w:tcBorders>
            <w:shd w:val="clear" w:color="000000" w:fill="BFBFBF"/>
            <w:vAlign w:val="center"/>
            <w:hideMark/>
          </w:tcPr>
          <w:p w14:paraId="3895B6AB" w14:textId="77777777"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1,607</w:t>
            </w:r>
          </w:p>
        </w:tc>
        <w:tc>
          <w:tcPr>
            <w:tcW w:w="409" w:type="pct"/>
            <w:tcBorders>
              <w:top w:val="single" w:sz="8" w:space="0" w:color="auto"/>
              <w:left w:val="single" w:sz="4" w:space="0" w:color="auto"/>
              <w:bottom w:val="single" w:sz="8" w:space="0" w:color="auto"/>
              <w:right w:val="single" w:sz="8" w:space="0" w:color="auto"/>
            </w:tcBorders>
            <w:shd w:val="clear" w:color="000000" w:fill="BFBFBF"/>
            <w:vAlign w:val="center"/>
            <w:hideMark/>
          </w:tcPr>
          <w:p w14:paraId="628D7F4F" w14:textId="77777777" w:rsidR="00D31F37" w:rsidRPr="003C5EDE" w:rsidRDefault="00D31F37" w:rsidP="00FF7045">
            <w:pPr>
              <w:spacing w:before="0" w:line="240" w:lineRule="auto"/>
              <w:jc w:val="center"/>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pPr>
            <w:r w:rsidRPr="003C5EDE">
              <w:rPr>
                <w:rFonts w:asciiTheme="majorHAnsi" w:hAnsiTheme="majorHAnsi" w:cstheme="majorHAnsi"/>
                <w:b/>
                <w:bCs/>
                <w:color w:val="C00000"/>
                <w:sz w:val="20"/>
                <w:szCs w:val="20"/>
                <w14:shadow w14:blurRad="50800" w14:dist="38100" w14:dir="2700000" w14:sx="100000" w14:sy="100000" w14:kx="0" w14:ky="0" w14:algn="tl">
                  <w14:srgbClr w14:val="000000">
                    <w14:alpha w14:val="60000"/>
                  </w14:srgbClr>
                </w14:shadow>
              </w:rPr>
              <w:t>0.4%</w:t>
            </w:r>
          </w:p>
        </w:tc>
      </w:tr>
    </w:tbl>
    <w:p w14:paraId="15A06FB7" w14:textId="77777777" w:rsidR="00431095" w:rsidRPr="00431095" w:rsidRDefault="00431095" w:rsidP="00FF7045">
      <w:pPr>
        <w:spacing w:line="240" w:lineRule="auto"/>
        <w:rPr>
          <w:rFonts w:asciiTheme="majorHAnsi" w:hAnsiTheme="majorHAnsi" w:cstheme="majorHAnsi"/>
          <w:b/>
          <w:bCs/>
          <w:i/>
          <w:sz w:val="12"/>
          <w:szCs w:val="14"/>
          <w:lang w:val="it-CH"/>
        </w:rPr>
      </w:pPr>
    </w:p>
    <w:p w14:paraId="49D24FAD" w14:textId="15C0844E" w:rsidR="00D31F37" w:rsidRPr="00FF7045" w:rsidRDefault="00D31F37" w:rsidP="00431095">
      <w:pPr>
        <w:spacing w:before="0" w:line="240" w:lineRule="auto"/>
        <w:rPr>
          <w:rFonts w:asciiTheme="majorHAnsi" w:hAnsiTheme="majorHAnsi" w:cstheme="majorHAnsi"/>
          <w:sz w:val="20"/>
          <w:lang w:val="it-CH"/>
        </w:rPr>
      </w:pPr>
      <w:r w:rsidRPr="0019308C">
        <w:rPr>
          <w:rFonts w:asciiTheme="majorHAnsi" w:hAnsiTheme="majorHAnsi" w:cstheme="majorHAnsi"/>
          <w:b/>
          <w:bCs/>
          <w:i/>
          <w:lang w:val="it-CH"/>
        </w:rPr>
        <w:t>Të ardhurat nga TVSH e arkëtuar (neto)</w:t>
      </w:r>
      <w:r w:rsidRPr="00FF7045">
        <w:rPr>
          <w:rFonts w:asciiTheme="majorHAnsi" w:hAnsiTheme="majorHAnsi" w:cstheme="majorHAnsi"/>
          <w:lang w:val="it-CH"/>
        </w:rPr>
        <w:t xml:space="preserve"> u realizua në masën 68.5 </w:t>
      </w:r>
      <w:r w:rsidR="0056260B">
        <w:rPr>
          <w:rFonts w:asciiTheme="majorHAnsi" w:hAnsiTheme="majorHAnsi" w:cstheme="majorHAnsi"/>
          <w:lang w:val="it-CH"/>
        </w:rPr>
        <w:t>miliardë</w:t>
      </w:r>
      <w:r w:rsidRPr="00FF7045">
        <w:rPr>
          <w:rFonts w:asciiTheme="majorHAnsi" w:hAnsiTheme="majorHAnsi" w:cstheme="majorHAnsi"/>
          <w:lang w:val="it-CH"/>
        </w:rPr>
        <w:t xml:space="preserve"> </w:t>
      </w:r>
      <w:r w:rsidR="0056260B">
        <w:rPr>
          <w:rFonts w:asciiTheme="majorHAnsi" w:hAnsiTheme="majorHAnsi" w:cstheme="majorHAnsi"/>
          <w:lang w:val="it-CH"/>
        </w:rPr>
        <w:t>LEK</w:t>
      </w:r>
      <w:r w:rsidRPr="00FF7045">
        <w:rPr>
          <w:rFonts w:asciiTheme="majorHAnsi" w:hAnsiTheme="majorHAnsi" w:cstheme="majorHAnsi"/>
          <w:lang w:val="it-CH"/>
        </w:rPr>
        <w:t xml:space="preserve">, 8.9 </w:t>
      </w:r>
      <w:r w:rsidR="0056260B">
        <w:rPr>
          <w:rFonts w:asciiTheme="majorHAnsi" w:hAnsiTheme="majorHAnsi" w:cstheme="majorHAnsi"/>
          <w:lang w:val="it-CH"/>
        </w:rPr>
        <w:t>miliardë</w:t>
      </w:r>
      <w:r w:rsidRPr="00FF7045">
        <w:rPr>
          <w:rFonts w:asciiTheme="majorHAnsi" w:hAnsiTheme="majorHAnsi" w:cstheme="majorHAnsi"/>
          <w:lang w:val="it-CH"/>
        </w:rPr>
        <w:t xml:space="preserve"> </w:t>
      </w:r>
      <w:r w:rsidR="0056260B">
        <w:rPr>
          <w:rFonts w:asciiTheme="majorHAnsi" w:hAnsiTheme="majorHAnsi" w:cstheme="majorHAnsi"/>
          <w:lang w:val="it-CH"/>
        </w:rPr>
        <w:t>LEK</w:t>
      </w:r>
      <w:r w:rsidRPr="00FF7045">
        <w:rPr>
          <w:rFonts w:asciiTheme="majorHAnsi" w:hAnsiTheme="majorHAnsi" w:cstheme="majorHAnsi"/>
          <w:lang w:val="it-CH"/>
        </w:rPr>
        <w:t xml:space="preserve"> ose 14.9% më shumë se viti 2024, dhe me realizim 104% të planit të rishikuar për vitin 2025. Faktorët kryesorë që kanë ndikuar në rritjen e të ardhurave të Tvsh-së brenda vendit krahasuar me vitin 2024 janë:</w:t>
      </w:r>
    </w:p>
    <w:p w14:paraId="24478C32" w14:textId="77777777" w:rsidR="00D31F37" w:rsidRPr="00FF7045" w:rsidRDefault="00D31F37" w:rsidP="00D31F37">
      <w:pPr>
        <w:spacing w:line="240" w:lineRule="auto"/>
        <w:contextualSpacing/>
        <w:rPr>
          <w:rFonts w:asciiTheme="majorHAnsi" w:hAnsiTheme="majorHAnsi" w:cstheme="majorHAnsi"/>
          <w:sz w:val="8"/>
          <w:szCs w:val="8"/>
          <w:lang w:val="it-CH"/>
        </w:rPr>
      </w:pPr>
    </w:p>
    <w:p w14:paraId="67DA26AA" w14:textId="77777777"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TVSH e rritur si rezultat i mirëadminstrimit tatimor dhe zbatimit të masave të SAA për vitin 2025</w:t>
      </w:r>
    </w:p>
    <w:p w14:paraId="370A330E" w14:textId="77777777"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Rritja e të ardhurave në të në të gjithë sektorët e ekonomisë.</w:t>
      </w:r>
    </w:p>
    <w:p w14:paraId="032250AA" w14:textId="17BF1083" w:rsidR="00D31F37" w:rsidRPr="00FF7045" w:rsidRDefault="00D31F37" w:rsidP="00186E95">
      <w:pPr>
        <w:spacing w:line="240" w:lineRule="auto"/>
        <w:rPr>
          <w:rFonts w:asciiTheme="majorHAnsi" w:hAnsiTheme="majorHAnsi" w:cstheme="majorHAnsi"/>
          <w:lang w:val="it-CH"/>
        </w:rPr>
      </w:pPr>
      <w:r w:rsidRPr="00FF7045">
        <w:rPr>
          <w:rFonts w:asciiTheme="majorHAnsi" w:hAnsiTheme="majorHAnsi" w:cstheme="majorHAnsi"/>
          <w:color w:val="000000"/>
          <w:lang w:val="it-CH"/>
        </w:rPr>
        <w:t xml:space="preserve">Referuar të dhënave të Administratës Tatimore nga fiskalizimi, qarkullimi pa </w:t>
      </w:r>
      <w:r w:rsidR="0019308C" w:rsidRPr="00FF7045">
        <w:rPr>
          <w:rFonts w:asciiTheme="majorHAnsi" w:hAnsiTheme="majorHAnsi" w:cstheme="majorHAnsi"/>
          <w:color w:val="000000"/>
          <w:lang w:val="it-CH"/>
        </w:rPr>
        <w:t>Tvsh</w:t>
      </w:r>
      <w:r w:rsidRPr="00FF7045">
        <w:rPr>
          <w:rFonts w:asciiTheme="majorHAnsi" w:hAnsiTheme="majorHAnsi" w:cstheme="majorHAnsi"/>
          <w:color w:val="000000"/>
          <w:lang w:val="it-CH"/>
        </w:rPr>
        <w:t xml:space="preserve"> (</w:t>
      </w:r>
      <w:r w:rsidRPr="0019308C">
        <w:rPr>
          <w:rFonts w:asciiTheme="majorHAnsi" w:hAnsiTheme="majorHAnsi" w:cstheme="majorHAnsi"/>
          <w:i/>
          <w:iCs/>
          <w:color w:val="000000"/>
          <w:lang w:val="it-CH"/>
        </w:rPr>
        <w:t>pa autongarkesën dhe pa borxhin e keq</w:t>
      </w:r>
      <w:r w:rsidRPr="00FF7045">
        <w:rPr>
          <w:rFonts w:asciiTheme="majorHAnsi" w:hAnsiTheme="majorHAnsi" w:cstheme="majorHAnsi"/>
          <w:color w:val="000000"/>
          <w:lang w:val="it-CH"/>
        </w:rPr>
        <w:t>) për periudhen Janar</w:t>
      </w:r>
      <w:r w:rsidR="0019308C">
        <w:rPr>
          <w:rFonts w:asciiTheme="majorHAnsi" w:hAnsiTheme="majorHAnsi" w:cstheme="majorHAnsi"/>
          <w:color w:val="000000"/>
          <w:lang w:val="it-CH"/>
        </w:rPr>
        <w:t>-</w:t>
      </w:r>
      <w:r w:rsidRPr="00FF7045">
        <w:rPr>
          <w:rFonts w:asciiTheme="majorHAnsi" w:hAnsiTheme="majorHAnsi" w:cstheme="majorHAnsi"/>
          <w:color w:val="000000"/>
          <w:lang w:val="it-CH"/>
        </w:rPr>
        <w:t xml:space="preserve">Dhjetor 2024 ka qënë 3,840 milardë </w:t>
      </w:r>
      <w:r w:rsidR="0056260B">
        <w:rPr>
          <w:rFonts w:asciiTheme="majorHAnsi" w:hAnsiTheme="majorHAnsi" w:cstheme="majorHAnsi"/>
          <w:color w:val="000000"/>
          <w:lang w:val="it-CH"/>
        </w:rPr>
        <w:t>LEK</w:t>
      </w:r>
      <w:r w:rsidRPr="00FF7045">
        <w:rPr>
          <w:rFonts w:asciiTheme="majorHAnsi" w:hAnsiTheme="majorHAnsi" w:cstheme="majorHAnsi"/>
          <w:color w:val="000000"/>
          <w:lang w:val="it-CH"/>
        </w:rPr>
        <w:t xml:space="preserve"> dhe Janar</w:t>
      </w:r>
      <w:r w:rsidR="0019308C">
        <w:rPr>
          <w:rFonts w:asciiTheme="majorHAnsi" w:hAnsiTheme="majorHAnsi" w:cstheme="majorHAnsi"/>
          <w:color w:val="000000"/>
          <w:lang w:val="it-CH"/>
        </w:rPr>
        <w:t>-</w:t>
      </w:r>
      <w:r w:rsidRPr="00FF7045">
        <w:rPr>
          <w:rFonts w:asciiTheme="majorHAnsi" w:hAnsiTheme="majorHAnsi" w:cstheme="majorHAnsi"/>
          <w:color w:val="000000"/>
          <w:lang w:val="it-CH"/>
        </w:rPr>
        <w:t xml:space="preserve">Dhjetor 2025 është 4,081 </w:t>
      </w:r>
      <w:r w:rsidR="0056260B">
        <w:rPr>
          <w:rFonts w:asciiTheme="majorHAnsi" w:hAnsiTheme="majorHAnsi" w:cstheme="majorHAnsi"/>
          <w:color w:val="000000"/>
          <w:lang w:val="it-CH"/>
        </w:rPr>
        <w:t>miliardë</w:t>
      </w:r>
      <w:r w:rsidRPr="00FF7045">
        <w:rPr>
          <w:rFonts w:asciiTheme="majorHAnsi" w:hAnsiTheme="majorHAnsi" w:cstheme="majorHAnsi"/>
          <w:color w:val="000000"/>
          <w:lang w:val="it-CH"/>
        </w:rPr>
        <w:t xml:space="preserve"> </w:t>
      </w:r>
      <w:r w:rsidR="0056260B">
        <w:rPr>
          <w:rFonts w:asciiTheme="majorHAnsi" w:hAnsiTheme="majorHAnsi" w:cstheme="majorHAnsi"/>
          <w:color w:val="000000"/>
          <w:lang w:val="it-CH"/>
        </w:rPr>
        <w:t>LEK</w:t>
      </w:r>
      <w:r w:rsidR="0019308C">
        <w:rPr>
          <w:rFonts w:asciiTheme="majorHAnsi" w:hAnsiTheme="majorHAnsi" w:cstheme="majorHAnsi"/>
          <w:color w:val="000000"/>
          <w:lang w:val="it-CH"/>
        </w:rPr>
        <w:t>,</w:t>
      </w:r>
      <w:r w:rsidRPr="00FF7045">
        <w:rPr>
          <w:rFonts w:asciiTheme="majorHAnsi" w:hAnsiTheme="majorHAnsi" w:cstheme="majorHAnsi"/>
          <w:color w:val="000000"/>
          <w:lang w:val="it-CH"/>
        </w:rPr>
        <w:t xml:space="preserve"> pra 241.5 </w:t>
      </w:r>
      <w:r w:rsidR="0056260B">
        <w:rPr>
          <w:rFonts w:asciiTheme="majorHAnsi" w:hAnsiTheme="majorHAnsi" w:cstheme="majorHAnsi"/>
          <w:color w:val="000000"/>
          <w:lang w:val="it-CH"/>
        </w:rPr>
        <w:t>miliardë</w:t>
      </w:r>
      <w:r w:rsidRPr="00FF7045">
        <w:rPr>
          <w:rFonts w:asciiTheme="majorHAnsi" w:hAnsiTheme="majorHAnsi" w:cstheme="majorHAnsi"/>
          <w:color w:val="000000"/>
          <w:lang w:val="it-CH"/>
        </w:rPr>
        <w:t xml:space="preserve"> </w:t>
      </w:r>
      <w:r w:rsidR="0056260B">
        <w:rPr>
          <w:rFonts w:asciiTheme="majorHAnsi" w:hAnsiTheme="majorHAnsi" w:cstheme="majorHAnsi"/>
          <w:color w:val="000000"/>
          <w:lang w:val="it-CH"/>
        </w:rPr>
        <w:t>LEK</w:t>
      </w:r>
      <w:r w:rsidRPr="00FF7045">
        <w:rPr>
          <w:rFonts w:asciiTheme="majorHAnsi" w:hAnsiTheme="majorHAnsi" w:cstheme="majorHAnsi"/>
          <w:color w:val="000000"/>
          <w:lang w:val="it-CH"/>
        </w:rPr>
        <w:t xml:space="preserve"> më shumë.</w:t>
      </w:r>
      <w:r w:rsidR="0019308C">
        <w:rPr>
          <w:rFonts w:asciiTheme="majorHAnsi" w:hAnsiTheme="majorHAnsi" w:cstheme="majorHAnsi"/>
          <w:color w:val="000000"/>
          <w:lang w:val="it-CH"/>
        </w:rPr>
        <w:t xml:space="preserve"> </w:t>
      </w:r>
      <w:r w:rsidRPr="00FF7045">
        <w:rPr>
          <w:rFonts w:asciiTheme="majorHAnsi" w:hAnsiTheme="majorHAnsi" w:cstheme="majorHAnsi"/>
          <w:lang w:val="it-CH"/>
        </w:rPr>
        <w:t xml:space="preserve">Të gjithë sektorët bazë të ekonomisë kanë rritje në qarkullim në krahasim me vitin 2024, e evidentuar kjo nga rritja e </w:t>
      </w:r>
      <w:r w:rsidR="0019308C" w:rsidRPr="00FF7045">
        <w:rPr>
          <w:rFonts w:asciiTheme="majorHAnsi" w:hAnsiTheme="majorHAnsi" w:cstheme="majorHAnsi"/>
          <w:lang w:val="it-CH"/>
        </w:rPr>
        <w:t>TVSH</w:t>
      </w:r>
      <w:r w:rsidR="0019308C">
        <w:rPr>
          <w:rFonts w:asciiTheme="majorHAnsi" w:hAnsiTheme="majorHAnsi" w:cstheme="majorHAnsi"/>
          <w:lang w:val="it-CH"/>
        </w:rPr>
        <w:t xml:space="preserve"> </w:t>
      </w:r>
      <w:r w:rsidRPr="00FF7045">
        <w:rPr>
          <w:rFonts w:asciiTheme="majorHAnsi" w:hAnsiTheme="majorHAnsi" w:cstheme="majorHAnsi"/>
          <w:lang w:val="it-CH"/>
        </w:rPr>
        <w:t>bruto së deklaruar</w:t>
      </w:r>
      <w:r w:rsidR="0019308C">
        <w:rPr>
          <w:rFonts w:asciiTheme="majorHAnsi" w:hAnsiTheme="majorHAnsi" w:cstheme="majorHAnsi"/>
          <w:lang w:val="it-CH"/>
        </w:rPr>
        <w:t xml:space="preserve">, e cila </w:t>
      </w:r>
      <w:r w:rsidRPr="00FF7045">
        <w:rPr>
          <w:rFonts w:asciiTheme="majorHAnsi" w:hAnsiTheme="majorHAnsi" w:cstheme="majorHAnsi"/>
          <w:lang w:val="it-CH"/>
        </w:rPr>
        <w:t xml:space="preserve">sipas të gjithë sektorëve rezulton me rritje në krahasim me 2024: </w:t>
      </w:r>
    </w:p>
    <w:p w14:paraId="567D30B8" w14:textId="0DC94430"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Në sektorin e ndërtimit, TVSH bruto për vitin 2025 është 16.1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një rritje prej 20% ose 2.7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w:t>
      </w:r>
    </w:p>
    <w:p w14:paraId="1BC2EE12" w14:textId="67B8F104"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Në sektorin e prodhimit, TVSH bruto për vitin 2025 është 16.8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një rritje prej 7% ose 1.1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w:t>
      </w:r>
    </w:p>
    <w:p w14:paraId="2033F03F" w14:textId="72C500E6"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Në sektorin e shërbimeve, TVSH bruto për vitin 2025 është 28.2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një rritje prej 17% ose 4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w:t>
      </w:r>
    </w:p>
    <w:p w14:paraId="03947436" w14:textId="10BA0D86"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Në sektorin e transportit, TVSH bruto për vitin 2025 është 2.7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një rritje prej 27% ose 577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 </w:t>
      </w:r>
    </w:p>
    <w:p w14:paraId="713AEE7E" w14:textId="18F89279"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Në sektorin e tregtisë, TVSH bruto për vitin 2025 është 30.2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një rritje prej 13% ose 3.5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 </w:t>
      </w:r>
    </w:p>
    <w:p w14:paraId="2853AFBE" w14:textId="066C7851" w:rsidR="00D31F37" w:rsidRPr="00516127" w:rsidRDefault="00D31F37" w:rsidP="00D31F37">
      <w:pPr>
        <w:spacing w:line="240" w:lineRule="auto"/>
        <w:rPr>
          <w:rFonts w:asciiTheme="majorHAnsi" w:hAnsiTheme="majorHAnsi" w:cstheme="majorHAnsi"/>
          <w:lang w:val="it-CH"/>
        </w:rPr>
      </w:pPr>
      <w:r w:rsidRPr="00C73E72">
        <w:rPr>
          <w:rFonts w:asciiTheme="majorHAnsi" w:hAnsiTheme="majorHAnsi" w:cstheme="majorHAnsi"/>
          <w:b/>
          <w:bCs/>
          <w:i/>
          <w:iCs/>
          <w:lang w:val="it-CH"/>
        </w:rPr>
        <w:t>Rimbursimet</w:t>
      </w:r>
      <w:r w:rsidRPr="00516127">
        <w:rPr>
          <w:rFonts w:asciiTheme="majorHAnsi" w:hAnsiTheme="majorHAnsi" w:cstheme="majorHAnsi"/>
          <w:lang w:val="it-CH"/>
        </w:rPr>
        <w:t xml:space="preserve"> për vitin 2025 janë 25.3 </w:t>
      </w:r>
      <w:r w:rsidR="0056260B">
        <w:rPr>
          <w:rFonts w:asciiTheme="majorHAnsi" w:hAnsiTheme="majorHAnsi" w:cstheme="majorHAnsi"/>
          <w:lang w:val="it-CH"/>
        </w:rPr>
        <w:t>miliardë</w:t>
      </w:r>
      <w:r w:rsidRPr="00516127">
        <w:rPr>
          <w:rFonts w:asciiTheme="majorHAnsi" w:hAnsiTheme="majorHAnsi" w:cstheme="majorHAnsi"/>
          <w:lang w:val="it-CH"/>
        </w:rPr>
        <w:t xml:space="preserve"> </w:t>
      </w:r>
      <w:r w:rsidR="0056260B">
        <w:rPr>
          <w:rFonts w:asciiTheme="majorHAnsi" w:hAnsiTheme="majorHAnsi" w:cstheme="majorHAnsi"/>
          <w:lang w:val="it-CH"/>
        </w:rPr>
        <w:t>LEK</w:t>
      </w:r>
      <w:r w:rsidRPr="00516127">
        <w:rPr>
          <w:rFonts w:asciiTheme="majorHAnsi" w:hAnsiTheme="majorHAnsi" w:cstheme="majorHAnsi"/>
          <w:lang w:val="it-CH"/>
        </w:rPr>
        <w:t xml:space="preserve">, 2.9 </w:t>
      </w:r>
      <w:r w:rsidR="0056260B">
        <w:rPr>
          <w:rFonts w:asciiTheme="majorHAnsi" w:hAnsiTheme="majorHAnsi" w:cstheme="majorHAnsi"/>
          <w:lang w:val="it-CH"/>
        </w:rPr>
        <w:t>miliardë</w:t>
      </w:r>
      <w:r w:rsidRPr="00516127">
        <w:rPr>
          <w:rFonts w:asciiTheme="majorHAnsi" w:hAnsiTheme="majorHAnsi" w:cstheme="majorHAnsi"/>
          <w:lang w:val="it-CH"/>
        </w:rPr>
        <w:t xml:space="preserve"> </w:t>
      </w:r>
      <w:r w:rsidR="0056260B">
        <w:rPr>
          <w:rFonts w:asciiTheme="majorHAnsi" w:hAnsiTheme="majorHAnsi" w:cstheme="majorHAnsi"/>
          <w:lang w:val="it-CH"/>
        </w:rPr>
        <w:t>LEK</w:t>
      </w:r>
      <w:r w:rsidRPr="00516127">
        <w:rPr>
          <w:rFonts w:asciiTheme="majorHAnsi" w:hAnsiTheme="majorHAnsi" w:cstheme="majorHAnsi"/>
          <w:lang w:val="it-CH"/>
        </w:rPr>
        <w:t xml:space="preserve"> ose 13.1% më shumë se viti 2024, si dhe    -1.4 </w:t>
      </w:r>
      <w:r w:rsidR="0056260B">
        <w:rPr>
          <w:rFonts w:asciiTheme="majorHAnsi" w:hAnsiTheme="majorHAnsi" w:cstheme="majorHAnsi"/>
          <w:lang w:val="it-CH"/>
        </w:rPr>
        <w:t>miliardë</w:t>
      </w:r>
      <w:r w:rsidRPr="00516127">
        <w:rPr>
          <w:rFonts w:asciiTheme="majorHAnsi" w:hAnsiTheme="majorHAnsi" w:cstheme="majorHAnsi"/>
          <w:lang w:val="it-CH"/>
        </w:rPr>
        <w:t xml:space="preserve"> </w:t>
      </w:r>
      <w:r w:rsidR="0056260B">
        <w:rPr>
          <w:rFonts w:asciiTheme="majorHAnsi" w:hAnsiTheme="majorHAnsi" w:cstheme="majorHAnsi"/>
          <w:lang w:val="it-CH"/>
        </w:rPr>
        <w:t>LEK</w:t>
      </w:r>
      <w:r w:rsidRPr="00516127">
        <w:rPr>
          <w:rFonts w:asciiTheme="majorHAnsi" w:hAnsiTheme="majorHAnsi" w:cstheme="majorHAnsi"/>
          <w:lang w:val="it-CH"/>
        </w:rPr>
        <w:t xml:space="preserve"> ose -5.2% më pak se plani i rimbursimit të TVSH-së për vitin 2025. </w:t>
      </w:r>
    </w:p>
    <w:p w14:paraId="305284F4" w14:textId="77777777" w:rsidR="00271BDD" w:rsidRPr="00431095" w:rsidRDefault="00271BDD" w:rsidP="00D31F37">
      <w:pPr>
        <w:spacing w:before="0" w:line="240" w:lineRule="auto"/>
        <w:rPr>
          <w:rFonts w:asciiTheme="majorHAnsi" w:hAnsiTheme="majorHAnsi" w:cstheme="majorHAnsi"/>
          <w:b/>
          <w:color w:val="1F4E79"/>
          <w:sz w:val="16"/>
          <w:szCs w:val="16"/>
          <w:lang w:val="it-CH"/>
        </w:rPr>
      </w:pPr>
    </w:p>
    <w:p w14:paraId="767E282B" w14:textId="4D7E85C6" w:rsidR="00D31F37" w:rsidRPr="00186E95" w:rsidRDefault="00D31F37" w:rsidP="00186E95">
      <w:pPr>
        <w:spacing w:before="0" w:line="240" w:lineRule="auto"/>
        <w:rPr>
          <w:rFonts w:asciiTheme="majorHAnsi" w:hAnsiTheme="majorHAnsi" w:cstheme="majorHAnsi"/>
          <w:b/>
          <w:color w:val="1F4E79"/>
          <w:sz w:val="24"/>
          <w:lang w:val="it-CH"/>
        </w:rPr>
      </w:pPr>
      <w:r w:rsidRPr="00C73E72">
        <w:rPr>
          <w:rFonts w:asciiTheme="majorHAnsi" w:hAnsiTheme="majorHAnsi" w:cstheme="majorHAnsi"/>
          <w:b/>
          <w:bCs/>
          <w:i/>
          <w:iCs/>
          <w:lang w:val="it-CH"/>
        </w:rPr>
        <w:t>Të ardhurat e mbledhura nga tatimi mbi fitimin</w:t>
      </w:r>
      <w:r w:rsidRPr="00516127">
        <w:rPr>
          <w:rFonts w:asciiTheme="majorHAnsi" w:hAnsiTheme="majorHAnsi" w:cstheme="majorHAnsi"/>
          <w:lang w:val="it-CH"/>
        </w:rPr>
        <w:t xml:space="preserve"> për vitin 2025 u realizuan në masën 58.5 </w:t>
      </w:r>
      <w:r w:rsidR="0056260B">
        <w:rPr>
          <w:rFonts w:asciiTheme="majorHAnsi" w:hAnsiTheme="majorHAnsi" w:cstheme="majorHAnsi"/>
          <w:lang w:val="it-CH"/>
        </w:rPr>
        <w:t>miliardë</w:t>
      </w:r>
      <w:r w:rsidRPr="00516127">
        <w:rPr>
          <w:rFonts w:asciiTheme="majorHAnsi" w:hAnsiTheme="majorHAnsi" w:cstheme="majorHAnsi"/>
          <w:lang w:val="it-CH"/>
        </w:rPr>
        <w:t xml:space="preserve"> </w:t>
      </w:r>
      <w:r w:rsidR="0056260B">
        <w:rPr>
          <w:rFonts w:asciiTheme="majorHAnsi" w:hAnsiTheme="majorHAnsi" w:cstheme="majorHAnsi"/>
          <w:lang w:val="it-CH"/>
        </w:rPr>
        <w:t>LEK</w:t>
      </w:r>
      <w:r w:rsidRPr="00516127">
        <w:rPr>
          <w:rFonts w:asciiTheme="majorHAnsi" w:hAnsiTheme="majorHAnsi" w:cstheme="majorHAnsi"/>
          <w:lang w:val="it-CH"/>
        </w:rPr>
        <w:t xml:space="preserve">, 1.6 </w:t>
      </w:r>
      <w:r w:rsidR="0056260B">
        <w:rPr>
          <w:rFonts w:asciiTheme="majorHAnsi" w:hAnsiTheme="majorHAnsi" w:cstheme="majorHAnsi"/>
          <w:lang w:val="it-CH"/>
        </w:rPr>
        <w:t>miliardë</w:t>
      </w:r>
      <w:r w:rsidRPr="00516127">
        <w:rPr>
          <w:rFonts w:asciiTheme="majorHAnsi" w:hAnsiTheme="majorHAnsi" w:cstheme="majorHAnsi"/>
          <w:lang w:val="it-CH"/>
        </w:rPr>
        <w:t xml:space="preserve"> </w:t>
      </w:r>
      <w:r w:rsidR="0056260B">
        <w:rPr>
          <w:rFonts w:asciiTheme="majorHAnsi" w:hAnsiTheme="majorHAnsi" w:cstheme="majorHAnsi"/>
          <w:lang w:val="it-CH"/>
        </w:rPr>
        <w:t>LEK</w:t>
      </w:r>
      <w:r w:rsidRPr="00516127">
        <w:rPr>
          <w:rFonts w:asciiTheme="majorHAnsi" w:hAnsiTheme="majorHAnsi" w:cstheme="majorHAnsi"/>
          <w:lang w:val="it-CH"/>
        </w:rPr>
        <w:t xml:space="preserve"> ose 2.7% më shumë se viti 2024, si dhe -1.8 miliarë </w:t>
      </w:r>
      <w:r w:rsidR="0056260B">
        <w:rPr>
          <w:rFonts w:asciiTheme="majorHAnsi" w:hAnsiTheme="majorHAnsi" w:cstheme="majorHAnsi"/>
          <w:lang w:val="it-CH"/>
        </w:rPr>
        <w:t>LEK</w:t>
      </w:r>
      <w:r w:rsidRPr="00516127">
        <w:rPr>
          <w:rFonts w:asciiTheme="majorHAnsi" w:hAnsiTheme="majorHAnsi" w:cstheme="majorHAnsi"/>
          <w:lang w:val="it-CH"/>
        </w:rPr>
        <w:t xml:space="preserve"> ose -3% më pak se plani për vitin 2025 për tatimin mbi fitimin.</w:t>
      </w:r>
      <w:r w:rsidR="00186E95">
        <w:rPr>
          <w:rFonts w:asciiTheme="majorHAnsi" w:hAnsiTheme="majorHAnsi" w:cstheme="majorHAnsi"/>
          <w:b/>
          <w:color w:val="1F4E79"/>
          <w:sz w:val="24"/>
          <w:lang w:val="it-CH"/>
        </w:rPr>
        <w:t xml:space="preserve"> </w:t>
      </w:r>
      <w:r w:rsidRPr="00516127">
        <w:rPr>
          <w:rFonts w:asciiTheme="majorHAnsi" w:hAnsiTheme="majorHAnsi" w:cstheme="majorHAnsi"/>
          <w:lang w:val="it-CH"/>
        </w:rPr>
        <w:t xml:space="preserve">Nga </w:t>
      </w:r>
      <w:r w:rsidRPr="00516127">
        <w:rPr>
          <w:rFonts w:asciiTheme="majorHAnsi" w:hAnsiTheme="majorHAnsi" w:cstheme="majorHAnsi"/>
          <w:i/>
          <w:iCs/>
          <w:lang w:val="it-CH"/>
        </w:rPr>
        <w:t>analiza e tatimit mbi fitimin sipas sektorëve</w:t>
      </w:r>
      <w:r w:rsidRPr="00516127">
        <w:rPr>
          <w:rFonts w:asciiTheme="majorHAnsi" w:hAnsiTheme="majorHAnsi" w:cstheme="majorHAnsi"/>
          <w:lang w:val="it-CH"/>
        </w:rPr>
        <w:t xml:space="preserve"> rezulton se me përjashtim të sektorit të prodhimit, të gjithë sektorët e tjerë janë me rritje krahasuar me vitin 2024, si vijon:</w:t>
      </w:r>
    </w:p>
    <w:p w14:paraId="5FCAC317" w14:textId="77777777" w:rsidR="00C73E72" w:rsidRPr="00FF7045" w:rsidRDefault="00C73E72">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Sektori i Tregtisë me rritje 15% më shumë se viti 2024 ose 2.1 </w:t>
      </w:r>
      <w:r>
        <w:rPr>
          <w:rFonts w:cs="Calibri"/>
          <w:i/>
          <w:iCs/>
          <w:noProof/>
          <w:lang w:val="sq-AL"/>
        </w:rPr>
        <w:t>miliardë</w:t>
      </w:r>
      <w:r w:rsidRPr="00FF7045">
        <w:rPr>
          <w:rFonts w:cs="Calibri"/>
          <w:i/>
          <w:iCs/>
          <w:noProof/>
          <w:lang w:val="sq-AL"/>
        </w:rPr>
        <w:t xml:space="preserve"> </w:t>
      </w:r>
      <w:r>
        <w:rPr>
          <w:rFonts w:cs="Calibri"/>
          <w:i/>
          <w:iCs/>
          <w:noProof/>
          <w:lang w:val="sq-AL"/>
        </w:rPr>
        <w:t>LEK</w:t>
      </w:r>
      <w:r w:rsidRPr="00FF7045">
        <w:rPr>
          <w:rFonts w:cs="Calibri"/>
          <w:i/>
          <w:iCs/>
          <w:noProof/>
          <w:lang w:val="sq-AL"/>
        </w:rPr>
        <w:t xml:space="preserve">; </w:t>
      </w:r>
    </w:p>
    <w:p w14:paraId="60D7F759" w14:textId="3F5B5849"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Sektori i Ndërtimit me rritje 14% më shumë se viti 2024 ose 1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w:t>
      </w:r>
    </w:p>
    <w:p w14:paraId="583909BE" w14:textId="13F0FCD7"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Sektori i Shërbimit me rritje 5% më shumë se viti 2024 ose 823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w:t>
      </w:r>
    </w:p>
    <w:p w14:paraId="1F3793E5" w14:textId="3C64779F" w:rsidR="00D31F37" w:rsidRPr="00FF7045"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t xml:space="preserve">Sektori i Transportit me rritje 12% më shumë se viti 2024 ose 275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w:t>
      </w:r>
    </w:p>
    <w:p w14:paraId="2B21ED39" w14:textId="77777777" w:rsidR="00431095" w:rsidRDefault="00431095" w:rsidP="00431095">
      <w:pPr>
        <w:pStyle w:val="ListParagraph"/>
        <w:autoSpaceDE w:val="0"/>
        <w:autoSpaceDN w:val="0"/>
        <w:adjustRightInd w:val="0"/>
        <w:spacing w:before="0" w:line="240" w:lineRule="auto"/>
        <w:rPr>
          <w:rFonts w:cs="Calibri"/>
          <w:i/>
          <w:iCs/>
          <w:noProof/>
          <w:lang w:val="sq-AL"/>
        </w:rPr>
      </w:pPr>
    </w:p>
    <w:p w14:paraId="3DA49E91" w14:textId="5B46185F" w:rsidR="00D31F37" w:rsidRPr="00C73E72" w:rsidRDefault="00D31F37">
      <w:pPr>
        <w:pStyle w:val="ListParagraph"/>
        <w:numPr>
          <w:ilvl w:val="0"/>
          <w:numId w:val="40"/>
        </w:numPr>
        <w:autoSpaceDE w:val="0"/>
        <w:autoSpaceDN w:val="0"/>
        <w:adjustRightInd w:val="0"/>
        <w:spacing w:before="0" w:line="240" w:lineRule="auto"/>
        <w:rPr>
          <w:rFonts w:cs="Calibri"/>
          <w:i/>
          <w:iCs/>
          <w:noProof/>
          <w:lang w:val="sq-AL"/>
        </w:rPr>
      </w:pPr>
      <w:r w:rsidRPr="00FF7045">
        <w:rPr>
          <w:rFonts w:cs="Calibri"/>
          <w:i/>
          <w:iCs/>
          <w:noProof/>
          <w:lang w:val="sq-AL"/>
        </w:rPr>
        <w:lastRenderedPageBreak/>
        <w:t xml:space="preserve">Sektori i Prodhimit me ulje prej -18% më pak se viti 2024 ose -3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w:t>
      </w:r>
      <w:r w:rsidR="00C73E72">
        <w:rPr>
          <w:rFonts w:cs="Calibri"/>
          <w:i/>
          <w:iCs/>
          <w:noProof/>
          <w:lang w:val="sq-AL"/>
        </w:rPr>
        <w:t xml:space="preserve"> </w:t>
      </w:r>
      <w:r w:rsidRPr="00C73E72">
        <w:rPr>
          <w:rFonts w:asciiTheme="majorHAnsi" w:hAnsiTheme="majorHAnsi" w:cstheme="majorHAnsi"/>
          <w:i/>
          <w:iCs/>
          <w:lang w:val="sq-AL"/>
        </w:rPr>
        <w:t xml:space="preserve">Duke analizuar nënkategoritë që përfshihen në sektorin e prodhimit, rezulton se  të 29 nënsektortë janë me rënie në krahasim me 2024 me -4.7 milirdë </w:t>
      </w:r>
      <w:r w:rsidR="0056260B" w:rsidRPr="00C73E72">
        <w:rPr>
          <w:rFonts w:asciiTheme="majorHAnsi" w:hAnsiTheme="majorHAnsi" w:cstheme="majorHAnsi"/>
          <w:i/>
          <w:iCs/>
          <w:lang w:val="sq-AL"/>
        </w:rPr>
        <w:t>LEK</w:t>
      </w:r>
      <w:r w:rsidRPr="00C73E72">
        <w:rPr>
          <w:rFonts w:asciiTheme="majorHAnsi" w:hAnsiTheme="majorHAnsi" w:cstheme="majorHAnsi"/>
          <w:i/>
          <w:iCs/>
          <w:lang w:val="sq-AL"/>
        </w:rPr>
        <w:t xml:space="preserve">, ndërsa tre prej tyre kanë rënie që ndikojnë tek totali me -3.46 </w:t>
      </w:r>
      <w:r w:rsidR="0056260B" w:rsidRPr="00C73E72">
        <w:rPr>
          <w:rFonts w:asciiTheme="majorHAnsi" w:hAnsiTheme="majorHAnsi" w:cstheme="majorHAnsi"/>
          <w:i/>
          <w:iCs/>
          <w:lang w:val="sq-AL"/>
        </w:rPr>
        <w:t>miliardë</w:t>
      </w:r>
      <w:r w:rsidRPr="00C73E72">
        <w:rPr>
          <w:rFonts w:asciiTheme="majorHAnsi" w:hAnsiTheme="majorHAnsi" w:cstheme="majorHAnsi"/>
          <w:i/>
          <w:iCs/>
          <w:lang w:val="sq-AL"/>
        </w:rPr>
        <w:t xml:space="preserve"> </w:t>
      </w:r>
      <w:r w:rsidR="0056260B" w:rsidRPr="00C73E72">
        <w:rPr>
          <w:rFonts w:asciiTheme="majorHAnsi" w:hAnsiTheme="majorHAnsi" w:cstheme="majorHAnsi"/>
          <w:i/>
          <w:iCs/>
          <w:lang w:val="sq-AL"/>
        </w:rPr>
        <w:t>LEK</w:t>
      </w:r>
      <w:r w:rsidRPr="00C73E72">
        <w:rPr>
          <w:rFonts w:asciiTheme="majorHAnsi" w:hAnsiTheme="majorHAnsi" w:cstheme="majorHAnsi"/>
          <w:i/>
          <w:iCs/>
          <w:lang w:val="sq-AL"/>
        </w:rPr>
        <w:t xml:space="preserve"> dhe konketisht:</w:t>
      </w:r>
    </w:p>
    <w:p w14:paraId="6F63FE8F" w14:textId="7EE03318" w:rsidR="00D31F37" w:rsidRPr="00C73E72" w:rsidRDefault="00D31F37">
      <w:pPr>
        <w:pStyle w:val="ListParagraph"/>
        <w:numPr>
          <w:ilvl w:val="1"/>
          <w:numId w:val="40"/>
        </w:numPr>
        <w:autoSpaceDE w:val="0"/>
        <w:autoSpaceDN w:val="0"/>
        <w:adjustRightInd w:val="0"/>
        <w:spacing w:before="0" w:line="240" w:lineRule="auto"/>
        <w:rPr>
          <w:rFonts w:cs="Calibri"/>
          <w:noProof/>
          <w:lang w:val="sq-AL"/>
        </w:rPr>
      </w:pPr>
      <w:r w:rsidRPr="00C73E72">
        <w:rPr>
          <w:rFonts w:cs="Calibri"/>
          <w:noProof/>
          <w:lang w:val="sq-AL"/>
        </w:rPr>
        <w:t xml:space="preserve">Prodhimi i energjisë elektrike -2.9 </w:t>
      </w:r>
      <w:r w:rsidR="0056260B" w:rsidRPr="00C73E72">
        <w:rPr>
          <w:rFonts w:cs="Calibri"/>
          <w:noProof/>
          <w:lang w:val="sq-AL"/>
        </w:rPr>
        <w:t>miliardë</w:t>
      </w:r>
      <w:r w:rsidRPr="00C73E72">
        <w:rPr>
          <w:rFonts w:cs="Calibri"/>
          <w:noProof/>
          <w:lang w:val="sq-AL"/>
        </w:rPr>
        <w:t xml:space="preserve"> </w:t>
      </w:r>
      <w:r w:rsidR="0056260B" w:rsidRPr="00C73E72">
        <w:rPr>
          <w:rFonts w:cs="Calibri"/>
          <w:noProof/>
          <w:lang w:val="sq-AL"/>
        </w:rPr>
        <w:t>LEK</w:t>
      </w:r>
      <w:r w:rsidRPr="00C73E72">
        <w:rPr>
          <w:rFonts w:cs="Calibri"/>
          <w:noProof/>
          <w:lang w:val="sq-AL"/>
        </w:rPr>
        <w:t xml:space="preserve"> me pak se viti 2024, </w:t>
      </w:r>
    </w:p>
    <w:p w14:paraId="6A29A4A4" w14:textId="6204F70E" w:rsidR="00D31F37" w:rsidRPr="00C73E72" w:rsidRDefault="00D31F37">
      <w:pPr>
        <w:pStyle w:val="ListParagraph"/>
        <w:numPr>
          <w:ilvl w:val="1"/>
          <w:numId w:val="40"/>
        </w:numPr>
        <w:autoSpaceDE w:val="0"/>
        <w:autoSpaceDN w:val="0"/>
        <w:adjustRightInd w:val="0"/>
        <w:spacing w:before="0" w:line="240" w:lineRule="auto"/>
        <w:rPr>
          <w:rFonts w:cs="Calibri"/>
          <w:noProof/>
          <w:lang w:val="sq-AL"/>
        </w:rPr>
      </w:pPr>
      <w:r w:rsidRPr="00C73E72">
        <w:rPr>
          <w:rFonts w:cs="Calibri"/>
          <w:noProof/>
          <w:lang w:val="sq-AL"/>
        </w:rPr>
        <w:t xml:space="preserve">Transmetimi i energjisë elektrike me -330 </w:t>
      </w:r>
      <w:r w:rsidR="0056260B" w:rsidRPr="00C73E72">
        <w:rPr>
          <w:rFonts w:cs="Calibri"/>
          <w:noProof/>
          <w:lang w:val="sq-AL"/>
        </w:rPr>
        <w:t>milionë</w:t>
      </w:r>
      <w:r w:rsidRPr="00C73E72">
        <w:rPr>
          <w:rFonts w:cs="Calibri"/>
          <w:noProof/>
          <w:lang w:val="sq-AL"/>
        </w:rPr>
        <w:t xml:space="preserve"> </w:t>
      </w:r>
      <w:r w:rsidR="0056260B" w:rsidRPr="00C73E72">
        <w:rPr>
          <w:rFonts w:cs="Calibri"/>
          <w:noProof/>
          <w:lang w:val="sq-AL"/>
        </w:rPr>
        <w:t>LEK</w:t>
      </w:r>
      <w:r w:rsidRPr="00C73E72">
        <w:rPr>
          <w:rFonts w:cs="Calibri"/>
          <w:noProof/>
          <w:lang w:val="sq-AL"/>
        </w:rPr>
        <w:t xml:space="preserve"> më pak se viti 2024, dhe</w:t>
      </w:r>
    </w:p>
    <w:p w14:paraId="5A9E089C" w14:textId="36E1842D" w:rsidR="00D31F37" w:rsidRPr="00C73E72" w:rsidRDefault="00D31F37">
      <w:pPr>
        <w:pStyle w:val="ListParagraph"/>
        <w:numPr>
          <w:ilvl w:val="1"/>
          <w:numId w:val="40"/>
        </w:numPr>
        <w:autoSpaceDE w:val="0"/>
        <w:autoSpaceDN w:val="0"/>
        <w:adjustRightInd w:val="0"/>
        <w:spacing w:before="0" w:line="240" w:lineRule="auto"/>
        <w:rPr>
          <w:rFonts w:cs="Calibri"/>
          <w:noProof/>
          <w:lang w:val="sq-AL"/>
        </w:rPr>
      </w:pPr>
      <w:r w:rsidRPr="00C73E72">
        <w:rPr>
          <w:rFonts w:cs="Calibri"/>
          <w:noProof/>
          <w:lang w:val="sq-AL"/>
        </w:rPr>
        <w:t xml:space="preserve">Prodhimi i çimentos me ulje nga viti 2024 me rreth -243 </w:t>
      </w:r>
      <w:r w:rsidR="0056260B" w:rsidRPr="00C73E72">
        <w:rPr>
          <w:rFonts w:cs="Calibri"/>
          <w:noProof/>
          <w:lang w:val="sq-AL"/>
        </w:rPr>
        <w:t>milionë</w:t>
      </w:r>
      <w:r w:rsidRPr="00C73E72">
        <w:rPr>
          <w:rFonts w:cs="Calibri"/>
          <w:noProof/>
          <w:lang w:val="sq-AL"/>
        </w:rPr>
        <w:t xml:space="preserve"> </w:t>
      </w:r>
      <w:r w:rsidR="0056260B" w:rsidRPr="00C73E72">
        <w:rPr>
          <w:rFonts w:cs="Calibri"/>
          <w:noProof/>
          <w:lang w:val="sq-AL"/>
        </w:rPr>
        <w:t>LEK</w:t>
      </w:r>
      <w:r w:rsidRPr="00C73E72">
        <w:rPr>
          <w:rFonts w:cs="Calibri"/>
          <w:noProof/>
          <w:lang w:val="sq-AL"/>
        </w:rPr>
        <w:t>.</w:t>
      </w:r>
    </w:p>
    <w:p w14:paraId="7BBD2B20" w14:textId="681AF72D" w:rsidR="00D31F37" w:rsidRPr="00431095" w:rsidRDefault="00D31F37" w:rsidP="00D31F37">
      <w:pPr>
        <w:spacing w:line="240" w:lineRule="auto"/>
        <w:rPr>
          <w:rFonts w:asciiTheme="majorHAnsi" w:hAnsiTheme="majorHAnsi" w:cstheme="majorHAnsi"/>
          <w:i/>
          <w:iCs/>
          <w:lang w:val="sq-AL"/>
        </w:rPr>
      </w:pPr>
      <w:r w:rsidRPr="00516127">
        <w:rPr>
          <w:rFonts w:asciiTheme="majorHAnsi" w:hAnsiTheme="majorHAnsi" w:cstheme="majorHAnsi"/>
          <w:lang w:val="sq-AL"/>
        </w:rPr>
        <w:t xml:space="preserve">Analizuar </w:t>
      </w:r>
      <w:r w:rsidRPr="00516127">
        <w:rPr>
          <w:rFonts w:asciiTheme="majorHAnsi" w:hAnsiTheme="majorHAnsi" w:cstheme="majorHAnsi"/>
          <w:i/>
          <w:iCs/>
          <w:lang w:val="sq-AL"/>
        </w:rPr>
        <w:t>sipas parapagimit të kësteve të tatimit mbi fitimin</w:t>
      </w:r>
      <w:r w:rsidRPr="00516127">
        <w:rPr>
          <w:rFonts w:asciiTheme="majorHAnsi" w:hAnsiTheme="majorHAnsi" w:cstheme="majorHAnsi"/>
          <w:lang w:val="sq-AL"/>
        </w:rPr>
        <w:t xml:space="preserve">, rezulton se 4 sektorë të ekonomisë kanë paguar rreth 4.22 </w:t>
      </w:r>
      <w:r w:rsidR="0056260B">
        <w:rPr>
          <w:rFonts w:asciiTheme="majorHAnsi" w:hAnsiTheme="majorHAnsi" w:cstheme="majorHAnsi"/>
          <w:lang w:val="sq-AL"/>
        </w:rPr>
        <w:t>miliardë</w:t>
      </w:r>
      <w:r w:rsidRPr="00516127">
        <w:rPr>
          <w:rFonts w:asciiTheme="majorHAnsi" w:hAnsiTheme="majorHAnsi" w:cstheme="majorHAnsi"/>
          <w:lang w:val="sq-AL"/>
        </w:rPr>
        <w:t xml:space="preserve"> </w:t>
      </w:r>
      <w:r w:rsidR="0056260B">
        <w:rPr>
          <w:rFonts w:asciiTheme="majorHAnsi" w:hAnsiTheme="majorHAnsi" w:cstheme="majorHAnsi"/>
          <w:lang w:val="sq-AL"/>
        </w:rPr>
        <w:t>LEK</w:t>
      </w:r>
      <w:r w:rsidRPr="00516127">
        <w:rPr>
          <w:rFonts w:asciiTheme="majorHAnsi" w:hAnsiTheme="majorHAnsi" w:cstheme="majorHAnsi"/>
          <w:lang w:val="sq-AL"/>
        </w:rPr>
        <w:t xml:space="preserve"> më shumë se në vitin 2024, </w:t>
      </w:r>
      <w:r w:rsidRPr="00431095">
        <w:rPr>
          <w:rFonts w:asciiTheme="majorHAnsi" w:hAnsiTheme="majorHAnsi" w:cstheme="majorHAnsi"/>
          <w:lang w:val="sq-AL"/>
        </w:rPr>
        <w:t xml:space="preserve">mirëpo janë rreth- 3 </w:t>
      </w:r>
      <w:r w:rsidR="0056260B" w:rsidRPr="00431095">
        <w:rPr>
          <w:rFonts w:asciiTheme="majorHAnsi" w:hAnsiTheme="majorHAnsi" w:cstheme="majorHAnsi"/>
          <w:lang w:val="sq-AL"/>
        </w:rPr>
        <w:t>miliardë</w:t>
      </w:r>
      <w:r w:rsidRPr="00431095">
        <w:rPr>
          <w:rFonts w:asciiTheme="majorHAnsi" w:hAnsiTheme="majorHAnsi" w:cstheme="majorHAnsi"/>
          <w:lang w:val="sq-AL"/>
        </w:rPr>
        <w:t xml:space="preserve"> </w:t>
      </w:r>
      <w:r w:rsidR="0056260B" w:rsidRPr="00431095">
        <w:rPr>
          <w:rFonts w:asciiTheme="majorHAnsi" w:hAnsiTheme="majorHAnsi" w:cstheme="majorHAnsi"/>
          <w:lang w:val="sq-AL"/>
        </w:rPr>
        <w:t>LEK</w:t>
      </w:r>
      <w:r w:rsidRPr="00431095">
        <w:rPr>
          <w:rFonts w:asciiTheme="majorHAnsi" w:hAnsiTheme="majorHAnsi" w:cstheme="majorHAnsi"/>
          <w:lang w:val="sq-AL"/>
        </w:rPr>
        <w:t xml:space="preserve"> nga sektori i prodhimit, të cilat ndiko</w:t>
      </w:r>
      <w:r w:rsidR="00431095" w:rsidRPr="00431095">
        <w:rPr>
          <w:rFonts w:asciiTheme="majorHAnsi" w:hAnsiTheme="majorHAnsi" w:cstheme="majorHAnsi"/>
          <w:lang w:val="sq-AL"/>
        </w:rPr>
        <w:t>j</w:t>
      </w:r>
      <w:r w:rsidRPr="00431095">
        <w:rPr>
          <w:rFonts w:asciiTheme="majorHAnsi" w:hAnsiTheme="majorHAnsi" w:cstheme="majorHAnsi"/>
          <w:lang w:val="sq-AL"/>
        </w:rPr>
        <w:t>në që totali i pagesave të jetë vetëm 1</w:t>
      </w:r>
      <w:r w:rsidR="00C73E72" w:rsidRPr="00431095">
        <w:rPr>
          <w:rFonts w:asciiTheme="majorHAnsi" w:hAnsiTheme="majorHAnsi" w:cstheme="majorHAnsi"/>
          <w:lang w:val="sq-AL"/>
        </w:rPr>
        <w:t>.</w:t>
      </w:r>
      <w:r w:rsidRPr="00431095">
        <w:rPr>
          <w:rFonts w:asciiTheme="majorHAnsi" w:hAnsiTheme="majorHAnsi" w:cstheme="majorHAnsi"/>
          <w:lang w:val="sq-AL"/>
        </w:rPr>
        <w:t>22 mili</w:t>
      </w:r>
      <w:r w:rsidR="00C73E72" w:rsidRPr="00431095">
        <w:rPr>
          <w:rFonts w:asciiTheme="majorHAnsi" w:hAnsiTheme="majorHAnsi" w:cstheme="majorHAnsi"/>
          <w:lang w:val="sq-AL"/>
        </w:rPr>
        <w:t>a</w:t>
      </w:r>
      <w:r w:rsidRPr="00431095">
        <w:rPr>
          <w:rFonts w:asciiTheme="majorHAnsi" w:hAnsiTheme="majorHAnsi" w:cstheme="majorHAnsi"/>
          <w:lang w:val="sq-AL"/>
        </w:rPr>
        <w:t>rdë më shumë se 2024.</w:t>
      </w:r>
    </w:p>
    <w:p w14:paraId="37EED7D1" w14:textId="77777777" w:rsidR="00271BDD" w:rsidRPr="006D0F8B" w:rsidRDefault="00271BDD" w:rsidP="00D31F37">
      <w:pPr>
        <w:spacing w:before="0" w:line="240" w:lineRule="auto"/>
        <w:rPr>
          <w:rFonts w:asciiTheme="majorHAnsi" w:hAnsiTheme="majorHAnsi" w:cstheme="majorHAnsi"/>
          <w:b/>
          <w:sz w:val="16"/>
          <w:szCs w:val="16"/>
          <w:lang w:val="sq-AL"/>
        </w:rPr>
      </w:pPr>
    </w:p>
    <w:p w14:paraId="010759FA" w14:textId="20E67A4A" w:rsidR="00D31F37" w:rsidRPr="008E3043" w:rsidRDefault="00D31F37" w:rsidP="00D31F37">
      <w:pPr>
        <w:spacing w:line="240" w:lineRule="auto"/>
        <w:contextualSpacing/>
        <w:rPr>
          <w:rFonts w:asciiTheme="majorHAnsi" w:hAnsiTheme="majorHAnsi" w:cstheme="majorHAnsi"/>
          <w:bCs/>
          <w:lang w:val="sq-AL"/>
        </w:rPr>
      </w:pPr>
      <w:r w:rsidRPr="00C73E72">
        <w:rPr>
          <w:rFonts w:asciiTheme="majorHAnsi" w:hAnsiTheme="majorHAnsi" w:cstheme="majorHAnsi"/>
          <w:b/>
          <w:i/>
          <w:lang w:val="sq-AL"/>
        </w:rPr>
        <w:t>Të ardhurat nga tatimi mbi të ardhurat personale</w:t>
      </w:r>
      <w:r w:rsidRPr="00186E95">
        <w:rPr>
          <w:rFonts w:asciiTheme="majorHAnsi" w:hAnsiTheme="majorHAnsi" w:cstheme="majorHAnsi"/>
          <w:bCs/>
          <w:lang w:val="sq-AL"/>
        </w:rPr>
        <w:t xml:space="preserve"> për vitin 2025 janë në vlerën 82.5 </w:t>
      </w:r>
      <w:r w:rsidR="0056260B">
        <w:rPr>
          <w:rFonts w:asciiTheme="majorHAnsi" w:hAnsiTheme="majorHAnsi" w:cstheme="majorHAnsi"/>
          <w:bCs/>
          <w:lang w:val="sq-AL"/>
        </w:rPr>
        <w:t>miliardë</w:t>
      </w:r>
      <w:r w:rsidRPr="00186E95">
        <w:rPr>
          <w:rFonts w:asciiTheme="majorHAnsi" w:hAnsiTheme="majorHAnsi" w:cstheme="majorHAnsi"/>
          <w:bCs/>
          <w:lang w:val="sq-AL"/>
        </w:rPr>
        <w:t xml:space="preserve"> </w:t>
      </w:r>
      <w:r w:rsidR="0056260B">
        <w:rPr>
          <w:rFonts w:asciiTheme="majorHAnsi" w:hAnsiTheme="majorHAnsi" w:cstheme="majorHAnsi"/>
          <w:bCs/>
          <w:lang w:val="sq-AL"/>
        </w:rPr>
        <w:t>LEK</w:t>
      </w:r>
      <w:r w:rsidRPr="00186E95">
        <w:rPr>
          <w:rFonts w:asciiTheme="majorHAnsi" w:hAnsiTheme="majorHAnsi" w:cstheme="majorHAnsi"/>
          <w:bCs/>
          <w:lang w:val="sq-AL"/>
        </w:rPr>
        <w:t xml:space="preserve">, 16.4 </w:t>
      </w:r>
      <w:r w:rsidR="0056260B">
        <w:rPr>
          <w:rFonts w:asciiTheme="majorHAnsi" w:hAnsiTheme="majorHAnsi" w:cstheme="majorHAnsi"/>
          <w:bCs/>
          <w:lang w:val="sq-AL"/>
        </w:rPr>
        <w:t>miliardë</w:t>
      </w:r>
      <w:r w:rsidRPr="00186E95">
        <w:rPr>
          <w:rFonts w:asciiTheme="majorHAnsi" w:hAnsiTheme="majorHAnsi" w:cstheme="majorHAnsi"/>
          <w:bCs/>
          <w:lang w:val="sq-AL"/>
        </w:rPr>
        <w:t xml:space="preserve"> </w:t>
      </w:r>
      <w:r w:rsidR="0056260B">
        <w:rPr>
          <w:rFonts w:asciiTheme="majorHAnsi" w:hAnsiTheme="majorHAnsi" w:cstheme="majorHAnsi"/>
          <w:bCs/>
          <w:lang w:val="sq-AL"/>
        </w:rPr>
        <w:t>LEK</w:t>
      </w:r>
      <w:r w:rsidRPr="00186E95">
        <w:rPr>
          <w:rFonts w:asciiTheme="majorHAnsi" w:hAnsiTheme="majorHAnsi" w:cstheme="majorHAnsi"/>
          <w:bCs/>
          <w:lang w:val="sq-AL"/>
        </w:rPr>
        <w:t xml:space="preserve"> ose 24.7% më shumë se viti 2024, si dhe -1.7 </w:t>
      </w:r>
      <w:r w:rsidR="0056260B">
        <w:rPr>
          <w:rFonts w:asciiTheme="majorHAnsi" w:hAnsiTheme="majorHAnsi" w:cstheme="majorHAnsi"/>
          <w:bCs/>
          <w:lang w:val="sq-AL"/>
        </w:rPr>
        <w:t>miliardë</w:t>
      </w:r>
      <w:r w:rsidRPr="00186E95">
        <w:rPr>
          <w:rFonts w:asciiTheme="majorHAnsi" w:hAnsiTheme="majorHAnsi" w:cstheme="majorHAnsi"/>
          <w:bCs/>
          <w:lang w:val="sq-AL"/>
        </w:rPr>
        <w:t xml:space="preserve"> </w:t>
      </w:r>
      <w:r w:rsidR="0056260B">
        <w:rPr>
          <w:rFonts w:asciiTheme="majorHAnsi" w:hAnsiTheme="majorHAnsi" w:cstheme="majorHAnsi"/>
          <w:bCs/>
          <w:lang w:val="sq-AL"/>
        </w:rPr>
        <w:t>LEK</w:t>
      </w:r>
      <w:r w:rsidRPr="00186E95">
        <w:rPr>
          <w:rFonts w:asciiTheme="majorHAnsi" w:hAnsiTheme="majorHAnsi" w:cstheme="majorHAnsi"/>
          <w:bCs/>
          <w:lang w:val="sq-AL"/>
        </w:rPr>
        <w:t xml:space="preserve"> ose -2% më pak se plani për vitin 2025. </w:t>
      </w:r>
      <w:r w:rsidRPr="00186E95">
        <w:rPr>
          <w:rFonts w:asciiTheme="majorHAnsi" w:hAnsiTheme="majorHAnsi" w:cstheme="majorHAnsi"/>
          <w:bCs/>
          <w:iCs/>
          <w:color w:val="000000"/>
          <w:lang w:val="sq-AL"/>
        </w:rPr>
        <w:t xml:space="preserve">Ndikimin kryesor në këtë kategori për vitin 2025 krahasuar me vitin 2024 e kanë zërat kryesorë si: </w:t>
      </w:r>
    </w:p>
    <w:p w14:paraId="1058002D" w14:textId="7C0E04AF" w:rsidR="00D31F37" w:rsidRPr="00186E95" w:rsidRDefault="00D31F37">
      <w:pPr>
        <w:pStyle w:val="ListParagraph"/>
        <w:numPr>
          <w:ilvl w:val="0"/>
          <w:numId w:val="40"/>
        </w:numPr>
        <w:autoSpaceDE w:val="0"/>
        <w:autoSpaceDN w:val="0"/>
        <w:adjustRightInd w:val="0"/>
        <w:spacing w:before="0"/>
        <w:rPr>
          <w:rFonts w:cs="Calibri"/>
          <w:bCs/>
          <w:i/>
          <w:iCs/>
          <w:noProof/>
          <w:lang w:val="sq-AL"/>
        </w:rPr>
      </w:pPr>
      <w:r w:rsidRPr="00186E95">
        <w:rPr>
          <w:rFonts w:cs="Calibri"/>
          <w:bCs/>
          <w:i/>
          <w:iCs/>
          <w:noProof/>
          <w:lang w:val="sq-AL"/>
        </w:rPr>
        <w:t>Të ardhurat nga tatimi mbi pagën nga sektori privat, u realizuan në shumën 31</w:t>
      </w:r>
      <w:r w:rsidR="00C73E72">
        <w:rPr>
          <w:rFonts w:cs="Calibri"/>
          <w:bCs/>
          <w:i/>
          <w:iCs/>
          <w:noProof/>
          <w:lang w:val="sq-AL"/>
        </w:rPr>
        <w:t>mld</w:t>
      </w:r>
      <w:r w:rsidRPr="00186E95">
        <w:rPr>
          <w:rFonts w:cs="Calibri"/>
          <w:bCs/>
          <w:i/>
          <w:iCs/>
          <w:noProof/>
          <w:lang w:val="sq-AL"/>
        </w:rPr>
        <w:t xml:space="preserve"> </w:t>
      </w:r>
      <w:r w:rsidR="0056260B">
        <w:rPr>
          <w:rFonts w:cs="Calibri"/>
          <w:bCs/>
          <w:i/>
          <w:iCs/>
          <w:noProof/>
          <w:lang w:val="sq-AL"/>
        </w:rPr>
        <w:t>LEK</w:t>
      </w:r>
      <w:r w:rsidRPr="00186E95">
        <w:rPr>
          <w:rFonts w:cs="Calibri"/>
          <w:bCs/>
          <w:i/>
          <w:iCs/>
          <w:noProof/>
          <w:lang w:val="sq-AL"/>
        </w:rPr>
        <w:t>, me rritje +26.2% ose 6.4</w:t>
      </w:r>
      <w:r w:rsidR="00C73E72">
        <w:rPr>
          <w:rFonts w:cs="Calibri"/>
          <w:bCs/>
          <w:i/>
          <w:iCs/>
          <w:noProof/>
          <w:lang w:val="sq-AL"/>
        </w:rPr>
        <w:t>mld</w:t>
      </w:r>
      <w:r w:rsidRPr="00186E95">
        <w:rPr>
          <w:rFonts w:cs="Calibri"/>
          <w:bCs/>
          <w:i/>
          <w:iCs/>
          <w:noProof/>
          <w:lang w:val="sq-AL"/>
        </w:rPr>
        <w:t xml:space="preserve"> </w:t>
      </w:r>
      <w:r w:rsidR="0056260B">
        <w:rPr>
          <w:rFonts w:cs="Calibri"/>
          <w:bCs/>
          <w:i/>
          <w:iCs/>
          <w:noProof/>
          <w:lang w:val="sq-AL"/>
        </w:rPr>
        <w:t>LEK</w:t>
      </w:r>
      <w:r w:rsidRPr="00186E95">
        <w:rPr>
          <w:rFonts w:cs="Calibri"/>
          <w:bCs/>
          <w:i/>
          <w:iCs/>
          <w:noProof/>
          <w:lang w:val="sq-AL"/>
        </w:rPr>
        <w:t xml:space="preserve"> më shumë, në saj</w:t>
      </w:r>
      <w:r w:rsidR="00C73E72">
        <w:rPr>
          <w:rFonts w:cs="Calibri"/>
          <w:bCs/>
          <w:i/>
          <w:iCs/>
          <w:noProof/>
          <w:lang w:val="sq-AL"/>
        </w:rPr>
        <w:t>ë</w:t>
      </w:r>
      <w:r w:rsidRPr="00186E95">
        <w:rPr>
          <w:rFonts w:cs="Calibri"/>
          <w:bCs/>
          <w:i/>
          <w:iCs/>
          <w:noProof/>
          <w:lang w:val="sq-AL"/>
        </w:rPr>
        <w:t xml:space="preserve"> të masave të marra nga Administrata Tatimore në sektorë me risk të tillë si turizmi, ndërtimi, etj. </w:t>
      </w:r>
    </w:p>
    <w:p w14:paraId="1B0B6BB8" w14:textId="3480FE23"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186E95">
        <w:rPr>
          <w:rFonts w:cs="Calibri"/>
          <w:bCs/>
          <w:i/>
          <w:iCs/>
          <w:noProof/>
          <w:lang w:val="sq-AL"/>
        </w:rPr>
        <w:t>Të ardhurat nga tatimi mbi pagën nga sektori publik, u realizuan në shumën 18.4</w:t>
      </w:r>
      <w:r w:rsidR="00C73E72">
        <w:rPr>
          <w:rFonts w:cs="Calibri"/>
          <w:bCs/>
          <w:i/>
          <w:iCs/>
          <w:noProof/>
          <w:lang w:val="sq-AL"/>
        </w:rPr>
        <w:t>mld</w:t>
      </w:r>
      <w:r w:rsidRPr="00186E95">
        <w:rPr>
          <w:rFonts w:cs="Calibri"/>
          <w:bCs/>
          <w:i/>
          <w:iCs/>
          <w:noProof/>
          <w:lang w:val="sq-AL"/>
        </w:rPr>
        <w:t xml:space="preserve"> </w:t>
      </w:r>
      <w:r w:rsidR="0056260B">
        <w:rPr>
          <w:rFonts w:cs="Calibri"/>
          <w:bCs/>
          <w:i/>
          <w:iCs/>
          <w:noProof/>
          <w:lang w:val="sq-AL"/>
        </w:rPr>
        <w:t>LEK</w:t>
      </w:r>
      <w:r w:rsidRPr="00186E95">
        <w:rPr>
          <w:rFonts w:cs="Calibri"/>
          <w:bCs/>
          <w:i/>
          <w:iCs/>
          <w:noProof/>
          <w:lang w:val="sq-AL"/>
        </w:rPr>
        <w:t>, me rritje</w:t>
      </w:r>
      <w:r w:rsidRPr="00FF7045">
        <w:rPr>
          <w:rFonts w:cs="Calibri"/>
          <w:i/>
          <w:iCs/>
          <w:noProof/>
          <w:lang w:val="sq-AL"/>
        </w:rPr>
        <w:t xml:space="preserve"> +17.8% ose 2.8</w:t>
      </w:r>
      <w:r w:rsidR="00C73E72">
        <w:rPr>
          <w:rFonts w:cs="Calibri"/>
          <w:i/>
          <w:iCs/>
          <w:noProof/>
          <w:lang w:val="sq-AL"/>
        </w:rPr>
        <w:t>mld</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 që reflekton reformën e dytë të pagave nga 1 korrik 2024 e në vijim.;</w:t>
      </w:r>
    </w:p>
    <w:p w14:paraId="203037DE" w14:textId="5214AF0A" w:rsidR="00D31F37" w:rsidRPr="006D0F8B" w:rsidRDefault="00D31F37">
      <w:pPr>
        <w:pStyle w:val="ListParagraph"/>
        <w:numPr>
          <w:ilvl w:val="0"/>
          <w:numId w:val="40"/>
        </w:numPr>
        <w:autoSpaceDE w:val="0"/>
        <w:autoSpaceDN w:val="0"/>
        <w:adjustRightInd w:val="0"/>
        <w:spacing w:before="0"/>
        <w:rPr>
          <w:rFonts w:cs="Calibri"/>
          <w:i/>
          <w:iCs/>
          <w:noProof/>
          <w:lang w:val="sq-AL"/>
        </w:rPr>
      </w:pPr>
      <w:r w:rsidRPr="006D0F8B">
        <w:rPr>
          <w:rFonts w:cs="Calibri"/>
          <w:i/>
          <w:iCs/>
          <w:noProof/>
          <w:lang w:val="sq-AL"/>
        </w:rPr>
        <w:t xml:space="preserve">Të ardhurat nga interesat bankarë </w:t>
      </w:r>
      <w:r w:rsidR="006D0F8B">
        <w:rPr>
          <w:rFonts w:cs="Calibri"/>
          <w:i/>
          <w:iCs/>
          <w:noProof/>
          <w:lang w:val="sq-AL"/>
        </w:rPr>
        <w:t>arritën</w:t>
      </w:r>
      <w:r w:rsidRPr="006D0F8B">
        <w:rPr>
          <w:rFonts w:cs="Calibri"/>
          <w:i/>
          <w:iCs/>
          <w:noProof/>
          <w:lang w:val="sq-AL"/>
        </w:rPr>
        <w:t xml:space="preserve"> në 3.8</w:t>
      </w:r>
      <w:r w:rsidR="00C73E72" w:rsidRPr="006D0F8B">
        <w:rPr>
          <w:rFonts w:cs="Calibri"/>
          <w:i/>
          <w:iCs/>
          <w:noProof/>
          <w:lang w:val="sq-AL"/>
        </w:rPr>
        <w:t>mld</w:t>
      </w:r>
      <w:r w:rsidRPr="006D0F8B">
        <w:rPr>
          <w:rFonts w:cs="Calibri"/>
          <w:i/>
          <w:iCs/>
          <w:noProof/>
          <w:lang w:val="sq-AL"/>
        </w:rPr>
        <w:t xml:space="preserve"> </w:t>
      </w:r>
      <w:r w:rsidR="0056260B" w:rsidRPr="006D0F8B">
        <w:rPr>
          <w:rFonts w:cs="Calibri"/>
          <w:i/>
          <w:iCs/>
          <w:noProof/>
          <w:lang w:val="sq-AL"/>
        </w:rPr>
        <w:t>LEK</w:t>
      </w:r>
      <w:r w:rsidRPr="006D0F8B">
        <w:rPr>
          <w:rFonts w:cs="Calibri"/>
          <w:i/>
          <w:iCs/>
          <w:noProof/>
          <w:lang w:val="sq-AL"/>
        </w:rPr>
        <w:t>, me rritje +12.9% ose 436</w:t>
      </w:r>
      <w:r w:rsidR="00C73E72" w:rsidRPr="006D0F8B">
        <w:rPr>
          <w:rFonts w:cs="Calibri"/>
          <w:i/>
          <w:iCs/>
          <w:noProof/>
          <w:lang w:val="sq-AL"/>
        </w:rPr>
        <w:t>ml</w:t>
      </w:r>
      <w:r w:rsidR="006D0F8B">
        <w:rPr>
          <w:rFonts w:cs="Calibri"/>
          <w:i/>
          <w:iCs/>
          <w:noProof/>
          <w:lang w:val="sq-AL"/>
        </w:rPr>
        <w:t>n</w:t>
      </w:r>
      <w:r w:rsidRPr="006D0F8B">
        <w:rPr>
          <w:rFonts w:cs="Calibri"/>
          <w:i/>
          <w:iCs/>
          <w:noProof/>
          <w:lang w:val="sq-AL"/>
        </w:rPr>
        <w:t xml:space="preserve"> </w:t>
      </w:r>
      <w:r w:rsidR="0056260B" w:rsidRPr="006D0F8B">
        <w:rPr>
          <w:rFonts w:cs="Calibri"/>
          <w:i/>
          <w:iCs/>
          <w:noProof/>
          <w:lang w:val="sq-AL"/>
        </w:rPr>
        <w:t>LEK</w:t>
      </w:r>
      <w:r w:rsidRPr="006D0F8B">
        <w:rPr>
          <w:rFonts w:cs="Calibri"/>
          <w:i/>
          <w:iCs/>
          <w:noProof/>
          <w:lang w:val="sq-AL"/>
        </w:rPr>
        <w:t xml:space="preserve"> më shumë. </w:t>
      </w:r>
    </w:p>
    <w:p w14:paraId="74DBFC73" w14:textId="59AEF7A8"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Të ardhurat nga tatimi nga shitja e pasurisë së paluajtshme, u realizuan në shumën 7.5</w:t>
      </w:r>
      <w:r w:rsidR="00C73E72">
        <w:rPr>
          <w:rFonts w:cs="Calibri"/>
          <w:i/>
          <w:iCs/>
          <w:noProof/>
          <w:lang w:val="sq-AL"/>
        </w:rPr>
        <w:t>mld</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me rritje +36% ose 2</w:t>
      </w:r>
      <w:r w:rsidR="00C73E72">
        <w:rPr>
          <w:rFonts w:cs="Calibri"/>
          <w:i/>
          <w:iCs/>
          <w:noProof/>
          <w:lang w:val="sq-AL"/>
        </w:rPr>
        <w:t>mld</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w:t>
      </w:r>
    </w:p>
    <w:p w14:paraId="3670C432" w14:textId="77777777"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Gjithashtu, krahasuar me vitin 2024, konstatohet rritje me 23.3% e të ardhurave nga tatimi mbi Deklaratën Individuale Vjetore.</w:t>
      </w:r>
    </w:p>
    <w:p w14:paraId="1F239080" w14:textId="21DD3262"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 xml:space="preserve">Të ardhurat nga tatimi mbi qeratë, u realizuan në shumën 5.8 </w:t>
      </w:r>
      <w:r w:rsidR="0056260B">
        <w:rPr>
          <w:rFonts w:cs="Calibri"/>
          <w:i/>
          <w:iCs/>
          <w:noProof/>
          <w:lang w:val="sq-AL"/>
        </w:rPr>
        <w:t>miliardë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me rritje +8.5% ose 454 </w:t>
      </w:r>
      <w:r w:rsidR="0056260B">
        <w:rPr>
          <w:rFonts w:cs="Calibri"/>
          <w:i/>
          <w:iCs/>
          <w:noProof/>
          <w:lang w:val="sq-AL"/>
        </w:rPr>
        <w:t>milionë</w:t>
      </w:r>
      <w:r w:rsidRPr="00FF7045">
        <w:rPr>
          <w:rFonts w:cs="Calibri"/>
          <w:i/>
          <w:iCs/>
          <w:noProof/>
          <w:lang w:val="sq-AL"/>
        </w:rPr>
        <w:t xml:space="preserve"> </w:t>
      </w:r>
      <w:r w:rsidR="0056260B">
        <w:rPr>
          <w:rFonts w:cs="Calibri"/>
          <w:i/>
          <w:iCs/>
          <w:noProof/>
          <w:lang w:val="sq-AL"/>
        </w:rPr>
        <w:t>LEK</w:t>
      </w:r>
      <w:r w:rsidRPr="00FF7045">
        <w:rPr>
          <w:rFonts w:cs="Calibri"/>
          <w:i/>
          <w:iCs/>
          <w:noProof/>
          <w:lang w:val="sq-AL"/>
        </w:rPr>
        <w:t xml:space="preserve"> më shumë në krahasim me vitin 2024,;</w:t>
      </w:r>
    </w:p>
    <w:p w14:paraId="595A0819" w14:textId="5C7A8C91" w:rsidR="00D31F37" w:rsidRPr="00C73E72" w:rsidRDefault="00D31F37" w:rsidP="00C73E72">
      <w:pPr>
        <w:autoSpaceDE w:val="0"/>
        <w:autoSpaceDN w:val="0"/>
        <w:adjustRightInd w:val="0"/>
        <w:spacing w:before="0"/>
        <w:rPr>
          <w:rFonts w:cs="Calibri"/>
          <w:noProof/>
          <w:lang w:val="sq-AL"/>
        </w:rPr>
      </w:pPr>
      <w:r w:rsidRPr="00C73E72">
        <w:rPr>
          <w:rFonts w:cs="Calibri"/>
          <w:noProof/>
          <w:lang w:val="sq-AL"/>
        </w:rPr>
        <w:t>Ndikim në këtë përformancë ka rritja e numrit të kontribuesve në skemë me rreth + 27,420 kontribues më shumë se 9-mujori 2024</w:t>
      </w:r>
      <w:r w:rsidR="00C73E72" w:rsidRPr="00C73E72">
        <w:rPr>
          <w:rFonts w:cs="Calibri"/>
          <w:noProof/>
          <w:lang w:val="sq-AL"/>
        </w:rPr>
        <w:t xml:space="preserve"> </w:t>
      </w:r>
      <w:r w:rsidRPr="00C73E72">
        <w:rPr>
          <w:rFonts w:cs="Calibri"/>
          <w:noProof/>
          <w:lang w:val="sq-AL"/>
        </w:rPr>
        <w:t>(</w:t>
      </w:r>
      <w:r w:rsidR="00C73E72" w:rsidRPr="00C73E72">
        <w:rPr>
          <w:rFonts w:cs="Calibri"/>
          <w:i/>
          <w:iCs/>
          <w:noProof/>
          <w:sz w:val="20"/>
          <w:szCs w:val="22"/>
          <w:lang w:val="sq-AL"/>
        </w:rPr>
        <w:t>m</w:t>
      </w:r>
      <w:r w:rsidRPr="00C73E72">
        <w:rPr>
          <w:rFonts w:cs="Calibri"/>
          <w:i/>
          <w:iCs/>
          <w:noProof/>
          <w:sz w:val="20"/>
          <w:szCs w:val="22"/>
          <w:lang w:val="sq-AL"/>
        </w:rPr>
        <w:t>uaji shtator ofron një pasqyrë më të qartë dhe më të qëndrueshme të numrit të punonjësve, duke qenë se përkon me mbylljen e periudhës sezonit turistik</w:t>
      </w:r>
      <w:r w:rsidRPr="00C73E72">
        <w:rPr>
          <w:rFonts w:cs="Calibri"/>
          <w:noProof/>
          <w:lang w:val="sq-AL"/>
        </w:rPr>
        <w:t>) dhe deklarimi në rritje i pagës reale për gjithë sektorët, me fokus të veçantë sektori i turizmit dhe ndërtimit, në saj të masave antiinformalitet të ndërmarrë nga administrata tatimore gjatë 2025.</w:t>
      </w:r>
    </w:p>
    <w:p w14:paraId="00007CA8" w14:textId="21FE310A" w:rsidR="00D31F37" w:rsidRDefault="00D31F37" w:rsidP="00D31F37">
      <w:pPr>
        <w:spacing w:line="240" w:lineRule="auto"/>
        <w:rPr>
          <w:rFonts w:asciiTheme="majorHAnsi" w:hAnsiTheme="majorHAnsi" w:cstheme="majorHAnsi"/>
          <w:lang w:val="sq-AL"/>
        </w:rPr>
      </w:pPr>
      <w:r w:rsidRPr="00C73E72">
        <w:rPr>
          <w:rFonts w:asciiTheme="majorHAnsi" w:hAnsiTheme="majorHAnsi" w:cstheme="majorHAnsi"/>
          <w:b/>
          <w:bCs/>
          <w:i/>
          <w:iCs/>
          <w:lang w:val="sq-AL"/>
        </w:rPr>
        <w:t>Taksat nacionale</w:t>
      </w:r>
      <w:r w:rsidRPr="008C7B3F">
        <w:rPr>
          <w:rFonts w:asciiTheme="majorHAnsi" w:hAnsiTheme="majorHAnsi" w:cstheme="majorHAnsi"/>
          <w:lang w:val="sq-AL"/>
        </w:rPr>
        <w:t xml:space="preserve"> për vitin 2025 u realizuan në masën 46.9 </w:t>
      </w:r>
      <w:r w:rsidR="0056260B">
        <w:rPr>
          <w:rFonts w:asciiTheme="majorHAnsi" w:hAnsiTheme="majorHAnsi" w:cstheme="majorHAnsi"/>
          <w:lang w:val="sq-AL"/>
        </w:rPr>
        <w:t>miliardë</w:t>
      </w:r>
      <w:r w:rsidRPr="008C7B3F">
        <w:rPr>
          <w:rFonts w:asciiTheme="majorHAnsi" w:hAnsiTheme="majorHAnsi" w:cstheme="majorHAnsi"/>
          <w:lang w:val="sq-AL"/>
        </w:rPr>
        <w:t xml:space="preserve"> </w:t>
      </w:r>
      <w:r w:rsidR="0056260B">
        <w:rPr>
          <w:rFonts w:asciiTheme="majorHAnsi" w:hAnsiTheme="majorHAnsi" w:cstheme="majorHAnsi"/>
          <w:lang w:val="sq-AL"/>
        </w:rPr>
        <w:t>LEK</w:t>
      </w:r>
      <w:r w:rsidRPr="008C7B3F">
        <w:rPr>
          <w:rFonts w:asciiTheme="majorHAnsi" w:hAnsiTheme="majorHAnsi" w:cstheme="majorHAnsi"/>
          <w:lang w:val="sq-AL"/>
        </w:rPr>
        <w:t xml:space="preserve">, </w:t>
      </w:r>
      <w:r w:rsidR="00C73E72">
        <w:rPr>
          <w:rFonts w:asciiTheme="majorHAnsi" w:hAnsiTheme="majorHAnsi" w:cstheme="majorHAnsi"/>
          <w:lang w:val="sq-AL"/>
        </w:rPr>
        <w:t>me +</w:t>
      </w:r>
      <w:r w:rsidRPr="008C7B3F">
        <w:rPr>
          <w:rFonts w:asciiTheme="majorHAnsi" w:hAnsiTheme="majorHAnsi" w:cstheme="majorHAnsi"/>
          <w:lang w:val="sq-AL"/>
        </w:rPr>
        <w:t xml:space="preserve">2.3 </w:t>
      </w:r>
      <w:r w:rsidR="0056260B">
        <w:rPr>
          <w:rFonts w:asciiTheme="majorHAnsi" w:hAnsiTheme="majorHAnsi" w:cstheme="majorHAnsi"/>
          <w:lang w:val="sq-AL"/>
        </w:rPr>
        <w:t>miliardë</w:t>
      </w:r>
      <w:r w:rsidRPr="008C7B3F">
        <w:rPr>
          <w:rFonts w:asciiTheme="majorHAnsi" w:hAnsiTheme="majorHAnsi" w:cstheme="majorHAnsi"/>
          <w:lang w:val="sq-AL"/>
        </w:rPr>
        <w:t xml:space="preserve"> </w:t>
      </w:r>
      <w:r w:rsidR="0056260B">
        <w:rPr>
          <w:rFonts w:asciiTheme="majorHAnsi" w:hAnsiTheme="majorHAnsi" w:cstheme="majorHAnsi"/>
          <w:lang w:val="sq-AL"/>
        </w:rPr>
        <w:t>LEK</w:t>
      </w:r>
      <w:r w:rsidRPr="008C7B3F">
        <w:rPr>
          <w:rFonts w:asciiTheme="majorHAnsi" w:hAnsiTheme="majorHAnsi" w:cstheme="majorHAnsi"/>
          <w:lang w:val="sq-AL"/>
        </w:rPr>
        <w:t xml:space="preserve"> ose 5.1% më shumë se viti 2024, si dhe </w:t>
      </w:r>
      <w:r w:rsidR="00C73E72">
        <w:rPr>
          <w:rFonts w:asciiTheme="majorHAnsi" w:hAnsiTheme="majorHAnsi" w:cstheme="majorHAnsi"/>
          <w:lang w:val="sq-AL"/>
        </w:rPr>
        <w:t>+</w:t>
      </w:r>
      <w:r w:rsidRPr="008C7B3F">
        <w:rPr>
          <w:rFonts w:asciiTheme="majorHAnsi" w:hAnsiTheme="majorHAnsi" w:cstheme="majorHAnsi"/>
          <w:lang w:val="sq-AL"/>
        </w:rPr>
        <w:t xml:space="preserve">1.8 </w:t>
      </w:r>
      <w:r w:rsidR="0056260B">
        <w:rPr>
          <w:rFonts w:asciiTheme="majorHAnsi" w:hAnsiTheme="majorHAnsi" w:cstheme="majorHAnsi"/>
          <w:lang w:val="sq-AL"/>
        </w:rPr>
        <w:t>miliardë</w:t>
      </w:r>
      <w:r w:rsidRPr="008C7B3F">
        <w:rPr>
          <w:rFonts w:asciiTheme="majorHAnsi" w:hAnsiTheme="majorHAnsi" w:cstheme="majorHAnsi"/>
          <w:lang w:val="sq-AL"/>
        </w:rPr>
        <w:t xml:space="preserve"> </w:t>
      </w:r>
      <w:r w:rsidR="0056260B">
        <w:rPr>
          <w:rFonts w:asciiTheme="majorHAnsi" w:hAnsiTheme="majorHAnsi" w:cstheme="majorHAnsi"/>
          <w:lang w:val="sq-AL"/>
        </w:rPr>
        <w:t>LEK</w:t>
      </w:r>
      <w:r w:rsidRPr="008C7B3F">
        <w:rPr>
          <w:rFonts w:asciiTheme="majorHAnsi" w:hAnsiTheme="majorHAnsi" w:cstheme="majorHAnsi"/>
          <w:lang w:val="sq-AL"/>
        </w:rPr>
        <w:t xml:space="preserve"> ose 4% më shumë se plani për vitin 2025.</w:t>
      </w:r>
    </w:p>
    <w:p w14:paraId="42646EDF" w14:textId="77777777" w:rsidR="006D0F8B" w:rsidRPr="006D0F8B" w:rsidRDefault="006D0F8B" w:rsidP="00D31F37">
      <w:pPr>
        <w:spacing w:before="0" w:line="240" w:lineRule="auto"/>
        <w:rPr>
          <w:rFonts w:asciiTheme="majorHAnsi" w:hAnsiTheme="majorHAnsi" w:cstheme="majorHAnsi"/>
          <w:b/>
          <w:bCs/>
          <w:i/>
          <w:iCs/>
          <w:sz w:val="12"/>
          <w:szCs w:val="12"/>
          <w:lang w:val="it-CH"/>
        </w:rPr>
      </w:pPr>
    </w:p>
    <w:p w14:paraId="6C2908CF" w14:textId="50E6D41E" w:rsidR="00D31F37" w:rsidRPr="008C7B3F" w:rsidRDefault="00C73E72" w:rsidP="00D31F37">
      <w:pPr>
        <w:spacing w:before="0" w:line="240" w:lineRule="auto"/>
        <w:rPr>
          <w:rFonts w:asciiTheme="majorHAnsi" w:hAnsiTheme="majorHAnsi" w:cstheme="majorHAnsi"/>
          <w:szCs w:val="22"/>
        </w:rPr>
      </w:pPr>
      <w:r w:rsidRPr="00C73E72">
        <w:rPr>
          <w:rFonts w:asciiTheme="majorHAnsi" w:hAnsiTheme="majorHAnsi" w:cstheme="majorHAnsi"/>
          <w:b/>
          <w:bCs/>
          <w:i/>
          <w:iCs/>
          <w:szCs w:val="22"/>
          <w:lang w:val="it-CH"/>
        </w:rPr>
        <w:t xml:space="preserve">Të ardhurat e mbledhura nga kontributet e Sigurimeve Shoqërore dhe Shëndetësore </w:t>
      </w:r>
      <w:r>
        <w:rPr>
          <w:rFonts w:asciiTheme="majorHAnsi" w:hAnsiTheme="majorHAnsi" w:cstheme="majorHAnsi"/>
          <w:szCs w:val="22"/>
          <w:lang w:val="it-CH"/>
        </w:rPr>
        <w:t>p</w:t>
      </w:r>
      <w:r w:rsidR="00D31F37" w:rsidRPr="008C7B3F">
        <w:rPr>
          <w:rFonts w:asciiTheme="majorHAnsi" w:hAnsiTheme="majorHAnsi" w:cstheme="majorHAnsi"/>
          <w:szCs w:val="22"/>
          <w:lang w:val="it-CH"/>
        </w:rPr>
        <w:t xml:space="preserve">ër vitin 2025 </w:t>
      </w:r>
      <w:r w:rsidR="00D31F37" w:rsidRPr="003C5EDE">
        <w:rPr>
          <w:rFonts w:asciiTheme="majorHAnsi" w:hAnsiTheme="majorHAnsi" w:cstheme="majorHAnsi"/>
          <w:bCs/>
          <w:szCs w:val="22"/>
          <w:lang w:val="it-CH"/>
        </w:rPr>
        <w:t>u realizuan</w:t>
      </w:r>
      <w:r w:rsidR="00D31F37" w:rsidRPr="008C7B3F">
        <w:rPr>
          <w:rFonts w:asciiTheme="majorHAnsi" w:hAnsiTheme="majorHAnsi" w:cstheme="majorHAnsi"/>
          <w:szCs w:val="22"/>
          <w:lang w:val="it-CH"/>
        </w:rPr>
        <w:t xml:space="preserve"> në masën </w:t>
      </w:r>
      <w:r w:rsidR="00D31F37" w:rsidRPr="008C7B3F">
        <w:rPr>
          <w:rFonts w:asciiTheme="majorHAnsi" w:hAnsiTheme="majorHAnsi" w:cstheme="majorHAnsi"/>
          <w:color w:val="000000"/>
          <w:szCs w:val="22"/>
          <w:lang w:val="it-CH"/>
        </w:rPr>
        <w:t xml:space="preserve">172 </w:t>
      </w:r>
      <w:r w:rsidR="0056260B">
        <w:rPr>
          <w:rFonts w:asciiTheme="majorHAnsi" w:hAnsiTheme="majorHAnsi" w:cstheme="majorHAnsi"/>
          <w:szCs w:val="22"/>
          <w:lang w:val="it-CH"/>
        </w:rPr>
        <w:t>miliardë</w:t>
      </w:r>
      <w:r w:rsidR="00D31F37" w:rsidRPr="008C7B3F">
        <w:rPr>
          <w:rFonts w:asciiTheme="majorHAnsi" w:hAnsiTheme="majorHAnsi" w:cstheme="majorHAnsi"/>
          <w:szCs w:val="22"/>
          <w:lang w:val="it-CH"/>
        </w:rPr>
        <w:t xml:space="preserve"> </w:t>
      </w:r>
      <w:r w:rsidR="0056260B">
        <w:rPr>
          <w:rFonts w:asciiTheme="majorHAnsi" w:hAnsiTheme="majorHAnsi" w:cstheme="majorHAnsi"/>
          <w:szCs w:val="22"/>
          <w:lang w:val="it-CH"/>
        </w:rPr>
        <w:t>LEK</w:t>
      </w:r>
      <w:r w:rsidRPr="00C73E72">
        <w:rPr>
          <w:rFonts w:asciiTheme="majorHAnsi" w:hAnsiTheme="majorHAnsi" w:cstheme="majorHAnsi"/>
          <w:szCs w:val="22"/>
        </w:rPr>
        <w:t xml:space="preserve"> </w:t>
      </w:r>
      <w:proofErr w:type="spellStart"/>
      <w:r>
        <w:rPr>
          <w:rFonts w:asciiTheme="majorHAnsi" w:hAnsiTheme="majorHAnsi" w:cstheme="majorHAnsi"/>
          <w:szCs w:val="22"/>
        </w:rPr>
        <w:t>ose</w:t>
      </w:r>
      <w:proofErr w:type="spellEnd"/>
      <w:r>
        <w:rPr>
          <w:rFonts w:asciiTheme="majorHAnsi" w:hAnsiTheme="majorHAnsi" w:cstheme="majorHAnsi"/>
          <w:szCs w:val="22"/>
        </w:rPr>
        <w:t xml:space="preserve"> </w:t>
      </w:r>
      <w:proofErr w:type="spellStart"/>
      <w:r w:rsidRPr="008C7B3F">
        <w:rPr>
          <w:rFonts w:asciiTheme="majorHAnsi" w:hAnsiTheme="majorHAnsi" w:cstheme="majorHAnsi"/>
          <w:szCs w:val="22"/>
        </w:rPr>
        <w:t>në</w:t>
      </w:r>
      <w:proofErr w:type="spellEnd"/>
      <w:r w:rsidRPr="008C7B3F">
        <w:rPr>
          <w:rFonts w:asciiTheme="majorHAnsi" w:hAnsiTheme="majorHAnsi" w:cstheme="majorHAnsi"/>
          <w:szCs w:val="22"/>
        </w:rPr>
        <w:t xml:space="preserve"> </w:t>
      </w:r>
      <w:proofErr w:type="spellStart"/>
      <w:r w:rsidRPr="008C7B3F">
        <w:rPr>
          <w:rFonts w:asciiTheme="majorHAnsi" w:hAnsiTheme="majorHAnsi" w:cstheme="majorHAnsi"/>
          <w:szCs w:val="22"/>
        </w:rPr>
        <w:t>masën</w:t>
      </w:r>
      <w:proofErr w:type="spellEnd"/>
      <w:r w:rsidRPr="008C7B3F">
        <w:rPr>
          <w:rFonts w:asciiTheme="majorHAnsi" w:hAnsiTheme="majorHAnsi" w:cstheme="majorHAnsi"/>
          <w:szCs w:val="22"/>
        </w:rPr>
        <w:t xml:space="preserve"> 100.4%</w:t>
      </w:r>
      <w:r>
        <w:rPr>
          <w:rFonts w:asciiTheme="majorHAnsi" w:hAnsiTheme="majorHAnsi" w:cstheme="majorHAnsi"/>
          <w:szCs w:val="22"/>
        </w:rPr>
        <w:t xml:space="preserve"> </w:t>
      </w:r>
      <w:proofErr w:type="spellStart"/>
      <w:r>
        <w:rPr>
          <w:rFonts w:asciiTheme="majorHAnsi" w:hAnsiTheme="majorHAnsi" w:cstheme="majorHAnsi"/>
          <w:szCs w:val="22"/>
        </w:rPr>
        <w:t>të</w:t>
      </w:r>
      <w:proofErr w:type="spellEnd"/>
      <w:r>
        <w:rPr>
          <w:rFonts w:asciiTheme="majorHAnsi" w:hAnsiTheme="majorHAnsi" w:cstheme="majorHAnsi"/>
          <w:szCs w:val="22"/>
        </w:rPr>
        <w:t xml:space="preserve"> </w:t>
      </w:r>
      <w:proofErr w:type="spellStart"/>
      <w:r>
        <w:rPr>
          <w:rFonts w:asciiTheme="majorHAnsi" w:hAnsiTheme="majorHAnsi" w:cstheme="majorHAnsi"/>
          <w:szCs w:val="22"/>
        </w:rPr>
        <w:t>planit</w:t>
      </w:r>
      <w:proofErr w:type="spellEnd"/>
      <w:r w:rsidR="00D31F37" w:rsidRPr="008C7B3F">
        <w:rPr>
          <w:rFonts w:asciiTheme="majorHAnsi" w:hAnsiTheme="majorHAnsi" w:cstheme="majorHAnsi"/>
          <w:szCs w:val="22"/>
          <w:lang w:val="it-CH"/>
        </w:rPr>
        <w:t xml:space="preserve">. </w:t>
      </w:r>
      <w:proofErr w:type="spellStart"/>
      <w:r w:rsidR="00D31F37" w:rsidRPr="008C7B3F">
        <w:rPr>
          <w:rFonts w:asciiTheme="majorHAnsi" w:hAnsiTheme="majorHAnsi" w:cstheme="majorHAnsi"/>
          <w:szCs w:val="22"/>
        </w:rPr>
        <w:t>Krahasuar</w:t>
      </w:r>
      <w:proofErr w:type="spellEnd"/>
      <w:r w:rsidR="00D31F37" w:rsidRPr="008C7B3F">
        <w:rPr>
          <w:rFonts w:asciiTheme="majorHAnsi" w:hAnsiTheme="majorHAnsi" w:cstheme="majorHAnsi"/>
          <w:szCs w:val="22"/>
        </w:rPr>
        <w:t xml:space="preserve"> me </w:t>
      </w:r>
      <w:proofErr w:type="spellStart"/>
      <w:r w:rsidR="00D31F37" w:rsidRPr="008C7B3F">
        <w:rPr>
          <w:rFonts w:asciiTheme="majorHAnsi" w:hAnsiTheme="majorHAnsi" w:cstheme="majorHAnsi"/>
          <w:szCs w:val="22"/>
        </w:rPr>
        <w:t>vitin</w:t>
      </w:r>
      <w:proofErr w:type="spellEnd"/>
      <w:r w:rsidR="00D31F37" w:rsidRPr="008C7B3F">
        <w:rPr>
          <w:rFonts w:asciiTheme="majorHAnsi" w:hAnsiTheme="majorHAnsi" w:cstheme="majorHAnsi"/>
          <w:szCs w:val="22"/>
        </w:rPr>
        <w:t xml:space="preserve"> 2024 </w:t>
      </w:r>
      <w:proofErr w:type="spellStart"/>
      <w:r w:rsidR="00D31F37" w:rsidRPr="008C7B3F">
        <w:rPr>
          <w:rFonts w:asciiTheme="majorHAnsi" w:hAnsiTheme="majorHAnsi" w:cstheme="majorHAnsi"/>
          <w:szCs w:val="22"/>
        </w:rPr>
        <w:t>janë</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mbledhur</w:t>
      </w:r>
      <w:proofErr w:type="spellEnd"/>
      <w:r w:rsidR="00D31F37" w:rsidRPr="008C7B3F">
        <w:rPr>
          <w:rFonts w:asciiTheme="majorHAnsi" w:hAnsiTheme="majorHAnsi" w:cstheme="majorHAnsi"/>
          <w:szCs w:val="22"/>
        </w:rPr>
        <w:t xml:space="preserve"> 16.4 </w:t>
      </w:r>
      <w:proofErr w:type="spellStart"/>
      <w:r w:rsidR="0056260B">
        <w:rPr>
          <w:rFonts w:asciiTheme="majorHAnsi" w:hAnsiTheme="majorHAnsi" w:cstheme="majorHAnsi"/>
          <w:szCs w:val="22"/>
        </w:rPr>
        <w:t>miliardë</w:t>
      </w:r>
      <w:proofErr w:type="spellEnd"/>
      <w:r w:rsidR="00D31F37" w:rsidRPr="008C7B3F">
        <w:rPr>
          <w:rFonts w:asciiTheme="majorHAnsi" w:hAnsiTheme="majorHAnsi" w:cstheme="majorHAnsi"/>
          <w:szCs w:val="22"/>
        </w:rPr>
        <w:t xml:space="preserve"> </w:t>
      </w:r>
      <w:r w:rsidR="0056260B">
        <w:rPr>
          <w:rFonts w:asciiTheme="majorHAnsi" w:hAnsiTheme="majorHAnsi" w:cstheme="majorHAnsi"/>
          <w:szCs w:val="22"/>
        </w:rPr>
        <w:t>LEK</w:t>
      </w:r>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ose</w:t>
      </w:r>
      <w:proofErr w:type="spellEnd"/>
      <w:r w:rsidR="00D31F37" w:rsidRPr="008C7B3F">
        <w:rPr>
          <w:rFonts w:asciiTheme="majorHAnsi" w:hAnsiTheme="majorHAnsi" w:cstheme="majorHAnsi"/>
          <w:szCs w:val="22"/>
        </w:rPr>
        <w:t xml:space="preserve"> 10.6% </w:t>
      </w:r>
      <w:proofErr w:type="spellStart"/>
      <w:r w:rsidR="00D31F37" w:rsidRPr="008C7B3F">
        <w:rPr>
          <w:rFonts w:asciiTheme="majorHAnsi" w:hAnsiTheme="majorHAnsi" w:cstheme="majorHAnsi"/>
          <w:szCs w:val="22"/>
        </w:rPr>
        <w:t>më</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shumë</w:t>
      </w:r>
      <w:proofErr w:type="spellEnd"/>
      <w:r w:rsidR="00D31F37" w:rsidRPr="008C7B3F">
        <w:rPr>
          <w:rFonts w:asciiTheme="majorHAnsi" w:hAnsiTheme="majorHAnsi" w:cstheme="majorHAnsi"/>
          <w:szCs w:val="22"/>
        </w:rPr>
        <w:t>.</w:t>
      </w:r>
      <w:r>
        <w:rPr>
          <w:rFonts w:asciiTheme="majorHAnsi" w:hAnsiTheme="majorHAnsi" w:cstheme="majorHAnsi"/>
          <w:szCs w:val="22"/>
        </w:rPr>
        <w:t xml:space="preserve"> </w:t>
      </w:r>
      <w:proofErr w:type="spellStart"/>
      <w:r w:rsidR="00D31F37" w:rsidRPr="008C7B3F">
        <w:rPr>
          <w:rFonts w:asciiTheme="majorHAnsi" w:hAnsiTheme="majorHAnsi" w:cstheme="majorHAnsi"/>
          <w:szCs w:val="22"/>
        </w:rPr>
        <w:t>Administrata</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tatimore</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mbledh</w:t>
      </w:r>
      <w:proofErr w:type="spellEnd"/>
      <w:r w:rsidR="00D31F37" w:rsidRPr="008C7B3F">
        <w:rPr>
          <w:rFonts w:asciiTheme="majorHAnsi" w:hAnsiTheme="majorHAnsi" w:cstheme="majorHAnsi"/>
          <w:szCs w:val="22"/>
        </w:rPr>
        <w:t xml:space="preserve"> 96% </w:t>
      </w:r>
      <w:proofErr w:type="spellStart"/>
      <w:r w:rsidR="00D31F37" w:rsidRPr="008C7B3F">
        <w:rPr>
          <w:rFonts w:asciiTheme="majorHAnsi" w:hAnsiTheme="majorHAnsi" w:cstheme="majorHAnsi"/>
          <w:szCs w:val="22"/>
        </w:rPr>
        <w:t>të</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totalit</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të</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të</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ardhurave</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nga</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kontributet</w:t>
      </w:r>
      <w:proofErr w:type="spellEnd"/>
      <w:r w:rsidR="00D31F37" w:rsidRPr="008C7B3F">
        <w:rPr>
          <w:rFonts w:asciiTheme="majorHAnsi" w:hAnsiTheme="majorHAnsi" w:cstheme="majorHAnsi"/>
          <w:szCs w:val="22"/>
        </w:rPr>
        <w:t xml:space="preserve">, </w:t>
      </w:r>
      <w:proofErr w:type="spellStart"/>
      <w:r w:rsidR="00D31F37" w:rsidRPr="008C7B3F">
        <w:rPr>
          <w:rFonts w:asciiTheme="majorHAnsi" w:hAnsiTheme="majorHAnsi" w:cstheme="majorHAnsi"/>
          <w:szCs w:val="22"/>
        </w:rPr>
        <w:t>rritja</w:t>
      </w:r>
      <w:proofErr w:type="spellEnd"/>
      <w:r w:rsidR="00D31F37" w:rsidRPr="008C7B3F">
        <w:rPr>
          <w:rFonts w:asciiTheme="majorHAnsi" w:hAnsiTheme="majorHAnsi" w:cstheme="majorHAnsi"/>
          <w:szCs w:val="22"/>
        </w:rPr>
        <w:t xml:space="preserve"> e </w:t>
      </w:r>
      <w:proofErr w:type="spellStart"/>
      <w:r w:rsidR="00D31F37" w:rsidRPr="008C7B3F">
        <w:rPr>
          <w:rFonts w:asciiTheme="majorHAnsi" w:hAnsiTheme="majorHAnsi" w:cstheme="majorHAnsi"/>
          <w:color w:val="000000"/>
          <w:szCs w:val="22"/>
        </w:rPr>
        <w:t>të</w:t>
      </w:r>
      <w:proofErr w:type="spellEnd"/>
      <w:r w:rsidR="00D31F37" w:rsidRPr="008C7B3F">
        <w:rPr>
          <w:rFonts w:asciiTheme="majorHAnsi" w:hAnsiTheme="majorHAnsi" w:cstheme="majorHAnsi"/>
          <w:color w:val="000000"/>
          <w:szCs w:val="22"/>
        </w:rPr>
        <w:t xml:space="preserve"> </w:t>
      </w:r>
      <w:proofErr w:type="spellStart"/>
      <w:r w:rsidR="00D31F37" w:rsidRPr="008C7B3F">
        <w:rPr>
          <w:rFonts w:asciiTheme="majorHAnsi" w:hAnsiTheme="majorHAnsi" w:cstheme="majorHAnsi"/>
          <w:color w:val="000000"/>
          <w:szCs w:val="22"/>
        </w:rPr>
        <w:t>cilave</w:t>
      </w:r>
      <w:proofErr w:type="spellEnd"/>
      <w:r w:rsidR="00D31F37" w:rsidRPr="008C7B3F">
        <w:rPr>
          <w:rFonts w:asciiTheme="majorHAnsi" w:hAnsiTheme="majorHAnsi" w:cstheme="majorHAnsi"/>
          <w:color w:val="000000"/>
          <w:szCs w:val="22"/>
        </w:rPr>
        <w:t xml:space="preserve"> u </w:t>
      </w:r>
      <w:proofErr w:type="spellStart"/>
      <w:r w:rsidR="00D31F37" w:rsidRPr="008C7B3F">
        <w:rPr>
          <w:rFonts w:asciiTheme="majorHAnsi" w:hAnsiTheme="majorHAnsi" w:cstheme="majorHAnsi"/>
          <w:color w:val="000000"/>
          <w:szCs w:val="22"/>
        </w:rPr>
        <w:t>mbështet</w:t>
      </w:r>
      <w:proofErr w:type="spellEnd"/>
      <w:r w:rsidR="00D31F37" w:rsidRPr="008C7B3F">
        <w:rPr>
          <w:rFonts w:asciiTheme="majorHAnsi" w:hAnsiTheme="majorHAnsi" w:cstheme="majorHAnsi"/>
          <w:color w:val="000000"/>
          <w:szCs w:val="22"/>
        </w:rPr>
        <w:t xml:space="preserve"> </w:t>
      </w:r>
      <w:proofErr w:type="spellStart"/>
      <w:r w:rsidR="00D31F37" w:rsidRPr="008C7B3F">
        <w:rPr>
          <w:rFonts w:asciiTheme="majorHAnsi" w:hAnsiTheme="majorHAnsi" w:cstheme="majorHAnsi"/>
          <w:color w:val="000000"/>
          <w:szCs w:val="22"/>
        </w:rPr>
        <w:t>në</w:t>
      </w:r>
      <w:proofErr w:type="spellEnd"/>
      <w:r w:rsidR="00D31F37" w:rsidRPr="008C7B3F">
        <w:rPr>
          <w:rFonts w:asciiTheme="majorHAnsi" w:hAnsiTheme="majorHAnsi" w:cstheme="majorHAnsi"/>
          <w:color w:val="000000"/>
          <w:szCs w:val="22"/>
        </w:rPr>
        <w:t>:</w:t>
      </w:r>
    </w:p>
    <w:p w14:paraId="7D43D8B8" w14:textId="726901BB"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Rritjen e pagave të administratës publike</w:t>
      </w:r>
      <w:r w:rsidR="00C73E72">
        <w:rPr>
          <w:rFonts w:cs="Calibri"/>
          <w:i/>
          <w:iCs/>
          <w:noProof/>
          <w:lang w:val="sq-AL"/>
        </w:rPr>
        <w:t>,</w:t>
      </w:r>
      <w:r w:rsidRPr="00FF7045">
        <w:rPr>
          <w:rFonts w:cs="Calibri"/>
          <w:i/>
          <w:iCs/>
          <w:noProof/>
          <w:lang w:val="sq-AL"/>
        </w:rPr>
        <w:t xml:space="preserve"> e shoqëruar kjo dhe me rritjen e fondit të pagave edhe për sektorin privat.</w:t>
      </w:r>
    </w:p>
    <w:p w14:paraId="2EDDFDDC" w14:textId="41745EDE"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Masat e marra në Stategjinë Afatmesme të të Ardhurave dhe Planit të veprimit për vitin 2025</w:t>
      </w:r>
      <w:r w:rsidR="00C73E72">
        <w:rPr>
          <w:rFonts w:cs="Calibri"/>
          <w:i/>
          <w:iCs/>
          <w:noProof/>
          <w:lang w:val="sq-AL"/>
        </w:rPr>
        <w:t>,</w:t>
      </w:r>
      <w:r w:rsidRPr="00FF7045">
        <w:rPr>
          <w:rFonts w:cs="Calibri"/>
          <w:i/>
          <w:iCs/>
          <w:noProof/>
          <w:lang w:val="sq-AL"/>
        </w:rPr>
        <w:t xml:space="preserve"> në kuadër të mirëadministrimit tatimor.</w:t>
      </w:r>
    </w:p>
    <w:p w14:paraId="1560B3DF" w14:textId="2F19E3AC" w:rsidR="00D31F37" w:rsidRPr="00C73E72"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Sipas listëpagesave të periudhës, deklaruar në Administratën Tatimore të vitit 2025, rezultojnë rreth 750,747 tatimpagues në listëpagesë</w:t>
      </w:r>
      <w:r w:rsidR="00C73E72">
        <w:rPr>
          <w:rFonts w:cs="Calibri"/>
          <w:i/>
          <w:iCs/>
          <w:noProof/>
          <w:lang w:val="sq-AL"/>
        </w:rPr>
        <w:t>,</w:t>
      </w:r>
      <w:r w:rsidRPr="00FF7045">
        <w:rPr>
          <w:rFonts w:cs="Calibri"/>
          <w:i/>
          <w:iCs/>
          <w:noProof/>
          <w:lang w:val="sq-AL"/>
        </w:rPr>
        <w:t xml:space="preserve"> + 27,420 kontribues ose 3.6% më shumë se 9-mujori 2024</w:t>
      </w:r>
      <w:r w:rsidR="00C73E72">
        <w:rPr>
          <w:rFonts w:cs="Calibri"/>
          <w:i/>
          <w:iCs/>
          <w:noProof/>
          <w:lang w:val="sq-AL"/>
        </w:rPr>
        <w:t xml:space="preserve"> </w:t>
      </w:r>
      <w:r w:rsidRPr="00FF7045">
        <w:rPr>
          <w:rFonts w:cs="Calibri"/>
          <w:i/>
          <w:iCs/>
          <w:noProof/>
          <w:lang w:val="sq-AL"/>
        </w:rPr>
        <w:t>(</w:t>
      </w:r>
      <w:r w:rsidR="00C73E72" w:rsidRPr="00C73E72">
        <w:rPr>
          <w:rFonts w:cs="Calibri"/>
          <w:i/>
          <w:iCs/>
          <w:noProof/>
          <w:sz w:val="20"/>
          <w:szCs w:val="22"/>
          <w:lang w:val="sq-AL"/>
        </w:rPr>
        <w:t>m</w:t>
      </w:r>
      <w:r w:rsidRPr="00C73E72">
        <w:rPr>
          <w:rFonts w:cs="Calibri"/>
          <w:i/>
          <w:iCs/>
          <w:noProof/>
          <w:sz w:val="20"/>
          <w:szCs w:val="22"/>
          <w:lang w:val="sq-AL"/>
        </w:rPr>
        <w:t>uaji shtator ofron një pasqyrë më të qartë dhe më të qëndrueshme të numrit të punonjësve, duke qenë se përkon me mbylljen e periudhës sezonit turistik</w:t>
      </w:r>
      <w:r w:rsidRPr="00C73E72">
        <w:rPr>
          <w:rFonts w:cs="Calibri"/>
          <w:i/>
          <w:iCs/>
          <w:noProof/>
          <w:lang w:val="sq-AL"/>
        </w:rPr>
        <w:t>).</w:t>
      </w:r>
    </w:p>
    <w:p w14:paraId="39E12869" w14:textId="77777777" w:rsidR="00D31F37" w:rsidRPr="00FF7045" w:rsidRDefault="00D31F37">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 xml:space="preserve">Për vitin 2025 janë rreth 20,919 biznese të reja të hapura ose 3,009 biznese më shumë se viti 2024. </w:t>
      </w:r>
    </w:p>
    <w:p w14:paraId="725E742E" w14:textId="7C6142DE" w:rsidR="00DA3A08" w:rsidRPr="006D0F8B" w:rsidRDefault="00D31F37" w:rsidP="006D0F8B">
      <w:pPr>
        <w:pStyle w:val="ListParagraph"/>
        <w:numPr>
          <w:ilvl w:val="0"/>
          <w:numId w:val="40"/>
        </w:numPr>
        <w:autoSpaceDE w:val="0"/>
        <w:autoSpaceDN w:val="0"/>
        <w:adjustRightInd w:val="0"/>
        <w:spacing w:before="0"/>
        <w:rPr>
          <w:rFonts w:cs="Calibri"/>
          <w:i/>
          <w:iCs/>
          <w:noProof/>
          <w:lang w:val="sq-AL"/>
        </w:rPr>
      </w:pPr>
      <w:r w:rsidRPr="00FF7045">
        <w:rPr>
          <w:rFonts w:cs="Calibri"/>
          <w:i/>
          <w:iCs/>
          <w:noProof/>
          <w:lang w:val="sq-AL"/>
        </w:rPr>
        <w:t>Numri i biznese aktiv në fund të vitit 2025 është 142,769 biznese, +8,447 biznese aktiv më shumë se viti 2024 ose 6% më shumë.</w:t>
      </w:r>
    </w:p>
    <w:p w14:paraId="5013FF0A" w14:textId="77777777" w:rsidR="00A94670" w:rsidRPr="007B1A0A" w:rsidRDefault="008B6B58" w:rsidP="007B1A0A">
      <w:pPr>
        <w:pStyle w:val="Heading1"/>
        <w:spacing w:before="0"/>
        <w:rPr>
          <w:b/>
          <w:bCs/>
          <w:noProof/>
        </w:rPr>
      </w:pPr>
      <w:bookmarkStart w:id="88" w:name="_Toc10033277"/>
      <w:bookmarkStart w:id="89" w:name="_Toc10721414"/>
      <w:bookmarkStart w:id="90" w:name="_Toc229390813"/>
      <w:r w:rsidRPr="007B1A0A">
        <w:rPr>
          <w:b/>
          <w:bCs/>
          <w:noProof/>
        </w:rPr>
        <w:lastRenderedPageBreak/>
        <w:t>SHPENZIMET E PËRGJITHSHME</w:t>
      </w:r>
      <w:bookmarkEnd w:id="88"/>
      <w:bookmarkEnd w:id="89"/>
      <w:bookmarkEnd w:id="90"/>
    </w:p>
    <w:p w14:paraId="51BC1905" w14:textId="6186FC1C" w:rsidR="00186E78" w:rsidRDefault="00186E78" w:rsidP="00C73E72">
      <w:pPr>
        <w:pStyle w:val="Caption"/>
        <w:spacing w:line="240" w:lineRule="auto"/>
        <w:rPr>
          <w:rFonts w:eastAsiaTheme="minorHAnsi" w:cs="Calibri"/>
          <w:i w:val="0"/>
          <w:iCs w:val="0"/>
          <w:noProof/>
          <w:color w:val="auto"/>
          <w:sz w:val="22"/>
          <w:szCs w:val="24"/>
          <w:lang w:val="sq-AL"/>
        </w:rPr>
      </w:pPr>
      <w:bookmarkStart w:id="91" w:name="_Toc8810310"/>
      <w:r w:rsidRPr="00FE2CF6">
        <w:rPr>
          <w:rFonts w:eastAsiaTheme="minorHAnsi" w:cs="Calibri"/>
          <w:i w:val="0"/>
          <w:iCs w:val="0"/>
          <w:noProof/>
          <w:color w:val="auto"/>
          <w:sz w:val="22"/>
          <w:szCs w:val="24"/>
          <w:lang w:val="sq-AL"/>
        </w:rPr>
        <w:t xml:space="preserve">Shpenzimet e përgjithshme publike për vitin 2025, arritën në rreth 801.7 </w:t>
      </w:r>
      <w:r w:rsidR="0056260B">
        <w:rPr>
          <w:rFonts w:eastAsiaTheme="minorHAnsi" w:cs="Calibri"/>
          <w:i w:val="0"/>
          <w:iCs w:val="0"/>
          <w:noProof/>
          <w:color w:val="auto"/>
          <w:sz w:val="22"/>
          <w:szCs w:val="24"/>
          <w:lang w:val="sq-AL"/>
        </w:rPr>
        <w:t>miliardë</w:t>
      </w:r>
      <w:r w:rsidRPr="00FE2CF6">
        <w:rPr>
          <w:rFonts w:eastAsiaTheme="minorHAnsi" w:cs="Calibri"/>
          <w:i w:val="0"/>
          <w:iCs w:val="0"/>
          <w:noProof/>
          <w:color w:val="auto"/>
          <w:sz w:val="22"/>
          <w:szCs w:val="24"/>
          <w:lang w:val="sq-AL"/>
        </w:rPr>
        <w:t xml:space="preserve"> LEK me një realizim në masën 97.2% të planit vjetor sipas buxhetit fillestar dhe 96.4% të planit vjetor të ndryshuar me Aktin Normativ nr. 11/2025. Krahasuar me vitin 2024, shpenzimet e përgjithshme publike rezultojnë 10% më të larta ose rreth 73.1 </w:t>
      </w:r>
      <w:r w:rsidR="0056260B">
        <w:rPr>
          <w:rFonts w:eastAsiaTheme="minorHAnsi" w:cs="Calibri"/>
          <w:i w:val="0"/>
          <w:iCs w:val="0"/>
          <w:noProof/>
          <w:color w:val="auto"/>
          <w:sz w:val="22"/>
          <w:szCs w:val="24"/>
          <w:lang w:val="sq-AL"/>
        </w:rPr>
        <w:t>miliardë</w:t>
      </w:r>
      <w:r w:rsidRPr="00FE2CF6">
        <w:rPr>
          <w:rFonts w:eastAsiaTheme="minorHAnsi" w:cs="Calibri"/>
          <w:i w:val="0"/>
          <w:iCs w:val="0"/>
          <w:noProof/>
          <w:color w:val="auto"/>
          <w:sz w:val="22"/>
          <w:szCs w:val="24"/>
          <w:lang w:val="sq-AL"/>
        </w:rPr>
        <w:t xml:space="preserve"> LEK më shumë. </w:t>
      </w:r>
    </w:p>
    <w:p w14:paraId="3818BA0C" w14:textId="5633FA1D" w:rsidR="00186E78" w:rsidRPr="00B644BE" w:rsidRDefault="00186E78" w:rsidP="00186E78">
      <w:pPr>
        <w:pStyle w:val="Caption"/>
        <w:rPr>
          <w:rFonts w:cs="Calibri"/>
          <w:noProof/>
          <w:lang w:val="sq-AL"/>
        </w:rPr>
      </w:pPr>
      <w:bookmarkStart w:id="92" w:name="_Toc229130029"/>
      <w:r w:rsidRPr="00B644BE">
        <w:rPr>
          <w:noProof/>
          <w:lang w:val="sq-AL"/>
        </w:rPr>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12</w:t>
      </w:r>
      <w:r w:rsidRPr="00B644BE">
        <w:rPr>
          <w:noProof/>
          <w:lang w:val="sq-AL"/>
        </w:rPr>
        <w:fldChar w:fldCharType="end"/>
      </w:r>
      <w:r w:rsidRPr="00B644BE">
        <w:rPr>
          <w:noProof/>
          <w:lang w:val="sq-AL"/>
        </w:rPr>
        <w:t xml:space="preserve"> Shpenzimet e përgjithshme </w:t>
      </w:r>
      <w:r w:rsidR="0056260B">
        <w:rPr>
          <w:noProof/>
          <w:lang w:val="sq-AL"/>
        </w:rPr>
        <w:t>korente</w:t>
      </w:r>
      <w:r w:rsidRPr="00B644BE">
        <w:rPr>
          <w:noProof/>
          <w:lang w:val="sq-AL"/>
        </w:rPr>
        <w:t xml:space="preserve"> dhe kapitale (</w:t>
      </w:r>
      <w:r w:rsidR="0056260B">
        <w:rPr>
          <w:noProof/>
          <w:lang w:val="sq-AL"/>
        </w:rPr>
        <w:t>miliardë</w:t>
      </w:r>
      <w:r w:rsidRPr="00B644BE">
        <w:rPr>
          <w:noProof/>
          <w:lang w:val="sq-AL"/>
        </w:rPr>
        <w:t xml:space="preserve">  LEK) dhe ritmi i rritjes vjetore (në %)</w:t>
      </w:r>
      <w:bookmarkEnd w:id="92"/>
    </w:p>
    <w:p w14:paraId="27A6210C" w14:textId="77777777" w:rsidR="00186E78" w:rsidRPr="00B644BE" w:rsidRDefault="00186E78" w:rsidP="00186E78">
      <w:pPr>
        <w:spacing w:before="0" w:line="240" w:lineRule="auto"/>
        <w:jc w:val="center"/>
        <w:rPr>
          <w:rFonts w:eastAsia="SimSun" w:cs="Calibri"/>
          <w:i/>
          <w:noProof/>
          <w:lang w:val="sq-AL"/>
        </w:rPr>
      </w:pPr>
      <w:r>
        <w:rPr>
          <w:rFonts w:eastAsia="SimSun" w:cs="Calibri"/>
          <w:i/>
          <w:noProof/>
          <w:lang w:val="sq-AL"/>
        </w:rPr>
        <w:drawing>
          <wp:inline distT="0" distB="0" distL="0" distR="0" wp14:anchorId="1CBCC429" wp14:editId="73817B72">
            <wp:extent cx="5759801" cy="2106778"/>
            <wp:effectExtent l="0" t="0" r="0" b="8255"/>
            <wp:docPr id="382509070" name="Picture 3" descr="A graph showing the growt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09070" name="Picture 3" descr="A graph showing the growth of a company&#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560" cy="2112542"/>
                    </a:xfrm>
                    <a:prstGeom prst="rect">
                      <a:avLst/>
                    </a:prstGeom>
                    <a:noFill/>
                  </pic:spPr>
                </pic:pic>
              </a:graphicData>
            </a:graphic>
          </wp:inline>
        </w:drawing>
      </w:r>
    </w:p>
    <w:p w14:paraId="2B4E962A" w14:textId="77777777" w:rsidR="00186E78" w:rsidRDefault="00186E78" w:rsidP="00186E78">
      <w:pPr>
        <w:spacing w:before="0" w:line="360" w:lineRule="auto"/>
        <w:ind w:firstLine="720"/>
        <w:rPr>
          <w:rFonts w:eastAsia="SimSun" w:cs="Calibri"/>
          <w:bCs/>
          <w:i/>
          <w:noProof/>
          <w:sz w:val="18"/>
          <w:szCs w:val="18"/>
          <w:lang w:val="sq-AL"/>
        </w:rPr>
      </w:pPr>
      <w:r w:rsidRPr="003B53E4">
        <w:rPr>
          <w:rFonts w:eastAsia="SimSun" w:cs="Calibri"/>
          <w:bCs/>
          <w:i/>
          <w:noProof/>
          <w:sz w:val="18"/>
          <w:szCs w:val="18"/>
          <w:lang w:val="sq-AL"/>
        </w:rPr>
        <w:t>Burimi: Ministria e Financave (202</w:t>
      </w:r>
      <w:r>
        <w:rPr>
          <w:rFonts w:eastAsia="SimSun" w:cs="Calibri"/>
          <w:bCs/>
          <w:i/>
          <w:noProof/>
          <w:sz w:val="18"/>
          <w:szCs w:val="18"/>
          <w:lang w:val="sq-AL"/>
        </w:rPr>
        <w:t>6</w:t>
      </w:r>
      <w:r w:rsidRPr="003B53E4">
        <w:rPr>
          <w:rFonts w:eastAsia="SimSun" w:cs="Calibri"/>
          <w:bCs/>
          <w:i/>
          <w:noProof/>
          <w:sz w:val="18"/>
          <w:szCs w:val="18"/>
          <w:lang w:val="sq-AL"/>
        </w:rPr>
        <w:t xml:space="preserve">) </w:t>
      </w:r>
    </w:p>
    <w:p w14:paraId="00E383B5" w14:textId="77777777" w:rsidR="00186E78" w:rsidRPr="00C73E72" w:rsidRDefault="00186E78" w:rsidP="00186E78">
      <w:pPr>
        <w:spacing w:before="0" w:line="360" w:lineRule="auto"/>
        <w:rPr>
          <w:rFonts w:eastAsia="SimSun" w:cs="Calibri"/>
          <w:bCs/>
          <w:i/>
          <w:noProof/>
          <w:sz w:val="8"/>
          <w:szCs w:val="8"/>
          <w:lang w:val="sq-AL"/>
        </w:rPr>
      </w:pPr>
    </w:p>
    <w:p w14:paraId="33405DF1" w14:textId="77777777" w:rsidR="00186E78" w:rsidRPr="003B53E4" w:rsidRDefault="00186E78" w:rsidP="00186E78">
      <w:pPr>
        <w:spacing w:before="0"/>
        <w:ind w:firstLine="360"/>
        <w:rPr>
          <w:rFonts w:eastAsia="SimSun" w:cs="Calibri"/>
          <w:i/>
          <w:noProof/>
          <w:sz w:val="8"/>
          <w:szCs w:val="8"/>
          <w:lang w:val="sq-AL"/>
        </w:rPr>
      </w:pPr>
    </w:p>
    <w:p w14:paraId="4760C051" w14:textId="77777777" w:rsidR="00186E78" w:rsidRPr="007B1A0A" w:rsidRDefault="00186E78" w:rsidP="007B1A0A">
      <w:pPr>
        <w:pStyle w:val="Heading2"/>
        <w:spacing w:before="0"/>
        <w:rPr>
          <w:color w:val="0F6FC6" w:themeColor="accent1"/>
        </w:rPr>
      </w:pPr>
      <w:bookmarkStart w:id="93" w:name="_Toc10033278"/>
      <w:bookmarkStart w:id="94" w:name="_Toc10721415"/>
      <w:bookmarkStart w:id="95" w:name="_Toc229390814"/>
      <w:bookmarkStart w:id="96" w:name="_Toc515446555"/>
      <w:proofErr w:type="spellStart"/>
      <w:r w:rsidRPr="007B1A0A">
        <w:rPr>
          <w:color w:val="0F6FC6" w:themeColor="accent1"/>
        </w:rPr>
        <w:t>Shpenzimet</w:t>
      </w:r>
      <w:proofErr w:type="spellEnd"/>
      <w:r w:rsidRPr="007B1A0A">
        <w:rPr>
          <w:color w:val="0F6FC6" w:themeColor="accent1"/>
        </w:rPr>
        <w:t xml:space="preserve"> </w:t>
      </w:r>
      <w:proofErr w:type="spellStart"/>
      <w:r w:rsidRPr="007B1A0A">
        <w:rPr>
          <w:color w:val="0F6FC6" w:themeColor="accent1"/>
        </w:rPr>
        <w:t>sipas</w:t>
      </w:r>
      <w:proofErr w:type="spellEnd"/>
      <w:r w:rsidRPr="007B1A0A">
        <w:rPr>
          <w:color w:val="0F6FC6" w:themeColor="accent1"/>
        </w:rPr>
        <w:t xml:space="preserve"> </w:t>
      </w:r>
      <w:proofErr w:type="spellStart"/>
      <w:r w:rsidRPr="007B1A0A">
        <w:rPr>
          <w:color w:val="0F6FC6" w:themeColor="accent1"/>
        </w:rPr>
        <w:t>natyrës</w:t>
      </w:r>
      <w:proofErr w:type="spellEnd"/>
      <w:r w:rsidRPr="007B1A0A">
        <w:rPr>
          <w:color w:val="0F6FC6" w:themeColor="accent1"/>
        </w:rPr>
        <w:t xml:space="preserve"> </w:t>
      </w:r>
      <w:proofErr w:type="spellStart"/>
      <w:r w:rsidRPr="007B1A0A">
        <w:rPr>
          <w:color w:val="0F6FC6" w:themeColor="accent1"/>
        </w:rPr>
        <w:t>ekonomike</w:t>
      </w:r>
      <w:bookmarkEnd w:id="93"/>
      <w:bookmarkEnd w:id="94"/>
      <w:bookmarkEnd w:id="95"/>
      <w:proofErr w:type="spellEnd"/>
    </w:p>
    <w:p w14:paraId="2FB8BB81" w14:textId="395E4A94" w:rsidR="00186E78" w:rsidRPr="00FE2CF6" w:rsidRDefault="00186E78" w:rsidP="00186E78">
      <w:pPr>
        <w:tabs>
          <w:tab w:val="left" w:pos="426"/>
        </w:tabs>
        <w:spacing w:before="0" w:line="240" w:lineRule="auto"/>
        <w:rPr>
          <w:rFonts w:eastAsia="Calibri"/>
          <w:noProof/>
          <w:szCs w:val="22"/>
          <w:lang w:val="sq-AL"/>
        </w:rPr>
      </w:pPr>
      <w:bookmarkStart w:id="97" w:name="_Hlk178685560"/>
      <w:bookmarkEnd w:id="96"/>
      <w:r w:rsidRPr="00FE2CF6">
        <w:rPr>
          <w:rFonts w:eastAsia="SimSun" w:cs="Calibri"/>
          <w:noProof/>
          <w:lang w:val="sq-AL"/>
        </w:rPr>
        <w:t xml:space="preserve">Struktura e shpenzimeve gjatë vitit 2025 paraqet disa ndryshime në krahasim me planin fillestar, kryesisht si rrjedhojë e rishikimeve të ligjit të buxhetit, të cilat rezultuan në rritjen e shpenzimeve buxhetore prej përkatësisht, rreth 1 </w:t>
      </w:r>
      <w:r w:rsidR="0056260B">
        <w:rPr>
          <w:rFonts w:eastAsia="SimSun" w:cs="Calibri"/>
          <w:noProof/>
          <w:lang w:val="sq-AL"/>
        </w:rPr>
        <w:t>miliardë</w:t>
      </w:r>
      <w:r w:rsidRPr="00FE2CF6">
        <w:rPr>
          <w:rFonts w:eastAsia="SimSun" w:cs="Calibri"/>
          <w:noProof/>
          <w:lang w:val="sq-AL"/>
        </w:rPr>
        <w:t xml:space="preserve"> LEK (AN 3/2025) dhe rreth 5.7 </w:t>
      </w:r>
      <w:r w:rsidR="0056260B">
        <w:rPr>
          <w:rFonts w:eastAsia="SimSun" w:cs="Calibri"/>
          <w:noProof/>
          <w:lang w:val="sq-AL"/>
        </w:rPr>
        <w:t>miliardë</w:t>
      </w:r>
      <w:r w:rsidRPr="00FE2CF6">
        <w:rPr>
          <w:rFonts w:eastAsia="SimSun" w:cs="Calibri"/>
          <w:noProof/>
          <w:lang w:val="sq-AL"/>
        </w:rPr>
        <w:t xml:space="preserve"> LEK (AN 10/2025) si dhe në r</w:t>
      </w:r>
      <w:r w:rsidRPr="00FE2CF6">
        <w:rPr>
          <w:rFonts w:asciiTheme="majorHAnsi" w:hAnsiTheme="majorHAnsi"/>
          <w:noProof/>
          <w:lang w:val="sq-AL"/>
        </w:rPr>
        <w:t>ishpërndarjen</w:t>
      </w:r>
      <w:r w:rsidRPr="00FE2CF6">
        <w:rPr>
          <w:rFonts w:eastAsia="Calibri"/>
          <w:noProof/>
          <w:szCs w:val="22"/>
          <w:lang w:val="sq-AL"/>
        </w:rPr>
        <w:t xml:space="preserve"> e 30</w:t>
      </w:r>
      <w:r w:rsidRPr="00FE2CF6">
        <w:rPr>
          <w:rFonts w:eastAsia="Calibri"/>
          <w:bCs/>
          <w:noProof/>
          <w:szCs w:val="22"/>
          <w:lang w:val="sq-AL"/>
        </w:rPr>
        <w:t xml:space="preserve"> </w:t>
      </w:r>
      <w:r w:rsidR="0056260B">
        <w:rPr>
          <w:rFonts w:eastAsia="Calibri"/>
          <w:bCs/>
          <w:noProof/>
          <w:szCs w:val="22"/>
          <w:lang w:val="sq-AL"/>
        </w:rPr>
        <w:t>miliardë</w:t>
      </w:r>
      <w:r w:rsidRPr="00FE2CF6">
        <w:rPr>
          <w:rFonts w:eastAsia="Calibri"/>
          <w:bCs/>
          <w:noProof/>
          <w:szCs w:val="22"/>
          <w:lang w:val="sq-AL"/>
        </w:rPr>
        <w:t xml:space="preserve"> </w:t>
      </w:r>
      <w:r w:rsidR="0056260B">
        <w:rPr>
          <w:rFonts w:eastAsia="Calibri"/>
          <w:bCs/>
          <w:noProof/>
          <w:szCs w:val="22"/>
          <w:lang w:val="sq-AL"/>
        </w:rPr>
        <w:t>LEK</w:t>
      </w:r>
      <w:r w:rsidRPr="00FE2CF6">
        <w:rPr>
          <w:rFonts w:eastAsia="Calibri"/>
          <w:noProof/>
          <w:szCs w:val="22"/>
          <w:lang w:val="sq-AL"/>
        </w:rPr>
        <w:t xml:space="preserve"> (AN 11/2025) të kursimeve të evidentuara në nivel 11M, mes zërave të shpenzimeve buxhetore korente e kapitale, me synimin e realizimit sa më të plotë të shpenzimeve publike në nivel vjetor.</w:t>
      </w:r>
    </w:p>
    <w:p w14:paraId="19E089EC" w14:textId="2351C61F" w:rsidR="00186E78" w:rsidRPr="009D328E" w:rsidRDefault="00186E78" w:rsidP="00186E78">
      <w:pPr>
        <w:rPr>
          <w:rFonts w:cs="Calibri"/>
          <w:i/>
          <w:iCs/>
          <w:noProof/>
          <w:color w:val="17406D" w:themeColor="text2"/>
          <w:sz w:val="18"/>
          <w:szCs w:val="18"/>
          <w:lang w:val="sq-AL"/>
        </w:rPr>
      </w:pPr>
      <w:bookmarkStart w:id="98" w:name="_Toc229130030"/>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13</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w:t>
      </w:r>
      <w:r w:rsidR="0056260B">
        <w:rPr>
          <w:i/>
          <w:iCs/>
          <w:noProof/>
          <w:color w:val="17406D" w:themeColor="text2"/>
          <w:sz w:val="18"/>
          <w:szCs w:val="18"/>
          <w:lang w:val="sq-AL"/>
        </w:rPr>
        <w:t>korente</w:t>
      </w:r>
      <w:r w:rsidRPr="00FE2CF6">
        <w:rPr>
          <w:i/>
          <w:iCs/>
          <w:noProof/>
          <w:color w:val="17406D" w:themeColor="text2"/>
          <w:sz w:val="18"/>
          <w:szCs w:val="18"/>
          <w:lang w:val="sq-AL"/>
        </w:rPr>
        <w:t xml:space="preserve"> dhe kapitale plan dhe fakt ndaj totalit të shpenzimeve (</w:t>
      </w:r>
      <w:r w:rsidR="0056260B">
        <w:rPr>
          <w:i/>
          <w:iCs/>
          <w:noProof/>
          <w:color w:val="17406D" w:themeColor="text2"/>
          <w:sz w:val="18"/>
          <w:szCs w:val="18"/>
          <w:lang w:val="sq-AL"/>
        </w:rPr>
        <w:t>milionë</w:t>
      </w:r>
      <w:r w:rsidRPr="00FE2CF6">
        <w:rPr>
          <w:i/>
          <w:iCs/>
          <w:noProof/>
          <w:color w:val="17406D" w:themeColor="text2"/>
          <w:sz w:val="18"/>
          <w:szCs w:val="18"/>
          <w:lang w:val="sq-AL"/>
        </w:rPr>
        <w:t xml:space="preserve"> LEK)</w:t>
      </w:r>
      <w:bookmarkEnd w:id="98"/>
    </w:p>
    <w:p w14:paraId="5617DBAE" w14:textId="77777777" w:rsidR="00186E78" w:rsidRPr="00FE2CF6" w:rsidRDefault="00186E78" w:rsidP="00186E78">
      <w:pPr>
        <w:spacing w:before="0"/>
        <w:contextualSpacing/>
        <w:jc w:val="center"/>
        <w:rPr>
          <w:rFonts w:eastAsia="SimSun" w:cs="Calibri"/>
          <w:i/>
          <w:noProof/>
          <w:sz w:val="20"/>
          <w:lang w:val="sq-AL"/>
        </w:rPr>
      </w:pPr>
      <w:r>
        <w:rPr>
          <w:rFonts w:eastAsia="SimSun" w:cs="Calibri"/>
          <w:i/>
          <w:noProof/>
          <w:sz w:val="20"/>
          <w:lang w:val="sq-AL"/>
        </w:rPr>
        <w:drawing>
          <wp:inline distT="0" distB="0" distL="0" distR="0" wp14:anchorId="6AA0640F" wp14:editId="72FC3F23">
            <wp:extent cx="5060315" cy="1901804"/>
            <wp:effectExtent l="0" t="0" r="6985" b="3810"/>
            <wp:docPr id="43638289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895" name="Picture 1" descr="A screenshot of a graph&#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218" cy="1925445"/>
                    </a:xfrm>
                    <a:prstGeom prst="rect">
                      <a:avLst/>
                    </a:prstGeom>
                    <a:noFill/>
                  </pic:spPr>
                </pic:pic>
              </a:graphicData>
            </a:graphic>
          </wp:inline>
        </w:drawing>
      </w:r>
    </w:p>
    <w:p w14:paraId="6C537DD9" w14:textId="77777777" w:rsidR="00186E78" w:rsidRPr="00FE2CF6" w:rsidRDefault="00186E78" w:rsidP="00186E78">
      <w:pPr>
        <w:spacing w:before="0" w:line="240" w:lineRule="auto"/>
        <w:contextualSpacing/>
        <w:rPr>
          <w:rFonts w:eastAsia="SimSun" w:cs="Calibri"/>
          <w:bCs/>
          <w:i/>
          <w:noProof/>
          <w:sz w:val="18"/>
          <w:szCs w:val="18"/>
          <w:lang w:val="sq-AL"/>
        </w:rPr>
      </w:pPr>
      <w:r w:rsidRPr="00FE2CF6">
        <w:rPr>
          <w:rFonts w:eastAsia="SimSun" w:cs="Calibri"/>
          <w:bCs/>
          <w:i/>
          <w:noProof/>
          <w:sz w:val="18"/>
          <w:szCs w:val="18"/>
          <w:lang w:val="sq-AL"/>
        </w:rPr>
        <w:t xml:space="preserve"> </w:t>
      </w:r>
      <w:r w:rsidRPr="00FE2CF6">
        <w:rPr>
          <w:rFonts w:eastAsia="SimSun" w:cs="Calibri"/>
          <w:bCs/>
          <w:i/>
          <w:noProof/>
          <w:sz w:val="18"/>
          <w:szCs w:val="18"/>
          <w:lang w:val="sq-AL"/>
        </w:rPr>
        <w:tab/>
        <w:t>Burimi: Ministria e Financave (2026)</w:t>
      </w:r>
    </w:p>
    <w:p w14:paraId="5A0FCD4A" w14:textId="01175597" w:rsidR="00186E78" w:rsidRPr="004B4B9F" w:rsidRDefault="00186E78" w:rsidP="00186E78">
      <w:pPr>
        <w:rPr>
          <w:rFonts w:cs="Calibri"/>
          <w:i/>
          <w:iCs/>
          <w:noProof/>
          <w:color w:val="17406D" w:themeColor="text2"/>
          <w:sz w:val="18"/>
          <w:szCs w:val="18"/>
          <w:lang w:val="sq-AL"/>
        </w:rPr>
      </w:pPr>
      <w:bookmarkStart w:id="99" w:name="_Toc229130031"/>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14</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Struktura e shpenzimeve korente, kapitale dhe raporti me PBB ndër vite</w:t>
      </w:r>
      <w:bookmarkEnd w:id="99"/>
    </w:p>
    <w:p w14:paraId="2B43799C" w14:textId="4598F3CA" w:rsidR="00186E78" w:rsidRPr="00FE2CF6" w:rsidRDefault="00BC7829" w:rsidP="00186E78">
      <w:pPr>
        <w:spacing w:before="0" w:line="240" w:lineRule="auto"/>
        <w:jc w:val="center"/>
        <w:rPr>
          <w:rFonts w:eastAsia="SimSun" w:cs="Calibri"/>
          <w:noProof/>
          <w:lang w:val="sq-AL"/>
        </w:rPr>
      </w:pPr>
      <w:r>
        <w:rPr>
          <w:rFonts w:eastAsia="SimSun" w:cs="Calibri"/>
          <w:noProof/>
          <w:lang w:val="sq-AL"/>
        </w:rPr>
        <w:drawing>
          <wp:inline distT="0" distB="0" distL="0" distR="0" wp14:anchorId="53699E74" wp14:editId="150BBC27">
            <wp:extent cx="4763135" cy="1623464"/>
            <wp:effectExtent l="0" t="0" r="0" b="0"/>
            <wp:docPr id="19570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1312" cy="1636476"/>
                    </a:xfrm>
                    <a:prstGeom prst="rect">
                      <a:avLst/>
                    </a:prstGeom>
                    <a:noFill/>
                  </pic:spPr>
                </pic:pic>
              </a:graphicData>
            </a:graphic>
          </wp:inline>
        </w:drawing>
      </w:r>
    </w:p>
    <w:p w14:paraId="569D1476" w14:textId="77777777" w:rsidR="00186E78" w:rsidRPr="00FE2CF6" w:rsidRDefault="00186E78" w:rsidP="00186E78">
      <w:pPr>
        <w:spacing w:before="0" w:line="360" w:lineRule="auto"/>
        <w:ind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6326D4F2" w14:textId="33762B6C" w:rsidR="00186E78" w:rsidRPr="00FE2CF6" w:rsidRDefault="00186E78" w:rsidP="00186E78">
      <w:pPr>
        <w:spacing w:line="240" w:lineRule="auto"/>
        <w:rPr>
          <w:rFonts w:eastAsia="SimSun" w:cs="Calibri"/>
          <w:noProof/>
          <w:lang w:val="sq-AL"/>
        </w:rPr>
      </w:pPr>
      <w:r w:rsidRPr="00C73E72">
        <w:rPr>
          <w:rFonts w:eastAsia="SimSun" w:cs="Calibri"/>
          <w:b/>
          <w:i/>
          <w:iCs/>
          <w:noProof/>
          <w:lang w:val="sq-AL"/>
        </w:rPr>
        <w:lastRenderedPageBreak/>
        <w:t xml:space="preserve">Shpenzimet </w:t>
      </w:r>
      <w:r w:rsidR="0056260B" w:rsidRPr="00C73E72">
        <w:rPr>
          <w:rFonts w:eastAsia="SimSun" w:cs="Calibri"/>
          <w:b/>
          <w:i/>
          <w:iCs/>
          <w:noProof/>
          <w:lang w:val="sq-AL"/>
        </w:rPr>
        <w:t>korente</w:t>
      </w:r>
      <w:r w:rsidRPr="00FE2CF6">
        <w:rPr>
          <w:rFonts w:eastAsia="SimSun" w:cs="Calibri"/>
          <w:noProof/>
          <w:lang w:val="sq-AL"/>
        </w:rPr>
        <w:t xml:space="preserve"> </w:t>
      </w:r>
      <w:bookmarkStart w:id="100" w:name="_Hlk178686857"/>
      <w:r w:rsidRPr="00FE2CF6">
        <w:rPr>
          <w:rFonts w:cs="Calibri"/>
          <w:bCs/>
          <w:iCs/>
          <w:noProof/>
          <w:lang w:val="sq-AL"/>
        </w:rPr>
        <w:t xml:space="preserve">për vitin 2025 rezultuan në rreth 653.5 </w:t>
      </w:r>
      <w:r w:rsidR="0056260B">
        <w:rPr>
          <w:rFonts w:cs="Calibri"/>
          <w:bCs/>
          <w:iCs/>
          <w:noProof/>
          <w:lang w:val="sq-AL"/>
        </w:rPr>
        <w:t>miliardë</w:t>
      </w:r>
      <w:r w:rsidRPr="00FE2CF6">
        <w:rPr>
          <w:rFonts w:cs="Calibri"/>
          <w:bCs/>
          <w:iCs/>
          <w:noProof/>
          <w:lang w:val="sq-AL"/>
        </w:rPr>
        <w:t xml:space="preserve"> LEK ose 99.6% të planit vjetor sipas buxhetit fillestar, 97.6% të planit të ndryshuar me AN nr.11/2025 dhe 96.7% të planit </w:t>
      </w:r>
      <w:r w:rsidRPr="00FE2CF6">
        <w:rPr>
          <w:rFonts w:eastAsia="SimSun" w:cs="Calibri"/>
          <w:noProof/>
          <w:lang w:val="sq-AL"/>
        </w:rPr>
        <w:t>përfundimtar</w:t>
      </w:r>
      <w:r w:rsidRPr="00FE2CF6">
        <w:rPr>
          <w:rFonts w:cs="Calibri"/>
          <w:bCs/>
          <w:iCs/>
          <w:noProof/>
          <w:lang w:val="sq-AL"/>
        </w:rPr>
        <w:t xml:space="preserve"> me ndryshime dhe shpërndarje rezervash.</w:t>
      </w:r>
      <w:r w:rsidRPr="00FE2CF6">
        <w:rPr>
          <w:noProof/>
          <w:lang w:val="sq-AL"/>
        </w:rPr>
        <w:t xml:space="preserve"> </w:t>
      </w:r>
      <w:r w:rsidRPr="00FE2CF6">
        <w:rPr>
          <w:rFonts w:cs="Calibri"/>
          <w:bCs/>
          <w:iCs/>
          <w:noProof/>
          <w:lang w:val="sq-AL"/>
        </w:rPr>
        <w:t xml:space="preserve">Krahasuar me të njëjtën periudhë të një viti më parë, shpenzimet korente për vitin 2025 rezultuan 7.8% më të larta ose rreth 47.2 </w:t>
      </w:r>
      <w:r w:rsidR="0056260B">
        <w:rPr>
          <w:rFonts w:cs="Calibri"/>
          <w:bCs/>
          <w:iCs/>
          <w:noProof/>
          <w:lang w:val="sq-AL"/>
        </w:rPr>
        <w:t>miliardë</w:t>
      </w:r>
      <w:r w:rsidRPr="00FE2CF6">
        <w:rPr>
          <w:rFonts w:cs="Calibri"/>
          <w:bCs/>
          <w:iCs/>
          <w:noProof/>
          <w:lang w:val="sq-AL"/>
        </w:rPr>
        <w:t xml:space="preserve"> LEK më shumë. </w:t>
      </w:r>
      <w:r w:rsidRPr="00FE2CF6">
        <w:rPr>
          <w:rFonts w:eastAsia="SimSun" w:cs="Calibri"/>
          <w:noProof/>
          <w:lang w:val="sq-AL"/>
        </w:rPr>
        <w:t xml:space="preserve">Kategoritë kryesore që kanë ndikuar në realizimin e shpenzimeve </w:t>
      </w:r>
      <w:r w:rsidR="0056260B">
        <w:rPr>
          <w:rFonts w:eastAsia="SimSun" w:cs="Calibri"/>
          <w:noProof/>
          <w:lang w:val="sq-AL"/>
        </w:rPr>
        <w:t>korente</w:t>
      </w:r>
      <w:r w:rsidRPr="00FE2CF6">
        <w:rPr>
          <w:rFonts w:eastAsia="SimSun" w:cs="Calibri"/>
          <w:noProof/>
          <w:lang w:val="sq-AL"/>
        </w:rPr>
        <w:t xml:space="preserve"> ishin kryesisht:</w:t>
      </w:r>
    </w:p>
    <w:p w14:paraId="63C43F33" w14:textId="77777777" w:rsidR="00186E78" w:rsidRPr="00C73E72" w:rsidRDefault="00186E78">
      <w:pPr>
        <w:numPr>
          <w:ilvl w:val="0"/>
          <w:numId w:val="11"/>
        </w:numPr>
        <w:spacing w:before="0" w:line="240" w:lineRule="auto"/>
        <w:ind w:left="540"/>
        <w:contextualSpacing/>
        <w:rPr>
          <w:rFonts w:cs="Calibri"/>
          <w:bCs/>
          <w:i/>
          <w:iCs/>
          <w:noProof/>
          <w:szCs w:val="22"/>
          <w:lang w:val="sq-AL"/>
        </w:rPr>
      </w:pPr>
      <w:r w:rsidRPr="00C73E72">
        <w:rPr>
          <w:rFonts w:cs="Calibri"/>
          <w:bCs/>
          <w:i/>
          <w:iCs/>
          <w:noProof/>
          <w:szCs w:val="22"/>
          <w:lang w:val="sq-AL"/>
        </w:rPr>
        <w:t xml:space="preserve">Shpenzimet për fondet speciale me 102.4% të planit vjetor sipas buxhetit fillestar (99.1% të planit të ndryshuar me AN nr. 11/2025 dhe të planit </w:t>
      </w:r>
      <w:r w:rsidRPr="00C73E72">
        <w:rPr>
          <w:rFonts w:eastAsia="SimSun" w:cs="Calibri"/>
          <w:i/>
          <w:noProof/>
          <w:szCs w:val="22"/>
          <w:lang w:val="sq-AL"/>
        </w:rPr>
        <w:t>përfundimtar</w:t>
      </w:r>
      <w:r w:rsidRPr="00C73E72">
        <w:rPr>
          <w:rFonts w:cs="Calibri"/>
          <w:bCs/>
          <w:i/>
          <w:iCs/>
          <w:noProof/>
          <w:szCs w:val="22"/>
          <w:lang w:val="sq-AL"/>
        </w:rPr>
        <w:t xml:space="preserve"> me ndryshime dhe shpërndarje rezervash).</w:t>
      </w:r>
    </w:p>
    <w:p w14:paraId="7AB967F5" w14:textId="77777777" w:rsidR="00186E78" w:rsidRPr="00C73E72" w:rsidRDefault="00186E78">
      <w:pPr>
        <w:numPr>
          <w:ilvl w:val="0"/>
          <w:numId w:val="11"/>
        </w:numPr>
        <w:spacing w:before="0" w:line="240" w:lineRule="auto"/>
        <w:ind w:left="540"/>
        <w:contextualSpacing/>
        <w:rPr>
          <w:rFonts w:cs="Calibri"/>
          <w:bCs/>
          <w:i/>
          <w:iCs/>
          <w:noProof/>
          <w:szCs w:val="22"/>
          <w:lang w:val="sq-AL"/>
        </w:rPr>
      </w:pPr>
      <w:r w:rsidRPr="00C73E72">
        <w:rPr>
          <w:rFonts w:cs="Calibri"/>
          <w:bCs/>
          <w:i/>
          <w:iCs/>
          <w:noProof/>
          <w:szCs w:val="22"/>
          <w:lang w:val="sq-AL"/>
        </w:rPr>
        <w:t xml:space="preserve">Shpenzimet e personelit me 98.3% të planit vjetor sipas buxhetit fillestar (99.1% të planit vjetor të ndryshuar me AN nr. 11/2025 dhe 99% të planit </w:t>
      </w:r>
      <w:r w:rsidRPr="00C73E72">
        <w:rPr>
          <w:rFonts w:eastAsia="SimSun" w:cs="Calibri"/>
          <w:i/>
          <w:noProof/>
          <w:szCs w:val="22"/>
          <w:lang w:val="sq-AL"/>
        </w:rPr>
        <w:t>përfundimtar</w:t>
      </w:r>
      <w:r w:rsidRPr="00C73E72">
        <w:rPr>
          <w:rFonts w:cs="Calibri"/>
          <w:bCs/>
          <w:i/>
          <w:iCs/>
          <w:noProof/>
          <w:szCs w:val="22"/>
          <w:lang w:val="sq-AL"/>
        </w:rPr>
        <w:t xml:space="preserve"> me ndryshime dhe shpërndarje rezervash).</w:t>
      </w:r>
    </w:p>
    <w:p w14:paraId="35D61971" w14:textId="77777777" w:rsidR="00186E78" w:rsidRPr="000F0D9E" w:rsidRDefault="00186E78" w:rsidP="00186E78">
      <w:pPr>
        <w:spacing w:before="0" w:line="240" w:lineRule="auto"/>
        <w:rPr>
          <w:color w:val="000000"/>
          <w:sz w:val="8"/>
          <w:szCs w:val="10"/>
          <w:lang w:val="sq-AL" w:eastAsia="zh-CN"/>
        </w:rPr>
      </w:pPr>
    </w:p>
    <w:p w14:paraId="719ACC34" w14:textId="4CC97F53" w:rsidR="00186E78" w:rsidRPr="00C73E72" w:rsidRDefault="00186E78" w:rsidP="00186E78">
      <w:pPr>
        <w:spacing w:before="0" w:line="240" w:lineRule="auto"/>
        <w:rPr>
          <w:rFonts w:cs="Calibri"/>
          <w:bCs/>
          <w:iCs/>
          <w:noProof/>
          <w:szCs w:val="22"/>
          <w:lang w:val="sq-AL"/>
        </w:rPr>
      </w:pPr>
      <w:r w:rsidRPr="00E93BEE">
        <w:rPr>
          <w:rFonts w:cs="Calibri"/>
          <w:bCs/>
          <w:iCs/>
          <w:noProof/>
          <w:lang w:val="sq-AL"/>
        </w:rPr>
        <w:t xml:space="preserve">Shpenzimet </w:t>
      </w:r>
      <w:r w:rsidR="0056260B">
        <w:rPr>
          <w:rFonts w:cs="Calibri"/>
          <w:bCs/>
          <w:iCs/>
          <w:noProof/>
          <w:lang w:val="sq-AL"/>
        </w:rPr>
        <w:t>korente</w:t>
      </w:r>
      <w:r w:rsidRPr="00E93BEE">
        <w:rPr>
          <w:rFonts w:cs="Calibri"/>
          <w:bCs/>
          <w:iCs/>
          <w:noProof/>
          <w:lang w:val="sq-AL"/>
        </w:rPr>
        <w:t xml:space="preserve"> për vitin 2025 rezultuan në nivelin rreth 24.</w:t>
      </w:r>
      <w:r w:rsidR="00BC7829">
        <w:rPr>
          <w:rFonts w:cs="Calibri"/>
          <w:bCs/>
          <w:iCs/>
          <w:noProof/>
          <w:lang w:val="sq-AL"/>
        </w:rPr>
        <w:t>7</w:t>
      </w:r>
      <w:r w:rsidRPr="00E93BEE">
        <w:rPr>
          <w:rFonts w:cs="Calibri"/>
          <w:bCs/>
          <w:iCs/>
          <w:noProof/>
          <w:lang w:val="sq-AL"/>
        </w:rPr>
        <w:t xml:space="preserve">% të PBB nominale vjetore, kundrejt një mesatare prej rreth 24.3% të këtij raporti në vitet pararendëse. Krahasuar me 2024, ato rezultuan 7.8% më të </w:t>
      </w:r>
      <w:r w:rsidRPr="00C73E72">
        <w:rPr>
          <w:rFonts w:cs="Calibri"/>
          <w:bCs/>
          <w:iCs/>
          <w:noProof/>
          <w:szCs w:val="22"/>
          <w:lang w:val="sq-AL"/>
        </w:rPr>
        <w:t xml:space="preserve">larta ose rreth 47.2 </w:t>
      </w:r>
      <w:r w:rsidR="0056260B" w:rsidRPr="00C73E72">
        <w:rPr>
          <w:rFonts w:cs="Calibri"/>
          <w:bCs/>
          <w:iCs/>
          <w:noProof/>
          <w:szCs w:val="22"/>
          <w:lang w:val="sq-AL"/>
        </w:rPr>
        <w:t>miliardë</w:t>
      </w:r>
      <w:r w:rsidRPr="00C73E72">
        <w:rPr>
          <w:rFonts w:cs="Calibri"/>
          <w:bCs/>
          <w:iCs/>
          <w:noProof/>
          <w:szCs w:val="22"/>
          <w:lang w:val="sq-AL"/>
        </w:rPr>
        <w:t xml:space="preserve"> LEK më shumë. Zërat kryesorë që ndikuan në rritjen e tyre për vitin 2025 janë:</w:t>
      </w:r>
    </w:p>
    <w:bookmarkEnd w:id="100"/>
    <w:p w14:paraId="142580F2" w14:textId="5128E3D3" w:rsidR="00186E78" w:rsidRPr="00223645" w:rsidRDefault="00186E78" w:rsidP="00223645">
      <w:pPr>
        <w:numPr>
          <w:ilvl w:val="0"/>
          <w:numId w:val="11"/>
        </w:numPr>
        <w:spacing w:before="0" w:line="240" w:lineRule="auto"/>
        <w:ind w:left="540"/>
        <w:contextualSpacing/>
        <w:rPr>
          <w:rFonts w:cs="Calibri"/>
          <w:bCs/>
          <w:i/>
          <w:iCs/>
          <w:noProof/>
          <w:szCs w:val="22"/>
          <w:lang w:val="sq-AL"/>
        </w:rPr>
      </w:pPr>
      <w:r w:rsidRPr="00223645">
        <w:rPr>
          <w:rFonts w:cs="Calibri"/>
          <w:bCs/>
          <w:i/>
          <w:iCs/>
          <w:noProof/>
          <w:szCs w:val="22"/>
          <w:lang w:val="sq-AL"/>
        </w:rPr>
        <w:t xml:space="preserve">Shpenzimet për fondet speciale, të cilat krahasuar me vitin 2024, rezultuan 7.3% më të larta ose rreth 18.5 </w:t>
      </w:r>
      <w:r w:rsidR="0056260B" w:rsidRPr="00223645">
        <w:rPr>
          <w:rFonts w:cs="Calibri"/>
          <w:bCs/>
          <w:i/>
          <w:iCs/>
          <w:noProof/>
          <w:szCs w:val="22"/>
          <w:lang w:val="sq-AL"/>
        </w:rPr>
        <w:t>miliardë</w:t>
      </w:r>
      <w:r w:rsidRPr="00223645">
        <w:rPr>
          <w:rFonts w:cs="Calibri"/>
          <w:bCs/>
          <w:i/>
          <w:iCs/>
          <w:noProof/>
          <w:szCs w:val="22"/>
          <w:lang w:val="sq-AL"/>
        </w:rPr>
        <w:t xml:space="preserve"> LEK më shumë, kushtëzuar kjo</w:t>
      </w:r>
      <w:r w:rsidR="00223645" w:rsidRPr="00223645">
        <w:rPr>
          <w:rFonts w:cs="Calibri"/>
          <w:bCs/>
          <w:i/>
          <w:iCs/>
          <w:noProof/>
          <w:szCs w:val="22"/>
          <w:lang w:val="sq-AL"/>
        </w:rPr>
        <w:t xml:space="preserve"> </w:t>
      </w:r>
      <w:r w:rsidRPr="00223645">
        <w:rPr>
          <w:rFonts w:cs="Calibri"/>
          <w:bCs/>
          <w:i/>
          <w:iCs/>
          <w:noProof/>
          <w:szCs w:val="22"/>
          <w:lang w:val="sq-AL"/>
        </w:rPr>
        <w:t xml:space="preserve">nga fondet e akorduara shtesë për indeksimin e pensioneve dhe shpërblimin e pensionistëve në masën 10.8 </w:t>
      </w:r>
      <w:r w:rsidR="0056260B" w:rsidRPr="00223645">
        <w:rPr>
          <w:rFonts w:cs="Calibri"/>
          <w:bCs/>
          <w:i/>
          <w:iCs/>
          <w:noProof/>
          <w:szCs w:val="22"/>
          <w:lang w:val="sq-AL"/>
        </w:rPr>
        <w:t>miliardë</w:t>
      </w:r>
      <w:r w:rsidRPr="00223645">
        <w:rPr>
          <w:rFonts w:cs="Calibri"/>
          <w:bCs/>
          <w:i/>
          <w:iCs/>
          <w:noProof/>
          <w:szCs w:val="22"/>
          <w:lang w:val="sq-AL"/>
        </w:rPr>
        <w:t xml:space="preserve"> LEK.</w:t>
      </w:r>
    </w:p>
    <w:p w14:paraId="25D07DCD" w14:textId="172621FF" w:rsidR="00186E78" w:rsidRPr="00223645" w:rsidRDefault="00186E78" w:rsidP="00223645">
      <w:pPr>
        <w:numPr>
          <w:ilvl w:val="0"/>
          <w:numId w:val="11"/>
        </w:numPr>
        <w:spacing w:before="0" w:line="240" w:lineRule="auto"/>
        <w:ind w:left="540"/>
        <w:contextualSpacing/>
        <w:rPr>
          <w:rFonts w:cs="Calibri"/>
          <w:bCs/>
          <w:i/>
          <w:iCs/>
          <w:noProof/>
          <w:szCs w:val="22"/>
          <w:lang w:val="sq-AL"/>
        </w:rPr>
      </w:pPr>
      <w:r w:rsidRPr="00C73E72">
        <w:rPr>
          <w:rFonts w:cs="Calibri"/>
          <w:bCs/>
          <w:i/>
          <w:iCs/>
          <w:noProof/>
          <w:szCs w:val="22"/>
          <w:lang w:val="sq-AL"/>
        </w:rPr>
        <w:t xml:space="preserve">Shpenzimet e personelit, të cilat krahasuar me 2024 rezultuan 11.5% më të larta ose rreth 13 </w:t>
      </w:r>
      <w:r w:rsidR="0056260B" w:rsidRPr="00C73E72">
        <w:rPr>
          <w:rFonts w:cs="Calibri"/>
          <w:bCs/>
          <w:i/>
          <w:iCs/>
          <w:noProof/>
          <w:szCs w:val="22"/>
          <w:lang w:val="sq-AL"/>
        </w:rPr>
        <w:t>miliardë</w:t>
      </w:r>
      <w:r w:rsidRPr="00C73E72">
        <w:rPr>
          <w:rFonts w:cs="Calibri"/>
          <w:bCs/>
          <w:i/>
          <w:iCs/>
          <w:noProof/>
          <w:szCs w:val="22"/>
          <w:lang w:val="sq-AL"/>
        </w:rPr>
        <w:t xml:space="preserve"> LEK më shumë, kushtëzuar</w:t>
      </w:r>
      <w:r w:rsidR="00223645">
        <w:rPr>
          <w:rFonts w:cs="Calibri"/>
          <w:bCs/>
          <w:i/>
          <w:iCs/>
          <w:noProof/>
          <w:szCs w:val="22"/>
          <w:lang w:val="sq-AL"/>
        </w:rPr>
        <w:t xml:space="preserve"> kryesisht </w:t>
      </w:r>
      <w:r w:rsidRPr="00223645">
        <w:rPr>
          <w:rFonts w:cs="Calibri"/>
          <w:bCs/>
          <w:i/>
          <w:iCs/>
          <w:noProof/>
          <w:szCs w:val="22"/>
          <w:lang w:val="sq-AL"/>
        </w:rPr>
        <w:t xml:space="preserve">nga </w:t>
      </w:r>
      <w:r w:rsidR="00223645">
        <w:rPr>
          <w:rFonts w:cs="Calibri"/>
          <w:bCs/>
          <w:i/>
          <w:iCs/>
          <w:noProof/>
          <w:szCs w:val="22"/>
          <w:lang w:val="sq-AL"/>
        </w:rPr>
        <w:t xml:space="preserve">tavani më i lartë si rredhojë e </w:t>
      </w:r>
      <w:r w:rsidRPr="00223645">
        <w:rPr>
          <w:rFonts w:cs="Calibri"/>
          <w:bCs/>
          <w:i/>
          <w:iCs/>
          <w:noProof/>
          <w:szCs w:val="22"/>
          <w:lang w:val="sq-AL"/>
        </w:rPr>
        <w:t>nivelit më të lartë të pagave</w:t>
      </w:r>
      <w:r w:rsidR="00223645">
        <w:rPr>
          <w:rFonts w:cs="Calibri"/>
          <w:bCs/>
          <w:i/>
          <w:iCs/>
          <w:noProof/>
          <w:szCs w:val="22"/>
          <w:lang w:val="sq-AL"/>
        </w:rPr>
        <w:t xml:space="preserve">, si dhe </w:t>
      </w:r>
      <w:r w:rsidRPr="00223645">
        <w:rPr>
          <w:rFonts w:cs="Calibri"/>
          <w:bCs/>
          <w:i/>
          <w:iCs/>
          <w:noProof/>
          <w:szCs w:val="22"/>
          <w:lang w:val="sq-AL"/>
        </w:rPr>
        <w:t xml:space="preserve">nga shtesa </w:t>
      </w:r>
      <w:r w:rsidR="00223645">
        <w:rPr>
          <w:rFonts w:cs="Calibri"/>
          <w:bCs/>
          <w:i/>
          <w:iCs/>
          <w:noProof/>
          <w:szCs w:val="22"/>
          <w:lang w:val="sq-AL"/>
        </w:rPr>
        <w:t>prej</w:t>
      </w:r>
      <w:r w:rsidRPr="00223645">
        <w:rPr>
          <w:rFonts w:cs="Calibri"/>
          <w:bCs/>
          <w:i/>
          <w:iCs/>
          <w:noProof/>
          <w:szCs w:val="22"/>
          <w:lang w:val="sq-AL"/>
        </w:rPr>
        <w:t xml:space="preserve"> </w:t>
      </w:r>
      <w:r w:rsidR="00223645">
        <w:rPr>
          <w:rFonts w:cs="Calibri"/>
          <w:bCs/>
          <w:i/>
          <w:iCs/>
          <w:noProof/>
          <w:szCs w:val="22"/>
          <w:lang w:val="sq-AL"/>
        </w:rPr>
        <w:t xml:space="preserve">rreth </w:t>
      </w:r>
      <w:r w:rsidRPr="00223645">
        <w:rPr>
          <w:rFonts w:cs="Calibri"/>
          <w:bCs/>
          <w:i/>
          <w:iCs/>
          <w:noProof/>
          <w:szCs w:val="22"/>
          <w:lang w:val="sq-AL"/>
        </w:rPr>
        <w:t xml:space="preserve">548 </w:t>
      </w:r>
      <w:r w:rsidR="0056260B" w:rsidRPr="00223645">
        <w:rPr>
          <w:rFonts w:cs="Calibri"/>
          <w:bCs/>
          <w:i/>
          <w:iCs/>
          <w:noProof/>
          <w:szCs w:val="22"/>
          <w:lang w:val="sq-AL"/>
        </w:rPr>
        <w:t>milionë</w:t>
      </w:r>
      <w:r w:rsidRPr="00223645">
        <w:rPr>
          <w:rFonts w:cs="Calibri"/>
          <w:bCs/>
          <w:i/>
          <w:iCs/>
          <w:noProof/>
          <w:szCs w:val="22"/>
          <w:lang w:val="sq-AL"/>
        </w:rPr>
        <w:t xml:space="preserve"> LEK nga përdorimet e Fondit Rezervë në zbatim të VKM-ve përkatëse;</w:t>
      </w:r>
    </w:p>
    <w:p w14:paraId="57F789CF" w14:textId="1AF5DB7B" w:rsidR="00223645" w:rsidRPr="00223645" w:rsidRDefault="00223645" w:rsidP="00223645">
      <w:pPr>
        <w:numPr>
          <w:ilvl w:val="0"/>
          <w:numId w:val="11"/>
        </w:numPr>
        <w:spacing w:before="0" w:line="240" w:lineRule="auto"/>
        <w:ind w:left="540"/>
        <w:contextualSpacing/>
        <w:rPr>
          <w:rFonts w:cs="Calibri"/>
          <w:bCs/>
          <w:i/>
          <w:iCs/>
          <w:noProof/>
          <w:szCs w:val="22"/>
          <w:lang w:val="sq-AL"/>
        </w:rPr>
      </w:pPr>
      <w:r w:rsidRPr="00C73E72">
        <w:rPr>
          <w:rFonts w:cs="Calibri"/>
          <w:bCs/>
          <w:i/>
          <w:iCs/>
          <w:noProof/>
          <w:szCs w:val="22"/>
          <w:lang w:val="sq-AL"/>
        </w:rPr>
        <w:t xml:space="preserve">Shpenzimet operative dhe mirëmbajtje, të cilat krahasuar me vitin 2024 janë 4.3% më të larta ose rreth 3.5 miliardë LEK më shumë, kushtëzuar </w:t>
      </w:r>
      <w:r>
        <w:rPr>
          <w:rFonts w:cs="Calibri"/>
          <w:bCs/>
          <w:i/>
          <w:iCs/>
          <w:noProof/>
          <w:szCs w:val="22"/>
          <w:lang w:val="sq-AL"/>
        </w:rPr>
        <w:t xml:space="preserve">kryesisht </w:t>
      </w:r>
      <w:r w:rsidRPr="00223645">
        <w:rPr>
          <w:rFonts w:cs="Calibri"/>
          <w:bCs/>
          <w:i/>
          <w:iCs/>
          <w:noProof/>
          <w:szCs w:val="22"/>
          <w:lang w:val="sq-AL"/>
        </w:rPr>
        <w:t>nga efekti financiar i përdorimit të Fondit Rezervë sipas VKM përkatëse në masën 3.8 miliardë LEK</w:t>
      </w:r>
      <w:r>
        <w:rPr>
          <w:rFonts w:cs="Calibri"/>
          <w:bCs/>
          <w:i/>
          <w:iCs/>
          <w:noProof/>
          <w:szCs w:val="22"/>
          <w:lang w:val="sq-AL"/>
        </w:rPr>
        <w:t xml:space="preserve">, si dhe </w:t>
      </w:r>
      <w:r w:rsidRPr="00223645">
        <w:rPr>
          <w:rFonts w:cs="Calibri"/>
          <w:bCs/>
          <w:i/>
          <w:iCs/>
          <w:noProof/>
          <w:szCs w:val="22"/>
          <w:lang w:val="sq-AL"/>
        </w:rPr>
        <w:t>nga përdorimi i fondit të veçantë në masën 282</w:t>
      </w:r>
      <w:r>
        <w:rPr>
          <w:rFonts w:cs="Calibri"/>
          <w:bCs/>
          <w:i/>
          <w:iCs/>
          <w:noProof/>
          <w:szCs w:val="22"/>
          <w:lang w:val="sq-AL"/>
        </w:rPr>
        <w:t xml:space="preserve"> milionë</w:t>
      </w:r>
      <w:r w:rsidRPr="00223645">
        <w:rPr>
          <w:rFonts w:cs="Calibri"/>
          <w:bCs/>
          <w:i/>
          <w:iCs/>
          <w:noProof/>
          <w:szCs w:val="22"/>
          <w:lang w:val="sq-AL"/>
        </w:rPr>
        <w:t xml:space="preserve"> LEK për dhënien e ndihmave e mbështetjeve financiare;</w:t>
      </w:r>
    </w:p>
    <w:p w14:paraId="4C7258D6" w14:textId="511523BA" w:rsidR="00186E78" w:rsidRPr="00C73E72" w:rsidRDefault="00186E78">
      <w:pPr>
        <w:numPr>
          <w:ilvl w:val="0"/>
          <w:numId w:val="11"/>
        </w:numPr>
        <w:spacing w:before="0" w:line="240" w:lineRule="auto"/>
        <w:ind w:left="540"/>
        <w:contextualSpacing/>
        <w:rPr>
          <w:rFonts w:cs="Calibri"/>
          <w:bCs/>
          <w:i/>
          <w:iCs/>
          <w:noProof/>
          <w:szCs w:val="22"/>
          <w:lang w:val="sq-AL"/>
        </w:rPr>
      </w:pPr>
      <w:r w:rsidRPr="00C73E72">
        <w:rPr>
          <w:rFonts w:cs="Calibri"/>
          <w:bCs/>
          <w:i/>
          <w:iCs/>
          <w:noProof/>
          <w:szCs w:val="22"/>
          <w:lang w:val="sq-AL"/>
        </w:rPr>
        <w:t xml:space="preserve">Shpenzimet për buxhetin vendor, të cilat krahasuar me vitin 2024 janë 18% më të larta ose rreth 13.4 </w:t>
      </w:r>
      <w:r w:rsidR="0056260B" w:rsidRPr="00C73E72">
        <w:rPr>
          <w:rFonts w:cs="Calibri"/>
          <w:bCs/>
          <w:i/>
          <w:iCs/>
          <w:noProof/>
          <w:szCs w:val="22"/>
          <w:lang w:val="sq-AL"/>
        </w:rPr>
        <w:t>miliardë</w:t>
      </w:r>
      <w:r w:rsidRPr="00C73E72">
        <w:rPr>
          <w:rFonts w:cs="Calibri"/>
          <w:bCs/>
          <w:i/>
          <w:iCs/>
          <w:noProof/>
          <w:szCs w:val="22"/>
          <w:lang w:val="sq-AL"/>
        </w:rPr>
        <w:t xml:space="preserve"> </w:t>
      </w:r>
      <w:r w:rsidR="0056260B" w:rsidRPr="00C73E72">
        <w:rPr>
          <w:rFonts w:cs="Calibri"/>
          <w:bCs/>
          <w:i/>
          <w:iCs/>
          <w:noProof/>
          <w:szCs w:val="22"/>
          <w:lang w:val="sq-AL"/>
        </w:rPr>
        <w:t>LEK</w:t>
      </w:r>
      <w:r w:rsidRPr="00C73E72">
        <w:rPr>
          <w:rFonts w:cs="Calibri"/>
          <w:bCs/>
          <w:i/>
          <w:iCs/>
          <w:noProof/>
          <w:szCs w:val="22"/>
          <w:lang w:val="sq-AL"/>
        </w:rPr>
        <w:t xml:space="preserve"> më shumë.</w:t>
      </w:r>
    </w:p>
    <w:p w14:paraId="36278C79" w14:textId="39B6778B" w:rsidR="00186E78" w:rsidRPr="00FE2CF6" w:rsidRDefault="00186E78" w:rsidP="00186E78">
      <w:pPr>
        <w:spacing w:line="240" w:lineRule="auto"/>
        <w:rPr>
          <w:rFonts w:cs="Calibri"/>
          <w:i/>
          <w:iCs/>
          <w:noProof/>
          <w:color w:val="17406D" w:themeColor="text2"/>
          <w:sz w:val="18"/>
          <w:szCs w:val="18"/>
          <w:lang w:val="sq-AL"/>
        </w:rPr>
      </w:pPr>
      <w:bookmarkStart w:id="101" w:name="_Toc229130032"/>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15</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korente dhe ritmi i rritjes së tyre (</w:t>
      </w:r>
      <w:r w:rsidR="0056260B">
        <w:rPr>
          <w:i/>
          <w:iCs/>
          <w:noProof/>
          <w:color w:val="17406D" w:themeColor="text2"/>
          <w:sz w:val="18"/>
          <w:szCs w:val="18"/>
          <w:lang w:val="sq-AL"/>
        </w:rPr>
        <w:t>milionë</w:t>
      </w:r>
      <w:r w:rsidRPr="00FE2CF6">
        <w:rPr>
          <w:i/>
          <w:iCs/>
          <w:noProof/>
          <w:color w:val="17406D" w:themeColor="text2"/>
          <w:sz w:val="18"/>
          <w:szCs w:val="18"/>
          <w:lang w:val="sq-AL"/>
        </w:rPr>
        <w:t xml:space="preserve"> LEK)</w:t>
      </w:r>
      <w:bookmarkEnd w:id="101"/>
    </w:p>
    <w:p w14:paraId="2644C91D" w14:textId="77777777" w:rsidR="00186E78" w:rsidRPr="00FE2CF6" w:rsidRDefault="00186E78" w:rsidP="00186E78">
      <w:pPr>
        <w:spacing w:before="0" w:line="240" w:lineRule="auto"/>
        <w:jc w:val="center"/>
        <w:rPr>
          <w:rFonts w:cs="Calibri"/>
          <w:bCs/>
          <w:i/>
          <w:iCs/>
          <w:noProof/>
          <w:lang w:val="sq-AL"/>
        </w:rPr>
      </w:pPr>
      <w:r w:rsidRPr="00FE2CF6">
        <w:rPr>
          <w:rFonts w:cs="Calibri"/>
          <w:bCs/>
          <w:i/>
          <w:iCs/>
          <w:noProof/>
          <w:lang w:val="sq-AL"/>
        </w:rPr>
        <w:drawing>
          <wp:inline distT="0" distB="0" distL="0" distR="0" wp14:anchorId="19FE586E" wp14:editId="76F399A8">
            <wp:extent cx="5116825" cy="1580083"/>
            <wp:effectExtent l="0" t="0" r="8255" b="1270"/>
            <wp:docPr id="1565725367"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5367" name="Picture 1" descr="A graph with a line going up&#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1229" cy="1596883"/>
                    </a:xfrm>
                    <a:prstGeom prst="rect">
                      <a:avLst/>
                    </a:prstGeom>
                    <a:noFill/>
                  </pic:spPr>
                </pic:pic>
              </a:graphicData>
            </a:graphic>
          </wp:inline>
        </w:drawing>
      </w:r>
    </w:p>
    <w:p w14:paraId="37E41821" w14:textId="77777777" w:rsidR="00186E78" w:rsidRPr="00FE2CF6" w:rsidRDefault="00186E78" w:rsidP="00186E78">
      <w:pPr>
        <w:spacing w:before="0" w:line="240" w:lineRule="auto"/>
        <w:ind w:left="720"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44D36AD8" w14:textId="75164CE5" w:rsidR="00186E78" w:rsidRPr="00AE07A4" w:rsidRDefault="00186E78" w:rsidP="00186E78">
      <w:pPr>
        <w:spacing w:line="240" w:lineRule="auto"/>
        <w:rPr>
          <w:rFonts w:cs="Calibri"/>
          <w:i/>
          <w:iCs/>
          <w:noProof/>
          <w:color w:val="17406D" w:themeColor="text2"/>
          <w:sz w:val="18"/>
          <w:szCs w:val="18"/>
          <w:lang w:val="sq-AL"/>
        </w:rPr>
      </w:pPr>
      <w:bookmarkStart w:id="102" w:name="_Toc229130033"/>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16</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Struktura e shpenzimeve </w:t>
      </w:r>
      <w:r w:rsidR="0056260B">
        <w:rPr>
          <w:i/>
          <w:iCs/>
          <w:noProof/>
          <w:color w:val="17406D" w:themeColor="text2"/>
          <w:sz w:val="18"/>
          <w:szCs w:val="18"/>
          <w:lang w:val="sq-AL"/>
        </w:rPr>
        <w:t>korente</w:t>
      </w:r>
      <w:r w:rsidRPr="00FE2CF6">
        <w:rPr>
          <w:i/>
          <w:iCs/>
          <w:noProof/>
          <w:color w:val="17406D" w:themeColor="text2"/>
          <w:sz w:val="18"/>
          <w:szCs w:val="18"/>
          <w:lang w:val="sq-AL"/>
        </w:rPr>
        <w:t xml:space="preserve"> (</w:t>
      </w:r>
      <w:r w:rsidR="0056260B">
        <w:rPr>
          <w:i/>
          <w:iCs/>
          <w:noProof/>
          <w:color w:val="17406D" w:themeColor="text2"/>
          <w:sz w:val="18"/>
          <w:szCs w:val="18"/>
          <w:lang w:val="sq-AL"/>
        </w:rPr>
        <w:t>milionë</w:t>
      </w:r>
      <w:r w:rsidRPr="00FE2CF6">
        <w:rPr>
          <w:i/>
          <w:iCs/>
          <w:noProof/>
          <w:color w:val="17406D" w:themeColor="text2"/>
          <w:sz w:val="18"/>
          <w:szCs w:val="18"/>
          <w:lang w:val="sq-AL"/>
        </w:rPr>
        <w:t xml:space="preserve"> LEK)</w:t>
      </w:r>
      <w:bookmarkEnd w:id="102"/>
    </w:p>
    <w:p w14:paraId="7DB6ABEB" w14:textId="77777777" w:rsidR="00186E78" w:rsidRPr="00FE2CF6" w:rsidRDefault="00186E78" w:rsidP="00186E78">
      <w:pPr>
        <w:spacing w:before="0" w:line="240" w:lineRule="auto"/>
        <w:jc w:val="center"/>
        <w:rPr>
          <w:rFonts w:eastAsia="SimSun" w:cs="Calibri"/>
          <w:noProof/>
          <w:lang w:val="sq-AL"/>
        </w:rPr>
      </w:pPr>
      <w:r>
        <w:rPr>
          <w:rFonts w:eastAsia="SimSun" w:cs="Calibri"/>
          <w:noProof/>
          <w:lang w:val="sq-AL"/>
        </w:rPr>
        <w:drawing>
          <wp:inline distT="0" distB="0" distL="0" distR="0" wp14:anchorId="25EEB0BA" wp14:editId="2A6916B8">
            <wp:extent cx="4022246" cy="2618842"/>
            <wp:effectExtent l="0" t="0" r="0" b="0"/>
            <wp:docPr id="1841446545"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46545" name="Picture 1" descr="A pie chart with numbers and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3001" cy="2671421"/>
                    </a:xfrm>
                    <a:prstGeom prst="rect">
                      <a:avLst/>
                    </a:prstGeom>
                    <a:noFill/>
                  </pic:spPr>
                </pic:pic>
              </a:graphicData>
            </a:graphic>
          </wp:inline>
        </w:drawing>
      </w:r>
    </w:p>
    <w:p w14:paraId="63EE5333" w14:textId="77777777" w:rsidR="00186E78" w:rsidRPr="00FE2CF6" w:rsidRDefault="00186E78" w:rsidP="00186E78">
      <w:pPr>
        <w:spacing w:before="0" w:line="240" w:lineRule="auto"/>
        <w:ind w:left="1440" w:firstLine="720"/>
        <w:rPr>
          <w:rFonts w:eastAsia="SimSun" w:cs="Calibri"/>
          <w:bCs/>
          <w:i/>
          <w:noProof/>
          <w:sz w:val="18"/>
          <w:szCs w:val="18"/>
          <w:lang w:val="sq-AL"/>
        </w:rPr>
      </w:pPr>
      <w:r>
        <w:rPr>
          <w:rFonts w:eastAsia="SimSun" w:cs="Calibri"/>
          <w:bCs/>
          <w:i/>
          <w:noProof/>
          <w:sz w:val="18"/>
          <w:szCs w:val="18"/>
          <w:lang w:val="sq-AL"/>
        </w:rPr>
        <w:t xml:space="preserve">     </w:t>
      </w:r>
      <w:r w:rsidRPr="00FE2CF6">
        <w:rPr>
          <w:rFonts w:eastAsia="SimSun" w:cs="Calibri"/>
          <w:bCs/>
          <w:i/>
          <w:noProof/>
          <w:sz w:val="18"/>
          <w:szCs w:val="18"/>
          <w:lang w:val="sq-AL"/>
        </w:rPr>
        <w:t>Burimi: Ministria e Financave (2026)</w:t>
      </w:r>
    </w:p>
    <w:p w14:paraId="48FABD0B" w14:textId="77777777" w:rsidR="00186E78" w:rsidRPr="00FE2CF6" w:rsidRDefault="00186E78" w:rsidP="00186E78">
      <w:pPr>
        <w:spacing w:before="0" w:line="240" w:lineRule="auto"/>
        <w:ind w:left="2160" w:firstLine="720"/>
        <w:rPr>
          <w:rFonts w:eastAsia="SimSun" w:cs="Calibri"/>
          <w:bCs/>
          <w:i/>
          <w:noProof/>
          <w:sz w:val="18"/>
          <w:szCs w:val="18"/>
          <w:lang w:val="sq-AL"/>
        </w:rPr>
      </w:pPr>
    </w:p>
    <w:p w14:paraId="56332FF4" w14:textId="6DDEE972" w:rsidR="00186E78" w:rsidRPr="00FE2CF6" w:rsidRDefault="00186E78" w:rsidP="00186E78">
      <w:pPr>
        <w:spacing w:before="0" w:line="240" w:lineRule="auto"/>
        <w:rPr>
          <w:rFonts w:eastAsia="SimSun" w:cs="Calibri"/>
          <w:noProof/>
          <w:lang w:val="sq-AL"/>
        </w:rPr>
      </w:pPr>
      <w:r w:rsidRPr="00FE2CF6">
        <w:rPr>
          <w:rFonts w:eastAsia="SimSun" w:cs="Calibri"/>
          <w:i/>
          <w:noProof/>
          <w:lang w:val="sq-AL"/>
        </w:rPr>
        <w:lastRenderedPageBreak/>
        <w:t>Shpenzimet e Personelit</w:t>
      </w:r>
      <w:r w:rsidRPr="00FE2CF6">
        <w:rPr>
          <w:rFonts w:eastAsia="SimSun" w:cs="Calibri"/>
          <w:noProof/>
          <w:lang w:val="sq-AL"/>
        </w:rPr>
        <w:t xml:space="preserve"> për vitin 2025, përfaqësuan 19.2% të totalit të shpenzimeve korente. Niveli i shpenzimeve faktike të personelit prej rreth 125.7 </w:t>
      </w:r>
      <w:r w:rsidR="0056260B">
        <w:rPr>
          <w:rFonts w:eastAsia="SimSun" w:cs="Calibri"/>
          <w:noProof/>
          <w:lang w:val="sq-AL"/>
        </w:rPr>
        <w:t>miliardë</w:t>
      </w:r>
      <w:r w:rsidRPr="00FE2CF6">
        <w:rPr>
          <w:rFonts w:eastAsia="SimSun" w:cs="Calibri"/>
          <w:noProof/>
          <w:lang w:val="sq-AL"/>
        </w:rPr>
        <w:t xml:space="preserve"> LEK, </w:t>
      </w:r>
      <w:r w:rsidR="00223645">
        <w:rPr>
          <w:rFonts w:eastAsia="SimSun" w:cs="Calibri"/>
          <w:noProof/>
          <w:lang w:val="sq-AL"/>
        </w:rPr>
        <w:t>përbën</w:t>
      </w:r>
      <w:r w:rsidRPr="00FE2CF6">
        <w:rPr>
          <w:rFonts w:eastAsia="SimSun" w:cs="Calibri"/>
          <w:noProof/>
          <w:lang w:val="sq-AL"/>
        </w:rPr>
        <w:t xml:space="preserve"> 98.3% </w:t>
      </w:r>
      <w:r w:rsidR="00223645">
        <w:rPr>
          <w:rFonts w:eastAsia="SimSun" w:cs="Calibri"/>
          <w:noProof/>
          <w:lang w:val="sq-AL"/>
        </w:rPr>
        <w:t>të</w:t>
      </w:r>
      <w:r w:rsidRPr="00FE2CF6">
        <w:rPr>
          <w:rFonts w:eastAsia="SimSun" w:cs="Calibri"/>
          <w:noProof/>
          <w:lang w:val="sq-AL"/>
        </w:rPr>
        <w:t xml:space="preserve"> planit vjetor sipas buxhetit fillestar, 99.1% </w:t>
      </w:r>
      <w:r w:rsidR="00223645">
        <w:rPr>
          <w:rFonts w:eastAsia="SimSun" w:cs="Calibri"/>
          <w:noProof/>
          <w:lang w:val="sq-AL"/>
        </w:rPr>
        <w:t>të</w:t>
      </w:r>
      <w:r w:rsidRPr="00FE2CF6">
        <w:rPr>
          <w:rFonts w:eastAsia="SimSun" w:cs="Calibri"/>
          <w:noProof/>
          <w:lang w:val="sq-AL"/>
        </w:rPr>
        <w:t xml:space="preserve"> planit të ndryshuar me AN nr.11/2025 dhe 99% </w:t>
      </w:r>
      <w:r w:rsidR="00223645">
        <w:rPr>
          <w:rFonts w:eastAsia="SimSun" w:cs="Calibri"/>
          <w:noProof/>
          <w:lang w:val="sq-AL"/>
        </w:rPr>
        <w:t>të</w:t>
      </w:r>
      <w:r w:rsidRPr="00FE2CF6">
        <w:rPr>
          <w:rFonts w:eastAsia="SimSun" w:cs="Calibri"/>
          <w:noProof/>
          <w:lang w:val="sq-AL"/>
        </w:rPr>
        <w:t xml:space="preserve"> planit përfundimtar me ndryshime dhe shpërndarje rezervash. Krahasuar me 2024, ky zë është 11.5% më i lartë ose rreth 13 </w:t>
      </w:r>
      <w:r w:rsidR="0056260B">
        <w:rPr>
          <w:rFonts w:eastAsia="SimSun" w:cs="Calibri"/>
          <w:noProof/>
          <w:lang w:val="sq-AL"/>
        </w:rPr>
        <w:t>miliardë</w:t>
      </w:r>
      <w:r w:rsidRPr="00FE2CF6">
        <w:rPr>
          <w:rFonts w:eastAsia="SimSun" w:cs="Calibri"/>
          <w:noProof/>
          <w:lang w:val="sq-AL"/>
        </w:rPr>
        <w:t xml:space="preserve"> LEK më shumë.</w:t>
      </w:r>
    </w:p>
    <w:p w14:paraId="04C37F22" w14:textId="77777777" w:rsidR="00186E78" w:rsidRPr="00FE2CF6" w:rsidRDefault="00186E78" w:rsidP="00186E78">
      <w:pPr>
        <w:spacing w:line="240" w:lineRule="auto"/>
        <w:contextualSpacing/>
        <w:rPr>
          <w:rFonts w:eastAsia="SimSun" w:cs="Calibri"/>
          <w:bCs/>
          <w:noProof/>
          <w:sz w:val="8"/>
          <w:szCs w:val="8"/>
          <w:lang w:val="sq-AL"/>
        </w:rPr>
      </w:pPr>
    </w:p>
    <w:p w14:paraId="5AF0E682" w14:textId="1CE7904D" w:rsidR="00186E78" w:rsidRPr="00FE2CF6" w:rsidRDefault="00186E78" w:rsidP="00186E78">
      <w:pPr>
        <w:rPr>
          <w:rFonts w:cs="Calibri"/>
          <w:i/>
          <w:iCs/>
          <w:noProof/>
          <w:color w:val="17406D" w:themeColor="text2"/>
          <w:sz w:val="18"/>
          <w:szCs w:val="18"/>
          <w:lang w:val="sq-AL"/>
        </w:rPr>
      </w:pPr>
      <w:bookmarkStart w:id="103" w:name="_Toc229130034"/>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17</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e personelit në vite dhe ritmi i rritjes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3"/>
    </w:p>
    <w:p w14:paraId="66C7FB0A" w14:textId="77777777" w:rsidR="00186E78" w:rsidRPr="00FE2CF6" w:rsidRDefault="00186E78" w:rsidP="00186E78">
      <w:pPr>
        <w:spacing w:before="0" w:line="240" w:lineRule="auto"/>
        <w:jc w:val="center"/>
        <w:rPr>
          <w:rFonts w:eastAsia="SimSun" w:cs="Calibri"/>
          <w:i/>
          <w:noProof/>
          <w:lang w:val="sq-AL"/>
        </w:rPr>
      </w:pPr>
      <w:r w:rsidRPr="00FE2CF6">
        <w:rPr>
          <w:rFonts w:eastAsia="SimSun" w:cs="Calibri"/>
          <w:i/>
          <w:noProof/>
          <w:lang w:val="sq-AL"/>
        </w:rPr>
        <w:drawing>
          <wp:inline distT="0" distB="0" distL="0" distR="0" wp14:anchorId="50800350" wp14:editId="7601768E">
            <wp:extent cx="5165090" cy="1770278"/>
            <wp:effectExtent l="0" t="0" r="0" b="1905"/>
            <wp:docPr id="2097225321" name="Picture 3"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25321" name="Picture 3" descr="A graph with a line and number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2628" cy="1783144"/>
                    </a:xfrm>
                    <a:prstGeom prst="rect">
                      <a:avLst/>
                    </a:prstGeom>
                    <a:noFill/>
                  </pic:spPr>
                </pic:pic>
              </a:graphicData>
            </a:graphic>
          </wp:inline>
        </w:drawing>
      </w:r>
    </w:p>
    <w:p w14:paraId="20F6AB77" w14:textId="77777777" w:rsidR="00186E78" w:rsidRPr="00FE2CF6" w:rsidRDefault="00186E78" w:rsidP="00186E78">
      <w:pPr>
        <w:spacing w:before="0" w:line="360" w:lineRule="auto"/>
        <w:ind w:left="720"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321CBF3C" w14:textId="5E9A5E03" w:rsidR="00186E78" w:rsidRPr="00FE2CF6" w:rsidRDefault="00186E78" w:rsidP="00186E78">
      <w:pPr>
        <w:spacing w:before="0" w:line="240" w:lineRule="auto"/>
        <w:rPr>
          <w:rFonts w:eastAsia="SimSun" w:cs="Calibri"/>
          <w:noProof/>
          <w:lang w:val="sq-AL"/>
        </w:rPr>
      </w:pPr>
      <w:r w:rsidRPr="00FE2CF6">
        <w:rPr>
          <w:rFonts w:eastAsia="SimSun" w:cs="Calibri"/>
          <w:i/>
          <w:noProof/>
          <w:lang w:val="sq-AL"/>
        </w:rPr>
        <w:t>Shpenzimet për Interesa</w:t>
      </w:r>
      <w:r w:rsidRPr="00FE2CF6">
        <w:rPr>
          <w:rFonts w:eastAsia="SimSun" w:cs="Calibri"/>
          <w:noProof/>
          <w:lang w:val="sq-AL"/>
        </w:rPr>
        <w:t xml:space="preserve"> për vitin 2025 kanë arritur nivelin 54.7 </w:t>
      </w:r>
      <w:r w:rsidR="0056260B">
        <w:rPr>
          <w:rFonts w:eastAsia="SimSun" w:cs="Calibri"/>
          <w:noProof/>
          <w:lang w:val="sq-AL"/>
        </w:rPr>
        <w:t>miliardë</w:t>
      </w:r>
      <w:r w:rsidRPr="00FE2CF6">
        <w:rPr>
          <w:rFonts w:eastAsia="SimSun" w:cs="Calibri"/>
          <w:noProof/>
          <w:lang w:val="sq-AL"/>
        </w:rPr>
        <w:t xml:space="preserve"> LEK</w:t>
      </w:r>
      <w:r w:rsidR="00223645">
        <w:rPr>
          <w:rFonts w:eastAsia="SimSun" w:cs="Calibri"/>
          <w:noProof/>
          <w:lang w:val="sq-AL"/>
        </w:rPr>
        <w:t>,</w:t>
      </w:r>
      <w:r w:rsidRPr="00FE2CF6">
        <w:rPr>
          <w:rFonts w:eastAsia="SimSun" w:cs="Calibri"/>
          <w:noProof/>
          <w:lang w:val="sq-AL"/>
        </w:rPr>
        <w:t xml:space="preserve"> duke përfaqësuar 8.4% të shpenzimeve korente. Niveli faktik i tyre ka rezultuar në masën 79.8% e planit vjetor sipas buxhetit fillestar, 88.6% e planit vjetor sipas AN nr.11/2025 dhe po aq e planit përfundimtar me ndryshime e shpërndarje rezervash. Krahasuar me vitin 2024, ky zë ka rezultuar 0.4% më i lartë ose rreth 233 </w:t>
      </w:r>
      <w:r w:rsidR="0056260B">
        <w:rPr>
          <w:rFonts w:eastAsia="SimSun" w:cs="Calibri"/>
          <w:noProof/>
          <w:lang w:val="sq-AL"/>
        </w:rPr>
        <w:t>milionë</w:t>
      </w:r>
      <w:r w:rsidRPr="00FE2CF6">
        <w:rPr>
          <w:rFonts w:eastAsia="SimSun" w:cs="Calibri"/>
          <w:noProof/>
          <w:lang w:val="sq-AL"/>
        </w:rPr>
        <w:t xml:space="preserve"> LEK më shumë.</w:t>
      </w:r>
    </w:p>
    <w:p w14:paraId="13E133D2" w14:textId="5D69DAA4" w:rsidR="00186E78" w:rsidRPr="00FE2CF6" w:rsidRDefault="00186E78" w:rsidP="00186E78">
      <w:pPr>
        <w:rPr>
          <w:rFonts w:cs="Calibri"/>
          <w:i/>
          <w:iCs/>
          <w:noProof/>
          <w:color w:val="17406D" w:themeColor="text2"/>
          <w:sz w:val="18"/>
          <w:szCs w:val="18"/>
          <w:lang w:val="sq-AL"/>
        </w:rPr>
      </w:pPr>
      <w:bookmarkStart w:id="104" w:name="_Toc229130035"/>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18</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për interesa në vite dhe ritmi i rritjes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4"/>
    </w:p>
    <w:p w14:paraId="418DBCA8" w14:textId="77777777" w:rsidR="00186E78" w:rsidRPr="00FE2CF6" w:rsidRDefault="00186E78" w:rsidP="00186E78">
      <w:pPr>
        <w:spacing w:before="0" w:line="240" w:lineRule="auto"/>
        <w:jc w:val="center"/>
        <w:rPr>
          <w:rFonts w:eastAsia="SimSun" w:cs="Calibri"/>
          <w:noProof/>
          <w:lang w:val="sq-AL"/>
        </w:rPr>
      </w:pPr>
      <w:r w:rsidRPr="00FE2CF6">
        <w:rPr>
          <w:rFonts w:eastAsia="SimSun" w:cs="Calibri"/>
          <w:noProof/>
          <w:lang w:val="sq-AL"/>
        </w:rPr>
        <w:drawing>
          <wp:inline distT="0" distB="0" distL="0" distR="0" wp14:anchorId="1842169E" wp14:editId="1ACB0F72">
            <wp:extent cx="5128260" cy="1697126"/>
            <wp:effectExtent l="0" t="0" r="0" b="0"/>
            <wp:docPr id="1156488790" name="Picture 4"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88790" name="Picture 4" descr="A graph of numbers and a ba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4821" cy="1712535"/>
                    </a:xfrm>
                    <a:prstGeom prst="rect">
                      <a:avLst/>
                    </a:prstGeom>
                    <a:noFill/>
                  </pic:spPr>
                </pic:pic>
              </a:graphicData>
            </a:graphic>
          </wp:inline>
        </w:drawing>
      </w:r>
    </w:p>
    <w:p w14:paraId="758B49CD" w14:textId="77777777" w:rsidR="00186E78" w:rsidRPr="00FE2CF6" w:rsidRDefault="00186E78" w:rsidP="00186E78">
      <w:pPr>
        <w:spacing w:before="0" w:line="360" w:lineRule="auto"/>
        <w:ind w:left="720" w:firstLine="720"/>
        <w:rPr>
          <w:rFonts w:eastAsia="SimSun" w:cs="Calibri"/>
          <w:bCs/>
          <w:i/>
          <w:noProof/>
          <w:sz w:val="18"/>
          <w:lang w:val="sq-AL"/>
        </w:rPr>
      </w:pPr>
      <w:r w:rsidRPr="00FE2CF6">
        <w:rPr>
          <w:rFonts w:eastAsia="SimSun" w:cs="Calibri"/>
          <w:bCs/>
          <w:i/>
          <w:noProof/>
          <w:sz w:val="18"/>
          <w:lang w:val="sq-AL"/>
        </w:rPr>
        <w:t>Burimi: Ministria e Financave (2026)</w:t>
      </w:r>
    </w:p>
    <w:p w14:paraId="7B9B3654" w14:textId="5CD94587" w:rsidR="00186E78" w:rsidRPr="00FE2CF6" w:rsidRDefault="00186E78" w:rsidP="00186E78">
      <w:pPr>
        <w:spacing w:before="0" w:line="240" w:lineRule="auto"/>
        <w:rPr>
          <w:rFonts w:eastAsia="SimSun" w:cs="Calibri"/>
          <w:noProof/>
          <w:lang w:val="sq-AL"/>
        </w:rPr>
      </w:pPr>
      <w:r w:rsidRPr="00FE2CF6">
        <w:rPr>
          <w:rFonts w:eastAsia="SimSun" w:cs="Calibri"/>
          <w:i/>
          <w:noProof/>
          <w:lang w:val="sq-AL"/>
        </w:rPr>
        <w:t xml:space="preserve">Shpenzimet Operative &amp; Mirëmbajtje </w:t>
      </w:r>
      <w:r w:rsidRPr="00FE2CF6">
        <w:rPr>
          <w:rFonts w:eastAsia="SimSun" w:cs="Calibri"/>
          <w:noProof/>
          <w:lang w:val="sq-AL"/>
        </w:rPr>
        <w:t xml:space="preserve">për vitin 2025 kanë shënuar një realizim në masën rreth 83.7 </w:t>
      </w:r>
      <w:r w:rsidR="0056260B">
        <w:rPr>
          <w:rFonts w:eastAsia="SimSun" w:cs="Calibri"/>
          <w:noProof/>
          <w:lang w:val="sq-AL"/>
        </w:rPr>
        <w:t>miliardë</w:t>
      </w:r>
      <w:r w:rsidRPr="00FE2CF6">
        <w:rPr>
          <w:rFonts w:eastAsia="SimSun" w:cs="Calibri"/>
          <w:noProof/>
          <w:lang w:val="sq-AL"/>
        </w:rPr>
        <w:t xml:space="preserve"> LEK ose 110.6% e planit vjetor sipas buxhetit fillestar, 97.3% të planit vjetor sipas AN nr.11/2025 dhe 92.8% e planit përfundimtar me ndryshime e shpërndarje rezervash. Krahasuar me vitin 2024, ky zë ka rezultuar 4.3% më i lartë ose rreth 3.5 </w:t>
      </w:r>
      <w:r w:rsidR="0056260B">
        <w:rPr>
          <w:rFonts w:eastAsia="SimSun" w:cs="Calibri"/>
          <w:noProof/>
          <w:lang w:val="sq-AL"/>
        </w:rPr>
        <w:t>miliardë</w:t>
      </w:r>
      <w:r w:rsidRPr="00FE2CF6">
        <w:rPr>
          <w:rFonts w:eastAsia="SimSun" w:cs="Calibri"/>
          <w:noProof/>
          <w:lang w:val="sq-AL"/>
        </w:rPr>
        <w:t xml:space="preserve"> LEK më shumë.</w:t>
      </w:r>
    </w:p>
    <w:p w14:paraId="0C803446" w14:textId="3F8B4D1D" w:rsidR="00186E78" w:rsidRPr="00FE2CF6" w:rsidRDefault="00186E78" w:rsidP="00186E78">
      <w:pPr>
        <w:rPr>
          <w:rFonts w:cs="Calibri"/>
          <w:i/>
          <w:iCs/>
          <w:noProof/>
          <w:color w:val="17406D" w:themeColor="text2"/>
          <w:sz w:val="18"/>
          <w:szCs w:val="18"/>
          <w:lang w:val="sq-AL"/>
        </w:rPr>
      </w:pPr>
      <w:bookmarkStart w:id="105" w:name="_Toc229130036"/>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19</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operative e të mirëmbajtjes dhe ritmi i rritjes vjetore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5"/>
    </w:p>
    <w:p w14:paraId="2D62095E" w14:textId="77777777" w:rsidR="00186E78" w:rsidRPr="00FE2CF6" w:rsidRDefault="00186E78" w:rsidP="00186E78">
      <w:pPr>
        <w:spacing w:before="0"/>
        <w:jc w:val="center"/>
        <w:rPr>
          <w:rFonts w:eastAsia="SimSun" w:cs="Calibri"/>
          <w:noProof/>
          <w:lang w:val="sq-AL"/>
        </w:rPr>
      </w:pPr>
      <w:r w:rsidRPr="00FE2CF6">
        <w:rPr>
          <w:rFonts w:eastAsia="SimSun" w:cs="Calibri"/>
          <w:noProof/>
          <w:lang w:val="sq-AL"/>
        </w:rPr>
        <w:drawing>
          <wp:inline distT="0" distB="0" distL="0" distR="0" wp14:anchorId="1E19E54C" wp14:editId="331C13DE">
            <wp:extent cx="4968875" cy="1960473"/>
            <wp:effectExtent l="0" t="0" r="3175" b="1905"/>
            <wp:docPr id="1264427436" name="Picture 5"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7436" name="Picture 5" descr="A graph with a line going up&#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8824" cy="1976235"/>
                    </a:xfrm>
                    <a:prstGeom prst="rect">
                      <a:avLst/>
                    </a:prstGeom>
                    <a:noFill/>
                  </pic:spPr>
                </pic:pic>
              </a:graphicData>
            </a:graphic>
          </wp:inline>
        </w:drawing>
      </w:r>
    </w:p>
    <w:p w14:paraId="250E2DDF" w14:textId="77777777" w:rsidR="00186E78" w:rsidRPr="00FE2CF6" w:rsidRDefault="00186E78" w:rsidP="00186E78">
      <w:pPr>
        <w:spacing w:before="0" w:line="360" w:lineRule="auto"/>
        <w:ind w:left="720" w:firstLine="720"/>
        <w:rPr>
          <w:rFonts w:eastAsia="SimSun" w:cs="Calibri"/>
          <w:bCs/>
          <w:i/>
          <w:noProof/>
          <w:sz w:val="18"/>
          <w:lang w:val="sq-AL"/>
        </w:rPr>
      </w:pPr>
      <w:r w:rsidRPr="00FE2CF6">
        <w:rPr>
          <w:rFonts w:eastAsia="SimSun" w:cs="Calibri"/>
          <w:bCs/>
          <w:i/>
          <w:noProof/>
          <w:sz w:val="18"/>
          <w:lang w:val="sq-AL"/>
        </w:rPr>
        <w:t>Burimi: Ministria e Financave (2026)</w:t>
      </w:r>
    </w:p>
    <w:p w14:paraId="288242F9" w14:textId="77777777" w:rsidR="00223645" w:rsidRDefault="00223645" w:rsidP="008E3043">
      <w:pPr>
        <w:spacing w:before="0" w:line="240" w:lineRule="auto"/>
        <w:rPr>
          <w:rFonts w:eastAsia="SimSun" w:cs="Calibri"/>
          <w:i/>
          <w:noProof/>
          <w:lang w:val="sq-AL"/>
        </w:rPr>
      </w:pPr>
    </w:p>
    <w:p w14:paraId="2C028BDF" w14:textId="6926730F" w:rsidR="00186E78" w:rsidRPr="00E32FFB" w:rsidRDefault="00186E78" w:rsidP="008E3043">
      <w:pPr>
        <w:spacing w:before="0" w:line="240" w:lineRule="auto"/>
        <w:rPr>
          <w:rFonts w:eastAsia="SimSun" w:cs="Calibri"/>
          <w:noProof/>
          <w:lang w:val="sq-AL"/>
        </w:rPr>
      </w:pPr>
      <w:r w:rsidRPr="00FE2CF6">
        <w:rPr>
          <w:rFonts w:eastAsia="SimSun" w:cs="Calibri"/>
          <w:i/>
          <w:noProof/>
          <w:lang w:val="sq-AL"/>
        </w:rPr>
        <w:lastRenderedPageBreak/>
        <w:t>Shpenzimet për Subvencione,</w:t>
      </w:r>
      <w:r w:rsidRPr="00FE2CF6">
        <w:rPr>
          <w:rFonts w:eastAsia="SimSun" w:cs="Calibri"/>
          <w:noProof/>
          <w:lang w:val="sq-AL"/>
        </w:rPr>
        <w:t xml:space="preserve"> për vitin 2025 arritën nivelin rreth 2.4 </w:t>
      </w:r>
      <w:r w:rsidR="0056260B">
        <w:rPr>
          <w:rFonts w:eastAsia="SimSun" w:cs="Calibri"/>
          <w:noProof/>
          <w:lang w:val="sq-AL"/>
        </w:rPr>
        <w:t>miliardë</w:t>
      </w:r>
      <w:r w:rsidRPr="00FE2CF6">
        <w:rPr>
          <w:rFonts w:eastAsia="SimSun" w:cs="Calibri"/>
          <w:noProof/>
          <w:lang w:val="sq-AL"/>
        </w:rPr>
        <w:t xml:space="preserve"> LEK, me një realizim në masën 121.3% e planit vjetor sipas buxhetit fillestar, 132.5% e planit vjetor sipas AN nr.11/2025 dhe 99.6% e planit përfundimtar me ndryshime dhe shpërndarje rezervash. Ndërkohë që, krahasuar me vitin 2024 shpenzimet për subvencione rezultojnë 31.8% më të larta ose 570 </w:t>
      </w:r>
      <w:r w:rsidR="0056260B">
        <w:rPr>
          <w:rFonts w:eastAsia="SimSun" w:cs="Calibri"/>
          <w:noProof/>
          <w:lang w:val="sq-AL"/>
        </w:rPr>
        <w:t>milionë</w:t>
      </w:r>
      <w:r w:rsidRPr="00FE2CF6">
        <w:rPr>
          <w:rFonts w:eastAsia="SimSun" w:cs="Calibri"/>
          <w:noProof/>
          <w:lang w:val="sq-AL"/>
        </w:rPr>
        <w:t xml:space="preserve"> LEK më shumë</w:t>
      </w:r>
      <w:r w:rsidR="00223645">
        <w:rPr>
          <w:rFonts w:eastAsia="SimSun" w:cs="Calibri"/>
          <w:noProof/>
          <w:lang w:val="sq-AL"/>
        </w:rPr>
        <w:t>,</w:t>
      </w:r>
      <w:r w:rsidRPr="00FE2CF6">
        <w:rPr>
          <w:rFonts w:eastAsia="SimSun" w:cs="Calibri"/>
          <w:noProof/>
          <w:lang w:val="sq-AL"/>
        </w:rPr>
        <w:t xml:space="preserve"> kushtëzuar kjo nga akordimi i fondeve shtesë prej </w:t>
      </w:r>
      <w:r w:rsidRPr="00E32FFB">
        <w:rPr>
          <w:rFonts w:eastAsia="SimSun" w:cs="Calibri"/>
          <w:noProof/>
          <w:lang w:val="sq-AL"/>
        </w:rPr>
        <w:t xml:space="preserve">392 </w:t>
      </w:r>
      <w:r w:rsidR="0056260B" w:rsidRPr="00E32FFB">
        <w:rPr>
          <w:rFonts w:eastAsia="SimSun" w:cs="Calibri"/>
          <w:noProof/>
          <w:lang w:val="sq-AL"/>
        </w:rPr>
        <w:t>milionë</w:t>
      </w:r>
      <w:r w:rsidRPr="00E32FFB">
        <w:rPr>
          <w:rFonts w:eastAsia="SimSun" w:cs="Calibri"/>
          <w:noProof/>
          <w:lang w:val="sq-AL"/>
        </w:rPr>
        <w:t xml:space="preserve"> nga fondi rezerv</w:t>
      </w:r>
      <w:r w:rsidR="00223645" w:rsidRPr="00E32FFB">
        <w:rPr>
          <w:rFonts w:eastAsia="SimSun" w:cs="Calibri"/>
          <w:noProof/>
          <w:lang w:val="sq-AL"/>
        </w:rPr>
        <w:t>ë</w:t>
      </w:r>
      <w:r w:rsidRPr="00E32FFB">
        <w:rPr>
          <w:rFonts w:eastAsia="SimSun" w:cs="Calibri"/>
          <w:noProof/>
          <w:lang w:val="sq-AL"/>
        </w:rPr>
        <w:t xml:space="preserve"> me VKM</w:t>
      </w:r>
      <w:r w:rsidR="00C664CB" w:rsidRPr="00E32FFB">
        <w:rPr>
          <w:rFonts w:eastAsia="SimSun" w:cs="Calibri"/>
          <w:noProof/>
          <w:lang w:val="sq-AL"/>
        </w:rPr>
        <w:t>, me qëllim</w:t>
      </w:r>
      <w:r w:rsidR="00E32FFB" w:rsidRPr="00E32FFB">
        <w:t xml:space="preserve"> </w:t>
      </w:r>
      <w:r w:rsidR="00E32FFB" w:rsidRPr="00E32FFB">
        <w:rPr>
          <w:rFonts w:eastAsia="SimSun" w:cs="Calibri"/>
          <w:noProof/>
          <w:lang w:val="sq-AL"/>
        </w:rPr>
        <w:t xml:space="preserve">përballimin e shpenzimeve të Organizimit të Forumit të Investimeve midis vendeve të Bashkimit Evropian dhe Vendeve të Ballkanit Perëndimor që </w:t>
      </w:r>
      <w:r w:rsidR="00E32FFB">
        <w:rPr>
          <w:rFonts w:eastAsia="SimSun" w:cs="Calibri"/>
          <w:noProof/>
          <w:lang w:val="sq-AL"/>
        </w:rPr>
        <w:t>u</w:t>
      </w:r>
      <w:r w:rsidR="00E32FFB" w:rsidRPr="00E32FFB">
        <w:rPr>
          <w:rFonts w:eastAsia="SimSun" w:cs="Calibri"/>
          <w:noProof/>
          <w:lang w:val="sq-AL"/>
        </w:rPr>
        <w:t xml:space="preserve"> zhvill</w:t>
      </w:r>
      <w:r w:rsidR="00E32FFB">
        <w:rPr>
          <w:rFonts w:eastAsia="SimSun" w:cs="Calibri"/>
          <w:noProof/>
          <w:lang w:val="sq-AL"/>
        </w:rPr>
        <w:t>ua</w:t>
      </w:r>
      <w:r w:rsidR="00E32FFB" w:rsidRPr="00E32FFB">
        <w:rPr>
          <w:rFonts w:eastAsia="SimSun" w:cs="Calibri"/>
          <w:noProof/>
          <w:lang w:val="sq-AL"/>
        </w:rPr>
        <w:t xml:space="preserve"> në Tiranë në datë 13-14 Tetor 2025.</w:t>
      </w:r>
    </w:p>
    <w:p w14:paraId="78BCA4E7" w14:textId="33079145" w:rsidR="00186E78" w:rsidRPr="00FE2CF6" w:rsidRDefault="00186E78" w:rsidP="00186E78">
      <w:pPr>
        <w:rPr>
          <w:rFonts w:cs="Calibri"/>
          <w:i/>
          <w:iCs/>
          <w:noProof/>
          <w:color w:val="17406D" w:themeColor="text2"/>
          <w:sz w:val="18"/>
          <w:szCs w:val="18"/>
          <w:lang w:val="sq-AL"/>
        </w:rPr>
      </w:pPr>
      <w:bookmarkStart w:id="106" w:name="_Toc229130037"/>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20</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p</w:t>
      </w:r>
      <w:r w:rsidR="0056260B">
        <w:rPr>
          <w:i/>
          <w:iCs/>
          <w:noProof/>
          <w:color w:val="17406D" w:themeColor="text2"/>
          <w:sz w:val="18"/>
          <w:szCs w:val="18"/>
          <w:lang w:val="sq-AL"/>
        </w:rPr>
        <w:t>ë</w:t>
      </w:r>
      <w:r w:rsidRPr="00FE2CF6">
        <w:rPr>
          <w:i/>
          <w:iCs/>
          <w:noProof/>
          <w:color w:val="17406D" w:themeColor="text2"/>
          <w:sz w:val="18"/>
          <w:szCs w:val="18"/>
          <w:lang w:val="sq-AL"/>
        </w:rPr>
        <w:t>r subvencione dhe ritmi i rritjes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6"/>
    </w:p>
    <w:p w14:paraId="780F2947" w14:textId="77777777" w:rsidR="00186E78" w:rsidRPr="00FE2CF6" w:rsidRDefault="00186E78" w:rsidP="00186E78">
      <w:pPr>
        <w:spacing w:before="0" w:line="240" w:lineRule="auto"/>
        <w:jc w:val="center"/>
        <w:rPr>
          <w:rFonts w:eastAsia="SimSun" w:cs="Calibri"/>
          <w:noProof/>
          <w:lang w:val="sq-AL"/>
        </w:rPr>
      </w:pPr>
      <w:r w:rsidRPr="00FE2CF6">
        <w:rPr>
          <w:rFonts w:eastAsia="SimSun" w:cs="Calibri"/>
          <w:noProof/>
          <w:lang w:val="sq-AL"/>
        </w:rPr>
        <w:drawing>
          <wp:inline distT="0" distB="0" distL="0" distR="0" wp14:anchorId="26A52BDB" wp14:editId="4E525371">
            <wp:extent cx="4983778" cy="1820545"/>
            <wp:effectExtent l="0" t="0" r="7620" b="8255"/>
            <wp:docPr id="911659772" name="Picture 6"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59772" name="Picture 6" descr="A graph with a line and number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7458" cy="1829195"/>
                    </a:xfrm>
                    <a:prstGeom prst="rect">
                      <a:avLst/>
                    </a:prstGeom>
                    <a:noFill/>
                  </pic:spPr>
                </pic:pic>
              </a:graphicData>
            </a:graphic>
          </wp:inline>
        </w:drawing>
      </w:r>
    </w:p>
    <w:p w14:paraId="78AF7044" w14:textId="77777777" w:rsidR="00186E78" w:rsidRPr="00FE2CF6" w:rsidRDefault="00186E78" w:rsidP="00186E78">
      <w:pPr>
        <w:spacing w:before="0" w:line="360" w:lineRule="auto"/>
        <w:ind w:left="720"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7D72DB0F" w14:textId="0A9741CB" w:rsidR="00186E78" w:rsidRPr="00FE2CF6" w:rsidRDefault="00186E78" w:rsidP="00186E78">
      <w:pPr>
        <w:spacing w:before="0" w:line="240" w:lineRule="auto"/>
        <w:rPr>
          <w:rFonts w:cs="Calibri"/>
          <w:bCs/>
          <w:i/>
          <w:iCs/>
          <w:noProof/>
          <w:lang w:val="sq-AL"/>
        </w:rPr>
      </w:pPr>
      <w:bookmarkStart w:id="107" w:name="_Hlk178686427"/>
      <w:r w:rsidRPr="00FE2CF6">
        <w:rPr>
          <w:rFonts w:cs="Calibri"/>
          <w:i/>
          <w:noProof/>
          <w:lang w:val="sq-AL"/>
        </w:rPr>
        <w:t>Shpenzimet për Fondet Speciale</w:t>
      </w:r>
      <w:r w:rsidRPr="00FE2CF6">
        <w:rPr>
          <w:rFonts w:cs="Calibri"/>
          <w:noProof/>
          <w:lang w:val="sq-AL"/>
        </w:rPr>
        <w:t xml:space="preserve"> </w:t>
      </w:r>
      <w:bookmarkEnd w:id="107"/>
      <w:r w:rsidRPr="00FE2CF6">
        <w:rPr>
          <w:rFonts w:cs="Calibri"/>
          <w:noProof/>
          <w:lang w:val="sq-AL"/>
        </w:rPr>
        <w:t xml:space="preserve">për vitin 2025 rezultuan në nivelin rreth 270.3 </w:t>
      </w:r>
      <w:r w:rsidR="0056260B">
        <w:rPr>
          <w:rFonts w:cs="Calibri"/>
          <w:noProof/>
          <w:lang w:val="sq-AL"/>
        </w:rPr>
        <w:t>miliardë</w:t>
      </w:r>
      <w:r w:rsidRPr="00FE2CF6">
        <w:rPr>
          <w:rFonts w:cs="Calibri"/>
          <w:noProof/>
          <w:lang w:val="sq-AL"/>
        </w:rPr>
        <w:t xml:space="preserve"> LEK, me një realizim prej 102.4% të planit vjetor sipas buxhetit fillestar, 99.1% të planit vjetor të ndryshuar me AN nr.11/2025 dhe po aq e planit përfundimtar me ndryshime e shpërndarje rezervash. Përkatësisht</w:t>
      </w:r>
      <w:r w:rsidRPr="00FE2CF6">
        <w:rPr>
          <w:rFonts w:cs="Calibri"/>
          <w:bCs/>
          <w:i/>
          <w:iCs/>
          <w:noProof/>
          <w:lang w:val="sq-AL"/>
        </w:rPr>
        <w:t>:</w:t>
      </w:r>
    </w:p>
    <w:p w14:paraId="3A4AC01E" w14:textId="67C3BA6C" w:rsidR="00186E78" w:rsidRPr="00223645" w:rsidRDefault="00186E78">
      <w:pPr>
        <w:numPr>
          <w:ilvl w:val="0"/>
          <w:numId w:val="21"/>
        </w:numPr>
        <w:spacing w:before="0" w:after="160" w:line="259" w:lineRule="auto"/>
        <w:contextualSpacing/>
        <w:rPr>
          <w:i/>
          <w:szCs w:val="22"/>
          <w:lang w:val="sq-AL"/>
        </w:rPr>
      </w:pPr>
      <w:r w:rsidRPr="00223645">
        <w:rPr>
          <w:i/>
          <w:szCs w:val="22"/>
          <w:lang w:val="sq-AL"/>
        </w:rPr>
        <w:t xml:space="preserve">Shpenzimet për Sigurime Shoqërore u realizuan në masën rreth 204.1 </w:t>
      </w:r>
      <w:r w:rsidR="0056260B" w:rsidRPr="00223645">
        <w:rPr>
          <w:i/>
          <w:szCs w:val="22"/>
          <w:lang w:val="sq-AL"/>
        </w:rPr>
        <w:t>miliardë</w:t>
      </w:r>
      <w:r w:rsidRPr="00223645">
        <w:rPr>
          <w:i/>
          <w:szCs w:val="22"/>
          <w:lang w:val="sq-AL"/>
        </w:rPr>
        <w:t xml:space="preserve"> LEK, duke rezultuar 106.1% e planit vjetor sipas buxhetit fillestar, 105.2% e planit vjetor sipas AN nr.11/2025 dhe 99.6% e planit përfundimtar me ndryshime dhe shpërndarje rezervash.</w:t>
      </w:r>
    </w:p>
    <w:p w14:paraId="60B90781" w14:textId="5AD3AB7B" w:rsidR="00186E78" w:rsidRPr="00223645" w:rsidRDefault="00186E78">
      <w:pPr>
        <w:numPr>
          <w:ilvl w:val="0"/>
          <w:numId w:val="21"/>
        </w:numPr>
        <w:spacing w:before="0" w:after="160" w:line="259" w:lineRule="auto"/>
        <w:contextualSpacing/>
        <w:rPr>
          <w:i/>
          <w:szCs w:val="22"/>
          <w:lang w:val="sq-AL"/>
        </w:rPr>
      </w:pPr>
      <w:r w:rsidRPr="00223645">
        <w:rPr>
          <w:i/>
          <w:szCs w:val="22"/>
          <w:lang w:val="sq-AL"/>
        </w:rPr>
        <w:t xml:space="preserve">Shpenzimet për Sigurime Shëndetësore u realizuan në masën rreth 64 </w:t>
      </w:r>
      <w:r w:rsidR="0056260B" w:rsidRPr="00223645">
        <w:rPr>
          <w:i/>
          <w:szCs w:val="22"/>
          <w:lang w:val="sq-AL"/>
        </w:rPr>
        <w:t>miliardë</w:t>
      </w:r>
      <w:r w:rsidRPr="00223645">
        <w:rPr>
          <w:i/>
          <w:szCs w:val="22"/>
          <w:lang w:val="sq-AL"/>
        </w:rPr>
        <w:t xml:space="preserve"> LEK, duke rezultuar 101.3% e planit vjetor sipas buxhetit fillestar, 98.5% e planit vjetor sipas AN nr.11/2025 dhe po aq e planit përfundimtar me ndryshime dhe shpërndarje rezervash.</w:t>
      </w:r>
    </w:p>
    <w:p w14:paraId="3561BA14" w14:textId="05667D41" w:rsidR="00186E78" w:rsidRPr="00223645" w:rsidRDefault="00186E78">
      <w:pPr>
        <w:numPr>
          <w:ilvl w:val="0"/>
          <w:numId w:val="21"/>
        </w:numPr>
        <w:spacing w:before="0" w:after="160" w:line="259" w:lineRule="auto"/>
        <w:contextualSpacing/>
        <w:rPr>
          <w:i/>
          <w:szCs w:val="22"/>
          <w:lang w:val="sq-AL"/>
        </w:rPr>
      </w:pPr>
      <w:r w:rsidRPr="00223645">
        <w:rPr>
          <w:i/>
          <w:szCs w:val="22"/>
          <w:lang w:val="sq-AL"/>
        </w:rPr>
        <w:t xml:space="preserve">Shpenzimet për kompensimin e pronarëve u realizuan në masën rreth 2.3 </w:t>
      </w:r>
      <w:r w:rsidR="0056260B" w:rsidRPr="00223645">
        <w:rPr>
          <w:i/>
          <w:szCs w:val="22"/>
          <w:lang w:val="sq-AL"/>
        </w:rPr>
        <w:t>miliardë</w:t>
      </w:r>
      <w:r w:rsidRPr="00223645">
        <w:rPr>
          <w:i/>
          <w:szCs w:val="22"/>
          <w:lang w:val="sq-AL"/>
        </w:rPr>
        <w:t xml:space="preserve"> LEK duke rezultuar 76.1% e planit vjetor sipas buxhetit fillestar, dhe po aq sipas planit vjetor të ndryshuar me AN nr.11/2025 dhe planit përfundimtar me ndryshime dhe shpërndarje rezervash.</w:t>
      </w:r>
    </w:p>
    <w:p w14:paraId="13A36F1D" w14:textId="77777777" w:rsidR="008E3043" w:rsidRPr="008E3043" w:rsidRDefault="008E3043" w:rsidP="00186E78">
      <w:pPr>
        <w:spacing w:line="240" w:lineRule="auto"/>
        <w:rPr>
          <w:rFonts w:eastAsia="MS Gothic" w:cs="Calibri"/>
          <w:b/>
          <w:bCs/>
          <w:noProof/>
          <w:sz w:val="8"/>
          <w:szCs w:val="8"/>
          <w:lang w:val="sq-AL"/>
        </w:rPr>
      </w:pPr>
    </w:p>
    <w:p w14:paraId="012C5F6C" w14:textId="49F2CC05" w:rsidR="00186E78" w:rsidRPr="00FE2CF6" w:rsidRDefault="00186E78" w:rsidP="00186E78">
      <w:pPr>
        <w:spacing w:line="240" w:lineRule="auto"/>
        <w:rPr>
          <w:iCs/>
          <w:lang w:val="sq-AL"/>
        </w:rPr>
      </w:pPr>
      <w:r w:rsidRPr="00FE2CF6">
        <w:rPr>
          <w:rFonts w:eastAsia="MS Gothic" w:cs="Calibri"/>
          <w:b/>
          <w:bCs/>
          <w:noProof/>
          <w:lang w:val="sq-AL"/>
        </w:rPr>
        <w:t>Fondi për Indeksimin e Pensioneve</w:t>
      </w:r>
      <w:r w:rsidRPr="00FE2CF6">
        <w:rPr>
          <w:iCs/>
          <w:lang w:val="sq-AL"/>
        </w:rPr>
        <w:t xml:space="preserve"> i planifikuar në nivelin 1.14 </w:t>
      </w:r>
      <w:r w:rsidR="0056260B">
        <w:rPr>
          <w:iCs/>
          <w:lang w:val="sq-AL"/>
        </w:rPr>
        <w:t>miliardë</w:t>
      </w:r>
      <w:r w:rsidRPr="00FE2CF6">
        <w:rPr>
          <w:iCs/>
          <w:lang w:val="sq-AL"/>
        </w:rPr>
        <w:t xml:space="preserve"> LEK</w:t>
      </w:r>
      <w:r w:rsidR="00223645">
        <w:rPr>
          <w:iCs/>
          <w:lang w:val="sq-AL"/>
        </w:rPr>
        <w:t>,</w:t>
      </w:r>
      <w:r w:rsidRPr="00FE2CF6">
        <w:rPr>
          <w:iCs/>
          <w:lang w:val="sq-AL"/>
        </w:rPr>
        <w:t xml:space="preserve"> është përdorur në masën 100% të tij në zbatim të VKM nr.590/2025 “</w:t>
      </w:r>
      <w:r w:rsidRPr="00FE2CF6">
        <w:rPr>
          <w:i/>
          <w:lang w:val="sq-AL"/>
        </w:rPr>
        <w:t>Për indeksimin e pensioneve</w:t>
      </w:r>
      <w:r w:rsidRPr="00FE2CF6">
        <w:rPr>
          <w:iCs/>
          <w:lang w:val="sq-AL"/>
        </w:rPr>
        <w:t>”, si më poshtë:</w:t>
      </w:r>
    </w:p>
    <w:p w14:paraId="1E5550A8" w14:textId="4FB46C2F" w:rsidR="00186E78" w:rsidRPr="00FE2CF6" w:rsidRDefault="00223645">
      <w:pPr>
        <w:numPr>
          <w:ilvl w:val="0"/>
          <w:numId w:val="26"/>
        </w:numPr>
        <w:spacing w:line="240" w:lineRule="auto"/>
        <w:ind w:left="720" w:hanging="270"/>
        <w:contextualSpacing/>
        <w:rPr>
          <w:bCs/>
          <w:i/>
          <w:iCs/>
          <w:noProof/>
          <w:szCs w:val="22"/>
          <w:lang w:val="sq-AL"/>
        </w:rPr>
      </w:pPr>
      <w:r>
        <w:rPr>
          <w:bCs/>
          <w:i/>
          <w:iCs/>
          <w:noProof/>
          <w:szCs w:val="22"/>
          <w:lang w:val="sq-AL"/>
        </w:rPr>
        <w:t>Akorduar p</w:t>
      </w:r>
      <w:r w:rsidR="00186E78" w:rsidRPr="00FE2CF6">
        <w:rPr>
          <w:bCs/>
          <w:i/>
          <w:iCs/>
          <w:noProof/>
          <w:szCs w:val="22"/>
          <w:lang w:val="sq-AL"/>
        </w:rPr>
        <w:t xml:space="preserve">ër MEI në masën prej  1 111 </w:t>
      </w:r>
      <w:r w:rsidR="0056260B">
        <w:rPr>
          <w:bCs/>
          <w:i/>
          <w:iCs/>
          <w:noProof/>
          <w:szCs w:val="22"/>
          <w:lang w:val="sq-AL"/>
        </w:rPr>
        <w:t>milionë</w:t>
      </w:r>
      <w:r w:rsidR="00186E78" w:rsidRPr="00FE2CF6">
        <w:rPr>
          <w:bCs/>
          <w:i/>
          <w:iCs/>
          <w:noProof/>
          <w:szCs w:val="22"/>
          <w:lang w:val="sq-AL"/>
        </w:rPr>
        <w:t xml:space="preserve"> LEK</w:t>
      </w:r>
    </w:p>
    <w:p w14:paraId="4A040D21" w14:textId="593F0604" w:rsidR="00186E78" w:rsidRPr="00FE2CF6" w:rsidRDefault="00223645">
      <w:pPr>
        <w:numPr>
          <w:ilvl w:val="0"/>
          <w:numId w:val="26"/>
        </w:numPr>
        <w:spacing w:line="240" w:lineRule="auto"/>
        <w:ind w:left="720" w:hanging="270"/>
        <w:contextualSpacing/>
        <w:rPr>
          <w:bCs/>
          <w:i/>
          <w:iCs/>
          <w:noProof/>
          <w:szCs w:val="22"/>
          <w:lang w:val="sq-AL"/>
        </w:rPr>
      </w:pPr>
      <w:r>
        <w:rPr>
          <w:bCs/>
          <w:i/>
          <w:iCs/>
          <w:noProof/>
          <w:szCs w:val="22"/>
          <w:lang w:val="sq-AL"/>
        </w:rPr>
        <w:t>Akorduar p</w:t>
      </w:r>
      <w:r w:rsidR="00186E78" w:rsidRPr="00FE2CF6">
        <w:rPr>
          <w:bCs/>
          <w:i/>
          <w:iCs/>
          <w:noProof/>
          <w:szCs w:val="22"/>
          <w:lang w:val="sq-AL"/>
        </w:rPr>
        <w:t xml:space="preserve">ër MM në masën prej 29 </w:t>
      </w:r>
      <w:r w:rsidR="0056260B">
        <w:rPr>
          <w:bCs/>
          <w:i/>
          <w:iCs/>
          <w:noProof/>
          <w:szCs w:val="22"/>
          <w:lang w:val="sq-AL"/>
        </w:rPr>
        <w:t>milionë</w:t>
      </w:r>
      <w:r w:rsidR="00186E78" w:rsidRPr="00FE2CF6">
        <w:rPr>
          <w:bCs/>
          <w:i/>
          <w:iCs/>
          <w:noProof/>
          <w:szCs w:val="22"/>
          <w:lang w:val="sq-AL"/>
        </w:rPr>
        <w:t xml:space="preserve"> LEK</w:t>
      </w:r>
    </w:p>
    <w:p w14:paraId="18789700" w14:textId="3264FE23" w:rsidR="00186E78" w:rsidRPr="00FE2CF6" w:rsidRDefault="00186E78" w:rsidP="00186E78">
      <w:pPr>
        <w:spacing w:line="240" w:lineRule="auto"/>
        <w:rPr>
          <w:iCs/>
          <w:lang w:val="sq-AL"/>
        </w:rPr>
      </w:pPr>
      <w:r w:rsidRPr="00FE2CF6">
        <w:rPr>
          <w:rFonts w:eastAsia="MS Gothic" w:cs="Calibri"/>
          <w:b/>
          <w:bCs/>
          <w:noProof/>
          <w:lang w:val="sq-AL"/>
        </w:rPr>
        <w:t>Fondi për Bonusin e Pensionistëve</w:t>
      </w:r>
      <w:r w:rsidRPr="00FE2CF6">
        <w:rPr>
          <w:i/>
          <w:lang w:val="sq-AL"/>
        </w:rPr>
        <w:t xml:space="preserve">, </w:t>
      </w:r>
      <w:r w:rsidRPr="00FE2CF6">
        <w:rPr>
          <w:iCs/>
          <w:lang w:val="sq-AL"/>
        </w:rPr>
        <w:t xml:space="preserve">i parashikuar në buxhetin fillestar 2025 në masën 3 750 </w:t>
      </w:r>
      <w:r w:rsidR="0056260B">
        <w:rPr>
          <w:iCs/>
          <w:lang w:val="sq-AL"/>
        </w:rPr>
        <w:t>milionë</w:t>
      </w:r>
      <w:r w:rsidRPr="00FE2CF6">
        <w:rPr>
          <w:iCs/>
          <w:lang w:val="sq-AL"/>
        </w:rPr>
        <w:t xml:space="preserve"> </w:t>
      </w:r>
      <w:r w:rsidR="0056260B">
        <w:rPr>
          <w:iCs/>
          <w:lang w:val="sq-AL"/>
        </w:rPr>
        <w:t>LEK</w:t>
      </w:r>
      <w:r w:rsidRPr="00FE2CF6">
        <w:rPr>
          <w:iCs/>
          <w:lang w:val="sq-AL"/>
        </w:rPr>
        <w:t xml:space="preserve"> dhe i </w:t>
      </w:r>
      <w:r w:rsidR="00223645">
        <w:rPr>
          <w:iCs/>
          <w:lang w:val="sq-AL"/>
        </w:rPr>
        <w:t>shtuar</w:t>
      </w:r>
      <w:r w:rsidRPr="00FE2CF6">
        <w:rPr>
          <w:iCs/>
          <w:lang w:val="sq-AL"/>
        </w:rPr>
        <w:t xml:space="preserve"> me AN nr.10/2025 në masën 9.7 </w:t>
      </w:r>
      <w:r w:rsidR="0056260B">
        <w:rPr>
          <w:iCs/>
          <w:lang w:val="sq-AL"/>
        </w:rPr>
        <w:t>miliardë</w:t>
      </w:r>
      <w:r w:rsidRPr="00FE2CF6">
        <w:rPr>
          <w:iCs/>
          <w:lang w:val="sq-AL"/>
        </w:rPr>
        <w:t xml:space="preserve"> </w:t>
      </w:r>
      <w:r w:rsidR="0056260B">
        <w:rPr>
          <w:iCs/>
          <w:lang w:val="sq-AL"/>
        </w:rPr>
        <w:t>LEK</w:t>
      </w:r>
      <w:r w:rsidRPr="00FE2CF6">
        <w:rPr>
          <w:iCs/>
          <w:lang w:val="sq-AL"/>
        </w:rPr>
        <w:t>, është akorduar zbatim të VKM nr.711/2025 "</w:t>
      </w:r>
      <w:r w:rsidRPr="00FE2CF6">
        <w:rPr>
          <w:i/>
          <w:lang w:val="sq-AL"/>
        </w:rPr>
        <w:t>Për shpërblimin e pensionistëve për festat e fundvitit 2025</w:t>
      </w:r>
      <w:r w:rsidRPr="00FE2CF6">
        <w:rPr>
          <w:iCs/>
          <w:lang w:val="sq-AL"/>
        </w:rPr>
        <w:t>”.</w:t>
      </w:r>
    </w:p>
    <w:p w14:paraId="65459B49" w14:textId="5EC2E7C4" w:rsidR="00186E78" w:rsidRPr="00FE2CF6" w:rsidRDefault="00186E78" w:rsidP="00186E78">
      <w:pPr>
        <w:rPr>
          <w:rFonts w:cs="Calibri"/>
          <w:i/>
          <w:iCs/>
          <w:noProof/>
          <w:color w:val="17406D" w:themeColor="text2"/>
          <w:sz w:val="18"/>
          <w:szCs w:val="18"/>
          <w:lang w:val="sq-AL"/>
        </w:rPr>
      </w:pPr>
      <w:bookmarkStart w:id="108" w:name="_Toc229130038"/>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21</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p</w:t>
      </w:r>
      <w:r w:rsidR="0056260B">
        <w:rPr>
          <w:i/>
          <w:iCs/>
          <w:noProof/>
          <w:color w:val="17406D" w:themeColor="text2"/>
          <w:sz w:val="18"/>
          <w:szCs w:val="18"/>
          <w:lang w:val="sq-AL"/>
        </w:rPr>
        <w:t>ë</w:t>
      </w:r>
      <w:r w:rsidRPr="00FE2CF6">
        <w:rPr>
          <w:i/>
          <w:iCs/>
          <w:noProof/>
          <w:color w:val="17406D" w:themeColor="text2"/>
          <w:sz w:val="18"/>
          <w:szCs w:val="18"/>
          <w:lang w:val="sq-AL"/>
        </w:rPr>
        <w:t>r sigurimet shoqërore dhe shëndetësore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8"/>
    </w:p>
    <w:p w14:paraId="3A6339E1" w14:textId="77777777" w:rsidR="00186E78" w:rsidRPr="00FE2CF6" w:rsidRDefault="00186E78" w:rsidP="00186E78">
      <w:pPr>
        <w:spacing w:before="0"/>
        <w:jc w:val="center"/>
        <w:rPr>
          <w:rFonts w:eastAsia="SimSun" w:cs="Calibri"/>
          <w:noProof/>
          <w:lang w:val="sq-AL"/>
        </w:rPr>
      </w:pPr>
      <w:r w:rsidRPr="00FE2CF6">
        <w:rPr>
          <w:rFonts w:eastAsia="SimSun" w:cs="Calibri"/>
          <w:noProof/>
          <w:lang w:val="sq-AL"/>
        </w:rPr>
        <w:drawing>
          <wp:inline distT="0" distB="0" distL="0" distR="0" wp14:anchorId="1F57DEAB" wp14:editId="5A6CC3B7">
            <wp:extent cx="5061944" cy="1711757"/>
            <wp:effectExtent l="0" t="0" r="5715" b="3175"/>
            <wp:docPr id="1971830118" name="Picture 7" descr="A graph of numbers an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30118" name="Picture 7" descr="A graph of numbers and bar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3014" cy="1722264"/>
                    </a:xfrm>
                    <a:prstGeom prst="rect">
                      <a:avLst/>
                    </a:prstGeom>
                    <a:noFill/>
                  </pic:spPr>
                </pic:pic>
              </a:graphicData>
            </a:graphic>
          </wp:inline>
        </w:drawing>
      </w:r>
    </w:p>
    <w:p w14:paraId="0BB037F8" w14:textId="77777777" w:rsidR="00186E78" w:rsidRPr="00FE2CF6" w:rsidRDefault="00186E78" w:rsidP="00186E78">
      <w:pPr>
        <w:spacing w:before="0" w:line="360" w:lineRule="auto"/>
        <w:ind w:left="720" w:firstLine="720"/>
        <w:rPr>
          <w:rFonts w:eastAsia="SimSun" w:cs="Calibri"/>
          <w:bCs/>
          <w:i/>
          <w:noProof/>
          <w:sz w:val="18"/>
          <w:lang w:val="sq-AL"/>
        </w:rPr>
      </w:pPr>
      <w:r w:rsidRPr="00FE2CF6">
        <w:rPr>
          <w:rFonts w:eastAsia="SimSun" w:cs="Calibri"/>
          <w:bCs/>
          <w:i/>
          <w:noProof/>
          <w:sz w:val="18"/>
          <w:lang w:val="sq-AL"/>
        </w:rPr>
        <w:t>Burimi: Ministria e Financave (2026)</w:t>
      </w:r>
    </w:p>
    <w:p w14:paraId="025FE6A9" w14:textId="3B397DB1" w:rsidR="00186E78" w:rsidRPr="00FE2CF6" w:rsidRDefault="00186E78" w:rsidP="00186E78">
      <w:pPr>
        <w:spacing w:before="240" w:line="240" w:lineRule="auto"/>
        <w:rPr>
          <w:rFonts w:eastAsia="SimSun" w:cs="Calibri"/>
          <w:noProof/>
          <w:lang w:val="sq-AL"/>
        </w:rPr>
      </w:pPr>
      <w:r w:rsidRPr="00FE2CF6">
        <w:rPr>
          <w:rFonts w:eastAsia="SimSun" w:cs="Calibri"/>
          <w:i/>
          <w:noProof/>
          <w:lang w:val="sq-AL"/>
        </w:rPr>
        <w:lastRenderedPageBreak/>
        <w:t>Shpenzimet për Papunësinë</w:t>
      </w:r>
      <w:r w:rsidRPr="00FE2CF6">
        <w:rPr>
          <w:rFonts w:eastAsia="SimSun" w:cs="Calibri"/>
          <w:noProof/>
          <w:lang w:val="sq-AL"/>
        </w:rPr>
        <w:t xml:space="preserve"> për vitin 2025 janë realizuar në masën 692 </w:t>
      </w:r>
      <w:r w:rsidR="0056260B">
        <w:rPr>
          <w:rFonts w:eastAsia="SimSun" w:cs="Calibri"/>
          <w:noProof/>
          <w:lang w:val="sq-AL"/>
        </w:rPr>
        <w:t>milionë</w:t>
      </w:r>
      <w:r w:rsidRPr="00FE2CF6">
        <w:rPr>
          <w:rFonts w:eastAsia="SimSun" w:cs="Calibri"/>
          <w:noProof/>
          <w:lang w:val="sq-AL"/>
        </w:rPr>
        <w:t xml:space="preserve"> LEK ose 86.6% e planit vjetor sipas buxhetit fillestar, 90.5% e planit vjetor të ndryshuar me AN nr.11/2025 dhe 97.9% e </w:t>
      </w:r>
      <w:r w:rsidRPr="00FE2CF6">
        <w:rPr>
          <w:rFonts w:cs="Calibri"/>
          <w:noProof/>
          <w:lang w:val="sq-AL"/>
        </w:rPr>
        <w:t>planit përfundimtar me ndryshime e shpërndarje rezervash</w:t>
      </w:r>
      <w:r w:rsidRPr="00FE2CF6">
        <w:rPr>
          <w:rFonts w:eastAsia="SimSun" w:cs="Calibri"/>
          <w:noProof/>
          <w:lang w:val="sq-AL"/>
        </w:rPr>
        <w:t xml:space="preserve">. Krahasuar me vitin 2024, shpenzimet për këtë zë rezultojnë me një rënie në masën 16.7% ose 139 </w:t>
      </w:r>
      <w:r w:rsidR="0056260B">
        <w:rPr>
          <w:rFonts w:eastAsia="SimSun" w:cs="Calibri"/>
          <w:noProof/>
          <w:lang w:val="sq-AL"/>
        </w:rPr>
        <w:t>milionë</w:t>
      </w:r>
      <w:r w:rsidRPr="00FE2CF6">
        <w:rPr>
          <w:rFonts w:eastAsia="SimSun" w:cs="Calibri"/>
          <w:noProof/>
          <w:lang w:val="sq-AL"/>
        </w:rPr>
        <w:t xml:space="preserve"> LEK më pak</w:t>
      </w:r>
      <w:r w:rsidR="00C664CB">
        <w:rPr>
          <w:rFonts w:eastAsia="SimSun" w:cs="Calibri"/>
          <w:noProof/>
          <w:lang w:val="sq-AL"/>
        </w:rPr>
        <w:t>, në varësi të kërkesave të paraqitura.</w:t>
      </w:r>
    </w:p>
    <w:p w14:paraId="34209266" w14:textId="71A4ACEF" w:rsidR="00186E78" w:rsidRPr="00FE2CF6" w:rsidRDefault="00186E78" w:rsidP="00186E78">
      <w:pPr>
        <w:spacing w:line="240" w:lineRule="auto"/>
        <w:rPr>
          <w:rFonts w:eastAsia="SimSun" w:cs="Calibri"/>
          <w:noProof/>
          <w:lang w:val="sq-AL"/>
        </w:rPr>
      </w:pPr>
      <w:r w:rsidRPr="00FE2CF6">
        <w:rPr>
          <w:rFonts w:eastAsia="SimSun" w:cs="Calibri"/>
          <w:i/>
          <w:noProof/>
          <w:lang w:val="sq-AL"/>
        </w:rPr>
        <w:t>Shpenzimet për Ndihmën Ekonomike dhe Pagesën e Paaftësisë (PAK)</w:t>
      </w:r>
      <w:r w:rsidRPr="00FE2CF6">
        <w:rPr>
          <w:rFonts w:eastAsia="SimSun" w:cs="Calibri"/>
          <w:noProof/>
          <w:lang w:val="sq-AL"/>
        </w:rPr>
        <w:t xml:space="preserve"> për vitin 2025 u realizuan në masën rreth 25.5 </w:t>
      </w:r>
      <w:r w:rsidR="0056260B">
        <w:rPr>
          <w:rFonts w:eastAsia="SimSun" w:cs="Calibri"/>
          <w:noProof/>
          <w:lang w:val="sq-AL"/>
        </w:rPr>
        <w:t>miliardë</w:t>
      </w:r>
      <w:r w:rsidRPr="00FE2CF6">
        <w:rPr>
          <w:rFonts w:eastAsia="SimSun" w:cs="Calibri"/>
          <w:noProof/>
          <w:lang w:val="sq-AL"/>
        </w:rPr>
        <w:t xml:space="preserve"> LEK</w:t>
      </w:r>
      <w:r w:rsidR="00223645">
        <w:rPr>
          <w:rFonts w:eastAsia="SimSun" w:cs="Calibri"/>
          <w:noProof/>
          <w:lang w:val="sq-AL"/>
        </w:rPr>
        <w:t>,</w:t>
      </w:r>
      <w:r w:rsidRPr="00FE2CF6">
        <w:rPr>
          <w:rFonts w:eastAsia="SimSun" w:cs="Calibri"/>
          <w:noProof/>
          <w:lang w:val="sq-AL"/>
        </w:rPr>
        <w:t xml:space="preserve"> duke rezultuar 107.5% e planit vjetor sipas buxhetit fillestar, 102.2% të planit vjetor të ndryshuar me AN nr.11/2025 dhe 99.2% e </w:t>
      </w:r>
      <w:r w:rsidRPr="00FE2CF6">
        <w:rPr>
          <w:rFonts w:cs="Calibri"/>
          <w:noProof/>
          <w:lang w:val="sq-AL"/>
        </w:rPr>
        <w:t>planit përfundimtar me ndryshime e shpërndarje rezervash</w:t>
      </w:r>
      <w:r w:rsidRPr="00FE2CF6">
        <w:rPr>
          <w:rFonts w:eastAsia="SimSun" w:cs="Calibri"/>
          <w:noProof/>
          <w:lang w:val="sq-AL"/>
        </w:rPr>
        <w:t>. Krahasuar me vitin 2024, shpenzimet për këtë zë rezultojnë me një rënie në masën rreth 5.1% ose 1.4</w:t>
      </w:r>
      <w:r w:rsidR="0056260B">
        <w:rPr>
          <w:rFonts w:eastAsia="SimSun" w:cs="Calibri"/>
          <w:noProof/>
          <w:lang w:val="sq-AL"/>
        </w:rPr>
        <w:t>miliardë</w:t>
      </w:r>
      <w:r w:rsidRPr="00FE2CF6">
        <w:rPr>
          <w:rFonts w:eastAsia="SimSun" w:cs="Calibri"/>
          <w:noProof/>
          <w:lang w:val="sq-AL"/>
        </w:rPr>
        <w:t xml:space="preserve"> LEK më pak, kushtëzuar kjo nga rishpërnd</w:t>
      </w:r>
      <w:r w:rsidR="00223645">
        <w:rPr>
          <w:rFonts w:eastAsia="SimSun" w:cs="Calibri"/>
          <w:noProof/>
          <w:lang w:val="sq-AL"/>
        </w:rPr>
        <w:t>a</w:t>
      </w:r>
      <w:r w:rsidRPr="00FE2CF6">
        <w:rPr>
          <w:rFonts w:eastAsia="SimSun" w:cs="Calibri"/>
          <w:noProof/>
          <w:lang w:val="sq-AL"/>
        </w:rPr>
        <w:t>rja e fondeve të planifikuara në këtë zë</w:t>
      </w:r>
      <w:r w:rsidR="00223645">
        <w:rPr>
          <w:rFonts w:eastAsia="SimSun" w:cs="Calibri"/>
          <w:noProof/>
          <w:lang w:val="sq-AL"/>
        </w:rPr>
        <w:t xml:space="preserve"> drejt</w:t>
      </w:r>
      <w:r w:rsidRPr="00FE2CF6">
        <w:rPr>
          <w:rFonts w:eastAsia="SimSun" w:cs="Calibri"/>
          <w:noProof/>
          <w:lang w:val="sq-AL"/>
        </w:rPr>
        <w:t xml:space="preserve"> programe</w:t>
      </w:r>
      <w:r w:rsidR="00223645">
        <w:rPr>
          <w:rFonts w:eastAsia="SimSun" w:cs="Calibri"/>
          <w:noProof/>
          <w:lang w:val="sq-AL"/>
        </w:rPr>
        <w:t>ve</w:t>
      </w:r>
      <w:r w:rsidRPr="00FE2CF6">
        <w:rPr>
          <w:rFonts w:eastAsia="SimSun" w:cs="Calibri"/>
          <w:noProof/>
          <w:lang w:val="sq-AL"/>
        </w:rPr>
        <w:t xml:space="preserve"> </w:t>
      </w:r>
      <w:r w:rsidR="00223645">
        <w:rPr>
          <w:rFonts w:eastAsia="SimSun" w:cs="Calibri"/>
          <w:noProof/>
          <w:lang w:val="sq-AL"/>
        </w:rPr>
        <w:t>të</w:t>
      </w:r>
      <w:r w:rsidRPr="00FE2CF6">
        <w:rPr>
          <w:rFonts w:eastAsia="SimSun" w:cs="Calibri"/>
          <w:noProof/>
          <w:lang w:val="sq-AL"/>
        </w:rPr>
        <w:t xml:space="preserve"> tjera të MSHMS</w:t>
      </w:r>
      <w:r w:rsidR="00223645">
        <w:rPr>
          <w:rFonts w:eastAsia="SimSun" w:cs="Calibri"/>
          <w:noProof/>
          <w:lang w:val="sq-AL"/>
        </w:rPr>
        <w:t>, në varësi të nevojave të periudhës.</w:t>
      </w:r>
    </w:p>
    <w:p w14:paraId="609D24F4" w14:textId="3F17C714" w:rsidR="00186E78" w:rsidRPr="00FE2CF6" w:rsidRDefault="00186E78" w:rsidP="00186E78">
      <w:pPr>
        <w:spacing w:line="240" w:lineRule="auto"/>
        <w:rPr>
          <w:rFonts w:eastAsia="SimSun" w:cs="Calibri"/>
          <w:noProof/>
          <w:lang w:val="sq-AL"/>
        </w:rPr>
      </w:pPr>
      <w:r w:rsidRPr="00FE2CF6">
        <w:rPr>
          <w:rFonts w:eastAsia="SimSun" w:cs="Calibri"/>
          <w:i/>
          <w:noProof/>
          <w:lang w:val="sq-AL"/>
        </w:rPr>
        <w:t xml:space="preserve">Shpenzimet për </w:t>
      </w:r>
      <w:r w:rsidR="00223645">
        <w:rPr>
          <w:rFonts w:eastAsia="SimSun" w:cs="Calibri"/>
          <w:i/>
          <w:noProof/>
          <w:lang w:val="sq-AL"/>
        </w:rPr>
        <w:t>K</w:t>
      </w:r>
      <w:r w:rsidRPr="00FE2CF6">
        <w:rPr>
          <w:rFonts w:eastAsia="SimSun" w:cs="Calibri"/>
          <w:i/>
          <w:noProof/>
          <w:lang w:val="sq-AL"/>
        </w:rPr>
        <w:t xml:space="preserve">ompensimin e </w:t>
      </w:r>
      <w:r w:rsidR="00223645">
        <w:rPr>
          <w:rFonts w:eastAsia="SimSun" w:cs="Calibri"/>
          <w:i/>
          <w:noProof/>
          <w:lang w:val="sq-AL"/>
        </w:rPr>
        <w:t>I</w:t>
      </w:r>
      <w:r w:rsidRPr="00FE2CF6">
        <w:rPr>
          <w:rFonts w:eastAsia="SimSun" w:cs="Calibri"/>
          <w:i/>
          <w:noProof/>
          <w:lang w:val="sq-AL"/>
        </w:rPr>
        <w:t xml:space="preserve">sh-të </w:t>
      </w:r>
      <w:r w:rsidR="00223645">
        <w:rPr>
          <w:rFonts w:eastAsia="SimSun" w:cs="Calibri"/>
          <w:i/>
          <w:noProof/>
          <w:lang w:val="sq-AL"/>
        </w:rPr>
        <w:t>P</w:t>
      </w:r>
      <w:r w:rsidRPr="00FE2CF6">
        <w:rPr>
          <w:rFonts w:eastAsia="SimSun" w:cs="Calibri"/>
          <w:i/>
          <w:noProof/>
          <w:lang w:val="sq-AL"/>
        </w:rPr>
        <w:t xml:space="preserve">ërndjekurve </w:t>
      </w:r>
      <w:r w:rsidR="00223645">
        <w:rPr>
          <w:rFonts w:eastAsia="SimSun" w:cs="Calibri"/>
          <w:i/>
          <w:noProof/>
          <w:lang w:val="sq-AL"/>
        </w:rPr>
        <w:t>P</w:t>
      </w:r>
      <w:r w:rsidRPr="00FE2CF6">
        <w:rPr>
          <w:rFonts w:eastAsia="SimSun" w:cs="Calibri"/>
          <w:i/>
          <w:noProof/>
          <w:lang w:val="sq-AL"/>
        </w:rPr>
        <w:t>olitik</w:t>
      </w:r>
      <w:r w:rsidR="00223645">
        <w:rPr>
          <w:rFonts w:eastAsia="SimSun" w:cs="Calibri"/>
          <w:i/>
          <w:noProof/>
          <w:lang w:val="sq-AL"/>
        </w:rPr>
        <w:t>ë</w:t>
      </w:r>
      <w:r w:rsidRPr="00FE2CF6">
        <w:rPr>
          <w:rFonts w:eastAsia="SimSun" w:cs="Calibri"/>
          <w:noProof/>
          <w:lang w:val="sq-AL"/>
        </w:rPr>
        <w:t xml:space="preserve"> për vitin 2025 u realizuan në masën 1.4 </w:t>
      </w:r>
      <w:r w:rsidR="0056260B">
        <w:rPr>
          <w:rFonts w:eastAsia="SimSun" w:cs="Calibri"/>
          <w:noProof/>
          <w:lang w:val="sq-AL"/>
        </w:rPr>
        <w:t>miliardë</w:t>
      </w:r>
      <w:r w:rsidRPr="00FE2CF6">
        <w:rPr>
          <w:rFonts w:eastAsia="SimSun" w:cs="Calibri"/>
          <w:noProof/>
          <w:lang w:val="sq-AL"/>
        </w:rPr>
        <w:t xml:space="preserve"> LEK</w:t>
      </w:r>
      <w:r w:rsidR="00223645">
        <w:rPr>
          <w:rFonts w:eastAsia="SimSun" w:cs="Calibri"/>
          <w:noProof/>
          <w:lang w:val="sq-AL"/>
        </w:rPr>
        <w:t>,</w:t>
      </w:r>
      <w:r w:rsidRPr="00FE2CF6">
        <w:rPr>
          <w:rFonts w:eastAsia="SimSun" w:cs="Calibri"/>
          <w:noProof/>
          <w:lang w:val="sq-AL"/>
        </w:rPr>
        <w:t xml:space="preserve"> duke rezultuar 100% e planit vjetor sipas buxhetit fillestar dhe po aq sipas planit vjetor të ndryshuar me AN nr.11/2025 dhe e planit vjetor me ndryshime</w:t>
      </w:r>
      <w:r w:rsidR="00C664CB">
        <w:rPr>
          <w:rFonts w:eastAsia="SimSun" w:cs="Calibri"/>
          <w:noProof/>
          <w:lang w:val="sq-AL"/>
        </w:rPr>
        <w:t xml:space="preserve"> e</w:t>
      </w:r>
      <w:r w:rsidRPr="00FE2CF6">
        <w:rPr>
          <w:rFonts w:eastAsia="SimSun" w:cs="Calibri"/>
          <w:noProof/>
          <w:lang w:val="sq-AL"/>
        </w:rPr>
        <w:t xml:space="preserve"> shpërndarje rezervash. Krahasuar me vitin 2024 </w:t>
      </w:r>
      <w:r w:rsidR="00C664CB">
        <w:rPr>
          <w:rFonts w:eastAsia="SimSun" w:cs="Calibri"/>
          <w:noProof/>
          <w:lang w:val="sq-AL"/>
        </w:rPr>
        <w:t>,</w:t>
      </w:r>
      <w:r w:rsidRPr="00FE2CF6">
        <w:rPr>
          <w:rFonts w:eastAsia="SimSun" w:cs="Calibri"/>
          <w:noProof/>
          <w:lang w:val="sq-AL"/>
        </w:rPr>
        <w:t xml:space="preserve">shpenzimet për këtë zë rezultojnë me një rritje prej 32.2% ose 341 </w:t>
      </w:r>
      <w:r w:rsidR="0056260B">
        <w:rPr>
          <w:rFonts w:eastAsia="SimSun" w:cs="Calibri"/>
          <w:noProof/>
          <w:lang w:val="sq-AL"/>
        </w:rPr>
        <w:t>milionë</w:t>
      </w:r>
      <w:r w:rsidRPr="00FE2CF6">
        <w:rPr>
          <w:rFonts w:eastAsia="SimSun" w:cs="Calibri"/>
          <w:noProof/>
          <w:lang w:val="sq-AL"/>
        </w:rPr>
        <w:t xml:space="preserve"> LEK më shumë</w:t>
      </w:r>
      <w:r w:rsidR="00C664CB">
        <w:rPr>
          <w:rFonts w:eastAsia="SimSun" w:cs="Calibri"/>
          <w:noProof/>
          <w:lang w:val="sq-AL"/>
        </w:rPr>
        <w:t>, kushtëzuar nga ecuria e kënaqshme e përpunimit të dosjeve dhe ekzekutimit të pagesave gjatë 2025.</w:t>
      </w:r>
    </w:p>
    <w:p w14:paraId="079F8394" w14:textId="46D0C32A" w:rsidR="00186E78" w:rsidRPr="00FE2CF6" w:rsidRDefault="00186E78" w:rsidP="00186E78">
      <w:pPr>
        <w:spacing w:line="240" w:lineRule="auto"/>
        <w:rPr>
          <w:rFonts w:eastAsia="SimSun" w:cs="Calibri"/>
          <w:noProof/>
          <w:lang w:val="sq-AL"/>
        </w:rPr>
      </w:pPr>
      <w:r w:rsidRPr="00FE2CF6">
        <w:rPr>
          <w:rFonts w:eastAsia="SimSun" w:cs="Calibri"/>
          <w:i/>
          <w:noProof/>
          <w:lang w:val="sq-AL"/>
        </w:rPr>
        <w:t xml:space="preserve">Shpenzimet për </w:t>
      </w:r>
      <w:r w:rsidR="00223645">
        <w:rPr>
          <w:rFonts w:eastAsia="SimSun" w:cs="Calibri"/>
          <w:i/>
          <w:noProof/>
          <w:lang w:val="sq-AL"/>
        </w:rPr>
        <w:t>B</w:t>
      </w:r>
      <w:r w:rsidRPr="00FE2CF6">
        <w:rPr>
          <w:rFonts w:eastAsia="SimSun" w:cs="Calibri"/>
          <w:i/>
          <w:noProof/>
          <w:lang w:val="sq-AL"/>
        </w:rPr>
        <w:t xml:space="preserve">onusin e </w:t>
      </w:r>
      <w:r w:rsidR="00223645">
        <w:rPr>
          <w:rFonts w:eastAsia="SimSun" w:cs="Calibri"/>
          <w:i/>
          <w:noProof/>
          <w:lang w:val="sq-AL"/>
        </w:rPr>
        <w:t>L</w:t>
      </w:r>
      <w:r w:rsidRPr="00FE2CF6">
        <w:rPr>
          <w:rFonts w:eastAsia="SimSun" w:cs="Calibri"/>
          <w:i/>
          <w:noProof/>
          <w:lang w:val="sq-AL"/>
        </w:rPr>
        <w:t>indjeve</w:t>
      </w:r>
      <w:r w:rsidRPr="00FE2CF6">
        <w:rPr>
          <w:rFonts w:eastAsia="SimSun" w:cs="Calibri"/>
          <w:noProof/>
          <w:lang w:val="sq-AL"/>
        </w:rPr>
        <w:t xml:space="preserve"> për vitin 2025 u realizuan në masën rreth 1.5 </w:t>
      </w:r>
      <w:r w:rsidR="0056260B">
        <w:rPr>
          <w:rFonts w:eastAsia="SimSun" w:cs="Calibri"/>
          <w:noProof/>
          <w:lang w:val="sq-AL"/>
        </w:rPr>
        <w:t>miliardë</w:t>
      </w:r>
      <w:r w:rsidRPr="00FE2CF6">
        <w:rPr>
          <w:rFonts w:eastAsia="SimSun" w:cs="Calibri"/>
          <w:noProof/>
          <w:lang w:val="sq-AL"/>
        </w:rPr>
        <w:t xml:space="preserve"> LEK</w:t>
      </w:r>
      <w:r w:rsidR="00C664CB">
        <w:rPr>
          <w:rFonts w:eastAsia="SimSun" w:cs="Calibri"/>
          <w:noProof/>
          <w:lang w:val="sq-AL"/>
        </w:rPr>
        <w:t>,</w:t>
      </w:r>
      <w:r w:rsidRPr="00FE2CF6">
        <w:rPr>
          <w:rFonts w:eastAsia="SimSun" w:cs="Calibri"/>
          <w:noProof/>
          <w:lang w:val="sq-AL"/>
        </w:rPr>
        <w:t xml:space="preserve"> duke rezultuar 65.9% e planit vjetor sipas buxhetit fillestar dhe atij të ndryshuar me AN nr.11/2025, </w:t>
      </w:r>
      <w:r w:rsidR="00C664CB">
        <w:rPr>
          <w:rFonts w:eastAsia="SimSun" w:cs="Calibri"/>
          <w:noProof/>
          <w:lang w:val="sq-AL"/>
        </w:rPr>
        <w:t xml:space="preserve">si </w:t>
      </w:r>
      <w:r w:rsidRPr="00FE2CF6">
        <w:rPr>
          <w:rFonts w:eastAsia="SimSun" w:cs="Calibri"/>
          <w:noProof/>
          <w:lang w:val="sq-AL"/>
        </w:rPr>
        <w:t xml:space="preserve">dhe 100% e </w:t>
      </w:r>
      <w:r w:rsidRPr="00FE2CF6">
        <w:rPr>
          <w:rFonts w:cs="Calibri"/>
          <w:noProof/>
          <w:lang w:val="sq-AL"/>
        </w:rPr>
        <w:t>planit përfundimtar me ndryshime e shpërndarje rezervash</w:t>
      </w:r>
      <w:r w:rsidRPr="00FE2CF6">
        <w:rPr>
          <w:rFonts w:eastAsia="SimSun" w:cs="Calibri"/>
          <w:noProof/>
          <w:lang w:val="sq-AL"/>
        </w:rPr>
        <w:t xml:space="preserve">. Krahasuar me vitin 2024, shpenzimet për këtë zë rezultojnë me një rënie në masën 32.6% ose 718 </w:t>
      </w:r>
      <w:r w:rsidR="0056260B">
        <w:rPr>
          <w:rFonts w:eastAsia="SimSun" w:cs="Calibri"/>
          <w:noProof/>
          <w:lang w:val="sq-AL"/>
        </w:rPr>
        <w:t>milionë</w:t>
      </w:r>
      <w:r w:rsidRPr="00FE2CF6">
        <w:rPr>
          <w:rFonts w:eastAsia="SimSun" w:cs="Calibri"/>
          <w:noProof/>
          <w:lang w:val="sq-AL"/>
        </w:rPr>
        <w:t xml:space="preserve"> LEK më pak</w:t>
      </w:r>
      <w:r w:rsidR="00C664CB">
        <w:rPr>
          <w:rFonts w:eastAsia="SimSun" w:cs="Calibri"/>
          <w:noProof/>
          <w:lang w:val="sq-AL"/>
        </w:rPr>
        <w:t>, në varësi të kërkesave të paraqitura</w:t>
      </w:r>
      <w:r w:rsidRPr="00FE2CF6">
        <w:rPr>
          <w:rFonts w:eastAsia="SimSun" w:cs="Calibri"/>
          <w:noProof/>
          <w:lang w:val="sq-AL"/>
        </w:rPr>
        <w:t xml:space="preserve">. </w:t>
      </w:r>
    </w:p>
    <w:p w14:paraId="0D877D91" w14:textId="6990ECDD" w:rsidR="00186E78" w:rsidRPr="00FE2CF6" w:rsidRDefault="00186E78" w:rsidP="00186E78">
      <w:pPr>
        <w:rPr>
          <w:rFonts w:cs="Calibri"/>
          <w:i/>
          <w:iCs/>
          <w:noProof/>
          <w:color w:val="17406D" w:themeColor="text2"/>
          <w:sz w:val="18"/>
          <w:szCs w:val="18"/>
          <w:lang w:val="sq-AL"/>
        </w:rPr>
      </w:pPr>
      <w:bookmarkStart w:id="109" w:name="_Toc229130039"/>
      <w:r w:rsidRPr="00FE2CF6">
        <w:rPr>
          <w:i/>
          <w:iCs/>
          <w:noProof/>
          <w:color w:val="17406D" w:themeColor="text2"/>
          <w:sz w:val="18"/>
          <w:szCs w:val="18"/>
          <w:lang w:val="sq-AL"/>
        </w:rPr>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22</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p</w:t>
      </w:r>
      <w:r w:rsidR="0056260B">
        <w:rPr>
          <w:i/>
          <w:iCs/>
          <w:noProof/>
          <w:color w:val="17406D" w:themeColor="text2"/>
          <w:sz w:val="18"/>
          <w:szCs w:val="18"/>
          <w:lang w:val="sq-AL"/>
        </w:rPr>
        <w:t>ë</w:t>
      </w:r>
      <w:r w:rsidRPr="00FE2CF6">
        <w:rPr>
          <w:i/>
          <w:iCs/>
          <w:noProof/>
          <w:color w:val="17406D" w:themeColor="text2"/>
          <w:sz w:val="18"/>
          <w:szCs w:val="18"/>
          <w:lang w:val="sq-AL"/>
        </w:rPr>
        <w:t>r ndihmën ekonomike, PAK dhe papunësinë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09"/>
    </w:p>
    <w:p w14:paraId="21E8CB04" w14:textId="77777777" w:rsidR="00186E78" w:rsidRPr="00FE2CF6" w:rsidRDefault="00186E78" w:rsidP="00186E78">
      <w:pPr>
        <w:spacing w:before="0" w:line="240" w:lineRule="auto"/>
        <w:jc w:val="center"/>
        <w:rPr>
          <w:rFonts w:eastAsia="SimSun" w:cs="Calibri"/>
          <w:noProof/>
          <w:sz w:val="20"/>
          <w:lang w:val="sq-AL"/>
        </w:rPr>
      </w:pPr>
      <w:r w:rsidRPr="00FE2CF6">
        <w:rPr>
          <w:rFonts w:eastAsia="SimSun" w:cs="Calibri"/>
          <w:noProof/>
          <w:sz w:val="20"/>
          <w:lang w:val="sq-AL"/>
        </w:rPr>
        <w:drawing>
          <wp:inline distT="0" distB="0" distL="0" distR="0" wp14:anchorId="48B7AC8D" wp14:editId="61ABC636">
            <wp:extent cx="5209836" cy="1631289"/>
            <wp:effectExtent l="0" t="0" r="0" b="7620"/>
            <wp:docPr id="210551120" name="Picture 8" descr="A graph of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1120" name="Picture 8" descr="A graph of a number of bar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2897" cy="1654166"/>
                    </a:xfrm>
                    <a:prstGeom prst="rect">
                      <a:avLst/>
                    </a:prstGeom>
                    <a:noFill/>
                  </pic:spPr>
                </pic:pic>
              </a:graphicData>
            </a:graphic>
          </wp:inline>
        </w:drawing>
      </w:r>
    </w:p>
    <w:p w14:paraId="7AC119CA" w14:textId="77777777" w:rsidR="00186E78" w:rsidRPr="00FE2CF6" w:rsidRDefault="00186E78" w:rsidP="00186E78">
      <w:pPr>
        <w:spacing w:before="0" w:line="360" w:lineRule="auto"/>
        <w:ind w:left="720"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64C8CB4E" w14:textId="57DCA19C" w:rsidR="003C1C01" w:rsidRPr="00FE2CF6" w:rsidRDefault="00186E78" w:rsidP="003C1C01">
      <w:pPr>
        <w:spacing w:line="240" w:lineRule="auto"/>
        <w:rPr>
          <w:rFonts w:cs="Calibri"/>
          <w:bCs/>
          <w:iCs/>
          <w:noProof/>
          <w:lang w:val="sq-AL"/>
        </w:rPr>
      </w:pPr>
      <w:bookmarkStart w:id="110" w:name="_Hlk178686677"/>
      <w:r w:rsidRPr="00FE2CF6">
        <w:rPr>
          <w:rFonts w:cs="Calibri"/>
          <w:b/>
          <w:bCs/>
          <w:iCs/>
          <w:noProof/>
          <w:lang w:val="sq-AL"/>
        </w:rPr>
        <w:t>Shpenzimet kapitale</w:t>
      </w:r>
      <w:r w:rsidRPr="00FE2CF6">
        <w:rPr>
          <w:rFonts w:cs="Calibri"/>
          <w:bCs/>
          <w:iCs/>
          <w:noProof/>
          <w:lang w:val="sq-AL"/>
        </w:rPr>
        <w:t xml:space="preserve"> </w:t>
      </w:r>
      <w:bookmarkEnd w:id="110"/>
      <w:r w:rsidR="003C1C01" w:rsidRPr="00947CED">
        <w:rPr>
          <w:rFonts w:cs="Calibri"/>
          <w:bCs/>
          <w:iCs/>
          <w:noProof/>
          <w:lang w:val="sq-AL"/>
        </w:rPr>
        <w:t>për vitin 2025 (</w:t>
      </w:r>
      <w:r w:rsidR="003C1C01" w:rsidRPr="007263D2">
        <w:rPr>
          <w:rFonts w:cs="Calibri"/>
          <w:bCs/>
          <w:i/>
          <w:noProof/>
          <w:sz w:val="20"/>
          <w:szCs w:val="22"/>
          <w:lang w:val="sq-AL"/>
        </w:rPr>
        <w:t>përfshirë Fondin e Rindërtimit</w:t>
      </w:r>
      <w:r w:rsidR="003C1C01" w:rsidRPr="00947CED">
        <w:rPr>
          <w:rFonts w:cs="Calibri"/>
          <w:bCs/>
          <w:iCs/>
          <w:noProof/>
          <w:lang w:val="sq-AL"/>
        </w:rPr>
        <w:t xml:space="preserve">) rezultuan në rreth 131.6 </w:t>
      </w:r>
      <w:r w:rsidR="003C1C01">
        <w:rPr>
          <w:rFonts w:cs="Calibri"/>
          <w:bCs/>
          <w:iCs/>
          <w:noProof/>
          <w:lang w:val="sq-AL"/>
        </w:rPr>
        <w:t>miliardë</w:t>
      </w:r>
      <w:r w:rsidR="003C1C01" w:rsidRPr="00947CED">
        <w:rPr>
          <w:rFonts w:cs="Calibri"/>
          <w:bCs/>
          <w:iCs/>
          <w:noProof/>
          <w:lang w:val="sq-AL"/>
        </w:rPr>
        <w:t xml:space="preserve"> LEK ose 8</w:t>
      </w:r>
      <w:r w:rsidR="00503ED1">
        <w:rPr>
          <w:rFonts w:cs="Calibri"/>
          <w:bCs/>
          <w:iCs/>
          <w:noProof/>
          <w:lang w:val="sq-AL"/>
        </w:rPr>
        <w:t>1</w:t>
      </w:r>
      <w:r w:rsidR="003C1C01" w:rsidRPr="00947CED">
        <w:rPr>
          <w:rFonts w:cs="Calibri"/>
          <w:bCs/>
          <w:iCs/>
          <w:noProof/>
          <w:lang w:val="sq-AL"/>
        </w:rPr>
        <w:t xml:space="preserve">% e planit vjetor fillestar dhe 83.8% e planit vjetor të ndryshuar me AN nr.11/2025. Krahasuar me 2024, ky zë është </w:t>
      </w:r>
      <w:r w:rsidR="003C1C01">
        <w:rPr>
          <w:rFonts w:cs="Calibri"/>
          <w:bCs/>
          <w:iCs/>
          <w:noProof/>
          <w:lang w:val="sq-AL"/>
        </w:rPr>
        <w:t>13.4</w:t>
      </w:r>
      <w:r w:rsidR="003C1C01" w:rsidRPr="00947CED">
        <w:rPr>
          <w:rFonts w:cs="Calibri"/>
          <w:bCs/>
          <w:iCs/>
          <w:noProof/>
          <w:lang w:val="sq-AL"/>
        </w:rPr>
        <w:t xml:space="preserve">% më i lartë ose rreth </w:t>
      </w:r>
      <w:r w:rsidR="003C1C01">
        <w:rPr>
          <w:rFonts w:cs="Calibri"/>
          <w:bCs/>
          <w:iCs/>
          <w:noProof/>
          <w:lang w:val="sq-AL"/>
        </w:rPr>
        <w:t>15.6</w:t>
      </w:r>
      <w:r w:rsidR="003C1C01" w:rsidRPr="00947CED">
        <w:rPr>
          <w:rFonts w:cs="Calibri"/>
          <w:bCs/>
          <w:iCs/>
          <w:noProof/>
          <w:lang w:val="sq-AL"/>
        </w:rPr>
        <w:t xml:space="preserve"> </w:t>
      </w:r>
      <w:r w:rsidR="003C1C01">
        <w:rPr>
          <w:rFonts w:cs="Calibri"/>
          <w:bCs/>
          <w:iCs/>
          <w:noProof/>
          <w:lang w:val="sq-AL"/>
        </w:rPr>
        <w:t>miliardë</w:t>
      </w:r>
      <w:r w:rsidR="003C1C01" w:rsidRPr="00947CED">
        <w:rPr>
          <w:rFonts w:cs="Calibri"/>
          <w:bCs/>
          <w:iCs/>
          <w:noProof/>
          <w:lang w:val="sq-AL"/>
        </w:rPr>
        <w:t xml:space="preserve"> LEK më shumë. Investimet me financim të brendshëm u realizuan në </w:t>
      </w:r>
      <w:r w:rsidR="003C1C01" w:rsidRPr="00CA3D28">
        <w:rPr>
          <w:rFonts w:cs="Calibri"/>
          <w:bCs/>
          <w:iCs/>
          <w:noProof/>
          <w:lang w:val="sq-AL"/>
        </w:rPr>
        <w:t xml:space="preserve">masën 107.3 miliardë LEK kundrejt planit prej 114.2 miliardë lekë ose rreth </w:t>
      </w:r>
      <w:r w:rsidR="003C1C01">
        <w:rPr>
          <w:rFonts w:cs="Calibri"/>
          <w:bCs/>
          <w:iCs/>
          <w:noProof/>
          <w:lang w:val="sq-AL"/>
        </w:rPr>
        <w:t>17.8</w:t>
      </w:r>
      <w:r w:rsidR="003C1C01" w:rsidRPr="00CA3D28">
        <w:rPr>
          <w:rFonts w:cs="Calibri"/>
          <w:bCs/>
          <w:iCs/>
          <w:noProof/>
          <w:lang w:val="sq-AL"/>
        </w:rPr>
        <w:t xml:space="preserve"> miliardë LEK më</w:t>
      </w:r>
      <w:r w:rsidR="003C1C01" w:rsidRPr="00947CED">
        <w:rPr>
          <w:rFonts w:cs="Calibri"/>
          <w:bCs/>
          <w:iCs/>
          <w:noProof/>
          <w:lang w:val="sq-AL"/>
        </w:rPr>
        <w:t xml:space="preserve"> shumë se 2024. Investimet me financim të huaj </w:t>
      </w:r>
      <w:r w:rsidR="003C1C01">
        <w:rPr>
          <w:rFonts w:cs="Calibri"/>
          <w:bCs/>
          <w:iCs/>
          <w:noProof/>
          <w:lang w:val="sq-AL"/>
        </w:rPr>
        <w:t>u</w:t>
      </w:r>
      <w:r w:rsidR="003C1C01" w:rsidRPr="00947CED">
        <w:rPr>
          <w:rFonts w:cs="Calibri"/>
          <w:bCs/>
          <w:iCs/>
          <w:noProof/>
          <w:lang w:val="sq-AL"/>
        </w:rPr>
        <w:t xml:space="preserve"> realiz</w:t>
      </w:r>
      <w:r w:rsidR="003C1C01">
        <w:rPr>
          <w:rFonts w:cs="Calibri"/>
          <w:bCs/>
          <w:iCs/>
          <w:noProof/>
          <w:lang w:val="sq-AL"/>
        </w:rPr>
        <w:t>uan</w:t>
      </w:r>
      <w:r w:rsidR="003C1C01" w:rsidRPr="00947CED">
        <w:rPr>
          <w:rFonts w:cs="Calibri"/>
          <w:bCs/>
          <w:iCs/>
          <w:noProof/>
          <w:lang w:val="sq-AL"/>
        </w:rPr>
        <w:t xml:space="preserve"> në </w:t>
      </w:r>
      <w:r w:rsidR="003C1C01" w:rsidRPr="00CA3D28">
        <w:rPr>
          <w:rFonts w:cs="Calibri"/>
          <w:bCs/>
          <w:iCs/>
          <w:noProof/>
          <w:lang w:val="sq-AL"/>
        </w:rPr>
        <w:t>masën 20.3 miliardë LEK ose 46.6% e planit vjetor fillestar (</w:t>
      </w:r>
      <w:r w:rsidR="003C1C01" w:rsidRPr="00CA3D28">
        <w:rPr>
          <w:rFonts w:cs="Calibri"/>
          <w:bCs/>
          <w:i/>
          <w:noProof/>
          <w:sz w:val="20"/>
          <w:szCs w:val="22"/>
          <w:lang w:val="sq-AL"/>
        </w:rPr>
        <w:t>56.2% e planit sipas AN nr.11/2025</w:t>
      </w:r>
      <w:r w:rsidR="003C1C01" w:rsidRPr="00CA3D28">
        <w:rPr>
          <w:rFonts w:cs="Calibri"/>
          <w:bCs/>
          <w:iCs/>
          <w:noProof/>
          <w:lang w:val="sq-AL"/>
        </w:rPr>
        <w:t>) ose rreth 2.9 miliardë LEK më shumë se 2024.</w:t>
      </w:r>
    </w:p>
    <w:p w14:paraId="36E4F398" w14:textId="77777777" w:rsidR="003C1C01" w:rsidRPr="003C1C01" w:rsidRDefault="003C1C01" w:rsidP="003C1C01">
      <w:pPr>
        <w:numPr>
          <w:ilvl w:val="0"/>
          <w:numId w:val="49"/>
        </w:numPr>
        <w:spacing w:line="240" w:lineRule="auto"/>
        <w:contextualSpacing/>
        <w:rPr>
          <w:rFonts w:cs="Calibri"/>
          <w:bCs/>
          <w:i/>
          <w:noProof/>
          <w:color w:val="EE0000"/>
          <w:lang w:val="sq-AL"/>
        </w:rPr>
      </w:pPr>
      <w:r w:rsidRPr="007263D2">
        <w:rPr>
          <w:rFonts w:cs="Calibri"/>
          <w:bCs/>
          <w:i/>
          <w:noProof/>
          <w:lang w:val="sq-AL"/>
        </w:rPr>
        <w:t>Investimet me financim të brendshëm (</w:t>
      </w:r>
      <w:r w:rsidRPr="007263D2">
        <w:rPr>
          <w:rFonts w:cs="Calibri"/>
          <w:bCs/>
          <w:i/>
          <w:noProof/>
          <w:sz w:val="20"/>
          <w:szCs w:val="22"/>
          <w:lang w:val="sq-AL"/>
        </w:rPr>
        <w:t>përfshirë investimet nga të ardhurat e arsimit të lartë, transferimet kapitale dhe fondi i rindërtimit</w:t>
      </w:r>
      <w:r w:rsidRPr="007263D2">
        <w:rPr>
          <w:rFonts w:cs="Calibri"/>
          <w:bCs/>
          <w:i/>
          <w:noProof/>
          <w:lang w:val="sq-AL"/>
        </w:rPr>
        <w:t xml:space="preserve">) u realizuan në masën rreth 111.3 miliardë LEK, duke rezultuar 93.7% e planit vjetor sipas buxhetit fillestar </w:t>
      </w:r>
      <w:r>
        <w:rPr>
          <w:rFonts w:cs="Calibri"/>
          <w:bCs/>
          <w:i/>
          <w:noProof/>
          <w:lang w:val="sq-AL"/>
        </w:rPr>
        <w:t xml:space="preserve">dhe </w:t>
      </w:r>
      <w:r w:rsidRPr="007263D2">
        <w:rPr>
          <w:rFonts w:cs="Calibri"/>
          <w:bCs/>
          <w:i/>
          <w:noProof/>
          <w:lang w:val="sq-AL"/>
        </w:rPr>
        <w:t>92.6% e planit vjetor të ndryshuar me AN nr.11/2025</w:t>
      </w:r>
      <w:r>
        <w:rPr>
          <w:rFonts w:cs="Calibri"/>
          <w:bCs/>
          <w:i/>
          <w:noProof/>
          <w:lang w:val="sq-AL"/>
        </w:rPr>
        <w:t xml:space="preserve">. </w:t>
      </w:r>
      <w:r w:rsidRPr="007263D2">
        <w:rPr>
          <w:rFonts w:cs="Calibri"/>
          <w:bCs/>
          <w:i/>
          <w:noProof/>
          <w:lang w:val="sq-AL"/>
        </w:rPr>
        <w:t xml:space="preserve">Krahasuar me 2024, ky zë </w:t>
      </w:r>
      <w:r w:rsidRPr="003326D4">
        <w:rPr>
          <w:rFonts w:cs="Calibri"/>
          <w:bCs/>
          <w:i/>
          <w:noProof/>
          <w:lang w:val="sq-AL"/>
        </w:rPr>
        <w:t>rezulton 12.9% më i lartë ose rreth 12</w:t>
      </w:r>
      <w:r>
        <w:rPr>
          <w:rFonts w:cs="Calibri"/>
          <w:bCs/>
          <w:i/>
          <w:noProof/>
          <w:lang w:val="sq-AL"/>
        </w:rPr>
        <w:t>.7</w:t>
      </w:r>
      <w:r w:rsidRPr="007263D2">
        <w:rPr>
          <w:rFonts w:cs="Calibri"/>
          <w:bCs/>
          <w:i/>
          <w:noProof/>
          <w:lang w:val="sq-AL"/>
        </w:rPr>
        <w:t xml:space="preserve"> miliardë LEK më shumë</w:t>
      </w:r>
      <w:r>
        <w:rPr>
          <w:rFonts w:cs="Calibri"/>
          <w:bCs/>
          <w:i/>
          <w:noProof/>
          <w:lang w:val="sq-AL"/>
        </w:rPr>
        <w:t xml:space="preserve">, kryesisht </w:t>
      </w:r>
      <w:r w:rsidRPr="008527F9">
        <w:rPr>
          <w:rFonts w:cs="Calibri"/>
          <w:bCs/>
          <w:i/>
          <w:noProof/>
          <w:color w:val="000000" w:themeColor="text1"/>
          <w:lang w:val="sq-AL"/>
        </w:rPr>
        <w:t>si rrjedhojë e shpenzimeve kapitale të realizuara në fushën e infrastrukturës rrugore, ajrore</w:t>
      </w:r>
      <w:r>
        <w:rPr>
          <w:rFonts w:cs="Calibri"/>
          <w:bCs/>
          <w:i/>
          <w:noProof/>
          <w:color w:val="000000" w:themeColor="text1"/>
          <w:lang w:val="sq-AL"/>
        </w:rPr>
        <w:t xml:space="preserve">, </w:t>
      </w:r>
      <w:r w:rsidRPr="008527F9">
        <w:rPr>
          <w:rFonts w:cs="Calibri"/>
          <w:bCs/>
          <w:i/>
          <w:noProof/>
          <w:color w:val="000000" w:themeColor="text1"/>
          <w:lang w:val="sq-AL"/>
        </w:rPr>
        <w:t>energji</w:t>
      </w:r>
      <w:r>
        <w:rPr>
          <w:rFonts w:cs="Calibri"/>
          <w:bCs/>
          <w:i/>
          <w:noProof/>
          <w:color w:val="000000" w:themeColor="text1"/>
          <w:lang w:val="sq-AL"/>
        </w:rPr>
        <w:t>tike dhe</w:t>
      </w:r>
      <w:r w:rsidRPr="008527F9">
        <w:rPr>
          <w:rFonts w:cs="Calibri"/>
          <w:bCs/>
          <w:i/>
          <w:noProof/>
          <w:color w:val="000000" w:themeColor="text1"/>
          <w:lang w:val="sq-AL"/>
        </w:rPr>
        <w:t xml:space="preserve"> në programe zhvillimore </w:t>
      </w:r>
      <w:r>
        <w:rPr>
          <w:rFonts w:cs="Calibri"/>
          <w:bCs/>
          <w:i/>
          <w:noProof/>
          <w:color w:val="000000" w:themeColor="text1"/>
          <w:lang w:val="sq-AL"/>
        </w:rPr>
        <w:t>s</w:t>
      </w:r>
      <w:r w:rsidRPr="008527F9">
        <w:rPr>
          <w:rFonts w:cs="Calibri"/>
          <w:bCs/>
          <w:i/>
          <w:noProof/>
          <w:color w:val="000000" w:themeColor="text1"/>
          <w:lang w:val="sq-AL"/>
        </w:rPr>
        <w:t xml:space="preserve">a i përket zonave me potencial turistik. </w:t>
      </w:r>
    </w:p>
    <w:p w14:paraId="062C4D86" w14:textId="622C0202" w:rsidR="003C1C01" w:rsidRPr="00F41671" w:rsidRDefault="003C1C01" w:rsidP="003C1C01">
      <w:pPr>
        <w:numPr>
          <w:ilvl w:val="1"/>
          <w:numId w:val="49"/>
        </w:numPr>
        <w:spacing w:line="240" w:lineRule="auto"/>
        <w:ind w:left="720" w:hanging="270"/>
        <w:contextualSpacing/>
        <w:rPr>
          <w:rFonts w:cs="Calibri"/>
          <w:bCs/>
          <w:i/>
          <w:noProof/>
          <w:color w:val="EE0000"/>
          <w:lang w:val="sq-AL"/>
        </w:rPr>
      </w:pPr>
      <w:r w:rsidRPr="007263D2">
        <w:rPr>
          <w:rFonts w:cs="Calibri"/>
          <w:bCs/>
          <w:i/>
          <w:noProof/>
          <w:lang w:val="sq-AL"/>
        </w:rPr>
        <w:t>Nga k</w:t>
      </w:r>
      <w:r>
        <w:rPr>
          <w:rFonts w:cs="Calibri"/>
          <w:bCs/>
          <w:i/>
          <w:noProof/>
          <w:lang w:val="sq-AL"/>
        </w:rPr>
        <w:t>ë</w:t>
      </w:r>
      <w:r w:rsidRPr="007263D2">
        <w:rPr>
          <w:rFonts w:cs="Calibri"/>
          <w:bCs/>
          <w:i/>
          <w:noProof/>
          <w:lang w:val="sq-AL"/>
        </w:rPr>
        <w:t xml:space="preserve">to, shpenzimet faktike për Rindërtimin rezultuan në 3.2 miliardë LEK </w:t>
      </w:r>
      <w:r>
        <w:rPr>
          <w:rFonts w:cs="Calibri"/>
          <w:bCs/>
          <w:i/>
          <w:noProof/>
          <w:lang w:val="sq-AL"/>
        </w:rPr>
        <w:t>ose</w:t>
      </w:r>
      <w:r w:rsidRPr="007263D2">
        <w:rPr>
          <w:rFonts w:cs="Calibri"/>
          <w:bCs/>
          <w:i/>
          <w:noProof/>
          <w:lang w:val="sq-AL"/>
        </w:rPr>
        <w:t xml:space="preserve"> 63.1% e planit vjetor sipas buxhetit fillestar dhe planit vjetor të ndryshuar </w:t>
      </w:r>
      <w:r>
        <w:rPr>
          <w:rFonts w:cs="Calibri"/>
          <w:bCs/>
          <w:i/>
          <w:noProof/>
          <w:lang w:val="sq-AL"/>
        </w:rPr>
        <w:t>sipas</w:t>
      </w:r>
      <w:r w:rsidRPr="007263D2">
        <w:rPr>
          <w:rFonts w:cs="Calibri"/>
          <w:bCs/>
          <w:i/>
          <w:noProof/>
          <w:lang w:val="sq-AL"/>
        </w:rPr>
        <w:t xml:space="preserve"> AN</w:t>
      </w:r>
      <w:r>
        <w:rPr>
          <w:rFonts w:cs="Calibri"/>
          <w:bCs/>
          <w:i/>
          <w:noProof/>
          <w:lang w:val="sq-AL"/>
        </w:rPr>
        <w:t xml:space="preserve"> nr.</w:t>
      </w:r>
      <w:r w:rsidRPr="007263D2">
        <w:rPr>
          <w:rFonts w:cs="Calibri"/>
          <w:bCs/>
          <w:i/>
          <w:noProof/>
          <w:lang w:val="sq-AL"/>
        </w:rPr>
        <w:t>11/2025</w:t>
      </w:r>
      <w:r>
        <w:rPr>
          <w:rFonts w:cs="Calibri"/>
          <w:bCs/>
          <w:i/>
          <w:noProof/>
          <w:lang w:val="sq-AL"/>
        </w:rPr>
        <w:t>.</w:t>
      </w:r>
      <w:r w:rsidRPr="007263D2">
        <w:rPr>
          <w:rFonts w:cs="Calibri"/>
          <w:bCs/>
          <w:i/>
          <w:noProof/>
          <w:lang w:val="sq-AL"/>
        </w:rPr>
        <w:t xml:space="preserve"> Krahasuar me 2024, </w:t>
      </w:r>
      <w:r>
        <w:rPr>
          <w:rFonts w:cs="Calibri"/>
          <w:bCs/>
          <w:i/>
          <w:noProof/>
          <w:lang w:val="sq-AL"/>
        </w:rPr>
        <w:t>ato</w:t>
      </w:r>
      <w:r w:rsidRPr="007263D2">
        <w:rPr>
          <w:rFonts w:cs="Calibri"/>
          <w:bCs/>
          <w:i/>
          <w:noProof/>
          <w:lang w:val="sq-AL"/>
        </w:rPr>
        <w:t xml:space="preserve"> rezultuan 61.8% më të ulëta ose rreth 5.1 miliardë LEK më pak</w:t>
      </w:r>
      <w:r>
        <w:rPr>
          <w:rFonts w:cs="Calibri"/>
          <w:bCs/>
          <w:i/>
          <w:noProof/>
          <w:lang w:val="sq-AL"/>
        </w:rPr>
        <w:t xml:space="preserve">, </w:t>
      </w:r>
      <w:r w:rsidRPr="00F41671">
        <w:rPr>
          <w:rFonts w:cs="Calibri"/>
          <w:bCs/>
          <w:i/>
          <w:noProof/>
          <w:lang w:val="sq-AL"/>
        </w:rPr>
        <w:t xml:space="preserve">si </w:t>
      </w:r>
      <w:r>
        <w:rPr>
          <w:rFonts w:cs="Calibri"/>
          <w:bCs/>
          <w:i/>
          <w:noProof/>
          <w:lang w:val="sq-AL"/>
        </w:rPr>
        <w:t>pas</w:t>
      </w:r>
      <w:r w:rsidRPr="00F41671">
        <w:rPr>
          <w:rFonts w:cs="Calibri"/>
          <w:bCs/>
          <w:i/>
          <w:noProof/>
          <w:lang w:val="sq-AL"/>
        </w:rPr>
        <w:t>ojë e përfundimit të një pjese të konsiderueshme të investimeve në vitet e mëparshme dhe kalimit të procesit në fazën përfundimtare.</w:t>
      </w:r>
    </w:p>
    <w:p w14:paraId="00FDDB50" w14:textId="2267E726" w:rsidR="00186E78" w:rsidRPr="003C1C01" w:rsidRDefault="003C1C01" w:rsidP="003C1C01">
      <w:pPr>
        <w:numPr>
          <w:ilvl w:val="0"/>
          <w:numId w:val="49"/>
        </w:numPr>
        <w:spacing w:line="240" w:lineRule="auto"/>
        <w:contextualSpacing/>
        <w:rPr>
          <w:rFonts w:cs="Calibri"/>
          <w:bCs/>
          <w:i/>
          <w:noProof/>
          <w:lang w:val="sq-AL"/>
        </w:rPr>
      </w:pPr>
      <w:r w:rsidRPr="00B410B0">
        <w:rPr>
          <w:rFonts w:cs="Calibri"/>
          <w:bCs/>
          <w:i/>
          <w:noProof/>
          <w:lang w:val="sq-AL"/>
        </w:rPr>
        <w:t>Investimet me financim të huaj shënuan realizim faktik në masën 20.3 miliardë LEK, duke rezultuar 46.6% e planit vjetor fillestar ose 56.2% e planit vjetor të ndryshuar me AN nr.11/2025</w:t>
      </w:r>
      <w:r>
        <w:rPr>
          <w:rFonts w:cs="Calibri"/>
          <w:bCs/>
          <w:i/>
          <w:noProof/>
          <w:lang w:val="sq-AL"/>
        </w:rPr>
        <w:t xml:space="preserve">. </w:t>
      </w:r>
      <w:r w:rsidRPr="00B410B0">
        <w:rPr>
          <w:rFonts w:cs="Calibri"/>
          <w:bCs/>
          <w:i/>
          <w:noProof/>
          <w:lang w:val="sq-AL"/>
        </w:rPr>
        <w:t xml:space="preserve">Krahasuar me 2024, ky zë rezulton 16.5% më i lartë ose rreth 2.9 miliardë LEK më shumë, </w:t>
      </w:r>
      <w:r>
        <w:rPr>
          <w:rFonts w:cs="Calibri"/>
          <w:bCs/>
          <w:i/>
          <w:noProof/>
          <w:lang w:val="sq-AL"/>
        </w:rPr>
        <w:t xml:space="preserve">kryesisht </w:t>
      </w:r>
      <w:r w:rsidRPr="003C1C01">
        <w:rPr>
          <w:rFonts w:cs="Calibri"/>
          <w:bCs/>
          <w:i/>
          <w:noProof/>
          <w:lang w:val="sq-AL"/>
        </w:rPr>
        <w:t xml:space="preserve">si </w:t>
      </w:r>
      <w:r>
        <w:rPr>
          <w:rFonts w:cs="Calibri"/>
          <w:bCs/>
          <w:i/>
          <w:noProof/>
          <w:lang w:val="sq-AL"/>
        </w:rPr>
        <w:t>rrjedh</w:t>
      </w:r>
      <w:r w:rsidRPr="003C1C01">
        <w:rPr>
          <w:rFonts w:cs="Calibri"/>
          <w:bCs/>
          <w:i/>
          <w:noProof/>
          <w:lang w:val="sq-AL"/>
        </w:rPr>
        <w:t>ojë e investimeve publike në fushën e transportit hekurudhor dhe në sektorin e furnizimit me ujë dhe kanalizimeve</w:t>
      </w:r>
      <w:r w:rsidR="007263D2" w:rsidRPr="003C1C01">
        <w:rPr>
          <w:rFonts w:cs="Calibri"/>
          <w:bCs/>
          <w:i/>
          <w:noProof/>
          <w:lang w:val="sq-AL"/>
        </w:rPr>
        <w:t>.</w:t>
      </w:r>
    </w:p>
    <w:p w14:paraId="4D7484A9" w14:textId="77777777" w:rsidR="002122A2" w:rsidRDefault="002122A2" w:rsidP="00186E78">
      <w:pPr>
        <w:rPr>
          <w:i/>
          <w:iCs/>
          <w:noProof/>
          <w:color w:val="17406D" w:themeColor="text2"/>
          <w:sz w:val="18"/>
          <w:szCs w:val="18"/>
          <w:lang w:val="sq-AL"/>
        </w:rPr>
      </w:pPr>
      <w:bookmarkStart w:id="111" w:name="_Toc229130040"/>
    </w:p>
    <w:p w14:paraId="25D3320E" w14:textId="430D56F9" w:rsidR="00186E78" w:rsidRPr="00FE2CF6" w:rsidRDefault="00186E78" w:rsidP="00186E78">
      <w:pPr>
        <w:rPr>
          <w:rFonts w:cs="Calibri"/>
          <w:i/>
          <w:iCs/>
          <w:noProof/>
          <w:color w:val="17406D" w:themeColor="text2"/>
          <w:sz w:val="18"/>
          <w:szCs w:val="18"/>
          <w:lang w:val="sq-AL"/>
        </w:rPr>
      </w:pPr>
      <w:r w:rsidRPr="00FE2CF6">
        <w:rPr>
          <w:i/>
          <w:iCs/>
          <w:noProof/>
          <w:color w:val="17406D" w:themeColor="text2"/>
          <w:sz w:val="18"/>
          <w:szCs w:val="18"/>
          <w:lang w:val="sq-AL"/>
        </w:rPr>
        <w:lastRenderedPageBreak/>
        <w:t xml:space="preserve">Grafiku </w:t>
      </w:r>
      <w:r w:rsidRPr="00FE2CF6">
        <w:rPr>
          <w:i/>
          <w:iCs/>
          <w:noProof/>
          <w:color w:val="17406D" w:themeColor="text2"/>
          <w:sz w:val="18"/>
          <w:szCs w:val="18"/>
          <w:lang w:val="sq-AL"/>
        </w:rPr>
        <w:fldChar w:fldCharType="begin"/>
      </w:r>
      <w:r w:rsidRPr="00FE2CF6">
        <w:rPr>
          <w:i/>
          <w:iCs/>
          <w:noProof/>
          <w:color w:val="17406D" w:themeColor="text2"/>
          <w:sz w:val="18"/>
          <w:szCs w:val="18"/>
          <w:lang w:val="sq-AL"/>
        </w:rPr>
        <w:instrText xml:space="preserve"> SEQ Grafiku \* ARABIC </w:instrText>
      </w:r>
      <w:r w:rsidRPr="00FE2CF6">
        <w:rPr>
          <w:i/>
          <w:iCs/>
          <w:noProof/>
          <w:color w:val="17406D" w:themeColor="text2"/>
          <w:sz w:val="18"/>
          <w:szCs w:val="18"/>
          <w:lang w:val="sq-AL"/>
        </w:rPr>
        <w:fldChar w:fldCharType="separate"/>
      </w:r>
      <w:r w:rsidR="00CB4DE6">
        <w:rPr>
          <w:i/>
          <w:iCs/>
          <w:noProof/>
          <w:color w:val="17406D" w:themeColor="text2"/>
          <w:sz w:val="18"/>
          <w:szCs w:val="18"/>
          <w:lang w:val="sq-AL"/>
        </w:rPr>
        <w:t>23</w:t>
      </w:r>
      <w:r w:rsidRPr="00FE2CF6">
        <w:rPr>
          <w:i/>
          <w:iCs/>
          <w:noProof/>
          <w:color w:val="17406D" w:themeColor="text2"/>
          <w:sz w:val="18"/>
          <w:szCs w:val="18"/>
          <w:lang w:val="sq-AL"/>
        </w:rPr>
        <w:fldChar w:fldCharType="end"/>
      </w:r>
      <w:r w:rsidRPr="00FE2CF6">
        <w:rPr>
          <w:i/>
          <w:iCs/>
          <w:noProof/>
          <w:color w:val="17406D" w:themeColor="text2"/>
          <w:sz w:val="18"/>
          <w:szCs w:val="18"/>
          <w:lang w:val="sq-AL"/>
        </w:rPr>
        <w:t xml:space="preserve"> Shpenzimet Kapitale dhe burimi i financimit të tyre (në </w:t>
      </w:r>
      <w:r w:rsidR="0056260B">
        <w:rPr>
          <w:i/>
          <w:iCs/>
          <w:noProof/>
          <w:color w:val="17406D" w:themeColor="text2"/>
          <w:sz w:val="18"/>
          <w:szCs w:val="18"/>
          <w:lang w:val="sq-AL"/>
        </w:rPr>
        <w:t>miliardë</w:t>
      </w:r>
      <w:r w:rsidRPr="00FE2CF6">
        <w:rPr>
          <w:i/>
          <w:iCs/>
          <w:noProof/>
          <w:color w:val="17406D" w:themeColor="text2"/>
          <w:sz w:val="18"/>
          <w:szCs w:val="18"/>
          <w:lang w:val="sq-AL"/>
        </w:rPr>
        <w:t xml:space="preserve"> LEK)</w:t>
      </w:r>
      <w:bookmarkEnd w:id="111"/>
    </w:p>
    <w:p w14:paraId="3233FA16" w14:textId="77777777" w:rsidR="00186E78" w:rsidRPr="00FE2CF6" w:rsidRDefault="00186E78" w:rsidP="00186E78">
      <w:pPr>
        <w:spacing w:before="0" w:line="240" w:lineRule="auto"/>
        <w:jc w:val="center"/>
        <w:rPr>
          <w:rFonts w:eastAsia="SimSun" w:cs="Calibri"/>
          <w:b/>
          <w:noProof/>
          <w:lang w:val="sq-AL"/>
        </w:rPr>
      </w:pPr>
      <w:r w:rsidRPr="00FE2CF6">
        <w:rPr>
          <w:rFonts w:eastAsia="SimSun" w:cs="Calibri"/>
          <w:b/>
          <w:noProof/>
          <w:lang w:val="sq-AL"/>
        </w:rPr>
        <w:drawing>
          <wp:inline distT="0" distB="0" distL="0" distR="0" wp14:anchorId="07E9D1D7" wp14:editId="30216469">
            <wp:extent cx="5163185" cy="1678675"/>
            <wp:effectExtent l="0" t="0" r="0" b="0"/>
            <wp:docPr id="133675691"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691" name="Picture 1" descr="A graph of a bar char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4232" cy="1708277"/>
                    </a:xfrm>
                    <a:prstGeom prst="rect">
                      <a:avLst/>
                    </a:prstGeom>
                    <a:noFill/>
                  </pic:spPr>
                </pic:pic>
              </a:graphicData>
            </a:graphic>
          </wp:inline>
        </w:drawing>
      </w:r>
    </w:p>
    <w:p w14:paraId="0F0DE969" w14:textId="77777777" w:rsidR="00186E78" w:rsidRDefault="00186E78" w:rsidP="00186E78">
      <w:pPr>
        <w:spacing w:before="0" w:line="240" w:lineRule="auto"/>
        <w:ind w:firstLine="720"/>
        <w:rPr>
          <w:rFonts w:eastAsia="SimSun" w:cs="Calibri"/>
          <w:bCs/>
          <w:i/>
          <w:noProof/>
          <w:sz w:val="18"/>
          <w:szCs w:val="18"/>
          <w:lang w:val="sq-AL"/>
        </w:rPr>
      </w:pPr>
      <w:r w:rsidRPr="00FE2CF6">
        <w:rPr>
          <w:rFonts w:eastAsia="SimSun" w:cs="Calibri"/>
          <w:bCs/>
          <w:i/>
          <w:noProof/>
          <w:sz w:val="18"/>
          <w:szCs w:val="18"/>
          <w:lang w:val="sq-AL"/>
        </w:rPr>
        <w:t>Burimi: Ministria e Financave (2026)</w:t>
      </w:r>
    </w:p>
    <w:p w14:paraId="014E4531" w14:textId="77777777" w:rsidR="00186E78" w:rsidRPr="007E1929" w:rsidRDefault="00186E78" w:rsidP="00186E78">
      <w:pPr>
        <w:spacing w:before="0" w:line="240" w:lineRule="auto"/>
        <w:ind w:firstLine="720"/>
        <w:rPr>
          <w:rFonts w:eastAsia="SimSun" w:cs="Calibri"/>
          <w:bCs/>
          <w:i/>
          <w:noProof/>
          <w:sz w:val="18"/>
          <w:szCs w:val="18"/>
          <w:lang w:val="sq-AL"/>
        </w:rPr>
      </w:pPr>
    </w:p>
    <w:p w14:paraId="34546D2B" w14:textId="7940378B" w:rsidR="003655B3" w:rsidRPr="00947CED" w:rsidRDefault="00186E78" w:rsidP="00186E78">
      <w:pPr>
        <w:spacing w:before="0" w:line="240" w:lineRule="auto"/>
        <w:rPr>
          <w:rFonts w:asciiTheme="majorHAnsi" w:hAnsiTheme="majorHAnsi" w:cs="Calibri Light"/>
          <w:bCs/>
          <w:i/>
          <w:iCs/>
          <w:noProof/>
          <w:sz w:val="20"/>
          <w:szCs w:val="20"/>
          <w:lang w:val="sq-AL"/>
        </w:rPr>
      </w:pPr>
      <w:r w:rsidRPr="00947CED">
        <w:rPr>
          <w:rFonts w:asciiTheme="majorHAnsi" w:hAnsiTheme="majorHAnsi" w:cstheme="majorHAnsi"/>
          <w:b/>
          <w:noProof/>
          <w:lang w:val="sq-AL"/>
        </w:rPr>
        <w:t>Fondet buxhetore të alokuara për investime</w:t>
      </w:r>
      <w:bookmarkEnd w:id="97"/>
      <w:r w:rsidR="00947CED" w:rsidRPr="000F0D9E">
        <w:rPr>
          <w:lang w:val="sq-AL"/>
        </w:rPr>
        <w:t xml:space="preserve"> </w:t>
      </w:r>
      <w:r w:rsidR="00947CED" w:rsidRPr="00947CED">
        <w:rPr>
          <w:rFonts w:asciiTheme="majorHAnsi" w:hAnsiTheme="majorHAnsi" w:cstheme="majorHAnsi"/>
          <w:bCs/>
          <w:noProof/>
          <w:lang w:val="sq-AL"/>
        </w:rPr>
        <w:t>kanë prekur fusha të rëndësishme të ekonomisë. Prioritetet e buxhetit 2025 për shpenzimet kapitale ishin kryesisht në fushën e: infrastrukturës, ujësjellës-kanalizimeve, transporti rrugor, shëndetësisë, mbrojtjes, etj. Realizimi i investimeve në total ka qenë në nivele të larta, veçanërisht për financimin e brendshëm. Në përgjithësi ecuria e realizimit të shpenzimeve kapitale ka vijuar pa problematika thelbësore që ndikojnë qëndrueshmërinë financiare të buxhetit. Problematikë për vitin 2025 ishte realizimi i projekteve me financim të huaj, kryesisht projekte të financuara me grant. Për pasojë, Qeveria, nëpërmjet tre akteve normative, ndërmori rishikimin në ulje të tavaneve buxhetore të Financimit të Huaj për institucionet përkatëse.</w:t>
      </w:r>
    </w:p>
    <w:p w14:paraId="35FEF61A" w14:textId="2982FC9E" w:rsidR="00947CED" w:rsidRPr="002122A2" w:rsidRDefault="00947CED" w:rsidP="00947CED">
      <w:pPr>
        <w:spacing w:line="240" w:lineRule="auto"/>
        <w:rPr>
          <w:rFonts w:asciiTheme="majorHAnsi" w:eastAsia="SimSun" w:hAnsiTheme="majorHAnsi" w:cstheme="majorHAnsi"/>
          <w:noProof/>
          <w:szCs w:val="22"/>
          <w:lang w:val="sq-AL"/>
        </w:rPr>
      </w:pPr>
      <w:r w:rsidRPr="002122A2">
        <w:rPr>
          <w:rFonts w:asciiTheme="majorHAnsi" w:eastAsia="SimSun" w:hAnsiTheme="majorHAnsi" w:cstheme="majorHAnsi"/>
          <w:noProof/>
          <w:szCs w:val="22"/>
          <w:lang w:val="sq-AL"/>
        </w:rPr>
        <w:t xml:space="preserve">Me buxhetin e vitit 2025, janë </w:t>
      </w:r>
      <w:r w:rsidRPr="002122A2">
        <w:rPr>
          <w:rFonts w:asciiTheme="majorHAnsi" w:eastAsia="SimSun" w:hAnsiTheme="majorHAnsi" w:cstheme="majorHAnsi"/>
          <w:b/>
          <w:noProof/>
          <w:szCs w:val="22"/>
          <w:lang w:val="sq-AL"/>
        </w:rPr>
        <w:t xml:space="preserve">financuar dhe mbyllur </w:t>
      </w:r>
      <w:r w:rsidRPr="002122A2">
        <w:rPr>
          <w:rFonts w:asciiTheme="majorHAnsi" w:eastAsia="SimSun" w:hAnsiTheme="majorHAnsi" w:cstheme="majorHAnsi"/>
          <w:noProof/>
          <w:szCs w:val="22"/>
          <w:lang w:val="sq-AL"/>
        </w:rPr>
        <w:t>rreth 280 projekte të rëndësishme me financim të brendshëm, me vlerë të plotë projektesh me rreth 51.4</w:t>
      </w:r>
      <w:r w:rsidR="002122A2">
        <w:rPr>
          <w:rFonts w:asciiTheme="majorHAnsi" w:eastAsia="SimSun" w:hAnsiTheme="majorHAnsi" w:cstheme="majorHAnsi"/>
          <w:noProof/>
          <w:szCs w:val="22"/>
          <w:lang w:val="sq-AL"/>
        </w:rPr>
        <w:t>mld</w:t>
      </w:r>
      <w:r w:rsidRPr="002122A2">
        <w:rPr>
          <w:rFonts w:asciiTheme="majorHAnsi" w:eastAsia="SimSun" w:hAnsiTheme="majorHAnsi" w:cstheme="majorHAnsi"/>
          <w:noProof/>
          <w:szCs w:val="22"/>
          <w:lang w:val="sq-AL"/>
        </w:rPr>
        <w:t xml:space="preserve"> </w:t>
      </w:r>
      <w:r w:rsidRPr="002122A2">
        <w:rPr>
          <w:rFonts w:asciiTheme="majorHAnsi" w:eastAsia="SimSun" w:hAnsiTheme="majorHAnsi" w:cstheme="majorHAnsi"/>
          <w:bCs/>
          <w:noProof/>
          <w:szCs w:val="22"/>
          <w:lang w:val="sq-AL"/>
        </w:rPr>
        <w:t>LEK</w:t>
      </w:r>
      <w:r w:rsidR="002122A2" w:rsidRPr="002122A2">
        <w:rPr>
          <w:rFonts w:asciiTheme="majorHAnsi" w:eastAsia="SimSun" w:hAnsiTheme="majorHAnsi" w:cstheme="majorHAnsi"/>
          <w:bCs/>
          <w:noProof/>
          <w:szCs w:val="22"/>
          <w:lang w:val="sq-AL"/>
        </w:rPr>
        <w:t>, nd</w:t>
      </w:r>
      <w:r w:rsidR="002122A2">
        <w:rPr>
          <w:rFonts w:asciiTheme="majorHAnsi" w:eastAsia="SimSun" w:hAnsiTheme="majorHAnsi" w:cstheme="majorHAnsi"/>
          <w:bCs/>
          <w:noProof/>
          <w:szCs w:val="22"/>
          <w:lang w:val="sq-AL"/>
        </w:rPr>
        <w:t>ë</w:t>
      </w:r>
      <w:r w:rsidR="002122A2" w:rsidRPr="002122A2">
        <w:rPr>
          <w:rFonts w:asciiTheme="majorHAnsi" w:eastAsia="SimSun" w:hAnsiTheme="majorHAnsi" w:cstheme="majorHAnsi"/>
          <w:bCs/>
          <w:noProof/>
          <w:szCs w:val="22"/>
          <w:lang w:val="sq-AL"/>
        </w:rPr>
        <w:t>r t</w:t>
      </w:r>
      <w:r w:rsidR="002122A2">
        <w:rPr>
          <w:rFonts w:asciiTheme="majorHAnsi" w:eastAsia="SimSun" w:hAnsiTheme="majorHAnsi" w:cstheme="majorHAnsi"/>
          <w:bCs/>
          <w:noProof/>
          <w:szCs w:val="22"/>
          <w:lang w:val="sq-AL"/>
        </w:rPr>
        <w:t>ë</w:t>
      </w:r>
      <w:r w:rsidR="002122A2" w:rsidRPr="002122A2">
        <w:rPr>
          <w:rFonts w:asciiTheme="majorHAnsi" w:eastAsia="SimSun" w:hAnsiTheme="majorHAnsi" w:cstheme="majorHAnsi"/>
          <w:bCs/>
          <w:noProof/>
          <w:szCs w:val="22"/>
          <w:lang w:val="sq-AL"/>
        </w:rPr>
        <w:t xml:space="preserve"> cilat vlen t</w:t>
      </w:r>
      <w:r w:rsidR="002122A2">
        <w:rPr>
          <w:rFonts w:asciiTheme="majorHAnsi" w:eastAsia="SimSun" w:hAnsiTheme="majorHAnsi" w:cstheme="majorHAnsi"/>
          <w:bCs/>
          <w:noProof/>
          <w:szCs w:val="22"/>
          <w:lang w:val="sq-AL"/>
        </w:rPr>
        <w:t>ë</w:t>
      </w:r>
      <w:r w:rsidR="002122A2" w:rsidRPr="002122A2">
        <w:rPr>
          <w:rFonts w:asciiTheme="majorHAnsi" w:eastAsia="SimSun" w:hAnsiTheme="majorHAnsi" w:cstheme="majorHAnsi"/>
          <w:bCs/>
          <w:noProof/>
          <w:szCs w:val="22"/>
          <w:lang w:val="sq-AL"/>
        </w:rPr>
        <w:t xml:space="preserve"> p</w:t>
      </w:r>
      <w:r w:rsidR="002122A2">
        <w:rPr>
          <w:rFonts w:asciiTheme="majorHAnsi" w:eastAsia="SimSun" w:hAnsiTheme="majorHAnsi" w:cstheme="majorHAnsi"/>
          <w:bCs/>
          <w:noProof/>
          <w:szCs w:val="22"/>
          <w:lang w:val="sq-AL"/>
        </w:rPr>
        <w:t>ë</w:t>
      </w:r>
      <w:r w:rsidR="002122A2" w:rsidRPr="002122A2">
        <w:rPr>
          <w:rFonts w:asciiTheme="majorHAnsi" w:eastAsia="SimSun" w:hAnsiTheme="majorHAnsi" w:cstheme="majorHAnsi"/>
          <w:bCs/>
          <w:noProof/>
          <w:szCs w:val="22"/>
          <w:lang w:val="sq-AL"/>
        </w:rPr>
        <w:t>rmendet se:</w:t>
      </w:r>
      <w:r w:rsidRPr="002122A2">
        <w:rPr>
          <w:rFonts w:asciiTheme="majorHAnsi" w:eastAsia="SimSun" w:hAnsiTheme="majorHAnsi" w:cstheme="majorHAnsi"/>
          <w:noProof/>
          <w:szCs w:val="22"/>
          <w:lang w:val="sq-AL"/>
        </w:rPr>
        <w:t xml:space="preserve"> </w:t>
      </w:r>
    </w:p>
    <w:p w14:paraId="113420F6" w14:textId="7A689A89" w:rsidR="00947CED" w:rsidRPr="002122A2" w:rsidRDefault="00947CED">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21 </w:t>
      </w:r>
      <w:bookmarkStart w:id="112" w:name="_Hlk167182056"/>
      <w:r w:rsidRPr="002122A2">
        <w:rPr>
          <w:rFonts w:asciiTheme="majorHAnsi" w:eastAsia="SimSun" w:hAnsiTheme="majorHAnsi" w:cstheme="majorHAnsi"/>
          <w:i/>
          <w:noProof/>
          <w:szCs w:val="22"/>
          <w:lang w:val="sq-AL"/>
        </w:rPr>
        <w:t>projekte</w:t>
      </w:r>
      <w:bookmarkEnd w:id="112"/>
      <w:r w:rsidRPr="002122A2">
        <w:rPr>
          <w:rFonts w:asciiTheme="majorHAnsi" w:hAnsiTheme="majorHAnsi" w:cstheme="majorHAnsi"/>
          <w:bCs/>
          <w:i/>
          <w:iCs/>
          <w:noProof/>
          <w:szCs w:val="22"/>
          <w:lang w:val="sq-AL"/>
        </w:rPr>
        <w:t xml:space="preserve"> investimi të transportit rrugor me vlerë totale rreth 23.1 </w:t>
      </w:r>
      <w:r w:rsidR="0056260B" w:rsidRPr="002122A2">
        <w:rPr>
          <w:rFonts w:asciiTheme="majorHAnsi" w:hAnsiTheme="majorHAnsi" w:cstheme="majorHAnsi"/>
          <w:bCs/>
          <w:i/>
          <w:iCs/>
          <w:noProof/>
          <w:szCs w:val="22"/>
          <w:lang w:val="sq-AL"/>
        </w:rPr>
        <w:t>miliardë</w:t>
      </w:r>
      <w:r w:rsidRPr="002122A2">
        <w:rPr>
          <w:rFonts w:asciiTheme="majorHAnsi" w:hAnsiTheme="majorHAnsi" w:cstheme="majorHAnsi"/>
          <w:bCs/>
          <w:i/>
          <w:iCs/>
          <w:noProof/>
          <w:szCs w:val="22"/>
          <w:lang w:val="sq-AL"/>
        </w:rPr>
        <w:t xml:space="preserve"> LEK.</w:t>
      </w:r>
    </w:p>
    <w:p w14:paraId="17E124DB" w14:textId="2A460DC3" w:rsidR="00947CED" w:rsidRPr="002122A2" w:rsidRDefault="00947CED">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81 </w:t>
      </w:r>
      <w:r w:rsidRPr="002122A2">
        <w:rPr>
          <w:rFonts w:asciiTheme="majorHAnsi" w:eastAsia="SimSun" w:hAnsiTheme="majorHAnsi" w:cstheme="majorHAnsi"/>
          <w:i/>
          <w:noProof/>
          <w:szCs w:val="22"/>
          <w:lang w:val="sq-AL"/>
        </w:rPr>
        <w:t>projekte</w:t>
      </w:r>
      <w:r w:rsidRPr="002122A2">
        <w:rPr>
          <w:rFonts w:asciiTheme="majorHAnsi" w:hAnsiTheme="majorHAnsi" w:cstheme="majorHAnsi"/>
          <w:bCs/>
          <w:i/>
          <w:iCs/>
          <w:noProof/>
          <w:szCs w:val="22"/>
          <w:lang w:val="sq-AL"/>
        </w:rPr>
        <w:t xml:space="preserve"> investimi për ujësjellësa dhe kanalizime me vlerë totale rreth 16.1 </w:t>
      </w:r>
      <w:r w:rsidR="0056260B" w:rsidRPr="002122A2">
        <w:rPr>
          <w:rFonts w:asciiTheme="majorHAnsi" w:hAnsiTheme="majorHAnsi" w:cstheme="majorHAnsi"/>
          <w:bCs/>
          <w:i/>
          <w:iCs/>
          <w:noProof/>
          <w:szCs w:val="22"/>
          <w:lang w:val="sq-AL"/>
        </w:rPr>
        <w:t>miliardë</w:t>
      </w:r>
      <w:r w:rsidRPr="002122A2">
        <w:rPr>
          <w:rFonts w:asciiTheme="majorHAnsi" w:hAnsiTheme="majorHAnsi" w:cstheme="majorHAnsi"/>
          <w:bCs/>
          <w:i/>
          <w:iCs/>
          <w:noProof/>
          <w:szCs w:val="22"/>
          <w:lang w:val="sq-AL"/>
        </w:rPr>
        <w:t xml:space="preserve"> LEK.</w:t>
      </w:r>
    </w:p>
    <w:p w14:paraId="1C09903B" w14:textId="165E797B" w:rsidR="003C5EDE" w:rsidRPr="002122A2" w:rsidRDefault="003C5EDE">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73 </w:t>
      </w:r>
      <w:r w:rsidRPr="002122A2">
        <w:rPr>
          <w:rFonts w:asciiTheme="majorHAnsi" w:eastAsia="SimSun" w:hAnsiTheme="majorHAnsi" w:cstheme="majorHAnsi"/>
          <w:i/>
          <w:noProof/>
          <w:szCs w:val="22"/>
          <w:lang w:val="sq-AL"/>
        </w:rPr>
        <w:t>projekte</w:t>
      </w:r>
      <w:r w:rsidRPr="002122A2">
        <w:rPr>
          <w:rFonts w:asciiTheme="majorHAnsi" w:hAnsiTheme="majorHAnsi" w:cstheme="majorHAnsi"/>
          <w:bCs/>
          <w:i/>
          <w:iCs/>
          <w:noProof/>
          <w:szCs w:val="22"/>
          <w:lang w:val="sq-AL"/>
        </w:rPr>
        <w:t xml:space="preserve"> të rëndësishme për rikonstruksione/ndërtime shkollash, universitetesh dhe ambientesh, për përmirësimin e sistemeve të informacionit për Arsimin e Lartë, me vlerë totale 4</w:t>
      </w:r>
      <w:r w:rsidR="002122A2">
        <w:rPr>
          <w:rFonts w:asciiTheme="majorHAnsi" w:hAnsiTheme="majorHAnsi" w:cstheme="majorHAnsi"/>
          <w:bCs/>
          <w:i/>
          <w:iCs/>
          <w:noProof/>
          <w:szCs w:val="22"/>
          <w:lang w:val="sq-AL"/>
        </w:rPr>
        <w:t>mld</w:t>
      </w:r>
      <w:r w:rsidRPr="002122A2">
        <w:rPr>
          <w:rFonts w:asciiTheme="majorHAnsi" w:hAnsiTheme="majorHAnsi" w:cstheme="majorHAnsi"/>
          <w:bCs/>
          <w:i/>
          <w:iCs/>
          <w:noProof/>
          <w:szCs w:val="22"/>
          <w:lang w:val="sq-AL"/>
        </w:rPr>
        <w:t xml:space="preserve"> LEK.</w:t>
      </w:r>
    </w:p>
    <w:p w14:paraId="334FB4D5" w14:textId="34EEFFE6" w:rsidR="00947CED" w:rsidRPr="002122A2" w:rsidRDefault="00947CED">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w:t>
      </w:r>
      <w:r w:rsidRPr="002122A2">
        <w:rPr>
          <w:rFonts w:asciiTheme="majorHAnsi" w:hAnsiTheme="majorHAnsi" w:cstheme="majorHAnsi"/>
          <w:bCs/>
          <w:i/>
          <w:iCs/>
          <w:noProof/>
          <w:color w:val="000000" w:themeColor="text1"/>
          <w:szCs w:val="22"/>
          <w:lang w:val="sq-AL"/>
        </w:rPr>
        <w:t xml:space="preserve">mbyllur 14 </w:t>
      </w:r>
      <w:r w:rsidRPr="002122A2">
        <w:rPr>
          <w:rFonts w:asciiTheme="majorHAnsi" w:eastAsia="SimSun" w:hAnsiTheme="majorHAnsi" w:cstheme="majorHAnsi"/>
          <w:i/>
          <w:noProof/>
          <w:color w:val="000000" w:themeColor="text1"/>
          <w:szCs w:val="22"/>
          <w:lang w:val="sq-AL"/>
        </w:rPr>
        <w:t>projekte</w:t>
      </w:r>
      <w:r w:rsidRPr="002122A2">
        <w:rPr>
          <w:rFonts w:asciiTheme="majorHAnsi" w:hAnsiTheme="majorHAnsi" w:cstheme="majorHAnsi"/>
          <w:bCs/>
          <w:i/>
          <w:iCs/>
          <w:noProof/>
          <w:color w:val="000000" w:themeColor="text1"/>
          <w:szCs w:val="22"/>
          <w:lang w:val="sq-AL"/>
        </w:rPr>
        <w:t xml:space="preserve"> investimi </w:t>
      </w:r>
      <w:r w:rsidRPr="002122A2">
        <w:rPr>
          <w:rFonts w:asciiTheme="majorHAnsi" w:hAnsiTheme="majorHAnsi" w:cstheme="majorHAnsi"/>
          <w:bCs/>
          <w:i/>
          <w:iCs/>
          <w:noProof/>
          <w:szCs w:val="22"/>
          <w:lang w:val="sq-AL"/>
        </w:rPr>
        <w:t>për sisteme armatimi, n</w:t>
      </w:r>
      <w:r w:rsidRPr="002122A2">
        <w:rPr>
          <w:rFonts w:asciiTheme="majorHAnsi" w:hAnsiTheme="majorHAnsi" w:cstheme="majorHAnsi"/>
          <w:bCs/>
          <w:i/>
          <w:noProof/>
          <w:szCs w:val="22"/>
          <w:lang w:val="sq-AL" w:eastAsia="en-GB"/>
        </w:rPr>
        <w:t>dërtim depo për pajisjet e kërkim shpëtimit, për përmirësimin e sistemeve të teknologjisë së informacionit, municion për anijet</w:t>
      </w:r>
      <w:r w:rsidRPr="002122A2">
        <w:rPr>
          <w:rFonts w:asciiTheme="majorHAnsi" w:hAnsiTheme="majorHAnsi" w:cstheme="majorHAnsi"/>
          <w:bCs/>
          <w:i/>
          <w:iCs/>
          <w:noProof/>
          <w:szCs w:val="22"/>
          <w:lang w:val="sq-AL"/>
        </w:rPr>
        <w:t>, për soft</w:t>
      </w:r>
      <w:r w:rsidR="003C5EDE" w:rsidRPr="002122A2">
        <w:rPr>
          <w:rFonts w:asciiTheme="majorHAnsi" w:hAnsiTheme="majorHAnsi" w:cstheme="majorHAnsi"/>
          <w:bCs/>
          <w:i/>
          <w:iCs/>
          <w:noProof/>
          <w:szCs w:val="22"/>
          <w:lang w:val="sq-AL"/>
        </w:rPr>
        <w:t>wa</w:t>
      </w:r>
      <w:r w:rsidRPr="002122A2">
        <w:rPr>
          <w:rFonts w:asciiTheme="majorHAnsi" w:hAnsiTheme="majorHAnsi" w:cstheme="majorHAnsi"/>
          <w:bCs/>
          <w:i/>
          <w:iCs/>
          <w:noProof/>
          <w:szCs w:val="22"/>
          <w:lang w:val="sq-AL"/>
        </w:rPr>
        <w:t xml:space="preserve">re për bazën e të dhënave të humbjeve nga </w:t>
      </w:r>
      <w:r w:rsidRPr="002122A2">
        <w:rPr>
          <w:rFonts w:asciiTheme="majorHAnsi" w:hAnsiTheme="majorHAnsi" w:cstheme="majorHAnsi"/>
          <w:bCs/>
          <w:i/>
          <w:noProof/>
          <w:szCs w:val="22"/>
          <w:lang w:val="sq-AL" w:eastAsia="en-GB"/>
        </w:rPr>
        <w:t>fatkeqësi Natyrore</w:t>
      </w:r>
      <w:r w:rsidRPr="002122A2">
        <w:rPr>
          <w:rFonts w:asciiTheme="majorHAnsi" w:hAnsiTheme="majorHAnsi" w:cstheme="majorHAnsi"/>
          <w:bCs/>
          <w:i/>
          <w:iCs/>
          <w:noProof/>
          <w:szCs w:val="22"/>
          <w:lang w:val="sq-AL"/>
        </w:rPr>
        <w:t xml:space="preserve"> me vlerë totale</w:t>
      </w:r>
      <w:r w:rsidRPr="002122A2">
        <w:rPr>
          <w:rFonts w:asciiTheme="majorHAnsi" w:hAnsiTheme="majorHAnsi" w:cstheme="majorHAnsi"/>
          <w:bCs/>
          <w:i/>
          <w:iCs/>
          <w:noProof/>
          <w:color w:val="000000" w:themeColor="text1"/>
          <w:szCs w:val="22"/>
          <w:lang w:val="sq-AL"/>
        </w:rPr>
        <w:t xml:space="preserve"> 2.7 </w:t>
      </w:r>
      <w:r w:rsidR="0056260B" w:rsidRPr="002122A2">
        <w:rPr>
          <w:rFonts w:asciiTheme="majorHAnsi" w:hAnsiTheme="majorHAnsi" w:cstheme="majorHAnsi"/>
          <w:bCs/>
          <w:i/>
          <w:iCs/>
          <w:noProof/>
          <w:color w:val="000000" w:themeColor="text1"/>
          <w:szCs w:val="22"/>
          <w:lang w:val="sq-AL"/>
        </w:rPr>
        <w:t>miliardë</w:t>
      </w:r>
      <w:r w:rsidRPr="002122A2">
        <w:rPr>
          <w:rFonts w:asciiTheme="majorHAnsi" w:hAnsiTheme="majorHAnsi" w:cstheme="majorHAnsi"/>
          <w:bCs/>
          <w:i/>
          <w:iCs/>
          <w:noProof/>
          <w:color w:val="000000" w:themeColor="text1"/>
          <w:szCs w:val="22"/>
          <w:lang w:val="sq-AL"/>
        </w:rPr>
        <w:t xml:space="preserve"> LEK.</w:t>
      </w:r>
      <w:r w:rsidRPr="002122A2">
        <w:rPr>
          <w:rFonts w:asciiTheme="majorHAnsi" w:hAnsiTheme="majorHAnsi" w:cstheme="majorHAnsi"/>
          <w:bCs/>
          <w:i/>
          <w:noProof/>
          <w:color w:val="000000" w:themeColor="text1"/>
          <w:szCs w:val="22"/>
          <w:lang w:val="sq-AL" w:eastAsia="en-GB"/>
        </w:rPr>
        <w:t xml:space="preserve"> </w:t>
      </w:r>
    </w:p>
    <w:p w14:paraId="1F6A6C09" w14:textId="5A632720" w:rsidR="003C5EDE" w:rsidRPr="002122A2" w:rsidRDefault="003C5EDE">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8 </w:t>
      </w:r>
      <w:r w:rsidRPr="002122A2">
        <w:rPr>
          <w:rFonts w:asciiTheme="majorHAnsi" w:eastAsia="SimSun" w:hAnsiTheme="majorHAnsi" w:cstheme="majorHAnsi"/>
          <w:i/>
          <w:noProof/>
          <w:szCs w:val="22"/>
          <w:lang w:val="sq-AL"/>
        </w:rPr>
        <w:t>projekte</w:t>
      </w:r>
      <w:r w:rsidRPr="002122A2">
        <w:rPr>
          <w:rFonts w:asciiTheme="majorHAnsi" w:hAnsiTheme="majorHAnsi" w:cstheme="majorHAnsi"/>
          <w:bCs/>
          <w:i/>
          <w:iCs/>
          <w:noProof/>
          <w:szCs w:val="22"/>
          <w:lang w:val="sq-AL"/>
        </w:rPr>
        <w:t xml:space="preserve"> për rikonstruksione të ambienteve në disa spitale dhe poliklinika, qendra shëndetësore, furnizim dhe vendosje pajisjesh spitalore etj me vlerë totale projektesh prej 2.3</w:t>
      </w:r>
      <w:r w:rsidR="002122A2">
        <w:rPr>
          <w:rFonts w:asciiTheme="majorHAnsi" w:hAnsiTheme="majorHAnsi" w:cstheme="majorHAnsi"/>
          <w:bCs/>
          <w:i/>
          <w:iCs/>
          <w:noProof/>
          <w:szCs w:val="22"/>
          <w:lang w:val="sq-AL"/>
        </w:rPr>
        <w:t>mld</w:t>
      </w:r>
      <w:r w:rsidRPr="002122A2">
        <w:rPr>
          <w:rFonts w:asciiTheme="majorHAnsi" w:hAnsiTheme="majorHAnsi" w:cstheme="majorHAnsi"/>
          <w:bCs/>
          <w:i/>
          <w:iCs/>
          <w:noProof/>
          <w:szCs w:val="22"/>
          <w:lang w:val="sq-AL"/>
        </w:rPr>
        <w:t xml:space="preserve"> LEK.</w:t>
      </w:r>
    </w:p>
    <w:p w14:paraId="0E11CF61" w14:textId="0580F411" w:rsidR="00947CED" w:rsidRPr="002122A2" w:rsidRDefault="00947CED">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28 </w:t>
      </w:r>
      <w:r w:rsidRPr="002122A2">
        <w:rPr>
          <w:rFonts w:asciiTheme="majorHAnsi" w:eastAsia="SimSun" w:hAnsiTheme="majorHAnsi" w:cstheme="majorHAnsi"/>
          <w:i/>
          <w:noProof/>
          <w:szCs w:val="22"/>
          <w:lang w:val="sq-AL"/>
        </w:rPr>
        <w:t>projekte</w:t>
      </w:r>
      <w:r w:rsidRPr="002122A2">
        <w:rPr>
          <w:rFonts w:asciiTheme="majorHAnsi" w:hAnsiTheme="majorHAnsi" w:cstheme="majorHAnsi"/>
          <w:bCs/>
          <w:i/>
          <w:iCs/>
          <w:noProof/>
          <w:szCs w:val="22"/>
          <w:lang w:val="sq-AL"/>
        </w:rPr>
        <w:t xml:space="preserve"> investimi për përmirësimin e kanaleve ujitëse në disa zona, ndërtimi i argjinaturave të lumenjve dhe mbrojtja prej tyre, etj  me vlerë totale  rreth 1.4 </w:t>
      </w:r>
      <w:r w:rsidR="0056260B" w:rsidRPr="002122A2">
        <w:rPr>
          <w:rFonts w:asciiTheme="majorHAnsi" w:hAnsiTheme="majorHAnsi" w:cstheme="majorHAnsi"/>
          <w:bCs/>
          <w:i/>
          <w:iCs/>
          <w:noProof/>
          <w:szCs w:val="22"/>
          <w:lang w:val="sq-AL"/>
        </w:rPr>
        <w:t>miliardë</w:t>
      </w:r>
      <w:r w:rsidRPr="002122A2">
        <w:rPr>
          <w:rFonts w:asciiTheme="majorHAnsi" w:hAnsiTheme="majorHAnsi" w:cstheme="majorHAnsi"/>
          <w:bCs/>
          <w:i/>
          <w:iCs/>
          <w:noProof/>
          <w:szCs w:val="22"/>
          <w:lang w:val="sq-AL"/>
        </w:rPr>
        <w:t xml:space="preserve"> LEK.</w:t>
      </w:r>
    </w:p>
    <w:p w14:paraId="0BC034A1" w14:textId="433708D1" w:rsidR="00947CED" w:rsidRDefault="00947CED">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 xml:space="preserve">Janë mbyllur 4 </w:t>
      </w:r>
      <w:r w:rsidRPr="002122A2">
        <w:rPr>
          <w:rFonts w:asciiTheme="majorHAnsi" w:eastAsia="SimSun" w:hAnsiTheme="majorHAnsi" w:cstheme="majorHAnsi"/>
          <w:i/>
          <w:noProof/>
          <w:szCs w:val="22"/>
          <w:lang w:val="sq-AL"/>
        </w:rPr>
        <w:t>projekte</w:t>
      </w:r>
      <w:r w:rsidRPr="002122A2">
        <w:rPr>
          <w:rFonts w:asciiTheme="majorHAnsi" w:hAnsiTheme="majorHAnsi" w:cstheme="majorHAnsi"/>
          <w:bCs/>
          <w:i/>
          <w:iCs/>
          <w:noProof/>
          <w:szCs w:val="22"/>
          <w:lang w:val="sq-AL"/>
        </w:rPr>
        <w:t xml:space="preserve"> për përshtatje mjedisesh pune në drejtoritë vendore të Policisë, janë blerë paisje, me vlerë totale projektesh prej 0.6 </w:t>
      </w:r>
      <w:r w:rsidR="0056260B" w:rsidRPr="002122A2">
        <w:rPr>
          <w:rFonts w:asciiTheme="majorHAnsi" w:hAnsiTheme="majorHAnsi" w:cstheme="majorHAnsi"/>
          <w:bCs/>
          <w:i/>
          <w:iCs/>
          <w:noProof/>
          <w:szCs w:val="22"/>
          <w:lang w:val="sq-AL"/>
        </w:rPr>
        <w:t>miliardë</w:t>
      </w:r>
      <w:r w:rsidRPr="002122A2">
        <w:rPr>
          <w:rFonts w:asciiTheme="majorHAnsi" w:hAnsiTheme="majorHAnsi" w:cstheme="majorHAnsi"/>
          <w:bCs/>
          <w:i/>
          <w:iCs/>
          <w:noProof/>
          <w:szCs w:val="22"/>
          <w:lang w:val="sq-AL"/>
        </w:rPr>
        <w:t xml:space="preserve"> LEK.</w:t>
      </w:r>
    </w:p>
    <w:p w14:paraId="090AC1F2" w14:textId="77777777" w:rsidR="003C1C01" w:rsidRDefault="003C1C01" w:rsidP="003C1C01">
      <w:pPr>
        <w:numPr>
          <w:ilvl w:val="0"/>
          <w:numId w:val="50"/>
        </w:numPr>
        <w:spacing w:before="0" w:line="240" w:lineRule="auto"/>
        <w:ind w:left="634"/>
        <w:rPr>
          <w:rFonts w:asciiTheme="majorHAnsi" w:hAnsiTheme="majorHAnsi" w:cstheme="majorHAnsi"/>
          <w:bCs/>
          <w:i/>
          <w:iCs/>
          <w:noProof/>
          <w:szCs w:val="22"/>
          <w:lang w:val="sq-AL"/>
        </w:rPr>
      </w:pPr>
      <w:r w:rsidRPr="002D5553">
        <w:rPr>
          <w:rFonts w:asciiTheme="majorHAnsi" w:hAnsiTheme="majorHAnsi" w:cstheme="majorHAnsi"/>
          <w:bCs/>
          <w:i/>
          <w:iCs/>
          <w:noProof/>
          <w:szCs w:val="22"/>
          <w:lang w:val="sq-AL"/>
        </w:rPr>
        <w:t>Në fushën e politikës së jashtme, janë mbyllur 2 projekte me vlerë totale rreth 0.57 miliardë LEK.</w:t>
      </w:r>
    </w:p>
    <w:p w14:paraId="4D37A0F9" w14:textId="6A275EF9" w:rsidR="003C1C01" w:rsidRDefault="003C1C01" w:rsidP="003C1C01">
      <w:pPr>
        <w:numPr>
          <w:ilvl w:val="0"/>
          <w:numId w:val="50"/>
        </w:numPr>
        <w:spacing w:before="0" w:line="240" w:lineRule="auto"/>
        <w:ind w:left="634"/>
        <w:rPr>
          <w:rFonts w:asciiTheme="majorHAnsi" w:hAnsiTheme="majorHAnsi" w:cstheme="majorHAnsi"/>
          <w:bCs/>
          <w:i/>
          <w:iCs/>
          <w:noProof/>
          <w:szCs w:val="22"/>
          <w:lang w:val="sq-AL"/>
        </w:rPr>
      </w:pPr>
      <w:r w:rsidRPr="002D5553">
        <w:rPr>
          <w:rFonts w:asciiTheme="majorHAnsi" w:hAnsiTheme="majorHAnsi" w:cstheme="majorHAnsi"/>
          <w:bCs/>
          <w:i/>
          <w:iCs/>
          <w:noProof/>
          <w:szCs w:val="22"/>
          <w:lang w:val="sq-AL"/>
        </w:rPr>
        <w:t>Në fushën e strehimit social kanë përfunduar 17 projekte në bashkitë: Delvinë, Librazhd, Vau i Dejës, Selenicë, Dimal, Roskovec, Vlorë, Memaliaj, Gramsh, Mat, Dropul, Fier, Kolonjë, Sarandë, Rrogozhinë, Pogradec, Shkodër me vlerë totale projektesh prej 0.11 miliardë LEK</w:t>
      </w:r>
    </w:p>
    <w:p w14:paraId="5F2E8E0A" w14:textId="03716645" w:rsidR="000A275E" w:rsidRDefault="000A275E">
      <w:pPr>
        <w:numPr>
          <w:ilvl w:val="0"/>
          <w:numId w:val="50"/>
        </w:numPr>
        <w:spacing w:before="0" w:line="240" w:lineRule="auto"/>
        <w:ind w:left="634"/>
        <w:rPr>
          <w:rFonts w:asciiTheme="majorHAnsi" w:hAnsiTheme="majorHAnsi" w:cstheme="majorHAnsi"/>
          <w:bCs/>
          <w:i/>
          <w:iCs/>
          <w:noProof/>
          <w:szCs w:val="22"/>
          <w:lang w:val="sq-AL"/>
        </w:rPr>
      </w:pPr>
      <w:r w:rsidRPr="002122A2">
        <w:rPr>
          <w:rFonts w:asciiTheme="majorHAnsi" w:hAnsiTheme="majorHAnsi" w:cstheme="majorHAnsi"/>
          <w:bCs/>
          <w:i/>
          <w:iCs/>
          <w:noProof/>
          <w:szCs w:val="22"/>
          <w:lang w:val="sq-AL"/>
        </w:rPr>
        <w:t>Etj.</w:t>
      </w:r>
    </w:p>
    <w:p w14:paraId="30D35928" w14:textId="77777777" w:rsidR="002122A2" w:rsidRDefault="002122A2" w:rsidP="002122A2">
      <w:pPr>
        <w:spacing w:before="0" w:line="240" w:lineRule="auto"/>
        <w:ind w:left="634"/>
        <w:rPr>
          <w:rFonts w:asciiTheme="majorHAnsi" w:hAnsiTheme="majorHAnsi" w:cstheme="majorHAnsi"/>
          <w:bCs/>
          <w:i/>
          <w:iCs/>
          <w:noProof/>
          <w:szCs w:val="22"/>
          <w:lang w:val="sq-AL"/>
        </w:rPr>
      </w:pPr>
    </w:p>
    <w:p w14:paraId="02F4D402" w14:textId="77777777" w:rsidR="002122A2" w:rsidRDefault="002122A2" w:rsidP="002122A2">
      <w:pPr>
        <w:spacing w:before="0" w:line="240" w:lineRule="auto"/>
        <w:ind w:left="634"/>
        <w:rPr>
          <w:rFonts w:asciiTheme="majorHAnsi" w:hAnsiTheme="majorHAnsi" w:cstheme="majorHAnsi"/>
          <w:bCs/>
          <w:i/>
          <w:iCs/>
          <w:noProof/>
          <w:szCs w:val="22"/>
          <w:lang w:val="sq-AL"/>
        </w:rPr>
      </w:pPr>
    </w:p>
    <w:p w14:paraId="28C38077" w14:textId="77777777" w:rsidR="002122A2" w:rsidRPr="002122A2" w:rsidRDefault="002122A2" w:rsidP="002122A2">
      <w:pPr>
        <w:spacing w:before="0" w:line="240" w:lineRule="auto"/>
        <w:ind w:left="634"/>
        <w:rPr>
          <w:rFonts w:asciiTheme="majorHAnsi" w:hAnsiTheme="majorHAnsi" w:cstheme="majorHAnsi"/>
          <w:bCs/>
          <w:i/>
          <w:iCs/>
          <w:noProof/>
          <w:szCs w:val="22"/>
          <w:lang w:val="sq-AL"/>
        </w:rPr>
      </w:pPr>
    </w:p>
    <w:p w14:paraId="4D4817E0" w14:textId="77777777" w:rsidR="00AC045F" w:rsidRPr="007B1A0A" w:rsidRDefault="006E4EB6" w:rsidP="007B1A0A">
      <w:pPr>
        <w:pStyle w:val="Heading2"/>
        <w:spacing w:before="0"/>
        <w:rPr>
          <w:color w:val="0F6FC6" w:themeColor="accent1"/>
        </w:rPr>
      </w:pPr>
      <w:bookmarkStart w:id="113" w:name="_Toc74679447"/>
      <w:bookmarkStart w:id="114" w:name="_Toc74725219"/>
      <w:bookmarkStart w:id="115" w:name="_Toc74725280"/>
      <w:bookmarkStart w:id="116" w:name="_Toc74679448"/>
      <w:bookmarkStart w:id="117" w:name="_Toc74725220"/>
      <w:bookmarkStart w:id="118" w:name="_Toc74725281"/>
      <w:bookmarkStart w:id="119" w:name="_Toc10033279"/>
      <w:bookmarkStart w:id="120" w:name="_Toc10721416"/>
      <w:bookmarkStart w:id="121" w:name="_Toc229390815"/>
      <w:bookmarkStart w:id="122" w:name="_Hlk135818971"/>
      <w:bookmarkStart w:id="123" w:name="_Hlk168057266"/>
      <w:bookmarkEnd w:id="91"/>
      <w:bookmarkEnd w:id="113"/>
      <w:bookmarkEnd w:id="114"/>
      <w:bookmarkEnd w:id="115"/>
      <w:bookmarkEnd w:id="116"/>
      <w:bookmarkEnd w:id="117"/>
      <w:bookmarkEnd w:id="118"/>
      <w:proofErr w:type="spellStart"/>
      <w:r w:rsidRPr="007B1A0A">
        <w:rPr>
          <w:color w:val="0F6FC6" w:themeColor="accent1"/>
        </w:rPr>
        <w:t>Shp</w:t>
      </w:r>
      <w:r w:rsidR="005C6E2E" w:rsidRPr="007B1A0A">
        <w:rPr>
          <w:color w:val="0F6FC6" w:themeColor="accent1"/>
        </w:rPr>
        <w:t>e</w:t>
      </w:r>
      <w:r w:rsidRPr="007B1A0A">
        <w:rPr>
          <w:color w:val="0F6FC6" w:themeColor="accent1"/>
        </w:rPr>
        <w:t>nzimet</w:t>
      </w:r>
      <w:proofErr w:type="spellEnd"/>
      <w:r w:rsidRPr="007B1A0A">
        <w:rPr>
          <w:color w:val="0F6FC6" w:themeColor="accent1"/>
        </w:rPr>
        <w:t xml:space="preserve"> </w:t>
      </w:r>
      <w:proofErr w:type="spellStart"/>
      <w:r w:rsidRPr="007B1A0A">
        <w:rPr>
          <w:color w:val="0F6FC6" w:themeColor="accent1"/>
        </w:rPr>
        <w:t>sipas</w:t>
      </w:r>
      <w:proofErr w:type="spellEnd"/>
      <w:r w:rsidRPr="007B1A0A">
        <w:rPr>
          <w:color w:val="0F6FC6" w:themeColor="accent1"/>
        </w:rPr>
        <w:t xml:space="preserve"> </w:t>
      </w:r>
      <w:proofErr w:type="spellStart"/>
      <w:r w:rsidRPr="007B1A0A">
        <w:rPr>
          <w:color w:val="0F6FC6" w:themeColor="accent1"/>
        </w:rPr>
        <w:t>natyr</w:t>
      </w:r>
      <w:r w:rsidR="00C33B16" w:rsidRPr="007B1A0A">
        <w:rPr>
          <w:color w:val="0F6FC6" w:themeColor="accent1"/>
        </w:rPr>
        <w:t>ë</w:t>
      </w:r>
      <w:r w:rsidRPr="007B1A0A">
        <w:rPr>
          <w:color w:val="0F6FC6" w:themeColor="accent1"/>
        </w:rPr>
        <w:t>s</w:t>
      </w:r>
      <w:proofErr w:type="spellEnd"/>
      <w:r w:rsidRPr="007B1A0A">
        <w:rPr>
          <w:color w:val="0F6FC6" w:themeColor="accent1"/>
        </w:rPr>
        <w:t xml:space="preserve"> </w:t>
      </w:r>
      <w:proofErr w:type="spellStart"/>
      <w:r w:rsidRPr="007B1A0A">
        <w:rPr>
          <w:color w:val="0F6FC6" w:themeColor="accent1"/>
        </w:rPr>
        <w:t>funksionale</w:t>
      </w:r>
      <w:bookmarkEnd w:id="119"/>
      <w:bookmarkEnd w:id="120"/>
      <w:bookmarkEnd w:id="121"/>
      <w:proofErr w:type="spellEnd"/>
      <w:r w:rsidR="00A11F89" w:rsidRPr="007B1A0A">
        <w:rPr>
          <w:color w:val="0F6FC6" w:themeColor="accent1"/>
        </w:rPr>
        <w:t xml:space="preserve"> </w:t>
      </w:r>
    </w:p>
    <w:p w14:paraId="6A5FF28C" w14:textId="483A173B" w:rsidR="00BC59F2" w:rsidRDefault="00BC59F2" w:rsidP="003C5EDE">
      <w:pPr>
        <w:rPr>
          <w:rFonts w:eastAsia="SimSun"/>
          <w:noProof/>
          <w:lang w:val="sq-AL"/>
        </w:rPr>
      </w:pPr>
      <w:bookmarkStart w:id="124" w:name="_Toc10033281"/>
      <w:bookmarkStart w:id="125" w:name="_Toc10721418"/>
      <w:bookmarkEnd w:id="122"/>
      <w:bookmarkEnd w:id="123"/>
      <w:r w:rsidRPr="00BC59F2">
        <w:rPr>
          <w:rFonts w:eastAsia="SimSun"/>
          <w:lang w:val="sq-AL"/>
        </w:rPr>
        <w:t>Sektori me peshën më të lartë në shpenzimet faktike buxhetore është ‘Mbrojtja sociale’, me 30 përqind të shpenzimeve të përgjithshme publike në vitin 2025, e dominuar nga shpenzimet për fondin e pensioneve si edhe programet në mbështetje të familjeve dhe individëve në nevojë (</w:t>
      </w:r>
      <w:r w:rsidRPr="00BC59F2">
        <w:rPr>
          <w:rFonts w:eastAsia="SimSun"/>
          <w:i/>
          <w:iCs/>
          <w:lang w:val="sq-AL"/>
        </w:rPr>
        <w:t>ndihma ekonomike dhe aftësia e kufizuar</w:t>
      </w:r>
      <w:r w:rsidRPr="00BC59F2">
        <w:rPr>
          <w:rFonts w:eastAsia="SimSun"/>
          <w:lang w:val="sq-AL"/>
        </w:rPr>
        <w:t>). Ndërkohë, Shëndetësia dhe Arsimi përbëjnë 10 përqind të shpenzimeve të përgjithshme publike në vitin 2025; Çështjet Ekonomike përbëjnë përkatësishit 14 përqind; Strehimi përbën 7 përqin</w:t>
      </w:r>
      <w:r w:rsidR="007A259F">
        <w:rPr>
          <w:rFonts w:eastAsia="SimSun"/>
          <w:lang w:val="sq-AL"/>
        </w:rPr>
        <w:t>d</w:t>
      </w:r>
      <w:r w:rsidRPr="00BC59F2">
        <w:rPr>
          <w:rFonts w:eastAsia="SimSun"/>
          <w:lang w:val="sq-AL"/>
        </w:rPr>
        <w:t>; Shpenzimet e përgjithshme publike, përbëjnë 17 përqind të shpenzimeve të përgjithshme publike në vitin 202</w:t>
      </w:r>
      <w:r w:rsidR="00C26AE9">
        <w:rPr>
          <w:rFonts w:eastAsia="SimSun"/>
          <w:lang w:val="sq-AL"/>
        </w:rPr>
        <w:t>5</w:t>
      </w:r>
      <w:r w:rsidRPr="00BC59F2">
        <w:rPr>
          <w:rFonts w:eastAsia="SimSun"/>
          <w:noProof/>
          <w:lang w:val="sq-AL"/>
        </w:rPr>
        <w:t xml:space="preserve">. </w:t>
      </w:r>
    </w:p>
    <w:p w14:paraId="535A89EA" w14:textId="77777777" w:rsidR="002122A2" w:rsidRDefault="002122A2" w:rsidP="003C5EDE">
      <w:pPr>
        <w:rPr>
          <w:rFonts w:eastAsia="SimSun"/>
          <w:noProof/>
          <w:lang w:val="sq-AL"/>
        </w:rPr>
      </w:pPr>
    </w:p>
    <w:p w14:paraId="7DE8D8EB" w14:textId="5CB2956A" w:rsidR="00BC59F2" w:rsidRPr="00BC59F2" w:rsidRDefault="00BC59F2" w:rsidP="00BC59F2">
      <w:pPr>
        <w:rPr>
          <w:i/>
          <w:iCs/>
          <w:noProof/>
          <w:color w:val="17406D"/>
          <w:sz w:val="18"/>
          <w:szCs w:val="18"/>
          <w:lang w:val="sq-AL"/>
        </w:rPr>
      </w:pPr>
      <w:bookmarkStart w:id="126" w:name="_Toc229129988"/>
      <w:r w:rsidRPr="00BC59F2">
        <w:rPr>
          <w:i/>
          <w:iCs/>
          <w:noProof/>
          <w:color w:val="17406D"/>
          <w:sz w:val="18"/>
          <w:szCs w:val="18"/>
          <w:lang w:val="sq-AL"/>
        </w:rPr>
        <w:lastRenderedPageBreak/>
        <w:t xml:space="preserve">Tabela </w:t>
      </w:r>
      <w:r w:rsidRPr="00BC59F2">
        <w:rPr>
          <w:i/>
          <w:iCs/>
          <w:color w:val="17406D"/>
          <w:sz w:val="18"/>
          <w:szCs w:val="18"/>
        </w:rPr>
        <w:fldChar w:fldCharType="begin"/>
      </w:r>
      <w:r w:rsidRPr="00BC59F2">
        <w:rPr>
          <w:i/>
          <w:iCs/>
          <w:noProof/>
          <w:color w:val="17406D"/>
          <w:sz w:val="18"/>
          <w:szCs w:val="18"/>
          <w:lang w:val="sq-AL"/>
        </w:rPr>
        <w:instrText xml:space="preserve"> SEQ Tabela \* ARABIC </w:instrText>
      </w:r>
      <w:r w:rsidRPr="00BC59F2">
        <w:rPr>
          <w:i/>
          <w:iCs/>
          <w:color w:val="17406D"/>
          <w:sz w:val="18"/>
          <w:szCs w:val="18"/>
        </w:rPr>
        <w:fldChar w:fldCharType="separate"/>
      </w:r>
      <w:r w:rsidR="00CB4DE6">
        <w:rPr>
          <w:i/>
          <w:iCs/>
          <w:noProof/>
          <w:color w:val="17406D"/>
          <w:sz w:val="18"/>
          <w:szCs w:val="18"/>
          <w:lang w:val="sq-AL"/>
        </w:rPr>
        <w:t>14</w:t>
      </w:r>
      <w:r w:rsidRPr="00BC59F2">
        <w:rPr>
          <w:i/>
          <w:iCs/>
          <w:color w:val="17406D"/>
          <w:sz w:val="18"/>
          <w:szCs w:val="18"/>
        </w:rPr>
        <w:fldChar w:fldCharType="end"/>
      </w:r>
      <w:r w:rsidRPr="00BC59F2">
        <w:rPr>
          <w:i/>
          <w:iCs/>
          <w:noProof/>
          <w:color w:val="17406D"/>
          <w:sz w:val="18"/>
          <w:szCs w:val="18"/>
          <w:lang w:val="sq-AL"/>
        </w:rPr>
        <w:t xml:space="preserve"> Shpenzimet sipas funksionit, me dhe pa shpërndarjen e të pa klasifikuarave (në </w:t>
      </w:r>
      <w:r w:rsidR="0056260B">
        <w:rPr>
          <w:i/>
          <w:iCs/>
          <w:noProof/>
          <w:color w:val="17406D"/>
          <w:sz w:val="18"/>
          <w:szCs w:val="18"/>
          <w:lang w:val="sq-AL"/>
        </w:rPr>
        <w:t>milionë</w:t>
      </w:r>
      <w:r w:rsidRPr="00BC59F2">
        <w:rPr>
          <w:i/>
          <w:iCs/>
          <w:noProof/>
          <w:color w:val="17406D"/>
          <w:sz w:val="18"/>
          <w:szCs w:val="18"/>
          <w:lang w:val="sq-AL"/>
        </w:rPr>
        <w:t xml:space="preserve"> LEK)</w:t>
      </w:r>
      <w:bookmarkEnd w:id="126"/>
    </w:p>
    <w:p w14:paraId="68D6BD6F" w14:textId="77777777" w:rsidR="00BC59F2" w:rsidRPr="00BC59F2" w:rsidRDefault="00BC59F2" w:rsidP="000A275E">
      <w:pPr>
        <w:jc w:val="center"/>
        <w:rPr>
          <w:i/>
          <w:iCs/>
          <w:noProof/>
          <w:color w:val="17406D"/>
          <w:sz w:val="18"/>
          <w:szCs w:val="18"/>
          <w:lang w:val="sq-AL"/>
        </w:rPr>
      </w:pPr>
      <w:r w:rsidRPr="00BC59F2">
        <w:rPr>
          <w:rFonts w:ascii="Aptos" w:eastAsia="Aptos" w:hAnsi="Aptos"/>
          <w:noProof/>
          <w:kern w:val="2"/>
          <w:sz w:val="24"/>
          <w14:ligatures w14:val="standardContextual"/>
        </w:rPr>
        <w:drawing>
          <wp:inline distT="0" distB="0" distL="0" distR="0" wp14:anchorId="090FEE5A" wp14:editId="1E3868A1">
            <wp:extent cx="6203264" cy="4176377"/>
            <wp:effectExtent l="0" t="0" r="7620" b="0"/>
            <wp:docPr id="34669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9245" cy="4200602"/>
                    </a:xfrm>
                    <a:prstGeom prst="rect">
                      <a:avLst/>
                    </a:prstGeom>
                    <a:noFill/>
                    <a:ln>
                      <a:noFill/>
                    </a:ln>
                  </pic:spPr>
                </pic:pic>
              </a:graphicData>
            </a:graphic>
          </wp:inline>
        </w:drawing>
      </w:r>
    </w:p>
    <w:p w14:paraId="112E3427" w14:textId="77777777" w:rsidR="00BC59F2" w:rsidRDefault="00BC59F2" w:rsidP="00BC59F2">
      <w:pPr>
        <w:spacing w:before="0" w:line="240" w:lineRule="auto"/>
        <w:rPr>
          <w:i/>
          <w:noProof/>
          <w:sz w:val="16"/>
          <w:szCs w:val="20"/>
          <w:lang w:val="sq-AL"/>
        </w:rPr>
      </w:pPr>
      <w:r w:rsidRPr="00BC59F2">
        <w:rPr>
          <w:i/>
          <w:noProof/>
          <w:sz w:val="16"/>
          <w:szCs w:val="20"/>
          <w:lang w:val="sq-AL"/>
        </w:rPr>
        <w:t>* Ne zerin "Shpenzime te tjera te paklasifikuara", miratuar me Ligjin e Buxhetit Fillestar jane përfshirë: (i) pagesat për shërbimin e borxhit, (ii) kontigjenca për politika pagash dhe pensionesh, (iii) fondi rezervë,  (iv) shpenzimet e pushtetit vendor dhe (v) fondi i rindërtimit.</w:t>
      </w:r>
    </w:p>
    <w:p w14:paraId="7EB2232D" w14:textId="77777777" w:rsidR="003C5EDE" w:rsidRPr="003C5EDE" w:rsidRDefault="003C5EDE" w:rsidP="00BC59F2">
      <w:pPr>
        <w:spacing w:before="0" w:line="240" w:lineRule="auto"/>
        <w:rPr>
          <w:sz w:val="8"/>
          <w:szCs w:val="12"/>
          <w:lang w:val="sq-AL"/>
        </w:rPr>
      </w:pPr>
    </w:p>
    <w:p w14:paraId="34937411" w14:textId="77777777" w:rsidR="00BC59F2" w:rsidRPr="00BC59F2" w:rsidRDefault="00BC59F2" w:rsidP="00BC59F2">
      <w:pPr>
        <w:spacing w:line="240" w:lineRule="auto"/>
        <w:rPr>
          <w:rFonts w:eastAsia="SimSun"/>
          <w:noProof/>
          <w:lang w:val="sq-AL"/>
        </w:rPr>
      </w:pPr>
      <w:r w:rsidRPr="00BC59F2">
        <w:rPr>
          <w:rFonts w:eastAsia="SimSun"/>
          <w:lang w:val="sq-AL"/>
        </w:rPr>
        <w:t>Plani fillestar i vitit 2025 kishte parashikuar po këto nivele, pak a shumë të ngjashme, të peshave relative të shpenzimeve sipas klasifikimit funksional, kundrejt një viti më parë. Në shmangien e vërejtur kundrejt rezultatit faktik 2025, ka ndikuar ndryshimi i planit  gjatë vitit 2025 me Aktet Normative. Në çdo rast, rezultati faktik i korrigjuar tregon nivele të kënaqshme të realizimit të planit sipas funksioneve për vitin 2025</w:t>
      </w:r>
      <w:r w:rsidRPr="00BC59F2">
        <w:rPr>
          <w:rFonts w:eastAsia="SimSun"/>
          <w:noProof/>
          <w:lang w:val="sq-AL"/>
        </w:rPr>
        <w:t xml:space="preserve">. </w:t>
      </w:r>
    </w:p>
    <w:p w14:paraId="03C5B60E" w14:textId="77777777" w:rsidR="003C5EDE" w:rsidRDefault="003C5EDE" w:rsidP="00BC59F2">
      <w:pPr>
        <w:spacing w:line="240" w:lineRule="auto"/>
        <w:rPr>
          <w:rFonts w:eastAsia="SimSun"/>
          <w:noProof/>
          <w:lang w:val="sq-AL"/>
        </w:rPr>
      </w:pPr>
    </w:p>
    <w:p w14:paraId="1717E4CB" w14:textId="77777777" w:rsidR="00233E4A" w:rsidRDefault="00233E4A" w:rsidP="00BC59F2">
      <w:pPr>
        <w:spacing w:line="240" w:lineRule="auto"/>
        <w:rPr>
          <w:rFonts w:eastAsia="SimSun"/>
          <w:noProof/>
          <w:lang w:val="sq-AL"/>
        </w:rPr>
      </w:pPr>
    </w:p>
    <w:p w14:paraId="05727E98" w14:textId="77777777" w:rsidR="000A275E" w:rsidRPr="00BC59F2" w:rsidRDefault="000A275E" w:rsidP="00BC59F2">
      <w:pPr>
        <w:spacing w:line="240" w:lineRule="auto"/>
        <w:rPr>
          <w:rFonts w:eastAsia="SimSun"/>
          <w:noProof/>
          <w:lang w:val="sq-AL"/>
        </w:rPr>
      </w:pPr>
    </w:p>
    <w:p w14:paraId="66596DF9" w14:textId="1BF565C8" w:rsidR="00BC59F2" w:rsidRPr="007B1A0A" w:rsidRDefault="00BC59F2" w:rsidP="007B1A0A">
      <w:pPr>
        <w:pStyle w:val="Heading2"/>
        <w:spacing w:before="0"/>
        <w:rPr>
          <w:color w:val="0F6FC6" w:themeColor="accent1"/>
        </w:rPr>
      </w:pPr>
      <w:bookmarkStart w:id="127" w:name="_Toc74679450"/>
      <w:bookmarkStart w:id="128" w:name="_Toc74725222"/>
      <w:bookmarkStart w:id="129" w:name="_Toc74725283"/>
      <w:bookmarkStart w:id="130" w:name="_Toc74679451"/>
      <w:bookmarkStart w:id="131" w:name="_Toc74725223"/>
      <w:bookmarkStart w:id="132" w:name="_Toc74725284"/>
      <w:bookmarkStart w:id="133" w:name="_Toc229390816"/>
      <w:bookmarkStart w:id="134" w:name="_Toc10033293"/>
      <w:bookmarkStart w:id="135" w:name="_Ref10193976"/>
      <w:bookmarkStart w:id="136" w:name="_Toc10721430"/>
      <w:bookmarkStart w:id="137" w:name="_Toc10033280"/>
      <w:bookmarkStart w:id="138" w:name="_Toc10721417"/>
      <w:bookmarkEnd w:id="127"/>
      <w:bookmarkEnd w:id="128"/>
      <w:bookmarkEnd w:id="129"/>
      <w:bookmarkEnd w:id="130"/>
      <w:bookmarkEnd w:id="131"/>
      <w:bookmarkEnd w:id="132"/>
      <w:proofErr w:type="spellStart"/>
      <w:r w:rsidRPr="007B1A0A">
        <w:rPr>
          <w:color w:val="0F6FC6" w:themeColor="accent1"/>
        </w:rPr>
        <w:t>Ndryshimet</w:t>
      </w:r>
      <w:proofErr w:type="spellEnd"/>
      <w:r w:rsidRPr="007B1A0A">
        <w:rPr>
          <w:color w:val="0F6FC6" w:themeColor="accent1"/>
        </w:rPr>
        <w:t xml:space="preserve"> </w:t>
      </w:r>
      <w:proofErr w:type="spellStart"/>
      <w:r w:rsidRPr="007B1A0A">
        <w:rPr>
          <w:color w:val="0F6FC6" w:themeColor="accent1"/>
        </w:rPr>
        <w:t>në</w:t>
      </w:r>
      <w:proofErr w:type="spellEnd"/>
      <w:r w:rsidRPr="007B1A0A">
        <w:rPr>
          <w:color w:val="0F6FC6" w:themeColor="accent1"/>
        </w:rPr>
        <w:t xml:space="preserve"> </w:t>
      </w:r>
      <w:proofErr w:type="spellStart"/>
      <w:r w:rsidRPr="007B1A0A">
        <w:rPr>
          <w:color w:val="0F6FC6" w:themeColor="accent1"/>
        </w:rPr>
        <w:t>ligjin</w:t>
      </w:r>
      <w:proofErr w:type="spellEnd"/>
      <w:r w:rsidRPr="007B1A0A">
        <w:rPr>
          <w:color w:val="0F6FC6" w:themeColor="accent1"/>
        </w:rPr>
        <w:t xml:space="preserve"> e </w:t>
      </w:r>
      <w:proofErr w:type="spellStart"/>
      <w:r w:rsidRPr="007B1A0A">
        <w:rPr>
          <w:color w:val="0F6FC6" w:themeColor="accent1"/>
        </w:rPr>
        <w:t>buxhetit</w:t>
      </w:r>
      <w:proofErr w:type="spellEnd"/>
      <w:r w:rsidRPr="007B1A0A">
        <w:rPr>
          <w:color w:val="0F6FC6" w:themeColor="accent1"/>
        </w:rPr>
        <w:t xml:space="preserve"> 2025</w:t>
      </w:r>
      <w:bookmarkEnd w:id="133"/>
    </w:p>
    <w:p w14:paraId="0FDCCDCA" w14:textId="77777777" w:rsidR="00BC59F2" w:rsidRDefault="00BC59F2" w:rsidP="00BC59F2">
      <w:pPr>
        <w:spacing w:line="240" w:lineRule="auto"/>
        <w:rPr>
          <w:rFonts w:cs="Calibri"/>
          <w:noProof/>
          <w:lang w:val="sq-AL"/>
        </w:rPr>
      </w:pPr>
      <w:r w:rsidRPr="00BC59F2">
        <w:rPr>
          <w:rFonts w:cs="Calibri"/>
          <w:noProof/>
          <w:lang w:val="sq-AL"/>
        </w:rPr>
        <w:t>Gjatë vitit 2025, buxheti i shtetit u ndryshua me 4 Akte Normative dhe specifikisht:</w:t>
      </w:r>
    </w:p>
    <w:p w14:paraId="5CC80148" w14:textId="77777777" w:rsidR="002122A2" w:rsidRPr="002122A2" w:rsidRDefault="002122A2" w:rsidP="00BC59F2">
      <w:pPr>
        <w:spacing w:line="240" w:lineRule="auto"/>
        <w:rPr>
          <w:rFonts w:cs="Calibri"/>
          <w:noProof/>
          <w:sz w:val="8"/>
          <w:szCs w:val="10"/>
          <w:lang w:val="sq-AL"/>
        </w:rPr>
      </w:pPr>
    </w:p>
    <w:p w14:paraId="24CF7A2D" w14:textId="77777777" w:rsidR="00BC59F2" w:rsidRPr="00BC59F2" w:rsidRDefault="00BC59F2" w:rsidP="00BC59F2">
      <w:pPr>
        <w:spacing w:line="240" w:lineRule="auto"/>
        <w:rPr>
          <w:rFonts w:cs="Calibri"/>
          <w:noProof/>
          <w:sz w:val="4"/>
          <w:lang w:val="sq-AL"/>
        </w:rPr>
      </w:pPr>
    </w:p>
    <w:p w14:paraId="468EE83D" w14:textId="77777777" w:rsidR="00BC59F2" w:rsidRPr="00BC59F2" w:rsidRDefault="00BC59F2">
      <w:pPr>
        <w:numPr>
          <w:ilvl w:val="0"/>
          <w:numId w:val="32"/>
        </w:numPr>
        <w:spacing w:before="0" w:after="160" w:line="240" w:lineRule="auto"/>
        <w:ind w:left="360"/>
        <w:contextualSpacing/>
        <w:jc w:val="left"/>
        <w:rPr>
          <w:rFonts w:cs="Calibri"/>
          <w:i/>
          <w:noProof/>
          <w:kern w:val="2"/>
          <w:u w:val="single"/>
          <w:lang w:val="sq-AL"/>
          <w14:ligatures w14:val="standardContextual"/>
        </w:rPr>
      </w:pPr>
      <w:r w:rsidRPr="00BC59F2">
        <w:rPr>
          <w:rFonts w:cs="Calibri"/>
          <w:b/>
          <w:noProof/>
          <w:kern w:val="2"/>
          <w:u w:val="single"/>
          <w:lang w:val="sq-AL"/>
          <w14:ligatures w14:val="standardContextual"/>
        </w:rPr>
        <w:t xml:space="preserve">Akti Normativ Nr.3 </w:t>
      </w:r>
      <w:r w:rsidRPr="00BC59F2">
        <w:rPr>
          <w:rFonts w:cs="Calibri"/>
          <w:b/>
          <w:noProof/>
          <w:spacing w:val="-1"/>
          <w:kern w:val="2"/>
          <w:u w:val="single"/>
          <w:lang w:val="sq-AL"/>
          <w14:ligatures w14:val="standardContextual"/>
        </w:rPr>
        <w:t>datë 29.04.2025</w:t>
      </w:r>
      <w:r w:rsidRPr="00BC59F2">
        <w:rPr>
          <w:rFonts w:cs="Calibri"/>
          <w:noProof/>
          <w:spacing w:val="-1"/>
          <w:kern w:val="2"/>
          <w:u w:val="single"/>
          <w:lang w:val="sq-AL"/>
          <w14:ligatures w14:val="standardContextual"/>
        </w:rPr>
        <w:t xml:space="preserve"> </w:t>
      </w:r>
      <w:r w:rsidRPr="00BC59F2">
        <w:rPr>
          <w:rFonts w:cs="Calibri"/>
          <w:i/>
          <w:noProof/>
          <w:spacing w:val="-1"/>
          <w:kern w:val="2"/>
          <w:u w:val="single"/>
          <w:lang w:val="sq-AL"/>
          <w14:ligatures w14:val="standardContextual"/>
        </w:rPr>
        <w:t>“Për disa ndryshime e shtesa në Ligjin nr.115/2024 “Për buxhetin e vitit 2025”</w:t>
      </w:r>
      <w:r w:rsidRPr="00BC59F2">
        <w:rPr>
          <w:rFonts w:cs="Calibri"/>
          <w:i/>
          <w:noProof/>
          <w:kern w:val="2"/>
          <w:u w:val="single"/>
          <w:lang w:val="sq-AL"/>
          <w14:ligatures w14:val="standardContextual"/>
        </w:rPr>
        <w:t>:</w:t>
      </w:r>
    </w:p>
    <w:p w14:paraId="73704878" w14:textId="24E0DE0B" w:rsidR="00BC59F2" w:rsidRDefault="00BC59F2" w:rsidP="00BC59F2">
      <w:pPr>
        <w:spacing w:before="0" w:line="240" w:lineRule="auto"/>
        <w:rPr>
          <w:rFonts w:cs="Calibri"/>
          <w:lang w:val="sq-AL"/>
        </w:rPr>
      </w:pPr>
      <w:r w:rsidRPr="00BC59F2">
        <w:rPr>
          <w:rFonts w:cs="Calibri"/>
          <w:lang w:val="sq-AL"/>
        </w:rPr>
        <w:t>Aspekti i nevojës dhe urgjencës së këtij akti normativ lidhej me nevojën e reflektimit në ligjin e buxhetit vjetor të vitit 2025 të alokimit në programin e MEKI “</w:t>
      </w:r>
      <w:r w:rsidRPr="00744978">
        <w:rPr>
          <w:rFonts w:cs="Calibri"/>
          <w:i/>
          <w:iCs/>
          <w:lang w:val="sq-AL"/>
        </w:rPr>
        <w:t>Mbështetje për Inovacionin dhe Teknologjinë</w:t>
      </w:r>
      <w:r w:rsidRPr="00BC59F2">
        <w:rPr>
          <w:rFonts w:cs="Calibri"/>
          <w:lang w:val="sq-AL"/>
        </w:rPr>
        <w:t xml:space="preserve">” të fondit në masën 1 </w:t>
      </w:r>
      <w:r w:rsidR="0056260B">
        <w:rPr>
          <w:rFonts w:cs="Calibri"/>
          <w:lang w:val="sq-AL"/>
        </w:rPr>
        <w:t>miliardë</w:t>
      </w:r>
      <w:r w:rsidRPr="00BC59F2">
        <w:rPr>
          <w:rFonts w:cs="Calibri"/>
          <w:lang w:val="sq-AL"/>
        </w:rPr>
        <w:t xml:space="preserve"> LEK (10 </w:t>
      </w:r>
      <w:r w:rsidR="0056260B">
        <w:rPr>
          <w:rFonts w:cs="Calibri"/>
          <w:lang w:val="sq-AL"/>
        </w:rPr>
        <w:t>milionë</w:t>
      </w:r>
      <w:r w:rsidRPr="00BC59F2">
        <w:rPr>
          <w:rFonts w:cs="Calibri"/>
          <w:lang w:val="sq-AL"/>
        </w:rPr>
        <w:t xml:space="preserve"> USD)</w:t>
      </w:r>
      <w:r w:rsidRPr="00BC59F2">
        <w:rPr>
          <w:rFonts w:ascii="Times New Roman" w:hAnsi="Times New Roman"/>
          <w:noProof/>
          <w:sz w:val="28"/>
          <w:szCs w:val="28"/>
          <w:lang w:val="sq-AL"/>
        </w:rPr>
        <w:t xml:space="preserve"> </w:t>
      </w:r>
      <w:r w:rsidRPr="00BC59F2">
        <w:rPr>
          <w:rFonts w:cs="Calibri"/>
          <w:lang w:val="sq-AL"/>
        </w:rPr>
        <w:t>për financimin e pjesëmarrjes së Qeverisë shqiptare në startup-in “</w:t>
      </w:r>
      <w:r w:rsidRPr="00744978">
        <w:rPr>
          <w:rFonts w:cs="Calibri"/>
          <w:i/>
          <w:iCs/>
          <w:lang w:val="sq-AL"/>
        </w:rPr>
        <w:t>Machine Thinking Lab</w:t>
      </w:r>
      <w:r w:rsidRPr="00BC59F2">
        <w:rPr>
          <w:rFonts w:cs="Calibri"/>
          <w:lang w:val="sq-AL"/>
        </w:rPr>
        <w:t>”. Ky startup është një nga projektet më inovative në nivel global në fushën e AI</w:t>
      </w:r>
      <w:r w:rsidR="00744978">
        <w:rPr>
          <w:rFonts w:cs="Calibri"/>
          <w:lang w:val="sq-AL"/>
        </w:rPr>
        <w:t xml:space="preserve"> (inteligjencës artificiale)</w:t>
      </w:r>
      <w:r w:rsidRPr="00BC59F2">
        <w:rPr>
          <w:rFonts w:cs="Calibri"/>
          <w:lang w:val="sq-AL"/>
        </w:rPr>
        <w:t xml:space="preserve">, me potencial të madh për avancim teknologjik dhe të ardhura ekonomike për vendin, duke ofruar përfitime strategjike për Shqipërinë. Ky efekt financiar </w:t>
      </w:r>
      <w:r w:rsidR="00744978">
        <w:rPr>
          <w:rFonts w:cs="Calibri"/>
          <w:lang w:val="sq-AL"/>
        </w:rPr>
        <w:t xml:space="preserve">u </w:t>
      </w:r>
      <w:r w:rsidRPr="00BC59F2">
        <w:rPr>
          <w:rFonts w:cs="Calibri"/>
          <w:lang w:val="sq-AL"/>
        </w:rPr>
        <w:t>mbul</w:t>
      </w:r>
      <w:r w:rsidR="00744978">
        <w:rPr>
          <w:rFonts w:cs="Calibri"/>
          <w:lang w:val="sq-AL"/>
        </w:rPr>
        <w:t>ua</w:t>
      </w:r>
      <w:r w:rsidRPr="00BC59F2">
        <w:rPr>
          <w:rFonts w:cs="Calibri"/>
          <w:lang w:val="sq-AL"/>
        </w:rPr>
        <w:t xml:space="preserve"> nga rritja në të njëjtën masë prej 1 </w:t>
      </w:r>
      <w:r w:rsidR="0056260B">
        <w:rPr>
          <w:rFonts w:cs="Calibri"/>
          <w:lang w:val="sq-AL"/>
        </w:rPr>
        <w:t>miliardë</w:t>
      </w:r>
      <w:r w:rsidRPr="00BC59F2">
        <w:rPr>
          <w:rFonts w:cs="Calibri"/>
          <w:lang w:val="sq-AL"/>
        </w:rPr>
        <w:t xml:space="preserve"> LEK i të ardhurave jotatimore në zërin “</w:t>
      </w:r>
      <w:r w:rsidRPr="00744978">
        <w:rPr>
          <w:rFonts w:cs="Calibri"/>
          <w:i/>
          <w:iCs/>
          <w:lang w:val="sq-AL"/>
        </w:rPr>
        <w:t>Të ardhura nga tjetërsimi i pasurive të konfiskuara</w:t>
      </w:r>
      <w:r w:rsidRPr="00BC59F2">
        <w:rPr>
          <w:rFonts w:cs="Calibri"/>
          <w:lang w:val="sq-AL"/>
        </w:rPr>
        <w:t xml:space="preserve">”. </w:t>
      </w:r>
    </w:p>
    <w:p w14:paraId="352B8F09" w14:textId="77777777" w:rsidR="002122A2" w:rsidRDefault="002122A2" w:rsidP="00BC59F2">
      <w:pPr>
        <w:spacing w:before="0" w:line="240" w:lineRule="auto"/>
        <w:rPr>
          <w:rFonts w:cs="Calibri"/>
          <w:lang w:val="sq-AL"/>
        </w:rPr>
      </w:pPr>
    </w:p>
    <w:p w14:paraId="2124EDC8" w14:textId="77777777" w:rsidR="002122A2" w:rsidRDefault="002122A2" w:rsidP="00BC59F2">
      <w:pPr>
        <w:spacing w:before="0" w:line="240" w:lineRule="auto"/>
        <w:rPr>
          <w:rFonts w:cs="Calibri"/>
          <w:lang w:val="sq-AL"/>
        </w:rPr>
      </w:pPr>
    </w:p>
    <w:p w14:paraId="6C2B2E59" w14:textId="77777777" w:rsidR="002122A2" w:rsidRPr="00BC59F2" w:rsidRDefault="002122A2" w:rsidP="00BC59F2">
      <w:pPr>
        <w:spacing w:before="0" w:line="240" w:lineRule="auto"/>
        <w:rPr>
          <w:rFonts w:cs="Calibri"/>
          <w:lang w:val="sq-AL"/>
        </w:rPr>
      </w:pPr>
    </w:p>
    <w:p w14:paraId="35991B68" w14:textId="77777777" w:rsidR="00BC59F2" w:rsidRPr="00BC59F2" w:rsidRDefault="00BC59F2" w:rsidP="00BC59F2">
      <w:pPr>
        <w:tabs>
          <w:tab w:val="left" w:pos="709"/>
        </w:tabs>
        <w:spacing w:before="0" w:line="240" w:lineRule="auto"/>
        <w:rPr>
          <w:b/>
          <w:noProof/>
          <w:sz w:val="26"/>
          <w:szCs w:val="26"/>
          <w:lang w:val="sq-AL"/>
        </w:rPr>
      </w:pPr>
    </w:p>
    <w:p w14:paraId="4DBD2957" w14:textId="77777777" w:rsidR="00BC59F2" w:rsidRPr="00BC59F2" w:rsidRDefault="00BC59F2">
      <w:pPr>
        <w:numPr>
          <w:ilvl w:val="0"/>
          <w:numId w:val="32"/>
        </w:numPr>
        <w:spacing w:before="0" w:after="160" w:line="240" w:lineRule="auto"/>
        <w:ind w:left="360"/>
        <w:contextualSpacing/>
        <w:jc w:val="left"/>
        <w:rPr>
          <w:rFonts w:cs="Calibri"/>
          <w:noProof/>
          <w:kern w:val="2"/>
          <w:u w:val="single"/>
          <w:lang w:val="sq-AL"/>
          <w14:ligatures w14:val="standardContextual"/>
        </w:rPr>
      </w:pPr>
      <w:r w:rsidRPr="00BC59F2">
        <w:rPr>
          <w:rFonts w:cs="Calibri"/>
          <w:b/>
          <w:noProof/>
          <w:kern w:val="2"/>
          <w:u w:val="single"/>
          <w:lang w:val="sq-AL"/>
          <w14:ligatures w14:val="standardContextual"/>
        </w:rPr>
        <w:lastRenderedPageBreak/>
        <w:t xml:space="preserve">Akti Normativ Nr.6 datë 11.06.2025 </w:t>
      </w:r>
      <w:r w:rsidRPr="00BC59F2">
        <w:rPr>
          <w:rFonts w:cs="Calibri"/>
          <w:noProof/>
          <w:kern w:val="2"/>
          <w:u w:val="single"/>
          <w:lang w:val="sq-AL"/>
          <w14:ligatures w14:val="standardContextual"/>
        </w:rPr>
        <w:t>“</w:t>
      </w:r>
      <w:r w:rsidRPr="00BC59F2">
        <w:rPr>
          <w:rFonts w:cs="Calibri"/>
          <w:i/>
          <w:noProof/>
          <w:kern w:val="2"/>
          <w:u w:val="single"/>
          <w:lang w:val="sq-AL"/>
          <w14:ligatures w14:val="standardContextual"/>
        </w:rPr>
        <w:t xml:space="preserve">Për disa ndryshime në Ligjin </w:t>
      </w:r>
      <w:r w:rsidRPr="00BC59F2">
        <w:rPr>
          <w:rFonts w:cs="Calibri"/>
          <w:i/>
          <w:noProof/>
          <w:spacing w:val="-1"/>
          <w:kern w:val="2"/>
          <w:u w:val="single"/>
          <w:lang w:val="sq-AL"/>
          <w14:ligatures w14:val="standardContextual"/>
        </w:rPr>
        <w:t>nr. 115/2024 “Për buxhetin e vitit 2025</w:t>
      </w:r>
      <w:r w:rsidRPr="00BC59F2">
        <w:rPr>
          <w:rFonts w:cs="Calibri"/>
          <w:i/>
          <w:noProof/>
          <w:kern w:val="2"/>
          <w:u w:val="single"/>
          <w:lang w:val="sq-AL"/>
          <w14:ligatures w14:val="standardContextual"/>
        </w:rPr>
        <w:t>, i ndryshuar</w:t>
      </w:r>
      <w:r w:rsidRPr="00BC59F2">
        <w:rPr>
          <w:rFonts w:cs="Calibri"/>
          <w:noProof/>
          <w:kern w:val="2"/>
          <w:u w:val="single"/>
          <w:lang w:val="sq-AL"/>
          <w14:ligatures w14:val="standardContextual"/>
        </w:rPr>
        <w:t>”:</w:t>
      </w:r>
    </w:p>
    <w:p w14:paraId="6CE7D029" w14:textId="2E3E5141" w:rsidR="00BC59F2" w:rsidRPr="00BC59F2" w:rsidRDefault="00BC59F2" w:rsidP="00BC59F2">
      <w:pPr>
        <w:spacing w:line="240" w:lineRule="auto"/>
        <w:rPr>
          <w:rFonts w:eastAsia="Calibri"/>
          <w:iCs/>
          <w:noProof/>
          <w:lang w:val="sq-AL"/>
        </w:rPr>
      </w:pPr>
      <w:r w:rsidRPr="00BC59F2">
        <w:rPr>
          <w:rFonts w:eastAsia="Calibri"/>
          <w:iCs/>
          <w:noProof/>
          <w:lang w:val="sq-AL"/>
        </w:rPr>
        <w:t xml:space="preserve">Qeveria pas vlerësimit të ecurisë së treguesve fiskalë përgjatë periudhës 5 mujore të vitit 2025, ndërmori procesin e rishikimit të dytë të buxhetit për vitin 2025, që pati </w:t>
      </w:r>
      <w:r w:rsidRPr="00BC59F2">
        <w:rPr>
          <w:rFonts w:cs="Calibri"/>
          <w:lang w:val="sq-AL"/>
        </w:rPr>
        <w:t xml:space="preserve">për qëllim reflektimin në buxhetin vjetor të disa rishikimeve në zërat e të ardhurave dhe shpenzimeve buxhetore, me synim përmirësimin e parametrave të ekzekutimit të buxhetit të vitit 2025. Ky Akt Normativ </w:t>
      </w:r>
      <w:r w:rsidRPr="00BC59F2">
        <w:rPr>
          <w:rFonts w:eastAsia="Calibri"/>
          <w:iCs/>
          <w:noProof/>
          <w:lang w:val="sq-AL"/>
        </w:rPr>
        <w:t>parashiko</w:t>
      </w:r>
      <w:r w:rsidR="00744978">
        <w:rPr>
          <w:rFonts w:eastAsia="Calibri"/>
          <w:iCs/>
          <w:noProof/>
          <w:lang w:val="sq-AL"/>
        </w:rPr>
        <w:t>i</w:t>
      </w:r>
      <w:r w:rsidRPr="00BC59F2">
        <w:rPr>
          <w:rFonts w:eastAsia="Calibri"/>
          <w:iCs/>
          <w:noProof/>
          <w:lang w:val="sq-AL"/>
        </w:rPr>
        <w:t xml:space="preserve"> një volum të përgjithshëm të fondeve që alokohen/rialokohen, prej rreth 11.8 </w:t>
      </w:r>
      <w:r w:rsidR="0056260B">
        <w:rPr>
          <w:rFonts w:eastAsia="Calibri"/>
          <w:iCs/>
          <w:noProof/>
          <w:lang w:val="sq-AL"/>
        </w:rPr>
        <w:t>miliardë</w:t>
      </w:r>
      <w:r w:rsidRPr="00BC59F2">
        <w:rPr>
          <w:rFonts w:eastAsia="Calibri"/>
          <w:iCs/>
          <w:noProof/>
          <w:lang w:val="sq-AL"/>
        </w:rPr>
        <w:t xml:space="preserve"> LEK, të cilat konsist</w:t>
      </w:r>
      <w:r w:rsidR="00744978">
        <w:rPr>
          <w:rFonts w:eastAsia="Calibri"/>
          <w:iCs/>
          <w:noProof/>
          <w:lang w:val="sq-AL"/>
        </w:rPr>
        <w:t>uan</w:t>
      </w:r>
      <w:r w:rsidRPr="00BC59F2">
        <w:rPr>
          <w:rFonts w:eastAsia="Calibri"/>
          <w:iCs/>
          <w:noProof/>
          <w:lang w:val="sq-AL"/>
        </w:rPr>
        <w:t xml:space="preserve"> në:</w:t>
      </w:r>
    </w:p>
    <w:p w14:paraId="1429A1C5" w14:textId="42E032C2" w:rsidR="00BC59F2" w:rsidRPr="003C5EDE" w:rsidRDefault="00BC59F2">
      <w:pPr>
        <w:numPr>
          <w:ilvl w:val="0"/>
          <w:numId w:val="34"/>
        </w:numPr>
        <w:spacing w:before="0" w:line="240" w:lineRule="auto"/>
        <w:ind w:left="540"/>
        <w:rPr>
          <w:rFonts w:eastAsia="Calibri"/>
          <w:i/>
          <w:noProof/>
          <w:szCs w:val="22"/>
          <w:lang w:val="sq-AL"/>
        </w:rPr>
      </w:pPr>
      <w:r w:rsidRPr="003C5EDE">
        <w:rPr>
          <w:rFonts w:eastAsia="Calibri"/>
          <w:i/>
          <w:noProof/>
          <w:szCs w:val="22"/>
          <w:lang w:val="sq-AL"/>
        </w:rPr>
        <w:t xml:space="preserve">Rialokim të kursimeve të evidentuara gjatë 5M 2025, në shpenzime korente e kapitale, dhe akomodimin </w:t>
      </w:r>
      <w:r w:rsidR="00744978">
        <w:rPr>
          <w:rFonts w:eastAsia="Calibri"/>
          <w:i/>
          <w:noProof/>
          <w:szCs w:val="22"/>
          <w:lang w:val="sq-AL"/>
        </w:rPr>
        <w:t>e</w:t>
      </w:r>
      <w:r w:rsidRPr="003C5EDE">
        <w:rPr>
          <w:rFonts w:eastAsia="Calibri"/>
          <w:i/>
          <w:noProof/>
          <w:szCs w:val="22"/>
          <w:lang w:val="sq-AL"/>
        </w:rPr>
        <w:t xml:space="preserve"> tyre </w:t>
      </w:r>
      <w:r w:rsidR="00744978">
        <w:rPr>
          <w:rFonts w:eastAsia="Calibri"/>
          <w:i/>
          <w:noProof/>
          <w:szCs w:val="22"/>
          <w:lang w:val="sq-AL"/>
        </w:rPr>
        <w:t xml:space="preserve">drejt </w:t>
      </w:r>
      <w:r w:rsidRPr="003C5EDE">
        <w:rPr>
          <w:rFonts w:eastAsia="Calibri"/>
          <w:i/>
          <w:noProof/>
          <w:szCs w:val="22"/>
          <w:lang w:val="sq-AL"/>
        </w:rPr>
        <w:t xml:space="preserve">një sërë kërkesave shtesë prioritare, në të njëjtën vlerë. </w:t>
      </w:r>
    </w:p>
    <w:p w14:paraId="1C2FB333" w14:textId="3DD6AA08" w:rsidR="00BC59F2" w:rsidRPr="003C5EDE" w:rsidRDefault="00BC59F2">
      <w:pPr>
        <w:numPr>
          <w:ilvl w:val="0"/>
          <w:numId w:val="34"/>
        </w:numPr>
        <w:spacing w:before="0" w:line="240" w:lineRule="auto"/>
        <w:ind w:left="540"/>
        <w:rPr>
          <w:rFonts w:eastAsia="Calibri"/>
          <w:i/>
          <w:noProof/>
          <w:szCs w:val="22"/>
          <w:lang w:val="sq-AL"/>
        </w:rPr>
      </w:pPr>
      <w:r w:rsidRPr="003C5EDE">
        <w:rPr>
          <w:rFonts w:eastAsia="Calibri"/>
          <w:i/>
          <w:noProof/>
          <w:szCs w:val="22"/>
          <w:lang w:val="sq-AL"/>
        </w:rPr>
        <w:t xml:space="preserve">Reflektimin e disa sistemimeve dhe rishpërndarjeve të brendshme të fondeve mes programeve e llogarive ekonomike, me efekt neutral buxhetor, ku vendin kryesor e </w:t>
      </w:r>
      <w:r w:rsidR="00744978">
        <w:rPr>
          <w:rFonts w:eastAsia="Calibri"/>
          <w:i/>
          <w:noProof/>
          <w:szCs w:val="22"/>
          <w:lang w:val="sq-AL"/>
        </w:rPr>
        <w:t>zun</w:t>
      </w:r>
      <w:r w:rsidRPr="003C5EDE">
        <w:rPr>
          <w:rFonts w:eastAsia="Calibri"/>
          <w:i/>
          <w:noProof/>
          <w:szCs w:val="22"/>
          <w:lang w:val="sq-AL"/>
        </w:rPr>
        <w:t xml:space="preserve">ë projektet IT </w:t>
      </w:r>
      <w:r w:rsidR="00744978">
        <w:rPr>
          <w:rFonts w:eastAsia="Calibri"/>
          <w:i/>
          <w:noProof/>
          <w:szCs w:val="22"/>
          <w:lang w:val="sq-AL"/>
        </w:rPr>
        <w:t>t</w:t>
      </w:r>
      <w:r w:rsidRPr="003C5EDE">
        <w:rPr>
          <w:rFonts w:eastAsia="Calibri"/>
          <w:i/>
          <w:noProof/>
          <w:szCs w:val="22"/>
          <w:lang w:val="sq-AL"/>
        </w:rPr>
        <w:t>ë transfer</w:t>
      </w:r>
      <w:r w:rsidR="00744978">
        <w:rPr>
          <w:rFonts w:eastAsia="Calibri"/>
          <w:i/>
          <w:noProof/>
          <w:szCs w:val="22"/>
          <w:lang w:val="sq-AL"/>
        </w:rPr>
        <w:t>uara</w:t>
      </w:r>
      <w:r w:rsidRPr="003C5EDE">
        <w:rPr>
          <w:rFonts w:eastAsia="Calibri"/>
          <w:i/>
          <w:noProof/>
          <w:szCs w:val="22"/>
          <w:lang w:val="sq-AL"/>
        </w:rPr>
        <w:t xml:space="preserve"> tek AKSHI. </w:t>
      </w:r>
    </w:p>
    <w:p w14:paraId="6CFA5A94" w14:textId="0C244B91" w:rsidR="00BC59F2" w:rsidRPr="003C5EDE" w:rsidRDefault="00BC59F2">
      <w:pPr>
        <w:numPr>
          <w:ilvl w:val="0"/>
          <w:numId w:val="34"/>
        </w:numPr>
        <w:spacing w:before="0" w:line="240" w:lineRule="auto"/>
        <w:ind w:left="540"/>
        <w:rPr>
          <w:rFonts w:eastAsia="Calibri"/>
          <w:i/>
          <w:noProof/>
          <w:szCs w:val="22"/>
          <w:lang w:val="sq-AL"/>
        </w:rPr>
      </w:pPr>
      <w:r w:rsidRPr="003C5EDE">
        <w:rPr>
          <w:rFonts w:eastAsia="Calibri"/>
          <w:i/>
          <w:noProof/>
          <w:szCs w:val="22"/>
          <w:lang w:val="sq-AL"/>
        </w:rPr>
        <w:t>Miratimin e një skeme të re Garancie Sovrane për sektorin e Bujqësisë, për një vlerë rreth 3</w:t>
      </w:r>
      <w:r w:rsidR="0056260B">
        <w:rPr>
          <w:rFonts w:eastAsia="Calibri"/>
          <w:i/>
          <w:noProof/>
          <w:szCs w:val="22"/>
          <w:lang w:val="sq-AL"/>
        </w:rPr>
        <w:t>miliardë</w:t>
      </w:r>
      <w:r w:rsidRPr="003C5EDE">
        <w:rPr>
          <w:rFonts w:eastAsia="Calibri"/>
          <w:i/>
          <w:noProof/>
          <w:szCs w:val="22"/>
          <w:lang w:val="sq-AL"/>
        </w:rPr>
        <w:t xml:space="preserve"> LEK. Nga analiza fiskale rezulto</w:t>
      </w:r>
      <w:r w:rsidR="00744978">
        <w:rPr>
          <w:rFonts w:eastAsia="Calibri"/>
          <w:i/>
          <w:noProof/>
          <w:szCs w:val="22"/>
          <w:lang w:val="sq-AL"/>
        </w:rPr>
        <w:t>i</w:t>
      </w:r>
      <w:r w:rsidRPr="003C5EDE">
        <w:rPr>
          <w:rFonts w:eastAsia="Calibri"/>
          <w:i/>
          <w:noProof/>
          <w:szCs w:val="22"/>
          <w:lang w:val="sq-AL"/>
        </w:rPr>
        <w:t xml:space="preserve"> se kjo politikë respekto</w:t>
      </w:r>
      <w:r w:rsidR="00744978">
        <w:rPr>
          <w:rFonts w:eastAsia="Calibri"/>
          <w:i/>
          <w:noProof/>
          <w:szCs w:val="22"/>
          <w:lang w:val="sq-AL"/>
        </w:rPr>
        <w:t>i</w:t>
      </w:r>
      <w:r w:rsidRPr="003C5EDE">
        <w:rPr>
          <w:rFonts w:eastAsia="Calibri"/>
          <w:i/>
          <w:noProof/>
          <w:szCs w:val="22"/>
          <w:lang w:val="sq-AL"/>
        </w:rPr>
        <w:t xml:space="preserve"> kufizimet e rregullave fiskale në fuqi, pa cënuar disiplinën buxhetore</w:t>
      </w:r>
    </w:p>
    <w:p w14:paraId="39B69172" w14:textId="77777777" w:rsidR="002122A2" w:rsidRPr="002122A2" w:rsidRDefault="002122A2">
      <w:pPr>
        <w:numPr>
          <w:ilvl w:val="0"/>
          <w:numId w:val="34"/>
        </w:numPr>
        <w:spacing w:before="0" w:line="240" w:lineRule="auto"/>
        <w:ind w:left="540"/>
        <w:rPr>
          <w:rFonts w:eastAsia="Calibri"/>
          <w:i/>
          <w:noProof/>
          <w:szCs w:val="22"/>
          <w:lang w:val="sq-AL"/>
        </w:rPr>
      </w:pPr>
      <w:r w:rsidRPr="002122A2">
        <w:rPr>
          <w:rFonts w:eastAsia="Calibri"/>
          <w:i/>
          <w:noProof/>
          <w:szCs w:val="22"/>
          <w:lang w:val="sq-AL"/>
        </w:rPr>
        <w:t>Defiçiti buxhetor, pas ndryshimeve të mësipërme në të ardhura dhe shpenzime, mbeti i pandryshuar në nivelin 68 052 milionë LEK, si rrjedhim edhe borxhi publik nuk ndryshon.</w:t>
      </w:r>
    </w:p>
    <w:p w14:paraId="16716DF8" w14:textId="77777777" w:rsidR="002122A2" w:rsidRPr="002122A2" w:rsidRDefault="002122A2" w:rsidP="00BC59F2">
      <w:pPr>
        <w:spacing w:before="0" w:line="240" w:lineRule="auto"/>
        <w:rPr>
          <w:rFonts w:eastAsia="Calibri"/>
          <w:iCs/>
          <w:noProof/>
          <w:sz w:val="8"/>
          <w:szCs w:val="10"/>
          <w:lang w:val="sq-AL"/>
        </w:rPr>
      </w:pPr>
    </w:p>
    <w:p w14:paraId="5B71E2AA" w14:textId="078BBA29" w:rsidR="00BC59F2" w:rsidRPr="003C5EDE" w:rsidRDefault="00BC59F2" w:rsidP="00BC59F2">
      <w:pPr>
        <w:spacing w:before="0" w:line="240" w:lineRule="auto"/>
        <w:rPr>
          <w:rFonts w:eastAsia="Calibri"/>
          <w:iCs/>
          <w:noProof/>
          <w:lang w:val="sq-AL"/>
        </w:rPr>
      </w:pPr>
      <w:r w:rsidRPr="003C5EDE">
        <w:rPr>
          <w:rFonts w:eastAsia="Calibri"/>
          <w:iCs/>
          <w:noProof/>
          <w:lang w:val="sq-AL"/>
        </w:rPr>
        <w:t>Sipas këtij Akti Normativ:</w:t>
      </w:r>
    </w:p>
    <w:p w14:paraId="3B117A2F" w14:textId="19DD68F2" w:rsidR="00BC59F2" w:rsidRPr="00BC59F2" w:rsidRDefault="00BC59F2">
      <w:pPr>
        <w:numPr>
          <w:ilvl w:val="0"/>
          <w:numId w:val="36"/>
        </w:numPr>
        <w:spacing w:before="0" w:after="160" w:line="240" w:lineRule="auto"/>
        <w:contextualSpacing/>
        <w:rPr>
          <w:rFonts w:eastAsia="Calibri"/>
          <w:iCs/>
          <w:noProof/>
          <w:lang w:val="sq-AL"/>
        </w:rPr>
      </w:pPr>
      <w:r w:rsidRPr="00BC59F2">
        <w:rPr>
          <w:rFonts w:eastAsia="Calibri"/>
          <w:iCs/>
          <w:noProof/>
          <w:lang w:val="sq-AL"/>
        </w:rPr>
        <w:t>Të ardhurat e përgjithshme nuk ndrysh</w:t>
      </w:r>
      <w:r w:rsidR="00744978">
        <w:rPr>
          <w:rFonts w:eastAsia="Calibri"/>
          <w:iCs/>
          <w:noProof/>
          <w:lang w:val="sq-AL"/>
        </w:rPr>
        <w:t>uan</w:t>
      </w:r>
      <w:r w:rsidRPr="00BC59F2">
        <w:rPr>
          <w:rFonts w:eastAsia="Calibri"/>
          <w:iCs/>
          <w:noProof/>
          <w:lang w:val="sq-AL"/>
        </w:rPr>
        <w:t>.</w:t>
      </w:r>
    </w:p>
    <w:p w14:paraId="28894287" w14:textId="6022787E" w:rsidR="00BC59F2" w:rsidRPr="00BC59F2" w:rsidRDefault="00BC59F2">
      <w:pPr>
        <w:numPr>
          <w:ilvl w:val="0"/>
          <w:numId w:val="36"/>
        </w:numPr>
        <w:tabs>
          <w:tab w:val="left" w:pos="540"/>
          <w:tab w:val="center" w:pos="709"/>
          <w:tab w:val="right" w:pos="8696"/>
        </w:tabs>
        <w:autoSpaceDE w:val="0"/>
        <w:spacing w:before="0" w:after="160" w:line="240" w:lineRule="auto"/>
        <w:contextualSpacing/>
        <w:rPr>
          <w:rFonts w:eastAsia="Calibri"/>
          <w:iCs/>
          <w:noProof/>
          <w:lang w:val="sq-AL"/>
        </w:rPr>
      </w:pPr>
      <w:r w:rsidRPr="00BC59F2">
        <w:rPr>
          <w:rFonts w:eastAsia="Calibri"/>
          <w:iCs/>
          <w:noProof/>
          <w:lang w:val="sq-AL"/>
        </w:rPr>
        <w:t>Totali i shpenzimeve të përgjithshme nuk ndrysho</w:t>
      </w:r>
      <w:r w:rsidR="00744978">
        <w:rPr>
          <w:rFonts w:eastAsia="Calibri"/>
          <w:iCs/>
          <w:noProof/>
          <w:lang w:val="sq-AL"/>
        </w:rPr>
        <w:t>i</w:t>
      </w:r>
      <w:r w:rsidRPr="00BC59F2">
        <w:rPr>
          <w:rFonts w:eastAsia="Calibri"/>
          <w:iCs/>
          <w:noProof/>
          <w:lang w:val="sq-AL"/>
        </w:rPr>
        <w:t xml:space="preserve">, pasi </w:t>
      </w:r>
      <w:r w:rsidR="00744978">
        <w:rPr>
          <w:rFonts w:eastAsia="Calibri"/>
          <w:iCs/>
          <w:noProof/>
          <w:lang w:val="sq-AL"/>
        </w:rPr>
        <w:t xml:space="preserve">u </w:t>
      </w:r>
      <w:r w:rsidRPr="00BC59F2">
        <w:rPr>
          <w:rFonts w:eastAsia="Calibri"/>
          <w:iCs/>
          <w:noProof/>
          <w:lang w:val="sq-AL"/>
        </w:rPr>
        <w:t>mbul</w:t>
      </w:r>
      <w:r w:rsidR="00744978">
        <w:rPr>
          <w:rFonts w:eastAsia="Calibri"/>
          <w:iCs/>
          <w:noProof/>
          <w:lang w:val="sq-AL"/>
        </w:rPr>
        <w:t>ua</w:t>
      </w:r>
      <w:r w:rsidRPr="00BC59F2">
        <w:rPr>
          <w:rFonts w:eastAsia="Calibri"/>
          <w:iCs/>
          <w:noProof/>
          <w:lang w:val="sq-AL"/>
        </w:rPr>
        <w:t xml:space="preserve"> me kursimet e evidentuara. Ndër alokimet shtesë më kryesore, veçojmë:</w:t>
      </w:r>
    </w:p>
    <w:p w14:paraId="34CA0CA3" w14:textId="5C5EDBFC"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AKSK – Rreth 3.3</w:t>
      </w:r>
      <w:r w:rsidR="0056260B">
        <w:rPr>
          <w:rFonts w:eastAsia="Calibri"/>
          <w:i/>
          <w:noProof/>
          <w:szCs w:val="22"/>
          <w:lang w:val="sq-AL"/>
        </w:rPr>
        <w:t>miliardë</w:t>
      </w:r>
      <w:r w:rsidRPr="003C5EDE">
        <w:rPr>
          <w:rFonts w:eastAsia="Calibri"/>
          <w:i/>
          <w:noProof/>
          <w:szCs w:val="22"/>
          <w:lang w:val="sq-AL"/>
        </w:rPr>
        <w:t xml:space="preserve"> LEK shtesë për produkte teknologjike IA për sigurinë kibernetike.</w:t>
      </w:r>
    </w:p>
    <w:p w14:paraId="465389A7" w14:textId="74A7B01B" w:rsidR="00BC59F2" w:rsidRPr="003C5EDE" w:rsidRDefault="00BC59F2">
      <w:pPr>
        <w:numPr>
          <w:ilvl w:val="0"/>
          <w:numId w:val="35"/>
        </w:numPr>
        <w:tabs>
          <w:tab w:val="num" w:pos="1080"/>
        </w:tabs>
        <w:spacing w:before="0" w:after="160" w:line="240" w:lineRule="auto"/>
        <w:contextualSpacing/>
        <w:rPr>
          <w:rFonts w:eastAsia="Calibri"/>
          <w:i/>
          <w:noProof/>
          <w:szCs w:val="22"/>
          <w:lang w:val="sq-AL"/>
        </w:rPr>
      </w:pPr>
      <w:r w:rsidRPr="003C5EDE">
        <w:rPr>
          <w:rFonts w:eastAsia="Calibri"/>
          <w:i/>
          <w:noProof/>
          <w:szCs w:val="22"/>
          <w:lang w:val="sq-AL"/>
        </w:rPr>
        <w:t>FSHZH – Rreth 1.5</w:t>
      </w:r>
      <w:r w:rsidR="0056260B">
        <w:rPr>
          <w:rFonts w:eastAsia="Calibri"/>
          <w:i/>
          <w:noProof/>
          <w:szCs w:val="22"/>
          <w:lang w:val="sq-AL"/>
        </w:rPr>
        <w:t>miliardë</w:t>
      </w:r>
      <w:r w:rsidRPr="003C5EDE">
        <w:rPr>
          <w:rFonts w:eastAsia="Calibri"/>
          <w:i/>
          <w:noProof/>
          <w:szCs w:val="22"/>
          <w:lang w:val="sq-AL"/>
        </w:rPr>
        <w:t xml:space="preserve"> LEK shtesë për projekte të reja zhvillimi.</w:t>
      </w:r>
    </w:p>
    <w:p w14:paraId="0DD4AD9A" w14:textId="4853E60A"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MAS – Rreth 318</w:t>
      </w:r>
      <w:r w:rsidR="0056260B">
        <w:rPr>
          <w:rFonts w:eastAsia="Calibri"/>
          <w:i/>
          <w:noProof/>
          <w:szCs w:val="22"/>
          <w:lang w:val="sq-AL"/>
        </w:rPr>
        <w:t>milionë</w:t>
      </w:r>
      <w:r w:rsidRPr="003C5EDE">
        <w:rPr>
          <w:rFonts w:eastAsia="Calibri"/>
          <w:i/>
          <w:noProof/>
          <w:szCs w:val="22"/>
          <w:lang w:val="sq-AL"/>
        </w:rPr>
        <w:t xml:space="preserve"> LEK shtesë për programin e Sportit.</w:t>
      </w:r>
    </w:p>
    <w:p w14:paraId="3314AFEF" w14:textId="684F5B10"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MD – Rreth 142</w:t>
      </w:r>
      <w:r w:rsidR="0056260B">
        <w:rPr>
          <w:rFonts w:eastAsia="Calibri"/>
          <w:i/>
          <w:noProof/>
          <w:szCs w:val="22"/>
          <w:lang w:val="sq-AL"/>
        </w:rPr>
        <w:t>milionë</w:t>
      </w:r>
      <w:r w:rsidRPr="003C5EDE">
        <w:rPr>
          <w:rFonts w:eastAsia="Calibri"/>
          <w:i/>
          <w:noProof/>
          <w:szCs w:val="22"/>
          <w:lang w:val="sq-AL"/>
        </w:rPr>
        <w:t xml:space="preserve"> LEK shtesë për detyrimin e rikonstruksionit të godinës së I</w:t>
      </w:r>
      <w:r w:rsidR="003C5EDE">
        <w:rPr>
          <w:rFonts w:eastAsia="Calibri"/>
          <w:i/>
          <w:noProof/>
          <w:szCs w:val="22"/>
          <w:lang w:val="sq-AL"/>
        </w:rPr>
        <w:t>nst.</w:t>
      </w:r>
      <w:r w:rsidRPr="003C5EDE">
        <w:rPr>
          <w:rFonts w:eastAsia="Calibri"/>
          <w:i/>
          <w:noProof/>
          <w:szCs w:val="22"/>
          <w:lang w:val="sq-AL"/>
        </w:rPr>
        <w:t>Mjekësisë Ligjore.</w:t>
      </w:r>
    </w:p>
    <w:p w14:paraId="3BAE2623" w14:textId="171970BA"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MF – Rreth 103</w:t>
      </w:r>
      <w:r w:rsidR="0056260B">
        <w:rPr>
          <w:rFonts w:eastAsia="Calibri"/>
          <w:i/>
          <w:noProof/>
          <w:szCs w:val="22"/>
          <w:lang w:val="sq-AL"/>
        </w:rPr>
        <w:t>milionë</w:t>
      </w:r>
      <w:r w:rsidRPr="003C5EDE">
        <w:rPr>
          <w:rFonts w:eastAsia="Calibri"/>
          <w:i/>
          <w:noProof/>
          <w:szCs w:val="22"/>
          <w:lang w:val="sq-AL"/>
        </w:rPr>
        <w:t xml:space="preserve"> LEK shtesë për pagesat e kuotave ndaj IBRD, IFC dhe AIF.</w:t>
      </w:r>
    </w:p>
    <w:p w14:paraId="2B22F686" w14:textId="4A2E6D34" w:rsidR="003C5EDE" w:rsidRPr="003C5EDE" w:rsidRDefault="003C5EDE">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MSHMS – Rreth 64</w:t>
      </w:r>
      <w:r w:rsidR="002122A2">
        <w:rPr>
          <w:rFonts w:eastAsia="Calibri"/>
          <w:i/>
          <w:noProof/>
          <w:szCs w:val="22"/>
          <w:lang w:val="sq-AL"/>
        </w:rPr>
        <w:t>mln</w:t>
      </w:r>
      <w:r w:rsidRPr="003C5EDE">
        <w:rPr>
          <w:rFonts w:eastAsia="Calibri"/>
          <w:i/>
          <w:noProof/>
          <w:szCs w:val="22"/>
          <w:lang w:val="sq-AL"/>
        </w:rPr>
        <w:t xml:space="preserve"> LEK shtesë për blerjen e pajisjeve mjekësore për strukturat spitalore në vend.</w:t>
      </w:r>
    </w:p>
    <w:p w14:paraId="22F9DD0A" w14:textId="300DB971"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Ministria e Brendshme – Rreth 67</w:t>
      </w:r>
      <w:r w:rsidR="0056260B">
        <w:rPr>
          <w:rFonts w:eastAsia="Calibri"/>
          <w:i/>
          <w:noProof/>
          <w:szCs w:val="22"/>
          <w:lang w:val="sq-AL"/>
        </w:rPr>
        <w:t>milionë</w:t>
      </w:r>
      <w:r w:rsidRPr="003C5EDE">
        <w:rPr>
          <w:rFonts w:eastAsia="Calibri"/>
          <w:i/>
          <w:noProof/>
          <w:szCs w:val="22"/>
          <w:lang w:val="sq-AL"/>
        </w:rPr>
        <w:t xml:space="preserve"> LEK për nevoja page të Gjendjes Civile dhe 14.2</w:t>
      </w:r>
      <w:r w:rsidR="0056260B">
        <w:rPr>
          <w:rFonts w:eastAsia="Calibri"/>
          <w:i/>
          <w:noProof/>
          <w:szCs w:val="22"/>
          <w:lang w:val="sq-AL"/>
        </w:rPr>
        <w:t>milionë</w:t>
      </w:r>
      <w:r w:rsidRPr="003C5EDE">
        <w:rPr>
          <w:rFonts w:eastAsia="Calibri"/>
          <w:i/>
          <w:noProof/>
          <w:szCs w:val="22"/>
          <w:lang w:val="sq-AL"/>
        </w:rPr>
        <w:t xml:space="preserve"> LEK për 22 punonjës shtesë të AAPSK.</w:t>
      </w:r>
    </w:p>
    <w:p w14:paraId="6044E040" w14:textId="43E9670D"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DSHQ – Rreth 92</w:t>
      </w:r>
      <w:r w:rsidR="0056260B">
        <w:rPr>
          <w:rFonts w:eastAsia="Calibri"/>
          <w:i/>
          <w:noProof/>
          <w:szCs w:val="22"/>
          <w:lang w:val="sq-AL"/>
        </w:rPr>
        <w:t>milionë</w:t>
      </w:r>
      <w:r w:rsidRPr="003C5EDE">
        <w:rPr>
          <w:rFonts w:eastAsia="Calibri"/>
          <w:i/>
          <w:noProof/>
          <w:szCs w:val="22"/>
          <w:lang w:val="sq-AL"/>
        </w:rPr>
        <w:t xml:space="preserve"> LEK shtesë për rikonstruksionin e Vilës Qeveritare në Dajt.</w:t>
      </w:r>
    </w:p>
    <w:p w14:paraId="4D5BE29F" w14:textId="57FC5D14" w:rsidR="00BC59F2" w:rsidRPr="003C5EDE" w:rsidRDefault="00BC59F2">
      <w:pPr>
        <w:numPr>
          <w:ilvl w:val="0"/>
          <w:numId w:val="35"/>
        </w:numPr>
        <w:spacing w:before="0" w:after="160" w:line="240" w:lineRule="auto"/>
        <w:contextualSpacing/>
        <w:rPr>
          <w:rFonts w:eastAsia="Calibri"/>
          <w:i/>
          <w:noProof/>
          <w:szCs w:val="22"/>
          <w:lang w:val="sq-AL"/>
        </w:rPr>
      </w:pPr>
      <w:r w:rsidRPr="003C5EDE">
        <w:rPr>
          <w:rFonts w:eastAsia="Calibri"/>
          <w:i/>
          <w:noProof/>
          <w:szCs w:val="22"/>
          <w:lang w:val="sq-AL"/>
        </w:rPr>
        <w:t xml:space="preserve">Inspektoriati Qendror </w:t>
      </w:r>
      <w:r w:rsidR="002122A2">
        <w:rPr>
          <w:rFonts w:eastAsia="Calibri"/>
          <w:i/>
          <w:noProof/>
          <w:szCs w:val="22"/>
          <w:lang w:val="sq-AL"/>
        </w:rPr>
        <w:t>-</w:t>
      </w:r>
      <w:r w:rsidRPr="003C5EDE">
        <w:rPr>
          <w:rFonts w:eastAsia="Calibri"/>
          <w:i/>
          <w:noProof/>
          <w:szCs w:val="22"/>
          <w:lang w:val="sq-AL"/>
        </w:rPr>
        <w:t xml:space="preserve"> Rreth 70</w:t>
      </w:r>
      <w:r w:rsidR="002122A2">
        <w:rPr>
          <w:rFonts w:eastAsia="Calibri"/>
          <w:i/>
          <w:noProof/>
          <w:szCs w:val="22"/>
          <w:lang w:val="sq-AL"/>
        </w:rPr>
        <w:t>mln</w:t>
      </w:r>
      <w:r w:rsidRPr="003C5EDE">
        <w:rPr>
          <w:rFonts w:eastAsia="Calibri"/>
          <w:i/>
          <w:noProof/>
          <w:szCs w:val="22"/>
          <w:lang w:val="sq-AL"/>
        </w:rPr>
        <w:t xml:space="preserve"> LEK për 77 punonjës shtesë sipas strukturës në proçes miratimi.</w:t>
      </w:r>
    </w:p>
    <w:p w14:paraId="0E92A2F1" w14:textId="77777777" w:rsidR="002122A2" w:rsidRPr="002122A2" w:rsidRDefault="002122A2" w:rsidP="00BC59F2">
      <w:pPr>
        <w:spacing w:before="0" w:line="240" w:lineRule="auto"/>
        <w:rPr>
          <w:rFonts w:eastAsia="Calibri"/>
          <w:iCs/>
          <w:noProof/>
          <w:sz w:val="8"/>
          <w:szCs w:val="10"/>
          <w:lang w:val="sq-AL"/>
        </w:rPr>
      </w:pPr>
    </w:p>
    <w:p w14:paraId="5911D2C4" w14:textId="6D37BE76" w:rsidR="00BC59F2" w:rsidRPr="00BC59F2" w:rsidRDefault="00BC59F2" w:rsidP="00BC59F2">
      <w:pPr>
        <w:spacing w:before="0" w:line="240" w:lineRule="auto"/>
        <w:rPr>
          <w:rFonts w:eastAsia="Calibri"/>
          <w:iCs/>
          <w:noProof/>
          <w:lang w:val="sq-AL"/>
        </w:rPr>
      </w:pPr>
      <w:r w:rsidRPr="00BC59F2">
        <w:rPr>
          <w:rFonts w:eastAsia="Calibri"/>
          <w:iCs/>
          <w:noProof/>
          <w:lang w:val="sq-AL"/>
        </w:rPr>
        <w:t xml:space="preserve">Ndërkohë, rishpërndarje fondesh me efekt neutral </w:t>
      </w:r>
      <w:r w:rsidR="00744978">
        <w:rPr>
          <w:rFonts w:eastAsia="Calibri"/>
          <w:iCs/>
          <w:noProof/>
          <w:lang w:val="sq-AL"/>
        </w:rPr>
        <w:t>patën këto institucione</w:t>
      </w:r>
      <w:r w:rsidRPr="00BC59F2">
        <w:rPr>
          <w:rFonts w:eastAsia="Calibri"/>
          <w:iCs/>
          <w:noProof/>
          <w:lang w:val="sq-AL"/>
        </w:rPr>
        <w:t>:</w:t>
      </w:r>
    </w:p>
    <w:p w14:paraId="1BCF7D5A" w14:textId="4A93C856" w:rsidR="00BC59F2" w:rsidRPr="003C5EDE" w:rsidRDefault="00BC59F2">
      <w:pPr>
        <w:numPr>
          <w:ilvl w:val="0"/>
          <w:numId w:val="37"/>
        </w:numPr>
        <w:spacing w:before="0" w:after="160" w:line="240" w:lineRule="auto"/>
        <w:contextualSpacing/>
        <w:jc w:val="left"/>
        <w:rPr>
          <w:rFonts w:eastAsia="Calibri"/>
          <w:i/>
          <w:noProof/>
          <w:szCs w:val="22"/>
          <w:lang w:val="sq-AL"/>
        </w:rPr>
      </w:pPr>
      <w:r w:rsidRPr="003C5EDE">
        <w:rPr>
          <w:rFonts w:eastAsia="Calibri"/>
          <w:i/>
          <w:noProof/>
          <w:szCs w:val="22"/>
          <w:lang w:val="sq-AL"/>
        </w:rPr>
        <w:t>Ministria e Mbrojtjes – Në masën 1.27</w:t>
      </w:r>
      <w:r w:rsidR="002122A2">
        <w:rPr>
          <w:rFonts w:eastAsia="Calibri"/>
          <w:i/>
          <w:noProof/>
          <w:szCs w:val="22"/>
          <w:lang w:val="sq-AL"/>
        </w:rPr>
        <w:t xml:space="preserve"> </w:t>
      </w:r>
      <w:r w:rsidR="0056260B">
        <w:rPr>
          <w:rFonts w:eastAsia="Calibri"/>
          <w:i/>
          <w:noProof/>
          <w:szCs w:val="22"/>
          <w:lang w:val="sq-AL"/>
        </w:rPr>
        <w:t>miliardë</w:t>
      </w:r>
      <w:r w:rsidRPr="003C5EDE">
        <w:rPr>
          <w:rFonts w:eastAsia="Calibri"/>
          <w:i/>
          <w:noProof/>
          <w:szCs w:val="22"/>
          <w:lang w:val="sq-AL"/>
        </w:rPr>
        <w:t xml:space="preserve"> LEK, nga zërat e shpenzimeve kapitale drejt atyre korente, kryesisht për mbulimin e detyrimeve për paga e sigurime.</w:t>
      </w:r>
    </w:p>
    <w:p w14:paraId="02089880" w14:textId="2A81A496" w:rsidR="00BC59F2" w:rsidRPr="003C5EDE" w:rsidRDefault="00BC59F2">
      <w:pPr>
        <w:numPr>
          <w:ilvl w:val="0"/>
          <w:numId w:val="37"/>
        </w:numPr>
        <w:spacing w:before="0" w:after="160" w:line="240" w:lineRule="auto"/>
        <w:contextualSpacing/>
        <w:jc w:val="left"/>
        <w:rPr>
          <w:rFonts w:eastAsia="Calibri"/>
          <w:i/>
          <w:noProof/>
          <w:szCs w:val="22"/>
          <w:lang w:val="sq-AL"/>
        </w:rPr>
      </w:pPr>
      <w:r w:rsidRPr="003C5EDE">
        <w:rPr>
          <w:rFonts w:eastAsia="Calibri"/>
          <w:i/>
          <w:noProof/>
          <w:szCs w:val="22"/>
          <w:lang w:val="sq-AL"/>
        </w:rPr>
        <w:t>Ministria e Arsimit dhe Sportit – Në masën 1.05</w:t>
      </w:r>
      <w:r w:rsidR="002122A2">
        <w:rPr>
          <w:rFonts w:eastAsia="Calibri"/>
          <w:i/>
          <w:noProof/>
          <w:szCs w:val="22"/>
          <w:lang w:val="sq-AL"/>
        </w:rPr>
        <w:t xml:space="preserve"> </w:t>
      </w:r>
      <w:r w:rsidR="0056260B">
        <w:rPr>
          <w:rFonts w:eastAsia="Calibri"/>
          <w:i/>
          <w:noProof/>
          <w:szCs w:val="22"/>
          <w:lang w:val="sq-AL"/>
        </w:rPr>
        <w:t>miliardë</w:t>
      </w:r>
      <w:r w:rsidRPr="003C5EDE">
        <w:rPr>
          <w:rFonts w:eastAsia="Calibri"/>
          <w:i/>
          <w:noProof/>
          <w:szCs w:val="22"/>
          <w:lang w:val="sq-AL"/>
        </w:rPr>
        <w:t xml:space="preserve"> LEK mes programeve të veta buxhetore, kryesisht për finacimin e shpenzimeve të personelit të arsimit bazë.</w:t>
      </w:r>
    </w:p>
    <w:p w14:paraId="1ECF1FD3" w14:textId="22796DC6" w:rsidR="00BC59F2" w:rsidRPr="003C5EDE" w:rsidRDefault="00BC59F2">
      <w:pPr>
        <w:numPr>
          <w:ilvl w:val="0"/>
          <w:numId w:val="37"/>
        </w:numPr>
        <w:spacing w:before="0" w:after="160" w:line="240" w:lineRule="auto"/>
        <w:contextualSpacing/>
        <w:jc w:val="left"/>
        <w:rPr>
          <w:rFonts w:eastAsia="Calibri"/>
          <w:i/>
          <w:noProof/>
          <w:szCs w:val="22"/>
          <w:lang w:val="sq-AL"/>
        </w:rPr>
      </w:pPr>
      <w:r w:rsidRPr="003C5EDE">
        <w:rPr>
          <w:rFonts w:eastAsia="Calibri"/>
          <w:i/>
          <w:noProof/>
          <w:szCs w:val="22"/>
          <w:lang w:val="sq-AL"/>
        </w:rPr>
        <w:t>Ministria e Shëndetësisë dhe Mbrojtjes Sociale – Në masën 830</w:t>
      </w:r>
      <w:r w:rsidR="002122A2">
        <w:rPr>
          <w:rFonts w:eastAsia="Calibri"/>
          <w:i/>
          <w:noProof/>
          <w:szCs w:val="22"/>
          <w:lang w:val="sq-AL"/>
        </w:rPr>
        <w:t xml:space="preserve"> </w:t>
      </w:r>
      <w:r w:rsidR="0056260B">
        <w:rPr>
          <w:rFonts w:eastAsia="Calibri"/>
          <w:i/>
          <w:noProof/>
          <w:szCs w:val="22"/>
          <w:lang w:val="sq-AL"/>
        </w:rPr>
        <w:t>milionë</w:t>
      </w:r>
      <w:r w:rsidRPr="003C5EDE">
        <w:rPr>
          <w:rFonts w:eastAsia="Calibri"/>
          <w:i/>
          <w:noProof/>
          <w:szCs w:val="22"/>
          <w:lang w:val="sq-AL"/>
        </w:rPr>
        <w:t xml:space="preserve"> LEK mes programeve buxhetore, kryesisht për nevoja të FSDKSH dhe financim projektesh. </w:t>
      </w:r>
    </w:p>
    <w:p w14:paraId="5C6FC5C8" w14:textId="77777777" w:rsidR="00744978" w:rsidRPr="00744978" w:rsidRDefault="00744978" w:rsidP="00744978">
      <w:pPr>
        <w:spacing w:before="0" w:after="160" w:line="240" w:lineRule="auto"/>
        <w:ind w:left="630"/>
        <w:contextualSpacing/>
        <w:jc w:val="left"/>
        <w:rPr>
          <w:rFonts w:eastAsia="Calibri"/>
          <w:iCs/>
          <w:noProof/>
          <w:sz w:val="8"/>
          <w:szCs w:val="8"/>
          <w:lang w:val="sq-AL"/>
        </w:rPr>
      </w:pPr>
    </w:p>
    <w:p w14:paraId="4997DEA3" w14:textId="77777777" w:rsidR="00BC59F2" w:rsidRDefault="00BC59F2" w:rsidP="00BC59F2">
      <w:pPr>
        <w:spacing w:before="0" w:line="240" w:lineRule="auto"/>
        <w:rPr>
          <w:rFonts w:eastAsia="Calibri"/>
          <w:iCs/>
          <w:noProof/>
          <w:lang w:val="sq-AL"/>
        </w:rPr>
      </w:pPr>
    </w:p>
    <w:p w14:paraId="6244F598" w14:textId="77777777" w:rsidR="00BC59F2" w:rsidRPr="00BC59F2" w:rsidRDefault="00BC59F2">
      <w:pPr>
        <w:numPr>
          <w:ilvl w:val="0"/>
          <w:numId w:val="32"/>
        </w:numPr>
        <w:spacing w:before="0" w:after="160" w:line="240" w:lineRule="auto"/>
        <w:ind w:left="360"/>
        <w:contextualSpacing/>
        <w:jc w:val="left"/>
        <w:rPr>
          <w:rFonts w:cs="Calibri"/>
          <w:bCs/>
          <w:noProof/>
          <w:kern w:val="2"/>
          <w:u w:val="single"/>
          <w:lang w:val="sq-AL"/>
          <w14:ligatures w14:val="standardContextual"/>
        </w:rPr>
      </w:pPr>
      <w:r w:rsidRPr="00BC59F2">
        <w:rPr>
          <w:rFonts w:cs="Calibri"/>
          <w:b/>
          <w:noProof/>
          <w:kern w:val="2"/>
          <w:u w:val="single"/>
          <w:lang w:val="sq-AL"/>
          <w14:ligatures w14:val="standardContextual"/>
        </w:rPr>
        <w:t xml:space="preserve"> Akti Normativ nr. 10 datë 8.10.2025 </w:t>
      </w:r>
      <w:r w:rsidRPr="00BC59F2">
        <w:rPr>
          <w:rFonts w:cs="Calibri"/>
          <w:bCs/>
          <w:noProof/>
          <w:kern w:val="2"/>
          <w:u w:val="single"/>
          <w:lang w:val="sq-AL"/>
          <w14:ligatures w14:val="standardContextual"/>
        </w:rPr>
        <w:t>“</w:t>
      </w:r>
      <w:r w:rsidRPr="00BC59F2">
        <w:rPr>
          <w:rFonts w:cs="Calibri"/>
          <w:bCs/>
          <w:i/>
          <w:iCs/>
          <w:noProof/>
          <w:kern w:val="2"/>
          <w:u w:val="single"/>
          <w:lang w:val="sq-AL"/>
          <w14:ligatures w14:val="standardContextual"/>
        </w:rPr>
        <w:t>Për disa ndryshime dhe shtesa në Ligjin nr.115/2024 “Për buxhetin e vitit  2025, të ndryshuar</w:t>
      </w:r>
      <w:r w:rsidRPr="00BC59F2">
        <w:rPr>
          <w:rFonts w:cs="Calibri"/>
          <w:bCs/>
          <w:noProof/>
          <w:kern w:val="2"/>
          <w:u w:val="single"/>
          <w:lang w:val="sq-AL"/>
          <w14:ligatures w14:val="standardContextual"/>
        </w:rPr>
        <w:t>”.</w:t>
      </w:r>
    </w:p>
    <w:p w14:paraId="0A8EB505" w14:textId="58261ACC" w:rsidR="00BC59F2" w:rsidRPr="00BC59F2" w:rsidRDefault="00BC59F2" w:rsidP="00BC59F2">
      <w:pPr>
        <w:spacing w:before="0" w:line="240" w:lineRule="auto"/>
        <w:rPr>
          <w:noProof/>
          <w:lang w:val="sq-AL"/>
        </w:rPr>
      </w:pPr>
      <w:r w:rsidRPr="00BC59F2">
        <w:rPr>
          <w:noProof/>
          <w:lang w:val="sq-AL"/>
        </w:rPr>
        <w:t xml:space="preserve">Në vijim të zgjedhjeve të përgjithshme të datës 11 Maj 2025 dhe ndryshimeve në Kabinetin e ri të Këshillit të Ministrave, u rishikuan edhe fushat e përgjegjësisë funksionale të ministrive të linjës. Në këto kushte, lindi nevoja imediate për rishikimin sa më parë të ligjit të buxhetit 2025, me fokus kryesor rishpërndarjen e fondeve buxhetore sipas riorganizimit të ri të ministrive të sipërcituara. Pas analizimit të performancës 8 mujore të ecurisë së zbatimit të treguesve të konsoliduar makrofiskal dhe buxhetor, si edhe vlerësimit të pritshmërive të realizimit të tyre deri në fund të vitit, </w:t>
      </w:r>
      <w:r w:rsidR="00744978">
        <w:rPr>
          <w:noProof/>
          <w:lang w:val="sq-AL"/>
        </w:rPr>
        <w:t>Q</w:t>
      </w:r>
      <w:r w:rsidRPr="00BC59F2">
        <w:rPr>
          <w:noProof/>
          <w:lang w:val="sq-AL"/>
        </w:rPr>
        <w:t>everia përgatit</w:t>
      </w:r>
      <w:r w:rsidR="00744978">
        <w:rPr>
          <w:noProof/>
          <w:lang w:val="sq-AL"/>
        </w:rPr>
        <w:t>i</w:t>
      </w:r>
      <w:r w:rsidRPr="00BC59F2">
        <w:rPr>
          <w:noProof/>
          <w:lang w:val="sq-AL"/>
        </w:rPr>
        <w:t xml:space="preserve"> skenarin e rishikimit të tretë të buxhetit për vitin 2025, nëpërmjet paraqitjes së </w:t>
      </w:r>
      <w:bookmarkStart w:id="139" w:name="_Hlk227832992"/>
      <w:r w:rsidRPr="00BC59F2">
        <w:rPr>
          <w:noProof/>
          <w:lang w:val="sq-AL"/>
        </w:rPr>
        <w:t>Aktit Normativ i cili siguro</w:t>
      </w:r>
      <w:r w:rsidR="00744978">
        <w:rPr>
          <w:noProof/>
          <w:lang w:val="sq-AL"/>
        </w:rPr>
        <w:t>i</w:t>
      </w:r>
      <w:r w:rsidRPr="00BC59F2">
        <w:rPr>
          <w:noProof/>
          <w:lang w:val="sq-AL"/>
        </w:rPr>
        <w:t>:</w:t>
      </w:r>
    </w:p>
    <w:p w14:paraId="1FC32A67" w14:textId="49D75DEA" w:rsidR="00BC59F2" w:rsidRPr="00744978" w:rsidRDefault="00BC59F2">
      <w:pPr>
        <w:numPr>
          <w:ilvl w:val="0"/>
          <w:numId w:val="38"/>
        </w:numPr>
        <w:spacing w:before="0" w:after="160" w:line="240" w:lineRule="auto"/>
        <w:contextualSpacing/>
        <w:jc w:val="left"/>
        <w:rPr>
          <w:i/>
          <w:iCs/>
          <w:noProof/>
          <w:szCs w:val="22"/>
          <w:lang w:val="sq-AL"/>
        </w:rPr>
      </w:pPr>
      <w:r w:rsidRPr="00744978">
        <w:rPr>
          <w:i/>
          <w:iCs/>
          <w:noProof/>
          <w:szCs w:val="22"/>
          <w:lang w:val="sq-AL"/>
        </w:rPr>
        <w:t xml:space="preserve">Rritjen e nivelit të planifikuar të të ardhurave të përgjithshme me 12.1 </w:t>
      </w:r>
      <w:r w:rsidR="0056260B">
        <w:rPr>
          <w:i/>
          <w:iCs/>
          <w:noProof/>
          <w:szCs w:val="22"/>
          <w:lang w:val="sq-AL"/>
        </w:rPr>
        <w:t>miliardë</w:t>
      </w:r>
      <w:r w:rsidRPr="00744978">
        <w:rPr>
          <w:i/>
          <w:iCs/>
          <w:noProof/>
          <w:szCs w:val="22"/>
          <w:lang w:val="sq-AL"/>
        </w:rPr>
        <w:t xml:space="preserve"> LEK.</w:t>
      </w:r>
    </w:p>
    <w:p w14:paraId="4D7696C3" w14:textId="773764CD" w:rsidR="00744978" w:rsidRPr="00744978" w:rsidRDefault="00744978">
      <w:pPr>
        <w:numPr>
          <w:ilvl w:val="0"/>
          <w:numId w:val="38"/>
        </w:numPr>
        <w:spacing w:before="0" w:after="160" w:line="240" w:lineRule="auto"/>
        <w:contextualSpacing/>
        <w:jc w:val="left"/>
        <w:rPr>
          <w:i/>
          <w:iCs/>
          <w:noProof/>
          <w:szCs w:val="22"/>
          <w:lang w:val="sq-AL"/>
        </w:rPr>
      </w:pPr>
      <w:r w:rsidRPr="00744978">
        <w:rPr>
          <w:i/>
          <w:iCs/>
          <w:noProof/>
          <w:szCs w:val="22"/>
          <w:lang w:val="sq-AL"/>
        </w:rPr>
        <w:t xml:space="preserve">Rritjen e shpenzimeve të përgjithshme me rreth 5.7 </w:t>
      </w:r>
      <w:r w:rsidR="0056260B">
        <w:rPr>
          <w:i/>
          <w:iCs/>
          <w:noProof/>
          <w:szCs w:val="22"/>
          <w:lang w:val="sq-AL"/>
        </w:rPr>
        <w:t>miliardë</w:t>
      </w:r>
      <w:r w:rsidRPr="00744978">
        <w:rPr>
          <w:i/>
          <w:iCs/>
          <w:noProof/>
          <w:szCs w:val="22"/>
          <w:lang w:val="sq-AL"/>
        </w:rPr>
        <w:t xml:space="preserve"> LEK.</w:t>
      </w:r>
    </w:p>
    <w:p w14:paraId="1D3E83FE" w14:textId="77777777" w:rsidR="00BC59F2" w:rsidRPr="00744978" w:rsidRDefault="00BC59F2">
      <w:pPr>
        <w:numPr>
          <w:ilvl w:val="0"/>
          <w:numId w:val="38"/>
        </w:numPr>
        <w:spacing w:before="0" w:after="160" w:line="240" w:lineRule="auto"/>
        <w:contextualSpacing/>
        <w:jc w:val="left"/>
        <w:rPr>
          <w:i/>
          <w:iCs/>
          <w:noProof/>
          <w:szCs w:val="22"/>
          <w:lang w:val="sq-AL"/>
        </w:rPr>
      </w:pPr>
      <w:r w:rsidRPr="00744978">
        <w:rPr>
          <w:i/>
          <w:iCs/>
          <w:noProof/>
          <w:szCs w:val="22"/>
          <w:lang w:val="sq-AL"/>
        </w:rPr>
        <w:t>Përditësimin e zërave të borxhit shtetëror.</w:t>
      </w:r>
    </w:p>
    <w:p w14:paraId="025A6132" w14:textId="0F9F1D92" w:rsidR="00BC59F2" w:rsidRPr="00744978" w:rsidRDefault="00BC59F2">
      <w:pPr>
        <w:numPr>
          <w:ilvl w:val="0"/>
          <w:numId w:val="38"/>
        </w:numPr>
        <w:spacing w:before="0" w:after="160" w:line="240" w:lineRule="auto"/>
        <w:contextualSpacing/>
        <w:jc w:val="left"/>
        <w:rPr>
          <w:i/>
          <w:iCs/>
          <w:noProof/>
          <w:szCs w:val="22"/>
          <w:lang w:val="sq-AL"/>
        </w:rPr>
      </w:pPr>
      <w:r w:rsidRPr="00744978">
        <w:rPr>
          <w:i/>
          <w:iCs/>
          <w:noProof/>
          <w:szCs w:val="22"/>
          <w:lang w:val="sq-AL"/>
        </w:rPr>
        <w:t xml:space="preserve">Uljen e defiçitit buxhetor në nivelin 61.6 </w:t>
      </w:r>
      <w:r w:rsidR="0056260B">
        <w:rPr>
          <w:i/>
          <w:iCs/>
          <w:noProof/>
          <w:szCs w:val="22"/>
          <w:lang w:val="sq-AL"/>
        </w:rPr>
        <w:t>miliardë</w:t>
      </w:r>
      <w:r w:rsidRPr="00744978">
        <w:rPr>
          <w:i/>
          <w:iCs/>
          <w:noProof/>
          <w:szCs w:val="22"/>
          <w:lang w:val="sq-AL"/>
        </w:rPr>
        <w:t xml:space="preserve"> LEK ose 2.4% e PBB, nga 2.6% e PBB të miratuar në buxhetin fillestar 2025.</w:t>
      </w:r>
    </w:p>
    <w:bookmarkEnd w:id="139"/>
    <w:p w14:paraId="64AD2039" w14:textId="59829194" w:rsidR="00BC59F2" w:rsidRPr="00BC59F2" w:rsidRDefault="00BC59F2" w:rsidP="00744978">
      <w:pPr>
        <w:spacing w:line="240" w:lineRule="auto"/>
        <w:contextualSpacing/>
        <w:rPr>
          <w:noProof/>
          <w:szCs w:val="22"/>
          <w:lang w:val="sq-AL"/>
        </w:rPr>
      </w:pPr>
      <w:r w:rsidRPr="00BC59F2">
        <w:rPr>
          <w:noProof/>
          <w:szCs w:val="22"/>
          <w:lang w:val="sq-AL"/>
        </w:rPr>
        <w:lastRenderedPageBreak/>
        <w:t xml:space="preserve">Në shpenzimet </w:t>
      </w:r>
      <w:r w:rsidRPr="00744978">
        <w:rPr>
          <w:b/>
          <w:bCs/>
          <w:noProof/>
          <w:szCs w:val="22"/>
          <w:lang w:val="sq-AL"/>
        </w:rPr>
        <w:t>korente</w:t>
      </w:r>
      <w:r w:rsidRPr="00BC59F2">
        <w:rPr>
          <w:noProof/>
          <w:szCs w:val="22"/>
          <w:lang w:val="sq-AL"/>
        </w:rPr>
        <w:t xml:space="preserve"> ndër alokimet kryesore</w:t>
      </w:r>
      <w:r w:rsidR="00744978">
        <w:rPr>
          <w:noProof/>
          <w:szCs w:val="22"/>
          <w:lang w:val="sq-AL"/>
        </w:rPr>
        <w:t>,</w:t>
      </w:r>
      <w:r w:rsidRPr="00BC59F2">
        <w:rPr>
          <w:noProof/>
          <w:szCs w:val="22"/>
          <w:lang w:val="sq-AL"/>
        </w:rPr>
        <w:t xml:space="preserve"> veçojmë: </w:t>
      </w:r>
    </w:p>
    <w:p w14:paraId="60BA09CA" w14:textId="29522BDB"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Skema e Pensioneve – Rreth 7.6</w:t>
      </w:r>
      <w:r w:rsidR="002122A2" w:rsidRPr="00F023A7">
        <w:rPr>
          <w:i/>
          <w:iCs/>
          <w:noProof/>
          <w:szCs w:val="22"/>
          <w:lang w:val="sq-AL"/>
        </w:rPr>
        <w:t xml:space="preserve"> </w:t>
      </w:r>
      <w:r w:rsidR="0056260B" w:rsidRPr="00F023A7">
        <w:rPr>
          <w:i/>
          <w:iCs/>
          <w:noProof/>
          <w:szCs w:val="22"/>
          <w:lang w:val="sq-AL"/>
        </w:rPr>
        <w:t>miliardë</w:t>
      </w:r>
      <w:r w:rsidRPr="00F023A7">
        <w:rPr>
          <w:i/>
          <w:iCs/>
          <w:noProof/>
          <w:szCs w:val="22"/>
          <w:lang w:val="sq-AL"/>
        </w:rPr>
        <w:t xml:space="preserve"> LEK shtesë, nga të cilat 1.7</w:t>
      </w:r>
      <w:r w:rsidR="002122A2" w:rsidRPr="00F023A7">
        <w:rPr>
          <w:i/>
          <w:iCs/>
          <w:noProof/>
          <w:szCs w:val="22"/>
          <w:lang w:val="sq-AL"/>
        </w:rPr>
        <w:t xml:space="preserve"> </w:t>
      </w:r>
      <w:r w:rsidR="0056260B" w:rsidRPr="00F023A7">
        <w:rPr>
          <w:i/>
          <w:iCs/>
          <w:noProof/>
          <w:szCs w:val="22"/>
          <w:lang w:val="sq-AL"/>
        </w:rPr>
        <w:t>miliardë</w:t>
      </w:r>
      <w:r w:rsidRPr="00F023A7">
        <w:rPr>
          <w:i/>
          <w:iCs/>
          <w:noProof/>
          <w:szCs w:val="22"/>
          <w:lang w:val="sq-AL"/>
        </w:rPr>
        <w:t xml:space="preserve"> LEK rritje e tavanit të shpenzimeve 2025 dhe 5.9 </w:t>
      </w:r>
      <w:r w:rsidR="0056260B" w:rsidRPr="00F023A7">
        <w:rPr>
          <w:i/>
          <w:iCs/>
          <w:noProof/>
          <w:szCs w:val="22"/>
          <w:lang w:val="sq-AL"/>
        </w:rPr>
        <w:t>miliardë</w:t>
      </w:r>
      <w:r w:rsidRPr="00F023A7">
        <w:rPr>
          <w:i/>
          <w:iCs/>
          <w:noProof/>
          <w:szCs w:val="22"/>
          <w:lang w:val="sq-AL"/>
        </w:rPr>
        <w:t xml:space="preserve"> LEK për fondin e dedikuar bonusit të fundvitit. </w:t>
      </w:r>
    </w:p>
    <w:p w14:paraId="3C331CB7" w14:textId="4243C850" w:rsidR="00653F58" w:rsidRPr="00F023A7" w:rsidRDefault="00653F58">
      <w:pPr>
        <w:numPr>
          <w:ilvl w:val="0"/>
          <w:numId w:val="38"/>
        </w:numPr>
        <w:spacing w:before="0" w:after="160" w:line="240" w:lineRule="auto"/>
        <w:contextualSpacing/>
        <w:rPr>
          <w:i/>
          <w:iCs/>
          <w:noProof/>
          <w:szCs w:val="22"/>
          <w:lang w:val="sq-AL"/>
        </w:rPr>
      </w:pPr>
      <w:r w:rsidRPr="00F023A7">
        <w:rPr>
          <w:i/>
          <w:iCs/>
          <w:noProof/>
          <w:szCs w:val="22"/>
          <w:lang w:val="sq-AL"/>
        </w:rPr>
        <w:t xml:space="preserve">AKSHI – Rreth 1.2 </w:t>
      </w:r>
      <w:r w:rsidR="0056260B" w:rsidRPr="00F023A7">
        <w:rPr>
          <w:i/>
          <w:iCs/>
          <w:noProof/>
          <w:szCs w:val="22"/>
          <w:lang w:val="sq-AL"/>
        </w:rPr>
        <w:t>miliardë</w:t>
      </w:r>
      <w:r w:rsidRPr="00F023A7">
        <w:rPr>
          <w:i/>
          <w:iCs/>
          <w:noProof/>
          <w:szCs w:val="22"/>
          <w:lang w:val="sq-AL"/>
        </w:rPr>
        <w:t xml:space="preserve"> LEK shtesë për mbulimin e shërbimeve nga Microsoft, platformave AI, mirëmbajtjes së rrjeteve IT të institucioneve, etj.</w:t>
      </w:r>
    </w:p>
    <w:p w14:paraId="45147A2D" w14:textId="535D4208" w:rsidR="00653F58" w:rsidRPr="00F023A7" w:rsidRDefault="00653F58">
      <w:pPr>
        <w:numPr>
          <w:ilvl w:val="0"/>
          <w:numId w:val="38"/>
        </w:numPr>
        <w:spacing w:before="0" w:after="160" w:line="240" w:lineRule="auto"/>
        <w:contextualSpacing/>
        <w:rPr>
          <w:i/>
          <w:iCs/>
          <w:noProof/>
          <w:szCs w:val="22"/>
          <w:lang w:val="sq-AL"/>
        </w:rPr>
      </w:pPr>
      <w:r w:rsidRPr="00F023A7">
        <w:rPr>
          <w:i/>
          <w:iCs/>
          <w:noProof/>
          <w:szCs w:val="22"/>
          <w:lang w:val="sq-AL"/>
        </w:rPr>
        <w:t xml:space="preserve">MPB – Rreth 648 </w:t>
      </w:r>
      <w:r w:rsidR="0056260B" w:rsidRPr="00F023A7">
        <w:rPr>
          <w:i/>
          <w:iCs/>
          <w:noProof/>
          <w:szCs w:val="22"/>
          <w:lang w:val="sq-AL"/>
        </w:rPr>
        <w:t>milionë</w:t>
      </w:r>
      <w:r w:rsidRPr="00F023A7">
        <w:rPr>
          <w:i/>
          <w:iCs/>
          <w:noProof/>
          <w:szCs w:val="22"/>
          <w:lang w:val="sq-AL"/>
        </w:rPr>
        <w:t xml:space="preserve"> LEK shtesë për nevoja të Policisë së Shtetit, Gardës së Republikës, Gjendjes Civile dhe Prefekturave. </w:t>
      </w:r>
    </w:p>
    <w:p w14:paraId="64F26F24" w14:textId="6F839D50"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Ministria e Arsimit – Rreth 329</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LEK shtesë, financim </w:t>
      </w:r>
      <w:r w:rsidR="00744978" w:rsidRPr="00F023A7">
        <w:rPr>
          <w:i/>
          <w:iCs/>
          <w:noProof/>
          <w:szCs w:val="22"/>
          <w:lang w:val="sq-AL"/>
        </w:rPr>
        <w:t>i</w:t>
      </w:r>
      <w:r w:rsidRPr="00F023A7">
        <w:rPr>
          <w:i/>
          <w:iCs/>
          <w:noProof/>
          <w:szCs w:val="22"/>
          <w:lang w:val="sq-AL"/>
        </w:rPr>
        <w:t xml:space="preserve"> mangësive në shp</w:t>
      </w:r>
      <w:r w:rsidR="00744978" w:rsidRPr="00F023A7">
        <w:rPr>
          <w:i/>
          <w:iCs/>
          <w:noProof/>
          <w:szCs w:val="22"/>
          <w:lang w:val="sq-AL"/>
        </w:rPr>
        <w:t>.p</w:t>
      </w:r>
      <w:r w:rsidRPr="00F023A7">
        <w:rPr>
          <w:i/>
          <w:iCs/>
          <w:noProof/>
          <w:szCs w:val="22"/>
          <w:lang w:val="sq-AL"/>
        </w:rPr>
        <w:t xml:space="preserve">ersoneli e tekste falas; </w:t>
      </w:r>
    </w:p>
    <w:p w14:paraId="39A77F43" w14:textId="50693784" w:rsidR="00653F58" w:rsidRPr="00F023A7" w:rsidRDefault="00653F58">
      <w:pPr>
        <w:numPr>
          <w:ilvl w:val="0"/>
          <w:numId w:val="38"/>
        </w:numPr>
        <w:spacing w:before="0" w:after="160" w:line="240" w:lineRule="auto"/>
        <w:contextualSpacing/>
        <w:rPr>
          <w:i/>
          <w:iCs/>
          <w:noProof/>
          <w:szCs w:val="22"/>
          <w:lang w:val="sq-AL"/>
        </w:rPr>
      </w:pPr>
      <w:r w:rsidRPr="00F023A7">
        <w:rPr>
          <w:i/>
          <w:iCs/>
          <w:noProof/>
          <w:szCs w:val="22"/>
          <w:lang w:val="sq-AL"/>
        </w:rPr>
        <w:t>MD – Rreth 152</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LEK shtesë për nevoja të Burgjeve dhe detyrime vendimesh gjyqësore.</w:t>
      </w:r>
    </w:p>
    <w:p w14:paraId="07CC1A47" w14:textId="77777777" w:rsidR="00653F58" w:rsidRPr="00F023A7" w:rsidRDefault="00653F58">
      <w:pPr>
        <w:numPr>
          <w:ilvl w:val="0"/>
          <w:numId w:val="38"/>
        </w:numPr>
        <w:spacing w:before="0" w:after="160" w:line="240" w:lineRule="auto"/>
        <w:contextualSpacing/>
        <w:rPr>
          <w:i/>
          <w:iCs/>
          <w:noProof/>
          <w:szCs w:val="22"/>
          <w:lang w:val="sq-AL"/>
        </w:rPr>
      </w:pPr>
      <w:r w:rsidRPr="00F023A7">
        <w:rPr>
          <w:i/>
          <w:iCs/>
          <w:noProof/>
          <w:szCs w:val="22"/>
          <w:lang w:val="sq-AL"/>
        </w:rPr>
        <w:t>MEI dhe MTKS – Rishpërndarja e fondeve pas riformatimit të strukturës programore të tyre, si dhe akomodimi i disa nevojave për fonde shtesë në këtë drejtim.</w:t>
      </w:r>
    </w:p>
    <w:p w14:paraId="670CBCF4" w14:textId="77777777" w:rsidR="002122A2" w:rsidRPr="002122A2" w:rsidRDefault="002122A2" w:rsidP="00BC59F2">
      <w:pPr>
        <w:tabs>
          <w:tab w:val="left" w:pos="540"/>
        </w:tabs>
        <w:spacing w:before="0" w:line="240" w:lineRule="auto"/>
        <w:contextualSpacing/>
        <w:rPr>
          <w:rFonts w:eastAsia="Calibri" w:cs="Calibri"/>
          <w:iCs/>
          <w:noProof/>
          <w:sz w:val="8"/>
          <w:szCs w:val="8"/>
          <w:lang w:val="sq-AL"/>
        </w:rPr>
      </w:pPr>
    </w:p>
    <w:p w14:paraId="68F37630" w14:textId="4BF3E7B4" w:rsidR="00BC59F2" w:rsidRPr="00BC59F2" w:rsidRDefault="00BC59F2" w:rsidP="00BC59F2">
      <w:pPr>
        <w:tabs>
          <w:tab w:val="left" w:pos="540"/>
        </w:tabs>
        <w:spacing w:before="0" w:line="240" w:lineRule="auto"/>
        <w:contextualSpacing/>
        <w:rPr>
          <w:rFonts w:eastAsia="Calibri" w:cs="Calibri"/>
          <w:iCs/>
          <w:noProof/>
          <w:szCs w:val="22"/>
          <w:lang w:val="sq-AL"/>
        </w:rPr>
      </w:pPr>
      <w:r w:rsidRPr="00BC59F2">
        <w:rPr>
          <w:rFonts w:eastAsia="Calibri" w:cs="Calibri"/>
          <w:iCs/>
          <w:noProof/>
          <w:szCs w:val="22"/>
          <w:lang w:val="sq-AL"/>
        </w:rPr>
        <w:t xml:space="preserve">Shpenzimet </w:t>
      </w:r>
      <w:r w:rsidRPr="002122A2">
        <w:rPr>
          <w:rFonts w:eastAsia="Calibri" w:cs="Calibri"/>
          <w:b/>
          <w:bCs/>
          <w:iCs/>
          <w:noProof/>
          <w:szCs w:val="22"/>
          <w:lang w:val="sq-AL"/>
        </w:rPr>
        <w:t>kapitale me</w:t>
      </w:r>
      <w:r w:rsidRPr="00744978">
        <w:rPr>
          <w:rFonts w:eastAsia="Calibri" w:cs="Calibri"/>
          <w:b/>
          <w:bCs/>
          <w:iCs/>
          <w:noProof/>
          <w:szCs w:val="22"/>
          <w:lang w:val="sq-AL"/>
        </w:rPr>
        <w:t xml:space="preserve"> financim të brendshëm</w:t>
      </w:r>
      <w:r w:rsidRPr="00BC59F2">
        <w:rPr>
          <w:rFonts w:eastAsia="Calibri" w:cs="Calibri"/>
          <w:iCs/>
          <w:noProof/>
          <w:szCs w:val="22"/>
          <w:lang w:val="sq-AL"/>
        </w:rPr>
        <w:t xml:space="preserve"> </w:t>
      </w:r>
      <w:r w:rsidR="00744978">
        <w:rPr>
          <w:rFonts w:eastAsia="Calibri" w:cs="Calibri"/>
          <w:iCs/>
          <w:noProof/>
          <w:szCs w:val="22"/>
          <w:lang w:val="sq-AL"/>
        </w:rPr>
        <w:t>u rritën</w:t>
      </w:r>
      <w:r w:rsidRPr="00BC59F2">
        <w:rPr>
          <w:rFonts w:eastAsia="Calibri" w:cs="Calibri"/>
          <w:iCs/>
          <w:noProof/>
          <w:szCs w:val="22"/>
          <w:lang w:val="sq-AL"/>
        </w:rPr>
        <w:t xml:space="preserve"> me 7.97</w:t>
      </w:r>
      <w:r w:rsidR="002122A2">
        <w:rPr>
          <w:rFonts w:eastAsia="Calibri" w:cs="Calibri"/>
          <w:iCs/>
          <w:noProof/>
          <w:szCs w:val="22"/>
          <w:lang w:val="sq-AL"/>
        </w:rPr>
        <w:t>mld</w:t>
      </w:r>
      <w:r w:rsidRPr="00BC59F2">
        <w:rPr>
          <w:rFonts w:eastAsia="Calibri" w:cs="Calibri"/>
          <w:iCs/>
          <w:noProof/>
          <w:szCs w:val="22"/>
          <w:lang w:val="sq-AL"/>
        </w:rPr>
        <w:t xml:space="preserve"> </w:t>
      </w:r>
      <w:r w:rsidR="0056260B">
        <w:rPr>
          <w:rFonts w:eastAsia="Calibri" w:cs="Calibri"/>
          <w:iCs/>
          <w:noProof/>
          <w:szCs w:val="22"/>
          <w:lang w:val="sq-AL"/>
        </w:rPr>
        <w:t>LEK</w:t>
      </w:r>
      <w:r w:rsidRPr="00BC59F2">
        <w:rPr>
          <w:rFonts w:eastAsia="Calibri" w:cs="Calibri"/>
          <w:iCs/>
          <w:noProof/>
          <w:szCs w:val="22"/>
          <w:lang w:val="sq-AL"/>
        </w:rPr>
        <w:t>, ku ndër</w:t>
      </w:r>
      <w:r w:rsidR="00744978">
        <w:rPr>
          <w:rFonts w:eastAsia="Calibri" w:cs="Calibri"/>
          <w:iCs/>
          <w:noProof/>
          <w:szCs w:val="22"/>
          <w:lang w:val="sq-AL"/>
        </w:rPr>
        <w:t xml:space="preserve"> </w:t>
      </w:r>
      <w:r w:rsidRPr="00BC59F2">
        <w:rPr>
          <w:rFonts w:eastAsia="Calibri" w:cs="Calibri"/>
          <w:iCs/>
          <w:noProof/>
          <w:szCs w:val="22"/>
          <w:lang w:val="sq-AL"/>
        </w:rPr>
        <w:t>alokimet kryesore, veçojmë:</w:t>
      </w:r>
    </w:p>
    <w:p w14:paraId="5F0A0034" w14:textId="1EB9969D"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 xml:space="preserve">MIE – Rreth 6 </w:t>
      </w:r>
      <w:r w:rsidR="0056260B" w:rsidRPr="00F023A7">
        <w:rPr>
          <w:i/>
          <w:iCs/>
          <w:noProof/>
          <w:szCs w:val="22"/>
          <w:lang w:val="sq-AL"/>
        </w:rPr>
        <w:t>miliardë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shtesë për avancimin e projekteve të ndryshme, </w:t>
      </w:r>
    </w:p>
    <w:p w14:paraId="1DB6B2E5" w14:textId="6EB9D14D"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AKSHI – Rreth 1.6</w:t>
      </w:r>
      <w:r w:rsidR="002122A2" w:rsidRPr="00F023A7">
        <w:rPr>
          <w:i/>
          <w:iCs/>
          <w:noProof/>
          <w:szCs w:val="22"/>
          <w:lang w:val="sq-AL"/>
        </w:rPr>
        <w:t xml:space="preserve"> </w:t>
      </w:r>
      <w:r w:rsidR="0056260B" w:rsidRPr="00F023A7">
        <w:rPr>
          <w:i/>
          <w:iCs/>
          <w:noProof/>
          <w:szCs w:val="22"/>
          <w:lang w:val="sq-AL"/>
        </w:rPr>
        <w:t>miliardë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shtesë për sisteme kompjuterike, në kuadër të projektit me Bankën Botërore dhe projekteve me kompaninë Oracle.</w:t>
      </w:r>
    </w:p>
    <w:p w14:paraId="04F9B32B" w14:textId="699F700E"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SHISH – Rreth 555.5</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shtesë për blerje sistemesh/softuerësh.</w:t>
      </w:r>
    </w:p>
    <w:p w14:paraId="7A5B2008" w14:textId="249AB74F"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MB – Rreth 468</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për nevojat e Policisë së Shtetit dhe Gardës së Republikës,</w:t>
      </w:r>
    </w:p>
    <w:p w14:paraId="14E8C194" w14:textId="5E770C97"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MD – Rreth 400</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shtesë për avancimin e financimit nga vitet 2026 për projektin e Institutit të të Miturve në Konflikt me Ligjin.</w:t>
      </w:r>
    </w:p>
    <w:p w14:paraId="4057092E" w14:textId="5125818D"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MBZHR – Rreth</w:t>
      </w:r>
      <w:r w:rsidR="002122A2" w:rsidRPr="00F023A7">
        <w:rPr>
          <w:i/>
          <w:iCs/>
          <w:noProof/>
          <w:szCs w:val="22"/>
          <w:lang w:val="sq-AL"/>
        </w:rPr>
        <w:t xml:space="preserve"> </w:t>
      </w:r>
      <w:r w:rsidRPr="00F023A7">
        <w:rPr>
          <w:i/>
          <w:iCs/>
          <w:noProof/>
          <w:szCs w:val="22"/>
          <w:lang w:val="sq-AL"/>
        </w:rPr>
        <w:t>300</w:t>
      </w:r>
      <w:r w:rsidR="002122A2" w:rsidRP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w:t>
      </w:r>
      <w:r w:rsidR="0056260B" w:rsidRPr="00F023A7">
        <w:rPr>
          <w:i/>
          <w:iCs/>
          <w:noProof/>
          <w:szCs w:val="22"/>
          <w:lang w:val="sq-AL"/>
        </w:rPr>
        <w:t>LEK</w:t>
      </w:r>
      <w:r w:rsidRPr="00F023A7">
        <w:rPr>
          <w:i/>
          <w:iCs/>
          <w:noProof/>
          <w:szCs w:val="22"/>
          <w:lang w:val="sq-AL"/>
        </w:rPr>
        <w:t xml:space="preserve"> shtesë për avancimin e projekteve të miratuara për bashkitë në programin Ujitja dhe Kullimi.</w:t>
      </w:r>
    </w:p>
    <w:p w14:paraId="03B96176" w14:textId="77777777" w:rsidR="00653F58" w:rsidRPr="00653F58" w:rsidRDefault="00653F58" w:rsidP="00BC59F2">
      <w:pPr>
        <w:tabs>
          <w:tab w:val="left" w:pos="540"/>
        </w:tabs>
        <w:spacing w:before="0" w:line="240" w:lineRule="auto"/>
        <w:contextualSpacing/>
        <w:rPr>
          <w:rFonts w:eastAsia="Calibri" w:cs="Calibri"/>
          <w:iCs/>
          <w:noProof/>
          <w:sz w:val="8"/>
          <w:szCs w:val="8"/>
          <w:lang w:val="sq-AL"/>
        </w:rPr>
      </w:pPr>
    </w:p>
    <w:p w14:paraId="261FA531" w14:textId="7A53FF59" w:rsidR="00BC59F2" w:rsidRPr="00BC59F2" w:rsidRDefault="00BC59F2" w:rsidP="00BC59F2">
      <w:pPr>
        <w:tabs>
          <w:tab w:val="left" w:pos="540"/>
        </w:tabs>
        <w:spacing w:before="0" w:line="240" w:lineRule="auto"/>
        <w:contextualSpacing/>
        <w:rPr>
          <w:noProof/>
          <w:szCs w:val="22"/>
          <w:lang w:val="sq-AL"/>
        </w:rPr>
      </w:pPr>
      <w:r w:rsidRPr="00BC59F2">
        <w:rPr>
          <w:rFonts w:eastAsia="Calibri" w:cs="Calibri"/>
          <w:iCs/>
          <w:noProof/>
          <w:szCs w:val="22"/>
          <w:lang w:val="sq-AL"/>
        </w:rPr>
        <w:t xml:space="preserve">Shpenzimet </w:t>
      </w:r>
      <w:r w:rsidRPr="002122A2">
        <w:rPr>
          <w:rFonts w:eastAsia="Calibri" w:cs="Calibri"/>
          <w:b/>
          <w:bCs/>
          <w:iCs/>
          <w:noProof/>
          <w:szCs w:val="22"/>
          <w:lang w:val="sq-AL"/>
        </w:rPr>
        <w:t>kapitale m</w:t>
      </w:r>
      <w:r w:rsidRPr="00744978">
        <w:rPr>
          <w:rFonts w:eastAsia="Calibri" w:cs="Calibri"/>
          <w:b/>
          <w:bCs/>
          <w:iCs/>
          <w:noProof/>
          <w:szCs w:val="22"/>
          <w:lang w:val="sq-AL"/>
        </w:rPr>
        <w:t>e financim të huaj</w:t>
      </w:r>
      <w:r w:rsidRPr="00BC59F2">
        <w:rPr>
          <w:rFonts w:eastAsia="Calibri" w:cs="Calibri"/>
          <w:iCs/>
          <w:noProof/>
          <w:szCs w:val="22"/>
          <w:lang w:val="sq-AL"/>
        </w:rPr>
        <w:t xml:space="preserve"> </w:t>
      </w:r>
      <w:r w:rsidR="00744978">
        <w:rPr>
          <w:rFonts w:eastAsia="Calibri" w:cs="Calibri"/>
          <w:iCs/>
          <w:noProof/>
          <w:szCs w:val="22"/>
          <w:lang w:val="sq-AL"/>
        </w:rPr>
        <w:t xml:space="preserve">u </w:t>
      </w:r>
      <w:r w:rsidRPr="00BC59F2">
        <w:rPr>
          <w:rFonts w:eastAsia="Calibri" w:cs="Calibri"/>
          <w:iCs/>
          <w:noProof/>
          <w:szCs w:val="22"/>
          <w:lang w:val="sq-AL"/>
        </w:rPr>
        <w:t>ul</w:t>
      </w:r>
      <w:r w:rsidR="00744978">
        <w:rPr>
          <w:rFonts w:eastAsia="Calibri" w:cs="Calibri"/>
          <w:iCs/>
          <w:noProof/>
          <w:szCs w:val="22"/>
          <w:lang w:val="sq-AL"/>
        </w:rPr>
        <w:t>ë</w:t>
      </w:r>
      <w:r w:rsidRPr="00BC59F2">
        <w:rPr>
          <w:rFonts w:eastAsia="Calibri" w:cs="Calibri"/>
          <w:iCs/>
          <w:noProof/>
          <w:szCs w:val="22"/>
          <w:lang w:val="sq-AL"/>
        </w:rPr>
        <w:t>n me 2</w:t>
      </w:r>
      <w:r w:rsidR="002122A2">
        <w:rPr>
          <w:rFonts w:eastAsia="Calibri" w:cs="Calibri"/>
          <w:iCs/>
          <w:noProof/>
          <w:szCs w:val="22"/>
          <w:lang w:val="sq-AL"/>
        </w:rPr>
        <w:t xml:space="preserve"> </w:t>
      </w:r>
      <w:r w:rsidR="0056260B">
        <w:rPr>
          <w:rFonts w:eastAsia="Calibri" w:cs="Calibri"/>
          <w:iCs/>
          <w:noProof/>
          <w:szCs w:val="22"/>
          <w:lang w:val="sq-AL"/>
        </w:rPr>
        <w:t>miliardë</w:t>
      </w:r>
      <w:r w:rsidRPr="00BC59F2">
        <w:rPr>
          <w:rFonts w:eastAsia="Calibri" w:cs="Calibri"/>
          <w:iCs/>
          <w:noProof/>
          <w:szCs w:val="22"/>
          <w:lang w:val="sq-AL"/>
        </w:rPr>
        <w:t xml:space="preserve"> </w:t>
      </w:r>
      <w:r w:rsidR="0056260B">
        <w:rPr>
          <w:rFonts w:eastAsia="Calibri" w:cs="Calibri"/>
          <w:iCs/>
          <w:noProof/>
          <w:szCs w:val="22"/>
          <w:lang w:val="sq-AL"/>
        </w:rPr>
        <w:t>LEK</w:t>
      </w:r>
      <w:r w:rsidRPr="00BC59F2">
        <w:rPr>
          <w:rFonts w:eastAsia="Calibri" w:cs="Calibri"/>
          <w:iCs/>
          <w:noProof/>
          <w:szCs w:val="22"/>
          <w:lang w:val="sq-AL"/>
        </w:rPr>
        <w:t>, nga të cilat 1</w:t>
      </w:r>
      <w:r w:rsidR="00F023A7">
        <w:rPr>
          <w:rFonts w:eastAsia="Calibri" w:cs="Calibri"/>
          <w:iCs/>
          <w:noProof/>
          <w:szCs w:val="22"/>
          <w:lang w:val="sq-AL"/>
        </w:rPr>
        <w:t xml:space="preserve"> </w:t>
      </w:r>
      <w:r w:rsidR="0056260B">
        <w:rPr>
          <w:rFonts w:eastAsia="Calibri" w:cs="Calibri"/>
          <w:iCs/>
          <w:noProof/>
          <w:szCs w:val="22"/>
          <w:lang w:val="sq-AL"/>
        </w:rPr>
        <w:t>miliardë</w:t>
      </w:r>
      <w:r w:rsidRPr="00BC59F2">
        <w:rPr>
          <w:rFonts w:eastAsia="Calibri" w:cs="Calibri"/>
          <w:iCs/>
          <w:noProof/>
          <w:szCs w:val="22"/>
          <w:lang w:val="sq-AL"/>
        </w:rPr>
        <w:t xml:space="preserve"> LEK nga reduktimi i fondeve për “Growth Plan” meqenëse nuk </w:t>
      </w:r>
      <w:r w:rsidR="00744978">
        <w:rPr>
          <w:rFonts w:eastAsia="Calibri" w:cs="Calibri"/>
          <w:iCs/>
          <w:noProof/>
          <w:szCs w:val="22"/>
          <w:lang w:val="sq-AL"/>
        </w:rPr>
        <w:t>ishte</w:t>
      </w:r>
      <w:r w:rsidRPr="00BC59F2">
        <w:rPr>
          <w:rFonts w:eastAsia="Calibri" w:cs="Calibri"/>
          <w:iCs/>
          <w:noProof/>
          <w:szCs w:val="22"/>
          <w:lang w:val="sq-AL"/>
        </w:rPr>
        <w:t xml:space="preserve"> finalizuar detajimi i projekteve me BE. </w:t>
      </w:r>
    </w:p>
    <w:p w14:paraId="358E0E30" w14:textId="77777777" w:rsidR="00744978" w:rsidRPr="00F023A7" w:rsidRDefault="00744978" w:rsidP="00BC59F2">
      <w:pPr>
        <w:tabs>
          <w:tab w:val="left" w:pos="540"/>
        </w:tabs>
        <w:spacing w:before="0" w:line="240" w:lineRule="auto"/>
        <w:contextualSpacing/>
        <w:rPr>
          <w:rFonts w:eastAsia="Calibri" w:cs="Calibri"/>
          <w:iCs/>
          <w:noProof/>
          <w:sz w:val="12"/>
          <w:szCs w:val="12"/>
          <w:lang w:val="sq-AL"/>
        </w:rPr>
      </w:pPr>
    </w:p>
    <w:p w14:paraId="271104BF" w14:textId="348AE5C7" w:rsidR="00BC59F2" w:rsidRPr="00BC59F2" w:rsidRDefault="00BC59F2" w:rsidP="00BC59F2">
      <w:pPr>
        <w:tabs>
          <w:tab w:val="left" w:pos="540"/>
        </w:tabs>
        <w:spacing w:before="0" w:line="240" w:lineRule="auto"/>
        <w:contextualSpacing/>
        <w:rPr>
          <w:rFonts w:cs="Calibri"/>
          <w:noProof/>
          <w:szCs w:val="22"/>
          <w:lang w:val="sq-AL"/>
        </w:rPr>
      </w:pPr>
      <w:r w:rsidRPr="00BC59F2">
        <w:rPr>
          <w:rFonts w:cs="Calibri"/>
          <w:noProof/>
          <w:szCs w:val="22"/>
          <w:lang w:val="sq-AL"/>
        </w:rPr>
        <w:t xml:space="preserve">Sa i takon buxhetit të </w:t>
      </w:r>
      <w:r w:rsidRPr="00744978">
        <w:rPr>
          <w:rFonts w:cs="Calibri"/>
          <w:b/>
          <w:bCs/>
          <w:noProof/>
          <w:szCs w:val="22"/>
          <w:lang w:val="sq-AL"/>
        </w:rPr>
        <w:t>Njësive të Vetëqeverisjes Vendore</w:t>
      </w:r>
      <w:r w:rsidRPr="00BC59F2">
        <w:rPr>
          <w:rFonts w:cs="Calibri"/>
          <w:noProof/>
          <w:szCs w:val="22"/>
          <w:lang w:val="sq-AL"/>
        </w:rPr>
        <w:t>, ky rishikim materializo</w:t>
      </w:r>
      <w:r w:rsidR="00744978">
        <w:rPr>
          <w:rFonts w:cs="Calibri"/>
          <w:noProof/>
          <w:szCs w:val="22"/>
          <w:lang w:val="sq-AL"/>
        </w:rPr>
        <w:t>i</w:t>
      </w:r>
      <w:r w:rsidRPr="00BC59F2">
        <w:rPr>
          <w:rFonts w:cs="Calibri"/>
          <w:noProof/>
          <w:szCs w:val="22"/>
          <w:lang w:val="sq-AL"/>
        </w:rPr>
        <w:t>:</w:t>
      </w:r>
    </w:p>
    <w:p w14:paraId="52EFD2DA" w14:textId="3CF1A394"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 xml:space="preserve">Rritjen me 200 </w:t>
      </w:r>
      <w:r w:rsidR="0056260B" w:rsidRPr="00F023A7">
        <w:rPr>
          <w:i/>
          <w:iCs/>
          <w:noProof/>
          <w:szCs w:val="22"/>
          <w:lang w:val="sq-AL"/>
        </w:rPr>
        <w:t>milionë</w:t>
      </w:r>
      <w:r w:rsidRPr="00F023A7">
        <w:rPr>
          <w:i/>
          <w:iCs/>
          <w:noProof/>
          <w:szCs w:val="22"/>
          <w:lang w:val="sq-AL"/>
        </w:rPr>
        <w:t xml:space="preserve"> LEK të pjesës së taksave të ndara që i transferohen buxhetit vendor.</w:t>
      </w:r>
    </w:p>
    <w:p w14:paraId="5578C944" w14:textId="05A7159B"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 xml:space="preserve">Rritjen me 154.6 </w:t>
      </w:r>
      <w:r w:rsidR="0056260B" w:rsidRPr="00F023A7">
        <w:rPr>
          <w:i/>
          <w:iCs/>
          <w:noProof/>
          <w:szCs w:val="22"/>
          <w:lang w:val="sq-AL"/>
        </w:rPr>
        <w:t>milionë</w:t>
      </w:r>
      <w:r w:rsidRPr="00F023A7">
        <w:rPr>
          <w:i/>
          <w:iCs/>
          <w:noProof/>
          <w:szCs w:val="22"/>
          <w:lang w:val="sq-AL"/>
        </w:rPr>
        <w:t xml:space="preserve"> LEK të transfertës së pakushtëzuar sektoriale për funksionin e Mbrojtjes nga Zjarri dhe Shpëtimi.</w:t>
      </w:r>
    </w:p>
    <w:p w14:paraId="15CE07E7" w14:textId="672E61F3"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Rritjen me 75</w:t>
      </w:r>
      <w:r w:rsid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LEK si transfertë e pakushtëzuar e përgjithshme për disa NJVQV që nuk kanë realizuar mjaftueshëm nivelin e të ardhurave.</w:t>
      </w:r>
    </w:p>
    <w:p w14:paraId="1C11E65D" w14:textId="326CB629"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Rritjen me 44</w:t>
      </w:r>
      <w:r w:rsid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LEK si transfertë e pakushtëzuar sektoriale për funksionet: i) arsim parashkollor dhe ii) mbrojtja nga zjarri dhe shpëtimi. Këto fonde shtohen për disa bashki, në funksion të plotësimit të standarteve kombëtare për këto shërbime.</w:t>
      </w:r>
    </w:p>
    <w:p w14:paraId="75BF2F29" w14:textId="6DF917D7" w:rsidR="00BC59F2" w:rsidRPr="00F023A7" w:rsidRDefault="00BC59F2">
      <w:pPr>
        <w:numPr>
          <w:ilvl w:val="0"/>
          <w:numId w:val="38"/>
        </w:numPr>
        <w:spacing w:before="0" w:after="160" w:line="240" w:lineRule="auto"/>
        <w:contextualSpacing/>
        <w:rPr>
          <w:i/>
          <w:iCs/>
          <w:noProof/>
          <w:szCs w:val="22"/>
          <w:lang w:val="sq-AL"/>
        </w:rPr>
      </w:pPr>
      <w:r w:rsidRPr="00F023A7">
        <w:rPr>
          <w:i/>
          <w:iCs/>
          <w:noProof/>
          <w:szCs w:val="22"/>
          <w:lang w:val="sq-AL"/>
        </w:rPr>
        <w:t>Pakësimin në masën 473.6</w:t>
      </w:r>
      <w:r w:rsidR="00F023A7">
        <w:rPr>
          <w:i/>
          <w:iCs/>
          <w:noProof/>
          <w:szCs w:val="22"/>
          <w:lang w:val="sq-AL"/>
        </w:rPr>
        <w:t xml:space="preserve"> </w:t>
      </w:r>
      <w:r w:rsidR="0056260B" w:rsidRPr="00F023A7">
        <w:rPr>
          <w:i/>
          <w:iCs/>
          <w:noProof/>
          <w:szCs w:val="22"/>
          <w:lang w:val="sq-AL"/>
        </w:rPr>
        <w:t>milionë</w:t>
      </w:r>
      <w:r w:rsidRPr="00F023A7">
        <w:rPr>
          <w:i/>
          <w:iCs/>
          <w:noProof/>
          <w:szCs w:val="22"/>
          <w:lang w:val="sq-AL"/>
        </w:rPr>
        <w:t xml:space="preserve"> LEK të financimit të huaj vendor</w:t>
      </w:r>
      <w:r w:rsidR="00F023A7">
        <w:rPr>
          <w:i/>
          <w:iCs/>
          <w:noProof/>
          <w:szCs w:val="22"/>
          <w:lang w:val="sq-AL"/>
        </w:rPr>
        <w:t>,</w:t>
      </w:r>
      <w:r w:rsidRPr="00F023A7">
        <w:rPr>
          <w:i/>
          <w:iCs/>
          <w:noProof/>
          <w:szCs w:val="22"/>
          <w:lang w:val="sq-AL"/>
        </w:rPr>
        <w:t xml:space="preserve"> për shkak të mos realizimit të plotë deri në këtë periudhë. </w:t>
      </w:r>
    </w:p>
    <w:p w14:paraId="49E43D9A" w14:textId="77777777" w:rsidR="000A275E" w:rsidRPr="00BC59F2" w:rsidRDefault="000A275E" w:rsidP="000A275E">
      <w:pPr>
        <w:spacing w:before="0" w:after="160" w:line="240" w:lineRule="auto"/>
        <w:ind w:left="1080"/>
        <w:contextualSpacing/>
        <w:jc w:val="left"/>
        <w:rPr>
          <w:rFonts w:cs="Calibri"/>
          <w:i/>
          <w:iCs/>
          <w:noProof/>
          <w:sz w:val="20"/>
          <w:szCs w:val="20"/>
          <w:lang w:val="sq-AL"/>
        </w:rPr>
      </w:pPr>
    </w:p>
    <w:p w14:paraId="1DB79D37" w14:textId="77777777" w:rsidR="00653F58" w:rsidRDefault="00653F58" w:rsidP="00BC59F2">
      <w:pPr>
        <w:spacing w:line="240" w:lineRule="auto"/>
        <w:ind w:left="990"/>
        <w:contextualSpacing/>
        <w:rPr>
          <w:rFonts w:cs="Calibri"/>
          <w:noProof/>
          <w:sz w:val="20"/>
          <w:szCs w:val="20"/>
          <w:lang w:val="sq-AL"/>
        </w:rPr>
      </w:pPr>
    </w:p>
    <w:p w14:paraId="16DD91CC" w14:textId="77777777" w:rsidR="00653F58" w:rsidRPr="00BC59F2" w:rsidRDefault="00653F58" w:rsidP="00BC59F2">
      <w:pPr>
        <w:spacing w:line="240" w:lineRule="auto"/>
        <w:ind w:left="990"/>
        <w:contextualSpacing/>
        <w:rPr>
          <w:rFonts w:cs="Calibri"/>
          <w:noProof/>
          <w:sz w:val="20"/>
          <w:szCs w:val="20"/>
          <w:lang w:val="sq-AL"/>
        </w:rPr>
      </w:pPr>
    </w:p>
    <w:p w14:paraId="709A1CB0" w14:textId="77777777" w:rsidR="00BC59F2" w:rsidRPr="00BC59F2" w:rsidRDefault="00BC59F2">
      <w:pPr>
        <w:numPr>
          <w:ilvl w:val="0"/>
          <w:numId w:val="32"/>
        </w:numPr>
        <w:spacing w:before="0" w:after="160" w:line="240" w:lineRule="auto"/>
        <w:ind w:left="450"/>
        <w:contextualSpacing/>
        <w:jc w:val="left"/>
        <w:rPr>
          <w:rFonts w:cs="Calibri"/>
          <w:i/>
          <w:iCs/>
          <w:noProof/>
          <w:szCs w:val="22"/>
          <w:lang w:val="sq-AL"/>
        </w:rPr>
      </w:pPr>
      <w:r w:rsidRPr="00BC59F2">
        <w:rPr>
          <w:rFonts w:cs="Calibri"/>
          <w:b/>
          <w:bCs/>
          <w:noProof/>
          <w:szCs w:val="22"/>
          <w:lang w:val="sq-AL"/>
        </w:rPr>
        <w:t xml:space="preserve">Akti Normativ nr.11 datë 19.12.2025 </w:t>
      </w:r>
      <w:r w:rsidRPr="00BC59F2">
        <w:rPr>
          <w:rFonts w:cs="Calibri"/>
          <w:noProof/>
          <w:szCs w:val="22"/>
          <w:lang w:val="sq-AL"/>
        </w:rPr>
        <w:t>“</w:t>
      </w:r>
      <w:r w:rsidRPr="00BC59F2">
        <w:rPr>
          <w:rFonts w:cs="Calibri"/>
          <w:i/>
          <w:iCs/>
          <w:noProof/>
          <w:szCs w:val="22"/>
          <w:lang w:val="sq-AL"/>
        </w:rPr>
        <w:t>Për disa ndryshime dhe shtesa në Ligjin nr.115/2024 “Për buxhetin e vitit  2025, të ndryshuar”.</w:t>
      </w:r>
    </w:p>
    <w:p w14:paraId="634B83F9" w14:textId="77777777" w:rsidR="00BC59F2" w:rsidRPr="00BC59F2" w:rsidRDefault="00BC59F2" w:rsidP="00BC59F2">
      <w:pPr>
        <w:spacing w:line="240" w:lineRule="auto"/>
        <w:ind w:left="90"/>
        <w:rPr>
          <w:rFonts w:cs="Calibri"/>
          <w:noProof/>
          <w:szCs w:val="22"/>
          <w:lang w:val="sq-AL"/>
        </w:rPr>
      </w:pPr>
      <w:bookmarkStart w:id="140" w:name="_Hlk227833398"/>
      <w:r w:rsidRPr="00BC59F2">
        <w:rPr>
          <w:rFonts w:cs="Calibri"/>
          <w:noProof/>
          <w:szCs w:val="22"/>
          <w:lang w:val="sq-AL"/>
        </w:rPr>
        <w:t>Pas vlerësimit 11 mujor dhe pritshmërive në nivel vjetor të treguesve fiskalë, Qeveria përgatiti skenarin e rishikimit të fundit të buxhetit 2025, i cili synon:</w:t>
      </w:r>
    </w:p>
    <w:p w14:paraId="6312C0FF" w14:textId="77777777" w:rsidR="00BC59F2" w:rsidRPr="00653F58" w:rsidRDefault="00BC59F2">
      <w:pPr>
        <w:numPr>
          <w:ilvl w:val="0"/>
          <w:numId w:val="39"/>
        </w:numPr>
        <w:tabs>
          <w:tab w:val="left" w:pos="426"/>
        </w:tabs>
        <w:spacing w:before="0" w:after="160" w:line="240" w:lineRule="auto"/>
        <w:contextualSpacing/>
        <w:jc w:val="left"/>
        <w:rPr>
          <w:rFonts w:eastAsia="Calibri" w:cs="Calibri"/>
          <w:i/>
          <w:noProof/>
          <w:szCs w:val="22"/>
          <w:lang w:val="sq-AL"/>
        </w:rPr>
      </w:pPr>
      <w:r w:rsidRPr="00653F58">
        <w:rPr>
          <w:rFonts w:eastAsia="Calibri" w:cs="Calibri"/>
          <w:i/>
          <w:noProof/>
          <w:szCs w:val="22"/>
          <w:lang w:val="sq-AL"/>
        </w:rPr>
        <w:t>Mbajtjen të pandryshuar të të ardhurave buxhetore në nivel total.</w:t>
      </w:r>
    </w:p>
    <w:p w14:paraId="6182D2CC" w14:textId="3EB98BEC" w:rsidR="00BC59F2" w:rsidRPr="00653F58" w:rsidRDefault="00BC59F2">
      <w:pPr>
        <w:numPr>
          <w:ilvl w:val="0"/>
          <w:numId w:val="39"/>
        </w:numPr>
        <w:tabs>
          <w:tab w:val="left" w:pos="426"/>
        </w:tabs>
        <w:spacing w:before="0" w:after="160" w:line="240" w:lineRule="auto"/>
        <w:contextualSpacing/>
        <w:jc w:val="left"/>
        <w:rPr>
          <w:rFonts w:cs="Calibri"/>
          <w:i/>
          <w:noProof/>
          <w:szCs w:val="22"/>
          <w:lang w:val="sq-AL"/>
        </w:rPr>
      </w:pPr>
      <w:r w:rsidRPr="00653F58">
        <w:rPr>
          <w:rFonts w:eastAsia="Calibri" w:cs="Calibri"/>
          <w:i/>
          <w:noProof/>
          <w:szCs w:val="22"/>
          <w:lang w:val="sq-AL"/>
        </w:rPr>
        <w:t>Rishpërndarjen me efekt neutral në defiçit të rreth 30</w:t>
      </w:r>
      <w:r w:rsidRPr="00653F58">
        <w:rPr>
          <w:rFonts w:eastAsia="Calibri" w:cs="Calibri"/>
          <w:bCs/>
          <w:i/>
          <w:noProof/>
          <w:szCs w:val="22"/>
          <w:lang w:val="sq-AL"/>
        </w:rPr>
        <w:t xml:space="preserve"> </w:t>
      </w:r>
      <w:r w:rsidR="0056260B">
        <w:rPr>
          <w:rFonts w:eastAsia="Calibri" w:cs="Calibri"/>
          <w:bCs/>
          <w:i/>
          <w:noProof/>
          <w:szCs w:val="22"/>
          <w:lang w:val="sq-AL"/>
        </w:rPr>
        <w:t>miliardë</w:t>
      </w:r>
      <w:r w:rsidRPr="00653F58">
        <w:rPr>
          <w:rFonts w:eastAsia="Calibri" w:cs="Calibri"/>
          <w:bCs/>
          <w:i/>
          <w:noProof/>
          <w:szCs w:val="22"/>
          <w:lang w:val="sq-AL"/>
        </w:rPr>
        <w:t xml:space="preserve"> </w:t>
      </w:r>
      <w:r w:rsidR="0056260B">
        <w:rPr>
          <w:rFonts w:eastAsia="Calibri" w:cs="Calibri"/>
          <w:bCs/>
          <w:i/>
          <w:noProof/>
          <w:szCs w:val="22"/>
          <w:lang w:val="sq-AL"/>
        </w:rPr>
        <w:t>LEK</w:t>
      </w:r>
      <w:r w:rsidRPr="00653F58">
        <w:rPr>
          <w:rFonts w:eastAsia="Calibri" w:cs="Calibri"/>
          <w:i/>
          <w:noProof/>
          <w:szCs w:val="22"/>
          <w:lang w:val="sq-AL"/>
        </w:rPr>
        <w:t xml:space="preserve"> kursimeve të evidentuara në nivel 11M, mes zërave të shpenzimeve buxhetore korente e kapitale, me synimin e realizimit sa më të plotë të shpenzimeve publike në nivel vjetor.</w:t>
      </w:r>
    </w:p>
    <w:p w14:paraId="72DDC5FB" w14:textId="13AAFC40" w:rsidR="00BC59F2" w:rsidRPr="00653F58" w:rsidRDefault="00BC59F2">
      <w:pPr>
        <w:numPr>
          <w:ilvl w:val="0"/>
          <w:numId w:val="39"/>
        </w:numPr>
        <w:tabs>
          <w:tab w:val="left" w:pos="426"/>
        </w:tabs>
        <w:spacing w:before="0" w:after="160" w:line="240" w:lineRule="auto"/>
        <w:contextualSpacing/>
        <w:jc w:val="left"/>
        <w:rPr>
          <w:rFonts w:cs="Calibri"/>
          <w:i/>
          <w:noProof/>
          <w:szCs w:val="22"/>
          <w:lang w:val="sq-AL"/>
        </w:rPr>
      </w:pPr>
      <w:r w:rsidRPr="00653F58">
        <w:rPr>
          <w:rFonts w:eastAsia="Calibri" w:cs="Calibri"/>
          <w:i/>
          <w:noProof/>
          <w:szCs w:val="22"/>
          <w:lang w:val="sq-AL"/>
        </w:rPr>
        <w:t>Ruajtjen të pandryshuar të defiçitit buxhetor 2025, në nivelin e planifikuar 61.64</w:t>
      </w:r>
      <w:r w:rsidR="0056260B">
        <w:rPr>
          <w:rFonts w:eastAsia="Calibri" w:cs="Calibri"/>
          <w:i/>
          <w:noProof/>
          <w:szCs w:val="22"/>
          <w:lang w:val="sq-AL"/>
        </w:rPr>
        <w:t>miliardë</w:t>
      </w:r>
      <w:r w:rsidRPr="00653F58">
        <w:rPr>
          <w:rFonts w:eastAsia="Calibri" w:cs="Calibri"/>
          <w:i/>
          <w:noProof/>
          <w:szCs w:val="22"/>
          <w:lang w:val="sq-AL"/>
        </w:rPr>
        <w:t xml:space="preserve"> </w:t>
      </w:r>
      <w:r w:rsidR="0056260B">
        <w:rPr>
          <w:rFonts w:eastAsia="Calibri" w:cs="Calibri"/>
          <w:i/>
          <w:noProof/>
          <w:szCs w:val="22"/>
          <w:lang w:val="sq-AL"/>
        </w:rPr>
        <w:t>LEK</w:t>
      </w:r>
      <w:r w:rsidRPr="00653F58">
        <w:rPr>
          <w:rFonts w:eastAsia="Calibri" w:cs="Calibri"/>
          <w:i/>
          <w:noProof/>
          <w:szCs w:val="22"/>
          <w:lang w:val="sq-AL"/>
        </w:rPr>
        <w:t>.</w:t>
      </w:r>
    </w:p>
    <w:bookmarkEnd w:id="140"/>
    <w:p w14:paraId="0EB80C1B" w14:textId="77777777" w:rsidR="00653F58" w:rsidRPr="00653F58" w:rsidRDefault="00653F58" w:rsidP="00653F58">
      <w:pPr>
        <w:tabs>
          <w:tab w:val="left" w:pos="426"/>
        </w:tabs>
        <w:spacing w:line="240" w:lineRule="auto"/>
        <w:rPr>
          <w:rFonts w:eastAsia="Calibri" w:cs="Calibri"/>
          <w:iCs/>
          <w:noProof/>
          <w:sz w:val="2"/>
          <w:szCs w:val="2"/>
          <w:lang w:val="sq-AL"/>
        </w:rPr>
      </w:pPr>
    </w:p>
    <w:p w14:paraId="63665444" w14:textId="15BD000F" w:rsidR="00BC59F2" w:rsidRPr="00653F58" w:rsidRDefault="00BC59F2" w:rsidP="00653F58">
      <w:pPr>
        <w:tabs>
          <w:tab w:val="left" w:pos="426"/>
        </w:tabs>
        <w:spacing w:line="240" w:lineRule="auto"/>
        <w:rPr>
          <w:rFonts w:cs="Calibri"/>
          <w:iCs/>
          <w:noProof/>
          <w:szCs w:val="22"/>
          <w:lang w:val="sq-AL"/>
        </w:rPr>
      </w:pPr>
      <w:r w:rsidRPr="00BC59F2">
        <w:rPr>
          <w:rFonts w:eastAsia="Calibri" w:cs="Calibri"/>
          <w:iCs/>
          <w:noProof/>
          <w:szCs w:val="22"/>
          <w:lang w:val="sq-AL"/>
        </w:rPr>
        <w:t>Me këtë Akt Normativ</w:t>
      </w:r>
      <w:r w:rsidR="00653F58">
        <w:rPr>
          <w:rFonts w:eastAsia="Calibri" w:cs="Calibri"/>
          <w:iCs/>
          <w:noProof/>
          <w:szCs w:val="22"/>
          <w:lang w:val="sq-AL"/>
        </w:rPr>
        <w:t>, s</w:t>
      </w:r>
      <w:r w:rsidRPr="00BC59F2">
        <w:rPr>
          <w:rFonts w:eastAsia="Calibri" w:cs="Calibri"/>
          <w:bCs/>
          <w:noProof/>
          <w:szCs w:val="22"/>
          <w:lang w:val="sq-AL"/>
        </w:rPr>
        <w:t>hpenzimet e përgjithshme nuk pës</w:t>
      </w:r>
      <w:r w:rsidR="00653F58">
        <w:rPr>
          <w:rFonts w:eastAsia="Calibri" w:cs="Calibri"/>
          <w:bCs/>
          <w:noProof/>
          <w:szCs w:val="22"/>
          <w:lang w:val="sq-AL"/>
        </w:rPr>
        <w:t>uan</w:t>
      </w:r>
      <w:r w:rsidRPr="00BC59F2">
        <w:rPr>
          <w:rFonts w:eastAsia="Calibri" w:cs="Calibri"/>
          <w:bCs/>
          <w:noProof/>
          <w:szCs w:val="22"/>
          <w:lang w:val="sq-AL"/>
        </w:rPr>
        <w:t xml:space="preserve"> ndryshime të nivelit total të p</w:t>
      </w:r>
      <w:r w:rsidRPr="00BC59F2">
        <w:rPr>
          <w:rFonts w:eastAsia="Calibri" w:cs="Calibri"/>
          <w:noProof/>
          <w:szCs w:val="22"/>
          <w:lang w:val="sq-AL"/>
        </w:rPr>
        <w:t xml:space="preserve">lanifikuar të tyre, duke reflektuar vetëm rialokime mes zërave me efekt neutral, të cilat konsistojnë në këto drejtime kryesore: </w:t>
      </w:r>
    </w:p>
    <w:p w14:paraId="06D0DD0D" w14:textId="77777777" w:rsidR="00653F58" w:rsidRPr="00653F58" w:rsidRDefault="00653F58" w:rsidP="00653F58">
      <w:pPr>
        <w:tabs>
          <w:tab w:val="left" w:pos="540"/>
        </w:tabs>
        <w:spacing w:before="0" w:line="240" w:lineRule="auto"/>
        <w:contextualSpacing/>
        <w:rPr>
          <w:rFonts w:eastAsia="Calibri" w:cs="Calibri"/>
          <w:iCs/>
          <w:noProof/>
          <w:sz w:val="8"/>
          <w:szCs w:val="8"/>
          <w:lang w:val="sq-AL"/>
        </w:rPr>
      </w:pPr>
    </w:p>
    <w:p w14:paraId="18139312" w14:textId="77777777" w:rsidR="00F023A7" w:rsidRDefault="00F023A7" w:rsidP="00653F58">
      <w:pPr>
        <w:tabs>
          <w:tab w:val="left" w:pos="540"/>
        </w:tabs>
        <w:spacing w:before="0" w:line="240" w:lineRule="auto"/>
        <w:contextualSpacing/>
        <w:rPr>
          <w:rFonts w:eastAsia="Calibri" w:cs="Calibri"/>
          <w:iCs/>
          <w:noProof/>
          <w:szCs w:val="22"/>
          <w:lang w:val="sq-AL"/>
        </w:rPr>
      </w:pPr>
    </w:p>
    <w:p w14:paraId="41B4785B" w14:textId="77777777" w:rsidR="00F023A7" w:rsidRDefault="00F023A7" w:rsidP="00653F58">
      <w:pPr>
        <w:tabs>
          <w:tab w:val="left" w:pos="540"/>
        </w:tabs>
        <w:spacing w:before="0" w:line="240" w:lineRule="auto"/>
        <w:contextualSpacing/>
        <w:rPr>
          <w:rFonts w:eastAsia="Calibri" w:cs="Calibri"/>
          <w:iCs/>
          <w:noProof/>
          <w:szCs w:val="22"/>
          <w:lang w:val="sq-AL"/>
        </w:rPr>
      </w:pPr>
    </w:p>
    <w:p w14:paraId="3EB9DF21" w14:textId="77777777" w:rsidR="00F023A7" w:rsidRDefault="00F023A7" w:rsidP="00653F58">
      <w:pPr>
        <w:tabs>
          <w:tab w:val="left" w:pos="540"/>
        </w:tabs>
        <w:spacing w:before="0" w:line="240" w:lineRule="auto"/>
        <w:contextualSpacing/>
        <w:rPr>
          <w:rFonts w:eastAsia="Calibri" w:cs="Calibri"/>
          <w:iCs/>
          <w:noProof/>
          <w:szCs w:val="22"/>
          <w:lang w:val="sq-AL"/>
        </w:rPr>
      </w:pPr>
    </w:p>
    <w:p w14:paraId="67BBACBC" w14:textId="437A1D11" w:rsidR="00BC59F2" w:rsidRPr="00BC59F2" w:rsidRDefault="00BC59F2" w:rsidP="00653F58">
      <w:pPr>
        <w:tabs>
          <w:tab w:val="left" w:pos="540"/>
        </w:tabs>
        <w:spacing w:before="0" w:line="240" w:lineRule="auto"/>
        <w:contextualSpacing/>
        <w:rPr>
          <w:rFonts w:eastAsia="Calibri" w:cs="Calibri"/>
          <w:iCs/>
          <w:noProof/>
          <w:sz w:val="20"/>
          <w:szCs w:val="20"/>
          <w:lang w:val="sq-AL"/>
        </w:rPr>
      </w:pPr>
      <w:r w:rsidRPr="00BC59F2">
        <w:rPr>
          <w:rFonts w:eastAsia="Calibri" w:cs="Calibri"/>
          <w:iCs/>
          <w:noProof/>
          <w:szCs w:val="22"/>
          <w:lang w:val="sq-AL"/>
        </w:rPr>
        <w:lastRenderedPageBreak/>
        <w:t xml:space="preserve">Shpenzimet </w:t>
      </w:r>
      <w:r w:rsidRPr="00653F58">
        <w:rPr>
          <w:rFonts w:eastAsia="Calibri" w:cs="Calibri"/>
          <w:b/>
          <w:bCs/>
          <w:iCs/>
          <w:noProof/>
          <w:szCs w:val="22"/>
          <w:lang w:val="sq-AL"/>
        </w:rPr>
        <w:t>korente</w:t>
      </w:r>
      <w:r w:rsidRPr="00BC59F2">
        <w:rPr>
          <w:rFonts w:eastAsia="Calibri" w:cs="Calibri"/>
          <w:iCs/>
          <w:noProof/>
          <w:szCs w:val="22"/>
          <w:lang w:val="sq-AL"/>
        </w:rPr>
        <w:t xml:space="preserve"> shtohen me 6.9 </w:t>
      </w:r>
      <w:r w:rsidR="0056260B">
        <w:rPr>
          <w:rFonts w:eastAsia="Calibri" w:cs="Calibri"/>
          <w:iCs/>
          <w:noProof/>
          <w:szCs w:val="22"/>
          <w:lang w:val="sq-AL"/>
        </w:rPr>
        <w:t>miliardë</w:t>
      </w:r>
      <w:r w:rsidRPr="00BC59F2">
        <w:rPr>
          <w:rFonts w:eastAsia="Calibri" w:cs="Calibri"/>
          <w:iCs/>
          <w:noProof/>
          <w:szCs w:val="22"/>
          <w:lang w:val="sq-AL"/>
        </w:rPr>
        <w:t xml:space="preserve"> LEK, ku ndër alokimet kryesore veçojmë</w:t>
      </w:r>
      <w:r w:rsidRPr="00BC59F2">
        <w:rPr>
          <w:rFonts w:eastAsia="Calibri" w:cs="Calibri"/>
          <w:iCs/>
          <w:noProof/>
          <w:sz w:val="20"/>
          <w:szCs w:val="20"/>
          <w:lang w:val="sq-AL"/>
        </w:rPr>
        <w:t>:</w:t>
      </w:r>
    </w:p>
    <w:p w14:paraId="25DEA80D" w14:textId="3EE79E04"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bookmarkStart w:id="141" w:name="_Hlk187751124"/>
      <w:r w:rsidRPr="00F023A7">
        <w:rPr>
          <w:rFonts w:eastAsia="Calibri" w:cs="Calibri"/>
          <w:i/>
          <w:noProof/>
          <w:szCs w:val="22"/>
          <w:lang w:val="sq-AL"/>
        </w:rPr>
        <w:t xml:space="preserve">Mbështetjen financiare të disa kategorive më vulnerabël në masën 15.000 </w:t>
      </w:r>
      <w:r w:rsidR="0056260B" w:rsidRPr="00F023A7">
        <w:rPr>
          <w:rFonts w:eastAsia="Calibri" w:cs="Calibri"/>
          <w:i/>
          <w:noProof/>
          <w:szCs w:val="22"/>
          <w:lang w:val="sq-AL"/>
        </w:rPr>
        <w:t>LEK</w:t>
      </w:r>
      <w:r w:rsidRPr="00F023A7">
        <w:rPr>
          <w:rFonts w:eastAsia="Calibri" w:cs="Calibri"/>
          <w:i/>
          <w:noProof/>
          <w:szCs w:val="22"/>
          <w:lang w:val="sq-AL"/>
        </w:rPr>
        <w:t xml:space="preserve"> për rreth 148.500 përfitues të kategorive sociale në </w:t>
      </w:r>
      <w:r w:rsidR="00F023A7">
        <w:rPr>
          <w:rFonts w:eastAsia="Calibri" w:cs="Calibri"/>
          <w:i/>
          <w:noProof/>
          <w:szCs w:val="22"/>
          <w:lang w:val="sq-AL"/>
        </w:rPr>
        <w:t>NE/PAK</w:t>
      </w:r>
      <w:r w:rsidRPr="00F023A7">
        <w:rPr>
          <w:rFonts w:eastAsia="Calibri" w:cs="Calibri"/>
          <w:i/>
          <w:noProof/>
          <w:szCs w:val="22"/>
          <w:lang w:val="sq-AL"/>
        </w:rPr>
        <w:t>, me një efekt financiar prej 2.23</w:t>
      </w:r>
      <w:r w:rsidR="00F023A7">
        <w:rPr>
          <w:rFonts w:eastAsia="Calibri" w:cs="Calibri"/>
          <w:i/>
          <w:noProof/>
          <w:szCs w:val="22"/>
          <w:lang w:val="sq-AL"/>
        </w:rPr>
        <w:t>mld</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w:t>
      </w:r>
    </w:p>
    <w:p w14:paraId="5FCD72B8" w14:textId="2F1C529C"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Financimin shtesë për Fermerët në masën 2.3</w:t>
      </w:r>
      <w:r w:rsidR="00F023A7">
        <w:rPr>
          <w:rFonts w:eastAsia="Calibri" w:cs="Calibri"/>
          <w:i/>
          <w:noProof/>
          <w:szCs w:val="22"/>
          <w:lang w:val="sq-AL"/>
        </w:rPr>
        <w:t xml:space="preserve">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w:t>
      </w:r>
    </w:p>
    <w:p w14:paraId="15E6DE08" w14:textId="6C9A05A2"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Rishpërndarjen e kursimeve të veta të MSHMS në masën 1.76</w:t>
      </w:r>
      <w:r w:rsidR="00F023A7">
        <w:rPr>
          <w:rFonts w:eastAsia="Calibri" w:cs="Calibri"/>
          <w:i/>
          <w:noProof/>
          <w:szCs w:val="22"/>
          <w:lang w:val="sq-AL"/>
        </w:rPr>
        <w:t xml:space="preserve">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w:t>
      </w:r>
    </w:p>
    <w:p w14:paraId="492252FC" w14:textId="1A86594B"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bookmarkStart w:id="142" w:name="_Hlk187750855"/>
      <w:bookmarkStart w:id="143" w:name="_Hlk187751267"/>
      <w:bookmarkEnd w:id="141"/>
      <w:r w:rsidRPr="00F023A7">
        <w:rPr>
          <w:rFonts w:eastAsia="Calibri" w:cs="Calibri"/>
          <w:i/>
          <w:noProof/>
          <w:szCs w:val="22"/>
          <w:lang w:val="sq-AL"/>
        </w:rPr>
        <w:t>Shtesën e fondeve në masën 1.6</w:t>
      </w:r>
      <w:r w:rsidR="00F023A7">
        <w:rPr>
          <w:rFonts w:eastAsia="Calibri" w:cs="Calibri"/>
          <w:i/>
          <w:noProof/>
          <w:szCs w:val="22"/>
          <w:lang w:val="sq-AL"/>
        </w:rPr>
        <w:t xml:space="preserve">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për MIE, për financimin e detyrimeve të kontratave të mirëmbajtjes rrugore, krahas vendimeve gjyqësore të shpronësimeve</w:t>
      </w:r>
      <w:bookmarkEnd w:id="142"/>
      <w:r w:rsidRPr="00F023A7">
        <w:rPr>
          <w:rFonts w:eastAsia="Calibri" w:cs="Calibri"/>
          <w:i/>
          <w:noProof/>
          <w:szCs w:val="22"/>
          <w:lang w:val="sq-AL"/>
        </w:rPr>
        <w:t>.</w:t>
      </w:r>
    </w:p>
    <w:p w14:paraId="54E484FE" w14:textId="4869B660" w:rsidR="00653F58"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Shtesën e fondeve në masën 1.3</w:t>
      </w:r>
      <w:r w:rsidR="00F023A7">
        <w:rPr>
          <w:rFonts w:eastAsia="Calibri" w:cs="Calibri"/>
          <w:i/>
          <w:noProof/>
          <w:szCs w:val="22"/>
          <w:lang w:val="sq-AL"/>
        </w:rPr>
        <w:t xml:space="preserve">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për Ministrinë e Brendshme</w:t>
      </w:r>
      <w:r w:rsidR="00653F58" w:rsidRPr="00F023A7">
        <w:rPr>
          <w:rFonts w:eastAsia="Calibri" w:cs="Calibri"/>
          <w:i/>
          <w:noProof/>
          <w:szCs w:val="22"/>
          <w:lang w:val="sq-AL"/>
        </w:rPr>
        <w:t xml:space="preserve">, </w:t>
      </w:r>
      <w:bookmarkEnd w:id="143"/>
      <w:r w:rsidR="00653F58" w:rsidRPr="00F023A7">
        <w:rPr>
          <w:rFonts w:eastAsia="Calibri" w:cs="Calibri"/>
          <w:i/>
          <w:noProof/>
          <w:szCs w:val="22"/>
          <w:lang w:val="sq-AL"/>
        </w:rPr>
        <w:t>kryesisht për</w:t>
      </w:r>
      <w:r w:rsidR="000610C3" w:rsidRPr="00F023A7">
        <w:rPr>
          <w:rFonts w:eastAsia="Calibri" w:cs="Calibri"/>
          <w:i/>
          <w:noProof/>
          <w:szCs w:val="22"/>
          <w:lang w:val="sq-AL"/>
        </w:rPr>
        <w:t>mbulimin e shpenzimeve të Policisë së Shtetit për kompensimin ushqimor, orë jashtëorarit/dieta/karburant në kuadër të sezonit intensiv turistik, krahas shlyerjes së detyrimeve nga vendimet gjyqësore të IKMT.</w:t>
      </w:r>
    </w:p>
    <w:p w14:paraId="1716C3DA" w14:textId="30690821"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Shtesën e fondeve në masën 847</w:t>
      </w:r>
      <w:r w:rsidR="00F023A7">
        <w:rPr>
          <w:rFonts w:eastAsia="Calibri" w:cs="Calibri"/>
          <w:i/>
          <w:noProof/>
          <w:szCs w:val="22"/>
          <w:lang w:val="sq-AL"/>
        </w:rPr>
        <w:t xml:space="preserve">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për MTKS, kryesisht me qëllim  financimin e programit të Sportit referuar organizimit të aktiviteteve me karakter kombëtar e ndërkombëtar. </w:t>
      </w:r>
    </w:p>
    <w:p w14:paraId="6F7CFBD1" w14:textId="32F4032A"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Shtesën e fondeve në masën 626</w:t>
      </w:r>
      <w:r w:rsidR="00F023A7">
        <w:rPr>
          <w:rFonts w:eastAsia="Calibri" w:cs="Calibri"/>
          <w:i/>
          <w:noProof/>
          <w:szCs w:val="22"/>
          <w:lang w:val="sq-AL"/>
        </w:rPr>
        <w:t xml:space="preserve">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për Ministrinë e Mbrojtjes</w:t>
      </w:r>
      <w:r w:rsidR="00653F58" w:rsidRPr="00F023A7">
        <w:rPr>
          <w:rFonts w:eastAsia="Calibri" w:cs="Calibri"/>
          <w:i/>
          <w:noProof/>
          <w:szCs w:val="22"/>
          <w:lang w:val="sq-AL"/>
        </w:rPr>
        <w:t>, kryesisht për</w:t>
      </w:r>
      <w:r w:rsidR="000610C3" w:rsidRPr="00F023A7">
        <w:rPr>
          <w:rFonts w:eastAsia="Calibri" w:cs="Calibri"/>
          <w:i/>
          <w:noProof/>
          <w:szCs w:val="22"/>
          <w:lang w:val="sq-AL"/>
        </w:rPr>
        <w:t>mbulimin e detyrimeve financiare ndaj NATO-s dhe misioneve ushtarake jashtë vendit.</w:t>
      </w:r>
    </w:p>
    <w:p w14:paraId="61B33314" w14:textId="133F1384"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 xml:space="preserve">Përcaktimin për transferimin e të gjitha fondeve të papërdorura në mbyllje të buxhetit 2025, në llogarinë e mbështetjes së pensionistëve në Bankën e Shqipërise, që përdoret me Vendim të Këshillit të Ministrave. </w:t>
      </w:r>
    </w:p>
    <w:p w14:paraId="0C67C428" w14:textId="77777777" w:rsidR="00653F58" w:rsidRPr="00653F58" w:rsidRDefault="00653F58" w:rsidP="00653F58">
      <w:pPr>
        <w:tabs>
          <w:tab w:val="left" w:pos="540"/>
        </w:tabs>
        <w:spacing w:before="0" w:line="240" w:lineRule="auto"/>
        <w:rPr>
          <w:rFonts w:eastAsia="Calibri" w:cs="Calibri"/>
          <w:iCs/>
          <w:noProof/>
          <w:sz w:val="8"/>
          <w:szCs w:val="8"/>
          <w:lang w:val="sq-AL"/>
        </w:rPr>
      </w:pPr>
    </w:p>
    <w:p w14:paraId="1F915A4A" w14:textId="3A97C560" w:rsidR="00BC59F2" w:rsidRPr="00BC59F2" w:rsidRDefault="00BC59F2" w:rsidP="00653F58">
      <w:pPr>
        <w:tabs>
          <w:tab w:val="left" w:pos="540"/>
        </w:tabs>
        <w:spacing w:before="0" w:line="240" w:lineRule="auto"/>
        <w:rPr>
          <w:rFonts w:eastAsia="Calibri" w:cs="Calibri"/>
          <w:iCs/>
          <w:noProof/>
          <w:szCs w:val="22"/>
          <w:lang w:val="sq-AL"/>
        </w:rPr>
      </w:pPr>
      <w:r w:rsidRPr="00BC59F2">
        <w:rPr>
          <w:rFonts w:eastAsia="Calibri" w:cs="Calibri"/>
          <w:iCs/>
          <w:noProof/>
          <w:szCs w:val="22"/>
          <w:lang w:val="sq-AL"/>
        </w:rPr>
        <w:t xml:space="preserve">Shpenzimet </w:t>
      </w:r>
      <w:r w:rsidRPr="00F023A7">
        <w:rPr>
          <w:rFonts w:eastAsia="Calibri" w:cs="Calibri"/>
          <w:b/>
          <w:bCs/>
          <w:iCs/>
          <w:noProof/>
          <w:szCs w:val="22"/>
          <w:lang w:val="sq-AL"/>
        </w:rPr>
        <w:t>kapitale me Financim</w:t>
      </w:r>
      <w:r w:rsidRPr="00653F58">
        <w:rPr>
          <w:rFonts w:eastAsia="Calibri" w:cs="Calibri"/>
          <w:b/>
          <w:bCs/>
          <w:iCs/>
          <w:noProof/>
          <w:szCs w:val="22"/>
          <w:lang w:val="sq-AL"/>
        </w:rPr>
        <w:t xml:space="preserve"> të Brendshëm</w:t>
      </w:r>
      <w:r w:rsidRPr="00BC59F2">
        <w:rPr>
          <w:rFonts w:eastAsia="Calibri" w:cs="Calibri"/>
          <w:iCs/>
          <w:noProof/>
          <w:szCs w:val="22"/>
          <w:lang w:val="sq-AL"/>
        </w:rPr>
        <w:t xml:space="preserve"> </w:t>
      </w:r>
      <w:r w:rsidR="00653F58">
        <w:rPr>
          <w:rFonts w:eastAsia="Calibri" w:cs="Calibri"/>
          <w:iCs/>
          <w:noProof/>
          <w:szCs w:val="22"/>
          <w:lang w:val="sq-AL"/>
        </w:rPr>
        <w:t xml:space="preserve">u </w:t>
      </w:r>
      <w:r w:rsidRPr="00BC59F2">
        <w:rPr>
          <w:rFonts w:eastAsia="Calibri" w:cs="Calibri"/>
          <w:iCs/>
          <w:noProof/>
          <w:szCs w:val="22"/>
          <w:lang w:val="sq-AL"/>
        </w:rPr>
        <w:t>ul</w:t>
      </w:r>
      <w:r w:rsidR="00653F58">
        <w:rPr>
          <w:rFonts w:eastAsia="Calibri" w:cs="Calibri"/>
          <w:iCs/>
          <w:noProof/>
          <w:szCs w:val="22"/>
          <w:lang w:val="sq-AL"/>
        </w:rPr>
        <w:t>ën</w:t>
      </w:r>
      <w:r w:rsidRPr="00BC59F2">
        <w:rPr>
          <w:rFonts w:eastAsia="Calibri" w:cs="Calibri"/>
          <w:iCs/>
          <w:noProof/>
          <w:szCs w:val="22"/>
          <w:lang w:val="sq-AL"/>
        </w:rPr>
        <w:t xml:space="preserve"> me rreth 3 </w:t>
      </w:r>
      <w:r w:rsidR="0056260B">
        <w:rPr>
          <w:rFonts w:eastAsia="Calibri" w:cs="Calibri"/>
          <w:iCs/>
          <w:noProof/>
          <w:szCs w:val="22"/>
          <w:lang w:val="sq-AL"/>
        </w:rPr>
        <w:t>miliardë</w:t>
      </w:r>
      <w:r w:rsidRPr="00BC59F2">
        <w:rPr>
          <w:rFonts w:eastAsia="Calibri" w:cs="Calibri"/>
          <w:iCs/>
          <w:noProof/>
          <w:szCs w:val="22"/>
          <w:lang w:val="sq-AL"/>
        </w:rPr>
        <w:t xml:space="preserve"> </w:t>
      </w:r>
      <w:r w:rsidR="0056260B">
        <w:rPr>
          <w:rFonts w:eastAsia="Calibri" w:cs="Calibri"/>
          <w:iCs/>
          <w:noProof/>
          <w:szCs w:val="22"/>
          <w:lang w:val="sq-AL"/>
        </w:rPr>
        <w:t>LEK</w:t>
      </w:r>
      <w:r w:rsidRPr="00BC59F2">
        <w:rPr>
          <w:rFonts w:eastAsia="Calibri" w:cs="Calibri"/>
          <w:iCs/>
          <w:noProof/>
          <w:szCs w:val="22"/>
          <w:lang w:val="sq-AL"/>
        </w:rPr>
        <w:t>. Gjithashtu, janë bërë rishpërndarje fondesh me efekt neutral në shpenzime kapitale ku ndër alokimet shtesë përmendim:</w:t>
      </w:r>
    </w:p>
    <w:p w14:paraId="26419011" w14:textId="6B5974BD"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MIE</w:t>
      </w:r>
      <w:r w:rsidR="00F023A7">
        <w:rPr>
          <w:rFonts w:eastAsia="Calibri" w:cs="Calibri"/>
          <w:i/>
          <w:noProof/>
          <w:szCs w:val="22"/>
          <w:lang w:val="sq-AL"/>
        </w:rPr>
        <w:t xml:space="preserve"> – </w:t>
      </w:r>
      <w:r w:rsidRPr="00F023A7">
        <w:rPr>
          <w:rFonts w:eastAsia="Calibri" w:cs="Calibri"/>
          <w:i/>
          <w:noProof/>
          <w:szCs w:val="22"/>
          <w:lang w:val="sq-AL"/>
        </w:rPr>
        <w:t>Alokimi</w:t>
      </w:r>
      <w:r w:rsidR="00F023A7">
        <w:rPr>
          <w:rFonts w:eastAsia="Calibri" w:cs="Calibri"/>
          <w:i/>
          <w:noProof/>
          <w:szCs w:val="22"/>
          <w:lang w:val="sq-AL"/>
        </w:rPr>
        <w:t xml:space="preserve"> </w:t>
      </w:r>
      <w:r w:rsidRPr="00F023A7">
        <w:rPr>
          <w:rFonts w:eastAsia="Calibri" w:cs="Calibri"/>
          <w:i/>
          <w:noProof/>
          <w:szCs w:val="22"/>
          <w:lang w:val="sq-AL"/>
        </w:rPr>
        <w:t xml:space="preserve">i rreth 10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shtesë synon avancimin e projekteve me performancë të mirë.</w:t>
      </w:r>
    </w:p>
    <w:p w14:paraId="27D05605" w14:textId="452838A7"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MF – Alokimi i 1</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shtesë për financimin e kapitalit të Bankës Shqiptare të Zhvillimit.</w:t>
      </w:r>
    </w:p>
    <w:p w14:paraId="1C7D1D2C" w14:textId="0344B38B"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MEPJ – Shtesë rreth 551</w:t>
      </w:r>
      <w:r w:rsidR="00F023A7">
        <w:rPr>
          <w:rFonts w:eastAsia="Calibri" w:cs="Calibri"/>
          <w:i/>
          <w:noProof/>
          <w:szCs w:val="22"/>
          <w:lang w:val="sq-AL"/>
        </w:rPr>
        <w:t xml:space="preserve">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kryesisht për blerjen e Selisë Diplomatike në Londër.</w:t>
      </w:r>
    </w:p>
    <w:p w14:paraId="3C40A515" w14:textId="79C9FEC9"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MD – Alokimi i rreth 200</w:t>
      </w:r>
      <w:r w:rsidR="00F023A7">
        <w:rPr>
          <w:rFonts w:eastAsia="Calibri" w:cs="Calibri"/>
          <w:i/>
          <w:noProof/>
          <w:szCs w:val="22"/>
          <w:lang w:val="sq-AL"/>
        </w:rPr>
        <w:t xml:space="preserve">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shtesë për projektin e Institutit të të Miturve në Konflikt me Ligjin.</w:t>
      </w:r>
    </w:p>
    <w:p w14:paraId="2EEA38E7" w14:textId="77777777" w:rsidR="00653F58" w:rsidRPr="00653F58" w:rsidRDefault="00653F58" w:rsidP="00653F58">
      <w:pPr>
        <w:spacing w:before="0" w:line="240" w:lineRule="auto"/>
        <w:rPr>
          <w:rFonts w:eastAsia="Calibri" w:cs="Calibri"/>
          <w:iCs/>
          <w:noProof/>
          <w:sz w:val="8"/>
          <w:szCs w:val="8"/>
          <w:lang w:val="sq-AL"/>
        </w:rPr>
      </w:pPr>
    </w:p>
    <w:p w14:paraId="22E662B9" w14:textId="5D64E104" w:rsidR="00BC59F2" w:rsidRPr="00BC59F2" w:rsidRDefault="00BC59F2" w:rsidP="00653F58">
      <w:pPr>
        <w:spacing w:before="0" w:line="240" w:lineRule="auto"/>
        <w:rPr>
          <w:rFonts w:cs="Calibri"/>
          <w:i/>
          <w:iCs/>
          <w:noProof/>
          <w:szCs w:val="22"/>
          <w:lang w:val="sq-AL"/>
        </w:rPr>
      </w:pPr>
      <w:r w:rsidRPr="00BC59F2">
        <w:rPr>
          <w:rFonts w:eastAsia="Calibri" w:cs="Calibri"/>
          <w:iCs/>
          <w:noProof/>
          <w:szCs w:val="22"/>
          <w:lang w:val="sq-AL"/>
        </w:rPr>
        <w:t xml:space="preserve">Shpenzimet </w:t>
      </w:r>
      <w:r w:rsidRPr="00F023A7">
        <w:rPr>
          <w:rFonts w:eastAsia="Calibri" w:cs="Calibri"/>
          <w:b/>
          <w:bCs/>
          <w:iCs/>
          <w:noProof/>
          <w:szCs w:val="22"/>
          <w:lang w:val="sq-AL"/>
        </w:rPr>
        <w:t>kapitale me Financim</w:t>
      </w:r>
      <w:r w:rsidRPr="00653F58">
        <w:rPr>
          <w:rFonts w:eastAsia="Calibri" w:cs="Calibri"/>
          <w:b/>
          <w:bCs/>
          <w:iCs/>
          <w:noProof/>
          <w:szCs w:val="22"/>
          <w:lang w:val="sq-AL"/>
        </w:rPr>
        <w:t xml:space="preserve"> të Huaj</w:t>
      </w:r>
      <w:r w:rsidRPr="00BC59F2">
        <w:rPr>
          <w:rFonts w:eastAsia="Calibri" w:cs="Calibri"/>
          <w:iCs/>
          <w:noProof/>
          <w:szCs w:val="22"/>
          <w:lang w:val="sq-AL"/>
        </w:rPr>
        <w:t xml:space="preserve"> </w:t>
      </w:r>
      <w:r w:rsidR="00653F58">
        <w:rPr>
          <w:rFonts w:eastAsia="Calibri" w:cs="Calibri"/>
          <w:iCs/>
          <w:noProof/>
          <w:szCs w:val="22"/>
          <w:lang w:val="sq-AL"/>
        </w:rPr>
        <w:t xml:space="preserve">u </w:t>
      </w:r>
      <w:r w:rsidRPr="00BC59F2">
        <w:rPr>
          <w:rFonts w:eastAsia="Calibri" w:cs="Calibri"/>
          <w:iCs/>
          <w:noProof/>
          <w:szCs w:val="22"/>
          <w:lang w:val="sq-AL"/>
        </w:rPr>
        <w:t>ul</w:t>
      </w:r>
      <w:r w:rsidR="00653F58">
        <w:rPr>
          <w:rFonts w:eastAsia="Calibri" w:cs="Calibri"/>
          <w:iCs/>
          <w:noProof/>
          <w:szCs w:val="22"/>
          <w:lang w:val="sq-AL"/>
        </w:rPr>
        <w:t>ë</w:t>
      </w:r>
      <w:r w:rsidRPr="00BC59F2">
        <w:rPr>
          <w:rFonts w:eastAsia="Calibri" w:cs="Calibri"/>
          <w:iCs/>
          <w:noProof/>
          <w:szCs w:val="22"/>
          <w:lang w:val="sq-AL"/>
        </w:rPr>
        <w:t xml:space="preserve">n me 1.98 </w:t>
      </w:r>
      <w:r w:rsidR="0056260B">
        <w:rPr>
          <w:rFonts w:eastAsia="Calibri" w:cs="Calibri"/>
          <w:iCs/>
          <w:noProof/>
          <w:szCs w:val="22"/>
          <w:lang w:val="sq-AL"/>
        </w:rPr>
        <w:t>miliardë</w:t>
      </w:r>
      <w:r w:rsidRPr="00BC59F2">
        <w:rPr>
          <w:rFonts w:eastAsia="Calibri" w:cs="Calibri"/>
          <w:iCs/>
          <w:noProof/>
          <w:szCs w:val="22"/>
          <w:lang w:val="sq-AL"/>
        </w:rPr>
        <w:t xml:space="preserve"> </w:t>
      </w:r>
      <w:r w:rsidR="0056260B">
        <w:rPr>
          <w:rFonts w:eastAsia="Calibri" w:cs="Calibri"/>
          <w:iCs/>
          <w:noProof/>
          <w:szCs w:val="22"/>
          <w:lang w:val="sq-AL"/>
        </w:rPr>
        <w:t>LEK</w:t>
      </w:r>
      <w:r w:rsidRPr="00BC59F2">
        <w:rPr>
          <w:rFonts w:eastAsia="Calibri" w:cs="Calibri"/>
          <w:iCs/>
          <w:noProof/>
          <w:szCs w:val="22"/>
          <w:lang w:val="sq-AL"/>
        </w:rPr>
        <w:t xml:space="preserve">, si rezultat i rishikimit të ritmeve të zbatimit të disa projekteve të financuara nga burime të huaja, vonesave në disbursimet e kredive dhe granteve, si dhe përshtatjes së planeve të investimeve me kapacitetet reale të zbatimit gjatë vitit buxhetor. </w:t>
      </w:r>
    </w:p>
    <w:p w14:paraId="6859CC09" w14:textId="77777777" w:rsidR="00653F58" w:rsidRPr="00F023A7" w:rsidRDefault="00653F58" w:rsidP="00653F58">
      <w:pPr>
        <w:spacing w:before="0" w:line="240" w:lineRule="auto"/>
        <w:rPr>
          <w:rFonts w:cs="Calibri"/>
          <w:noProof/>
          <w:sz w:val="12"/>
          <w:szCs w:val="12"/>
          <w:lang w:val="sq-AL"/>
        </w:rPr>
      </w:pPr>
      <w:bookmarkStart w:id="144" w:name="_Hlk135826581"/>
    </w:p>
    <w:p w14:paraId="7B661597" w14:textId="7A83C459" w:rsidR="00BC59F2" w:rsidRPr="00BC59F2" w:rsidRDefault="00BC59F2" w:rsidP="00653F58">
      <w:pPr>
        <w:spacing w:before="0" w:line="240" w:lineRule="auto"/>
        <w:rPr>
          <w:rFonts w:cs="Calibri"/>
          <w:b/>
          <w:bCs/>
          <w:noProof/>
          <w:szCs w:val="22"/>
          <w:lang w:val="sq-AL"/>
        </w:rPr>
      </w:pPr>
      <w:r w:rsidRPr="00BC59F2">
        <w:rPr>
          <w:rFonts w:cs="Calibri"/>
          <w:noProof/>
          <w:szCs w:val="22"/>
          <w:lang w:val="sq-AL"/>
        </w:rPr>
        <w:t xml:space="preserve">Për </w:t>
      </w:r>
      <w:bookmarkEnd w:id="144"/>
      <w:r w:rsidRPr="00BC59F2">
        <w:rPr>
          <w:rFonts w:cs="Calibri"/>
          <w:noProof/>
          <w:szCs w:val="22"/>
          <w:lang w:val="sq-AL"/>
        </w:rPr>
        <w:t xml:space="preserve">buxhetin e </w:t>
      </w:r>
      <w:r w:rsidRPr="00653F58">
        <w:rPr>
          <w:rFonts w:cs="Calibri"/>
          <w:b/>
          <w:bCs/>
          <w:noProof/>
          <w:szCs w:val="22"/>
          <w:lang w:val="sq-AL"/>
        </w:rPr>
        <w:t>Njësive të Vetëqeverisjes Vendore</w:t>
      </w:r>
      <w:r w:rsidRPr="00BC59F2">
        <w:rPr>
          <w:rFonts w:cs="Calibri"/>
          <w:noProof/>
          <w:szCs w:val="22"/>
          <w:lang w:val="sq-AL"/>
        </w:rPr>
        <w:t>, ky rishikim materializo</w:t>
      </w:r>
      <w:r w:rsidR="00653F58">
        <w:rPr>
          <w:rFonts w:cs="Calibri"/>
          <w:noProof/>
          <w:szCs w:val="22"/>
          <w:lang w:val="sq-AL"/>
        </w:rPr>
        <w:t>i</w:t>
      </w:r>
      <w:r w:rsidRPr="00BC59F2">
        <w:rPr>
          <w:rFonts w:cs="Calibri"/>
          <w:b/>
          <w:bCs/>
          <w:noProof/>
          <w:szCs w:val="22"/>
          <w:lang w:val="sq-AL"/>
        </w:rPr>
        <w:t>:</w:t>
      </w:r>
    </w:p>
    <w:p w14:paraId="5B977B6B" w14:textId="26F11731" w:rsidR="00653F58" w:rsidRPr="00F023A7" w:rsidRDefault="00653F58">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Alokimin e 1.2</w:t>
      </w:r>
      <w:r w:rsidR="00F023A7">
        <w:rPr>
          <w:rFonts w:eastAsia="Calibri" w:cs="Calibri"/>
          <w:i/>
          <w:noProof/>
          <w:szCs w:val="22"/>
          <w:lang w:val="sq-AL"/>
        </w:rPr>
        <w:t xml:space="preserve"> </w:t>
      </w:r>
      <w:r w:rsidR="0056260B" w:rsidRPr="00F023A7">
        <w:rPr>
          <w:rFonts w:eastAsia="Calibri" w:cs="Calibri"/>
          <w:i/>
          <w:noProof/>
          <w:szCs w:val="22"/>
          <w:lang w:val="sq-AL"/>
        </w:rPr>
        <w:t>miliardë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shtesë për shlyerjen e detyrimeve të prapambetura të njësive të vetëqeverisjes vendore.</w:t>
      </w:r>
    </w:p>
    <w:p w14:paraId="16573F83" w14:textId="0AA433BF"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 xml:space="preserve">Uljen me 256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të financimi</w:t>
      </w:r>
      <w:r w:rsidR="00653F58" w:rsidRPr="00F023A7">
        <w:rPr>
          <w:rFonts w:eastAsia="Calibri" w:cs="Calibri"/>
          <w:i/>
          <w:noProof/>
          <w:szCs w:val="22"/>
          <w:lang w:val="sq-AL"/>
        </w:rPr>
        <w:t>t</w:t>
      </w:r>
      <w:r w:rsidRPr="00F023A7">
        <w:rPr>
          <w:rFonts w:eastAsia="Calibri" w:cs="Calibri"/>
          <w:i/>
          <w:noProof/>
          <w:szCs w:val="22"/>
          <w:lang w:val="sq-AL"/>
        </w:rPr>
        <w:t xml:space="preserve"> </w:t>
      </w:r>
      <w:r w:rsidR="00653F58" w:rsidRPr="00F023A7">
        <w:rPr>
          <w:rFonts w:eastAsia="Calibri" w:cs="Calibri"/>
          <w:i/>
          <w:noProof/>
          <w:szCs w:val="22"/>
          <w:lang w:val="sq-AL"/>
        </w:rPr>
        <w:t>të</w:t>
      </w:r>
      <w:r w:rsidRPr="00F023A7">
        <w:rPr>
          <w:rFonts w:eastAsia="Calibri" w:cs="Calibri"/>
          <w:i/>
          <w:noProof/>
          <w:szCs w:val="22"/>
          <w:lang w:val="sq-AL"/>
        </w:rPr>
        <w:t xml:space="preserve"> huaj vendor, për shkak të mosrealizimit. </w:t>
      </w:r>
    </w:p>
    <w:p w14:paraId="2C2C4F98" w14:textId="3DC486E4" w:rsidR="00BC59F2" w:rsidRPr="00F023A7" w:rsidRDefault="00BC59F2">
      <w:pPr>
        <w:numPr>
          <w:ilvl w:val="0"/>
          <w:numId w:val="39"/>
        </w:numPr>
        <w:tabs>
          <w:tab w:val="left" w:pos="426"/>
        </w:tabs>
        <w:spacing w:before="0" w:after="160" w:line="240" w:lineRule="auto"/>
        <w:contextualSpacing/>
        <w:rPr>
          <w:rFonts w:eastAsia="Calibri" w:cs="Calibri"/>
          <w:i/>
          <w:noProof/>
          <w:szCs w:val="22"/>
          <w:lang w:val="sq-AL"/>
        </w:rPr>
      </w:pPr>
      <w:r w:rsidRPr="00F023A7">
        <w:rPr>
          <w:rFonts w:eastAsia="Calibri" w:cs="Calibri"/>
          <w:i/>
          <w:noProof/>
          <w:szCs w:val="22"/>
          <w:lang w:val="sq-AL"/>
        </w:rPr>
        <w:t xml:space="preserve">Rritjen me 56 </w:t>
      </w:r>
      <w:r w:rsidR="0056260B" w:rsidRPr="00F023A7">
        <w:rPr>
          <w:rFonts w:eastAsia="Calibri" w:cs="Calibri"/>
          <w:i/>
          <w:noProof/>
          <w:szCs w:val="22"/>
          <w:lang w:val="sq-AL"/>
        </w:rPr>
        <w:t>milionë</w:t>
      </w:r>
      <w:r w:rsidRPr="00F023A7">
        <w:rPr>
          <w:rFonts w:eastAsia="Calibri" w:cs="Calibri"/>
          <w:i/>
          <w:noProof/>
          <w:szCs w:val="22"/>
          <w:lang w:val="sq-AL"/>
        </w:rPr>
        <w:t xml:space="preserve"> </w:t>
      </w:r>
      <w:r w:rsidR="0056260B" w:rsidRPr="00F023A7">
        <w:rPr>
          <w:rFonts w:eastAsia="Calibri" w:cs="Calibri"/>
          <w:i/>
          <w:noProof/>
          <w:szCs w:val="22"/>
          <w:lang w:val="sq-AL"/>
        </w:rPr>
        <w:t>LEK</w:t>
      </w:r>
      <w:r w:rsidRPr="00F023A7">
        <w:rPr>
          <w:rFonts w:eastAsia="Calibri" w:cs="Calibri"/>
          <w:i/>
          <w:noProof/>
          <w:szCs w:val="22"/>
          <w:lang w:val="sq-AL"/>
        </w:rPr>
        <w:t xml:space="preserve"> për pjesën e taksave të ndara që i transferohen buxhetit vendor.</w:t>
      </w:r>
    </w:p>
    <w:p w14:paraId="245B710A" w14:textId="77777777" w:rsidR="000A275E" w:rsidRDefault="000A275E" w:rsidP="000A275E">
      <w:pPr>
        <w:spacing w:before="0" w:after="160" w:line="240" w:lineRule="auto"/>
        <w:contextualSpacing/>
        <w:jc w:val="left"/>
        <w:rPr>
          <w:rFonts w:cs="Calibri"/>
          <w:i/>
          <w:iCs/>
          <w:noProof/>
          <w:sz w:val="20"/>
          <w:szCs w:val="20"/>
          <w:lang w:val="sq-AL"/>
        </w:rPr>
      </w:pPr>
    </w:p>
    <w:p w14:paraId="157769A6" w14:textId="77777777" w:rsidR="00653F58" w:rsidRDefault="00653F58" w:rsidP="000A275E">
      <w:pPr>
        <w:spacing w:before="0" w:after="160" w:line="240" w:lineRule="auto"/>
        <w:contextualSpacing/>
        <w:jc w:val="left"/>
        <w:rPr>
          <w:rFonts w:cs="Calibri"/>
          <w:i/>
          <w:iCs/>
          <w:noProof/>
          <w:sz w:val="20"/>
          <w:szCs w:val="20"/>
          <w:lang w:val="sq-AL"/>
        </w:rPr>
      </w:pPr>
    </w:p>
    <w:p w14:paraId="4C74FB9A" w14:textId="2EDF9299" w:rsidR="00BC59F2" w:rsidRPr="007B1A0A" w:rsidRDefault="00BC59F2" w:rsidP="007B1A0A">
      <w:pPr>
        <w:pStyle w:val="Heading2"/>
        <w:spacing w:before="0"/>
        <w:rPr>
          <w:color w:val="0F6FC6" w:themeColor="accent1"/>
        </w:rPr>
      </w:pPr>
      <w:bookmarkStart w:id="145" w:name="_Toc229390817"/>
      <w:proofErr w:type="spellStart"/>
      <w:r w:rsidRPr="007B1A0A">
        <w:rPr>
          <w:color w:val="0F6FC6" w:themeColor="accent1"/>
        </w:rPr>
        <w:t>Rishpërndarja</w:t>
      </w:r>
      <w:proofErr w:type="spellEnd"/>
      <w:r w:rsidRPr="007B1A0A">
        <w:rPr>
          <w:color w:val="0F6FC6" w:themeColor="accent1"/>
        </w:rPr>
        <w:t xml:space="preserve"> e </w:t>
      </w:r>
      <w:proofErr w:type="spellStart"/>
      <w:r w:rsidRPr="007B1A0A">
        <w:rPr>
          <w:color w:val="0F6FC6" w:themeColor="accent1"/>
        </w:rPr>
        <w:t>fondeve</w:t>
      </w:r>
      <w:proofErr w:type="spellEnd"/>
      <w:r w:rsidRPr="007B1A0A">
        <w:rPr>
          <w:color w:val="0F6FC6" w:themeColor="accent1"/>
        </w:rPr>
        <w:t xml:space="preserve"> </w:t>
      </w:r>
      <w:proofErr w:type="spellStart"/>
      <w:r w:rsidRPr="007B1A0A">
        <w:rPr>
          <w:color w:val="0F6FC6" w:themeColor="accent1"/>
        </w:rPr>
        <w:t>buxhetore</w:t>
      </w:r>
      <w:proofErr w:type="spellEnd"/>
      <w:r w:rsidRPr="007B1A0A">
        <w:rPr>
          <w:color w:val="0F6FC6" w:themeColor="accent1"/>
        </w:rPr>
        <w:t xml:space="preserve"> me VKM</w:t>
      </w:r>
      <w:bookmarkEnd w:id="145"/>
      <w:r w:rsidRPr="007B1A0A">
        <w:rPr>
          <w:color w:val="0F6FC6" w:themeColor="accent1"/>
        </w:rPr>
        <w:t xml:space="preserve"> </w:t>
      </w:r>
    </w:p>
    <w:p w14:paraId="7574695D" w14:textId="7D79AE29" w:rsidR="00BC59F2" w:rsidRPr="00653F58" w:rsidRDefault="00BC59F2" w:rsidP="00653F58">
      <w:pPr>
        <w:spacing w:line="240" w:lineRule="auto"/>
        <w:rPr>
          <w:noProof/>
          <w:lang w:val="sq-AL"/>
        </w:rPr>
      </w:pPr>
      <w:r w:rsidRPr="00BC59F2">
        <w:rPr>
          <w:noProof/>
          <w:lang w:val="sq-AL"/>
        </w:rPr>
        <w:t xml:space="preserve">Gjatë vitit 2025 është miratuar </w:t>
      </w:r>
      <w:r w:rsidR="00653F58">
        <w:rPr>
          <w:noProof/>
          <w:lang w:val="sq-AL"/>
        </w:rPr>
        <w:t>vetëm 1</w:t>
      </w:r>
      <w:r w:rsidRPr="00BC59F2">
        <w:rPr>
          <w:noProof/>
          <w:lang w:val="sq-AL"/>
        </w:rPr>
        <w:t xml:space="preserve"> VKM për rishpërndarje fondesh buxhetore dhe konkretisht:</w:t>
      </w:r>
      <w:r w:rsidR="00653F58">
        <w:rPr>
          <w:noProof/>
          <w:lang w:val="sq-AL"/>
        </w:rPr>
        <w:t xml:space="preserve"> </w:t>
      </w:r>
      <w:r w:rsidRPr="00653F58">
        <w:rPr>
          <w:noProof/>
          <w:kern w:val="2"/>
          <w:szCs w:val="22"/>
          <w:lang w:val="sq-AL"/>
          <w14:ligatures w14:val="standardContextual"/>
        </w:rPr>
        <w:t xml:space="preserve">VKM nr.683 datë 12.11.2025 </w:t>
      </w:r>
      <w:r w:rsidRPr="00BC59F2">
        <w:rPr>
          <w:i/>
          <w:iCs/>
          <w:noProof/>
          <w:kern w:val="2"/>
          <w:szCs w:val="22"/>
          <w:lang w:val="sq-AL"/>
          <w14:ligatures w14:val="standardContextual"/>
        </w:rPr>
        <w:t>“Për rishpërndarje fondesh ndërmjet programeve buxhetore të Ministrisë së Shëndetësisë dhe Mirëqenies Sociale, në buxhetin e miratuar për vitin 2025”</w:t>
      </w:r>
      <w:r w:rsidR="00653F58">
        <w:rPr>
          <w:i/>
          <w:iCs/>
          <w:noProof/>
          <w:kern w:val="2"/>
          <w:szCs w:val="22"/>
          <w:lang w:val="sq-AL"/>
          <w14:ligatures w14:val="standardContextual"/>
        </w:rPr>
        <w:t xml:space="preserve">, </w:t>
      </w:r>
      <w:r w:rsidR="00653F58" w:rsidRPr="004F00B7">
        <w:rPr>
          <w:noProof/>
          <w:kern w:val="2"/>
          <w:szCs w:val="22"/>
          <w:lang w:val="sq-AL"/>
          <w14:ligatures w14:val="standardContextual"/>
        </w:rPr>
        <w:t xml:space="preserve">e cila pati për qëllim </w:t>
      </w:r>
      <w:r w:rsidR="004F00B7" w:rsidRPr="004F00B7">
        <w:rPr>
          <w:noProof/>
          <w:kern w:val="2"/>
          <w:szCs w:val="22"/>
          <w:lang w:val="sq-AL"/>
          <w14:ligatures w14:val="standardContextual"/>
        </w:rPr>
        <w:t>mbulimin e nevojave për furnizimin me medikamente të QSUT.</w:t>
      </w:r>
    </w:p>
    <w:p w14:paraId="0DFB0269" w14:textId="77777777" w:rsidR="00BC59F2" w:rsidRPr="00653F58" w:rsidRDefault="00BC59F2" w:rsidP="00BC59F2">
      <w:pPr>
        <w:ind w:left="360"/>
        <w:contextualSpacing/>
        <w:rPr>
          <w:i/>
          <w:iCs/>
          <w:noProof/>
          <w:color w:val="17406D"/>
          <w:sz w:val="8"/>
          <w:szCs w:val="8"/>
          <w:lang w:val="sq-AL"/>
        </w:rPr>
      </w:pPr>
    </w:p>
    <w:p w14:paraId="71981FBA" w14:textId="7C335F4B" w:rsidR="00BC59F2" w:rsidRPr="00BC59F2" w:rsidRDefault="00BC59F2" w:rsidP="00BC59F2">
      <w:pPr>
        <w:ind w:left="360"/>
        <w:contextualSpacing/>
        <w:rPr>
          <w:i/>
          <w:iCs/>
          <w:noProof/>
          <w:color w:val="17406D"/>
          <w:sz w:val="18"/>
          <w:szCs w:val="18"/>
          <w:lang w:val="sq-AL"/>
        </w:rPr>
      </w:pPr>
      <w:bookmarkStart w:id="146" w:name="_Toc229129989"/>
      <w:r w:rsidRPr="00BC59F2">
        <w:rPr>
          <w:i/>
          <w:iCs/>
          <w:noProof/>
          <w:color w:val="17406D"/>
          <w:sz w:val="18"/>
          <w:szCs w:val="18"/>
          <w:lang w:val="sq-AL"/>
        </w:rPr>
        <w:t xml:space="preserve">Tabela </w:t>
      </w:r>
      <w:r w:rsidRPr="00BC59F2">
        <w:rPr>
          <w:i/>
          <w:iCs/>
          <w:color w:val="17406D"/>
          <w:sz w:val="18"/>
          <w:szCs w:val="18"/>
        </w:rPr>
        <w:fldChar w:fldCharType="begin"/>
      </w:r>
      <w:r w:rsidRPr="00BC59F2">
        <w:rPr>
          <w:i/>
          <w:iCs/>
          <w:noProof/>
          <w:color w:val="17406D"/>
          <w:sz w:val="18"/>
          <w:szCs w:val="18"/>
          <w:lang w:val="sq-AL"/>
        </w:rPr>
        <w:instrText xml:space="preserve"> SEQ Tabela \* ARABIC </w:instrText>
      </w:r>
      <w:r w:rsidRPr="00BC59F2">
        <w:rPr>
          <w:i/>
          <w:iCs/>
          <w:color w:val="17406D"/>
          <w:sz w:val="18"/>
          <w:szCs w:val="18"/>
        </w:rPr>
        <w:fldChar w:fldCharType="separate"/>
      </w:r>
      <w:r w:rsidR="00CB4DE6">
        <w:rPr>
          <w:i/>
          <w:iCs/>
          <w:noProof/>
          <w:color w:val="17406D"/>
          <w:sz w:val="18"/>
          <w:szCs w:val="18"/>
          <w:lang w:val="sq-AL"/>
        </w:rPr>
        <w:t>15</w:t>
      </w:r>
      <w:r w:rsidRPr="00BC59F2">
        <w:rPr>
          <w:i/>
          <w:iCs/>
          <w:color w:val="17406D"/>
          <w:sz w:val="18"/>
          <w:szCs w:val="18"/>
        </w:rPr>
        <w:fldChar w:fldCharType="end"/>
      </w:r>
      <w:r w:rsidRPr="00BC59F2">
        <w:rPr>
          <w:i/>
          <w:iCs/>
          <w:noProof/>
          <w:color w:val="17406D"/>
          <w:sz w:val="18"/>
          <w:szCs w:val="18"/>
          <w:lang w:val="sq-AL"/>
        </w:rPr>
        <w:t xml:space="preserve"> Rishpërndarje fondesh buxhetore me VKM (në 000/</w:t>
      </w:r>
      <w:r w:rsidR="0056260B">
        <w:rPr>
          <w:i/>
          <w:iCs/>
          <w:noProof/>
          <w:color w:val="17406D"/>
          <w:sz w:val="18"/>
          <w:szCs w:val="18"/>
          <w:lang w:val="sq-AL"/>
        </w:rPr>
        <w:t>LEK</w:t>
      </w:r>
      <w:r w:rsidRPr="00BC59F2">
        <w:rPr>
          <w:i/>
          <w:iCs/>
          <w:noProof/>
          <w:color w:val="17406D"/>
          <w:sz w:val="18"/>
          <w:szCs w:val="18"/>
          <w:lang w:val="sq-AL"/>
        </w:rPr>
        <w:t>)</w:t>
      </w:r>
      <w:bookmarkEnd w:id="146"/>
    </w:p>
    <w:p w14:paraId="74061B80" w14:textId="77777777" w:rsidR="00BC59F2" w:rsidRPr="00BC59F2" w:rsidRDefault="00BC59F2" w:rsidP="000A275E">
      <w:pPr>
        <w:jc w:val="center"/>
        <w:rPr>
          <w:i/>
          <w:iCs/>
          <w:noProof/>
          <w:color w:val="17406D"/>
          <w:sz w:val="18"/>
          <w:szCs w:val="18"/>
          <w:lang w:val="sq-AL"/>
        </w:rPr>
      </w:pPr>
      <w:r w:rsidRPr="00BC59F2">
        <w:rPr>
          <w:rFonts w:ascii="Aptos" w:eastAsia="Aptos" w:hAnsi="Aptos"/>
          <w:noProof/>
          <w:kern w:val="2"/>
          <w:sz w:val="24"/>
          <w14:ligatures w14:val="standardContextual"/>
        </w:rPr>
        <w:drawing>
          <wp:inline distT="0" distB="0" distL="0" distR="0" wp14:anchorId="4B2D9DCA" wp14:editId="52280013">
            <wp:extent cx="5531933" cy="1272540"/>
            <wp:effectExtent l="0" t="0" r="0" b="3810"/>
            <wp:docPr id="1134381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0896" cy="1293005"/>
                    </a:xfrm>
                    <a:prstGeom prst="rect">
                      <a:avLst/>
                    </a:prstGeom>
                    <a:noFill/>
                    <a:ln>
                      <a:noFill/>
                    </a:ln>
                  </pic:spPr>
                </pic:pic>
              </a:graphicData>
            </a:graphic>
          </wp:inline>
        </w:drawing>
      </w:r>
    </w:p>
    <w:bookmarkEnd w:id="134"/>
    <w:bookmarkEnd w:id="135"/>
    <w:bookmarkEnd w:id="136"/>
    <w:bookmarkEnd w:id="137"/>
    <w:bookmarkEnd w:id="138"/>
    <w:p w14:paraId="29E0CD9D" w14:textId="77777777" w:rsidR="00653F58" w:rsidRDefault="00653F58" w:rsidP="004E056E">
      <w:pPr>
        <w:rPr>
          <w:rFonts w:eastAsia="MS Gothic"/>
          <w:noProof/>
          <w:lang w:val="sq-AL"/>
        </w:rPr>
      </w:pPr>
    </w:p>
    <w:p w14:paraId="4D26FAE7" w14:textId="77777777" w:rsidR="00F023A7" w:rsidRDefault="00F023A7" w:rsidP="004E056E">
      <w:pPr>
        <w:rPr>
          <w:rFonts w:eastAsia="MS Gothic"/>
          <w:noProof/>
          <w:lang w:val="sq-AL"/>
        </w:rPr>
      </w:pPr>
    </w:p>
    <w:p w14:paraId="68131F93" w14:textId="77777777" w:rsidR="00F023A7" w:rsidRPr="00166B1B" w:rsidRDefault="00F023A7" w:rsidP="004E056E">
      <w:pPr>
        <w:rPr>
          <w:rFonts w:eastAsia="MS Gothic"/>
          <w:noProof/>
          <w:lang w:val="sq-AL"/>
        </w:rPr>
      </w:pPr>
    </w:p>
    <w:p w14:paraId="7D63A8C1" w14:textId="38BFA953" w:rsidR="00BC59F2" w:rsidRPr="007B1A0A" w:rsidRDefault="00BC59F2" w:rsidP="007B1A0A">
      <w:pPr>
        <w:pStyle w:val="Heading2"/>
        <w:spacing w:before="0"/>
        <w:rPr>
          <w:color w:val="0F6FC6" w:themeColor="accent1"/>
        </w:rPr>
      </w:pPr>
      <w:bookmarkStart w:id="147" w:name="_Toc229390818"/>
      <w:proofErr w:type="spellStart"/>
      <w:r w:rsidRPr="007B1A0A">
        <w:rPr>
          <w:color w:val="0F6FC6" w:themeColor="accent1"/>
        </w:rPr>
        <w:lastRenderedPageBreak/>
        <w:t>Rezervat</w:t>
      </w:r>
      <w:proofErr w:type="spellEnd"/>
      <w:r w:rsidRPr="007B1A0A">
        <w:rPr>
          <w:color w:val="0F6FC6" w:themeColor="accent1"/>
        </w:rPr>
        <w:t xml:space="preserve"> </w:t>
      </w:r>
      <w:proofErr w:type="spellStart"/>
      <w:r w:rsidRPr="007B1A0A">
        <w:rPr>
          <w:color w:val="0F6FC6" w:themeColor="accent1"/>
        </w:rPr>
        <w:t>dhe</w:t>
      </w:r>
      <w:proofErr w:type="spellEnd"/>
      <w:r w:rsidRPr="007B1A0A">
        <w:rPr>
          <w:color w:val="0F6FC6" w:themeColor="accent1"/>
        </w:rPr>
        <w:t xml:space="preserve"> Kontigjencat</w:t>
      </w:r>
      <w:bookmarkEnd w:id="147"/>
    </w:p>
    <w:p w14:paraId="734DE973" w14:textId="77777777" w:rsidR="00BC59F2" w:rsidRPr="00BC59F2" w:rsidRDefault="00BC59F2" w:rsidP="00BC59F2">
      <w:pPr>
        <w:spacing w:before="0" w:line="240" w:lineRule="auto"/>
        <w:rPr>
          <w:rFonts w:eastAsia="SimSun"/>
          <w:b/>
          <w:noProof/>
          <w:sz w:val="8"/>
          <w:szCs w:val="8"/>
          <w:lang w:val="sq-AL"/>
        </w:rPr>
      </w:pPr>
    </w:p>
    <w:p w14:paraId="44DF1480" w14:textId="790B1559" w:rsidR="00A551A4" w:rsidRDefault="00BC59F2" w:rsidP="00A551A4">
      <w:pPr>
        <w:spacing w:before="0" w:line="240" w:lineRule="auto"/>
        <w:rPr>
          <w:rFonts w:eastAsia="MS Mincho"/>
          <w:bCs/>
          <w:noProof/>
          <w:lang w:val="sq-AL"/>
        </w:rPr>
      </w:pPr>
      <w:r w:rsidRPr="00BC59F2">
        <w:rPr>
          <w:rFonts w:eastAsia="SimSun"/>
          <w:b/>
          <w:noProof/>
          <w:lang w:val="sq-AL"/>
        </w:rPr>
        <w:t>Fondi Rezervë i buxhetit të shtetit</w:t>
      </w:r>
      <w:r w:rsidRPr="00BC59F2">
        <w:rPr>
          <w:rFonts w:eastAsia="SimSun"/>
          <w:noProof/>
          <w:lang w:val="sq-AL"/>
        </w:rPr>
        <w:t xml:space="preserve"> i planifikuar në ligjin fillestar 2025 për </w:t>
      </w:r>
      <w:r w:rsidRPr="00BC59F2">
        <w:rPr>
          <w:rFonts w:eastAsia="MS Mincho"/>
          <w:bCs/>
          <w:noProof/>
          <w:lang w:val="sq-AL"/>
        </w:rPr>
        <w:t xml:space="preserve">6.7 </w:t>
      </w:r>
      <w:r w:rsidR="0056260B">
        <w:rPr>
          <w:rFonts w:eastAsia="MS Mincho"/>
          <w:bCs/>
          <w:noProof/>
          <w:lang w:val="sq-AL"/>
        </w:rPr>
        <w:t>miliardë</w:t>
      </w:r>
      <w:r w:rsidRPr="00BC59F2">
        <w:rPr>
          <w:rFonts w:eastAsia="MS Mincho"/>
          <w:bCs/>
          <w:noProof/>
          <w:lang w:val="sq-AL"/>
        </w:rPr>
        <w:t xml:space="preserve"> </w:t>
      </w:r>
      <w:r w:rsidR="0056260B">
        <w:rPr>
          <w:rFonts w:eastAsia="MS Mincho"/>
          <w:bCs/>
          <w:noProof/>
          <w:lang w:val="sq-AL"/>
        </w:rPr>
        <w:t>LEK</w:t>
      </w:r>
      <w:r w:rsidRPr="00BC59F2">
        <w:rPr>
          <w:rFonts w:eastAsia="MS Mincho"/>
          <w:bCs/>
          <w:noProof/>
          <w:lang w:val="sq-AL"/>
        </w:rPr>
        <w:t xml:space="preserve"> nga i cili: 3 </w:t>
      </w:r>
      <w:r w:rsidR="0056260B">
        <w:rPr>
          <w:rFonts w:eastAsia="MS Mincho"/>
          <w:bCs/>
          <w:noProof/>
          <w:lang w:val="sq-AL"/>
        </w:rPr>
        <w:t>miliardë</w:t>
      </w:r>
      <w:r w:rsidRPr="00BC59F2">
        <w:rPr>
          <w:rFonts w:eastAsia="MS Mincho"/>
          <w:bCs/>
          <w:noProof/>
          <w:lang w:val="sq-AL"/>
        </w:rPr>
        <w:t xml:space="preserve"> </w:t>
      </w:r>
      <w:r w:rsidR="0056260B">
        <w:rPr>
          <w:rFonts w:eastAsia="MS Mincho"/>
          <w:bCs/>
          <w:noProof/>
          <w:lang w:val="sq-AL"/>
        </w:rPr>
        <w:t>LEK</w:t>
      </w:r>
      <w:r w:rsidRPr="00BC59F2">
        <w:rPr>
          <w:rFonts w:eastAsia="MS Mincho"/>
          <w:bCs/>
          <w:noProof/>
          <w:lang w:val="sq-AL"/>
        </w:rPr>
        <w:t xml:space="preserve"> për raste të paparashikuara të njësive të qeverisjes së përgjithshme; 2.5 </w:t>
      </w:r>
      <w:r w:rsidR="0056260B">
        <w:rPr>
          <w:rFonts w:eastAsia="MS Mincho"/>
          <w:bCs/>
          <w:noProof/>
          <w:lang w:val="sq-AL"/>
        </w:rPr>
        <w:t>miliardë</w:t>
      </w:r>
      <w:r w:rsidRPr="00BC59F2">
        <w:rPr>
          <w:rFonts w:eastAsia="MS Mincho"/>
          <w:bCs/>
          <w:noProof/>
          <w:lang w:val="sq-AL"/>
        </w:rPr>
        <w:t xml:space="preserve"> </w:t>
      </w:r>
      <w:r w:rsidR="0056260B">
        <w:rPr>
          <w:rFonts w:eastAsia="MS Mincho"/>
          <w:bCs/>
          <w:noProof/>
          <w:lang w:val="sq-AL"/>
        </w:rPr>
        <w:t>LEK</w:t>
      </w:r>
      <w:r w:rsidRPr="00BC59F2">
        <w:rPr>
          <w:rFonts w:eastAsia="MS Mincho"/>
          <w:bCs/>
          <w:noProof/>
          <w:lang w:val="sq-AL"/>
        </w:rPr>
        <w:t xml:space="preserve"> për përballimin e kostos së zgjedhjeve të përgjithshme; 1.2 </w:t>
      </w:r>
      <w:r w:rsidR="0056260B">
        <w:rPr>
          <w:rFonts w:eastAsia="MS Mincho"/>
          <w:bCs/>
          <w:noProof/>
          <w:lang w:val="sq-AL"/>
        </w:rPr>
        <w:t>miliardë</w:t>
      </w:r>
      <w:r w:rsidRPr="00BC59F2">
        <w:rPr>
          <w:rFonts w:eastAsia="MS Mincho"/>
          <w:bCs/>
          <w:noProof/>
          <w:lang w:val="sq-AL"/>
        </w:rPr>
        <w:t xml:space="preserve"> </w:t>
      </w:r>
      <w:r w:rsidR="0056260B">
        <w:rPr>
          <w:rFonts w:eastAsia="MS Mincho"/>
          <w:bCs/>
          <w:noProof/>
          <w:lang w:val="sq-AL"/>
        </w:rPr>
        <w:t>LEK</w:t>
      </w:r>
      <w:r w:rsidRPr="00BC59F2">
        <w:rPr>
          <w:rFonts w:eastAsia="MS Mincho"/>
          <w:bCs/>
          <w:noProof/>
          <w:lang w:val="sq-AL"/>
        </w:rPr>
        <w:t xml:space="preserve"> për t’u përdorur </w:t>
      </w:r>
      <w:bookmarkStart w:id="148" w:name="_Hlk227151612"/>
      <w:r w:rsidRPr="00BC59F2">
        <w:rPr>
          <w:rFonts w:eastAsia="MS Mincho"/>
          <w:bCs/>
          <w:noProof/>
          <w:lang w:val="sq-AL"/>
        </w:rPr>
        <w:t xml:space="preserve">për projekte/aktivitete të njësive të qeverisjes qendrore në kuadër të planit të rritjes me Bashkimin Evropian </w:t>
      </w:r>
      <w:bookmarkEnd w:id="148"/>
      <w:r w:rsidRPr="00BC59F2">
        <w:rPr>
          <w:rFonts w:eastAsia="MS Mincho"/>
          <w:bCs/>
          <w:noProof/>
          <w:lang w:val="sq-AL"/>
        </w:rPr>
        <w:t>me VKM. Ky fond  është rishikuar me aktet normative të miratuara në vitin 2025 dhe konkretisht:</w:t>
      </w:r>
    </w:p>
    <w:p w14:paraId="52FBF324" w14:textId="7F719E9E" w:rsidR="00BC59F2" w:rsidRPr="00A551A4" w:rsidRDefault="00BC59F2">
      <w:pPr>
        <w:pStyle w:val="ListParagraph"/>
        <w:numPr>
          <w:ilvl w:val="0"/>
          <w:numId w:val="66"/>
        </w:numPr>
        <w:spacing w:before="0" w:line="240" w:lineRule="auto"/>
        <w:ind w:left="630" w:hanging="270"/>
        <w:rPr>
          <w:rFonts w:eastAsia="SimSun"/>
          <w:b/>
          <w:noProof/>
          <w:lang w:val="sq-AL"/>
        </w:rPr>
      </w:pPr>
      <w:r w:rsidRPr="00A551A4">
        <w:rPr>
          <w:b/>
          <w:noProof/>
          <w:kern w:val="2"/>
          <w:szCs w:val="16"/>
          <w:lang w:val="sq-AL"/>
          <w14:ligatures w14:val="standardContextual"/>
        </w:rPr>
        <w:t xml:space="preserve">Akti Normativ nr.6/2025: </w:t>
      </w:r>
    </w:p>
    <w:p w14:paraId="26AB8F6F" w14:textId="23E5679F" w:rsidR="00BC59F2" w:rsidRPr="00A551A4"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A551A4">
        <w:rPr>
          <w:rFonts w:eastAsia="Calibri" w:cs="Calibri"/>
          <w:i/>
          <w:noProof/>
          <w:szCs w:val="22"/>
          <w:lang w:val="sq-AL"/>
        </w:rPr>
        <w:t>Rriti vlerën e planifikuar të fondit rezervë për raste të paparashikuara me 1.2</w:t>
      </w:r>
      <w:r w:rsidR="0056260B">
        <w:rPr>
          <w:rFonts w:eastAsia="Calibri" w:cs="Calibri"/>
          <w:i/>
          <w:noProof/>
          <w:szCs w:val="22"/>
          <w:lang w:val="sq-AL"/>
        </w:rPr>
        <w:t>miliardë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duke e cuar nivelin ligjor në 4.2</w:t>
      </w:r>
      <w:r w:rsidR="00F023A7">
        <w:rPr>
          <w:rFonts w:eastAsia="Calibri" w:cs="Calibri"/>
          <w:i/>
          <w:noProof/>
          <w:szCs w:val="22"/>
          <w:lang w:val="sq-AL"/>
        </w:rPr>
        <w:t xml:space="preserve"> </w:t>
      </w:r>
      <w:r w:rsidR="0056260B">
        <w:rPr>
          <w:rFonts w:eastAsia="Calibri" w:cs="Calibri"/>
          <w:i/>
          <w:noProof/>
          <w:szCs w:val="22"/>
          <w:lang w:val="sq-AL"/>
        </w:rPr>
        <w:t>miliardë</w:t>
      </w:r>
      <w:r w:rsidRPr="00A551A4">
        <w:rPr>
          <w:rFonts w:eastAsia="Calibri" w:cs="Calibri"/>
          <w:i/>
          <w:noProof/>
          <w:szCs w:val="22"/>
          <w:lang w:val="sq-AL"/>
        </w:rPr>
        <w:t xml:space="preserve"> LEK.</w:t>
      </w:r>
    </w:p>
    <w:p w14:paraId="1EAA699F" w14:textId="676926AB" w:rsidR="00BC59F2" w:rsidRPr="00A551A4"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bookmarkStart w:id="149" w:name="_Hlk227151927"/>
      <w:r w:rsidRPr="00A551A4">
        <w:rPr>
          <w:rFonts w:eastAsia="Calibri" w:cs="Calibri"/>
          <w:i/>
          <w:noProof/>
          <w:szCs w:val="22"/>
          <w:lang w:val="sq-AL"/>
        </w:rPr>
        <w:t xml:space="preserve">Mban të pandryshuar fondin prej 2.5 </w:t>
      </w:r>
      <w:r w:rsidR="0056260B">
        <w:rPr>
          <w:rFonts w:eastAsia="Calibri" w:cs="Calibri"/>
          <w:i/>
          <w:noProof/>
          <w:szCs w:val="22"/>
          <w:lang w:val="sq-AL"/>
        </w:rPr>
        <w:t>miliardë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për përballimin e kostove për zgjedhjet.</w:t>
      </w:r>
    </w:p>
    <w:bookmarkEnd w:id="149"/>
    <w:p w14:paraId="0AA2B981" w14:textId="5B179607" w:rsidR="00BC59F2" w:rsidRPr="00A551A4"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A551A4">
        <w:rPr>
          <w:rFonts w:eastAsia="Calibri" w:cs="Calibri"/>
          <w:i/>
          <w:noProof/>
          <w:szCs w:val="22"/>
          <w:lang w:val="sq-AL"/>
        </w:rPr>
        <w:t xml:space="preserve">Pakëson fondin 1.2 </w:t>
      </w:r>
      <w:r w:rsidR="0056260B">
        <w:rPr>
          <w:rFonts w:eastAsia="Calibri" w:cs="Calibri"/>
          <w:i/>
          <w:noProof/>
          <w:szCs w:val="22"/>
          <w:lang w:val="sq-AL"/>
        </w:rPr>
        <w:t>miliardë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për projekte/aktivitete të njësive të qeverisjes qendrore në kuadër të planit të rritjes me Bashkimin Evropian.</w:t>
      </w:r>
    </w:p>
    <w:p w14:paraId="1FB33AF2" w14:textId="77777777" w:rsidR="00BC59F2" w:rsidRPr="00A551A4" w:rsidRDefault="00BC59F2">
      <w:pPr>
        <w:pStyle w:val="ListParagraph"/>
        <w:numPr>
          <w:ilvl w:val="0"/>
          <w:numId w:val="66"/>
        </w:numPr>
        <w:spacing w:before="0" w:line="240" w:lineRule="auto"/>
        <w:ind w:left="630" w:hanging="270"/>
        <w:rPr>
          <w:b/>
          <w:noProof/>
          <w:kern w:val="2"/>
          <w:szCs w:val="16"/>
          <w:lang w:val="sq-AL"/>
          <w14:ligatures w14:val="standardContextual"/>
        </w:rPr>
      </w:pPr>
      <w:r w:rsidRPr="00A551A4">
        <w:rPr>
          <w:b/>
          <w:noProof/>
          <w:kern w:val="2"/>
          <w:szCs w:val="16"/>
          <w:lang w:val="sq-AL"/>
          <w14:ligatures w14:val="standardContextual"/>
        </w:rPr>
        <w:t>Akti Normativ nr.10/2025:</w:t>
      </w:r>
    </w:p>
    <w:p w14:paraId="39E9086B" w14:textId="5C5789B0" w:rsidR="00BC59F2" w:rsidRPr="00A551A4"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A551A4">
        <w:rPr>
          <w:rFonts w:eastAsia="Calibri" w:cs="Calibri"/>
          <w:i/>
          <w:noProof/>
          <w:szCs w:val="22"/>
          <w:lang w:val="sq-AL"/>
        </w:rPr>
        <w:t xml:space="preserve">Uli vlerën e planifikuar të fondit rezervë për raste të paparashikuara në </w:t>
      </w:r>
      <w:r w:rsidR="000A275E" w:rsidRPr="00A551A4">
        <w:rPr>
          <w:rFonts w:eastAsia="Calibri" w:cs="Calibri"/>
          <w:i/>
          <w:noProof/>
          <w:szCs w:val="22"/>
          <w:lang w:val="sq-AL"/>
        </w:rPr>
        <w:t xml:space="preserve">nivelin </w:t>
      </w:r>
      <w:r w:rsidRPr="00A551A4">
        <w:rPr>
          <w:rFonts w:eastAsia="Calibri" w:cs="Calibri"/>
          <w:i/>
          <w:noProof/>
          <w:szCs w:val="22"/>
          <w:lang w:val="sq-AL"/>
        </w:rPr>
        <w:t>2.9</w:t>
      </w:r>
      <w:r w:rsidR="0056260B">
        <w:rPr>
          <w:rFonts w:eastAsia="Calibri" w:cs="Calibri"/>
          <w:i/>
          <w:noProof/>
          <w:szCs w:val="22"/>
          <w:lang w:val="sq-AL"/>
        </w:rPr>
        <w:t>miliardë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w:t>
      </w:r>
    </w:p>
    <w:p w14:paraId="3BF4B4AF" w14:textId="274655D9" w:rsidR="00BC59F2" w:rsidRPr="00A551A4"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A551A4">
        <w:rPr>
          <w:rFonts w:eastAsia="Calibri" w:cs="Calibri"/>
          <w:i/>
          <w:noProof/>
          <w:szCs w:val="22"/>
          <w:lang w:val="sq-AL"/>
        </w:rPr>
        <w:t xml:space="preserve">Mban të pandryshuar fondin prej 2.5 </w:t>
      </w:r>
      <w:r w:rsidR="0056260B">
        <w:rPr>
          <w:rFonts w:eastAsia="Calibri" w:cs="Calibri"/>
          <w:i/>
          <w:noProof/>
          <w:szCs w:val="22"/>
          <w:lang w:val="sq-AL"/>
        </w:rPr>
        <w:t>miliardë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për përballimin e kostove për zgjedhjet.</w:t>
      </w:r>
    </w:p>
    <w:p w14:paraId="0D31C986" w14:textId="77777777" w:rsidR="00A551A4" w:rsidRPr="00A551A4" w:rsidRDefault="00A551A4" w:rsidP="00A551A4">
      <w:pPr>
        <w:spacing w:before="0" w:line="240" w:lineRule="auto"/>
        <w:rPr>
          <w:rFonts w:eastAsia="SimSun"/>
          <w:bCs/>
          <w:noProof/>
          <w:sz w:val="16"/>
          <w:szCs w:val="18"/>
          <w:lang w:val="sq-AL"/>
        </w:rPr>
      </w:pPr>
    </w:p>
    <w:p w14:paraId="35C45FD0" w14:textId="62D1EF33" w:rsidR="00BC59F2" w:rsidRPr="00BC59F2" w:rsidRDefault="00BC59F2" w:rsidP="00A551A4">
      <w:pPr>
        <w:spacing w:before="0" w:line="240" w:lineRule="auto"/>
        <w:rPr>
          <w:rFonts w:eastAsia="SimSun"/>
          <w:bCs/>
          <w:noProof/>
          <w:lang w:val="sq-AL"/>
        </w:rPr>
      </w:pPr>
      <w:r w:rsidRPr="00BC59F2">
        <w:rPr>
          <w:rFonts w:eastAsia="SimSun"/>
          <w:bCs/>
          <w:noProof/>
          <w:lang w:val="sq-AL"/>
        </w:rPr>
        <w:t xml:space="preserve">Gjatë vitit 2025 rezultoi se </w:t>
      </w:r>
      <w:r w:rsidRPr="00A551A4">
        <w:rPr>
          <w:rFonts w:eastAsia="SimSun"/>
          <w:b/>
          <w:noProof/>
          <w:lang w:val="sq-AL"/>
        </w:rPr>
        <w:t>Fondi Rezervë për raste të paparashikuara</w:t>
      </w:r>
      <w:r w:rsidRPr="00BC59F2">
        <w:rPr>
          <w:rFonts w:eastAsia="SimSun"/>
          <w:bCs/>
          <w:noProof/>
          <w:lang w:val="sq-AL"/>
        </w:rPr>
        <w:t xml:space="preserve"> të njësive të qeverisjes së përgjithshme prej 2.9 </w:t>
      </w:r>
      <w:r w:rsidR="0056260B">
        <w:rPr>
          <w:rFonts w:eastAsia="SimSun"/>
          <w:bCs/>
          <w:noProof/>
          <w:lang w:val="sq-AL"/>
        </w:rPr>
        <w:t>miliardë</w:t>
      </w:r>
      <w:r w:rsidRPr="00BC59F2">
        <w:rPr>
          <w:rFonts w:eastAsia="SimSun"/>
          <w:bCs/>
          <w:noProof/>
          <w:lang w:val="sq-AL"/>
        </w:rPr>
        <w:t xml:space="preserve"> LEK është përdorur në masën rreth 2 430 </w:t>
      </w:r>
      <w:r w:rsidR="0056260B">
        <w:rPr>
          <w:rFonts w:eastAsia="SimSun"/>
          <w:bCs/>
          <w:noProof/>
          <w:lang w:val="sq-AL"/>
        </w:rPr>
        <w:t>milionë</w:t>
      </w:r>
      <w:r w:rsidRPr="00BC59F2">
        <w:rPr>
          <w:rFonts w:eastAsia="SimSun"/>
          <w:bCs/>
          <w:noProof/>
          <w:lang w:val="sq-AL"/>
        </w:rPr>
        <w:t xml:space="preserve"> LEK, nga të cilat:</w:t>
      </w:r>
    </w:p>
    <w:p w14:paraId="499C77EB" w14:textId="701506EA" w:rsidR="00BC59F2" w:rsidRPr="00A551A4" w:rsidRDefault="00BC59F2">
      <w:pPr>
        <w:numPr>
          <w:ilvl w:val="1"/>
          <w:numId w:val="39"/>
        </w:numPr>
        <w:tabs>
          <w:tab w:val="left" w:pos="426"/>
        </w:tabs>
        <w:spacing w:before="0" w:after="160" w:line="240" w:lineRule="auto"/>
        <w:ind w:left="1080" w:hanging="270"/>
        <w:contextualSpacing/>
        <w:rPr>
          <w:rFonts w:eastAsia="Calibri" w:cs="Calibri"/>
          <w:i/>
          <w:noProof/>
          <w:szCs w:val="22"/>
          <w:lang w:val="sq-AL"/>
        </w:rPr>
      </w:pPr>
      <w:r w:rsidRPr="00A551A4">
        <w:rPr>
          <w:rFonts w:eastAsia="Calibri" w:cs="Calibri"/>
          <w:i/>
          <w:noProof/>
          <w:szCs w:val="22"/>
          <w:lang w:val="sq-AL"/>
        </w:rPr>
        <w:t>Rreth 2</w:t>
      </w:r>
      <w:r w:rsidR="00C54373">
        <w:rPr>
          <w:rFonts w:eastAsia="Calibri" w:cs="Calibri"/>
          <w:i/>
          <w:noProof/>
          <w:szCs w:val="22"/>
          <w:lang w:val="sq-AL"/>
        </w:rPr>
        <w:t>mld</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ose 69.1% e planit për shpenzime operative dhe transferta të brendshme</w:t>
      </w:r>
      <w:r w:rsidR="00A551A4">
        <w:rPr>
          <w:rFonts w:eastAsia="Calibri" w:cs="Calibri"/>
          <w:i/>
          <w:noProof/>
          <w:szCs w:val="22"/>
          <w:lang w:val="sq-AL"/>
        </w:rPr>
        <w:t>/</w:t>
      </w:r>
      <w:r w:rsidRPr="00A551A4">
        <w:rPr>
          <w:rFonts w:eastAsia="Calibri" w:cs="Calibri"/>
          <w:i/>
          <w:noProof/>
          <w:szCs w:val="22"/>
          <w:lang w:val="sq-AL"/>
        </w:rPr>
        <w:t xml:space="preserve"> jashtme.</w:t>
      </w:r>
    </w:p>
    <w:p w14:paraId="12B1458B" w14:textId="65E6D538" w:rsidR="00BC59F2" w:rsidRPr="00A551A4" w:rsidRDefault="00BC59F2">
      <w:pPr>
        <w:numPr>
          <w:ilvl w:val="1"/>
          <w:numId w:val="39"/>
        </w:numPr>
        <w:tabs>
          <w:tab w:val="left" w:pos="426"/>
        </w:tabs>
        <w:spacing w:before="0" w:after="160" w:line="240" w:lineRule="auto"/>
        <w:ind w:left="1080" w:hanging="270"/>
        <w:contextualSpacing/>
        <w:rPr>
          <w:rFonts w:eastAsia="Calibri" w:cs="Calibri"/>
          <w:i/>
          <w:noProof/>
          <w:szCs w:val="22"/>
          <w:lang w:val="sq-AL"/>
        </w:rPr>
      </w:pPr>
      <w:r w:rsidRPr="00A551A4">
        <w:rPr>
          <w:rFonts w:eastAsia="Calibri" w:cs="Calibri"/>
          <w:i/>
          <w:noProof/>
          <w:szCs w:val="22"/>
          <w:lang w:val="sq-AL"/>
        </w:rPr>
        <w:t xml:space="preserve">Rreth 326.4 </w:t>
      </w:r>
      <w:r w:rsidR="0056260B">
        <w:rPr>
          <w:rFonts w:eastAsia="Calibri" w:cs="Calibri"/>
          <w:i/>
          <w:noProof/>
          <w:szCs w:val="22"/>
          <w:lang w:val="sq-AL"/>
        </w:rPr>
        <w:t>milionë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ose 11.3% e planit për shpenzime personeli.</w:t>
      </w:r>
    </w:p>
    <w:p w14:paraId="35C5B0CD" w14:textId="74DED8D1" w:rsidR="00BC59F2" w:rsidRPr="00A551A4" w:rsidRDefault="00BC59F2">
      <w:pPr>
        <w:numPr>
          <w:ilvl w:val="1"/>
          <w:numId w:val="39"/>
        </w:numPr>
        <w:tabs>
          <w:tab w:val="left" w:pos="426"/>
        </w:tabs>
        <w:spacing w:before="0" w:after="160" w:line="240" w:lineRule="auto"/>
        <w:ind w:left="1080" w:hanging="270"/>
        <w:contextualSpacing/>
        <w:rPr>
          <w:rFonts w:eastAsia="Calibri" w:cs="Calibri"/>
          <w:i/>
          <w:noProof/>
          <w:szCs w:val="22"/>
          <w:lang w:val="sq-AL"/>
        </w:rPr>
      </w:pPr>
      <w:r w:rsidRPr="00A551A4">
        <w:rPr>
          <w:rFonts w:eastAsia="Calibri" w:cs="Calibri"/>
          <w:i/>
          <w:noProof/>
          <w:szCs w:val="22"/>
          <w:lang w:val="sq-AL"/>
        </w:rPr>
        <w:t xml:space="preserve">Rreth 98.6 </w:t>
      </w:r>
      <w:r w:rsidR="0056260B">
        <w:rPr>
          <w:rFonts w:eastAsia="Calibri" w:cs="Calibri"/>
          <w:i/>
          <w:noProof/>
          <w:szCs w:val="22"/>
          <w:lang w:val="sq-AL"/>
        </w:rPr>
        <w:t>milionë</w:t>
      </w:r>
      <w:r w:rsidRPr="00A551A4">
        <w:rPr>
          <w:rFonts w:eastAsia="Calibri" w:cs="Calibri"/>
          <w:i/>
          <w:noProof/>
          <w:szCs w:val="22"/>
          <w:lang w:val="sq-AL"/>
        </w:rPr>
        <w:t xml:space="preserve"> </w:t>
      </w:r>
      <w:r w:rsidR="0056260B">
        <w:rPr>
          <w:rFonts w:eastAsia="Calibri" w:cs="Calibri"/>
          <w:i/>
          <w:noProof/>
          <w:szCs w:val="22"/>
          <w:lang w:val="sq-AL"/>
        </w:rPr>
        <w:t>LEK</w:t>
      </w:r>
      <w:r w:rsidRPr="00A551A4">
        <w:rPr>
          <w:rFonts w:eastAsia="Calibri" w:cs="Calibri"/>
          <w:i/>
          <w:noProof/>
          <w:szCs w:val="22"/>
          <w:lang w:val="sq-AL"/>
        </w:rPr>
        <w:t xml:space="preserve"> ose 3.4% e planit, janë akorduar për shpenzime kapitale.</w:t>
      </w:r>
    </w:p>
    <w:p w14:paraId="6A355189" w14:textId="77777777" w:rsidR="00A551A4" w:rsidRPr="00A551A4" w:rsidRDefault="00A551A4" w:rsidP="00A551A4">
      <w:pPr>
        <w:spacing w:line="240" w:lineRule="auto"/>
        <w:contextualSpacing/>
        <w:rPr>
          <w:bCs/>
          <w:noProof/>
          <w:kern w:val="2"/>
          <w:sz w:val="16"/>
          <w:szCs w:val="16"/>
          <w:lang w:val="sq-AL"/>
          <w14:ligatures w14:val="standardContextual"/>
        </w:rPr>
      </w:pPr>
    </w:p>
    <w:p w14:paraId="7C1C7100" w14:textId="2ACEB4BE" w:rsidR="00BC59F2" w:rsidRPr="00BC59F2" w:rsidRDefault="00BC59F2" w:rsidP="00A551A4">
      <w:pPr>
        <w:spacing w:line="240" w:lineRule="auto"/>
        <w:contextualSpacing/>
        <w:rPr>
          <w:bCs/>
          <w:noProof/>
          <w:kern w:val="2"/>
          <w:szCs w:val="22"/>
          <w:lang w:val="sq-AL"/>
          <w14:ligatures w14:val="standardContextual"/>
        </w:rPr>
      </w:pPr>
      <w:r w:rsidRPr="00A551A4">
        <w:rPr>
          <w:b/>
          <w:noProof/>
          <w:kern w:val="2"/>
          <w:szCs w:val="22"/>
          <w:lang w:val="sq-AL"/>
          <w14:ligatures w14:val="standardContextual"/>
        </w:rPr>
        <w:t>Fondi Rezervë “</w:t>
      </w:r>
      <w:r w:rsidRPr="00A551A4">
        <w:rPr>
          <w:b/>
          <w:i/>
          <w:iCs/>
          <w:noProof/>
          <w:kern w:val="2"/>
          <w:szCs w:val="22"/>
          <w:lang w:val="sq-AL"/>
          <w14:ligatures w14:val="standardContextual"/>
        </w:rPr>
        <w:t>Për përballimin e kostos së zgjedhjeve të përgjithshme për vitin 2025</w:t>
      </w:r>
      <w:r w:rsidRPr="00A551A4">
        <w:rPr>
          <w:b/>
          <w:noProof/>
          <w:kern w:val="2"/>
          <w:szCs w:val="22"/>
          <w:lang w:val="sq-AL"/>
          <w14:ligatures w14:val="standardContextual"/>
        </w:rPr>
        <w:t>”</w:t>
      </w:r>
      <w:r w:rsidRPr="00BC59F2">
        <w:rPr>
          <w:bCs/>
          <w:noProof/>
          <w:kern w:val="2"/>
          <w:szCs w:val="22"/>
          <w:lang w:val="sq-AL"/>
          <w14:ligatures w14:val="standardContextual"/>
        </w:rPr>
        <w:t xml:space="preserve"> i planifikuar në masën 2.5 </w:t>
      </w:r>
      <w:r w:rsidR="0056260B">
        <w:rPr>
          <w:bCs/>
          <w:noProof/>
          <w:kern w:val="2"/>
          <w:szCs w:val="22"/>
          <w:lang w:val="sq-AL"/>
          <w14:ligatures w14:val="standardContextual"/>
        </w:rPr>
        <w:t>miliardë</w:t>
      </w:r>
      <w:r w:rsidRPr="00BC59F2">
        <w:rPr>
          <w:bCs/>
          <w:noProof/>
          <w:kern w:val="2"/>
          <w:szCs w:val="22"/>
          <w:lang w:val="sq-AL"/>
          <w14:ligatures w14:val="standardContextual"/>
        </w:rPr>
        <w:t xml:space="preserve"> </w:t>
      </w:r>
      <w:r w:rsidR="0056260B">
        <w:rPr>
          <w:bCs/>
          <w:noProof/>
          <w:kern w:val="2"/>
          <w:szCs w:val="22"/>
          <w:lang w:val="sq-AL"/>
          <w14:ligatures w14:val="standardContextual"/>
        </w:rPr>
        <w:t>LEK</w:t>
      </w:r>
      <w:r w:rsidRPr="00BC59F2">
        <w:rPr>
          <w:bCs/>
          <w:noProof/>
          <w:kern w:val="2"/>
          <w:szCs w:val="22"/>
          <w:lang w:val="sq-AL"/>
          <w14:ligatures w14:val="standardContextual"/>
        </w:rPr>
        <w:t xml:space="preserve">sh, është akorduar </w:t>
      </w:r>
      <w:r w:rsidR="00166B1B">
        <w:rPr>
          <w:bCs/>
          <w:noProof/>
          <w:kern w:val="2"/>
          <w:szCs w:val="22"/>
          <w:lang w:val="sq-AL"/>
          <w14:ligatures w14:val="standardContextual"/>
        </w:rPr>
        <w:t xml:space="preserve">për </w:t>
      </w:r>
      <w:r w:rsidRPr="00BC59F2">
        <w:rPr>
          <w:bCs/>
          <w:noProof/>
          <w:kern w:val="2"/>
          <w:szCs w:val="22"/>
          <w:lang w:val="sq-AL"/>
          <w14:ligatures w14:val="standardContextual"/>
        </w:rPr>
        <w:t>KQZ përmes VKM nr.47 datë 22.01.2025 “</w:t>
      </w:r>
      <w:r w:rsidRPr="00166B1B">
        <w:rPr>
          <w:bCs/>
          <w:i/>
          <w:iCs/>
          <w:noProof/>
          <w:kern w:val="2"/>
          <w:szCs w:val="22"/>
          <w:lang w:val="sq-AL"/>
          <w14:ligatures w14:val="standardContextual"/>
        </w:rPr>
        <w:t>Për një shtesë fondi në buxhetin e vitit 2025, miratuar për KQZ, për organizimin e zgjedhjeve në Kuvend të dt. 11 Maj 2025</w:t>
      </w:r>
      <w:r w:rsidRPr="00BC59F2">
        <w:rPr>
          <w:bCs/>
          <w:noProof/>
          <w:kern w:val="2"/>
          <w:szCs w:val="22"/>
          <w:lang w:val="sq-AL"/>
          <w14:ligatures w14:val="standardContextual"/>
        </w:rPr>
        <w:t xml:space="preserve">”. </w:t>
      </w:r>
    </w:p>
    <w:p w14:paraId="6A28069B" w14:textId="77777777" w:rsidR="00BC59F2" w:rsidRPr="00BC59F2" w:rsidRDefault="00BC59F2" w:rsidP="00A551A4">
      <w:pPr>
        <w:spacing w:before="0" w:line="240" w:lineRule="auto"/>
        <w:rPr>
          <w:bCs/>
          <w:iCs/>
          <w:noProof/>
          <w:sz w:val="16"/>
          <w:szCs w:val="18"/>
          <w:lang w:val="sq-AL"/>
        </w:rPr>
      </w:pPr>
    </w:p>
    <w:p w14:paraId="1C926105" w14:textId="7B90679C" w:rsidR="00BC59F2" w:rsidRPr="00BC59F2" w:rsidRDefault="00BC59F2" w:rsidP="00A551A4">
      <w:pPr>
        <w:spacing w:before="0" w:line="240" w:lineRule="auto"/>
        <w:rPr>
          <w:noProof/>
          <w:lang w:val="sq-AL"/>
        </w:rPr>
      </w:pPr>
      <w:r w:rsidRPr="00BC59F2">
        <w:rPr>
          <w:b/>
          <w:iCs/>
          <w:noProof/>
          <w:lang w:val="sq-AL"/>
        </w:rPr>
        <w:t>Fondi i Kontigjencës për risqet e borxhit</w:t>
      </w:r>
      <w:r w:rsidRPr="00BC59F2">
        <w:rPr>
          <w:noProof/>
          <w:lang w:val="sq-AL"/>
        </w:rPr>
        <w:t xml:space="preserve"> i planifikuar në masën 5.85</w:t>
      </w:r>
      <w:r w:rsidR="00C54373">
        <w:rPr>
          <w:noProof/>
          <w:lang w:val="sq-AL"/>
        </w:rPr>
        <w:t xml:space="preserve"> </w:t>
      </w:r>
      <w:r w:rsidR="0056260B">
        <w:rPr>
          <w:noProof/>
          <w:lang w:val="sq-AL"/>
        </w:rPr>
        <w:t>miliardë</w:t>
      </w:r>
      <w:r w:rsidRPr="00BC59F2">
        <w:rPr>
          <w:noProof/>
          <w:lang w:val="sq-AL"/>
        </w:rPr>
        <w:t xml:space="preserve"> LEK, deri më datë 31.12.2025 rezultoi i papërdorur.</w:t>
      </w:r>
    </w:p>
    <w:p w14:paraId="36A0C832" w14:textId="77777777" w:rsidR="00BC59F2" w:rsidRPr="00BC59F2" w:rsidRDefault="00BC59F2" w:rsidP="00BC59F2">
      <w:pPr>
        <w:spacing w:before="0" w:line="240" w:lineRule="auto"/>
        <w:rPr>
          <w:rFonts w:eastAsia="MS Mincho"/>
          <w:iCs/>
          <w:noProof/>
          <w:sz w:val="8"/>
          <w:szCs w:val="10"/>
          <w:lang w:val="sq-AL"/>
        </w:rPr>
      </w:pPr>
    </w:p>
    <w:p w14:paraId="512CF5AA" w14:textId="2A2A7F15" w:rsidR="00BC59F2" w:rsidRPr="000A275E" w:rsidRDefault="00BC59F2" w:rsidP="000A275E">
      <w:pPr>
        <w:shd w:val="clear" w:color="auto" w:fill="D9D9D9" w:themeFill="background1" w:themeFillShade="D9"/>
        <w:spacing w:before="0" w:line="240" w:lineRule="auto"/>
        <w:contextualSpacing/>
        <w:rPr>
          <w:rFonts w:eastAsia="SimSun"/>
          <w:i/>
          <w:noProof/>
          <w:lang w:val="sq-AL"/>
        </w:rPr>
      </w:pPr>
      <w:r w:rsidRPr="000A275E">
        <w:rPr>
          <w:rFonts w:eastAsia="SimSun"/>
          <w:i/>
          <w:noProof/>
          <w:lang w:val="sq-AL"/>
        </w:rPr>
        <w:t>Në mënyrë të detajuar</w:t>
      </w:r>
      <w:r w:rsidR="00166B1B">
        <w:rPr>
          <w:rFonts w:eastAsia="SimSun"/>
          <w:i/>
          <w:noProof/>
          <w:lang w:val="sq-AL"/>
        </w:rPr>
        <w:t>,</w:t>
      </w:r>
      <w:r w:rsidRPr="000A275E">
        <w:rPr>
          <w:rFonts w:eastAsia="SimSun"/>
          <w:i/>
          <w:noProof/>
          <w:lang w:val="sq-AL"/>
        </w:rPr>
        <w:t xml:space="preserve"> fondet e akorduara </w:t>
      </w:r>
      <w:r w:rsidR="00166B1B">
        <w:rPr>
          <w:rFonts w:eastAsia="SimSun"/>
          <w:i/>
          <w:noProof/>
          <w:lang w:val="sq-AL"/>
        </w:rPr>
        <w:t xml:space="preserve">si mësipër cituar </w:t>
      </w:r>
      <w:r w:rsidRPr="000A275E">
        <w:rPr>
          <w:rFonts w:eastAsia="SimSun"/>
          <w:i/>
          <w:noProof/>
          <w:lang w:val="sq-AL"/>
        </w:rPr>
        <w:t xml:space="preserve">paraqiten në </w:t>
      </w:r>
      <w:r w:rsidRPr="00072BA1">
        <w:rPr>
          <w:rFonts w:eastAsia="SimSun"/>
          <w:b/>
          <w:iCs/>
          <w:noProof/>
          <w:lang w:val="sq-AL"/>
        </w:rPr>
        <w:t>Aneksin ç)</w:t>
      </w:r>
      <w:r w:rsidRPr="000A275E">
        <w:rPr>
          <w:rFonts w:eastAsia="SimSun"/>
          <w:b/>
          <w:i/>
          <w:noProof/>
          <w:lang w:val="sq-AL"/>
        </w:rPr>
        <w:t xml:space="preserve"> “Tabela analitike e përdorimit të Fondit Rezervë dhe Kontigjencave 2025”</w:t>
      </w:r>
      <w:r w:rsidRPr="000A275E">
        <w:rPr>
          <w:rFonts w:eastAsia="SimSun"/>
          <w:i/>
          <w:noProof/>
          <w:lang w:val="sq-AL"/>
        </w:rPr>
        <w:t>.</w:t>
      </w:r>
    </w:p>
    <w:p w14:paraId="44D949E2" w14:textId="77777777" w:rsidR="00BC59F2" w:rsidRPr="00BC59F2" w:rsidRDefault="00BC59F2" w:rsidP="00BC59F2">
      <w:pPr>
        <w:spacing w:before="0" w:line="240" w:lineRule="auto"/>
        <w:rPr>
          <w:rFonts w:eastAsia="MS Gothic" w:cs="Calibri"/>
          <w:b/>
          <w:bCs/>
          <w:noProof/>
          <w:lang w:val="sq-AL"/>
        </w:rPr>
      </w:pPr>
    </w:p>
    <w:p w14:paraId="5EF435BF" w14:textId="34FEDCD1" w:rsidR="00BC59F2" w:rsidRPr="00BC59F2" w:rsidRDefault="00BC59F2" w:rsidP="00BC59F2">
      <w:pPr>
        <w:spacing w:before="0" w:line="240" w:lineRule="auto"/>
        <w:rPr>
          <w:iCs/>
          <w:lang w:val="sq-AL"/>
        </w:rPr>
      </w:pPr>
      <w:bookmarkStart w:id="150" w:name="_Hlk227592967"/>
      <w:r w:rsidRPr="00BC59F2">
        <w:rPr>
          <w:rFonts w:eastAsia="MS Gothic" w:cs="Calibri"/>
          <w:b/>
          <w:bCs/>
          <w:noProof/>
          <w:lang w:val="sq-AL"/>
        </w:rPr>
        <w:t>Fondi për Indeksimin e Pensioneve</w:t>
      </w:r>
      <w:r w:rsidRPr="00BC59F2">
        <w:rPr>
          <w:iCs/>
          <w:lang w:val="sq-AL"/>
        </w:rPr>
        <w:t xml:space="preserve">, i planifikuar në nivelin 1.14 </w:t>
      </w:r>
      <w:r w:rsidR="0056260B">
        <w:rPr>
          <w:iCs/>
          <w:lang w:val="sq-AL"/>
        </w:rPr>
        <w:t>miliardë</w:t>
      </w:r>
      <w:r w:rsidRPr="00BC59F2">
        <w:rPr>
          <w:iCs/>
          <w:lang w:val="sq-AL"/>
        </w:rPr>
        <w:t xml:space="preserve"> LEK është përdorur në masën 100% të tij, në zbatim të VKM nr.590/2025 “</w:t>
      </w:r>
      <w:r w:rsidRPr="00BC59F2">
        <w:rPr>
          <w:i/>
          <w:lang w:val="sq-AL"/>
        </w:rPr>
        <w:t>Për indeksimin e pensioneve</w:t>
      </w:r>
      <w:r w:rsidRPr="00BC59F2">
        <w:rPr>
          <w:iCs/>
          <w:lang w:val="sq-AL"/>
        </w:rPr>
        <w:t>”, si më poshtë:</w:t>
      </w:r>
    </w:p>
    <w:p w14:paraId="59BEC7A3" w14:textId="628144B8" w:rsidR="00BC59F2" w:rsidRPr="00166B1B"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166B1B">
        <w:rPr>
          <w:rFonts w:eastAsia="Calibri" w:cs="Calibri"/>
          <w:i/>
          <w:noProof/>
          <w:szCs w:val="22"/>
          <w:lang w:val="sq-AL"/>
        </w:rPr>
        <w:t xml:space="preserve">Për MEI në masën prej  1 111 </w:t>
      </w:r>
      <w:r w:rsidR="0056260B">
        <w:rPr>
          <w:rFonts w:eastAsia="Calibri" w:cs="Calibri"/>
          <w:i/>
          <w:noProof/>
          <w:szCs w:val="22"/>
          <w:lang w:val="sq-AL"/>
        </w:rPr>
        <w:t>milionë</w:t>
      </w:r>
      <w:r w:rsidRPr="00166B1B">
        <w:rPr>
          <w:rFonts w:eastAsia="Calibri" w:cs="Calibri"/>
          <w:i/>
          <w:noProof/>
          <w:szCs w:val="22"/>
          <w:lang w:val="sq-AL"/>
        </w:rPr>
        <w:t xml:space="preserve"> LEK</w:t>
      </w:r>
    </w:p>
    <w:p w14:paraId="06FD9D99" w14:textId="7E6ACA65" w:rsidR="00BC59F2" w:rsidRPr="00166B1B" w:rsidRDefault="00BC59F2">
      <w:pPr>
        <w:numPr>
          <w:ilvl w:val="1"/>
          <w:numId w:val="39"/>
        </w:numPr>
        <w:tabs>
          <w:tab w:val="left" w:pos="426"/>
        </w:tabs>
        <w:spacing w:before="0" w:after="160" w:line="240" w:lineRule="auto"/>
        <w:ind w:left="1080" w:hanging="270"/>
        <w:contextualSpacing/>
        <w:jc w:val="left"/>
        <w:rPr>
          <w:rFonts w:eastAsia="Calibri" w:cs="Calibri"/>
          <w:i/>
          <w:noProof/>
          <w:szCs w:val="22"/>
          <w:lang w:val="sq-AL"/>
        </w:rPr>
      </w:pPr>
      <w:r w:rsidRPr="00166B1B">
        <w:rPr>
          <w:rFonts w:eastAsia="Calibri" w:cs="Calibri"/>
          <w:i/>
          <w:noProof/>
          <w:szCs w:val="22"/>
          <w:lang w:val="sq-AL"/>
        </w:rPr>
        <w:t xml:space="preserve">Për MM në masën prej 29 </w:t>
      </w:r>
      <w:r w:rsidR="0056260B">
        <w:rPr>
          <w:rFonts w:eastAsia="Calibri" w:cs="Calibri"/>
          <w:i/>
          <w:noProof/>
          <w:szCs w:val="22"/>
          <w:lang w:val="sq-AL"/>
        </w:rPr>
        <w:t>milionë</w:t>
      </w:r>
      <w:r w:rsidRPr="00166B1B">
        <w:rPr>
          <w:rFonts w:eastAsia="Calibri" w:cs="Calibri"/>
          <w:i/>
          <w:noProof/>
          <w:szCs w:val="22"/>
          <w:lang w:val="sq-AL"/>
        </w:rPr>
        <w:t xml:space="preserve"> LEK</w:t>
      </w:r>
    </w:p>
    <w:p w14:paraId="4A93A0D7" w14:textId="77777777" w:rsidR="00BC59F2" w:rsidRPr="000A275E" w:rsidRDefault="00BC59F2" w:rsidP="00BC59F2">
      <w:pPr>
        <w:spacing w:before="0" w:line="240" w:lineRule="auto"/>
        <w:rPr>
          <w:rFonts w:eastAsia="MS Gothic" w:cs="Calibri"/>
          <w:b/>
          <w:bCs/>
          <w:noProof/>
          <w:color w:val="0F6FC6"/>
          <w:sz w:val="12"/>
          <w:szCs w:val="14"/>
          <w:lang w:val="sq-AL"/>
        </w:rPr>
      </w:pPr>
    </w:p>
    <w:p w14:paraId="1C8E4308" w14:textId="7D60353E" w:rsidR="00BC59F2" w:rsidRDefault="00BC59F2" w:rsidP="00BC59F2">
      <w:pPr>
        <w:spacing w:before="0" w:line="240" w:lineRule="auto"/>
        <w:rPr>
          <w:iCs/>
          <w:lang w:val="sq-AL"/>
        </w:rPr>
      </w:pPr>
      <w:r w:rsidRPr="00BC59F2">
        <w:rPr>
          <w:rFonts w:eastAsia="MS Gothic" w:cs="Calibri"/>
          <w:b/>
          <w:bCs/>
          <w:noProof/>
          <w:lang w:val="sq-AL"/>
        </w:rPr>
        <w:t>Fondi  për Bonusin e Pensionistëve</w:t>
      </w:r>
      <w:r w:rsidRPr="00BC59F2">
        <w:rPr>
          <w:i/>
          <w:lang w:val="sq-AL"/>
        </w:rPr>
        <w:t xml:space="preserve">, </w:t>
      </w:r>
      <w:r w:rsidRPr="00BC59F2">
        <w:rPr>
          <w:iCs/>
          <w:lang w:val="sq-AL"/>
        </w:rPr>
        <w:t xml:space="preserve">i parashikuar në buxhetin fillestar 2025 në masën 3 750 </w:t>
      </w:r>
      <w:r w:rsidR="0056260B">
        <w:rPr>
          <w:iCs/>
          <w:lang w:val="sq-AL"/>
        </w:rPr>
        <w:t>milionë</w:t>
      </w:r>
      <w:r w:rsidRPr="00BC59F2">
        <w:rPr>
          <w:iCs/>
          <w:lang w:val="sq-AL"/>
        </w:rPr>
        <w:t xml:space="preserve"> </w:t>
      </w:r>
      <w:r w:rsidR="0056260B">
        <w:rPr>
          <w:iCs/>
          <w:lang w:val="sq-AL"/>
        </w:rPr>
        <w:t>LEK</w:t>
      </w:r>
      <w:r w:rsidRPr="00BC59F2">
        <w:rPr>
          <w:iCs/>
          <w:lang w:val="sq-AL"/>
        </w:rPr>
        <w:t xml:space="preserve"> dhe i </w:t>
      </w:r>
      <w:r w:rsidR="00C54373">
        <w:rPr>
          <w:iCs/>
          <w:lang w:val="sq-AL"/>
        </w:rPr>
        <w:t>shtuar</w:t>
      </w:r>
      <w:r w:rsidRPr="00BC59F2">
        <w:rPr>
          <w:iCs/>
          <w:lang w:val="sq-AL"/>
        </w:rPr>
        <w:t xml:space="preserve"> me AN nr.10/2025 në masën 9.7 </w:t>
      </w:r>
      <w:r w:rsidR="0056260B">
        <w:rPr>
          <w:iCs/>
          <w:lang w:val="sq-AL"/>
        </w:rPr>
        <w:t>miliardë</w:t>
      </w:r>
      <w:r w:rsidRPr="00BC59F2">
        <w:rPr>
          <w:iCs/>
          <w:lang w:val="sq-AL"/>
        </w:rPr>
        <w:t xml:space="preserve"> </w:t>
      </w:r>
      <w:r w:rsidR="0056260B">
        <w:rPr>
          <w:iCs/>
          <w:lang w:val="sq-AL"/>
        </w:rPr>
        <w:t>LEK</w:t>
      </w:r>
      <w:r w:rsidRPr="00BC59F2">
        <w:rPr>
          <w:iCs/>
          <w:lang w:val="sq-AL"/>
        </w:rPr>
        <w:t xml:space="preserve">, </w:t>
      </w:r>
      <w:r w:rsidR="00C54373">
        <w:rPr>
          <w:iCs/>
          <w:lang w:val="sq-AL"/>
        </w:rPr>
        <w:t>u</w:t>
      </w:r>
      <w:r w:rsidRPr="00BC59F2">
        <w:rPr>
          <w:iCs/>
          <w:lang w:val="sq-AL"/>
        </w:rPr>
        <w:t xml:space="preserve"> akordua në zbatim të VKM nr.711/2025 "</w:t>
      </w:r>
      <w:r w:rsidRPr="00BC59F2">
        <w:rPr>
          <w:i/>
          <w:lang w:val="sq-AL"/>
        </w:rPr>
        <w:t>Për shpërblimin e pensionistëve për festat e fundvitit 2025</w:t>
      </w:r>
      <w:r w:rsidRPr="00BC59F2">
        <w:rPr>
          <w:iCs/>
          <w:lang w:val="sq-AL"/>
        </w:rPr>
        <w:t>”.</w:t>
      </w:r>
    </w:p>
    <w:p w14:paraId="56C4571D" w14:textId="77777777" w:rsidR="007B1A0A" w:rsidRPr="00BC59F2" w:rsidRDefault="007B1A0A" w:rsidP="00BC59F2">
      <w:pPr>
        <w:spacing w:before="0" w:line="240" w:lineRule="auto"/>
        <w:rPr>
          <w:iCs/>
          <w:lang w:val="sq-AL"/>
        </w:rPr>
      </w:pPr>
    </w:p>
    <w:p w14:paraId="709DBCF3" w14:textId="530F998F" w:rsidR="00BC59F2" w:rsidRPr="007B1A0A" w:rsidRDefault="00BC59F2" w:rsidP="007B1A0A">
      <w:pPr>
        <w:pStyle w:val="Heading2"/>
        <w:spacing w:before="0"/>
        <w:rPr>
          <w:color w:val="0F6FC6" w:themeColor="accent1"/>
        </w:rPr>
      </w:pPr>
      <w:bookmarkStart w:id="151" w:name="_Toc229390819"/>
      <w:bookmarkEnd w:id="150"/>
      <w:proofErr w:type="spellStart"/>
      <w:r w:rsidRPr="007B1A0A">
        <w:rPr>
          <w:color w:val="0F6FC6" w:themeColor="accent1"/>
        </w:rPr>
        <w:t>Programi</w:t>
      </w:r>
      <w:proofErr w:type="spellEnd"/>
      <w:r w:rsidRPr="007B1A0A">
        <w:rPr>
          <w:color w:val="0F6FC6" w:themeColor="accent1"/>
        </w:rPr>
        <w:t xml:space="preserve"> </w:t>
      </w:r>
      <w:proofErr w:type="spellStart"/>
      <w:r w:rsidRPr="007B1A0A">
        <w:rPr>
          <w:color w:val="0F6FC6" w:themeColor="accent1"/>
        </w:rPr>
        <w:t>i</w:t>
      </w:r>
      <w:proofErr w:type="spellEnd"/>
      <w:r w:rsidRPr="007B1A0A">
        <w:rPr>
          <w:color w:val="0F6FC6" w:themeColor="accent1"/>
        </w:rPr>
        <w:t xml:space="preserve"> </w:t>
      </w:r>
      <w:proofErr w:type="spellStart"/>
      <w:r w:rsidRPr="007B1A0A">
        <w:rPr>
          <w:color w:val="0F6FC6" w:themeColor="accent1"/>
        </w:rPr>
        <w:t>Rindërtimit</w:t>
      </w:r>
      <w:bookmarkEnd w:id="151"/>
      <w:proofErr w:type="spellEnd"/>
    </w:p>
    <w:p w14:paraId="6E66B38E" w14:textId="77777777" w:rsidR="00BC59F2" w:rsidRPr="00BC59F2" w:rsidRDefault="00BC59F2" w:rsidP="000A275E">
      <w:pPr>
        <w:spacing w:line="240" w:lineRule="auto"/>
        <w:rPr>
          <w:noProof/>
          <w:lang w:val="sq-AL"/>
        </w:rPr>
      </w:pPr>
      <w:r w:rsidRPr="00BC59F2">
        <w:rPr>
          <w:noProof/>
          <w:lang w:val="sq-AL"/>
        </w:rPr>
        <w:t>Një paketë e veçantë ligjore që vijoi tërmetin shkatërrues të nëntorit 2019 përcaktoi rolet dhe përgjegjësitë e institucioneve për menaxhimin e rindërtimit, si dhe mënyrën e financimit dhe procedurat përkatëse. Ministri i Shtetit për Rindërtim në bashkëpunim të ngushtë më Komisionin Shtëtëror të Rindërtimit, u caktuan si autoriteti përgjegjës për propozimin dhe bashkërendimin e programit. Me Aktin Normativ Nr.9 datë 16.12.2019 u krijua dhe Fondi i Rindërtimit, i cili konsiston në:</w:t>
      </w:r>
    </w:p>
    <w:p w14:paraId="75034365" w14:textId="77777777" w:rsidR="00BC59F2" w:rsidRPr="00BC59F2" w:rsidRDefault="00BC59F2">
      <w:pPr>
        <w:numPr>
          <w:ilvl w:val="0"/>
          <w:numId w:val="33"/>
        </w:numPr>
        <w:spacing w:before="0" w:after="160" w:line="240" w:lineRule="auto"/>
        <w:contextualSpacing/>
        <w:jc w:val="left"/>
        <w:rPr>
          <w:rFonts w:cs="Calibri"/>
          <w:bCs/>
          <w:i/>
          <w:noProof/>
          <w:color w:val="000000"/>
          <w:kern w:val="2"/>
          <w:lang w:val="sq-AL"/>
          <w14:ligatures w14:val="standardContextual"/>
        </w:rPr>
      </w:pPr>
      <w:r w:rsidRPr="00BC59F2">
        <w:rPr>
          <w:rFonts w:cs="Calibri"/>
          <w:bCs/>
          <w:i/>
          <w:noProof/>
          <w:color w:val="000000"/>
          <w:kern w:val="2"/>
          <w:lang w:val="sq-AL"/>
          <w14:ligatures w14:val="standardContextual"/>
        </w:rPr>
        <w:t>Një program të veçantë të buxhetit të shtetit, me të ardhura nga buxheti i shtetit dhe donatorë dhe</w:t>
      </w:r>
    </w:p>
    <w:p w14:paraId="193D80CA" w14:textId="77777777" w:rsidR="00BC59F2" w:rsidRPr="00BC59F2" w:rsidRDefault="00BC59F2">
      <w:pPr>
        <w:numPr>
          <w:ilvl w:val="0"/>
          <w:numId w:val="33"/>
        </w:numPr>
        <w:spacing w:before="0" w:after="160" w:line="240" w:lineRule="auto"/>
        <w:contextualSpacing/>
        <w:jc w:val="left"/>
        <w:rPr>
          <w:rFonts w:cs="Calibri"/>
          <w:bCs/>
          <w:i/>
          <w:noProof/>
          <w:color w:val="000000"/>
          <w:kern w:val="2"/>
          <w:lang w:val="sq-AL"/>
          <w14:ligatures w14:val="standardContextual"/>
        </w:rPr>
      </w:pPr>
      <w:r w:rsidRPr="00BC59F2">
        <w:rPr>
          <w:rFonts w:cs="Calibri"/>
          <w:bCs/>
          <w:i/>
          <w:noProof/>
          <w:color w:val="000000"/>
          <w:kern w:val="2"/>
          <w:lang w:val="sq-AL"/>
          <w14:ligatures w14:val="standardContextual"/>
        </w:rPr>
        <w:t>Kontribute në natyrë nga donatorë</w:t>
      </w:r>
    </w:p>
    <w:p w14:paraId="67828C0A" w14:textId="77777777" w:rsidR="00BC59F2" w:rsidRPr="00BC59F2" w:rsidRDefault="00BC59F2" w:rsidP="000A275E">
      <w:pPr>
        <w:spacing w:line="240" w:lineRule="auto"/>
        <w:rPr>
          <w:noProof/>
          <w:lang w:val="sq-AL"/>
        </w:rPr>
      </w:pPr>
      <w:r w:rsidRPr="00BC59F2">
        <w:rPr>
          <w:noProof/>
          <w:lang w:val="sq-AL"/>
        </w:rPr>
        <w:t xml:space="preserve">Fondi i Rindërtimit shton kufijtë e shpenzimeve për çdo ministri dhe institucion në nivel programi, si dhe kufijtë e transfertës së pakushtëzuar për njësitë e qeverisjes vendore në përputhje me vendimet përkatëse. Detajimi i tij u krye në përputhje me ecurinë e procedurave të ndërlikuara të identifikimit dhe vlerësimit të dëmeve; verifikimit të kërkesave për dëmshpërblime dhe projektimit e zbatimit të investimeve publike. </w:t>
      </w:r>
    </w:p>
    <w:p w14:paraId="1643407D" w14:textId="77777777" w:rsidR="00BC59F2" w:rsidRPr="00BC59F2" w:rsidRDefault="00BC59F2" w:rsidP="000A275E">
      <w:pPr>
        <w:spacing w:before="0" w:line="240" w:lineRule="auto"/>
        <w:rPr>
          <w:b/>
          <w:bCs/>
          <w:sz w:val="8"/>
          <w:szCs w:val="10"/>
          <w:lang w:val="sq-AL"/>
        </w:rPr>
      </w:pPr>
    </w:p>
    <w:p w14:paraId="2D0DC19F" w14:textId="1C55C770" w:rsidR="00BC59F2" w:rsidRPr="00BC59F2" w:rsidRDefault="00BC59F2" w:rsidP="000A275E">
      <w:pPr>
        <w:spacing w:line="240" w:lineRule="auto"/>
        <w:rPr>
          <w:noProof/>
          <w:lang w:val="sq-AL"/>
        </w:rPr>
      </w:pPr>
      <w:r w:rsidRPr="00BC59F2">
        <w:rPr>
          <w:noProof/>
          <w:szCs w:val="22"/>
          <w:lang w:val="sq-AL"/>
        </w:rPr>
        <w:lastRenderedPageBreak/>
        <w:t xml:space="preserve">Fondi i Rindërtimit për vitin 2025 u planifikua në masën 5 </w:t>
      </w:r>
      <w:r w:rsidR="0056260B">
        <w:rPr>
          <w:noProof/>
          <w:szCs w:val="22"/>
          <w:lang w:val="sq-AL"/>
        </w:rPr>
        <w:t>miliardë</w:t>
      </w:r>
      <w:r w:rsidRPr="00BC59F2">
        <w:rPr>
          <w:noProof/>
          <w:szCs w:val="22"/>
          <w:lang w:val="sq-AL"/>
        </w:rPr>
        <w:t xml:space="preserve"> LEK, ku në nenin 7 të</w:t>
      </w:r>
      <w:r w:rsidRPr="00BC59F2">
        <w:rPr>
          <w:rFonts w:eastAsia="Calibri"/>
          <w:noProof/>
          <w:szCs w:val="22"/>
          <w:lang w:val="sq-AL"/>
        </w:rPr>
        <w:t xml:space="preserve"> </w:t>
      </w:r>
      <w:r w:rsidRPr="00BC59F2">
        <w:rPr>
          <w:noProof/>
          <w:szCs w:val="22"/>
          <w:lang w:val="sq-AL"/>
        </w:rPr>
        <w:t>Ligjit nr.115/2024 “</w:t>
      </w:r>
      <w:r w:rsidRPr="00BC59F2">
        <w:rPr>
          <w:i/>
          <w:noProof/>
          <w:szCs w:val="22"/>
          <w:lang w:val="sq-AL"/>
        </w:rPr>
        <w:t>Për buxhetin e vitit 2025”</w:t>
      </w:r>
      <w:r w:rsidRPr="00BC59F2">
        <w:rPr>
          <w:noProof/>
          <w:szCs w:val="22"/>
          <w:lang w:val="sq-AL"/>
        </w:rPr>
        <w:t xml:space="preserve"> të ndryshuar, është përcaktuar se</w:t>
      </w:r>
      <w:r w:rsidRPr="00BC59F2">
        <w:rPr>
          <w:rFonts w:eastAsia="Calibri"/>
          <w:noProof/>
          <w:szCs w:val="22"/>
          <w:lang w:val="sq-AL"/>
        </w:rPr>
        <w:t>:</w:t>
      </w:r>
    </w:p>
    <w:p w14:paraId="03C9ABCF" w14:textId="6252BDF8" w:rsidR="00BC59F2" w:rsidRPr="00BC59F2" w:rsidRDefault="00BC59F2" w:rsidP="000A275E">
      <w:pPr>
        <w:shd w:val="clear" w:color="auto" w:fill="F2F2F2"/>
        <w:spacing w:before="0" w:line="240" w:lineRule="auto"/>
        <w:jc w:val="center"/>
        <w:rPr>
          <w:bCs/>
          <w:i/>
          <w:iCs/>
          <w:noProof/>
          <w:szCs w:val="22"/>
          <w:lang w:val="sq-AL"/>
        </w:rPr>
      </w:pPr>
      <w:r w:rsidRPr="00BC59F2">
        <w:rPr>
          <w:bCs/>
          <w:i/>
          <w:noProof/>
          <w:szCs w:val="22"/>
          <w:lang w:val="sq-AL"/>
        </w:rPr>
        <w:t>“</w:t>
      </w:r>
      <w:r w:rsidRPr="00BC59F2">
        <w:rPr>
          <w:bCs/>
          <w:i/>
          <w:iCs/>
          <w:noProof/>
          <w:szCs w:val="22"/>
          <w:lang w:val="sq-AL"/>
        </w:rPr>
        <w:t xml:space="preserve">Fondi i rindërtimit për përballimin e pasojave të tërmetit të vitit 2019 prej 5 </w:t>
      </w:r>
      <w:r w:rsidR="0056260B">
        <w:rPr>
          <w:bCs/>
          <w:i/>
          <w:iCs/>
          <w:noProof/>
          <w:szCs w:val="22"/>
          <w:lang w:val="sq-AL"/>
        </w:rPr>
        <w:t>miliardë</w:t>
      </w:r>
      <w:r w:rsidRPr="00BC59F2">
        <w:rPr>
          <w:bCs/>
          <w:i/>
          <w:iCs/>
          <w:noProof/>
          <w:szCs w:val="22"/>
          <w:lang w:val="sq-AL"/>
        </w:rPr>
        <w:t xml:space="preserve"> </w:t>
      </w:r>
      <w:r w:rsidR="0056260B">
        <w:rPr>
          <w:bCs/>
          <w:i/>
          <w:iCs/>
          <w:noProof/>
          <w:szCs w:val="22"/>
          <w:lang w:val="sq-AL"/>
        </w:rPr>
        <w:t>LEK</w:t>
      </w:r>
      <w:r w:rsidRPr="00BC59F2">
        <w:rPr>
          <w:bCs/>
          <w:i/>
          <w:iCs/>
          <w:noProof/>
          <w:szCs w:val="22"/>
          <w:lang w:val="sq-AL"/>
        </w:rPr>
        <w:t xml:space="preserve"> përdoret për të </w:t>
      </w:r>
    </w:p>
    <w:p w14:paraId="6AD0DCC5"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përballuar kostot për projektet e miratuara dhe të pafinancuara të viteve të mëparshme dhe pjesa e mbetur </w:t>
      </w:r>
    </w:p>
    <w:p w14:paraId="69B250B9"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për projekte të reja. Ky fond shton kufijtë e shpenzimeve për çdo ministri dhe institucion në nivel programi </w:t>
      </w:r>
    </w:p>
    <w:p w14:paraId="78CFBD6B"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dhe kufijtë e transfertës së pakushtëzuar, të miratuar në tabelat 1 dhe 3, të përmendura në nenet 11 e 15 </w:t>
      </w:r>
    </w:p>
    <w:p w14:paraId="54A2A782"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të këtij ligji. Çdo e ardhur në formë granti, me destinacion përballimin e pasojave të tërmetit, </w:t>
      </w:r>
    </w:p>
    <w:p w14:paraId="7F0106F5"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rrit në të njëjtën masë të ardhurat dhe shpenzimet e fondit të rindërtimit, duke shtuar kufijtë e përcaktuar </w:t>
      </w:r>
    </w:p>
    <w:p w14:paraId="6574D1F3" w14:textId="77777777" w:rsidR="00BC59F2" w:rsidRPr="00BC59F2" w:rsidRDefault="00BC59F2" w:rsidP="000A275E">
      <w:pPr>
        <w:shd w:val="clear" w:color="auto" w:fill="F2F2F2"/>
        <w:spacing w:before="0" w:line="240" w:lineRule="auto"/>
        <w:jc w:val="center"/>
        <w:rPr>
          <w:bCs/>
          <w:i/>
          <w:iCs/>
          <w:noProof/>
          <w:szCs w:val="22"/>
          <w:lang w:val="sq-AL"/>
        </w:rPr>
      </w:pPr>
      <w:r w:rsidRPr="00BC59F2">
        <w:rPr>
          <w:bCs/>
          <w:i/>
          <w:iCs/>
          <w:noProof/>
          <w:szCs w:val="22"/>
          <w:lang w:val="sq-AL"/>
        </w:rPr>
        <w:t xml:space="preserve">në nenet 1, 2, 3 e 11, si dhe kufijtë e miratuar në tabelat  1, 3 dhe 4, </w:t>
      </w:r>
    </w:p>
    <w:p w14:paraId="4DA73550" w14:textId="77777777" w:rsidR="00BC59F2" w:rsidRPr="00BC59F2" w:rsidRDefault="00BC59F2" w:rsidP="000A275E">
      <w:pPr>
        <w:shd w:val="clear" w:color="auto" w:fill="F2F2F2"/>
        <w:spacing w:before="0" w:line="240" w:lineRule="auto"/>
        <w:jc w:val="center"/>
        <w:rPr>
          <w:bCs/>
          <w:i/>
          <w:noProof/>
          <w:szCs w:val="22"/>
          <w:lang w:val="sq-AL"/>
        </w:rPr>
      </w:pPr>
      <w:r w:rsidRPr="00BC59F2">
        <w:rPr>
          <w:bCs/>
          <w:i/>
          <w:iCs/>
          <w:noProof/>
          <w:szCs w:val="22"/>
          <w:lang w:val="sq-AL"/>
        </w:rPr>
        <w:t>të përmendura në nenet 11 e 15 të këtij ligji</w:t>
      </w:r>
      <w:r w:rsidRPr="00BC59F2">
        <w:rPr>
          <w:bCs/>
          <w:i/>
          <w:noProof/>
          <w:szCs w:val="22"/>
          <w:lang w:val="sq-AL"/>
        </w:rPr>
        <w:t>”.</w:t>
      </w:r>
    </w:p>
    <w:p w14:paraId="18266D4F" w14:textId="77777777" w:rsidR="00BC59F2" w:rsidRPr="00BC59F2" w:rsidRDefault="00BC59F2" w:rsidP="000A275E">
      <w:pPr>
        <w:spacing w:before="0" w:line="240" w:lineRule="auto"/>
        <w:rPr>
          <w:bCs/>
          <w:noProof/>
          <w:sz w:val="12"/>
          <w:szCs w:val="12"/>
          <w:lang w:val="sq-AL"/>
        </w:rPr>
      </w:pPr>
    </w:p>
    <w:p w14:paraId="408596DB" w14:textId="386C0F09" w:rsidR="00BC59F2" w:rsidRPr="00BC59F2" w:rsidRDefault="00BC59F2" w:rsidP="000A275E">
      <w:pPr>
        <w:spacing w:before="0" w:line="240" w:lineRule="auto"/>
        <w:rPr>
          <w:rFonts w:eastAsia="Aptos" w:cs="Calibri"/>
          <w:bCs/>
          <w:noProof/>
          <w:kern w:val="2"/>
          <w:szCs w:val="22"/>
          <w:lang w:val="sq-AL"/>
          <w14:ligatures w14:val="standardContextual"/>
        </w:rPr>
      </w:pPr>
      <w:r w:rsidRPr="00BC59F2">
        <w:rPr>
          <w:rFonts w:eastAsia="Aptos" w:cs="Calibri"/>
          <w:bCs/>
          <w:noProof/>
          <w:kern w:val="2"/>
          <w:szCs w:val="22"/>
          <w:lang w:val="sq-AL"/>
          <w14:ligatures w14:val="standardContextual"/>
        </w:rPr>
        <w:t xml:space="preserve">Deri në datën 31.12.2025, Fondi i Rindërtimit 2025 prej 5 </w:t>
      </w:r>
      <w:r w:rsidR="0056260B">
        <w:rPr>
          <w:rFonts w:eastAsia="Aptos" w:cs="Calibri"/>
          <w:bCs/>
          <w:noProof/>
          <w:kern w:val="2"/>
          <w:szCs w:val="22"/>
          <w:lang w:val="sq-AL"/>
          <w14:ligatures w14:val="standardContextual"/>
        </w:rPr>
        <w:t>miliardë</w:t>
      </w:r>
      <w:r w:rsidRPr="00BC59F2">
        <w:rPr>
          <w:rFonts w:eastAsia="Aptos" w:cs="Calibri"/>
          <w:bCs/>
          <w:noProof/>
          <w:kern w:val="2"/>
          <w:szCs w:val="22"/>
          <w:lang w:val="sq-AL"/>
          <w14:ligatures w14:val="standardContextual"/>
        </w:rPr>
        <w:t xml:space="preserve"> </w:t>
      </w:r>
      <w:r w:rsidR="0056260B">
        <w:rPr>
          <w:rFonts w:eastAsia="Aptos" w:cs="Calibri"/>
          <w:bCs/>
          <w:noProof/>
          <w:kern w:val="2"/>
          <w:szCs w:val="22"/>
          <w:lang w:val="sq-AL"/>
          <w14:ligatures w14:val="standardContextual"/>
        </w:rPr>
        <w:t>LEK</w:t>
      </w:r>
      <w:r w:rsidRPr="00BC59F2">
        <w:rPr>
          <w:rFonts w:eastAsia="Aptos" w:cs="Calibri"/>
          <w:bCs/>
          <w:noProof/>
          <w:kern w:val="2"/>
          <w:szCs w:val="22"/>
          <w:lang w:val="sq-AL"/>
          <w14:ligatures w14:val="standardContextual"/>
        </w:rPr>
        <w:t>, rezulton i përdorur me VKM në masën 36%, dhe konkretisht:</w:t>
      </w:r>
    </w:p>
    <w:p w14:paraId="5FF9188A" w14:textId="3D27874B" w:rsidR="00BC59F2" w:rsidRPr="00BC59F2" w:rsidRDefault="00BC59F2">
      <w:pPr>
        <w:numPr>
          <w:ilvl w:val="0"/>
          <w:numId w:val="28"/>
        </w:numPr>
        <w:spacing w:before="0" w:line="240" w:lineRule="auto"/>
        <w:jc w:val="left"/>
        <w:rPr>
          <w:rFonts w:eastAsia="Aptos" w:cs="Calibri"/>
          <w:bCs/>
          <w:i/>
          <w:iCs/>
          <w:noProof/>
          <w:kern w:val="2"/>
          <w:szCs w:val="22"/>
          <w:lang w:val="sq-AL"/>
          <w14:ligatures w14:val="standardContextual"/>
        </w:rPr>
      </w:pPr>
      <w:r w:rsidRPr="00BC59F2">
        <w:rPr>
          <w:rFonts w:eastAsia="Aptos" w:cs="Calibri"/>
          <w:bCs/>
          <w:i/>
          <w:iCs/>
          <w:noProof/>
          <w:kern w:val="2"/>
          <w:szCs w:val="22"/>
          <w:lang w:val="sq-AL"/>
          <w14:ligatures w14:val="standardContextual"/>
        </w:rPr>
        <w:t xml:space="preserve">1 544 </w:t>
      </w:r>
      <w:r w:rsidR="0056260B">
        <w:rPr>
          <w:rFonts w:eastAsia="Aptos" w:cs="Calibri"/>
          <w:bCs/>
          <w:i/>
          <w:iCs/>
          <w:noProof/>
          <w:kern w:val="2"/>
          <w:szCs w:val="22"/>
          <w:lang w:val="sq-AL"/>
          <w14:ligatures w14:val="standardContextual"/>
        </w:rPr>
        <w:t>milionë</w:t>
      </w:r>
      <w:r w:rsidRPr="00BC59F2">
        <w:rPr>
          <w:rFonts w:eastAsia="Aptos" w:cs="Calibri"/>
          <w:bCs/>
          <w:i/>
          <w:iCs/>
          <w:noProof/>
          <w:kern w:val="2"/>
          <w:szCs w:val="22"/>
          <w:lang w:val="sq-AL"/>
          <w14:ligatures w14:val="standardContextual"/>
        </w:rPr>
        <w:t xml:space="preserve"> </w:t>
      </w:r>
      <w:r w:rsidR="0056260B">
        <w:rPr>
          <w:rFonts w:eastAsia="Aptos" w:cs="Calibri"/>
          <w:bCs/>
          <w:i/>
          <w:iCs/>
          <w:noProof/>
          <w:kern w:val="2"/>
          <w:szCs w:val="22"/>
          <w:lang w:val="sq-AL"/>
          <w14:ligatures w14:val="standardContextual"/>
        </w:rPr>
        <w:t>LEK</w:t>
      </w:r>
      <w:r w:rsidRPr="00BC59F2">
        <w:rPr>
          <w:rFonts w:eastAsia="Aptos" w:cs="Calibri"/>
          <w:bCs/>
          <w:i/>
          <w:iCs/>
          <w:noProof/>
          <w:kern w:val="2"/>
          <w:szCs w:val="22"/>
          <w:lang w:val="sq-AL"/>
          <w14:ligatures w14:val="standardContextual"/>
        </w:rPr>
        <w:t xml:space="preserve"> të akorduara për Njësitë e Vetëqeverisjes Vendore.</w:t>
      </w:r>
    </w:p>
    <w:p w14:paraId="722F3CD2" w14:textId="71B21A61" w:rsidR="00BC59F2" w:rsidRPr="00BC59F2" w:rsidRDefault="00BC59F2">
      <w:pPr>
        <w:numPr>
          <w:ilvl w:val="0"/>
          <w:numId w:val="28"/>
        </w:numPr>
        <w:spacing w:before="0" w:line="240" w:lineRule="auto"/>
        <w:jc w:val="left"/>
        <w:rPr>
          <w:rFonts w:eastAsia="Aptos" w:cs="Calibri"/>
          <w:bCs/>
          <w:i/>
          <w:iCs/>
          <w:noProof/>
          <w:kern w:val="2"/>
          <w:szCs w:val="22"/>
          <w:lang w:val="sq-AL"/>
          <w14:ligatures w14:val="standardContextual"/>
        </w:rPr>
      </w:pPr>
      <w:r w:rsidRPr="00BC59F2">
        <w:rPr>
          <w:rFonts w:eastAsia="Aptos" w:cs="Calibri"/>
          <w:bCs/>
          <w:i/>
          <w:iCs/>
          <w:noProof/>
          <w:kern w:val="2"/>
          <w:szCs w:val="22"/>
          <w:lang w:val="sq-AL"/>
          <w14:ligatures w14:val="standardContextual"/>
        </w:rPr>
        <w:t xml:space="preserve">189.5 </w:t>
      </w:r>
      <w:r w:rsidR="0056260B">
        <w:rPr>
          <w:rFonts w:eastAsia="Aptos" w:cs="Calibri"/>
          <w:bCs/>
          <w:i/>
          <w:iCs/>
          <w:noProof/>
          <w:kern w:val="2"/>
          <w:szCs w:val="22"/>
          <w:lang w:val="sq-AL"/>
          <w14:ligatures w14:val="standardContextual"/>
        </w:rPr>
        <w:t>milionë</w:t>
      </w:r>
      <w:r w:rsidRPr="00BC59F2">
        <w:rPr>
          <w:rFonts w:eastAsia="Aptos" w:cs="Calibri"/>
          <w:bCs/>
          <w:i/>
          <w:iCs/>
          <w:noProof/>
          <w:kern w:val="2"/>
          <w:szCs w:val="22"/>
          <w:lang w:val="sq-AL"/>
          <w14:ligatures w14:val="standardContextual"/>
        </w:rPr>
        <w:t xml:space="preserve"> </w:t>
      </w:r>
      <w:r w:rsidR="0056260B">
        <w:rPr>
          <w:rFonts w:eastAsia="Aptos" w:cs="Calibri"/>
          <w:bCs/>
          <w:i/>
          <w:iCs/>
          <w:noProof/>
          <w:kern w:val="2"/>
          <w:szCs w:val="22"/>
          <w:lang w:val="sq-AL"/>
          <w14:ligatures w14:val="standardContextual"/>
        </w:rPr>
        <w:t>LEK</w:t>
      </w:r>
      <w:r w:rsidRPr="00BC59F2">
        <w:rPr>
          <w:rFonts w:eastAsia="Aptos" w:cs="Calibri"/>
          <w:bCs/>
          <w:i/>
          <w:iCs/>
          <w:noProof/>
          <w:kern w:val="2"/>
          <w:szCs w:val="22"/>
          <w:lang w:val="sq-AL"/>
          <w14:ligatures w14:val="standardContextual"/>
        </w:rPr>
        <w:t xml:space="preserve"> të akorduara për Njësitë e Qeverisjes Qendrore. </w:t>
      </w:r>
    </w:p>
    <w:p w14:paraId="193D4A90" w14:textId="77777777" w:rsidR="00BC59F2" w:rsidRPr="000A275E" w:rsidRDefault="00BC59F2" w:rsidP="000A275E">
      <w:pPr>
        <w:spacing w:before="0" w:line="240" w:lineRule="auto"/>
        <w:rPr>
          <w:rFonts w:eastAsia="Aptos" w:cs="Calibri"/>
          <w:b/>
          <w:bCs/>
          <w:noProof/>
          <w:kern w:val="2"/>
          <w:sz w:val="12"/>
          <w:szCs w:val="12"/>
          <w:lang w:val="sq-AL"/>
          <w14:ligatures w14:val="standardContextual"/>
        </w:rPr>
      </w:pPr>
    </w:p>
    <w:p w14:paraId="56C9DAF2" w14:textId="38BB04CA" w:rsidR="00BC59F2" w:rsidRPr="00BC59F2" w:rsidRDefault="00BC59F2" w:rsidP="000A275E">
      <w:pPr>
        <w:spacing w:before="0" w:line="240" w:lineRule="auto"/>
        <w:rPr>
          <w:rFonts w:eastAsia="Aptos" w:cs="Calibri"/>
          <w:bCs/>
          <w:noProof/>
          <w:kern w:val="2"/>
          <w:szCs w:val="22"/>
          <w:lang w:val="sq-AL"/>
          <w14:ligatures w14:val="standardContextual"/>
        </w:rPr>
      </w:pPr>
      <w:r w:rsidRPr="00BC59F2">
        <w:rPr>
          <w:rFonts w:eastAsia="Aptos" w:cs="Calibri"/>
          <w:b/>
          <w:bCs/>
          <w:noProof/>
          <w:kern w:val="2"/>
          <w:szCs w:val="22"/>
          <w:lang w:val="sq-AL"/>
          <w14:ligatures w14:val="standardContextual"/>
        </w:rPr>
        <w:t>Nga Fondi i Rindërtimit për njësitë e vetëqeverisjes vendore (NJVQV)</w:t>
      </w:r>
      <w:r w:rsidRPr="00BC59F2">
        <w:rPr>
          <w:rFonts w:eastAsia="Aptos" w:cs="Calibri"/>
          <w:bCs/>
          <w:noProof/>
          <w:kern w:val="2"/>
          <w:szCs w:val="22"/>
          <w:lang w:val="sq-AL"/>
          <w14:ligatures w14:val="standardContextual"/>
        </w:rPr>
        <w:t xml:space="preserve"> deri në 31 dhjetor 2025 u akorduan fonde në projekte specifike në masën 1.5</w:t>
      </w:r>
      <w:r w:rsidR="0056260B">
        <w:rPr>
          <w:rFonts w:eastAsia="Aptos" w:cs="Calibri"/>
          <w:bCs/>
          <w:noProof/>
          <w:kern w:val="2"/>
          <w:szCs w:val="22"/>
          <w:lang w:val="sq-AL"/>
          <w14:ligatures w14:val="standardContextual"/>
        </w:rPr>
        <w:t>miliardë</w:t>
      </w:r>
      <w:r w:rsidRPr="00BC59F2">
        <w:rPr>
          <w:rFonts w:eastAsia="Aptos" w:cs="Calibri"/>
          <w:bCs/>
          <w:noProof/>
          <w:kern w:val="2"/>
          <w:szCs w:val="22"/>
          <w:lang w:val="sq-AL"/>
          <w14:ligatures w14:val="standardContextual"/>
        </w:rPr>
        <w:t xml:space="preserve"> LEK dhe 7.3</w:t>
      </w:r>
      <w:r w:rsidR="0056260B">
        <w:rPr>
          <w:rFonts w:eastAsia="Aptos" w:cs="Calibri"/>
          <w:bCs/>
          <w:noProof/>
          <w:kern w:val="2"/>
          <w:szCs w:val="22"/>
          <w:lang w:val="sq-AL"/>
          <w14:ligatures w14:val="standardContextual"/>
        </w:rPr>
        <w:t>miliardë</w:t>
      </w:r>
      <w:r w:rsidRPr="00BC59F2">
        <w:rPr>
          <w:rFonts w:eastAsia="Aptos" w:cs="Calibri"/>
          <w:bCs/>
          <w:noProof/>
          <w:kern w:val="2"/>
          <w:szCs w:val="22"/>
          <w:lang w:val="sq-AL"/>
          <w14:ligatures w14:val="standardContextual"/>
        </w:rPr>
        <w:t xml:space="preserve"> LEK janë trashëguar në buxhetin 2025, si fonde të papërdorura nga viti 2024. Nga këto, u shpenzuan nga njësitë zbatuese 3.1</w:t>
      </w:r>
      <w:r w:rsidR="0056260B">
        <w:rPr>
          <w:rFonts w:eastAsia="Aptos" w:cs="Calibri"/>
          <w:bCs/>
          <w:noProof/>
          <w:kern w:val="2"/>
          <w:szCs w:val="22"/>
          <w:lang w:val="sq-AL"/>
          <w14:ligatures w14:val="standardContextual"/>
        </w:rPr>
        <w:t>miliardë</w:t>
      </w:r>
      <w:r w:rsidRPr="00BC59F2">
        <w:rPr>
          <w:rFonts w:eastAsia="Aptos" w:cs="Calibri"/>
          <w:bCs/>
          <w:noProof/>
          <w:kern w:val="2"/>
          <w:szCs w:val="22"/>
          <w:lang w:val="sq-AL"/>
          <w14:ligatures w14:val="standardContextual"/>
        </w:rPr>
        <w:t xml:space="preserve"> LEK ose 35.2% e fondeve të akorduara, </w:t>
      </w:r>
      <w:r w:rsidR="00166B1B">
        <w:rPr>
          <w:rFonts w:eastAsia="Aptos" w:cs="Calibri"/>
          <w:bCs/>
          <w:noProof/>
          <w:kern w:val="2"/>
          <w:szCs w:val="22"/>
          <w:lang w:val="sq-AL"/>
          <w14:ligatures w14:val="standardContextual"/>
        </w:rPr>
        <w:t xml:space="preserve">dhe diferenca </w:t>
      </w:r>
      <w:r w:rsidRPr="00BC59F2">
        <w:rPr>
          <w:rFonts w:eastAsia="Aptos" w:cs="Calibri"/>
          <w:bCs/>
          <w:noProof/>
          <w:kern w:val="2"/>
          <w:szCs w:val="22"/>
          <w:lang w:val="sq-AL"/>
          <w14:ligatures w14:val="standardContextual"/>
        </w:rPr>
        <w:t xml:space="preserve">është mbartur në buxhetin 2026 në formën e transfertës së pakushtëzuar për NJVQV, në përputhje me parashikimet. </w:t>
      </w:r>
      <w:r w:rsidR="00166B1B">
        <w:rPr>
          <w:rFonts w:eastAsia="Aptos" w:cs="Calibri"/>
          <w:bCs/>
          <w:noProof/>
          <w:kern w:val="2"/>
          <w:szCs w:val="22"/>
          <w:lang w:val="sq-AL"/>
          <w14:ligatures w14:val="standardContextual"/>
        </w:rPr>
        <w:t>Realizimi i</w:t>
      </w:r>
      <w:r w:rsidRPr="00BC59F2">
        <w:rPr>
          <w:rFonts w:eastAsia="Aptos" w:cs="Calibri"/>
          <w:bCs/>
          <w:noProof/>
          <w:kern w:val="2"/>
          <w:szCs w:val="22"/>
          <w:lang w:val="sq-AL"/>
          <w14:ligatures w14:val="standardContextual"/>
        </w:rPr>
        <w:t xml:space="preserve"> fondit të </w:t>
      </w:r>
      <w:r w:rsidR="00166B1B">
        <w:rPr>
          <w:rFonts w:eastAsia="Aptos" w:cs="Calibri"/>
          <w:bCs/>
          <w:noProof/>
          <w:kern w:val="2"/>
          <w:szCs w:val="22"/>
          <w:lang w:val="sq-AL"/>
          <w14:ligatures w14:val="standardContextual"/>
        </w:rPr>
        <w:t>R</w:t>
      </w:r>
      <w:r w:rsidRPr="00BC59F2">
        <w:rPr>
          <w:rFonts w:eastAsia="Aptos" w:cs="Calibri"/>
          <w:bCs/>
          <w:noProof/>
          <w:kern w:val="2"/>
          <w:szCs w:val="22"/>
          <w:lang w:val="sq-AL"/>
          <w14:ligatures w14:val="standardContextual"/>
        </w:rPr>
        <w:t xml:space="preserve">indërtimit për vitin 2025, sipas </w:t>
      </w:r>
      <w:r w:rsidR="00166B1B">
        <w:rPr>
          <w:rFonts w:eastAsia="Aptos" w:cs="Calibri"/>
          <w:bCs/>
          <w:noProof/>
          <w:kern w:val="2"/>
          <w:szCs w:val="22"/>
          <w:lang w:val="sq-AL"/>
          <w14:ligatures w14:val="standardContextual"/>
        </w:rPr>
        <w:t xml:space="preserve">akordimeve me </w:t>
      </w:r>
      <w:r w:rsidRPr="00BC59F2">
        <w:rPr>
          <w:rFonts w:eastAsia="Aptos" w:cs="Calibri"/>
          <w:bCs/>
          <w:noProof/>
          <w:kern w:val="2"/>
          <w:szCs w:val="22"/>
          <w:lang w:val="sq-AL"/>
          <w14:ligatures w14:val="standardContextual"/>
        </w:rPr>
        <w:t>VKM</w:t>
      </w:r>
      <w:r w:rsidR="00166B1B">
        <w:rPr>
          <w:rFonts w:eastAsia="Aptos" w:cs="Calibri"/>
          <w:bCs/>
          <w:noProof/>
          <w:kern w:val="2"/>
          <w:szCs w:val="22"/>
          <w:lang w:val="sq-AL"/>
          <w14:ligatures w14:val="standardContextual"/>
        </w:rPr>
        <w:t xml:space="preserve"> dhe </w:t>
      </w:r>
      <w:r w:rsidRPr="00BC59F2">
        <w:rPr>
          <w:rFonts w:eastAsia="Aptos" w:cs="Calibri"/>
          <w:bCs/>
          <w:noProof/>
          <w:kern w:val="2"/>
          <w:szCs w:val="22"/>
          <w:lang w:val="sq-AL"/>
          <w14:ligatures w14:val="standardContextual"/>
        </w:rPr>
        <w:t>pjesë</w:t>
      </w:r>
      <w:r w:rsidR="00166B1B">
        <w:rPr>
          <w:rFonts w:eastAsia="Aptos" w:cs="Calibri"/>
          <w:bCs/>
          <w:noProof/>
          <w:kern w:val="2"/>
          <w:szCs w:val="22"/>
          <w:lang w:val="sq-AL"/>
          <w14:ligatures w14:val="standardContextual"/>
        </w:rPr>
        <w:t>s</w:t>
      </w:r>
      <w:r w:rsidRPr="00BC59F2">
        <w:rPr>
          <w:rFonts w:eastAsia="Aptos" w:cs="Calibri"/>
          <w:bCs/>
          <w:noProof/>
          <w:kern w:val="2"/>
          <w:szCs w:val="22"/>
          <w:lang w:val="sq-AL"/>
          <w14:ligatures w14:val="standardContextual"/>
        </w:rPr>
        <w:t xml:space="preserve"> </w:t>
      </w:r>
      <w:r w:rsidR="00166B1B">
        <w:rPr>
          <w:rFonts w:eastAsia="Aptos" w:cs="Calibri"/>
          <w:bCs/>
          <w:noProof/>
          <w:kern w:val="2"/>
          <w:szCs w:val="22"/>
          <w:lang w:val="sq-AL"/>
          <w14:ligatures w14:val="standardContextual"/>
        </w:rPr>
        <w:t>së</w:t>
      </w:r>
      <w:r w:rsidRPr="00BC59F2">
        <w:rPr>
          <w:rFonts w:eastAsia="Aptos" w:cs="Calibri"/>
          <w:bCs/>
          <w:noProof/>
          <w:kern w:val="2"/>
          <w:szCs w:val="22"/>
          <w:lang w:val="sq-AL"/>
          <w14:ligatures w14:val="standardContextual"/>
        </w:rPr>
        <w:t xml:space="preserve"> trashëgimit</w:t>
      </w:r>
      <w:r w:rsidR="005D634B">
        <w:rPr>
          <w:rFonts w:eastAsia="Aptos" w:cs="Calibri"/>
          <w:bCs/>
          <w:noProof/>
          <w:kern w:val="2"/>
          <w:szCs w:val="22"/>
          <w:lang w:val="sq-AL"/>
          <w14:ligatures w14:val="standardContextual"/>
        </w:rPr>
        <w:t>, përçdo</w:t>
      </w:r>
      <w:r w:rsidRPr="00BC59F2">
        <w:rPr>
          <w:rFonts w:eastAsia="Aptos" w:cs="Calibri"/>
          <w:bCs/>
          <w:noProof/>
          <w:kern w:val="2"/>
          <w:szCs w:val="22"/>
          <w:lang w:val="sq-AL"/>
          <w14:ligatures w14:val="standardContextual"/>
        </w:rPr>
        <w:t xml:space="preserve"> NJVQV, </w:t>
      </w:r>
      <w:r w:rsidR="005D634B">
        <w:rPr>
          <w:rFonts w:eastAsia="Aptos" w:cs="Calibri"/>
          <w:bCs/>
          <w:noProof/>
          <w:kern w:val="2"/>
          <w:szCs w:val="22"/>
          <w:lang w:val="sq-AL"/>
          <w14:ligatures w14:val="standardContextual"/>
        </w:rPr>
        <w:t xml:space="preserve">në trend zbritës </w:t>
      </w:r>
      <w:r w:rsidRPr="00BC59F2">
        <w:rPr>
          <w:rFonts w:eastAsia="Aptos" w:cs="Calibri"/>
          <w:bCs/>
          <w:noProof/>
          <w:kern w:val="2"/>
          <w:szCs w:val="22"/>
          <w:lang w:val="sq-AL"/>
          <w14:ligatures w14:val="standardContextual"/>
        </w:rPr>
        <w:t>rezulto</w:t>
      </w:r>
      <w:r w:rsidR="00166B1B">
        <w:rPr>
          <w:rFonts w:eastAsia="Aptos" w:cs="Calibri"/>
          <w:bCs/>
          <w:noProof/>
          <w:kern w:val="2"/>
          <w:szCs w:val="22"/>
          <w:lang w:val="sq-AL"/>
          <w14:ligatures w14:val="standardContextual"/>
        </w:rPr>
        <w:t>i</w:t>
      </w:r>
      <w:r w:rsidRPr="00BC59F2">
        <w:rPr>
          <w:rFonts w:eastAsia="Aptos" w:cs="Calibri"/>
          <w:bCs/>
          <w:noProof/>
          <w:kern w:val="2"/>
          <w:szCs w:val="22"/>
          <w:lang w:val="sq-AL"/>
          <w14:ligatures w14:val="standardContextual"/>
        </w:rPr>
        <w:t xml:space="preserve"> si mëposhtë: </w:t>
      </w:r>
    </w:p>
    <w:p w14:paraId="789874A3" w14:textId="193DDCC3"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Kavajë ka realizuar 421.8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636.5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66%, </w:t>
      </w:r>
    </w:p>
    <w:p w14:paraId="2BF37803" w14:textId="1565E387"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Kamëz ka realizuar 119.4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261.5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46%, </w:t>
      </w:r>
    </w:p>
    <w:p w14:paraId="14D0DD99" w14:textId="33DA7A09"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Mirditë ka realizuar 72.3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164.8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44%, </w:t>
      </w:r>
    </w:p>
    <w:p w14:paraId="79BBC5A5" w14:textId="610A7A3A"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Krujë ka realizuar 487.6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1.2 </w:t>
      </w:r>
      <w:r w:rsidR="0056260B">
        <w:rPr>
          <w:rFonts w:eastAsia="Aptos" w:cs="Calibri"/>
          <w:bCs/>
          <w:i/>
          <w:iCs/>
          <w:noProof/>
          <w:kern w:val="2"/>
          <w:szCs w:val="22"/>
          <w:lang w:val="sq-AL"/>
          <w14:ligatures w14:val="standardContextual"/>
        </w:rPr>
        <w:t>miliardë</w:t>
      </w:r>
      <w:r w:rsidRPr="000A275E">
        <w:rPr>
          <w:rFonts w:eastAsia="Aptos" w:cs="Calibri"/>
          <w:bCs/>
          <w:i/>
          <w:iCs/>
          <w:noProof/>
          <w:kern w:val="2"/>
          <w:szCs w:val="22"/>
          <w:lang w:val="sq-AL"/>
          <w14:ligatures w14:val="standardContextual"/>
        </w:rPr>
        <w:t xml:space="preserve"> LEK ose 40%, </w:t>
      </w:r>
    </w:p>
    <w:p w14:paraId="14BAB1A4" w14:textId="138B3745"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Vorë ka realizuar 110.3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335.6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33%.</w:t>
      </w:r>
    </w:p>
    <w:p w14:paraId="4DCA7654" w14:textId="194ECDDD"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Durrës ka realizuar 407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1.4 </w:t>
      </w:r>
      <w:r w:rsidR="0056260B">
        <w:rPr>
          <w:rFonts w:eastAsia="Aptos" w:cs="Calibri"/>
          <w:bCs/>
          <w:i/>
          <w:iCs/>
          <w:noProof/>
          <w:kern w:val="2"/>
          <w:szCs w:val="22"/>
          <w:lang w:val="sq-AL"/>
          <w14:ligatures w14:val="standardContextual"/>
        </w:rPr>
        <w:t>miliardë</w:t>
      </w:r>
      <w:r w:rsidRPr="000A275E">
        <w:rPr>
          <w:rFonts w:eastAsia="Aptos" w:cs="Calibri"/>
          <w:bCs/>
          <w:i/>
          <w:iCs/>
          <w:noProof/>
          <w:kern w:val="2"/>
          <w:szCs w:val="22"/>
          <w:lang w:val="sq-AL"/>
          <w14:ligatures w14:val="standardContextual"/>
        </w:rPr>
        <w:t xml:space="preserve"> LEK ose 28%, </w:t>
      </w:r>
    </w:p>
    <w:p w14:paraId="6B2A4968" w14:textId="0B9D1357"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Kurbin ka realizuar 263.1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944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28%, </w:t>
      </w:r>
    </w:p>
    <w:p w14:paraId="18E1627D" w14:textId="55A9E31A" w:rsidR="00BC59F2" w:rsidRPr="000A275E" w:rsidRDefault="00BC59F2">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Tiranë ka realizuar 1 </w:t>
      </w:r>
      <w:r w:rsidR="0056260B">
        <w:rPr>
          <w:rFonts w:eastAsia="Aptos" w:cs="Calibri"/>
          <w:bCs/>
          <w:i/>
          <w:iCs/>
          <w:noProof/>
          <w:kern w:val="2"/>
          <w:szCs w:val="22"/>
          <w:lang w:val="sq-AL"/>
          <w14:ligatures w14:val="standardContextual"/>
        </w:rPr>
        <w:t>miliardë</w:t>
      </w:r>
      <w:r w:rsidRPr="000A275E">
        <w:rPr>
          <w:rFonts w:eastAsia="Aptos" w:cs="Calibri"/>
          <w:bCs/>
          <w:i/>
          <w:iCs/>
          <w:noProof/>
          <w:kern w:val="2"/>
          <w:szCs w:val="22"/>
          <w:lang w:val="sq-AL"/>
          <w14:ligatures w14:val="standardContextual"/>
        </w:rPr>
        <w:t xml:space="preserve"> LEK nga 2.9 </w:t>
      </w:r>
      <w:r w:rsidR="0056260B">
        <w:rPr>
          <w:rFonts w:eastAsia="Aptos" w:cs="Calibri"/>
          <w:bCs/>
          <w:i/>
          <w:iCs/>
          <w:noProof/>
          <w:kern w:val="2"/>
          <w:szCs w:val="22"/>
          <w:lang w:val="sq-AL"/>
          <w14:ligatures w14:val="standardContextual"/>
        </w:rPr>
        <w:t>miliardë</w:t>
      </w:r>
      <w:r w:rsidRPr="000A275E">
        <w:rPr>
          <w:rFonts w:eastAsia="Aptos" w:cs="Calibri"/>
          <w:bCs/>
          <w:i/>
          <w:iCs/>
          <w:noProof/>
          <w:kern w:val="2"/>
          <w:szCs w:val="22"/>
          <w:lang w:val="sq-AL"/>
          <w14:ligatures w14:val="standardContextual"/>
        </w:rPr>
        <w:t xml:space="preserve"> LEK ose 37%, </w:t>
      </w:r>
    </w:p>
    <w:p w14:paraId="14E1ADBA" w14:textId="563EA76B"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Shijak ka realizuar 84.9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436.7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19%, </w:t>
      </w:r>
    </w:p>
    <w:p w14:paraId="2EB711D5" w14:textId="255E7449" w:rsidR="005D634B" w:rsidRPr="000A275E" w:rsidRDefault="005D634B">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Rrogozhinë ka realizuar 56.4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302.6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19%,  </w:t>
      </w:r>
    </w:p>
    <w:p w14:paraId="182948B6" w14:textId="2C26ED80" w:rsidR="00BC59F2" w:rsidRPr="000A275E" w:rsidRDefault="00BC59F2">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Bashkia Lezhë ka realizuar 22.2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181.9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ose 12%, </w:t>
      </w:r>
    </w:p>
    <w:p w14:paraId="401FB651" w14:textId="77777777" w:rsidR="00BC59F2" w:rsidRPr="000A275E" w:rsidRDefault="00BC59F2" w:rsidP="00BC59F2">
      <w:pPr>
        <w:spacing w:before="0"/>
        <w:rPr>
          <w:rFonts w:eastAsia="Aptos" w:cs="Calibri"/>
          <w:b/>
          <w:bCs/>
          <w:noProof/>
          <w:kern w:val="2"/>
          <w:sz w:val="8"/>
          <w:szCs w:val="8"/>
          <w:lang w:val="sq-AL"/>
          <w14:ligatures w14:val="standardContextual"/>
        </w:rPr>
      </w:pPr>
    </w:p>
    <w:p w14:paraId="1BA21354" w14:textId="0E1110C9" w:rsidR="00BC59F2" w:rsidRPr="00BC59F2" w:rsidRDefault="00BC59F2" w:rsidP="000A275E">
      <w:pPr>
        <w:spacing w:before="0" w:line="240" w:lineRule="auto"/>
        <w:rPr>
          <w:rFonts w:eastAsia="Aptos" w:cs="Calibri"/>
          <w:bCs/>
          <w:noProof/>
          <w:kern w:val="2"/>
          <w:szCs w:val="22"/>
          <w:lang w:val="sq-AL"/>
          <w14:ligatures w14:val="standardContextual"/>
        </w:rPr>
      </w:pPr>
      <w:r w:rsidRPr="00BC59F2">
        <w:rPr>
          <w:rFonts w:eastAsia="Aptos" w:cs="Calibri"/>
          <w:b/>
          <w:bCs/>
          <w:noProof/>
          <w:kern w:val="2"/>
          <w:szCs w:val="22"/>
          <w:lang w:val="sq-AL"/>
          <w14:ligatures w14:val="standardContextual"/>
        </w:rPr>
        <w:t xml:space="preserve">Nga Fondi i Rindërtimit për njësitë e qeverisjes qendrore (NJQQ) </w:t>
      </w:r>
      <w:bookmarkStart w:id="152" w:name="_Hlk135908971"/>
      <w:r w:rsidRPr="00BC59F2">
        <w:rPr>
          <w:rFonts w:eastAsia="Aptos" w:cs="Calibri"/>
          <w:bCs/>
          <w:noProof/>
          <w:kern w:val="2"/>
          <w:szCs w:val="22"/>
          <w:lang w:val="sq-AL"/>
          <w14:ligatures w14:val="standardContextual"/>
        </w:rPr>
        <w:t>deri në 31 dhjetor 2025, u akorduan fonde në projekte specifike në masën 189.5</w:t>
      </w:r>
      <w:r w:rsidR="00C54373">
        <w:rPr>
          <w:rFonts w:eastAsia="Aptos" w:cs="Calibri"/>
          <w:bCs/>
          <w:noProof/>
          <w:kern w:val="2"/>
          <w:szCs w:val="22"/>
          <w:lang w:val="sq-AL"/>
          <w14:ligatures w14:val="standardContextual"/>
        </w:rPr>
        <w:t>mln</w:t>
      </w:r>
      <w:r w:rsidRPr="00BC59F2">
        <w:rPr>
          <w:rFonts w:eastAsia="Aptos" w:cs="Calibri"/>
          <w:bCs/>
          <w:noProof/>
          <w:kern w:val="2"/>
          <w:szCs w:val="22"/>
          <w:lang w:val="sq-AL"/>
          <w14:ligatures w14:val="standardContextual"/>
        </w:rPr>
        <w:t xml:space="preserve"> LEK, nga të cilat </w:t>
      </w:r>
      <w:bookmarkEnd w:id="152"/>
      <w:r w:rsidRPr="00BC59F2">
        <w:rPr>
          <w:rFonts w:eastAsia="Aptos" w:cs="Calibri"/>
          <w:bCs/>
          <w:noProof/>
          <w:kern w:val="2"/>
          <w:szCs w:val="22"/>
          <w:lang w:val="sq-AL"/>
          <w14:ligatures w14:val="standardContextual"/>
        </w:rPr>
        <w:t>u realizuan 26.</w:t>
      </w:r>
      <w:r w:rsidR="00B87C4C">
        <w:rPr>
          <w:rFonts w:eastAsia="Aptos" w:cs="Calibri"/>
          <w:bCs/>
          <w:noProof/>
          <w:kern w:val="2"/>
          <w:szCs w:val="22"/>
          <w:lang w:val="sq-AL"/>
          <w14:ligatures w14:val="standardContextual"/>
        </w:rPr>
        <w:t>9</w:t>
      </w:r>
      <w:r w:rsidR="00C54373">
        <w:rPr>
          <w:rFonts w:eastAsia="Aptos" w:cs="Calibri"/>
          <w:bCs/>
          <w:noProof/>
          <w:kern w:val="2"/>
          <w:szCs w:val="22"/>
          <w:lang w:val="sq-AL"/>
          <w14:ligatures w14:val="standardContextual"/>
        </w:rPr>
        <w:t>mln</w:t>
      </w:r>
      <w:r w:rsidRPr="00BC59F2">
        <w:rPr>
          <w:rFonts w:eastAsia="Aptos" w:cs="Calibri"/>
          <w:bCs/>
          <w:noProof/>
          <w:kern w:val="2"/>
          <w:szCs w:val="22"/>
          <w:lang w:val="sq-AL"/>
          <w14:ligatures w14:val="standardContextual"/>
        </w:rPr>
        <w:t xml:space="preserve"> LEK ose 14.2%, dhe konkretisht:</w:t>
      </w:r>
    </w:p>
    <w:p w14:paraId="3EB1D544" w14:textId="6EE7990F" w:rsidR="00B87C4C" w:rsidRDefault="00B87C4C">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FSHZH shpenzoi 23.2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nga 185.</w:t>
      </w:r>
      <w:r>
        <w:rPr>
          <w:rFonts w:eastAsia="Aptos" w:cs="Calibri"/>
          <w:bCs/>
          <w:i/>
          <w:iCs/>
          <w:noProof/>
          <w:kern w:val="2"/>
          <w:szCs w:val="22"/>
          <w:lang w:val="sq-AL"/>
          <w14:ligatures w14:val="standardContextual"/>
        </w:rPr>
        <w:t>9</w:t>
      </w:r>
      <w:r w:rsidR="00C54373">
        <w:rPr>
          <w:rFonts w:eastAsia="Aptos" w:cs="Calibri"/>
          <w:bCs/>
          <w:i/>
          <w:iCs/>
          <w:noProof/>
          <w:kern w:val="2"/>
          <w:szCs w:val="22"/>
          <w:lang w:val="sq-AL"/>
          <w14:ligatures w14:val="standardContextual"/>
        </w:rPr>
        <w:t xml:space="preserve">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 të akorduara ose në në masën 12.5% të planit.</w:t>
      </w:r>
    </w:p>
    <w:p w14:paraId="33CC3616" w14:textId="33BA2E56" w:rsidR="00BC59F2" w:rsidRDefault="00BC59F2">
      <w:pPr>
        <w:numPr>
          <w:ilvl w:val="0"/>
          <w:numId w:val="28"/>
        </w:numPr>
        <w:spacing w:before="0" w:line="240" w:lineRule="auto"/>
        <w:jc w:val="left"/>
        <w:rPr>
          <w:rFonts w:eastAsia="Aptos" w:cs="Calibri"/>
          <w:bCs/>
          <w:i/>
          <w:iCs/>
          <w:noProof/>
          <w:kern w:val="2"/>
          <w:szCs w:val="22"/>
          <w:lang w:val="sq-AL"/>
          <w14:ligatures w14:val="standardContextual"/>
        </w:rPr>
      </w:pPr>
      <w:r w:rsidRPr="000A275E">
        <w:rPr>
          <w:rFonts w:eastAsia="Aptos" w:cs="Calibri"/>
          <w:bCs/>
          <w:i/>
          <w:iCs/>
          <w:noProof/>
          <w:kern w:val="2"/>
          <w:szCs w:val="22"/>
          <w:lang w:val="sq-AL"/>
          <w14:ligatures w14:val="standardContextual"/>
        </w:rPr>
        <w:t xml:space="preserve">Ministria e Brendshme shpenzoi 100% të planit të akorduar prej rreth 3.69 </w:t>
      </w:r>
      <w:r w:rsidR="0056260B">
        <w:rPr>
          <w:rFonts w:eastAsia="Aptos" w:cs="Calibri"/>
          <w:bCs/>
          <w:i/>
          <w:iCs/>
          <w:noProof/>
          <w:kern w:val="2"/>
          <w:szCs w:val="22"/>
          <w:lang w:val="sq-AL"/>
          <w14:ligatures w14:val="standardContextual"/>
        </w:rPr>
        <w:t>milionë</w:t>
      </w:r>
      <w:r w:rsidRPr="000A275E">
        <w:rPr>
          <w:rFonts w:eastAsia="Aptos" w:cs="Calibri"/>
          <w:bCs/>
          <w:i/>
          <w:iCs/>
          <w:noProof/>
          <w:kern w:val="2"/>
          <w:szCs w:val="22"/>
          <w:lang w:val="sq-AL"/>
          <w14:ligatures w14:val="standardContextual"/>
        </w:rPr>
        <w:t xml:space="preserve"> LEK.</w:t>
      </w:r>
    </w:p>
    <w:p w14:paraId="53D9704B" w14:textId="77777777" w:rsidR="00D35710" w:rsidRDefault="00D35710" w:rsidP="00D35710">
      <w:pPr>
        <w:spacing w:before="0" w:line="240" w:lineRule="auto"/>
        <w:jc w:val="left"/>
        <w:rPr>
          <w:rFonts w:eastAsia="Aptos" w:cs="Calibri"/>
          <w:bCs/>
          <w:i/>
          <w:iCs/>
          <w:noProof/>
          <w:kern w:val="2"/>
          <w:szCs w:val="22"/>
          <w:lang w:val="sq-AL"/>
          <w14:ligatures w14:val="standardContextual"/>
        </w:rPr>
      </w:pPr>
    </w:p>
    <w:p w14:paraId="752D36F2" w14:textId="77777777" w:rsidR="00D35710" w:rsidRPr="000A275E" w:rsidRDefault="00D35710" w:rsidP="00D35710">
      <w:pPr>
        <w:spacing w:before="0" w:line="240" w:lineRule="auto"/>
        <w:jc w:val="left"/>
        <w:rPr>
          <w:rFonts w:eastAsia="Aptos" w:cs="Calibri"/>
          <w:bCs/>
          <w:i/>
          <w:iCs/>
          <w:noProof/>
          <w:kern w:val="2"/>
          <w:szCs w:val="22"/>
          <w:lang w:val="sq-AL"/>
          <w14:ligatures w14:val="standardContextual"/>
        </w:rPr>
      </w:pPr>
    </w:p>
    <w:p w14:paraId="72B53B39" w14:textId="77777777" w:rsidR="00B87C4C" w:rsidRPr="00B87C4C" w:rsidRDefault="00B87C4C" w:rsidP="00B87C4C">
      <w:pPr>
        <w:spacing w:before="0" w:line="240" w:lineRule="auto"/>
        <w:rPr>
          <w:rFonts w:cs="Calibri"/>
          <w:noProof/>
          <w:sz w:val="16"/>
          <w:szCs w:val="18"/>
          <w:lang w:val="sq-AL"/>
        </w:rPr>
      </w:pPr>
    </w:p>
    <w:p w14:paraId="0373ECB6" w14:textId="56860319" w:rsidR="00B1170D" w:rsidRPr="00B1170D" w:rsidRDefault="00BB4AF5" w:rsidP="00B1170D">
      <w:pPr>
        <w:shd w:val="clear" w:color="auto" w:fill="D9D9D9" w:themeFill="background1" w:themeFillShade="D9"/>
        <w:spacing w:before="0" w:line="240" w:lineRule="auto"/>
        <w:rPr>
          <w:rFonts w:cs="Calibri"/>
          <w:noProof/>
          <w:lang w:val="sq-AL"/>
        </w:rPr>
      </w:pPr>
      <w:r w:rsidRPr="00B644BE">
        <w:rPr>
          <w:rFonts w:cs="Calibri"/>
          <w:noProof/>
          <w:lang w:val="sq-AL"/>
        </w:rPr>
        <w:t xml:space="preserve">Në mënyrë të detajuar fondet e akorduara sipas VKM-ve, paraqiten në </w:t>
      </w:r>
      <w:r w:rsidRPr="00B644BE">
        <w:rPr>
          <w:rFonts w:cs="Calibri"/>
          <w:b/>
          <w:noProof/>
          <w:lang w:val="sq-AL"/>
        </w:rPr>
        <w:t xml:space="preserve">Aneksin </w:t>
      </w:r>
      <w:r w:rsidR="00394B34" w:rsidRPr="00B644BE">
        <w:rPr>
          <w:rFonts w:cs="Calibri"/>
          <w:b/>
          <w:noProof/>
          <w:lang w:val="sq-AL"/>
        </w:rPr>
        <w:t>b</w:t>
      </w:r>
      <w:r w:rsidR="005712B9" w:rsidRPr="00B644BE">
        <w:rPr>
          <w:rFonts w:cs="Calibri"/>
          <w:b/>
          <w:noProof/>
          <w:lang w:val="sq-AL"/>
        </w:rPr>
        <w:t>)</w:t>
      </w:r>
      <w:r w:rsidRPr="00B644BE">
        <w:rPr>
          <w:rFonts w:cs="Calibri"/>
          <w:b/>
          <w:noProof/>
          <w:lang w:val="sq-AL"/>
        </w:rPr>
        <w:t xml:space="preserve"> “</w:t>
      </w:r>
      <w:r w:rsidRPr="00B87C4C">
        <w:rPr>
          <w:rFonts w:cs="Calibri"/>
          <w:b/>
          <w:i/>
          <w:iCs/>
          <w:noProof/>
          <w:lang w:val="sq-AL"/>
        </w:rPr>
        <w:t>Tabela analitike e përdorimit të Fondit të Rindërtimit 202</w:t>
      </w:r>
      <w:r w:rsidR="00BC59F2" w:rsidRPr="00B87C4C">
        <w:rPr>
          <w:rFonts w:cs="Calibri"/>
          <w:b/>
          <w:i/>
          <w:iCs/>
          <w:noProof/>
          <w:lang w:val="sq-AL"/>
        </w:rPr>
        <w:t>5</w:t>
      </w:r>
      <w:r w:rsidRPr="00B644BE">
        <w:rPr>
          <w:rFonts w:cs="Calibri"/>
          <w:b/>
          <w:noProof/>
          <w:lang w:val="sq-AL"/>
        </w:rPr>
        <w:t>”</w:t>
      </w:r>
      <w:r w:rsidRPr="00B644BE">
        <w:rPr>
          <w:rFonts w:cs="Calibri"/>
          <w:noProof/>
          <w:lang w:val="sq-AL"/>
        </w:rPr>
        <w:t>.</w:t>
      </w:r>
    </w:p>
    <w:p w14:paraId="2296EEA4" w14:textId="77777777" w:rsidR="00B1170D" w:rsidRDefault="00B1170D" w:rsidP="00B1170D">
      <w:pPr>
        <w:rPr>
          <w:sz w:val="32"/>
          <w:szCs w:val="36"/>
        </w:rPr>
      </w:pPr>
    </w:p>
    <w:p w14:paraId="743F986B" w14:textId="77777777" w:rsidR="00F55F62" w:rsidRDefault="00F55F62" w:rsidP="00B1170D">
      <w:pPr>
        <w:rPr>
          <w:sz w:val="32"/>
          <w:szCs w:val="36"/>
        </w:rPr>
      </w:pPr>
    </w:p>
    <w:p w14:paraId="58E54283" w14:textId="77777777" w:rsidR="00F55F62" w:rsidRDefault="00F55F62" w:rsidP="00B1170D">
      <w:pPr>
        <w:rPr>
          <w:sz w:val="32"/>
          <w:szCs w:val="36"/>
        </w:rPr>
      </w:pPr>
    </w:p>
    <w:p w14:paraId="55861845" w14:textId="77777777" w:rsidR="00F55F62" w:rsidRDefault="00F55F62" w:rsidP="00B1170D">
      <w:pPr>
        <w:rPr>
          <w:sz w:val="32"/>
          <w:szCs w:val="36"/>
        </w:rPr>
      </w:pPr>
    </w:p>
    <w:p w14:paraId="1A573FCC" w14:textId="77777777" w:rsidR="00F55F62" w:rsidRDefault="00F55F62" w:rsidP="00B1170D">
      <w:pPr>
        <w:rPr>
          <w:sz w:val="32"/>
          <w:szCs w:val="36"/>
        </w:rPr>
      </w:pPr>
    </w:p>
    <w:p w14:paraId="1E60433A" w14:textId="77777777" w:rsidR="00F55F62" w:rsidRPr="00C54373" w:rsidRDefault="00F55F62" w:rsidP="00B1170D">
      <w:pPr>
        <w:rPr>
          <w:sz w:val="32"/>
          <w:szCs w:val="36"/>
        </w:rPr>
      </w:pPr>
    </w:p>
    <w:p w14:paraId="7BD8874E" w14:textId="5E152CFF" w:rsidR="00A94670" w:rsidRPr="00B1170D" w:rsidRDefault="005F1700" w:rsidP="00B1170D">
      <w:pPr>
        <w:pStyle w:val="Heading1"/>
        <w:spacing w:before="0"/>
        <w:rPr>
          <w:b/>
          <w:bCs/>
          <w:noProof/>
        </w:rPr>
      </w:pPr>
      <w:bookmarkStart w:id="153" w:name="_Toc229390820"/>
      <w:r w:rsidRPr="00B1170D">
        <w:rPr>
          <w:b/>
          <w:bCs/>
          <w:noProof/>
        </w:rPr>
        <w:lastRenderedPageBreak/>
        <w:t>BUXHETI VENDOR</w:t>
      </w:r>
      <w:bookmarkEnd w:id="124"/>
      <w:bookmarkEnd w:id="125"/>
      <w:bookmarkEnd w:id="153"/>
    </w:p>
    <w:p w14:paraId="077FF343" w14:textId="77777777" w:rsidR="00B930C1" w:rsidRPr="00D54DA5" w:rsidRDefault="00B930C1" w:rsidP="00B930C1">
      <w:pPr>
        <w:tabs>
          <w:tab w:val="left" w:pos="5940"/>
        </w:tabs>
        <w:spacing w:line="240" w:lineRule="auto"/>
        <w:rPr>
          <w:noProof/>
          <w:lang w:val="sq-AL"/>
        </w:rPr>
      </w:pPr>
      <w:bookmarkStart w:id="154" w:name="_Hlk178687271"/>
      <w:r w:rsidRPr="00D54DA5">
        <w:rPr>
          <w:noProof/>
          <w:lang w:val="sq-AL"/>
        </w:rPr>
        <w:t>Gjatë vitit 2025 është evidentuar një performancë pozitive e financave të pushtetit vendor. Të ardhurat e veta vendore arritën në vlerën rreth 1.</w:t>
      </w:r>
      <w:r>
        <w:rPr>
          <w:noProof/>
          <w:lang w:val="sq-AL"/>
        </w:rPr>
        <w:t>55</w:t>
      </w:r>
      <w:r w:rsidRPr="00D54DA5">
        <w:rPr>
          <w:noProof/>
          <w:lang w:val="sq-AL"/>
        </w:rPr>
        <w:t>% të PBB, ndërkohë që shpenzimet faktike të pushtetit vendor arritën në rreth 3.3</w:t>
      </w:r>
      <w:r>
        <w:rPr>
          <w:noProof/>
          <w:lang w:val="sq-AL"/>
        </w:rPr>
        <w:t>2</w:t>
      </w:r>
      <w:r w:rsidRPr="00D54DA5">
        <w:rPr>
          <w:noProof/>
          <w:lang w:val="sq-AL"/>
        </w:rPr>
        <w:t>% të PBB, duke reflektuar rolin dhe kontributin e tyre në zhvillimin ekonomik të vendit.</w:t>
      </w:r>
    </w:p>
    <w:p w14:paraId="52A3FBD3" w14:textId="77777777" w:rsidR="00B930C1" w:rsidRPr="00D54DA5" w:rsidRDefault="00B930C1" w:rsidP="00B930C1">
      <w:pPr>
        <w:tabs>
          <w:tab w:val="left" w:pos="5940"/>
        </w:tabs>
        <w:spacing w:line="240" w:lineRule="auto"/>
        <w:rPr>
          <w:noProof/>
          <w:lang w:val="sq-AL"/>
        </w:rPr>
      </w:pPr>
      <w:r w:rsidRPr="00D54DA5">
        <w:rPr>
          <w:noProof/>
          <w:lang w:val="sq-AL"/>
        </w:rPr>
        <w:t>Në buxheti</w:t>
      </w:r>
      <w:r>
        <w:rPr>
          <w:noProof/>
          <w:lang w:val="sq-AL"/>
        </w:rPr>
        <w:t xml:space="preserve">n e </w:t>
      </w:r>
      <w:r w:rsidRPr="00D54DA5">
        <w:rPr>
          <w:noProof/>
          <w:lang w:val="sq-AL"/>
        </w:rPr>
        <w:t>vitit 2025, Ministria e Financave ka ndjekur me prioritet konsolidimin financiar të qeverisjes së përgjithshme, ku buxheti vendor zë një rol të rëndësishëm. Qëndrueshmëria në ofrimin e shërbimeve publike, konsolidimi i procesit të decentralizimit dhe vijimi i reformave të modernizimit përbëjnë aspekte kyçe të vizionit për forcimin e rolit të pushtetit vendor në qeverisje. Për realizimin e këtyre objektivave, Ministria e Financave ka vendosur theksin në nxitjen e rritjes së investimeve vendore, digjitalizimin e proceseve të menaxhimit financiar dhe forcimin e burimeve të të ardhurave të veta vendore.</w:t>
      </w:r>
    </w:p>
    <w:p w14:paraId="7800A71D" w14:textId="77777777" w:rsidR="00B930C1" w:rsidRPr="00941DA8" w:rsidRDefault="00B930C1" w:rsidP="00B930C1">
      <w:pPr>
        <w:tabs>
          <w:tab w:val="left" w:pos="5940"/>
        </w:tabs>
        <w:spacing w:line="240" w:lineRule="auto"/>
        <w:rPr>
          <w:noProof/>
          <w:lang w:val="sq-AL"/>
        </w:rPr>
      </w:pPr>
      <w:r>
        <w:rPr>
          <w:rFonts w:eastAsia="MS Mincho" w:cs="Calibri"/>
          <w:noProof/>
          <w:lang w:val="sq-AL"/>
        </w:rPr>
        <w:t xml:space="preserve">Në raport me </w:t>
      </w:r>
      <w:r w:rsidRPr="00B644BE">
        <w:rPr>
          <w:rFonts w:eastAsia="MS Mincho" w:cs="Calibri"/>
          <w:noProof/>
          <w:lang w:val="sq-AL"/>
        </w:rPr>
        <w:t xml:space="preserve">PBB </w:t>
      </w:r>
      <w:r>
        <w:rPr>
          <w:rFonts w:eastAsia="MS Mincho" w:cs="Calibri"/>
          <w:noProof/>
          <w:lang w:val="sq-AL"/>
        </w:rPr>
        <w:t>në vitin 2025 k</w:t>
      </w:r>
      <w:r w:rsidRPr="00B644BE">
        <w:rPr>
          <w:rFonts w:eastAsia="MS Mincho" w:cs="Calibri"/>
          <w:noProof/>
          <w:lang w:val="sq-AL"/>
        </w:rPr>
        <w:t xml:space="preserve">onsolidimi i buxhetit vendor </w:t>
      </w:r>
      <w:r w:rsidRPr="000F2F1D">
        <w:rPr>
          <w:rFonts w:eastAsia="MS Mincho" w:cs="Calibri"/>
          <w:noProof/>
          <w:lang w:val="sq-AL"/>
        </w:rPr>
        <w:t>arriti 3.</w:t>
      </w:r>
      <w:r>
        <w:rPr>
          <w:rFonts w:eastAsia="MS Mincho" w:cs="Calibri"/>
          <w:noProof/>
          <w:lang w:val="sq-AL"/>
        </w:rPr>
        <w:t>32</w:t>
      </w:r>
      <w:r w:rsidRPr="000F2F1D">
        <w:rPr>
          <w:rFonts w:eastAsia="MS Mincho" w:cs="Calibri"/>
          <w:noProof/>
          <w:lang w:val="sq-AL"/>
        </w:rPr>
        <w:t>%, kurse</w:t>
      </w:r>
      <w:r>
        <w:rPr>
          <w:rFonts w:eastAsia="MS Mincho" w:cs="Calibri"/>
          <w:noProof/>
          <w:lang w:val="sq-AL"/>
        </w:rPr>
        <w:t xml:space="preserve"> në raport me shpenzimet e përgjithshme </w:t>
      </w:r>
      <w:r w:rsidRPr="00B644BE">
        <w:rPr>
          <w:rFonts w:eastAsia="MS Mincho" w:cs="Calibri"/>
          <w:noProof/>
          <w:lang w:val="sq-AL"/>
        </w:rPr>
        <w:t>të buxhetit të shtetit</w:t>
      </w:r>
      <w:r>
        <w:rPr>
          <w:rFonts w:eastAsia="MS Mincho" w:cs="Calibri"/>
          <w:noProof/>
          <w:lang w:val="sq-AL"/>
        </w:rPr>
        <w:t>,</w:t>
      </w:r>
      <w:r w:rsidRPr="00B644BE">
        <w:rPr>
          <w:rFonts w:eastAsia="MS Mincho" w:cs="Calibri"/>
          <w:noProof/>
          <w:lang w:val="sq-AL"/>
        </w:rPr>
        <w:t xml:space="preserve"> buxheti vendor </w:t>
      </w:r>
      <w:r>
        <w:rPr>
          <w:rFonts w:eastAsia="MS Mincho" w:cs="Calibri"/>
          <w:noProof/>
          <w:lang w:val="sq-AL"/>
        </w:rPr>
        <w:t>arriti</w:t>
      </w:r>
      <w:r w:rsidRPr="00B644BE">
        <w:rPr>
          <w:rFonts w:eastAsia="MS Mincho" w:cs="Calibri"/>
          <w:noProof/>
          <w:lang w:val="sq-AL"/>
        </w:rPr>
        <w:t xml:space="preserve"> </w:t>
      </w:r>
      <w:r>
        <w:rPr>
          <w:rFonts w:eastAsia="MS Mincho" w:cs="Calibri"/>
          <w:noProof/>
          <w:lang w:val="sq-AL"/>
        </w:rPr>
        <w:t>rreth 11</w:t>
      </w:r>
      <w:r w:rsidRPr="000F2F1D">
        <w:rPr>
          <w:rFonts w:eastAsia="MS Mincho" w:cs="Calibri"/>
          <w:noProof/>
          <w:lang w:val="sq-AL"/>
        </w:rPr>
        <w:t>%</w:t>
      </w:r>
      <w:r w:rsidRPr="00B644BE">
        <w:rPr>
          <w:rFonts w:eastAsia="MS Mincho" w:cs="Calibri"/>
          <w:noProof/>
          <w:lang w:val="sq-AL"/>
        </w:rPr>
        <w:t xml:space="preserve">, </w:t>
      </w:r>
      <w:r>
        <w:rPr>
          <w:rFonts w:eastAsia="MS Mincho" w:cs="Calibri"/>
          <w:noProof/>
          <w:lang w:val="sq-AL"/>
        </w:rPr>
        <w:t xml:space="preserve">që </w:t>
      </w:r>
      <w:r w:rsidRPr="00B644BE">
        <w:rPr>
          <w:rFonts w:eastAsia="MS Mincho" w:cs="Calibri"/>
          <w:noProof/>
          <w:lang w:val="sq-AL"/>
        </w:rPr>
        <w:t xml:space="preserve">tregon qartazi potencialin në rritje të pushtetit vendor për ofrimin e shërbimeve. </w:t>
      </w:r>
      <w:r w:rsidRPr="000F2F1D">
        <w:rPr>
          <w:rFonts w:eastAsia="MS Mincho" w:cs="Calibri"/>
          <w:noProof/>
          <w:lang w:val="sq-AL"/>
        </w:rPr>
        <w:t>Një ndër treguesit më të</w:t>
      </w:r>
      <w:r w:rsidRPr="00B644BE">
        <w:rPr>
          <w:noProof/>
          <w:lang w:val="sq-AL"/>
        </w:rPr>
        <w:t xml:space="preserve"> rëndësishëm të konsolidimit fiskal të njësive të vetëqeverisjes vendore është rritja e aftësive të tyre për të siguruar të ardhura nga burimet e veta dhe arkëtimin e tyre në mënyrë të qëndrueshme në kohë. </w:t>
      </w:r>
      <w:r w:rsidRPr="00941DA8">
        <w:rPr>
          <w:noProof/>
          <w:lang w:val="sq-AL"/>
        </w:rPr>
        <w:t>Gjatë vitit 2025, të ardhurat e veta t</w:t>
      </w:r>
      <w:r>
        <w:rPr>
          <w:noProof/>
          <w:lang w:val="sq-AL"/>
        </w:rPr>
        <w:t>ë</w:t>
      </w:r>
      <w:r w:rsidRPr="00941DA8">
        <w:rPr>
          <w:noProof/>
          <w:lang w:val="sq-AL"/>
        </w:rPr>
        <w:t xml:space="preserve"> pushtetit vendor në raport me planin fillestar u realizuaan n</w:t>
      </w:r>
      <w:r>
        <w:rPr>
          <w:noProof/>
          <w:lang w:val="sq-AL"/>
        </w:rPr>
        <w:t>ë</w:t>
      </w:r>
      <w:r w:rsidRPr="00941DA8">
        <w:rPr>
          <w:noProof/>
          <w:lang w:val="sq-AL"/>
        </w:rPr>
        <w:t xml:space="preserve"> 100.3%, tregues ky i kapacitetit në rritje të njësive vendore për të siguruar qëndrueshmërinë e financimit të funksioneve me burimet e veta</w:t>
      </w:r>
      <w:r w:rsidRPr="00B644BE">
        <w:rPr>
          <w:noProof/>
          <w:lang w:val="sq-AL"/>
        </w:rPr>
        <w:t>.</w:t>
      </w:r>
    </w:p>
    <w:bookmarkEnd w:id="154"/>
    <w:p w14:paraId="4C17FF17" w14:textId="77777777" w:rsidR="00B930C1" w:rsidRPr="00B644BE" w:rsidRDefault="00B930C1" w:rsidP="00B930C1">
      <w:pPr>
        <w:tabs>
          <w:tab w:val="left" w:pos="5940"/>
        </w:tabs>
        <w:spacing w:line="240" w:lineRule="auto"/>
        <w:rPr>
          <w:rFonts w:eastAsia="MS Mincho" w:cs="Calibri"/>
          <w:noProof/>
          <w:lang w:val="sq-AL"/>
        </w:rPr>
      </w:pPr>
      <w:r w:rsidRPr="00B644BE">
        <w:rPr>
          <w:rFonts w:eastAsia="MS Mincho" w:cs="Calibri"/>
          <w:noProof/>
          <w:lang w:val="sq-AL"/>
        </w:rPr>
        <w:t>Disa prej treguesve më të rëndësishëm gjatë vitit 202</w:t>
      </w:r>
      <w:r>
        <w:rPr>
          <w:rFonts w:eastAsia="MS Mincho" w:cs="Calibri"/>
          <w:noProof/>
          <w:lang w:val="sq-AL"/>
        </w:rPr>
        <w:t>5</w:t>
      </w:r>
      <w:r w:rsidRPr="00B644BE">
        <w:rPr>
          <w:rFonts w:eastAsia="MS Mincho" w:cs="Calibri"/>
          <w:noProof/>
          <w:lang w:val="sq-AL"/>
        </w:rPr>
        <w:t>, që mbështetën përmirësimin në proceset e menaxhimit të financave vendore, paraqiten si më poshtë:</w:t>
      </w:r>
    </w:p>
    <w:p w14:paraId="4FA2036D" w14:textId="3190831A" w:rsidR="00B930C1" w:rsidRPr="00B930C1" w:rsidRDefault="00B930C1">
      <w:pPr>
        <w:pStyle w:val="ListParagraph"/>
        <w:numPr>
          <w:ilvl w:val="0"/>
          <w:numId w:val="27"/>
        </w:numPr>
        <w:spacing w:before="0" w:line="240" w:lineRule="auto"/>
        <w:ind w:left="360" w:hanging="270"/>
        <w:rPr>
          <w:rFonts w:eastAsia="MS Mincho" w:cs="Calibri"/>
          <w:i/>
          <w:noProof/>
          <w:szCs w:val="22"/>
          <w:lang w:val="sq-AL"/>
        </w:rPr>
      </w:pPr>
      <w:r w:rsidRPr="00B930C1">
        <w:rPr>
          <w:rFonts w:eastAsia="MS Mincho" w:cs="Calibri"/>
          <w:i/>
          <w:noProof/>
          <w:szCs w:val="22"/>
          <w:lang w:val="sq-AL"/>
        </w:rPr>
        <w:t>Rritja e mbështetjes së dhënë nga buxheti qendror për pushtetin vendor në formën e transfertave (transferta e pakushtëzuar e përgjithshme dhe sektoriale) nga 38.4</w:t>
      </w:r>
      <w:r w:rsidR="0056260B">
        <w:rPr>
          <w:rFonts w:eastAsia="MS Mincho" w:cs="Calibri"/>
          <w:i/>
          <w:noProof/>
          <w:szCs w:val="22"/>
          <w:lang w:val="sq-AL"/>
        </w:rPr>
        <w:t>miliardë</w:t>
      </w:r>
      <w:r w:rsidRPr="00B930C1">
        <w:rPr>
          <w:rFonts w:eastAsia="MS Mincho" w:cs="Calibri"/>
          <w:i/>
          <w:noProof/>
          <w:szCs w:val="22"/>
          <w:lang w:val="sq-AL"/>
        </w:rPr>
        <w:t xml:space="preserve"> LEK në vitin 2024, në rreth 44.6</w:t>
      </w:r>
      <w:r w:rsidR="00141BDB">
        <w:rPr>
          <w:rFonts w:eastAsia="MS Mincho" w:cs="Calibri"/>
          <w:i/>
          <w:noProof/>
          <w:szCs w:val="22"/>
          <w:lang w:val="sq-AL"/>
        </w:rPr>
        <w:t>mld</w:t>
      </w:r>
      <w:r w:rsidRPr="00B930C1">
        <w:rPr>
          <w:rFonts w:eastAsia="MS Mincho" w:cs="Calibri"/>
          <w:i/>
          <w:noProof/>
          <w:szCs w:val="22"/>
          <w:lang w:val="sq-AL"/>
        </w:rPr>
        <w:t xml:space="preserve"> LEK në 2025 që do të thotë rreth 16.2% më shumë </w:t>
      </w:r>
      <w:r w:rsidR="00141BDB">
        <w:rPr>
          <w:rFonts w:eastAsia="MS Mincho" w:cs="Calibri"/>
          <w:i/>
          <w:noProof/>
          <w:szCs w:val="22"/>
          <w:lang w:val="sq-AL"/>
        </w:rPr>
        <w:t>se</w:t>
      </w:r>
      <w:r w:rsidRPr="00B930C1">
        <w:rPr>
          <w:rFonts w:eastAsia="MS Mincho" w:cs="Calibri"/>
          <w:i/>
          <w:noProof/>
          <w:szCs w:val="22"/>
          <w:lang w:val="sq-AL"/>
        </w:rPr>
        <w:t xml:space="preserve"> një vit më parë nga pushteti qendror</w:t>
      </w:r>
      <w:r w:rsidR="00141BDB">
        <w:rPr>
          <w:rFonts w:eastAsia="MS Mincho" w:cs="Calibri"/>
          <w:i/>
          <w:noProof/>
          <w:szCs w:val="22"/>
          <w:lang w:val="sq-AL"/>
        </w:rPr>
        <w:t>,</w:t>
      </w:r>
      <w:r w:rsidRPr="00B930C1">
        <w:rPr>
          <w:rFonts w:eastAsia="MS Mincho" w:cs="Calibri"/>
          <w:i/>
          <w:noProof/>
          <w:szCs w:val="22"/>
          <w:lang w:val="sq-AL"/>
        </w:rPr>
        <w:t xml:space="preserve"> në terma nominalë. </w:t>
      </w:r>
    </w:p>
    <w:p w14:paraId="156A3FEC" w14:textId="0C319A8C" w:rsidR="00B930C1" w:rsidRPr="00B930C1" w:rsidRDefault="00B930C1">
      <w:pPr>
        <w:pStyle w:val="ListParagraph"/>
        <w:numPr>
          <w:ilvl w:val="0"/>
          <w:numId w:val="27"/>
        </w:numPr>
        <w:spacing w:before="0" w:line="240" w:lineRule="auto"/>
        <w:ind w:left="360" w:hanging="270"/>
        <w:rPr>
          <w:rFonts w:eastAsia="MS Mincho" w:cs="Calibri"/>
          <w:i/>
          <w:noProof/>
          <w:szCs w:val="22"/>
          <w:lang w:val="sq-AL"/>
        </w:rPr>
      </w:pPr>
      <w:r w:rsidRPr="00B930C1">
        <w:rPr>
          <w:rFonts w:eastAsia="MS Mincho" w:cs="Calibri"/>
          <w:i/>
          <w:noProof/>
          <w:szCs w:val="22"/>
          <w:lang w:val="sq-AL"/>
        </w:rPr>
        <w:t xml:space="preserve">Përmirësimi i menaxhimit të financave vendore nëpërmjet rritjes së peshës së të ardhurave të veta vendore në burimet e financimit vendor. Të ardhurat tatimore të pushtetit vendor në tërësi në vitin 2025 kanë treguar stabilitet duke ecur në përputhje me pritshmëritë dhe parashikimin sipas kuadrit makroekonomik. Në krahasim me vitin 2024 të ardhurat tatimore kanë pësuar një rritje të moderuar me rreth 580 </w:t>
      </w:r>
      <w:r w:rsidR="0056260B">
        <w:rPr>
          <w:rFonts w:eastAsia="MS Mincho" w:cs="Calibri"/>
          <w:i/>
          <w:noProof/>
          <w:szCs w:val="22"/>
          <w:lang w:val="sq-AL"/>
        </w:rPr>
        <w:t>milionë</w:t>
      </w:r>
      <w:r w:rsidRPr="00B930C1">
        <w:rPr>
          <w:rFonts w:eastAsia="MS Mincho" w:cs="Calibri"/>
          <w:i/>
          <w:noProof/>
          <w:szCs w:val="22"/>
          <w:lang w:val="sq-AL"/>
        </w:rPr>
        <w:t xml:space="preserve"> LEK; </w:t>
      </w:r>
    </w:p>
    <w:p w14:paraId="2822F39D" w14:textId="10024E1F"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 xml:space="preserve">Akordimi në buxhetin e vitit 2025 për njësitë e vetëqeverisjes vendore, </w:t>
      </w:r>
      <w:r w:rsidRPr="00B930C1">
        <w:rPr>
          <w:i/>
          <w:iCs/>
          <w:color w:val="000000"/>
          <w:lang w:val="sq-AL"/>
        </w:rPr>
        <w:t xml:space="preserve">së transfertës së pakushtëzuar të përgjithshme prej 1.2 </w:t>
      </w:r>
      <w:r w:rsidR="0056260B">
        <w:rPr>
          <w:i/>
          <w:iCs/>
          <w:color w:val="000000"/>
          <w:lang w:val="sq-AL"/>
        </w:rPr>
        <w:t>miliardë</w:t>
      </w:r>
      <w:r w:rsidRPr="00B930C1">
        <w:rPr>
          <w:i/>
          <w:iCs/>
          <w:color w:val="000000"/>
          <w:lang w:val="sq-AL"/>
        </w:rPr>
        <w:t xml:space="preserve"> </w:t>
      </w:r>
      <w:r w:rsidR="0056260B">
        <w:rPr>
          <w:i/>
          <w:iCs/>
          <w:color w:val="000000"/>
          <w:lang w:val="sq-AL"/>
        </w:rPr>
        <w:t>LEK</w:t>
      </w:r>
      <w:r w:rsidRPr="00B930C1">
        <w:rPr>
          <w:i/>
          <w:iCs/>
          <w:color w:val="000000"/>
          <w:lang w:val="sq-AL"/>
        </w:rPr>
        <w:t xml:space="preserve"> </w:t>
      </w:r>
      <w:r w:rsidRPr="00B930C1">
        <w:rPr>
          <w:rFonts w:eastAsia="MS Mincho" w:cs="Calibri"/>
          <w:i/>
          <w:noProof/>
          <w:szCs w:val="22"/>
          <w:lang w:val="sq-AL"/>
        </w:rPr>
        <w:t>për shlyerjen e</w:t>
      </w:r>
      <w:r w:rsidRPr="00B930C1">
        <w:rPr>
          <w:i/>
          <w:iCs/>
          <w:color w:val="000000"/>
          <w:lang w:val="sq-AL"/>
        </w:rPr>
        <w:t xml:space="preserve"> detyrimeve, sipas Aktit Normativ nr.11, datë 19.12.2025 “Për disa ndryshime dhe shtesa në ligjin nr.115/2024, “Për buxhetin e vitit 2025”, të ndryshuar”</w:t>
      </w:r>
      <w:r w:rsidRPr="00B930C1">
        <w:rPr>
          <w:rFonts w:eastAsia="MS Mincho" w:cs="Calibri"/>
          <w:i/>
          <w:noProof/>
          <w:szCs w:val="22"/>
          <w:lang w:val="sq-AL"/>
        </w:rPr>
        <w:t>, për të mbështetur bashkitë për shlyerjen/uljen  e detyrimeve të prapambetura si dhe për të përmirësuar ofrimin e shërbimeve publike ndaj qytetarëve;</w:t>
      </w:r>
    </w:p>
    <w:p w14:paraId="5FE88E52" w14:textId="0E57CEB6"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 xml:space="preserve">Shpërndarja e Tatimit mbi të Ardhurat Personale për bashkitë në vlerën 1 641.3 </w:t>
      </w:r>
      <w:r w:rsidR="0056260B">
        <w:rPr>
          <w:rFonts w:eastAsia="MS Mincho" w:cs="Calibri"/>
          <w:i/>
          <w:noProof/>
          <w:szCs w:val="22"/>
          <w:lang w:val="sq-AL"/>
        </w:rPr>
        <w:t>milionë</w:t>
      </w:r>
      <w:r w:rsidRPr="00B930C1">
        <w:rPr>
          <w:rFonts w:eastAsia="MS Mincho" w:cs="Calibri"/>
          <w:i/>
          <w:noProof/>
          <w:szCs w:val="22"/>
          <w:lang w:val="sq-AL"/>
        </w:rPr>
        <w:t xml:space="preserve"> LEK;</w:t>
      </w:r>
    </w:p>
    <w:p w14:paraId="77A8DA25" w14:textId="6A4E09B2"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 xml:space="preserve">Mbështetja e dhënë nga buxheti qendror me ligjin e buxhetit vjetor, për pushtetin vendor në formën e transfertës së pakushtëzuar për mbulimin e rritjes së pagave në masën 3.5 </w:t>
      </w:r>
      <w:r w:rsidR="0056260B">
        <w:rPr>
          <w:rFonts w:eastAsia="MS Mincho" w:cs="Calibri"/>
          <w:i/>
          <w:noProof/>
          <w:szCs w:val="22"/>
          <w:lang w:val="sq-AL"/>
        </w:rPr>
        <w:t>miliardë</w:t>
      </w:r>
      <w:r w:rsidRPr="00B930C1">
        <w:rPr>
          <w:rFonts w:eastAsia="MS Mincho" w:cs="Calibri"/>
          <w:i/>
          <w:noProof/>
          <w:szCs w:val="22"/>
          <w:lang w:val="sq-AL"/>
        </w:rPr>
        <w:t xml:space="preserve"> LEK.</w:t>
      </w:r>
    </w:p>
    <w:p w14:paraId="23C5AF09"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Ka vazhduar reforma e iniciuar në taksën e pasurisë, si një taksë e rëndësishme në të ardhurat e veta vendore, reflektuar në rritjen e të ardhurave të pushtetit vendor nga kjo taksë, e cila vazhdon e stabilizuar me tendencë rritëse edhe në vitin 2025.</w:t>
      </w:r>
    </w:p>
    <w:p w14:paraId="71D8ADD4" w14:textId="74F07C86" w:rsidR="00B930C1" w:rsidRPr="00B644BE" w:rsidRDefault="00B930C1" w:rsidP="00B930C1">
      <w:pPr>
        <w:spacing w:line="240" w:lineRule="auto"/>
        <w:rPr>
          <w:rFonts w:cs="Calibri"/>
          <w:noProof/>
          <w:szCs w:val="22"/>
          <w:lang w:val="sq-AL"/>
        </w:rPr>
      </w:pPr>
      <w:r w:rsidRPr="00E60BD2">
        <w:rPr>
          <w:rFonts w:cs="Calibri"/>
          <w:noProof/>
          <w:szCs w:val="22"/>
          <w:lang w:val="sq-AL"/>
        </w:rPr>
        <w:t>Nga analiza e treguesve financiarë të pushtetit vendor gjatë 202</w:t>
      </w:r>
      <w:r>
        <w:rPr>
          <w:rFonts w:cs="Calibri"/>
          <w:noProof/>
          <w:szCs w:val="22"/>
          <w:lang w:val="sq-AL"/>
        </w:rPr>
        <w:t>5</w:t>
      </w:r>
      <w:r w:rsidRPr="00E60BD2">
        <w:rPr>
          <w:rFonts w:cs="Calibri"/>
          <w:noProof/>
          <w:szCs w:val="22"/>
          <w:lang w:val="sq-AL"/>
        </w:rPr>
        <w:t xml:space="preserve">, </w:t>
      </w:r>
      <w:r w:rsidR="00141BDB">
        <w:rPr>
          <w:rFonts w:cs="Calibri"/>
          <w:noProof/>
          <w:szCs w:val="22"/>
          <w:lang w:val="sq-AL"/>
        </w:rPr>
        <w:t>e</w:t>
      </w:r>
      <w:r w:rsidRPr="00E60BD2">
        <w:rPr>
          <w:rFonts w:cs="Calibri"/>
          <w:noProof/>
          <w:szCs w:val="22"/>
          <w:lang w:val="sq-AL"/>
        </w:rPr>
        <w:t>vident</w:t>
      </w:r>
      <w:r w:rsidR="00141BDB">
        <w:rPr>
          <w:rFonts w:cs="Calibri"/>
          <w:noProof/>
          <w:szCs w:val="22"/>
          <w:lang w:val="sq-AL"/>
        </w:rPr>
        <w:t>ojmë</w:t>
      </w:r>
      <w:r w:rsidRPr="00E60BD2">
        <w:rPr>
          <w:rFonts w:cs="Calibri"/>
          <w:noProof/>
          <w:szCs w:val="22"/>
          <w:lang w:val="sq-AL"/>
        </w:rPr>
        <w:t xml:space="preserve"> </w:t>
      </w:r>
      <w:r w:rsidRPr="00E60BD2">
        <w:rPr>
          <w:rFonts w:cs="Calibri"/>
          <w:iCs/>
          <w:noProof/>
          <w:szCs w:val="22"/>
          <w:lang w:val="sq-AL"/>
        </w:rPr>
        <w:t>arritjet</w:t>
      </w:r>
      <w:r w:rsidRPr="00E60BD2">
        <w:rPr>
          <w:rFonts w:cs="Calibri"/>
          <w:noProof/>
          <w:szCs w:val="22"/>
          <w:lang w:val="sq-AL"/>
        </w:rPr>
        <w:t xml:space="preserve"> kryesore si më poshtë:</w:t>
      </w:r>
    </w:p>
    <w:p w14:paraId="20919BBF"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Konsolidimi fiskal dhe qëndrueshmëria e financave të pushtetit vendor gjatë vitit 2025, një  tregues i rëndësishëm i forcimit të aftësisë së pushtetit vendor për ofrimin e shërbimeve publike.</w:t>
      </w:r>
    </w:p>
    <w:p w14:paraId="0D10C070"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 xml:space="preserve">Konsolidimi i procedurave të buxhetimit dhe sistemi i menaxhimit të financave vendore në të gjithë etapat, që nga hartimi i PBA tek zbatimi dhe monitorimi i tij; harmonizimi dhe unifikimi i procedurave për hartimin, zbatimin, raportimin, monitorimin e buxheteve të NJVQV, në përputhje me standardet ndërkombëtare; </w:t>
      </w:r>
    </w:p>
    <w:p w14:paraId="56B33831"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Zbatimi i metodologjisë për hartimin e PBA në nivel produkti buxhetor; Përdorimi i Sistemit SMBV-Sistemi i Menaxhimit të Buxhetit Vendor në përgatitjen e PBA dhhe raporteve të monitorimit të zbatimit të buxhetit vendore nga të gjitha NJVQV-të;</w:t>
      </w:r>
    </w:p>
    <w:p w14:paraId="347F8FC9"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Prezantimi dhe përdorimi i treguesve të performancës në PBA dhe ndikimi pozitiv në rritjen e cilësisë së monitorimit të zbatimit të buxhetit vendor;</w:t>
      </w:r>
    </w:p>
    <w:p w14:paraId="1CBBDFA6"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Monitorimi i vazhdueshëm i treguesve fiskalë të zbatimit të buxhetit, në funksion të zbatimit të politikave buxhetore që do të rrisin efikasitetin dhe efektshmërinë e përdorimit të fondeve publike në nivel vendor;</w:t>
      </w:r>
    </w:p>
    <w:p w14:paraId="6E7F9DAC"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lastRenderedPageBreak/>
        <w:t>Hartimi i raporteve periodike të menaxhimit të vështirësive financiare, si një detyrim ligjor për të monitoruar situatën financiare të njësive të vetëqeverisjes vendore; publikimi  i raportit vjetor “Mbi statusin e vështirësive financiare të njësive të vetëqeverisjes vendore”;</w:t>
      </w:r>
    </w:p>
    <w:p w14:paraId="30D0BC6E" w14:textId="77777777"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Realizimi i trajnimeve, takimeve dhe konsultimeve të vazhdueshme me NJVQV në kuadër të masave të marra nga Ministria e Financave për menaxhimin financiar në nivel vendor, si një hap parapërgatitor për zbatimin e sistemit AFMIS në nivel vendor në një periudhë afatmesme.</w:t>
      </w:r>
    </w:p>
    <w:p w14:paraId="52D9A5FF" w14:textId="4D334D09" w:rsidR="00B930C1" w:rsidRPr="00B930C1" w:rsidRDefault="00B930C1">
      <w:pPr>
        <w:numPr>
          <w:ilvl w:val="0"/>
          <w:numId w:val="27"/>
        </w:numPr>
        <w:spacing w:before="0" w:line="240" w:lineRule="auto"/>
        <w:ind w:left="360" w:hanging="270"/>
        <w:contextualSpacing/>
        <w:rPr>
          <w:rFonts w:eastAsia="MS Mincho" w:cs="Calibri"/>
          <w:i/>
          <w:noProof/>
          <w:szCs w:val="22"/>
          <w:lang w:val="sq-AL"/>
        </w:rPr>
      </w:pPr>
      <w:r w:rsidRPr="00B930C1">
        <w:rPr>
          <w:rFonts w:eastAsia="MS Mincho" w:cs="Calibri"/>
          <w:i/>
          <w:noProof/>
          <w:szCs w:val="22"/>
          <w:lang w:val="sq-AL"/>
        </w:rPr>
        <w:t>Detyrimet e prapambetura paraqiten me një përmirësim për vitin 2025, me një ulje prej 3</w:t>
      </w:r>
      <w:r w:rsidR="007F3128">
        <w:rPr>
          <w:rFonts w:eastAsia="MS Mincho" w:cs="Calibri"/>
          <w:i/>
          <w:noProof/>
          <w:szCs w:val="22"/>
          <w:lang w:val="sq-AL"/>
        </w:rPr>
        <w:t>2</w:t>
      </w:r>
      <w:r w:rsidRPr="00B930C1">
        <w:rPr>
          <w:rFonts w:eastAsia="MS Mincho" w:cs="Calibri"/>
          <w:i/>
          <w:noProof/>
          <w:szCs w:val="22"/>
          <w:lang w:val="sq-AL"/>
        </w:rPr>
        <w:t xml:space="preserve">6 </w:t>
      </w:r>
      <w:r w:rsidR="0056260B">
        <w:rPr>
          <w:rFonts w:eastAsia="MS Mincho" w:cs="Calibri"/>
          <w:i/>
          <w:noProof/>
          <w:szCs w:val="22"/>
          <w:lang w:val="sq-AL"/>
        </w:rPr>
        <w:t>milionë</w:t>
      </w:r>
      <w:r w:rsidRPr="00B930C1">
        <w:rPr>
          <w:rFonts w:eastAsia="MS Mincho" w:cs="Calibri"/>
          <w:i/>
          <w:noProof/>
          <w:szCs w:val="22"/>
          <w:lang w:val="sq-AL"/>
        </w:rPr>
        <w:t xml:space="preserve"> LEK nga viti 2024. Gjatë vitit 2025, Ministria e Financave në mënyrë të vazhdueshme ka ndjekur dhe monitoruar procesin e menaxhimit financiar në nivel vendor dhe përmes tij vlerësimin e treguesve të përformacës së NJVQV. Në vitin 2025 Ministria e Financave ka përgatitur dhe publikuar raportin e gjendjes financiare për vitin 2024 për 61 bashkitë dhe 12 qarqet, ku ka rezultuar se 4 njësi vendore (1 qark dhe 3 bashki) kanë qenë në vështirësi financiare; 6 njësi vendore (1 qark dhe 5 bashki) me probleme financiare; 50 njësi vendore (3 qarqe dhe 47 bashki) pa probleme financiare dhe 13 nësi vendore (7 qarqe dhe 6 bashki) me situatë të mirë financiare (me zero detyrime të prapambetura).</w:t>
      </w:r>
      <w:r w:rsidRPr="00B930C1">
        <w:rPr>
          <w:color w:val="000000" w:themeColor="text1"/>
          <w:sz w:val="24"/>
          <w:szCs w:val="28"/>
          <w:lang w:val="sq-AL"/>
        </w:rPr>
        <w:t xml:space="preserve"> </w:t>
      </w:r>
      <w:r w:rsidRPr="00B930C1">
        <w:rPr>
          <w:rFonts w:eastAsia="MS Mincho" w:cs="Calibri"/>
          <w:i/>
          <w:noProof/>
          <w:szCs w:val="22"/>
          <w:lang w:val="sq-AL"/>
        </w:rPr>
        <w:t>Në këtë drejtim, janë përgatitur raporte periodike në funksion të transparencës, përgjegjshmërisë dhe pjesëmarrjes së të gjitha grupeve të interesit në procesin e administrimit financiar vendor. Gjithashtu, është monitoruar periodikisht edhe plani i shlyerjes së detyrimeve për bashkitë me vështirësi financiare për daljen nga kjo situatë. Ministria e Financave do të vijojë në vitin 2026, me publikimin e raportit për vlerësimin e gjendjes financiare të NJVQV-ve për vitin 2025, duke zbatuar me përpikmëri detyrimet ligjore dhe nënligjore mbi statusin e vështirësive financiare të njësive të vetëqeverisjes vendore.</w:t>
      </w:r>
    </w:p>
    <w:p w14:paraId="72C42EC0" w14:textId="77777777" w:rsidR="002C4FAF" w:rsidRPr="00B644BE" w:rsidRDefault="002C4FAF" w:rsidP="00FC729E">
      <w:pPr>
        <w:rPr>
          <w:noProof/>
          <w:sz w:val="12"/>
          <w:lang w:val="sq-AL"/>
        </w:rPr>
      </w:pPr>
    </w:p>
    <w:p w14:paraId="6B427B6D" w14:textId="77777777" w:rsidR="007E0F26" w:rsidRPr="00B1170D" w:rsidRDefault="007E0F26" w:rsidP="00B1170D">
      <w:pPr>
        <w:pStyle w:val="Heading2"/>
        <w:spacing w:before="0"/>
        <w:rPr>
          <w:color w:val="0F6FC6" w:themeColor="accent1"/>
        </w:rPr>
      </w:pPr>
      <w:bookmarkStart w:id="155" w:name="_Toc74843785"/>
      <w:bookmarkStart w:id="156" w:name="_Toc229390821"/>
      <w:proofErr w:type="spellStart"/>
      <w:r w:rsidRPr="00B1170D">
        <w:rPr>
          <w:color w:val="0F6FC6" w:themeColor="accent1"/>
        </w:rPr>
        <w:t>Të</w:t>
      </w:r>
      <w:proofErr w:type="spellEnd"/>
      <w:r w:rsidRPr="00B1170D">
        <w:rPr>
          <w:color w:val="0F6FC6" w:themeColor="accent1"/>
        </w:rPr>
        <w:t xml:space="preserve"> </w:t>
      </w:r>
      <w:proofErr w:type="spellStart"/>
      <w:r w:rsidRPr="00B1170D">
        <w:rPr>
          <w:color w:val="0F6FC6" w:themeColor="accent1"/>
        </w:rPr>
        <w:t>ardhurat</w:t>
      </w:r>
      <w:proofErr w:type="spellEnd"/>
      <w:r w:rsidRPr="00B1170D">
        <w:rPr>
          <w:color w:val="0F6FC6" w:themeColor="accent1"/>
        </w:rPr>
        <w:t xml:space="preserve"> e </w:t>
      </w:r>
      <w:bookmarkEnd w:id="155"/>
      <w:proofErr w:type="spellStart"/>
      <w:r w:rsidR="0052551F" w:rsidRPr="00B1170D">
        <w:rPr>
          <w:color w:val="0F6FC6" w:themeColor="accent1"/>
        </w:rPr>
        <w:t>n</w:t>
      </w:r>
      <w:r w:rsidRPr="00B1170D">
        <w:rPr>
          <w:color w:val="0F6FC6" w:themeColor="accent1"/>
        </w:rPr>
        <w:t>jësive</w:t>
      </w:r>
      <w:proofErr w:type="spellEnd"/>
      <w:r w:rsidRPr="00B1170D">
        <w:rPr>
          <w:color w:val="0F6FC6" w:themeColor="accent1"/>
        </w:rPr>
        <w:t xml:space="preserve"> </w:t>
      </w:r>
      <w:proofErr w:type="spellStart"/>
      <w:r w:rsidRPr="00B1170D">
        <w:rPr>
          <w:color w:val="0F6FC6" w:themeColor="accent1"/>
        </w:rPr>
        <w:t>të</w:t>
      </w:r>
      <w:proofErr w:type="spellEnd"/>
      <w:r w:rsidRPr="00B1170D">
        <w:rPr>
          <w:color w:val="0F6FC6" w:themeColor="accent1"/>
        </w:rPr>
        <w:t xml:space="preserve"> </w:t>
      </w:r>
      <w:proofErr w:type="spellStart"/>
      <w:r w:rsidR="0052551F" w:rsidRPr="00B1170D">
        <w:rPr>
          <w:color w:val="0F6FC6" w:themeColor="accent1"/>
        </w:rPr>
        <w:t>v</w:t>
      </w:r>
      <w:r w:rsidRPr="00B1170D">
        <w:rPr>
          <w:color w:val="0F6FC6" w:themeColor="accent1"/>
        </w:rPr>
        <w:t>etëqeverisjes</w:t>
      </w:r>
      <w:proofErr w:type="spellEnd"/>
      <w:r w:rsidRPr="00B1170D">
        <w:rPr>
          <w:color w:val="0F6FC6" w:themeColor="accent1"/>
        </w:rPr>
        <w:t xml:space="preserve"> </w:t>
      </w:r>
      <w:proofErr w:type="spellStart"/>
      <w:r w:rsidR="0052551F" w:rsidRPr="00B1170D">
        <w:rPr>
          <w:color w:val="0F6FC6" w:themeColor="accent1"/>
        </w:rPr>
        <w:t>v</w:t>
      </w:r>
      <w:r w:rsidRPr="00B1170D">
        <w:rPr>
          <w:color w:val="0F6FC6" w:themeColor="accent1"/>
        </w:rPr>
        <w:t>endore</w:t>
      </w:r>
      <w:bookmarkEnd w:id="156"/>
      <w:proofErr w:type="spellEnd"/>
      <w:r w:rsidRPr="00B1170D">
        <w:rPr>
          <w:color w:val="0F6FC6" w:themeColor="accent1"/>
        </w:rPr>
        <w:t xml:space="preserve"> </w:t>
      </w:r>
    </w:p>
    <w:p w14:paraId="3EC711EA" w14:textId="6BA38997" w:rsidR="00B07582" w:rsidRDefault="00B930C1" w:rsidP="00983808">
      <w:pPr>
        <w:pStyle w:val="Caption"/>
        <w:spacing w:line="240" w:lineRule="auto"/>
        <w:rPr>
          <w:rFonts w:eastAsia="MS Mincho" w:cs="Calibri"/>
          <w:i w:val="0"/>
          <w:iCs w:val="0"/>
          <w:noProof/>
          <w:color w:val="auto"/>
          <w:sz w:val="22"/>
          <w:szCs w:val="24"/>
          <w:lang w:val="sq-AL"/>
        </w:rPr>
      </w:pPr>
      <w:r w:rsidRPr="00B07582">
        <w:rPr>
          <w:rFonts w:eastAsia="MS Mincho" w:cs="Calibri"/>
          <w:i w:val="0"/>
          <w:iCs w:val="0"/>
          <w:noProof/>
          <w:color w:val="auto"/>
          <w:sz w:val="22"/>
          <w:szCs w:val="24"/>
          <w:lang w:val="sq-AL"/>
        </w:rPr>
        <w:t>Rritja e të ardhurave nga burimet e veta të NJVQV është synim i menaxhimit financiar publik në nivel vendor dhe një nga shtyllat më të rëndësishme të decentralizimit fiskal. Megjithatë NJVQV</w:t>
      </w:r>
      <w:r>
        <w:rPr>
          <w:rFonts w:eastAsia="MS Mincho" w:cs="Calibri"/>
          <w:i w:val="0"/>
          <w:iCs w:val="0"/>
          <w:noProof/>
          <w:color w:val="auto"/>
          <w:sz w:val="22"/>
          <w:szCs w:val="24"/>
          <w:lang w:val="sq-AL"/>
        </w:rPr>
        <w:t xml:space="preserve"> -të</w:t>
      </w:r>
      <w:r w:rsidRPr="00B07582">
        <w:rPr>
          <w:rFonts w:eastAsia="MS Mincho" w:cs="Calibri"/>
          <w:i w:val="0"/>
          <w:iCs w:val="0"/>
          <w:noProof/>
          <w:color w:val="auto"/>
          <w:sz w:val="22"/>
          <w:szCs w:val="24"/>
          <w:lang w:val="sq-AL"/>
        </w:rPr>
        <w:t>, përveç të ardhurave nga burimet e veta, përfitojnë gjithashtu të ardhura në formën e transfertave nga qeveria qendrore, ku rolin më të rëndësishëm e zë transferta e pakushtëzuar e përgjithshme, që përbën një burim konstant dhe të qëndrueshëm për pushtetin vendor në masën jo më pak se 1% e PBB. Për vitin 202</w:t>
      </w:r>
      <w:r>
        <w:rPr>
          <w:rFonts w:eastAsia="MS Mincho" w:cs="Calibri"/>
          <w:i w:val="0"/>
          <w:iCs w:val="0"/>
          <w:noProof/>
          <w:color w:val="auto"/>
          <w:sz w:val="22"/>
          <w:szCs w:val="24"/>
          <w:lang w:val="sq-AL"/>
        </w:rPr>
        <w:t>5</w:t>
      </w:r>
      <w:r w:rsidRPr="00B07582">
        <w:rPr>
          <w:rFonts w:eastAsia="MS Mincho" w:cs="Calibri"/>
          <w:i w:val="0"/>
          <w:iCs w:val="0"/>
          <w:noProof/>
          <w:color w:val="auto"/>
          <w:sz w:val="22"/>
          <w:szCs w:val="24"/>
          <w:lang w:val="sq-AL"/>
        </w:rPr>
        <w:t xml:space="preserve"> transferta e pakushtëzuar e përgjithshme zë 1</w:t>
      </w:r>
      <w:r>
        <w:rPr>
          <w:rFonts w:eastAsia="MS Mincho" w:cs="Calibri"/>
          <w:i w:val="0"/>
          <w:iCs w:val="0"/>
          <w:noProof/>
          <w:color w:val="auto"/>
          <w:sz w:val="22"/>
          <w:szCs w:val="24"/>
          <w:lang w:val="sq-AL"/>
        </w:rPr>
        <w:t>.04</w:t>
      </w:r>
      <w:r w:rsidRPr="00B07582">
        <w:rPr>
          <w:rFonts w:eastAsia="MS Mincho" w:cs="Calibri"/>
          <w:i w:val="0"/>
          <w:iCs w:val="0"/>
          <w:noProof/>
          <w:color w:val="auto"/>
          <w:sz w:val="22"/>
          <w:szCs w:val="24"/>
          <w:lang w:val="sq-AL"/>
        </w:rPr>
        <w:t xml:space="preserve">% </w:t>
      </w:r>
      <w:r>
        <w:rPr>
          <w:rFonts w:eastAsia="MS Mincho" w:cs="Calibri"/>
          <w:i w:val="0"/>
          <w:iCs w:val="0"/>
          <w:noProof/>
          <w:color w:val="auto"/>
          <w:sz w:val="22"/>
          <w:szCs w:val="24"/>
          <w:lang w:val="sq-AL"/>
        </w:rPr>
        <w:t>të</w:t>
      </w:r>
      <w:r w:rsidRPr="00B07582">
        <w:rPr>
          <w:rFonts w:eastAsia="MS Mincho" w:cs="Calibri"/>
          <w:i w:val="0"/>
          <w:iCs w:val="0"/>
          <w:noProof/>
          <w:color w:val="auto"/>
          <w:sz w:val="22"/>
          <w:szCs w:val="24"/>
          <w:lang w:val="sq-AL"/>
        </w:rPr>
        <w:t xml:space="preserve"> PBB, me një rritje prej </w:t>
      </w:r>
      <w:r>
        <w:rPr>
          <w:rFonts w:eastAsia="MS Mincho" w:cs="Calibri"/>
          <w:i w:val="0"/>
          <w:iCs w:val="0"/>
          <w:noProof/>
          <w:color w:val="auto"/>
          <w:sz w:val="22"/>
          <w:szCs w:val="24"/>
          <w:lang w:val="sq-AL"/>
        </w:rPr>
        <w:t>6.6</w:t>
      </w:r>
      <w:r w:rsidRPr="00B07582">
        <w:rPr>
          <w:rFonts w:eastAsia="MS Mincho" w:cs="Calibri"/>
          <w:i w:val="0"/>
          <w:iCs w:val="0"/>
          <w:noProof/>
          <w:color w:val="auto"/>
          <w:sz w:val="22"/>
          <w:szCs w:val="24"/>
          <w:lang w:val="sq-AL"/>
        </w:rPr>
        <w:t>% kundrejt vitit 202</w:t>
      </w:r>
      <w:r>
        <w:rPr>
          <w:rFonts w:eastAsia="MS Mincho" w:cs="Calibri"/>
          <w:i w:val="0"/>
          <w:iCs w:val="0"/>
          <w:noProof/>
          <w:color w:val="auto"/>
          <w:sz w:val="22"/>
          <w:szCs w:val="24"/>
          <w:lang w:val="sq-AL"/>
        </w:rPr>
        <w:t>4</w:t>
      </w:r>
      <w:r w:rsidRPr="00B07582">
        <w:rPr>
          <w:rFonts w:eastAsia="MS Mincho" w:cs="Calibri"/>
          <w:i w:val="0"/>
          <w:iCs w:val="0"/>
          <w:noProof/>
          <w:color w:val="auto"/>
          <w:sz w:val="22"/>
          <w:szCs w:val="24"/>
          <w:lang w:val="sq-AL"/>
        </w:rPr>
        <w:t xml:space="preserve">, që do të thotë drejtëpërdrejt më shumë financim për NJVQV-të. Të dhënat në vlera dhe trendi i ecurisë së saj në vite, paraqiten në grafikun e mëposhtëm: </w:t>
      </w:r>
    </w:p>
    <w:p w14:paraId="5DAA1E4A" w14:textId="163B1362" w:rsidR="00D80BC1" w:rsidRPr="00B644BE" w:rsidRDefault="00172213" w:rsidP="00172213">
      <w:pPr>
        <w:pStyle w:val="Caption"/>
        <w:rPr>
          <w:noProof/>
          <w:lang w:val="sq-AL"/>
        </w:rPr>
      </w:pPr>
      <w:bookmarkStart w:id="157" w:name="_Toc22913004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24</w:t>
      </w:r>
      <w:r w:rsidR="00F675D4" w:rsidRPr="00B644BE">
        <w:rPr>
          <w:noProof/>
          <w:lang w:val="sq-AL"/>
        </w:rPr>
        <w:fldChar w:fldCharType="end"/>
      </w:r>
      <w:r w:rsidRPr="00B644BE">
        <w:rPr>
          <w:noProof/>
          <w:lang w:val="sq-AL"/>
        </w:rPr>
        <w:t xml:space="preserve"> Transferta e pakushtëzuar dhe ritmi i ndryshimit në vite</w:t>
      </w:r>
      <w:bookmarkEnd w:id="157"/>
    </w:p>
    <w:p w14:paraId="6258F5E4" w14:textId="51F73A19" w:rsidR="00D80BC1" w:rsidRPr="00B644BE" w:rsidRDefault="00B930C1" w:rsidP="00B97847">
      <w:pPr>
        <w:spacing w:before="0" w:line="240" w:lineRule="auto"/>
        <w:jc w:val="center"/>
        <w:rPr>
          <w:rFonts w:eastAsia="MS Mincho" w:cs="Calibri"/>
          <w:noProof/>
          <w:sz w:val="8"/>
          <w:lang w:val="sq-AL"/>
        </w:rPr>
      </w:pPr>
      <w:r>
        <w:rPr>
          <w:noProof/>
          <w14:ligatures w14:val="standardContextual"/>
        </w:rPr>
        <w:drawing>
          <wp:inline distT="0" distB="0" distL="0" distR="0" wp14:anchorId="147CACF2" wp14:editId="633A2418">
            <wp:extent cx="5943600" cy="1741018"/>
            <wp:effectExtent l="0" t="0" r="0" b="0"/>
            <wp:docPr id="1467423931" name="Chart 1">
              <a:extLst xmlns:a="http://schemas.openxmlformats.org/drawingml/2006/main">
                <a:ext uri="{FF2B5EF4-FFF2-40B4-BE49-F238E27FC236}">
                  <a16:creationId xmlns:a16="http://schemas.microsoft.com/office/drawing/2014/main" id="{983C2DA3-A223-42D9-9C90-7CC6321AA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DE1315" w14:textId="68CB1E96" w:rsidR="00D80BC1" w:rsidRPr="00B07582" w:rsidRDefault="006C1DC6" w:rsidP="005870A7">
      <w:pPr>
        <w:spacing w:before="0" w:line="360" w:lineRule="auto"/>
        <w:ind w:firstLine="720"/>
        <w:rPr>
          <w:rFonts w:eastAsia="SimSun" w:cs="Calibri"/>
          <w:bCs/>
          <w:i/>
          <w:noProof/>
          <w:sz w:val="18"/>
          <w:szCs w:val="18"/>
          <w:lang w:val="sq-AL"/>
        </w:rPr>
      </w:pPr>
      <w:r w:rsidRPr="00B07582">
        <w:rPr>
          <w:rFonts w:eastAsia="SimSun" w:cs="Calibri"/>
          <w:bCs/>
          <w:i/>
          <w:noProof/>
          <w:sz w:val="18"/>
          <w:szCs w:val="18"/>
          <w:lang w:val="sq-AL"/>
        </w:rPr>
        <w:t>Burimi: Ministria e Financave (202</w:t>
      </w:r>
      <w:r w:rsidR="00B930C1">
        <w:rPr>
          <w:rFonts w:eastAsia="SimSun" w:cs="Calibri"/>
          <w:bCs/>
          <w:i/>
          <w:noProof/>
          <w:sz w:val="18"/>
          <w:szCs w:val="18"/>
          <w:lang w:val="sq-AL"/>
        </w:rPr>
        <w:t>6</w:t>
      </w:r>
      <w:r w:rsidRPr="00B07582">
        <w:rPr>
          <w:rFonts w:eastAsia="SimSun" w:cs="Calibri"/>
          <w:bCs/>
          <w:i/>
          <w:noProof/>
          <w:sz w:val="18"/>
          <w:szCs w:val="18"/>
          <w:lang w:val="sq-AL"/>
        </w:rPr>
        <w:t>)</w:t>
      </w:r>
    </w:p>
    <w:p w14:paraId="6EC19658" w14:textId="77777777" w:rsidR="00B930C1" w:rsidRPr="00983808" w:rsidRDefault="00B930C1" w:rsidP="00B930C1">
      <w:pPr>
        <w:tabs>
          <w:tab w:val="left" w:pos="5940"/>
        </w:tabs>
        <w:spacing w:before="0" w:line="240" w:lineRule="auto"/>
        <w:rPr>
          <w:rFonts w:eastAsia="MS Mincho" w:cs="Calibri"/>
          <w:noProof/>
          <w:sz w:val="8"/>
          <w:szCs w:val="10"/>
          <w:lang w:val="sq-AL"/>
        </w:rPr>
      </w:pPr>
    </w:p>
    <w:p w14:paraId="06E750F8" w14:textId="1A8B04AB" w:rsidR="00B930C1" w:rsidRPr="00B1170D" w:rsidRDefault="00B930C1" w:rsidP="00B930C1">
      <w:pPr>
        <w:tabs>
          <w:tab w:val="left" w:pos="5940"/>
        </w:tabs>
        <w:spacing w:before="0" w:line="240" w:lineRule="auto"/>
        <w:rPr>
          <w:noProof/>
          <w:lang w:val="sq-AL"/>
        </w:rPr>
      </w:pPr>
      <w:r w:rsidRPr="00B644BE">
        <w:rPr>
          <w:rFonts w:eastAsia="MS Mincho" w:cs="Calibri"/>
          <w:noProof/>
          <w:lang w:val="sq-AL"/>
        </w:rPr>
        <w:t>Sa i përket të ardhurave e veta vendore të klasifikuara sipas natyrës së burimit të tyre (tatimore dhe jotatimore) për vitin 202</w:t>
      </w:r>
      <w:r>
        <w:rPr>
          <w:rFonts w:eastAsia="MS Mincho" w:cs="Calibri"/>
          <w:noProof/>
          <w:lang w:val="sq-AL"/>
        </w:rPr>
        <w:t>5</w:t>
      </w:r>
      <w:r w:rsidRPr="00B644BE">
        <w:rPr>
          <w:rFonts w:eastAsia="MS Mincho" w:cs="Calibri"/>
          <w:noProof/>
          <w:lang w:val="sq-AL"/>
        </w:rPr>
        <w:t xml:space="preserve">, këto burime kanë vazhduar </w:t>
      </w:r>
      <w:r>
        <w:rPr>
          <w:rFonts w:eastAsia="MS Mincho" w:cs="Calibri"/>
          <w:noProof/>
          <w:lang w:val="sq-AL"/>
        </w:rPr>
        <w:t xml:space="preserve">trendin e një viti më parë. </w:t>
      </w:r>
      <w:r w:rsidRPr="00B644BE">
        <w:rPr>
          <w:rFonts w:eastAsia="MS Mincho" w:cs="Calibri"/>
          <w:noProof/>
          <w:lang w:val="sq-AL"/>
        </w:rPr>
        <w:t>Për vitin 202</w:t>
      </w:r>
      <w:r>
        <w:rPr>
          <w:rFonts w:eastAsia="MS Mincho" w:cs="Calibri"/>
          <w:noProof/>
          <w:lang w:val="sq-AL"/>
        </w:rPr>
        <w:t>5</w:t>
      </w:r>
      <w:r w:rsidRPr="00B644BE">
        <w:rPr>
          <w:rFonts w:eastAsia="MS Mincho" w:cs="Calibri"/>
          <w:noProof/>
          <w:lang w:val="sq-AL"/>
        </w:rPr>
        <w:t xml:space="preserve">, NJVQV në shkallë kombëtare kanë mbledhur të ardhura tatimore në masën </w:t>
      </w:r>
      <w:r>
        <w:rPr>
          <w:rFonts w:eastAsia="MS Mincho" w:cs="Calibri"/>
          <w:noProof/>
          <w:lang w:val="sq-AL"/>
        </w:rPr>
        <w:t>40 911</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shifër kjo që është rreth </w:t>
      </w:r>
      <w:r>
        <w:rPr>
          <w:rFonts w:eastAsia="MS Mincho" w:cs="Calibri"/>
          <w:noProof/>
          <w:lang w:val="sq-AL"/>
        </w:rPr>
        <w:t>580</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më shumë ose rreth </w:t>
      </w:r>
      <w:r>
        <w:rPr>
          <w:rFonts w:eastAsia="MS Mincho" w:cs="Calibri"/>
          <w:noProof/>
          <w:lang w:val="sq-AL"/>
        </w:rPr>
        <w:t>1.4</w:t>
      </w:r>
      <w:r w:rsidRPr="00B644BE">
        <w:rPr>
          <w:rFonts w:eastAsia="MS Mincho" w:cs="Calibri"/>
          <w:noProof/>
          <w:lang w:val="sq-AL"/>
        </w:rPr>
        <w:t>% më e lartë se vlera e të ardhurave të mbledhura gjatë vitit 202</w:t>
      </w:r>
      <w:r>
        <w:rPr>
          <w:rFonts w:eastAsia="MS Mincho" w:cs="Calibri"/>
          <w:noProof/>
          <w:lang w:val="sq-AL"/>
        </w:rPr>
        <w:t>4</w:t>
      </w:r>
      <w:r w:rsidRPr="00B644BE">
        <w:rPr>
          <w:rFonts w:eastAsia="MS Mincho" w:cs="Calibri"/>
          <w:noProof/>
          <w:lang w:val="sq-AL"/>
        </w:rPr>
        <w:t xml:space="preserve"> (</w:t>
      </w:r>
      <w:r>
        <w:rPr>
          <w:rFonts w:eastAsia="MS Mincho" w:cs="Calibri"/>
          <w:noProof/>
          <w:lang w:val="sq-AL"/>
        </w:rPr>
        <w:t>40 331</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w:t>
      </w:r>
      <w:r w:rsidRPr="00B644BE">
        <w:rPr>
          <w:noProof/>
          <w:lang w:val="sq-AL"/>
        </w:rPr>
        <w:t xml:space="preserve"> </w:t>
      </w:r>
    </w:p>
    <w:p w14:paraId="451D8750" w14:textId="77777777" w:rsidR="00B930C1" w:rsidRPr="00983808" w:rsidRDefault="00B930C1" w:rsidP="00B930C1">
      <w:pPr>
        <w:tabs>
          <w:tab w:val="left" w:pos="5940"/>
        </w:tabs>
        <w:spacing w:before="0" w:line="240" w:lineRule="auto"/>
        <w:rPr>
          <w:rFonts w:eastAsia="MS Mincho" w:cs="Calibri"/>
          <w:noProof/>
          <w:sz w:val="8"/>
          <w:szCs w:val="10"/>
          <w:lang w:val="sq-AL"/>
        </w:rPr>
      </w:pPr>
    </w:p>
    <w:p w14:paraId="799DB635" w14:textId="61D09C61" w:rsidR="00B07582" w:rsidRDefault="00B930C1" w:rsidP="00B930C1">
      <w:pPr>
        <w:tabs>
          <w:tab w:val="left" w:pos="5940"/>
        </w:tabs>
        <w:spacing w:before="0" w:line="240" w:lineRule="auto"/>
        <w:rPr>
          <w:rFonts w:eastAsia="MS Mincho" w:cs="Calibri"/>
          <w:noProof/>
          <w:lang w:val="sq-AL"/>
        </w:rPr>
      </w:pPr>
      <w:r w:rsidRPr="00B644BE">
        <w:rPr>
          <w:rFonts w:eastAsia="MS Mincho" w:cs="Calibri"/>
          <w:noProof/>
          <w:lang w:val="sq-AL"/>
        </w:rPr>
        <w:t>Ndërkohë, referuar të dhënave mbi të ardhurat jotatimore</w:t>
      </w:r>
      <w:r>
        <w:rPr>
          <w:rFonts w:eastAsia="MS Mincho" w:cs="Calibri"/>
          <w:noProof/>
          <w:lang w:val="sq-AL"/>
        </w:rPr>
        <w:t xml:space="preserve"> vendore</w:t>
      </w:r>
      <w:r w:rsidRPr="00B644BE">
        <w:rPr>
          <w:rFonts w:eastAsia="MS Mincho" w:cs="Calibri"/>
          <w:noProof/>
          <w:lang w:val="sq-AL"/>
        </w:rPr>
        <w:t>, për vitin 202</w:t>
      </w:r>
      <w:r>
        <w:rPr>
          <w:rFonts w:eastAsia="MS Mincho" w:cs="Calibri"/>
          <w:noProof/>
          <w:lang w:val="sq-AL"/>
        </w:rPr>
        <w:t>5</w:t>
      </w:r>
      <w:r w:rsidRPr="00B644BE">
        <w:rPr>
          <w:rFonts w:eastAsia="MS Mincho" w:cs="Calibri"/>
          <w:noProof/>
          <w:lang w:val="sq-AL"/>
        </w:rPr>
        <w:t xml:space="preserve"> janë mbledhur rreth </w:t>
      </w:r>
      <w:r>
        <w:rPr>
          <w:rFonts w:eastAsia="MS Mincho" w:cs="Calibri"/>
          <w:noProof/>
          <w:lang w:val="sq-AL"/>
        </w:rPr>
        <w:t xml:space="preserve">3 935 </w:t>
      </w:r>
      <w:r w:rsidR="0056260B">
        <w:rPr>
          <w:rFonts w:eastAsia="MS Mincho" w:cs="Calibri"/>
          <w:noProof/>
          <w:lang w:val="sq-AL"/>
        </w:rPr>
        <w:t>milionë</w:t>
      </w:r>
      <w:r w:rsidRPr="00B644BE">
        <w:rPr>
          <w:rFonts w:eastAsia="MS Mincho" w:cs="Calibri"/>
          <w:noProof/>
          <w:lang w:val="sq-AL"/>
        </w:rPr>
        <w:t xml:space="preserve"> LEK nga ky burim</w:t>
      </w:r>
      <w:r w:rsidRPr="00930718">
        <w:rPr>
          <w:rFonts w:eastAsia="MS Mincho" w:cs="Calibri"/>
          <w:noProof/>
          <w:lang w:val="sq-AL"/>
        </w:rPr>
        <w:t xml:space="preserve"> </w:t>
      </w:r>
      <w:r>
        <w:rPr>
          <w:rFonts w:eastAsia="MS Mincho" w:cs="Calibri"/>
          <w:noProof/>
          <w:lang w:val="sq-AL"/>
        </w:rPr>
        <w:t xml:space="preserve">ose </w:t>
      </w:r>
      <w:r w:rsidRPr="00B644BE">
        <w:rPr>
          <w:rFonts w:eastAsia="MS Mincho" w:cs="Calibri"/>
          <w:noProof/>
          <w:lang w:val="sq-AL"/>
        </w:rPr>
        <w:t xml:space="preserve">rreth </w:t>
      </w:r>
      <w:r>
        <w:rPr>
          <w:rFonts w:eastAsia="MS Mincho" w:cs="Calibri"/>
          <w:noProof/>
          <w:lang w:val="sq-AL"/>
        </w:rPr>
        <w:t>216</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më </w:t>
      </w:r>
      <w:r>
        <w:rPr>
          <w:rFonts w:eastAsia="MS Mincho" w:cs="Calibri"/>
          <w:noProof/>
          <w:lang w:val="sq-AL"/>
        </w:rPr>
        <w:t xml:space="preserve">pak </w:t>
      </w:r>
      <w:r w:rsidRPr="00B644BE">
        <w:rPr>
          <w:rFonts w:eastAsia="MS Mincho" w:cs="Calibri"/>
          <w:noProof/>
          <w:lang w:val="sq-AL"/>
        </w:rPr>
        <w:t xml:space="preserve">se vlera e të ardhurave </w:t>
      </w:r>
      <w:r>
        <w:rPr>
          <w:rFonts w:eastAsia="MS Mincho" w:cs="Calibri"/>
          <w:noProof/>
          <w:lang w:val="sq-AL"/>
        </w:rPr>
        <w:t xml:space="preserve">jotatimore </w:t>
      </w:r>
      <w:r w:rsidRPr="00B644BE">
        <w:rPr>
          <w:rFonts w:eastAsia="MS Mincho" w:cs="Calibri"/>
          <w:noProof/>
          <w:lang w:val="sq-AL"/>
        </w:rPr>
        <w:t>mbledhur gjatë vitit 202</w:t>
      </w:r>
      <w:r>
        <w:rPr>
          <w:rFonts w:eastAsia="MS Mincho" w:cs="Calibri"/>
          <w:noProof/>
          <w:lang w:val="sq-AL"/>
        </w:rPr>
        <w:t>4</w:t>
      </w:r>
      <w:r w:rsidRPr="00B644BE">
        <w:rPr>
          <w:rFonts w:eastAsia="MS Mincho" w:cs="Calibri"/>
          <w:noProof/>
          <w:lang w:val="sq-AL"/>
        </w:rPr>
        <w:t xml:space="preserve">. Në total, pushteti vendor ka mbledhur të ardhura të veta rreth </w:t>
      </w:r>
      <w:r>
        <w:rPr>
          <w:rFonts w:eastAsia="MS Mincho" w:cs="Calibri"/>
          <w:noProof/>
          <w:lang w:val="sq-AL"/>
        </w:rPr>
        <w:t>364</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më shumë në vitin 202</w:t>
      </w:r>
      <w:r>
        <w:rPr>
          <w:rFonts w:eastAsia="MS Mincho" w:cs="Calibri"/>
          <w:noProof/>
          <w:lang w:val="sq-AL"/>
        </w:rPr>
        <w:t>5</w:t>
      </w:r>
      <w:r w:rsidRPr="00B644BE">
        <w:rPr>
          <w:rFonts w:eastAsia="MS Mincho" w:cs="Calibri"/>
          <w:noProof/>
          <w:lang w:val="sq-AL"/>
        </w:rPr>
        <w:t>, kundrejt një viti më parë. Në grafikun e mëposhtëm paraqitet ecuria e realizmit të këtyre burimeve gjatë viteve 2019-202</w:t>
      </w:r>
      <w:r>
        <w:rPr>
          <w:rFonts w:eastAsia="MS Mincho" w:cs="Calibri"/>
          <w:noProof/>
          <w:lang w:val="sq-AL"/>
        </w:rPr>
        <w:t>5</w:t>
      </w:r>
      <w:r w:rsidR="00B07582" w:rsidRPr="00B644BE">
        <w:rPr>
          <w:rFonts w:eastAsia="MS Mincho" w:cs="Calibri"/>
          <w:noProof/>
          <w:lang w:val="sq-AL"/>
        </w:rPr>
        <w:t>:</w:t>
      </w:r>
    </w:p>
    <w:p w14:paraId="0247091E" w14:textId="77777777" w:rsidR="00F55F62" w:rsidRDefault="00F55F62" w:rsidP="00B930C1">
      <w:pPr>
        <w:tabs>
          <w:tab w:val="left" w:pos="5940"/>
        </w:tabs>
        <w:spacing w:before="0" w:line="240" w:lineRule="auto"/>
        <w:rPr>
          <w:rFonts w:eastAsia="MS Mincho" w:cs="Calibri"/>
          <w:noProof/>
          <w:lang w:val="sq-AL"/>
        </w:rPr>
      </w:pPr>
    </w:p>
    <w:p w14:paraId="4EBA0A43" w14:textId="77777777" w:rsidR="00F55F62" w:rsidRPr="00B644BE" w:rsidRDefault="00F55F62" w:rsidP="00B930C1">
      <w:pPr>
        <w:tabs>
          <w:tab w:val="left" w:pos="5940"/>
        </w:tabs>
        <w:spacing w:before="0" w:line="240" w:lineRule="auto"/>
        <w:rPr>
          <w:rFonts w:eastAsia="MS Mincho" w:cs="Calibri"/>
          <w:noProof/>
          <w:sz w:val="8"/>
          <w:szCs w:val="8"/>
          <w:lang w:val="sq-AL"/>
        </w:rPr>
      </w:pPr>
    </w:p>
    <w:p w14:paraId="3835535B" w14:textId="3A389573" w:rsidR="00D80BC1" w:rsidRPr="00B644BE" w:rsidRDefault="00172213" w:rsidP="00172213">
      <w:pPr>
        <w:pStyle w:val="Caption"/>
        <w:rPr>
          <w:noProof/>
          <w:lang w:val="sq-AL"/>
        </w:rPr>
      </w:pPr>
      <w:bookmarkStart w:id="158" w:name="_Toc229130042"/>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25</w:t>
      </w:r>
      <w:r w:rsidR="00F675D4" w:rsidRPr="00B644BE">
        <w:rPr>
          <w:noProof/>
          <w:lang w:val="sq-AL"/>
        </w:rPr>
        <w:fldChar w:fldCharType="end"/>
      </w:r>
      <w:r w:rsidRPr="00B644BE">
        <w:rPr>
          <w:noProof/>
          <w:lang w:val="sq-AL"/>
        </w:rPr>
        <w:t xml:space="preserve"> Realizimi i të ardhurave tatimore dhe jotatimore (në </w:t>
      </w:r>
      <w:r w:rsidR="0056260B">
        <w:rPr>
          <w:noProof/>
          <w:lang w:val="sq-AL"/>
        </w:rPr>
        <w:t>milionë</w:t>
      </w:r>
      <w:r w:rsidRPr="00B644BE">
        <w:rPr>
          <w:noProof/>
          <w:lang w:val="sq-AL"/>
        </w:rPr>
        <w:t xml:space="preserve"> LEK)</w:t>
      </w:r>
      <w:bookmarkEnd w:id="158"/>
    </w:p>
    <w:p w14:paraId="70CB90B7" w14:textId="2167C6BE" w:rsidR="00D80BC1" w:rsidRPr="00B644BE" w:rsidRDefault="00B930C1" w:rsidP="00B97847">
      <w:pPr>
        <w:spacing w:before="0" w:line="240" w:lineRule="auto"/>
        <w:jc w:val="center"/>
        <w:rPr>
          <w:rFonts w:eastAsia="MS Mincho" w:cs="Calibri"/>
          <w:noProof/>
          <w:lang w:val="sq-AL"/>
        </w:rPr>
      </w:pPr>
      <w:r>
        <w:rPr>
          <w:noProof/>
          <w14:ligatures w14:val="standardContextual"/>
        </w:rPr>
        <w:drawing>
          <wp:inline distT="0" distB="0" distL="0" distR="0" wp14:anchorId="254026F0" wp14:editId="213368D3">
            <wp:extent cx="5943600" cy="1726388"/>
            <wp:effectExtent l="0" t="0" r="0" b="7620"/>
            <wp:docPr id="591509991" name="Chart 1">
              <a:extLst xmlns:a="http://schemas.openxmlformats.org/drawingml/2006/main">
                <a:ext uri="{FF2B5EF4-FFF2-40B4-BE49-F238E27FC236}">
                  <a16:creationId xmlns:a16="http://schemas.microsoft.com/office/drawing/2014/main" id="{4F8BF5C2-665D-4E7B-9C6E-1441FBD84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7BA155" w14:textId="2EDAA820" w:rsidR="00D80BC1" w:rsidRPr="00B07582" w:rsidRDefault="006C1DC6" w:rsidP="00643305">
      <w:pPr>
        <w:spacing w:before="0" w:line="360" w:lineRule="auto"/>
        <w:ind w:firstLine="720"/>
        <w:rPr>
          <w:rFonts w:eastAsia="SimSun" w:cs="Calibri"/>
          <w:bCs/>
          <w:i/>
          <w:noProof/>
          <w:sz w:val="18"/>
          <w:szCs w:val="18"/>
          <w:lang w:val="sq-AL"/>
        </w:rPr>
      </w:pPr>
      <w:r w:rsidRPr="00B07582">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B07582">
        <w:rPr>
          <w:rFonts w:eastAsia="SimSun" w:cs="Calibri"/>
          <w:bCs/>
          <w:i/>
          <w:noProof/>
          <w:sz w:val="18"/>
          <w:szCs w:val="18"/>
          <w:lang w:val="sq-AL"/>
        </w:rPr>
        <w:t>)</w:t>
      </w:r>
    </w:p>
    <w:p w14:paraId="660469AB" w14:textId="5BEE5986" w:rsidR="00E1483F" w:rsidRPr="00B644BE" w:rsidRDefault="00707AC5" w:rsidP="00707AC5">
      <w:pPr>
        <w:spacing w:before="0" w:line="240" w:lineRule="auto"/>
        <w:rPr>
          <w:rFonts w:eastAsia="MS Mincho" w:cs="Calibri"/>
          <w:noProof/>
          <w:lang w:val="sq-AL"/>
        </w:rPr>
      </w:pPr>
      <w:bookmarkStart w:id="159" w:name="_Hlk178687510"/>
      <w:r w:rsidRPr="00B644BE">
        <w:rPr>
          <w:rFonts w:eastAsia="MS Mincho" w:cs="Calibri"/>
          <w:noProof/>
          <w:lang w:val="sq-AL"/>
        </w:rPr>
        <w:t>Të ardhurat e pushtetit vendor në vite</w:t>
      </w:r>
      <w:r>
        <w:rPr>
          <w:rFonts w:eastAsia="MS Mincho" w:cs="Calibri"/>
          <w:noProof/>
          <w:lang w:val="sq-AL"/>
        </w:rPr>
        <w:t xml:space="preserve">t e fundit </w:t>
      </w:r>
      <w:r w:rsidRPr="00B644BE">
        <w:rPr>
          <w:rFonts w:eastAsia="MS Mincho" w:cs="Calibri"/>
          <w:noProof/>
          <w:lang w:val="sq-AL"/>
        </w:rPr>
        <w:t>kanë ruajtur një trend rritjeje, duke përcaktuar në këtë mënyrë ecurinë pozitive të aftësisë së pushtetit vendor për të siguruar të ardhura, një konfirmim ky i efekteve pozitive të decentralizimit pavarësisht sfidave. Nga viti 2015 e në vazhdim, me përjashtim të vitit 2020, të ardhurat tatimore të pushtetit vendor kanë ruajtur tendencën pozitive duke provuar në këtë mënyrë që roli i pushtetit vendor në potencialin fiskal për të ofruar shërbime të rritet ndjeshëm</w:t>
      </w:r>
      <w:bookmarkEnd w:id="159"/>
      <w:r w:rsidRPr="00B644BE">
        <w:rPr>
          <w:rFonts w:eastAsia="MS Mincho" w:cs="Calibri"/>
          <w:noProof/>
          <w:lang w:val="sq-AL"/>
        </w:rPr>
        <w:t xml:space="preserve">. Duke ju referuar të dhënave të treguesve fiskalë në vite për të ardhurat tatimore të pushtetit vendor, rezultati paraqitet </w:t>
      </w:r>
      <w:r>
        <w:rPr>
          <w:rFonts w:eastAsia="MS Mincho" w:cs="Calibri"/>
          <w:noProof/>
          <w:lang w:val="sq-AL"/>
        </w:rPr>
        <w:t xml:space="preserve">në grafikun </w:t>
      </w:r>
      <w:r w:rsidRPr="00B644BE">
        <w:rPr>
          <w:rFonts w:eastAsia="MS Mincho" w:cs="Calibri"/>
          <w:noProof/>
          <w:lang w:val="sq-AL"/>
        </w:rPr>
        <w:t>si më poshtë</w:t>
      </w:r>
      <w:r w:rsidR="00E1483F" w:rsidRPr="00B644BE">
        <w:rPr>
          <w:rFonts w:eastAsia="MS Mincho" w:cs="Calibri"/>
          <w:noProof/>
          <w:lang w:val="sq-AL"/>
        </w:rPr>
        <w:t>:</w:t>
      </w:r>
    </w:p>
    <w:p w14:paraId="60FC1CCA" w14:textId="74AB70FB" w:rsidR="00D80BC1" w:rsidRPr="00B644BE" w:rsidRDefault="00172213" w:rsidP="00172213">
      <w:pPr>
        <w:pStyle w:val="Caption"/>
        <w:rPr>
          <w:noProof/>
          <w:lang w:val="sq-AL"/>
        </w:rPr>
      </w:pPr>
      <w:bookmarkStart w:id="160" w:name="_Toc22913004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26</w:t>
      </w:r>
      <w:r w:rsidR="00F675D4" w:rsidRPr="00B644BE">
        <w:rPr>
          <w:noProof/>
          <w:lang w:val="sq-AL"/>
        </w:rPr>
        <w:fldChar w:fldCharType="end"/>
      </w:r>
      <w:r w:rsidRPr="00B644BE">
        <w:rPr>
          <w:noProof/>
          <w:lang w:val="sq-AL"/>
        </w:rPr>
        <w:t xml:space="preserve"> Të ardhurat e pushtetit vendor në vite dhe ritmi i ndryshimit</w:t>
      </w:r>
      <w:bookmarkEnd w:id="160"/>
    </w:p>
    <w:p w14:paraId="42E9514B" w14:textId="0A68ACC0" w:rsidR="00D80BC1" w:rsidRPr="00B644BE" w:rsidRDefault="00707AC5" w:rsidP="00B97847">
      <w:pPr>
        <w:spacing w:before="0" w:line="240" w:lineRule="auto"/>
        <w:jc w:val="center"/>
        <w:rPr>
          <w:rFonts w:eastAsia="MS Mincho" w:cs="Calibri"/>
          <w:noProof/>
          <w:sz w:val="16"/>
          <w:lang w:val="sq-AL"/>
        </w:rPr>
      </w:pPr>
      <w:r>
        <w:rPr>
          <w:noProof/>
          <w14:ligatures w14:val="standardContextual"/>
        </w:rPr>
        <w:drawing>
          <wp:inline distT="0" distB="0" distL="0" distR="0" wp14:anchorId="6CB7FFCA" wp14:editId="01309B89">
            <wp:extent cx="5943600" cy="1777593"/>
            <wp:effectExtent l="0" t="0" r="0" b="13335"/>
            <wp:docPr id="1302804593" name="Chart 1">
              <a:extLst xmlns:a="http://schemas.openxmlformats.org/drawingml/2006/main">
                <a:ext uri="{FF2B5EF4-FFF2-40B4-BE49-F238E27FC236}">
                  <a16:creationId xmlns:a16="http://schemas.microsoft.com/office/drawing/2014/main" id="{0D245457-C2C2-4B06-9CF1-4B73EECA5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E070E8" w14:textId="5201F5F2" w:rsidR="00D80BC1" w:rsidRDefault="006C1DC6" w:rsidP="004418D3">
      <w:pPr>
        <w:spacing w:before="0" w:line="360" w:lineRule="auto"/>
        <w:ind w:firstLine="720"/>
        <w:rPr>
          <w:rFonts w:eastAsia="SimSun" w:cs="Calibri"/>
          <w:bCs/>
          <w:i/>
          <w:noProof/>
          <w:sz w:val="18"/>
          <w:lang w:val="sq-AL"/>
        </w:rPr>
      </w:pPr>
      <w:r w:rsidRPr="00E1483F">
        <w:rPr>
          <w:rFonts w:eastAsia="SimSun" w:cs="Calibri"/>
          <w:bCs/>
          <w:i/>
          <w:noProof/>
          <w:sz w:val="18"/>
          <w:lang w:val="sq-AL"/>
        </w:rPr>
        <w:t>Burimi: Ministria e Financave (202</w:t>
      </w:r>
      <w:r w:rsidR="00707AC5">
        <w:rPr>
          <w:rFonts w:eastAsia="SimSun" w:cs="Calibri"/>
          <w:bCs/>
          <w:i/>
          <w:noProof/>
          <w:sz w:val="18"/>
          <w:lang w:val="sq-AL"/>
        </w:rPr>
        <w:t>6</w:t>
      </w:r>
      <w:r w:rsidRPr="00E1483F">
        <w:rPr>
          <w:rFonts w:eastAsia="SimSun" w:cs="Calibri"/>
          <w:bCs/>
          <w:i/>
          <w:noProof/>
          <w:sz w:val="18"/>
          <w:lang w:val="sq-AL"/>
        </w:rPr>
        <w:t>)</w:t>
      </w:r>
    </w:p>
    <w:p w14:paraId="11612769" w14:textId="77777777" w:rsidR="00983808" w:rsidRPr="00983808" w:rsidRDefault="00983808" w:rsidP="004418D3">
      <w:pPr>
        <w:spacing w:before="0" w:line="360" w:lineRule="auto"/>
        <w:ind w:firstLine="720"/>
        <w:rPr>
          <w:rFonts w:eastAsia="SimSun" w:cs="Calibri"/>
          <w:bCs/>
          <w:i/>
          <w:noProof/>
          <w:sz w:val="8"/>
          <w:szCs w:val="14"/>
          <w:lang w:val="sq-AL"/>
        </w:rPr>
      </w:pPr>
    </w:p>
    <w:p w14:paraId="67197277" w14:textId="7D780BB2" w:rsidR="00B949A2" w:rsidRPr="008D6216" w:rsidRDefault="00707AC5" w:rsidP="008D6216">
      <w:pPr>
        <w:spacing w:before="0" w:line="240" w:lineRule="auto"/>
        <w:rPr>
          <w:rFonts w:eastAsia="MS Mincho" w:cs="Calibri"/>
          <w:noProof/>
          <w:lang w:val="sq-AL"/>
        </w:rPr>
      </w:pPr>
      <w:r w:rsidRPr="0082672E">
        <w:rPr>
          <w:rFonts w:eastAsia="MS Mincho" w:cs="Calibri"/>
          <w:noProof/>
          <w:lang w:val="sq-AL"/>
        </w:rPr>
        <w:t>Në të njëjtën kohë, kjo rritje e të ardhurave të pushtetit vendor ka bërë që raporti i tyre kundrejt totalit të të ardhurave publike dhe produktit të brendshëm bruto të ndryshojë dhe të jetë në rritje në vitet e fundit. Megjithat</w:t>
      </w:r>
      <w:r>
        <w:rPr>
          <w:rFonts w:eastAsia="MS Mincho" w:cs="Calibri"/>
          <w:noProof/>
          <w:lang w:val="sq-AL"/>
        </w:rPr>
        <w:t>ë</w:t>
      </w:r>
      <w:r w:rsidRPr="0082672E">
        <w:rPr>
          <w:rFonts w:eastAsia="MS Mincho" w:cs="Calibri"/>
          <w:noProof/>
          <w:lang w:val="sq-AL"/>
        </w:rPr>
        <w:t xml:space="preserve"> gjatë vitit 2025, të ardhurat e pushtetit vendor në raport me të ardhurat publike kanë zënë  5.4% nga 5.7% që ishin në vitin 2024. Gjithashtu, pushteti vendor ka rritur rolin e tij në vite përmes kontributit në ekonomi duke ndryshuar raportin nga 0.8% e PBB në vitin 2015, në rreth 1.6 % në vitin 2025</w:t>
      </w:r>
      <w:r w:rsidR="00E1483F" w:rsidRPr="00B644BE">
        <w:rPr>
          <w:rFonts w:eastAsia="MS Mincho" w:cs="Calibri"/>
          <w:noProof/>
          <w:lang w:val="sq-AL"/>
        </w:rPr>
        <w:t>.</w:t>
      </w:r>
    </w:p>
    <w:p w14:paraId="1292CC20" w14:textId="3FF2EE8B" w:rsidR="00D80BC1" w:rsidRPr="00B644BE" w:rsidRDefault="00172213" w:rsidP="00172213">
      <w:pPr>
        <w:pStyle w:val="Caption"/>
        <w:rPr>
          <w:noProof/>
          <w:lang w:val="sq-AL"/>
        </w:rPr>
      </w:pPr>
      <w:bookmarkStart w:id="161" w:name="_Toc22913004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27</w:t>
      </w:r>
      <w:r w:rsidR="00F675D4" w:rsidRPr="00B644BE">
        <w:rPr>
          <w:noProof/>
          <w:lang w:val="sq-AL"/>
        </w:rPr>
        <w:fldChar w:fldCharType="end"/>
      </w:r>
      <w:r w:rsidRPr="00B644BE">
        <w:rPr>
          <w:noProof/>
          <w:lang w:val="sq-AL"/>
        </w:rPr>
        <w:t xml:space="preserve"> Të ardhurat vendore në raport me totalin e të ardhurave publike dhe PBB</w:t>
      </w:r>
      <w:bookmarkEnd w:id="161"/>
    </w:p>
    <w:p w14:paraId="24ADA033" w14:textId="53BA046F" w:rsidR="00D80BC1" w:rsidRPr="00B644BE" w:rsidRDefault="00707AC5" w:rsidP="00FC729E">
      <w:pPr>
        <w:spacing w:before="0"/>
        <w:jc w:val="center"/>
        <w:rPr>
          <w:rFonts w:eastAsia="MS Mincho" w:cs="Calibri"/>
          <w:noProof/>
          <w:lang w:val="sq-AL"/>
        </w:rPr>
      </w:pPr>
      <w:r>
        <w:rPr>
          <w:noProof/>
          <w14:ligatures w14:val="standardContextual"/>
        </w:rPr>
        <w:drawing>
          <wp:inline distT="0" distB="0" distL="0" distR="0" wp14:anchorId="2248FF13" wp14:editId="30B94ADD">
            <wp:extent cx="5943600" cy="2092148"/>
            <wp:effectExtent l="0" t="0" r="0" b="3810"/>
            <wp:docPr id="1910780402" name="Chart 1">
              <a:extLst xmlns:a="http://schemas.openxmlformats.org/drawingml/2006/main">
                <a:ext uri="{FF2B5EF4-FFF2-40B4-BE49-F238E27FC236}">
                  <a16:creationId xmlns:a16="http://schemas.microsoft.com/office/drawing/2014/main" id="{45CF892C-A913-4FBE-8C13-6E7D9761D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E77D53" w14:textId="01C1B63C" w:rsidR="00D80BC1" w:rsidRDefault="006C1DC6" w:rsidP="00C13D03">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E1483F">
        <w:rPr>
          <w:rFonts w:eastAsia="SimSun" w:cs="Calibri"/>
          <w:bCs/>
          <w:i/>
          <w:noProof/>
          <w:sz w:val="18"/>
          <w:szCs w:val="18"/>
          <w:lang w:val="sq-AL"/>
        </w:rPr>
        <w:t>)</w:t>
      </w:r>
    </w:p>
    <w:p w14:paraId="0BFE0637" w14:textId="77777777" w:rsidR="00983808" w:rsidRPr="00983808" w:rsidRDefault="00983808" w:rsidP="00C13D03">
      <w:pPr>
        <w:spacing w:before="0" w:line="360" w:lineRule="auto"/>
        <w:ind w:firstLine="720"/>
        <w:rPr>
          <w:rFonts w:eastAsia="SimSun" w:cs="Calibri"/>
          <w:bCs/>
          <w:i/>
          <w:noProof/>
          <w:sz w:val="8"/>
          <w:szCs w:val="8"/>
          <w:lang w:val="sq-AL"/>
        </w:rPr>
      </w:pPr>
    </w:p>
    <w:p w14:paraId="0A132BFA" w14:textId="67BE94B7" w:rsidR="00E1483F" w:rsidRDefault="00707AC5" w:rsidP="00983808">
      <w:pPr>
        <w:pStyle w:val="Caption"/>
        <w:spacing w:before="0" w:line="240" w:lineRule="auto"/>
        <w:rPr>
          <w:rFonts w:eastAsia="SimSun" w:cs="Calibri"/>
          <w:i w:val="0"/>
          <w:iCs w:val="0"/>
          <w:noProof/>
          <w:color w:val="auto"/>
          <w:sz w:val="22"/>
          <w:lang w:val="sq-AL"/>
        </w:rPr>
      </w:pPr>
      <w:r>
        <w:rPr>
          <w:rFonts w:eastAsia="SimSun" w:cs="Calibri"/>
          <w:i w:val="0"/>
          <w:iCs w:val="0"/>
          <w:noProof/>
          <w:color w:val="auto"/>
          <w:sz w:val="22"/>
          <w:lang w:val="sq-AL"/>
        </w:rPr>
        <w:lastRenderedPageBreak/>
        <w:t>E</w:t>
      </w:r>
      <w:r w:rsidRPr="00B644BE">
        <w:rPr>
          <w:rFonts w:eastAsia="SimSun" w:cs="Calibri"/>
          <w:i w:val="0"/>
          <w:iCs w:val="0"/>
          <w:noProof/>
          <w:color w:val="auto"/>
          <w:sz w:val="22"/>
          <w:lang w:val="sq-AL"/>
        </w:rPr>
        <w:t>curi</w:t>
      </w:r>
      <w:r>
        <w:rPr>
          <w:rFonts w:eastAsia="SimSun" w:cs="Calibri"/>
          <w:i w:val="0"/>
          <w:iCs w:val="0"/>
          <w:noProof/>
          <w:color w:val="auto"/>
          <w:sz w:val="22"/>
          <w:lang w:val="sq-AL"/>
        </w:rPr>
        <w:t xml:space="preserve">a e </w:t>
      </w:r>
      <w:r w:rsidRPr="00B644BE">
        <w:rPr>
          <w:rFonts w:eastAsia="SimSun" w:cs="Calibri"/>
          <w:i w:val="0"/>
          <w:iCs w:val="0"/>
          <w:noProof/>
          <w:color w:val="auto"/>
          <w:sz w:val="22"/>
          <w:lang w:val="sq-AL"/>
        </w:rPr>
        <w:t>të ardhurave vendore sipas llojit të burimit të tyre, pas rikth</w:t>
      </w:r>
      <w:r>
        <w:rPr>
          <w:rFonts w:eastAsia="SimSun" w:cs="Calibri"/>
          <w:i w:val="0"/>
          <w:iCs w:val="0"/>
          <w:noProof/>
          <w:color w:val="auto"/>
          <w:sz w:val="22"/>
          <w:lang w:val="sq-AL"/>
        </w:rPr>
        <w:t>imit të</w:t>
      </w:r>
      <w:r w:rsidRPr="00B644BE">
        <w:rPr>
          <w:rFonts w:eastAsia="SimSun" w:cs="Calibri"/>
          <w:i w:val="0"/>
          <w:iCs w:val="0"/>
          <w:noProof/>
          <w:color w:val="auto"/>
          <w:sz w:val="22"/>
          <w:lang w:val="sq-AL"/>
        </w:rPr>
        <w:t xml:space="preserve"> trendi</w:t>
      </w:r>
      <w:r>
        <w:rPr>
          <w:rFonts w:eastAsia="SimSun" w:cs="Calibri"/>
          <w:i w:val="0"/>
          <w:iCs w:val="0"/>
          <w:noProof/>
          <w:color w:val="auto"/>
          <w:sz w:val="22"/>
          <w:lang w:val="sq-AL"/>
        </w:rPr>
        <w:t xml:space="preserve">t </w:t>
      </w:r>
      <w:r w:rsidRPr="00B644BE">
        <w:rPr>
          <w:rFonts w:eastAsia="SimSun" w:cs="Calibri"/>
          <w:i w:val="0"/>
          <w:iCs w:val="0"/>
          <w:noProof/>
          <w:color w:val="auto"/>
          <w:sz w:val="22"/>
          <w:lang w:val="sq-AL"/>
        </w:rPr>
        <w:t xml:space="preserve">rritës </w:t>
      </w:r>
      <w:r>
        <w:rPr>
          <w:rFonts w:eastAsia="SimSun" w:cs="Calibri"/>
          <w:i w:val="0"/>
          <w:iCs w:val="0"/>
          <w:noProof/>
          <w:color w:val="auto"/>
          <w:sz w:val="22"/>
          <w:lang w:val="sq-AL"/>
        </w:rPr>
        <w:t xml:space="preserve">prej </w:t>
      </w:r>
      <w:r w:rsidRPr="00B644BE">
        <w:rPr>
          <w:rFonts w:eastAsia="SimSun" w:cs="Calibri"/>
          <w:i w:val="0"/>
          <w:iCs w:val="0"/>
          <w:noProof/>
          <w:color w:val="auto"/>
          <w:sz w:val="22"/>
          <w:lang w:val="sq-AL"/>
        </w:rPr>
        <w:t>viti</w:t>
      </w:r>
      <w:r>
        <w:rPr>
          <w:rFonts w:eastAsia="SimSun" w:cs="Calibri"/>
          <w:i w:val="0"/>
          <w:iCs w:val="0"/>
          <w:noProof/>
          <w:color w:val="auto"/>
          <w:sz w:val="22"/>
          <w:lang w:val="sq-AL"/>
        </w:rPr>
        <w:t>t</w:t>
      </w:r>
      <w:r w:rsidRPr="00B644BE">
        <w:rPr>
          <w:rFonts w:eastAsia="SimSun" w:cs="Calibri"/>
          <w:i w:val="0"/>
          <w:iCs w:val="0"/>
          <w:noProof/>
          <w:color w:val="auto"/>
          <w:sz w:val="22"/>
          <w:lang w:val="sq-AL"/>
        </w:rPr>
        <w:t xml:space="preserve"> 2021</w:t>
      </w:r>
      <w:r>
        <w:rPr>
          <w:rFonts w:eastAsia="SimSun" w:cs="Calibri"/>
          <w:i w:val="0"/>
          <w:iCs w:val="0"/>
          <w:noProof/>
          <w:color w:val="auto"/>
          <w:sz w:val="22"/>
          <w:lang w:val="sq-AL"/>
        </w:rPr>
        <w:t xml:space="preserve">, </w:t>
      </w:r>
      <w:r w:rsidRPr="00B644BE">
        <w:rPr>
          <w:rFonts w:eastAsia="SimSun" w:cs="Calibri"/>
          <w:i w:val="0"/>
          <w:iCs w:val="0"/>
          <w:noProof/>
          <w:color w:val="auto"/>
          <w:sz w:val="22"/>
          <w:lang w:val="sq-AL"/>
        </w:rPr>
        <w:t xml:space="preserve">ka vazhduar </w:t>
      </w:r>
      <w:r>
        <w:rPr>
          <w:rFonts w:eastAsia="SimSun" w:cs="Calibri"/>
          <w:i w:val="0"/>
          <w:iCs w:val="0"/>
          <w:noProof/>
          <w:color w:val="auto"/>
          <w:sz w:val="22"/>
          <w:lang w:val="sq-AL"/>
        </w:rPr>
        <w:t xml:space="preserve">trendin rritës </w:t>
      </w:r>
      <w:r w:rsidRPr="00B644BE">
        <w:rPr>
          <w:rFonts w:eastAsia="SimSun" w:cs="Calibri"/>
          <w:i w:val="0"/>
          <w:iCs w:val="0"/>
          <w:noProof/>
          <w:color w:val="auto"/>
          <w:sz w:val="22"/>
          <w:lang w:val="sq-AL"/>
        </w:rPr>
        <w:t>edhe në vite</w:t>
      </w:r>
      <w:r>
        <w:rPr>
          <w:rFonts w:eastAsia="SimSun" w:cs="Calibri"/>
          <w:i w:val="0"/>
          <w:iCs w:val="0"/>
          <w:noProof/>
          <w:color w:val="auto"/>
          <w:sz w:val="22"/>
          <w:lang w:val="sq-AL"/>
        </w:rPr>
        <w:t>t pasuese</w:t>
      </w:r>
      <w:r w:rsidRPr="00B644BE">
        <w:rPr>
          <w:rFonts w:eastAsia="SimSun" w:cs="Calibri"/>
          <w:i w:val="0"/>
          <w:iCs w:val="0"/>
          <w:noProof/>
          <w:color w:val="auto"/>
          <w:sz w:val="22"/>
          <w:lang w:val="sq-AL"/>
        </w:rPr>
        <w:t xml:space="preserve">, ku rritja </w:t>
      </w:r>
      <w:r w:rsidRPr="00597A30">
        <w:rPr>
          <w:rFonts w:eastAsia="SimSun" w:cs="Calibri"/>
          <w:i w:val="0"/>
          <w:iCs w:val="0"/>
          <w:noProof/>
          <w:color w:val="auto"/>
          <w:sz w:val="22"/>
          <w:lang w:val="sq-AL"/>
        </w:rPr>
        <w:t xml:space="preserve">e të ardhurave vendore </w:t>
      </w:r>
      <w:r>
        <w:rPr>
          <w:rFonts w:eastAsia="SimSun" w:cs="Calibri"/>
          <w:i w:val="0"/>
          <w:iCs w:val="0"/>
          <w:noProof/>
          <w:color w:val="auto"/>
          <w:sz w:val="22"/>
          <w:lang w:val="sq-AL"/>
        </w:rPr>
        <w:t xml:space="preserve">në vitin 2025 </w:t>
      </w:r>
      <w:r w:rsidRPr="00B644BE">
        <w:rPr>
          <w:rFonts w:eastAsia="SimSun" w:cs="Calibri"/>
          <w:i w:val="0"/>
          <w:iCs w:val="0"/>
          <w:noProof/>
          <w:color w:val="auto"/>
          <w:sz w:val="22"/>
          <w:lang w:val="sq-AL"/>
        </w:rPr>
        <w:t xml:space="preserve">reflektohet </w:t>
      </w:r>
      <w:r w:rsidRPr="00597A30">
        <w:rPr>
          <w:rFonts w:eastAsia="SimSun" w:cs="Calibri"/>
          <w:i w:val="0"/>
          <w:iCs w:val="0"/>
          <w:noProof/>
          <w:color w:val="auto"/>
          <w:sz w:val="22"/>
          <w:lang w:val="sq-AL"/>
        </w:rPr>
        <w:t xml:space="preserve">në </w:t>
      </w:r>
      <w:r>
        <w:rPr>
          <w:rFonts w:eastAsia="SimSun" w:cs="Calibri"/>
          <w:i w:val="0"/>
          <w:iCs w:val="0"/>
          <w:noProof/>
          <w:color w:val="auto"/>
          <w:sz w:val="22"/>
          <w:lang w:val="sq-AL"/>
        </w:rPr>
        <w:t>disa nga</w:t>
      </w:r>
      <w:r w:rsidRPr="00597A30">
        <w:rPr>
          <w:rFonts w:eastAsia="SimSun" w:cs="Calibri"/>
          <w:i w:val="0"/>
          <w:iCs w:val="0"/>
          <w:noProof/>
          <w:color w:val="auto"/>
          <w:sz w:val="22"/>
          <w:lang w:val="sq-AL"/>
        </w:rPr>
        <w:t xml:space="preserve"> llojet e tyre sipas burimit. Kjo ecuri tregohet edhe në grafikun e mëposhtëm, </w:t>
      </w:r>
      <w:r w:rsidRPr="00220520">
        <w:rPr>
          <w:rFonts w:eastAsia="SimSun" w:cs="Calibri"/>
          <w:i w:val="0"/>
          <w:iCs w:val="0"/>
          <w:noProof/>
          <w:color w:val="auto"/>
          <w:sz w:val="22"/>
          <w:lang w:val="sq-AL"/>
        </w:rPr>
        <w:t xml:space="preserve">ku konstatohet një rritje me rreth 364 </w:t>
      </w:r>
      <w:r w:rsidR="0056260B">
        <w:rPr>
          <w:rFonts w:eastAsia="SimSun" w:cs="Calibri"/>
          <w:i w:val="0"/>
          <w:iCs w:val="0"/>
          <w:noProof/>
          <w:color w:val="auto"/>
          <w:sz w:val="22"/>
          <w:lang w:val="sq-AL"/>
        </w:rPr>
        <w:t>milionë</w:t>
      </w:r>
      <w:r w:rsidRPr="00220520">
        <w:rPr>
          <w:rFonts w:eastAsia="SimSun" w:cs="Calibri"/>
          <w:i w:val="0"/>
          <w:iCs w:val="0"/>
          <w:noProof/>
          <w:color w:val="auto"/>
          <w:sz w:val="22"/>
          <w:lang w:val="sq-AL"/>
        </w:rPr>
        <w:t xml:space="preserve"> LEK i të ardhurave të NJVQV në total, ku nga viti 2024 rezulton se t</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ardhurat nga “Taksa të tjera vendore” kan</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rritjen më të madhe prej rreth 2.1 </w:t>
      </w:r>
      <w:r w:rsidR="0056260B">
        <w:rPr>
          <w:rFonts w:eastAsia="SimSun" w:cs="Calibri"/>
          <w:i w:val="0"/>
          <w:iCs w:val="0"/>
          <w:noProof/>
          <w:color w:val="auto"/>
          <w:sz w:val="22"/>
          <w:lang w:val="sq-AL"/>
        </w:rPr>
        <w:t>miliardë</w:t>
      </w:r>
      <w:r w:rsidRPr="00220520">
        <w:rPr>
          <w:rFonts w:eastAsia="SimSun" w:cs="Calibri"/>
          <w:i w:val="0"/>
          <w:iCs w:val="0"/>
          <w:noProof/>
          <w:color w:val="auto"/>
          <w:sz w:val="22"/>
          <w:lang w:val="sq-AL"/>
        </w:rPr>
        <w:t xml:space="preserve"> LEK ose me rreth 29.5%; t</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ardhurat nga “Taksa mbi pasurinë e paluajtshme” kanë gjithashtu rritje prej rreth 473 </w:t>
      </w:r>
      <w:r w:rsidR="0056260B">
        <w:rPr>
          <w:rFonts w:eastAsia="SimSun" w:cs="Calibri"/>
          <w:i w:val="0"/>
          <w:iCs w:val="0"/>
          <w:noProof/>
          <w:color w:val="auto"/>
          <w:sz w:val="22"/>
          <w:lang w:val="sq-AL"/>
        </w:rPr>
        <w:t>milionë</w:t>
      </w:r>
      <w:r w:rsidRPr="00220520">
        <w:rPr>
          <w:rFonts w:eastAsia="SimSun" w:cs="Calibri"/>
          <w:i w:val="0"/>
          <w:iCs w:val="0"/>
          <w:noProof/>
          <w:color w:val="auto"/>
          <w:sz w:val="22"/>
          <w:lang w:val="sq-AL"/>
        </w:rPr>
        <w:t xml:space="preserve"> LEK ose 6%, t</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ardhurat nga “Tarifat e shërbimeve vendore” kan</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pothuajse t</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nj</w:t>
      </w:r>
      <w:r>
        <w:rPr>
          <w:rFonts w:eastAsia="SimSun" w:cs="Calibri"/>
          <w:i w:val="0"/>
          <w:iCs w:val="0"/>
          <w:noProof/>
          <w:color w:val="auto"/>
          <w:sz w:val="22"/>
          <w:lang w:val="sq-AL"/>
        </w:rPr>
        <w:t>ë</w:t>
      </w:r>
      <w:r w:rsidRPr="00220520">
        <w:rPr>
          <w:rFonts w:eastAsia="SimSun" w:cs="Calibri"/>
          <w:i w:val="0"/>
          <w:iCs w:val="0"/>
          <w:noProof/>
          <w:color w:val="auto"/>
          <w:sz w:val="22"/>
          <w:lang w:val="sq-AL"/>
        </w:rPr>
        <w:t>jtat vlera me vitin e kaluar</w:t>
      </w:r>
      <w:r>
        <w:rPr>
          <w:rFonts w:eastAsia="SimSun" w:cs="Calibri"/>
          <w:i w:val="0"/>
          <w:iCs w:val="0"/>
          <w:noProof/>
          <w:color w:val="auto"/>
          <w:sz w:val="22"/>
          <w:lang w:val="sq-AL"/>
        </w:rPr>
        <w:t>,</w:t>
      </w:r>
      <w:r w:rsidRPr="00597A30">
        <w:rPr>
          <w:rFonts w:eastAsia="SimSun" w:cs="Calibri"/>
          <w:i w:val="0"/>
          <w:iCs w:val="0"/>
          <w:noProof/>
          <w:color w:val="auto"/>
          <w:sz w:val="22"/>
          <w:lang w:val="sq-AL"/>
        </w:rPr>
        <w:t xml:space="preserve"> </w:t>
      </w:r>
      <w:r w:rsidRPr="00220520">
        <w:rPr>
          <w:rFonts w:eastAsia="SimSun" w:cs="Calibri"/>
          <w:i w:val="0"/>
          <w:iCs w:val="0"/>
          <w:noProof/>
          <w:color w:val="auto"/>
          <w:sz w:val="22"/>
          <w:lang w:val="sq-AL"/>
        </w:rPr>
        <w:t>nd</w:t>
      </w:r>
      <w:r>
        <w:rPr>
          <w:rFonts w:eastAsia="SimSun" w:cs="Calibri"/>
          <w:i w:val="0"/>
          <w:iCs w:val="0"/>
          <w:noProof/>
          <w:color w:val="auto"/>
          <w:sz w:val="22"/>
          <w:lang w:val="sq-AL"/>
        </w:rPr>
        <w:t>ë</w:t>
      </w:r>
      <w:r w:rsidRPr="00220520">
        <w:rPr>
          <w:rFonts w:eastAsia="SimSun" w:cs="Calibri"/>
          <w:i w:val="0"/>
          <w:iCs w:val="0"/>
          <w:noProof/>
          <w:color w:val="auto"/>
          <w:sz w:val="22"/>
          <w:lang w:val="sq-AL"/>
        </w:rPr>
        <w:t>rkoh</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q</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t</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ardhurat nga “Taksa e ndikimit në infrastrukturë nga ndërtimet e reja” rezultojn</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me ulje prej rreth 2 </w:t>
      </w:r>
      <w:r w:rsidR="0056260B">
        <w:rPr>
          <w:rFonts w:eastAsia="SimSun" w:cs="Calibri"/>
          <w:i w:val="0"/>
          <w:iCs w:val="0"/>
          <w:noProof/>
          <w:color w:val="auto"/>
          <w:sz w:val="22"/>
          <w:lang w:val="sq-AL"/>
        </w:rPr>
        <w:t>miliardë</w:t>
      </w:r>
      <w:r w:rsidRPr="00220520">
        <w:rPr>
          <w:rFonts w:eastAsia="SimSun" w:cs="Calibri"/>
          <w:i w:val="0"/>
          <w:iCs w:val="0"/>
          <w:noProof/>
          <w:color w:val="auto"/>
          <w:sz w:val="22"/>
          <w:lang w:val="sq-AL"/>
        </w:rPr>
        <w:t xml:space="preserve"> LEK os</w:t>
      </w:r>
      <w:r>
        <w:rPr>
          <w:rFonts w:eastAsia="SimSun" w:cs="Calibri"/>
          <w:i w:val="0"/>
          <w:iCs w:val="0"/>
          <w:noProof/>
          <w:color w:val="auto"/>
          <w:sz w:val="22"/>
          <w:lang w:val="sq-AL"/>
        </w:rPr>
        <w:t>ë</w:t>
      </w:r>
      <w:r w:rsidRPr="00220520">
        <w:rPr>
          <w:rFonts w:eastAsia="SimSun" w:cs="Calibri"/>
          <w:i w:val="0"/>
          <w:iCs w:val="0"/>
          <w:noProof/>
          <w:color w:val="auto"/>
          <w:sz w:val="22"/>
          <w:lang w:val="sq-AL"/>
        </w:rPr>
        <w:t xml:space="preserve"> 11% krahasuar me vitin 2024</w:t>
      </w:r>
      <w:r>
        <w:rPr>
          <w:rFonts w:eastAsia="SimSun" w:cs="Calibri"/>
          <w:i w:val="0"/>
          <w:iCs w:val="0"/>
          <w:noProof/>
          <w:color w:val="auto"/>
          <w:sz w:val="22"/>
          <w:lang w:val="sq-AL"/>
        </w:rPr>
        <w:t>, ku r</w:t>
      </w:r>
      <w:r w:rsidRPr="00220520">
        <w:rPr>
          <w:rFonts w:eastAsia="SimSun" w:cs="Calibri"/>
          <w:i w:val="0"/>
          <w:iCs w:val="0"/>
          <w:noProof/>
          <w:color w:val="auto"/>
          <w:sz w:val="22"/>
          <w:lang w:val="sq-AL"/>
        </w:rPr>
        <w:t xml:space="preserve">ënia e të ardhurave nga ky burim lidhet kryesisht me Bashkinë Tiranë, e cila ka arkëtuar rreth 7.7 </w:t>
      </w:r>
      <w:r w:rsidR="0056260B">
        <w:rPr>
          <w:rFonts w:eastAsia="SimSun" w:cs="Calibri"/>
          <w:i w:val="0"/>
          <w:iCs w:val="0"/>
          <w:noProof/>
          <w:color w:val="auto"/>
          <w:sz w:val="22"/>
          <w:lang w:val="sq-AL"/>
        </w:rPr>
        <w:t>miliardë</w:t>
      </w:r>
      <w:r w:rsidRPr="00220520">
        <w:rPr>
          <w:rFonts w:eastAsia="SimSun" w:cs="Calibri"/>
          <w:i w:val="0"/>
          <w:iCs w:val="0"/>
          <w:noProof/>
          <w:color w:val="auto"/>
          <w:sz w:val="22"/>
          <w:lang w:val="sq-AL"/>
        </w:rPr>
        <w:t xml:space="preserve"> </w:t>
      </w:r>
      <w:r w:rsidR="0056260B">
        <w:rPr>
          <w:rFonts w:eastAsia="SimSun" w:cs="Calibri"/>
          <w:i w:val="0"/>
          <w:iCs w:val="0"/>
          <w:noProof/>
          <w:color w:val="auto"/>
          <w:sz w:val="22"/>
          <w:lang w:val="sq-AL"/>
        </w:rPr>
        <w:t>LEK</w:t>
      </w:r>
      <w:r w:rsidRPr="00220520">
        <w:rPr>
          <w:rFonts w:eastAsia="SimSun" w:cs="Calibri"/>
          <w:i w:val="0"/>
          <w:iCs w:val="0"/>
          <w:noProof/>
          <w:color w:val="auto"/>
          <w:sz w:val="22"/>
          <w:lang w:val="sq-AL"/>
        </w:rPr>
        <w:t xml:space="preserve"> më pak ose më një rënie prej 53.8% krahasuar me një vit më parë</w:t>
      </w:r>
      <w:r w:rsidR="00E1483F" w:rsidRPr="00B644BE">
        <w:rPr>
          <w:rFonts w:eastAsia="SimSun" w:cs="Calibri"/>
          <w:i w:val="0"/>
          <w:iCs w:val="0"/>
          <w:noProof/>
          <w:color w:val="auto"/>
          <w:sz w:val="22"/>
          <w:lang w:val="sq-AL"/>
        </w:rPr>
        <w:t>.</w:t>
      </w:r>
    </w:p>
    <w:p w14:paraId="10D169B7" w14:textId="361E38BF" w:rsidR="00D80BC1" w:rsidRPr="00B644BE" w:rsidRDefault="00172213" w:rsidP="00172213">
      <w:pPr>
        <w:pStyle w:val="Caption"/>
        <w:rPr>
          <w:noProof/>
          <w:lang w:val="sq-AL"/>
        </w:rPr>
      </w:pPr>
      <w:bookmarkStart w:id="162" w:name="_Toc22913004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28</w:t>
      </w:r>
      <w:r w:rsidR="00F675D4" w:rsidRPr="00B644BE">
        <w:rPr>
          <w:noProof/>
          <w:lang w:val="sq-AL"/>
        </w:rPr>
        <w:fldChar w:fldCharType="end"/>
      </w:r>
      <w:r w:rsidRPr="00B644BE">
        <w:rPr>
          <w:noProof/>
          <w:lang w:val="sq-AL"/>
        </w:rPr>
        <w:t xml:space="preserve"> Të ardhurat e veta të pushtetit vendor sipas burimit në vite</w:t>
      </w:r>
      <w:bookmarkEnd w:id="162"/>
    </w:p>
    <w:p w14:paraId="4CD1584A" w14:textId="4E4622DB" w:rsidR="00D80BC1" w:rsidRPr="00B644BE" w:rsidRDefault="00707AC5" w:rsidP="00DB0038">
      <w:pPr>
        <w:spacing w:before="0" w:line="240" w:lineRule="auto"/>
        <w:jc w:val="center"/>
        <w:rPr>
          <w:rFonts w:eastAsia="SimSun" w:cs="Calibri"/>
          <w:noProof/>
          <w:szCs w:val="18"/>
          <w:lang w:val="sq-AL"/>
        </w:rPr>
      </w:pPr>
      <w:r>
        <w:rPr>
          <w:noProof/>
          <w14:ligatures w14:val="standardContextual"/>
        </w:rPr>
        <w:drawing>
          <wp:inline distT="0" distB="0" distL="0" distR="0" wp14:anchorId="73B3F79C" wp14:editId="2F8D99BF">
            <wp:extent cx="6286500" cy="2165299"/>
            <wp:effectExtent l="0" t="0" r="0" b="6985"/>
            <wp:docPr id="287874208" name="Chart 1">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634DB50" w14:textId="4F17F2B8" w:rsidR="00D80BC1" w:rsidRDefault="006C1DC6" w:rsidP="00013BB5">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E1483F">
        <w:rPr>
          <w:rFonts w:eastAsia="SimSun" w:cs="Calibri"/>
          <w:bCs/>
          <w:i/>
          <w:noProof/>
          <w:sz w:val="18"/>
          <w:szCs w:val="18"/>
          <w:lang w:val="sq-AL"/>
        </w:rPr>
        <w:t>)</w:t>
      </w:r>
    </w:p>
    <w:p w14:paraId="6BFF8866" w14:textId="77777777" w:rsidR="00983808" w:rsidRPr="00983808" w:rsidRDefault="00983808" w:rsidP="00013BB5">
      <w:pPr>
        <w:spacing w:before="0" w:line="360" w:lineRule="auto"/>
        <w:ind w:firstLine="720"/>
        <w:rPr>
          <w:rFonts w:eastAsia="SimSun" w:cs="Calibri"/>
          <w:bCs/>
          <w:i/>
          <w:noProof/>
          <w:sz w:val="12"/>
          <w:szCs w:val="12"/>
          <w:lang w:val="sq-AL"/>
        </w:rPr>
      </w:pPr>
    </w:p>
    <w:p w14:paraId="66A70323" w14:textId="15B14273" w:rsidR="00E1483F" w:rsidRDefault="00707AC5" w:rsidP="00E1483F">
      <w:pPr>
        <w:spacing w:before="0" w:line="240" w:lineRule="auto"/>
        <w:rPr>
          <w:rFonts w:eastAsia="MS Mincho" w:cs="Calibri"/>
          <w:noProof/>
          <w:lang w:val="sq-AL"/>
        </w:rPr>
      </w:pPr>
      <w:r w:rsidRPr="00B644BE">
        <w:rPr>
          <w:rFonts w:eastAsia="MS Mincho" w:cs="Calibri"/>
          <w:noProof/>
          <w:lang w:val="sq-AL"/>
        </w:rPr>
        <w:t xml:space="preserve">Siç konstatohet edhe nga grafiku i mësipërm, ndër vite të ardhurat e pushtetit vendor kanë pësuar ndryshime si në vlerë ashtu edhe në strukturën e burimit të tyre. Është e dukshme që “taksa mbi pasurinë” është rritur nga viti në vit dhe </w:t>
      </w:r>
      <w:r>
        <w:rPr>
          <w:rFonts w:eastAsia="MS Mincho" w:cs="Calibri"/>
          <w:noProof/>
          <w:lang w:val="sq-AL"/>
        </w:rPr>
        <w:t>vlerësohet si një burim i qendrueshëm dhe i rëndësishëm në totalin e të ardhurave që mbledh pushteti vendor</w:t>
      </w:r>
      <w:r w:rsidR="00E1483F" w:rsidRPr="00B644BE">
        <w:rPr>
          <w:rFonts w:eastAsia="MS Mincho" w:cs="Calibri"/>
          <w:noProof/>
          <w:lang w:val="sq-AL"/>
        </w:rPr>
        <w:t xml:space="preserve">. </w:t>
      </w:r>
    </w:p>
    <w:p w14:paraId="5FDEB8DA" w14:textId="77777777" w:rsidR="00F55F62" w:rsidRPr="00B644BE" w:rsidRDefault="00F55F62" w:rsidP="00E1483F">
      <w:pPr>
        <w:spacing w:before="0" w:line="240" w:lineRule="auto"/>
        <w:rPr>
          <w:rFonts w:eastAsia="MS Mincho" w:cs="Calibri"/>
          <w:noProof/>
          <w:lang w:val="sq-AL"/>
        </w:rPr>
      </w:pPr>
    </w:p>
    <w:p w14:paraId="303043F0" w14:textId="77777777" w:rsidR="00E1483F" w:rsidRPr="00B644BE" w:rsidRDefault="00E1483F" w:rsidP="00E1483F">
      <w:pPr>
        <w:rPr>
          <w:rFonts w:eastAsia="MS Mincho" w:cs="Calibri"/>
          <w:i/>
          <w:noProof/>
          <w:u w:val="single"/>
          <w:lang w:val="sq-AL"/>
        </w:rPr>
      </w:pPr>
      <w:r w:rsidRPr="00B644BE">
        <w:rPr>
          <w:rFonts w:eastAsia="MS Mincho" w:cs="Calibri"/>
          <w:i/>
          <w:noProof/>
          <w:u w:val="single"/>
          <w:lang w:val="sq-AL"/>
        </w:rPr>
        <w:t xml:space="preserve">Taksa mbi pasurinë </w:t>
      </w:r>
    </w:p>
    <w:p w14:paraId="46AB0915" w14:textId="27176078" w:rsidR="00E1483F" w:rsidRDefault="00707AC5" w:rsidP="00E1483F">
      <w:pPr>
        <w:spacing w:line="240" w:lineRule="auto"/>
        <w:rPr>
          <w:rFonts w:eastAsia="MS Mincho" w:cs="Calibri"/>
          <w:noProof/>
          <w:lang w:val="sq-AL"/>
        </w:rPr>
      </w:pPr>
      <w:r w:rsidRPr="00B644BE">
        <w:rPr>
          <w:rFonts w:eastAsia="MS Mincho" w:cs="Calibri"/>
          <w:noProof/>
          <w:lang w:val="sq-AL"/>
        </w:rPr>
        <w:t xml:space="preserve">Taksa mbi pasurinë, </w:t>
      </w:r>
      <w:r>
        <w:rPr>
          <w:rFonts w:eastAsia="MS Mincho" w:cs="Calibri"/>
          <w:noProof/>
          <w:lang w:val="sq-AL"/>
        </w:rPr>
        <w:t xml:space="preserve">siç e theksuam </w:t>
      </w:r>
      <w:r w:rsidRPr="00B644BE">
        <w:rPr>
          <w:rFonts w:eastAsia="MS Mincho" w:cs="Calibri"/>
          <w:noProof/>
          <w:lang w:val="sq-AL"/>
        </w:rPr>
        <w:t xml:space="preserve">është një burim mjaft i rëndësishëm </w:t>
      </w:r>
      <w:r>
        <w:rPr>
          <w:rFonts w:eastAsia="MS Mincho" w:cs="Calibri"/>
          <w:noProof/>
          <w:lang w:val="sq-AL"/>
        </w:rPr>
        <w:t xml:space="preserve">i buxhetit </w:t>
      </w:r>
      <w:r w:rsidRPr="00B644BE">
        <w:rPr>
          <w:rFonts w:eastAsia="MS Mincho" w:cs="Calibri"/>
          <w:noProof/>
          <w:lang w:val="sq-AL"/>
        </w:rPr>
        <w:t>vendor</w:t>
      </w:r>
      <w:r>
        <w:rPr>
          <w:rFonts w:eastAsia="MS Mincho" w:cs="Calibri"/>
          <w:noProof/>
          <w:lang w:val="sq-AL"/>
        </w:rPr>
        <w:t>,</w:t>
      </w:r>
      <w:r w:rsidRPr="00B644BE">
        <w:rPr>
          <w:rFonts w:eastAsia="MS Mincho" w:cs="Calibri"/>
          <w:noProof/>
          <w:lang w:val="sq-AL"/>
        </w:rPr>
        <w:t xml:space="preserve"> përmes së cilës </w:t>
      </w:r>
      <w:r>
        <w:rPr>
          <w:rFonts w:eastAsia="MS Mincho" w:cs="Calibri"/>
          <w:noProof/>
          <w:lang w:val="sq-AL"/>
        </w:rPr>
        <w:t xml:space="preserve">bashkitë </w:t>
      </w:r>
      <w:r w:rsidRPr="00B644BE">
        <w:rPr>
          <w:rFonts w:eastAsia="MS Mincho" w:cs="Calibri"/>
          <w:noProof/>
          <w:lang w:val="sq-AL"/>
        </w:rPr>
        <w:t xml:space="preserve">mund të zhvillojnë politika vendore nën diskrecionin e plotë të përdorimit. Vitet e fundit hartimi i metodologjisë së vendosjes së kësaj takse në bazë vlere, por dhe ndërtimi i një kadastre të detajuar mbi pronën, përbëjnë thelbin e reformës për këtë burim financimi të </w:t>
      </w:r>
      <w:r>
        <w:rPr>
          <w:rFonts w:eastAsia="MS Mincho" w:cs="Calibri"/>
          <w:noProof/>
          <w:lang w:val="sq-AL"/>
        </w:rPr>
        <w:t>pushtetit vendor</w:t>
      </w:r>
      <w:r w:rsidRPr="00B644BE">
        <w:rPr>
          <w:rFonts w:eastAsia="MS Mincho" w:cs="Calibri"/>
          <w:noProof/>
          <w:lang w:val="sq-AL"/>
        </w:rPr>
        <w:t xml:space="preserve">. </w:t>
      </w:r>
      <w:r>
        <w:rPr>
          <w:rFonts w:eastAsia="MS Mincho" w:cs="Calibri"/>
          <w:noProof/>
          <w:lang w:val="sq-AL"/>
        </w:rPr>
        <w:t>R</w:t>
      </w:r>
      <w:r w:rsidRPr="00B644BE">
        <w:rPr>
          <w:rFonts w:eastAsia="MS Mincho" w:cs="Calibri"/>
          <w:noProof/>
          <w:lang w:val="sq-AL"/>
        </w:rPr>
        <w:t xml:space="preserve">eferuar të dhënave të treguesve fiskalë në vite, duke filluar nga viti 2014 e në vazhdim, kjo taksë ka patur trend rritës duke zënë rreth </w:t>
      </w:r>
      <w:r>
        <w:rPr>
          <w:rFonts w:eastAsia="MS Mincho" w:cs="Calibri"/>
          <w:noProof/>
          <w:lang w:val="sq-AL"/>
        </w:rPr>
        <w:t>19.9%</w:t>
      </w:r>
      <w:r w:rsidRPr="00B644BE">
        <w:rPr>
          <w:rFonts w:eastAsia="MS Mincho" w:cs="Calibri"/>
          <w:noProof/>
          <w:lang w:val="sq-AL"/>
        </w:rPr>
        <w:t xml:space="preserve"> të peshës së të ardhurave tatimore në vitin 202</w:t>
      </w:r>
      <w:r>
        <w:rPr>
          <w:rFonts w:eastAsia="MS Mincho" w:cs="Calibri"/>
          <w:noProof/>
          <w:lang w:val="sq-AL"/>
        </w:rPr>
        <w:t>5</w:t>
      </w:r>
      <w:r w:rsidRPr="00B644BE">
        <w:rPr>
          <w:rFonts w:eastAsia="MS Mincho" w:cs="Calibri"/>
          <w:noProof/>
          <w:lang w:val="sq-AL"/>
        </w:rPr>
        <w:t xml:space="preserve">, ndërkohë që në raport me një vit më parë janë mbledhur </w:t>
      </w:r>
      <w:r>
        <w:rPr>
          <w:rFonts w:eastAsia="MS Mincho" w:cs="Calibri"/>
          <w:noProof/>
          <w:lang w:val="sq-AL"/>
        </w:rPr>
        <w:t xml:space="preserve">rreth 473.6 </w:t>
      </w:r>
      <w:r w:rsidR="0056260B">
        <w:rPr>
          <w:rFonts w:eastAsia="MS Mincho" w:cs="Calibri"/>
          <w:noProof/>
          <w:lang w:val="sq-AL"/>
        </w:rPr>
        <w:t>milionë</w:t>
      </w:r>
      <w:r>
        <w:rPr>
          <w:rFonts w:eastAsia="MS Mincho" w:cs="Calibri"/>
          <w:noProof/>
          <w:lang w:val="sq-AL"/>
        </w:rPr>
        <w:t xml:space="preserve"> </w:t>
      </w:r>
      <w:r w:rsidRPr="00B644BE">
        <w:rPr>
          <w:rFonts w:eastAsia="MS Mincho" w:cs="Calibri"/>
          <w:noProof/>
          <w:lang w:val="sq-AL"/>
        </w:rPr>
        <w:t>LEK më shumë</w:t>
      </w:r>
      <w:r w:rsidR="00E1483F" w:rsidRPr="00B644BE">
        <w:rPr>
          <w:rFonts w:eastAsia="MS Mincho" w:cs="Calibri"/>
          <w:noProof/>
          <w:lang w:val="sq-AL"/>
        </w:rPr>
        <w:t>.</w:t>
      </w:r>
    </w:p>
    <w:p w14:paraId="39FA5DB3" w14:textId="77777777" w:rsidR="00F55F62" w:rsidRPr="00B644BE" w:rsidRDefault="00F55F62" w:rsidP="00E1483F">
      <w:pPr>
        <w:spacing w:line="240" w:lineRule="auto"/>
        <w:rPr>
          <w:rFonts w:eastAsia="MS Mincho" w:cs="Calibri"/>
          <w:noProof/>
          <w:lang w:val="sq-AL"/>
        </w:rPr>
      </w:pPr>
    </w:p>
    <w:p w14:paraId="2A883BA1" w14:textId="77777777" w:rsidR="00E1483F" w:rsidRPr="00B644BE" w:rsidRDefault="00E1483F" w:rsidP="00E1483F">
      <w:pPr>
        <w:rPr>
          <w:rFonts w:eastAsia="MS Mincho" w:cs="Calibri"/>
          <w:i/>
          <w:noProof/>
          <w:u w:val="single"/>
          <w:lang w:val="sq-AL"/>
        </w:rPr>
      </w:pPr>
      <w:r w:rsidRPr="00B644BE">
        <w:rPr>
          <w:rFonts w:eastAsia="MS Mincho" w:cs="Calibri"/>
          <w:i/>
          <w:noProof/>
          <w:u w:val="single"/>
          <w:lang w:val="sq-AL"/>
        </w:rPr>
        <w:t>Taksa e Biznesit të vogël</w:t>
      </w:r>
    </w:p>
    <w:p w14:paraId="47645087" w14:textId="2A6E7671" w:rsidR="00E1483F" w:rsidRDefault="00707AC5" w:rsidP="00E1483F">
      <w:pPr>
        <w:spacing w:line="240" w:lineRule="auto"/>
        <w:rPr>
          <w:rFonts w:eastAsia="MS Mincho" w:cs="Calibri"/>
          <w:noProof/>
          <w:lang w:val="sq-AL"/>
        </w:rPr>
      </w:pPr>
      <w:r w:rsidRPr="00B644BE">
        <w:rPr>
          <w:rFonts w:eastAsia="MS Mincho" w:cs="Calibri"/>
          <w:noProof/>
          <w:lang w:val="sq-AL"/>
        </w:rPr>
        <w:t>Tatimi mbi biznesin e vogël në vite si pasojë e ndryshimeve fiskale, ka patur një rënie në peshën që zë në buxhetin vendor. Taksa mbi biznesin e vogël pas ndryshimeve fiskale ligjore më të fundit, është bërë zero (</w:t>
      </w:r>
      <w:r w:rsidRPr="00B644BE">
        <w:rPr>
          <w:rFonts w:eastAsia="MS Mincho" w:cs="Calibri"/>
          <w:i/>
          <w:noProof/>
          <w:sz w:val="20"/>
          <w:szCs w:val="22"/>
          <w:lang w:val="sq-AL"/>
        </w:rPr>
        <w:t>Ligji nr.112/2020 “Për disa ndryshime në Ligjin nr.9632 datë 30.10.2006 “Për sistemin e taksave vendore”, të ndryshuar”</w:t>
      </w:r>
      <w:r w:rsidRPr="00B644BE">
        <w:rPr>
          <w:rFonts w:eastAsia="MS Mincho" w:cs="Calibri"/>
          <w:noProof/>
          <w:lang w:val="sq-AL"/>
        </w:rPr>
        <w:t>). Nga realizimi faktik gjatë vitit 202</w:t>
      </w:r>
      <w:r>
        <w:rPr>
          <w:rFonts w:eastAsia="MS Mincho" w:cs="Calibri"/>
          <w:noProof/>
          <w:lang w:val="sq-AL"/>
        </w:rPr>
        <w:t>5</w:t>
      </w:r>
      <w:r w:rsidRPr="00B644BE">
        <w:rPr>
          <w:rFonts w:eastAsia="MS Mincho" w:cs="Calibri"/>
          <w:noProof/>
          <w:lang w:val="sq-AL"/>
        </w:rPr>
        <w:t xml:space="preserve">, rezulton se nga ky zë janë mbledhur rreth </w:t>
      </w:r>
      <w:r>
        <w:rPr>
          <w:rFonts w:eastAsia="MS Mincho" w:cs="Calibri"/>
          <w:noProof/>
          <w:lang w:val="sq-AL"/>
        </w:rPr>
        <w:t>36.4</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që përbëjnë vetëm 0.</w:t>
      </w:r>
      <w:r>
        <w:rPr>
          <w:rFonts w:eastAsia="MS Mincho" w:cs="Calibri"/>
          <w:noProof/>
          <w:lang w:val="sq-AL"/>
        </w:rPr>
        <w:t>1</w:t>
      </w:r>
      <w:r w:rsidRPr="00B644BE">
        <w:rPr>
          <w:rFonts w:eastAsia="MS Mincho" w:cs="Calibri"/>
          <w:noProof/>
          <w:lang w:val="sq-AL"/>
        </w:rPr>
        <w:t xml:space="preserve">% të totalit të burimeve tatimore të pushtetit vendor, të cilat përfaqësojnë </w:t>
      </w:r>
      <w:r w:rsidRPr="008F5F7B">
        <w:rPr>
          <w:rFonts w:eastAsia="MS Mincho" w:cs="Calibri"/>
          <w:noProof/>
          <w:lang w:val="sq-AL"/>
        </w:rPr>
        <w:t>detyrime të paguara/mbledhura me vonesë</w:t>
      </w:r>
      <w:r w:rsidR="00E1483F" w:rsidRPr="008F5F7B">
        <w:rPr>
          <w:rFonts w:eastAsia="MS Mincho" w:cs="Calibri"/>
          <w:noProof/>
          <w:lang w:val="sq-AL"/>
        </w:rPr>
        <w:t>.</w:t>
      </w:r>
    </w:p>
    <w:p w14:paraId="25C07574" w14:textId="77777777" w:rsidR="00F55F62" w:rsidRDefault="00F55F62" w:rsidP="00E1483F">
      <w:pPr>
        <w:spacing w:line="240" w:lineRule="auto"/>
        <w:rPr>
          <w:rFonts w:eastAsia="MS Mincho" w:cs="Calibri"/>
          <w:noProof/>
          <w:lang w:val="sq-AL"/>
        </w:rPr>
      </w:pPr>
    </w:p>
    <w:p w14:paraId="30969312" w14:textId="77777777" w:rsidR="00F55F62" w:rsidRDefault="00F55F62" w:rsidP="00E1483F">
      <w:pPr>
        <w:spacing w:line="240" w:lineRule="auto"/>
        <w:rPr>
          <w:rFonts w:eastAsia="MS Mincho" w:cs="Calibri"/>
          <w:noProof/>
          <w:lang w:val="sq-AL"/>
        </w:rPr>
      </w:pPr>
    </w:p>
    <w:p w14:paraId="3D3DF6EB" w14:textId="77777777" w:rsidR="00F55F62" w:rsidRDefault="00F55F62" w:rsidP="00E1483F">
      <w:pPr>
        <w:spacing w:line="240" w:lineRule="auto"/>
        <w:rPr>
          <w:rFonts w:eastAsia="MS Mincho" w:cs="Calibri"/>
          <w:noProof/>
          <w:lang w:val="sq-AL"/>
        </w:rPr>
      </w:pPr>
    </w:p>
    <w:p w14:paraId="6E7217FE" w14:textId="77777777" w:rsidR="00E1483F" w:rsidRPr="008F5F7B" w:rsidRDefault="00E1483F" w:rsidP="00E1483F">
      <w:pPr>
        <w:rPr>
          <w:rFonts w:eastAsia="MS Mincho" w:cs="Calibri"/>
          <w:i/>
          <w:noProof/>
          <w:u w:val="single"/>
          <w:lang w:val="sq-AL"/>
        </w:rPr>
      </w:pPr>
      <w:r w:rsidRPr="008F5F7B">
        <w:rPr>
          <w:rFonts w:eastAsia="MS Mincho" w:cs="Calibri"/>
          <w:i/>
          <w:noProof/>
          <w:u w:val="single"/>
          <w:lang w:val="sq-AL"/>
        </w:rPr>
        <w:lastRenderedPageBreak/>
        <w:t>Taksat Lokale</w:t>
      </w:r>
    </w:p>
    <w:p w14:paraId="4257D1F2" w14:textId="0AB0B32D" w:rsidR="00707AC5" w:rsidRDefault="00707AC5" w:rsidP="00E1483F">
      <w:pPr>
        <w:spacing w:line="240" w:lineRule="auto"/>
        <w:rPr>
          <w:rFonts w:eastAsia="MS Mincho" w:cs="Calibri"/>
          <w:noProof/>
          <w:lang w:val="sq-AL"/>
        </w:rPr>
      </w:pPr>
      <w:r>
        <w:rPr>
          <w:rFonts w:eastAsia="MS Mincho" w:cs="Calibri"/>
          <w:noProof/>
          <w:lang w:val="sq-AL"/>
        </w:rPr>
        <w:t>Taksat lokale</w:t>
      </w:r>
      <w:r w:rsidRPr="008F5F7B">
        <w:rPr>
          <w:rFonts w:eastAsia="MS Mincho" w:cs="Calibri"/>
          <w:noProof/>
          <w:lang w:val="sq-AL"/>
        </w:rPr>
        <w:t xml:space="preserve"> janë një ndër burimet më të rëndësishme të financimit. Rritja e të ardhurave nga taksat lokale, gjithmonë e më shumë po dëshmon konsolidimin në këndvështimin financiar të NJVQV</w:t>
      </w:r>
      <w:r>
        <w:rPr>
          <w:rFonts w:eastAsia="MS Mincho" w:cs="Calibri"/>
          <w:noProof/>
          <w:lang w:val="sq-AL"/>
        </w:rPr>
        <w:t>-ve</w:t>
      </w:r>
      <w:r w:rsidRPr="008F5F7B">
        <w:rPr>
          <w:rFonts w:eastAsia="MS Mincho" w:cs="Calibri"/>
          <w:noProof/>
          <w:lang w:val="sq-AL"/>
        </w:rPr>
        <w:t>. Në total për vitin 202</w:t>
      </w:r>
      <w:r>
        <w:rPr>
          <w:rFonts w:eastAsia="MS Mincho" w:cs="Calibri"/>
          <w:noProof/>
          <w:lang w:val="sq-AL"/>
        </w:rPr>
        <w:t>5</w:t>
      </w:r>
      <w:r w:rsidRPr="008F5F7B">
        <w:rPr>
          <w:rFonts w:eastAsia="MS Mincho" w:cs="Calibri"/>
          <w:noProof/>
          <w:lang w:val="sq-AL"/>
        </w:rPr>
        <w:t xml:space="preserve">, të ardhurat nga taksat lokale zënë rreth 80% të të ardhurave të veta vendore, të cilat gjatë këtij viti kanë arritur në masën rreth </w:t>
      </w:r>
      <w:r>
        <w:rPr>
          <w:rFonts w:eastAsia="MS Mincho" w:cs="Calibri"/>
          <w:noProof/>
          <w:lang w:val="sq-AL"/>
        </w:rPr>
        <w:t>32.73</w:t>
      </w:r>
      <w:r w:rsidRPr="008F5F7B">
        <w:rPr>
          <w:rFonts w:eastAsia="MS Mincho" w:cs="Calibri"/>
          <w:noProof/>
          <w:lang w:val="sq-AL"/>
        </w:rPr>
        <w:t xml:space="preserve"> </w:t>
      </w:r>
      <w:r w:rsidR="0056260B">
        <w:rPr>
          <w:rFonts w:eastAsia="MS Mincho" w:cs="Calibri"/>
          <w:noProof/>
          <w:lang w:val="sq-AL"/>
        </w:rPr>
        <w:t>miliardë</w:t>
      </w:r>
      <w:r w:rsidRPr="008F5F7B">
        <w:rPr>
          <w:rFonts w:eastAsia="MS Mincho" w:cs="Calibri"/>
          <w:noProof/>
          <w:lang w:val="sq-AL"/>
        </w:rPr>
        <w:t xml:space="preserve"> LEK ose </w:t>
      </w:r>
      <w:r>
        <w:rPr>
          <w:rFonts w:eastAsia="MS Mincho" w:cs="Calibri"/>
          <w:noProof/>
          <w:lang w:val="sq-AL"/>
        </w:rPr>
        <w:t xml:space="preserve">vetëm 167 </w:t>
      </w:r>
      <w:r w:rsidR="0056260B">
        <w:rPr>
          <w:rFonts w:eastAsia="MS Mincho" w:cs="Calibri"/>
          <w:noProof/>
          <w:lang w:val="sq-AL"/>
        </w:rPr>
        <w:t>milionë</w:t>
      </w:r>
      <w:r w:rsidRPr="008F5F7B">
        <w:rPr>
          <w:rFonts w:eastAsia="MS Mincho" w:cs="Calibri"/>
          <w:noProof/>
          <w:lang w:val="sq-AL"/>
        </w:rPr>
        <w:t xml:space="preserve"> LEK më shumë se një vit më parë. K</w:t>
      </w:r>
      <w:r>
        <w:rPr>
          <w:rFonts w:eastAsia="MS Mincho" w:cs="Calibri"/>
          <w:noProof/>
          <w:lang w:val="sq-AL"/>
        </w:rPr>
        <w:t xml:space="preserve">y rezultat vjen si pasojë e uljes së </w:t>
      </w:r>
      <w:r w:rsidRPr="008F5F7B">
        <w:rPr>
          <w:rFonts w:eastAsia="MS Mincho" w:cs="Calibri"/>
          <w:noProof/>
          <w:lang w:val="sq-AL"/>
        </w:rPr>
        <w:t>burimi</w:t>
      </w:r>
      <w:r>
        <w:rPr>
          <w:rFonts w:eastAsia="MS Mincho" w:cs="Calibri"/>
          <w:noProof/>
          <w:lang w:val="sq-AL"/>
        </w:rPr>
        <w:t>t</w:t>
      </w:r>
      <w:r w:rsidRPr="008F5F7B">
        <w:rPr>
          <w:rFonts w:eastAsia="MS Mincho" w:cs="Calibri"/>
          <w:noProof/>
          <w:lang w:val="sq-AL"/>
        </w:rPr>
        <w:t xml:space="preserve"> që zë peshën më të madhe në të ardhurat nga taksat lokale </w:t>
      </w:r>
      <w:r>
        <w:rPr>
          <w:rFonts w:eastAsia="MS Mincho" w:cs="Calibri"/>
          <w:noProof/>
          <w:lang w:val="sq-AL"/>
        </w:rPr>
        <w:t xml:space="preserve">që </w:t>
      </w:r>
      <w:r w:rsidRPr="008F5F7B">
        <w:rPr>
          <w:rFonts w:eastAsia="MS Mincho" w:cs="Calibri"/>
          <w:noProof/>
          <w:lang w:val="sq-AL"/>
        </w:rPr>
        <w:t>është “</w:t>
      </w:r>
      <w:r w:rsidRPr="006E73CF">
        <w:rPr>
          <w:rFonts w:eastAsia="MS Mincho" w:cs="Calibri"/>
          <w:noProof/>
          <w:lang w:val="sq-AL"/>
        </w:rPr>
        <w:t>Taksa e ndikimit në infrastrukturë nga ndërtimet e reja”</w:t>
      </w:r>
      <w:r>
        <w:rPr>
          <w:rFonts w:eastAsia="MS Mincho" w:cs="Calibri"/>
          <w:noProof/>
          <w:lang w:val="sq-AL"/>
        </w:rPr>
        <w:t>,</w:t>
      </w:r>
      <w:r w:rsidRPr="006E73CF">
        <w:rPr>
          <w:rFonts w:eastAsia="MS Mincho" w:cs="Calibri"/>
          <w:noProof/>
          <w:lang w:val="sq-AL"/>
        </w:rPr>
        <w:t xml:space="preserve"> siç a</w:t>
      </w:r>
      <w:r>
        <w:rPr>
          <w:rFonts w:eastAsia="MS Mincho" w:cs="Calibri"/>
          <w:noProof/>
          <w:lang w:val="sq-AL"/>
        </w:rPr>
        <w:t>n</w:t>
      </w:r>
      <w:r w:rsidRPr="006E73CF">
        <w:rPr>
          <w:rFonts w:eastAsia="MS Mincho" w:cs="Calibri"/>
          <w:noProof/>
          <w:lang w:val="sq-AL"/>
        </w:rPr>
        <w:t>alizuam m</w:t>
      </w:r>
      <w:r>
        <w:rPr>
          <w:rFonts w:eastAsia="MS Mincho" w:cs="Calibri"/>
          <w:noProof/>
          <w:lang w:val="sq-AL"/>
        </w:rPr>
        <w:t>ë</w:t>
      </w:r>
      <w:r w:rsidRPr="006E73CF">
        <w:rPr>
          <w:rFonts w:eastAsia="MS Mincho" w:cs="Calibri"/>
          <w:noProof/>
          <w:lang w:val="sq-AL"/>
        </w:rPr>
        <w:t xml:space="preserve"> sip</w:t>
      </w:r>
      <w:r>
        <w:rPr>
          <w:rFonts w:eastAsia="MS Mincho" w:cs="Calibri"/>
          <w:noProof/>
          <w:lang w:val="sq-AL"/>
        </w:rPr>
        <w:t>ë</w:t>
      </w:r>
      <w:r w:rsidRPr="006E73CF">
        <w:rPr>
          <w:rFonts w:eastAsia="MS Mincho" w:cs="Calibri"/>
          <w:noProof/>
          <w:lang w:val="sq-AL"/>
        </w:rPr>
        <w:t>r</w:t>
      </w:r>
      <w:r>
        <w:rPr>
          <w:rFonts w:eastAsia="MS Mincho" w:cs="Calibri"/>
          <w:noProof/>
          <w:lang w:val="sq-AL"/>
        </w:rPr>
        <w:t xml:space="preserve">. Megjithatë nga burimet e tjera të taksave lokale reflektohet një </w:t>
      </w:r>
      <w:r w:rsidRPr="008F5F7B">
        <w:rPr>
          <w:rFonts w:eastAsia="MS Mincho" w:cs="Calibri"/>
          <w:noProof/>
          <w:lang w:val="sq-AL"/>
        </w:rPr>
        <w:t>stabilitet</w:t>
      </w:r>
      <w:r>
        <w:rPr>
          <w:rFonts w:eastAsia="MS Mincho" w:cs="Calibri"/>
          <w:noProof/>
          <w:lang w:val="sq-AL"/>
        </w:rPr>
        <w:t xml:space="preserve"> i </w:t>
      </w:r>
      <w:r w:rsidRPr="008F5F7B">
        <w:rPr>
          <w:rFonts w:eastAsia="MS Mincho" w:cs="Calibri"/>
          <w:noProof/>
          <w:lang w:val="sq-AL"/>
        </w:rPr>
        <w:t xml:space="preserve">qëndrueshëm </w:t>
      </w:r>
      <w:r>
        <w:rPr>
          <w:rFonts w:eastAsia="MS Mincho" w:cs="Calibri"/>
          <w:noProof/>
          <w:lang w:val="sq-AL"/>
        </w:rPr>
        <w:t>i</w:t>
      </w:r>
      <w:r w:rsidRPr="008F5F7B">
        <w:rPr>
          <w:rFonts w:eastAsia="MS Mincho" w:cs="Calibri"/>
          <w:noProof/>
          <w:lang w:val="sq-AL"/>
        </w:rPr>
        <w:t xml:space="preserve"> situatës ekonomike</w:t>
      </w:r>
      <w:r>
        <w:rPr>
          <w:rFonts w:eastAsia="MS Mincho" w:cs="Calibri"/>
          <w:noProof/>
          <w:lang w:val="sq-AL"/>
        </w:rPr>
        <w:t>;</w:t>
      </w:r>
      <w:r w:rsidRPr="008F5F7B">
        <w:rPr>
          <w:rFonts w:eastAsia="MS Mincho" w:cs="Calibri"/>
          <w:noProof/>
          <w:lang w:val="sq-AL"/>
        </w:rPr>
        <w:t xml:space="preserve"> p</w:t>
      </w:r>
      <w:r>
        <w:rPr>
          <w:rFonts w:eastAsia="MS Mincho" w:cs="Calibri"/>
          <w:noProof/>
          <w:lang w:val="sq-AL"/>
        </w:rPr>
        <w:t>ë</w:t>
      </w:r>
      <w:r w:rsidRPr="008F5F7B">
        <w:rPr>
          <w:rFonts w:eastAsia="MS Mincho" w:cs="Calibri"/>
          <w:noProof/>
          <w:lang w:val="sq-AL"/>
        </w:rPr>
        <w:t xml:space="preserve">r shembull </w:t>
      </w:r>
      <w:r>
        <w:rPr>
          <w:rFonts w:eastAsia="MS Mincho" w:cs="Calibri"/>
          <w:noProof/>
          <w:lang w:val="sq-AL"/>
        </w:rPr>
        <w:t xml:space="preserve">ecuria pozitive </w:t>
      </w:r>
      <w:r w:rsidRPr="008F5F7B">
        <w:rPr>
          <w:rFonts w:eastAsia="MS Mincho" w:cs="Calibri"/>
          <w:noProof/>
          <w:lang w:val="sq-AL"/>
        </w:rPr>
        <w:t>n</w:t>
      </w:r>
      <w:r>
        <w:rPr>
          <w:rFonts w:eastAsia="MS Mincho" w:cs="Calibri"/>
          <w:noProof/>
          <w:lang w:val="sq-AL"/>
        </w:rPr>
        <w:t>ë</w:t>
      </w:r>
      <w:r w:rsidRPr="008F5F7B">
        <w:rPr>
          <w:rFonts w:eastAsia="MS Mincho" w:cs="Calibri"/>
          <w:noProof/>
          <w:lang w:val="sq-AL"/>
        </w:rPr>
        <w:t xml:space="preserve"> turiz</w:t>
      </w:r>
      <w:r>
        <w:rPr>
          <w:rFonts w:eastAsia="MS Mincho" w:cs="Calibri"/>
          <w:noProof/>
          <w:lang w:val="sq-AL"/>
        </w:rPr>
        <w:t>ë</w:t>
      </w:r>
      <w:r w:rsidRPr="008F5F7B">
        <w:rPr>
          <w:rFonts w:eastAsia="MS Mincho" w:cs="Calibri"/>
          <w:noProof/>
          <w:lang w:val="sq-AL"/>
        </w:rPr>
        <w:t>m</w:t>
      </w:r>
      <w:r>
        <w:rPr>
          <w:rFonts w:eastAsia="MS Mincho" w:cs="Calibri"/>
          <w:noProof/>
          <w:lang w:val="sq-AL"/>
        </w:rPr>
        <w:t xml:space="preserve"> gjatë vitit 2025</w:t>
      </w:r>
      <w:r w:rsidRPr="008F5F7B">
        <w:rPr>
          <w:rFonts w:eastAsia="MS Mincho" w:cs="Calibri"/>
          <w:noProof/>
          <w:lang w:val="sq-AL"/>
        </w:rPr>
        <w:t xml:space="preserve"> d</w:t>
      </w:r>
      <w:r>
        <w:rPr>
          <w:rFonts w:eastAsia="MS Mincho" w:cs="Calibri"/>
          <w:noProof/>
          <w:lang w:val="sq-AL"/>
        </w:rPr>
        <w:t>ë</w:t>
      </w:r>
      <w:r w:rsidRPr="008F5F7B">
        <w:rPr>
          <w:rFonts w:eastAsia="MS Mincho" w:cs="Calibri"/>
          <w:noProof/>
          <w:lang w:val="sq-AL"/>
        </w:rPr>
        <w:t xml:space="preserve">shmohet </w:t>
      </w:r>
      <w:r>
        <w:rPr>
          <w:rFonts w:eastAsia="MS Mincho" w:cs="Calibri"/>
          <w:noProof/>
          <w:lang w:val="sq-AL"/>
        </w:rPr>
        <w:t xml:space="preserve">edhe </w:t>
      </w:r>
      <w:r w:rsidRPr="008F5F7B">
        <w:rPr>
          <w:rFonts w:eastAsia="MS Mincho" w:cs="Calibri"/>
          <w:noProof/>
          <w:lang w:val="sq-AL"/>
        </w:rPr>
        <w:t xml:space="preserve">nga rritja e </w:t>
      </w:r>
      <w:r>
        <w:rPr>
          <w:rFonts w:eastAsia="MS Mincho" w:cs="Calibri"/>
          <w:noProof/>
          <w:lang w:val="sq-AL"/>
        </w:rPr>
        <w:t xml:space="preserve">të ardhurave të </w:t>
      </w:r>
      <w:r w:rsidRPr="008F5F7B">
        <w:rPr>
          <w:rFonts w:eastAsia="MS Mincho" w:cs="Calibri"/>
          <w:noProof/>
          <w:lang w:val="sq-AL"/>
        </w:rPr>
        <w:t>taks</w:t>
      </w:r>
      <w:r>
        <w:rPr>
          <w:rFonts w:eastAsia="MS Mincho" w:cs="Calibri"/>
          <w:noProof/>
          <w:lang w:val="sq-AL"/>
        </w:rPr>
        <w:t>ë</w:t>
      </w:r>
      <w:r w:rsidRPr="008F5F7B">
        <w:rPr>
          <w:rFonts w:eastAsia="MS Mincho" w:cs="Calibri"/>
          <w:noProof/>
          <w:lang w:val="sq-AL"/>
        </w:rPr>
        <w:t>s s</w:t>
      </w:r>
      <w:r>
        <w:rPr>
          <w:rFonts w:eastAsia="MS Mincho" w:cs="Calibri"/>
          <w:noProof/>
          <w:lang w:val="sq-AL"/>
        </w:rPr>
        <w:t>ë</w:t>
      </w:r>
      <w:r w:rsidRPr="008F5F7B">
        <w:rPr>
          <w:rFonts w:eastAsia="MS Mincho" w:cs="Calibri"/>
          <w:noProof/>
          <w:lang w:val="sq-AL"/>
        </w:rPr>
        <w:t xml:space="preserve"> fjetjes n</w:t>
      </w:r>
      <w:r>
        <w:rPr>
          <w:rFonts w:eastAsia="MS Mincho" w:cs="Calibri"/>
          <w:noProof/>
          <w:lang w:val="sq-AL"/>
        </w:rPr>
        <w:t>ë</w:t>
      </w:r>
      <w:r w:rsidRPr="008F5F7B">
        <w:rPr>
          <w:rFonts w:eastAsia="MS Mincho" w:cs="Calibri"/>
          <w:noProof/>
          <w:lang w:val="sq-AL"/>
        </w:rPr>
        <w:t xml:space="preserve"> hotel me </w:t>
      </w:r>
      <w:r>
        <w:rPr>
          <w:rFonts w:eastAsia="MS Mincho" w:cs="Calibri"/>
          <w:noProof/>
          <w:lang w:val="sq-AL"/>
        </w:rPr>
        <w:t>18</w:t>
      </w:r>
      <w:r w:rsidRPr="008F5F7B">
        <w:rPr>
          <w:rFonts w:eastAsia="MS Mincho" w:cs="Calibri"/>
          <w:noProof/>
          <w:lang w:val="sq-AL"/>
        </w:rPr>
        <w:t>% m</w:t>
      </w:r>
      <w:r>
        <w:rPr>
          <w:rFonts w:eastAsia="MS Mincho" w:cs="Calibri"/>
          <w:noProof/>
          <w:lang w:val="sq-AL"/>
        </w:rPr>
        <w:t>ë</w:t>
      </w:r>
      <w:r w:rsidRPr="008F5F7B">
        <w:rPr>
          <w:rFonts w:eastAsia="MS Mincho" w:cs="Calibri"/>
          <w:noProof/>
          <w:lang w:val="sq-AL"/>
        </w:rPr>
        <w:t xml:space="preserve"> shum</w:t>
      </w:r>
      <w:r>
        <w:rPr>
          <w:rFonts w:eastAsia="MS Mincho" w:cs="Calibri"/>
          <w:noProof/>
          <w:lang w:val="sq-AL"/>
        </w:rPr>
        <w:t>ë</w:t>
      </w:r>
      <w:r w:rsidRPr="008F5F7B">
        <w:rPr>
          <w:rFonts w:eastAsia="MS Mincho" w:cs="Calibri"/>
          <w:noProof/>
          <w:lang w:val="sq-AL"/>
        </w:rPr>
        <w:t xml:space="preserve"> nga viti i kaluar</w:t>
      </w:r>
      <w:r>
        <w:rPr>
          <w:rFonts w:eastAsia="MS Mincho" w:cs="Calibri"/>
          <w:noProof/>
          <w:lang w:val="sq-AL"/>
        </w:rPr>
        <w:t xml:space="preserve"> ose 111 </w:t>
      </w:r>
      <w:r w:rsidR="0056260B">
        <w:rPr>
          <w:rFonts w:eastAsia="MS Mincho" w:cs="Calibri"/>
          <w:noProof/>
          <w:lang w:val="sq-AL"/>
        </w:rPr>
        <w:t>milionë</w:t>
      </w:r>
      <w:r>
        <w:rPr>
          <w:rFonts w:eastAsia="MS Mincho" w:cs="Calibri"/>
          <w:noProof/>
          <w:lang w:val="sq-AL"/>
        </w:rPr>
        <w:t xml:space="preserve"> LEK më shumë</w:t>
      </w:r>
      <w:r w:rsidRPr="008F5F7B">
        <w:rPr>
          <w:rFonts w:eastAsia="MS Mincho" w:cs="Calibri"/>
          <w:noProof/>
          <w:lang w:val="sq-AL"/>
        </w:rPr>
        <w:t xml:space="preserve">. </w:t>
      </w:r>
    </w:p>
    <w:p w14:paraId="29FD3747" w14:textId="4D017F79" w:rsidR="00E1483F" w:rsidRDefault="00707AC5" w:rsidP="00E1483F">
      <w:pPr>
        <w:spacing w:line="240" w:lineRule="auto"/>
        <w:rPr>
          <w:rFonts w:eastAsia="MS Mincho" w:cs="Calibri"/>
          <w:noProof/>
          <w:lang w:val="sq-AL"/>
        </w:rPr>
      </w:pPr>
      <w:r w:rsidRPr="008F5F7B">
        <w:rPr>
          <w:rFonts w:eastAsia="MS Mincho" w:cs="Calibri"/>
          <w:noProof/>
          <w:lang w:val="sq-AL"/>
        </w:rPr>
        <w:t>Të tjera taksa/tarifa që zënë peshë të madhe në të ardhurat</w:t>
      </w:r>
      <w:r w:rsidRPr="008F5F7B">
        <w:rPr>
          <w:rFonts w:eastAsia="MS Mincho" w:cs="Calibri"/>
          <w:i/>
          <w:noProof/>
          <w:lang w:val="sq-AL"/>
        </w:rPr>
        <w:t xml:space="preserve"> </w:t>
      </w:r>
      <w:r w:rsidRPr="008F5F7B">
        <w:rPr>
          <w:rFonts w:eastAsia="MS Mincho" w:cs="Calibri"/>
          <w:iCs/>
          <w:noProof/>
          <w:lang w:val="sq-AL"/>
        </w:rPr>
        <w:t>tatimore vendore janë</w:t>
      </w:r>
      <w:r w:rsidRPr="008F5F7B">
        <w:rPr>
          <w:rFonts w:eastAsia="MS Mincho" w:cs="Calibri"/>
          <w:i/>
          <w:noProof/>
          <w:lang w:val="sq-AL"/>
        </w:rPr>
        <w:t xml:space="preserve"> “Tarifa p</w:t>
      </w:r>
      <w:r>
        <w:rPr>
          <w:rFonts w:eastAsia="MS Mincho" w:cs="Calibri"/>
          <w:i/>
          <w:noProof/>
          <w:lang w:val="sq-AL"/>
        </w:rPr>
        <w:t>ë</w:t>
      </w:r>
      <w:r w:rsidRPr="008F5F7B">
        <w:rPr>
          <w:rFonts w:eastAsia="MS Mincho" w:cs="Calibri"/>
          <w:i/>
          <w:noProof/>
          <w:lang w:val="sq-AL"/>
        </w:rPr>
        <w:t>r z</w:t>
      </w:r>
      <w:r>
        <w:rPr>
          <w:rFonts w:eastAsia="MS Mincho" w:cs="Calibri"/>
          <w:i/>
          <w:noProof/>
          <w:lang w:val="sq-AL"/>
        </w:rPr>
        <w:t>ë</w:t>
      </w:r>
      <w:r w:rsidRPr="008F5F7B">
        <w:rPr>
          <w:rFonts w:eastAsia="MS Mincho" w:cs="Calibri"/>
          <w:i/>
          <w:noProof/>
          <w:lang w:val="sq-AL"/>
        </w:rPr>
        <w:t>nien e hap</w:t>
      </w:r>
      <w:r>
        <w:rPr>
          <w:rFonts w:eastAsia="MS Mincho" w:cs="Calibri"/>
          <w:i/>
          <w:noProof/>
          <w:lang w:val="sq-AL"/>
        </w:rPr>
        <w:t>ë</w:t>
      </w:r>
      <w:r w:rsidRPr="008F5F7B">
        <w:rPr>
          <w:rFonts w:eastAsia="MS Mincho" w:cs="Calibri"/>
          <w:i/>
          <w:noProof/>
          <w:lang w:val="sq-AL"/>
        </w:rPr>
        <w:t>sirave”</w:t>
      </w:r>
      <w:r w:rsidRPr="008F5F7B">
        <w:rPr>
          <w:rFonts w:eastAsia="MS Mincho" w:cs="Calibri"/>
          <w:noProof/>
          <w:lang w:val="sq-AL"/>
        </w:rPr>
        <w:t xml:space="preserve"> </w:t>
      </w:r>
      <w:r>
        <w:rPr>
          <w:rFonts w:eastAsia="MS Mincho" w:cs="Calibri"/>
          <w:noProof/>
          <w:lang w:val="sq-AL"/>
        </w:rPr>
        <w:t xml:space="preserve"> me 123 </w:t>
      </w:r>
      <w:r w:rsidR="0056260B">
        <w:rPr>
          <w:rFonts w:eastAsia="MS Mincho" w:cs="Calibri"/>
          <w:noProof/>
          <w:lang w:val="sq-AL"/>
        </w:rPr>
        <w:t>milionë</w:t>
      </w:r>
      <w:r>
        <w:rPr>
          <w:rFonts w:eastAsia="MS Mincho" w:cs="Calibri"/>
          <w:noProof/>
          <w:lang w:val="sq-AL"/>
        </w:rPr>
        <w:t xml:space="preserve"> LEK rritje nga viti kaluar dhe </w:t>
      </w:r>
      <w:r w:rsidRPr="008F5F7B">
        <w:rPr>
          <w:rFonts w:eastAsia="MS Mincho" w:cs="Calibri"/>
          <w:noProof/>
          <w:lang w:val="sq-AL"/>
        </w:rPr>
        <w:t xml:space="preserve">përkatësisht me peshë 2.6% </w:t>
      </w:r>
      <w:r>
        <w:rPr>
          <w:rFonts w:eastAsia="MS Mincho" w:cs="Calibri"/>
          <w:noProof/>
          <w:lang w:val="sq-AL"/>
        </w:rPr>
        <w:t xml:space="preserve">kundrejt </w:t>
      </w:r>
      <w:r w:rsidRPr="008F5F7B">
        <w:rPr>
          <w:rFonts w:eastAsia="MS Mincho" w:cs="Calibri"/>
          <w:noProof/>
          <w:lang w:val="sq-AL"/>
        </w:rPr>
        <w:t xml:space="preserve">totalit të të ardhurave </w:t>
      </w:r>
      <w:r>
        <w:rPr>
          <w:rFonts w:eastAsia="MS Mincho" w:cs="Calibri"/>
          <w:noProof/>
          <w:lang w:val="sq-AL"/>
        </w:rPr>
        <w:t xml:space="preserve">tatimore vendore , si dhe </w:t>
      </w:r>
      <w:r w:rsidRPr="008F5F7B">
        <w:rPr>
          <w:rFonts w:eastAsia="MS Mincho" w:cs="Calibri"/>
          <w:noProof/>
          <w:lang w:val="sq-AL"/>
        </w:rPr>
        <w:t>“</w:t>
      </w:r>
      <w:r w:rsidRPr="008F5F7B">
        <w:rPr>
          <w:rFonts w:eastAsia="MS Mincho" w:cs="Calibri"/>
          <w:i/>
          <w:noProof/>
          <w:lang w:val="sq-AL"/>
        </w:rPr>
        <w:t>Tarifat e pastrimit dhe higjen</w:t>
      </w:r>
      <w:r>
        <w:rPr>
          <w:rFonts w:eastAsia="MS Mincho" w:cs="Calibri"/>
          <w:i/>
          <w:noProof/>
          <w:lang w:val="sq-AL"/>
        </w:rPr>
        <w:t>ë</w:t>
      </w:r>
      <w:r w:rsidRPr="008F5F7B">
        <w:rPr>
          <w:rFonts w:eastAsia="MS Mincho" w:cs="Calibri"/>
          <w:i/>
          <w:noProof/>
          <w:lang w:val="sq-AL"/>
        </w:rPr>
        <w:t>s”</w:t>
      </w:r>
      <w:r w:rsidRPr="008F5F7B">
        <w:rPr>
          <w:rFonts w:eastAsia="MS Mincho" w:cs="Calibri"/>
          <w:noProof/>
          <w:lang w:val="sq-AL"/>
        </w:rPr>
        <w:t xml:space="preserve">, </w:t>
      </w:r>
      <w:r>
        <w:rPr>
          <w:rFonts w:eastAsia="MS Mincho" w:cs="Calibri"/>
          <w:noProof/>
          <w:lang w:val="sq-AL"/>
        </w:rPr>
        <w:t xml:space="preserve">që zë rreth </w:t>
      </w:r>
      <w:r w:rsidRPr="008F5F7B">
        <w:rPr>
          <w:rFonts w:eastAsia="MS Mincho" w:cs="Calibri"/>
          <w:noProof/>
          <w:lang w:val="sq-AL"/>
        </w:rPr>
        <w:t>14.</w:t>
      </w:r>
      <w:r>
        <w:rPr>
          <w:rFonts w:eastAsia="MS Mincho" w:cs="Calibri"/>
          <w:noProof/>
          <w:lang w:val="sq-AL"/>
        </w:rPr>
        <w:t>5</w:t>
      </w:r>
      <w:r w:rsidRPr="008F5F7B">
        <w:rPr>
          <w:rFonts w:eastAsia="MS Mincho" w:cs="Calibri"/>
          <w:noProof/>
          <w:lang w:val="sq-AL"/>
        </w:rPr>
        <w:t xml:space="preserve">% të të ardhurave </w:t>
      </w:r>
      <w:r>
        <w:rPr>
          <w:rFonts w:eastAsia="MS Mincho" w:cs="Calibri"/>
          <w:noProof/>
          <w:lang w:val="sq-AL"/>
        </w:rPr>
        <w:t>tatimore vendore për vitin 2025</w:t>
      </w:r>
      <w:r w:rsidR="00E1483F" w:rsidRPr="008F5F7B">
        <w:rPr>
          <w:rFonts w:eastAsia="MS Mincho" w:cs="Calibri"/>
          <w:noProof/>
          <w:lang w:val="sq-AL"/>
        </w:rPr>
        <w:t>.</w:t>
      </w:r>
    </w:p>
    <w:p w14:paraId="5E5C1FB5" w14:textId="77777777" w:rsidR="00E1483F" w:rsidRDefault="00E1483F" w:rsidP="00E1483F">
      <w:pPr>
        <w:spacing w:line="240" w:lineRule="auto"/>
        <w:rPr>
          <w:rFonts w:eastAsia="MS Mincho" w:cs="Calibri"/>
          <w:noProof/>
          <w:lang w:val="sq-AL"/>
        </w:rPr>
      </w:pPr>
    </w:p>
    <w:p w14:paraId="618B18D0" w14:textId="52219C3C" w:rsidR="002C4FAF" w:rsidRPr="00B1170D" w:rsidRDefault="002C4FAF" w:rsidP="00B1170D">
      <w:pPr>
        <w:pStyle w:val="Heading2"/>
        <w:spacing w:before="0"/>
        <w:rPr>
          <w:color w:val="0F6FC6" w:themeColor="accent1"/>
        </w:rPr>
      </w:pPr>
      <w:bookmarkStart w:id="163" w:name="_Toc229390822"/>
      <w:proofErr w:type="spellStart"/>
      <w:r w:rsidRPr="00B1170D">
        <w:rPr>
          <w:color w:val="0F6FC6" w:themeColor="accent1"/>
        </w:rPr>
        <w:t>Shpenzimet</w:t>
      </w:r>
      <w:proofErr w:type="spellEnd"/>
      <w:r w:rsidRPr="00B1170D">
        <w:rPr>
          <w:color w:val="0F6FC6" w:themeColor="accent1"/>
        </w:rPr>
        <w:t xml:space="preserve"> e </w:t>
      </w:r>
      <w:proofErr w:type="spellStart"/>
      <w:r w:rsidR="0052551F" w:rsidRPr="00B1170D">
        <w:rPr>
          <w:color w:val="0F6FC6" w:themeColor="accent1"/>
        </w:rPr>
        <w:t>n</w:t>
      </w:r>
      <w:r w:rsidRPr="00B1170D">
        <w:rPr>
          <w:color w:val="0F6FC6" w:themeColor="accent1"/>
        </w:rPr>
        <w:t>jësive</w:t>
      </w:r>
      <w:proofErr w:type="spellEnd"/>
      <w:r w:rsidRPr="00B1170D">
        <w:rPr>
          <w:color w:val="0F6FC6" w:themeColor="accent1"/>
        </w:rPr>
        <w:t xml:space="preserve"> </w:t>
      </w:r>
      <w:proofErr w:type="spellStart"/>
      <w:r w:rsidRPr="00B1170D">
        <w:rPr>
          <w:color w:val="0F6FC6" w:themeColor="accent1"/>
        </w:rPr>
        <w:t>të</w:t>
      </w:r>
      <w:proofErr w:type="spellEnd"/>
      <w:r w:rsidRPr="00B1170D">
        <w:rPr>
          <w:color w:val="0F6FC6" w:themeColor="accent1"/>
        </w:rPr>
        <w:t xml:space="preserve"> </w:t>
      </w:r>
      <w:proofErr w:type="spellStart"/>
      <w:r w:rsidR="0052551F" w:rsidRPr="00B1170D">
        <w:rPr>
          <w:color w:val="0F6FC6" w:themeColor="accent1"/>
        </w:rPr>
        <w:t>v</w:t>
      </w:r>
      <w:r w:rsidRPr="00B1170D">
        <w:rPr>
          <w:color w:val="0F6FC6" w:themeColor="accent1"/>
        </w:rPr>
        <w:t>etëqeverisjes</w:t>
      </w:r>
      <w:proofErr w:type="spellEnd"/>
      <w:r w:rsidRPr="00B1170D">
        <w:rPr>
          <w:color w:val="0F6FC6" w:themeColor="accent1"/>
        </w:rPr>
        <w:t xml:space="preserve"> </w:t>
      </w:r>
      <w:proofErr w:type="spellStart"/>
      <w:r w:rsidR="0052551F" w:rsidRPr="00B1170D">
        <w:rPr>
          <w:color w:val="0F6FC6" w:themeColor="accent1"/>
        </w:rPr>
        <w:t>v</w:t>
      </w:r>
      <w:r w:rsidRPr="00B1170D">
        <w:rPr>
          <w:color w:val="0F6FC6" w:themeColor="accent1"/>
        </w:rPr>
        <w:t>endore</w:t>
      </w:r>
      <w:bookmarkEnd w:id="163"/>
      <w:proofErr w:type="spellEnd"/>
      <w:r w:rsidRPr="00B1170D">
        <w:rPr>
          <w:color w:val="0F6FC6" w:themeColor="accent1"/>
        </w:rPr>
        <w:t xml:space="preserve"> </w:t>
      </w:r>
    </w:p>
    <w:p w14:paraId="6975A6D8" w14:textId="2DB235FD" w:rsidR="00E1483F" w:rsidRDefault="00707AC5" w:rsidP="00F55F62">
      <w:pPr>
        <w:pStyle w:val="Caption"/>
        <w:spacing w:line="240" w:lineRule="auto"/>
        <w:rPr>
          <w:rFonts w:eastAsia="SimSun" w:cs="Calibri"/>
          <w:i w:val="0"/>
          <w:iCs w:val="0"/>
          <w:noProof/>
          <w:color w:val="auto"/>
          <w:sz w:val="22"/>
          <w:szCs w:val="24"/>
          <w:lang w:val="sq-AL"/>
        </w:rPr>
      </w:pPr>
      <w:r w:rsidRPr="00E1483F">
        <w:rPr>
          <w:rFonts w:eastAsia="SimSun" w:cs="Calibri"/>
          <w:i w:val="0"/>
          <w:iCs w:val="0"/>
          <w:noProof/>
          <w:color w:val="auto"/>
          <w:sz w:val="22"/>
          <w:szCs w:val="24"/>
          <w:lang w:val="sq-AL"/>
        </w:rPr>
        <w:t>Niveli i shpenzimeve për pushtetin vendor për vitin 202</w:t>
      </w:r>
      <w:r>
        <w:rPr>
          <w:rFonts w:eastAsia="SimSun" w:cs="Calibri"/>
          <w:i w:val="0"/>
          <w:iCs w:val="0"/>
          <w:noProof/>
          <w:color w:val="auto"/>
          <w:sz w:val="22"/>
          <w:szCs w:val="24"/>
          <w:lang w:val="sq-AL"/>
        </w:rPr>
        <w:t>5</w:t>
      </w:r>
      <w:r w:rsidRPr="00E1483F">
        <w:rPr>
          <w:rFonts w:eastAsia="SimSun" w:cs="Calibri"/>
          <w:i w:val="0"/>
          <w:iCs w:val="0"/>
          <w:noProof/>
          <w:color w:val="auto"/>
          <w:sz w:val="22"/>
          <w:szCs w:val="24"/>
          <w:lang w:val="sq-AL"/>
        </w:rPr>
        <w:t xml:space="preserve"> arriti në masën rreth </w:t>
      </w:r>
      <w:r>
        <w:rPr>
          <w:rFonts w:eastAsia="SimSun" w:cs="Calibri"/>
          <w:i w:val="0"/>
          <w:iCs w:val="0"/>
          <w:noProof/>
          <w:color w:val="auto"/>
          <w:sz w:val="22"/>
          <w:szCs w:val="24"/>
          <w:lang w:val="sq-AL"/>
        </w:rPr>
        <w:t>87.8</w:t>
      </w:r>
      <w:r w:rsidRPr="00E1483F">
        <w:rPr>
          <w:rFonts w:eastAsia="SimSun" w:cs="Calibri"/>
          <w:i w:val="0"/>
          <w:iCs w:val="0"/>
          <w:noProof/>
          <w:color w:val="auto"/>
          <w:sz w:val="22"/>
          <w:szCs w:val="24"/>
          <w:lang w:val="sq-AL"/>
        </w:rPr>
        <w:t xml:space="preserve"> </w:t>
      </w:r>
      <w:r w:rsidR="0056260B">
        <w:rPr>
          <w:rFonts w:eastAsia="SimSun" w:cs="Calibri"/>
          <w:i w:val="0"/>
          <w:iCs w:val="0"/>
          <w:noProof/>
          <w:color w:val="auto"/>
          <w:sz w:val="22"/>
          <w:szCs w:val="24"/>
          <w:lang w:val="sq-AL"/>
        </w:rPr>
        <w:t>miliardë</w:t>
      </w:r>
      <w:r w:rsidRPr="00E1483F">
        <w:rPr>
          <w:rFonts w:eastAsia="SimSun" w:cs="Calibri"/>
          <w:i w:val="0"/>
          <w:iCs w:val="0"/>
          <w:noProof/>
          <w:color w:val="auto"/>
          <w:sz w:val="22"/>
          <w:szCs w:val="24"/>
          <w:lang w:val="sq-AL"/>
        </w:rPr>
        <w:t xml:space="preserve"> LEK, nga </w:t>
      </w:r>
      <w:r>
        <w:rPr>
          <w:rFonts w:eastAsia="SimSun" w:cs="Calibri"/>
          <w:i w:val="0"/>
          <w:iCs w:val="0"/>
          <w:noProof/>
          <w:color w:val="auto"/>
          <w:sz w:val="22"/>
          <w:szCs w:val="24"/>
          <w:lang w:val="sq-AL"/>
        </w:rPr>
        <w:t>74.4</w:t>
      </w:r>
      <w:r w:rsidRPr="00E1483F">
        <w:rPr>
          <w:rFonts w:eastAsia="SimSun" w:cs="Calibri"/>
          <w:i w:val="0"/>
          <w:iCs w:val="0"/>
          <w:noProof/>
          <w:color w:val="auto"/>
          <w:sz w:val="22"/>
          <w:szCs w:val="24"/>
          <w:lang w:val="sq-AL"/>
        </w:rPr>
        <w:t xml:space="preserve"> </w:t>
      </w:r>
      <w:r w:rsidR="0056260B">
        <w:rPr>
          <w:rFonts w:eastAsia="SimSun" w:cs="Calibri"/>
          <w:i w:val="0"/>
          <w:iCs w:val="0"/>
          <w:noProof/>
          <w:color w:val="auto"/>
          <w:sz w:val="22"/>
          <w:szCs w:val="24"/>
          <w:lang w:val="sq-AL"/>
        </w:rPr>
        <w:t>miliardë</w:t>
      </w:r>
      <w:r w:rsidRPr="00E1483F">
        <w:rPr>
          <w:rFonts w:eastAsia="SimSun" w:cs="Calibri"/>
          <w:i w:val="0"/>
          <w:iCs w:val="0"/>
          <w:noProof/>
          <w:color w:val="auto"/>
          <w:sz w:val="22"/>
          <w:szCs w:val="24"/>
          <w:lang w:val="sq-AL"/>
        </w:rPr>
        <w:t xml:space="preserve"> LEK të shpenzuara një vit më parë. Kjo shifër përfaqëson një rritje prej rreth </w:t>
      </w:r>
      <w:r w:rsidRPr="00316341">
        <w:rPr>
          <w:rFonts w:eastAsia="SimSun" w:cs="Calibri"/>
          <w:i w:val="0"/>
          <w:iCs w:val="0"/>
          <w:noProof/>
          <w:color w:val="auto"/>
          <w:sz w:val="22"/>
          <w:szCs w:val="24"/>
          <w:lang w:val="sq-AL"/>
        </w:rPr>
        <w:t xml:space="preserve">13.4 </w:t>
      </w:r>
      <w:r w:rsidR="0056260B">
        <w:rPr>
          <w:rFonts w:eastAsia="SimSun" w:cs="Calibri"/>
          <w:i w:val="0"/>
          <w:iCs w:val="0"/>
          <w:noProof/>
          <w:color w:val="auto"/>
          <w:sz w:val="22"/>
          <w:szCs w:val="24"/>
          <w:lang w:val="sq-AL"/>
        </w:rPr>
        <w:t>miliardë</w:t>
      </w:r>
      <w:r w:rsidRPr="00316341">
        <w:rPr>
          <w:rFonts w:eastAsia="SimSun" w:cs="Calibri"/>
          <w:i w:val="0"/>
          <w:iCs w:val="0"/>
          <w:noProof/>
          <w:color w:val="auto"/>
          <w:sz w:val="22"/>
          <w:szCs w:val="24"/>
          <w:lang w:val="sq-AL"/>
        </w:rPr>
        <w:t xml:space="preserve"> LEK</w:t>
      </w:r>
      <w:r w:rsidRPr="00E1483F">
        <w:rPr>
          <w:rFonts w:eastAsia="SimSun" w:cs="Calibri"/>
          <w:i w:val="0"/>
          <w:iCs w:val="0"/>
          <w:noProof/>
          <w:color w:val="auto"/>
          <w:sz w:val="22"/>
          <w:szCs w:val="24"/>
          <w:lang w:val="sq-AL"/>
        </w:rPr>
        <w:t xml:space="preserve"> ose rreth </w:t>
      </w:r>
      <w:r>
        <w:rPr>
          <w:rFonts w:eastAsia="SimSun" w:cs="Calibri"/>
          <w:i w:val="0"/>
          <w:iCs w:val="0"/>
          <w:noProof/>
          <w:color w:val="auto"/>
          <w:sz w:val="22"/>
          <w:szCs w:val="24"/>
          <w:lang w:val="sq-AL"/>
        </w:rPr>
        <w:t>18</w:t>
      </w:r>
      <w:r w:rsidRPr="00E1483F">
        <w:rPr>
          <w:rFonts w:eastAsia="SimSun" w:cs="Calibri"/>
          <w:i w:val="0"/>
          <w:iCs w:val="0"/>
          <w:noProof/>
          <w:color w:val="auto"/>
          <w:sz w:val="22"/>
          <w:szCs w:val="24"/>
          <w:lang w:val="sq-AL"/>
        </w:rPr>
        <w:t>% në krahasim me shpenzimet vendore të vitit 202</w:t>
      </w:r>
      <w:r>
        <w:rPr>
          <w:rFonts w:eastAsia="SimSun" w:cs="Calibri"/>
          <w:i w:val="0"/>
          <w:iCs w:val="0"/>
          <w:noProof/>
          <w:color w:val="auto"/>
          <w:sz w:val="22"/>
          <w:szCs w:val="24"/>
          <w:lang w:val="sq-AL"/>
        </w:rPr>
        <w:t>4</w:t>
      </w:r>
      <w:r w:rsidRPr="00E1483F">
        <w:rPr>
          <w:rFonts w:eastAsia="SimSun" w:cs="Calibri"/>
          <w:i w:val="0"/>
          <w:iCs w:val="0"/>
          <w:noProof/>
          <w:color w:val="auto"/>
          <w:sz w:val="22"/>
          <w:szCs w:val="24"/>
          <w:lang w:val="sq-AL"/>
        </w:rPr>
        <w:t xml:space="preserve"> dhe një rritje të lehtë prej 0.</w:t>
      </w:r>
      <w:r>
        <w:rPr>
          <w:rFonts w:eastAsia="SimSun" w:cs="Calibri"/>
          <w:i w:val="0"/>
          <w:iCs w:val="0"/>
          <w:noProof/>
          <w:color w:val="auto"/>
          <w:sz w:val="22"/>
          <w:szCs w:val="24"/>
          <w:lang w:val="sq-AL"/>
        </w:rPr>
        <w:t>4</w:t>
      </w:r>
      <w:r w:rsidRPr="00E1483F">
        <w:rPr>
          <w:rFonts w:eastAsia="SimSun" w:cs="Calibri"/>
          <w:i w:val="0"/>
          <w:iCs w:val="0"/>
          <w:noProof/>
          <w:color w:val="auto"/>
          <w:sz w:val="22"/>
          <w:szCs w:val="24"/>
          <w:lang w:val="sq-AL"/>
        </w:rPr>
        <w:t>% në raport me PBB. Gjatë vitit 202</w:t>
      </w:r>
      <w:r>
        <w:rPr>
          <w:rFonts w:eastAsia="SimSun" w:cs="Calibri"/>
          <w:i w:val="0"/>
          <w:iCs w:val="0"/>
          <w:noProof/>
          <w:color w:val="auto"/>
          <w:sz w:val="22"/>
          <w:szCs w:val="24"/>
          <w:lang w:val="sq-AL"/>
        </w:rPr>
        <w:t>5</w:t>
      </w:r>
      <w:r w:rsidRPr="00E1483F">
        <w:rPr>
          <w:rFonts w:eastAsia="SimSun" w:cs="Calibri"/>
          <w:i w:val="0"/>
          <w:iCs w:val="0"/>
          <w:noProof/>
          <w:color w:val="auto"/>
          <w:sz w:val="22"/>
          <w:szCs w:val="24"/>
          <w:lang w:val="sq-AL"/>
        </w:rPr>
        <w:t xml:space="preserve">, proceset e menaxhimit financiar publik në nivel vendor vazhduan në trendin pozitiv, gjë që dëshmohet edhe nga rritja e mëtejshme me </w:t>
      </w:r>
      <w:r>
        <w:rPr>
          <w:rFonts w:eastAsia="SimSun" w:cs="Calibri"/>
          <w:i w:val="0"/>
          <w:iCs w:val="0"/>
          <w:noProof/>
          <w:color w:val="auto"/>
          <w:sz w:val="22"/>
          <w:szCs w:val="24"/>
          <w:lang w:val="sq-AL"/>
        </w:rPr>
        <w:t>18</w:t>
      </w:r>
      <w:r w:rsidRPr="00E1483F">
        <w:rPr>
          <w:rFonts w:eastAsia="SimSun" w:cs="Calibri"/>
          <w:i w:val="0"/>
          <w:iCs w:val="0"/>
          <w:noProof/>
          <w:color w:val="auto"/>
          <w:sz w:val="22"/>
          <w:szCs w:val="24"/>
          <w:lang w:val="sq-AL"/>
        </w:rPr>
        <w:t>% e shpenzimeve të buxhetit vendor në krahasim me vitin 202</w:t>
      </w:r>
      <w:r>
        <w:rPr>
          <w:rFonts w:eastAsia="SimSun" w:cs="Calibri"/>
          <w:i w:val="0"/>
          <w:iCs w:val="0"/>
          <w:noProof/>
          <w:color w:val="auto"/>
          <w:sz w:val="22"/>
          <w:szCs w:val="24"/>
          <w:lang w:val="sq-AL"/>
        </w:rPr>
        <w:t>4</w:t>
      </w:r>
      <w:r w:rsidRPr="00E1483F">
        <w:rPr>
          <w:rFonts w:eastAsia="SimSun" w:cs="Calibri"/>
          <w:i w:val="0"/>
          <w:iCs w:val="0"/>
          <w:noProof/>
          <w:color w:val="auto"/>
          <w:sz w:val="22"/>
          <w:szCs w:val="24"/>
          <w:lang w:val="sq-AL"/>
        </w:rPr>
        <w:t xml:space="preserve"> që në vetvete ishte një vit pozitiv. Në vitin 202</w:t>
      </w:r>
      <w:r>
        <w:rPr>
          <w:rFonts w:eastAsia="SimSun" w:cs="Calibri"/>
          <w:i w:val="0"/>
          <w:iCs w:val="0"/>
          <w:noProof/>
          <w:color w:val="auto"/>
          <w:sz w:val="22"/>
          <w:szCs w:val="24"/>
          <w:lang w:val="sq-AL"/>
        </w:rPr>
        <w:t>5</w:t>
      </w:r>
      <w:r w:rsidRPr="00E1483F">
        <w:rPr>
          <w:rFonts w:eastAsia="SimSun" w:cs="Calibri"/>
          <w:i w:val="0"/>
          <w:iCs w:val="0"/>
          <w:noProof/>
          <w:color w:val="auto"/>
          <w:sz w:val="22"/>
          <w:szCs w:val="24"/>
          <w:lang w:val="sq-AL"/>
        </w:rPr>
        <w:t>, shpenzimet e pushtetit vendor zënë rreth 3.</w:t>
      </w:r>
      <w:r>
        <w:rPr>
          <w:rFonts w:eastAsia="SimSun" w:cs="Calibri"/>
          <w:i w:val="0"/>
          <w:iCs w:val="0"/>
          <w:noProof/>
          <w:color w:val="auto"/>
          <w:sz w:val="22"/>
          <w:szCs w:val="24"/>
          <w:lang w:val="sq-AL"/>
        </w:rPr>
        <w:t>32</w:t>
      </w:r>
      <w:r w:rsidRPr="00E1483F">
        <w:rPr>
          <w:rFonts w:eastAsia="SimSun" w:cs="Calibri"/>
          <w:i w:val="0"/>
          <w:iCs w:val="0"/>
          <w:noProof/>
          <w:color w:val="auto"/>
          <w:sz w:val="22"/>
          <w:szCs w:val="24"/>
          <w:lang w:val="sq-AL"/>
        </w:rPr>
        <w:t>% të PBB nga 3% që ishin në vitin 202</w:t>
      </w:r>
      <w:r>
        <w:rPr>
          <w:rFonts w:eastAsia="SimSun" w:cs="Calibri"/>
          <w:i w:val="0"/>
          <w:iCs w:val="0"/>
          <w:noProof/>
          <w:color w:val="auto"/>
          <w:sz w:val="22"/>
          <w:szCs w:val="24"/>
          <w:lang w:val="sq-AL"/>
        </w:rPr>
        <w:t>4</w:t>
      </w:r>
      <w:r w:rsidRPr="00E1483F">
        <w:rPr>
          <w:rFonts w:eastAsia="SimSun" w:cs="Calibri"/>
          <w:i w:val="0"/>
          <w:iCs w:val="0"/>
          <w:noProof/>
          <w:color w:val="auto"/>
          <w:sz w:val="22"/>
          <w:szCs w:val="24"/>
          <w:lang w:val="sq-AL"/>
        </w:rPr>
        <w:t xml:space="preserve"> dhe mbajnë peshë </w:t>
      </w:r>
      <w:r>
        <w:rPr>
          <w:rFonts w:eastAsia="SimSun" w:cs="Calibri"/>
          <w:i w:val="0"/>
          <w:iCs w:val="0"/>
          <w:noProof/>
          <w:color w:val="auto"/>
          <w:sz w:val="22"/>
          <w:szCs w:val="24"/>
          <w:lang w:val="sq-AL"/>
        </w:rPr>
        <w:t>më të lartë prej pothuajse 11%</w:t>
      </w:r>
      <w:r w:rsidRPr="00E1483F">
        <w:rPr>
          <w:rFonts w:eastAsia="SimSun" w:cs="Calibri"/>
          <w:i w:val="0"/>
          <w:iCs w:val="0"/>
          <w:noProof/>
          <w:color w:val="auto"/>
          <w:sz w:val="22"/>
          <w:szCs w:val="24"/>
          <w:lang w:val="sq-AL"/>
        </w:rPr>
        <w:t xml:space="preserve"> në raport me shpenzimet e përgjithshme publike, kund</w:t>
      </w:r>
      <w:r>
        <w:rPr>
          <w:rFonts w:eastAsia="SimSun" w:cs="Calibri"/>
          <w:i w:val="0"/>
          <w:iCs w:val="0"/>
          <w:noProof/>
          <w:color w:val="auto"/>
          <w:sz w:val="22"/>
          <w:szCs w:val="24"/>
          <w:lang w:val="sq-AL"/>
        </w:rPr>
        <w:t>rejt 10.2%</w:t>
      </w:r>
      <w:r w:rsidRPr="00E1483F">
        <w:rPr>
          <w:rFonts w:eastAsia="SimSun" w:cs="Calibri"/>
          <w:i w:val="0"/>
          <w:iCs w:val="0"/>
          <w:noProof/>
          <w:color w:val="auto"/>
          <w:sz w:val="22"/>
          <w:szCs w:val="24"/>
          <w:lang w:val="sq-AL"/>
        </w:rPr>
        <w:t xml:space="preserve"> në vitin 202</w:t>
      </w:r>
      <w:r>
        <w:rPr>
          <w:rFonts w:eastAsia="SimSun" w:cs="Calibri"/>
          <w:i w:val="0"/>
          <w:iCs w:val="0"/>
          <w:noProof/>
          <w:color w:val="auto"/>
          <w:sz w:val="22"/>
          <w:szCs w:val="24"/>
          <w:lang w:val="sq-AL"/>
        </w:rPr>
        <w:t>4</w:t>
      </w:r>
      <w:r w:rsidRPr="00E1483F">
        <w:rPr>
          <w:rFonts w:eastAsia="SimSun" w:cs="Calibri"/>
          <w:i w:val="0"/>
          <w:iCs w:val="0"/>
          <w:noProof/>
          <w:color w:val="auto"/>
          <w:sz w:val="22"/>
          <w:szCs w:val="24"/>
          <w:lang w:val="sq-AL"/>
        </w:rPr>
        <w:t>. Në mënyrë grafike, këto rezultate paraqiten si më poshtë</w:t>
      </w:r>
      <w:r w:rsidR="00E1483F" w:rsidRPr="00E1483F">
        <w:rPr>
          <w:rFonts w:eastAsia="SimSun" w:cs="Calibri"/>
          <w:i w:val="0"/>
          <w:iCs w:val="0"/>
          <w:noProof/>
          <w:color w:val="auto"/>
          <w:sz w:val="22"/>
          <w:szCs w:val="24"/>
          <w:lang w:val="sq-AL"/>
        </w:rPr>
        <w:t>:</w:t>
      </w:r>
    </w:p>
    <w:p w14:paraId="369FB239" w14:textId="16C0BE64" w:rsidR="000C27BF" w:rsidRPr="00B644BE" w:rsidRDefault="00172213" w:rsidP="00172213">
      <w:pPr>
        <w:pStyle w:val="Caption"/>
        <w:rPr>
          <w:noProof/>
          <w:lang w:val="sq-AL"/>
        </w:rPr>
      </w:pPr>
      <w:bookmarkStart w:id="164" w:name="_Toc22913004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29</w:t>
      </w:r>
      <w:r w:rsidR="00F675D4" w:rsidRPr="00B644BE">
        <w:rPr>
          <w:noProof/>
          <w:lang w:val="sq-AL"/>
        </w:rPr>
        <w:fldChar w:fldCharType="end"/>
      </w:r>
      <w:r w:rsidRPr="00B644BE">
        <w:rPr>
          <w:noProof/>
          <w:lang w:val="sq-AL"/>
        </w:rPr>
        <w:t xml:space="preserve"> Shpenzimet e buxhetit vendor ndaj PBB, në vite</w:t>
      </w:r>
      <w:bookmarkEnd w:id="164"/>
    </w:p>
    <w:p w14:paraId="2784FE83" w14:textId="09B7F346" w:rsidR="000C27BF" w:rsidRPr="00B644BE" w:rsidRDefault="00707AC5" w:rsidP="00FC729E">
      <w:pPr>
        <w:spacing w:before="0"/>
        <w:jc w:val="center"/>
        <w:rPr>
          <w:rFonts w:eastAsia="MS Mincho" w:cs="Calibri"/>
          <w:noProof/>
          <w:color w:val="FF0000"/>
          <w:lang w:val="sq-AL"/>
        </w:rPr>
      </w:pPr>
      <w:r>
        <w:rPr>
          <w:noProof/>
          <w14:ligatures w14:val="standardContextual"/>
        </w:rPr>
        <w:drawing>
          <wp:inline distT="0" distB="0" distL="0" distR="0" wp14:anchorId="70FC8684" wp14:editId="2A0B2A9F">
            <wp:extent cx="5943600" cy="1697126"/>
            <wp:effectExtent l="0" t="0" r="0" b="17780"/>
            <wp:docPr id="1039840227" name="Chart 1">
              <a:extLst xmlns:a="http://schemas.openxmlformats.org/drawingml/2006/main">
                <a:ext uri="{FF2B5EF4-FFF2-40B4-BE49-F238E27FC236}">
                  <a16:creationId xmlns:a16="http://schemas.microsoft.com/office/drawing/2014/main" id="{D40B8678-618D-41BC-B095-6D6A03CD1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24BE35" w14:textId="5C3560A8" w:rsidR="00C244E2" w:rsidRPr="00B949A2" w:rsidRDefault="006C1DC6" w:rsidP="007C6413">
      <w:pPr>
        <w:spacing w:before="0" w:line="360" w:lineRule="auto"/>
        <w:ind w:firstLine="720"/>
        <w:rPr>
          <w:rFonts w:eastAsia="SimSun" w:cs="Calibri"/>
          <w:bCs/>
          <w:i/>
          <w:noProof/>
          <w:sz w:val="18"/>
          <w:szCs w:val="18"/>
          <w:lang w:val="sq-AL"/>
        </w:rPr>
      </w:pPr>
      <w:r w:rsidRPr="00B949A2">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B949A2">
        <w:rPr>
          <w:rFonts w:eastAsia="SimSun" w:cs="Calibri"/>
          <w:bCs/>
          <w:i/>
          <w:noProof/>
          <w:sz w:val="18"/>
          <w:szCs w:val="18"/>
          <w:lang w:val="sq-AL"/>
        </w:rPr>
        <w:t>)</w:t>
      </w:r>
    </w:p>
    <w:p w14:paraId="5607F9CF" w14:textId="097FAE36" w:rsidR="00E1483F" w:rsidRPr="00B644BE" w:rsidRDefault="00707AC5" w:rsidP="00E1483F">
      <w:pPr>
        <w:spacing w:before="0" w:line="240" w:lineRule="auto"/>
        <w:rPr>
          <w:rFonts w:eastAsia="SimSun" w:cs="Calibri"/>
          <w:noProof/>
          <w:sz w:val="18"/>
          <w:szCs w:val="18"/>
          <w:lang w:val="sq-AL"/>
        </w:rPr>
      </w:pPr>
      <w:r w:rsidRPr="00B644BE">
        <w:rPr>
          <w:rFonts w:eastAsia="SimSun" w:cs="Calibri"/>
          <w:noProof/>
          <w:lang w:val="sq-AL"/>
        </w:rPr>
        <w:t>Në raport me vitin 202</w:t>
      </w:r>
      <w:r>
        <w:rPr>
          <w:rFonts w:eastAsia="SimSun" w:cs="Calibri"/>
          <w:noProof/>
          <w:lang w:val="sq-AL"/>
        </w:rPr>
        <w:t>4</w:t>
      </w:r>
      <w:r w:rsidRPr="00B644BE">
        <w:rPr>
          <w:rFonts w:eastAsia="SimSun" w:cs="Calibri"/>
          <w:noProof/>
          <w:lang w:val="sq-AL"/>
        </w:rPr>
        <w:t>, pushteti vendor gjatë vitit 202</w:t>
      </w:r>
      <w:r>
        <w:rPr>
          <w:rFonts w:eastAsia="SimSun" w:cs="Calibri"/>
          <w:noProof/>
          <w:lang w:val="sq-AL"/>
        </w:rPr>
        <w:t>5</w:t>
      </w:r>
      <w:r w:rsidRPr="00B644BE">
        <w:rPr>
          <w:rFonts w:eastAsia="SimSun" w:cs="Calibri"/>
          <w:noProof/>
          <w:lang w:val="sq-AL"/>
        </w:rPr>
        <w:t xml:space="preserve"> ka një rritje </w:t>
      </w:r>
      <w:r>
        <w:rPr>
          <w:rFonts w:eastAsia="SimSun" w:cs="Calibri"/>
          <w:noProof/>
          <w:lang w:val="sq-AL"/>
        </w:rPr>
        <w:t xml:space="preserve">prej 13.4 </w:t>
      </w:r>
      <w:r w:rsidR="0056260B">
        <w:rPr>
          <w:rFonts w:eastAsia="SimSun" w:cs="Calibri"/>
          <w:noProof/>
          <w:lang w:val="sq-AL"/>
        </w:rPr>
        <w:t>miliardë</w:t>
      </w:r>
      <w:r>
        <w:rPr>
          <w:rFonts w:eastAsia="SimSun" w:cs="Calibri"/>
          <w:noProof/>
          <w:lang w:val="sq-AL"/>
        </w:rPr>
        <w:t xml:space="preserve"> LEK</w:t>
      </w:r>
      <w:r w:rsidRPr="00B644BE">
        <w:rPr>
          <w:rFonts w:eastAsia="SimSun" w:cs="Calibri"/>
          <w:noProof/>
          <w:lang w:val="sq-AL"/>
        </w:rPr>
        <w:t xml:space="preserve"> të shpenzimeve faktike, të cilat janë realizuar në vlerën </w:t>
      </w:r>
      <w:r>
        <w:rPr>
          <w:rFonts w:eastAsia="SimSun" w:cs="Calibri"/>
          <w:noProof/>
          <w:lang w:val="sq-AL"/>
        </w:rPr>
        <w:t>87.8</w:t>
      </w:r>
      <w:r w:rsidRPr="00B644BE">
        <w:rPr>
          <w:rFonts w:eastAsia="SimSun" w:cs="Calibri"/>
          <w:noProof/>
          <w:lang w:val="sq-AL"/>
        </w:rPr>
        <w:t xml:space="preserve"> </w:t>
      </w:r>
      <w:r w:rsidR="0056260B">
        <w:rPr>
          <w:rFonts w:eastAsia="SimSun" w:cs="Calibri"/>
          <w:noProof/>
          <w:lang w:val="sq-AL"/>
        </w:rPr>
        <w:t>miliardë</w:t>
      </w:r>
      <w:r w:rsidRPr="00B644BE">
        <w:rPr>
          <w:rFonts w:eastAsia="SimSun" w:cs="Calibri"/>
          <w:noProof/>
          <w:lang w:val="sq-AL"/>
        </w:rPr>
        <w:t xml:space="preserve"> LEK. Grafikisht ecuria e këtyre shpenzimeve në vite dhe raporti i ndryshimit të tyre kundrejt vitit paraardhës, paraqitet si më poshtë</w:t>
      </w:r>
      <w:r w:rsidR="00E1483F" w:rsidRPr="00B644BE">
        <w:rPr>
          <w:rFonts w:eastAsia="SimSun" w:cs="Calibri"/>
          <w:iCs/>
          <w:noProof/>
          <w:lang w:val="sq-AL"/>
        </w:rPr>
        <w:t>:</w:t>
      </w:r>
    </w:p>
    <w:p w14:paraId="5ABCD8F1" w14:textId="3BBB53BC" w:rsidR="000C27BF" w:rsidRPr="00B644BE" w:rsidRDefault="00172213" w:rsidP="00172213">
      <w:pPr>
        <w:pStyle w:val="Caption"/>
        <w:rPr>
          <w:rFonts w:cs="Calibri"/>
          <w:noProof/>
          <w:lang w:val="sq-AL"/>
        </w:rPr>
      </w:pPr>
      <w:bookmarkStart w:id="165" w:name="_Toc22913004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30</w:t>
      </w:r>
      <w:r w:rsidR="00F675D4" w:rsidRPr="00B644BE">
        <w:rPr>
          <w:noProof/>
          <w:lang w:val="sq-AL"/>
        </w:rPr>
        <w:fldChar w:fldCharType="end"/>
      </w:r>
      <w:r w:rsidRPr="00B644BE">
        <w:rPr>
          <w:noProof/>
          <w:lang w:val="sq-AL"/>
        </w:rPr>
        <w:t xml:space="preserve"> Shpenzimet e pushtetit vendor në vite dhe ritmi i rritjes së tyre (në </w:t>
      </w:r>
      <w:r w:rsidR="0056260B">
        <w:rPr>
          <w:noProof/>
          <w:lang w:val="sq-AL"/>
        </w:rPr>
        <w:t>miliardë</w:t>
      </w:r>
      <w:r w:rsidRPr="00B644BE">
        <w:rPr>
          <w:noProof/>
          <w:lang w:val="sq-AL"/>
        </w:rPr>
        <w:t xml:space="preserve"> LEK)</w:t>
      </w:r>
      <w:bookmarkEnd w:id="165"/>
    </w:p>
    <w:p w14:paraId="19DB7A09" w14:textId="06A9B405" w:rsidR="000C27BF" w:rsidRPr="00B644BE" w:rsidRDefault="00707AC5" w:rsidP="00FC729E">
      <w:pPr>
        <w:spacing w:before="0"/>
        <w:jc w:val="center"/>
        <w:rPr>
          <w:rFonts w:eastAsia="SimSun" w:cs="Calibri"/>
          <w:noProof/>
          <w:lang w:val="sq-AL"/>
        </w:rPr>
      </w:pPr>
      <w:r>
        <w:rPr>
          <w:noProof/>
          <w14:ligatures w14:val="standardContextual"/>
        </w:rPr>
        <w:drawing>
          <wp:inline distT="0" distB="0" distL="0" distR="0" wp14:anchorId="376BE8FA" wp14:editId="1E50336F">
            <wp:extent cx="5943600" cy="1536192"/>
            <wp:effectExtent l="0" t="0" r="0" b="6985"/>
            <wp:docPr id="868097299" name="Chart 1">
              <a:extLst xmlns:a="http://schemas.openxmlformats.org/drawingml/2006/main">
                <a:ext uri="{FF2B5EF4-FFF2-40B4-BE49-F238E27FC236}">
                  <a16:creationId xmlns:a16="http://schemas.microsoft.com/office/drawing/2014/main" id="{4EB5703B-7CEC-4A34-9B4F-35A5634CF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E55A1A" w14:textId="522E5803" w:rsidR="000C27BF" w:rsidRPr="00E1483F" w:rsidRDefault="006C1DC6" w:rsidP="00FF622F">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E1483F">
        <w:rPr>
          <w:rFonts w:eastAsia="SimSun" w:cs="Calibri"/>
          <w:bCs/>
          <w:i/>
          <w:noProof/>
          <w:sz w:val="18"/>
          <w:szCs w:val="18"/>
          <w:lang w:val="sq-AL"/>
        </w:rPr>
        <w:t>)</w:t>
      </w:r>
      <w:r w:rsidR="000C27BF" w:rsidRPr="00E1483F">
        <w:rPr>
          <w:rFonts w:eastAsia="SimSun" w:cs="Calibri"/>
          <w:bCs/>
          <w:i/>
          <w:noProof/>
          <w:sz w:val="18"/>
          <w:szCs w:val="18"/>
          <w:lang w:val="sq-AL"/>
        </w:rPr>
        <w:t xml:space="preserve"> </w:t>
      </w:r>
    </w:p>
    <w:p w14:paraId="64B147FB" w14:textId="7E49EB5E" w:rsidR="00E1483F" w:rsidRPr="00B644BE" w:rsidRDefault="00707AC5" w:rsidP="00E1483F">
      <w:pPr>
        <w:spacing w:line="240" w:lineRule="auto"/>
        <w:ind w:right="-43"/>
        <w:rPr>
          <w:rFonts w:eastAsia="MS Mincho" w:cs="Calibri"/>
          <w:noProof/>
          <w:lang w:val="sq-AL"/>
        </w:rPr>
      </w:pPr>
      <w:bookmarkStart w:id="166" w:name="_Toc515446557"/>
      <w:r w:rsidRPr="00930D07">
        <w:rPr>
          <w:rFonts w:eastAsia="MS Mincho" w:cs="Calibri"/>
          <w:noProof/>
          <w:lang w:val="sq-AL"/>
        </w:rPr>
        <w:lastRenderedPageBreak/>
        <w:t xml:space="preserve">Shpenzimet vendore gjatë vitit 2025, të detajuara sipas klasifikimit ekonomik, japin një panoramë të tillë: </w:t>
      </w:r>
      <w:r>
        <w:rPr>
          <w:rFonts w:eastAsia="MS Mincho" w:cs="Calibri"/>
          <w:noProof/>
          <w:lang w:val="sq-AL"/>
        </w:rPr>
        <w:t>P</w:t>
      </w:r>
      <w:r w:rsidRPr="00930D07">
        <w:rPr>
          <w:rFonts w:eastAsia="MS Mincho" w:cs="Calibri"/>
          <w:noProof/>
          <w:lang w:val="sq-AL"/>
        </w:rPr>
        <w:t>eshën më të madhe të shpenzimeve vendore e</w:t>
      </w:r>
      <w:r w:rsidRPr="00E76B18">
        <w:rPr>
          <w:rFonts w:eastAsia="MS Mincho" w:cs="Calibri"/>
          <w:noProof/>
          <w:lang w:val="sq-AL"/>
        </w:rPr>
        <w:t xml:space="preserve"> zënë shpenzimet e personelit me 45.</w:t>
      </w:r>
      <w:r>
        <w:rPr>
          <w:rFonts w:eastAsia="MS Mincho" w:cs="Calibri"/>
          <w:noProof/>
          <w:lang w:val="sq-AL"/>
        </w:rPr>
        <w:t>6</w:t>
      </w:r>
      <w:r w:rsidRPr="00E76B18">
        <w:rPr>
          <w:rFonts w:eastAsia="MS Mincho" w:cs="Calibri"/>
          <w:noProof/>
          <w:lang w:val="sq-AL"/>
        </w:rPr>
        <w:t>% të totalit. Në raport me një vit më parë konstatohet që të gjitha shpenzimet klasifikuar sipas natyrës ekonomike kanë pësuar rritje</w:t>
      </w:r>
      <w:r>
        <w:rPr>
          <w:rFonts w:eastAsia="MS Mincho" w:cs="Calibri"/>
          <w:noProof/>
          <w:lang w:val="sq-AL"/>
        </w:rPr>
        <w:t xml:space="preserve"> në termsa nominalë</w:t>
      </w:r>
      <w:r w:rsidRPr="00E76B18">
        <w:rPr>
          <w:rFonts w:eastAsia="MS Mincho" w:cs="Calibri"/>
          <w:noProof/>
          <w:lang w:val="sq-AL"/>
        </w:rPr>
        <w:t xml:space="preserve">, </w:t>
      </w:r>
      <w:r>
        <w:rPr>
          <w:rFonts w:eastAsia="MS Mincho" w:cs="Calibri"/>
          <w:noProof/>
          <w:lang w:val="sq-AL"/>
        </w:rPr>
        <w:t>kurse shpenzimet kapitale kanë rritje si në vlerë edhe në peshën që zënë në totalin e shpënzimeve të buxhetit vendor</w:t>
      </w:r>
      <w:r w:rsidRPr="00B644BE">
        <w:rPr>
          <w:rFonts w:eastAsia="MS Mincho" w:cs="Calibri"/>
          <w:noProof/>
          <w:lang w:val="sq-AL"/>
        </w:rPr>
        <w:t xml:space="preserve">. </w:t>
      </w:r>
      <w:r>
        <w:rPr>
          <w:rFonts w:eastAsia="MS Mincho" w:cs="Calibri"/>
          <w:noProof/>
          <w:lang w:val="sq-AL"/>
        </w:rPr>
        <w:t>S</w:t>
      </w:r>
      <w:r w:rsidRPr="00B644BE">
        <w:rPr>
          <w:rFonts w:eastAsia="MS Mincho" w:cs="Calibri"/>
          <w:noProof/>
          <w:lang w:val="sq-AL"/>
        </w:rPr>
        <w:t xml:space="preserve">hpenzimet e personelit kanë rritje përkatësisht me </w:t>
      </w:r>
      <w:r>
        <w:rPr>
          <w:rFonts w:eastAsia="MS Mincho" w:cs="Calibri"/>
          <w:noProof/>
          <w:lang w:val="sq-AL"/>
        </w:rPr>
        <w:t>6 063</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w:t>
      </w:r>
      <w:r>
        <w:rPr>
          <w:rFonts w:eastAsia="MS Mincho" w:cs="Calibri"/>
          <w:noProof/>
          <w:lang w:val="sq-AL"/>
        </w:rPr>
        <w:t xml:space="preserve">ose 18% </w:t>
      </w:r>
      <w:r w:rsidRPr="00B644BE">
        <w:rPr>
          <w:rFonts w:eastAsia="MS Mincho" w:cs="Calibri"/>
          <w:noProof/>
          <w:lang w:val="sq-AL"/>
        </w:rPr>
        <w:t>krahasuar me shpenzimet e personelit 202</w:t>
      </w:r>
      <w:r>
        <w:rPr>
          <w:rFonts w:eastAsia="MS Mincho" w:cs="Calibri"/>
          <w:noProof/>
          <w:lang w:val="sq-AL"/>
        </w:rPr>
        <w:t>4, që vjen edhe nga rritja e nivelit të pagave. Shpenzimet</w:t>
      </w:r>
      <w:r w:rsidRPr="00B644BE">
        <w:rPr>
          <w:rFonts w:eastAsia="MS Mincho" w:cs="Calibri"/>
          <w:noProof/>
          <w:lang w:val="sq-AL"/>
        </w:rPr>
        <w:t xml:space="preserve"> operative kanë rritje përkatësisht me </w:t>
      </w:r>
      <w:r>
        <w:rPr>
          <w:rFonts w:eastAsia="MS Mincho" w:cs="Calibri"/>
          <w:noProof/>
          <w:lang w:val="sq-AL"/>
        </w:rPr>
        <w:t>375</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w:t>
      </w:r>
      <w:r>
        <w:rPr>
          <w:rFonts w:eastAsia="MS Mincho" w:cs="Calibri"/>
          <w:noProof/>
          <w:lang w:val="sq-AL"/>
        </w:rPr>
        <w:t xml:space="preserve"> ose 2%, shpenzimet për subvencione janë rritur 1 099 </w:t>
      </w:r>
      <w:r w:rsidR="0056260B">
        <w:rPr>
          <w:rFonts w:eastAsia="MS Mincho" w:cs="Calibri"/>
          <w:noProof/>
          <w:lang w:val="sq-AL"/>
        </w:rPr>
        <w:t>milionë</w:t>
      </w:r>
      <w:r>
        <w:rPr>
          <w:rFonts w:eastAsia="MS Mincho" w:cs="Calibri"/>
          <w:noProof/>
          <w:lang w:val="sq-AL"/>
        </w:rPr>
        <w:t xml:space="preserve"> </w:t>
      </w:r>
      <w:r w:rsidR="0056260B">
        <w:rPr>
          <w:rFonts w:eastAsia="MS Mincho" w:cs="Calibri"/>
          <w:noProof/>
          <w:lang w:val="sq-AL"/>
        </w:rPr>
        <w:t>LEK</w:t>
      </w:r>
      <w:r>
        <w:rPr>
          <w:rFonts w:eastAsia="MS Mincho" w:cs="Calibri"/>
          <w:noProof/>
          <w:lang w:val="sq-AL"/>
        </w:rPr>
        <w:t xml:space="preserve"> osë pothuajse trefishuar në raport me vitin 2024, kurse shpenzimet e tjera korente janë rritur me rreth 1 469 </w:t>
      </w:r>
      <w:r w:rsidR="0056260B">
        <w:rPr>
          <w:rFonts w:eastAsia="MS Mincho" w:cs="Calibri"/>
          <w:noProof/>
          <w:lang w:val="sq-AL"/>
        </w:rPr>
        <w:t>milionë</w:t>
      </w:r>
      <w:r>
        <w:rPr>
          <w:rFonts w:eastAsia="MS Mincho" w:cs="Calibri"/>
          <w:noProof/>
          <w:lang w:val="sq-AL"/>
        </w:rPr>
        <w:t xml:space="preserve"> LEK ose 43%. </w:t>
      </w:r>
      <w:r w:rsidRPr="00B644BE">
        <w:rPr>
          <w:rFonts w:eastAsia="MS Mincho" w:cs="Calibri"/>
          <w:noProof/>
          <w:lang w:val="sq-AL"/>
        </w:rPr>
        <w:t>Shpenzimet për investime</w:t>
      </w:r>
      <w:r>
        <w:rPr>
          <w:rFonts w:eastAsia="MS Mincho" w:cs="Calibri"/>
          <w:noProof/>
          <w:lang w:val="sq-AL"/>
        </w:rPr>
        <w:t xml:space="preserve"> në buxhetin faktik vendor të vitit 2025 zënë rreth 21.5% dhe janë realizuar me 18.9 </w:t>
      </w:r>
      <w:r w:rsidR="0056260B">
        <w:rPr>
          <w:rFonts w:eastAsia="MS Mincho" w:cs="Calibri"/>
          <w:noProof/>
          <w:lang w:val="sq-AL"/>
        </w:rPr>
        <w:t>miliardë</w:t>
      </w:r>
      <w:r>
        <w:rPr>
          <w:rFonts w:eastAsia="MS Mincho" w:cs="Calibri"/>
          <w:noProof/>
          <w:lang w:val="sq-AL"/>
        </w:rPr>
        <w:t xml:space="preserve"> LEK, ose rreth 4.3 </w:t>
      </w:r>
      <w:r w:rsidR="0056260B">
        <w:rPr>
          <w:rFonts w:eastAsia="MS Mincho" w:cs="Calibri"/>
          <w:noProof/>
          <w:lang w:val="sq-AL"/>
        </w:rPr>
        <w:t>miliardë</w:t>
      </w:r>
      <w:r>
        <w:rPr>
          <w:rFonts w:eastAsia="MS Mincho" w:cs="Calibri"/>
          <w:noProof/>
          <w:lang w:val="sq-AL"/>
        </w:rPr>
        <w:t xml:space="preserve"> LEK më shumë se viti 2024.</w:t>
      </w:r>
      <w:r w:rsidRPr="00B644BE">
        <w:rPr>
          <w:rFonts w:eastAsia="MS Mincho" w:cs="Calibri"/>
          <w:noProof/>
          <w:lang w:val="sq-AL"/>
        </w:rPr>
        <w:t xml:space="preserve"> </w:t>
      </w:r>
      <w:r>
        <w:rPr>
          <w:rFonts w:eastAsia="MS Mincho" w:cs="Calibri"/>
          <w:noProof/>
          <w:lang w:val="sq-AL"/>
        </w:rPr>
        <w:t>N</w:t>
      </w:r>
      <w:r w:rsidRPr="00B644BE">
        <w:rPr>
          <w:rFonts w:eastAsia="MS Mincho" w:cs="Calibri"/>
          <w:noProof/>
          <w:lang w:val="sq-AL"/>
        </w:rPr>
        <w:t>ë nivel llogarie ekonomike, struktura e shpenzimeve 202</w:t>
      </w:r>
      <w:r>
        <w:rPr>
          <w:rFonts w:eastAsia="MS Mincho" w:cs="Calibri"/>
          <w:noProof/>
          <w:lang w:val="sq-AL"/>
        </w:rPr>
        <w:t>5</w:t>
      </w:r>
      <w:r w:rsidRPr="00B644BE">
        <w:rPr>
          <w:rFonts w:eastAsia="MS Mincho" w:cs="Calibri"/>
          <w:noProof/>
          <w:lang w:val="sq-AL"/>
        </w:rPr>
        <w:t xml:space="preserve"> krahasuar me 202</w:t>
      </w:r>
      <w:r>
        <w:rPr>
          <w:rFonts w:eastAsia="MS Mincho" w:cs="Calibri"/>
          <w:noProof/>
          <w:lang w:val="sq-AL"/>
        </w:rPr>
        <w:t>4</w:t>
      </w:r>
      <w:r w:rsidRPr="00B644BE">
        <w:rPr>
          <w:rFonts w:eastAsia="MS Mincho" w:cs="Calibri"/>
          <w:noProof/>
          <w:lang w:val="sq-AL"/>
        </w:rPr>
        <w:t xml:space="preserve">, </w:t>
      </w:r>
      <w:r>
        <w:rPr>
          <w:rFonts w:eastAsia="MS Mincho" w:cs="Calibri"/>
          <w:noProof/>
          <w:lang w:val="sq-AL"/>
        </w:rPr>
        <w:t>jepet</w:t>
      </w:r>
      <w:r w:rsidRPr="00B644BE">
        <w:rPr>
          <w:rFonts w:eastAsia="MS Mincho" w:cs="Calibri"/>
          <w:noProof/>
          <w:lang w:val="sq-AL"/>
        </w:rPr>
        <w:t xml:space="preserve"> </w:t>
      </w:r>
      <w:r>
        <w:rPr>
          <w:rFonts w:eastAsia="MS Mincho" w:cs="Calibri"/>
          <w:noProof/>
          <w:lang w:val="sq-AL"/>
        </w:rPr>
        <w:t xml:space="preserve">në grafikun si </w:t>
      </w:r>
      <w:r w:rsidRPr="00B644BE">
        <w:rPr>
          <w:rFonts w:eastAsia="MS Mincho" w:cs="Calibri"/>
          <w:noProof/>
          <w:lang w:val="sq-AL"/>
        </w:rPr>
        <w:t>mëposhtë</w:t>
      </w:r>
      <w:r w:rsidR="00E1483F" w:rsidRPr="00B644BE">
        <w:rPr>
          <w:rFonts w:eastAsia="MS Mincho" w:cs="Calibri"/>
          <w:noProof/>
          <w:lang w:val="sq-AL"/>
        </w:rPr>
        <w:t xml:space="preserve">: </w:t>
      </w:r>
    </w:p>
    <w:p w14:paraId="02524E9F" w14:textId="7D67D06A" w:rsidR="000C27BF" w:rsidRPr="00B644BE" w:rsidRDefault="00172213" w:rsidP="00172213">
      <w:pPr>
        <w:pStyle w:val="Caption"/>
        <w:rPr>
          <w:rFonts w:eastAsia="MS Mincho" w:cs="Calibri"/>
          <w:iCs w:val="0"/>
          <w:noProof/>
          <w:color w:val="1F497D"/>
          <w:lang w:val="sq-AL"/>
        </w:rPr>
      </w:pPr>
      <w:bookmarkStart w:id="167" w:name="_Toc22913004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CB4DE6">
        <w:rPr>
          <w:noProof/>
          <w:lang w:val="sq-AL"/>
        </w:rPr>
        <w:t>31</w:t>
      </w:r>
      <w:r w:rsidR="00F675D4" w:rsidRPr="00B644BE">
        <w:rPr>
          <w:noProof/>
          <w:lang w:val="sq-AL"/>
        </w:rPr>
        <w:fldChar w:fldCharType="end"/>
      </w:r>
      <w:r w:rsidRPr="00B644BE">
        <w:rPr>
          <w:noProof/>
          <w:lang w:val="sq-AL"/>
        </w:rPr>
        <w:t xml:space="preserve"> Shpenzimet e pushtetit vendor sipas klasifikimit ekonomik (në </w:t>
      </w:r>
      <w:r w:rsidR="0056260B">
        <w:rPr>
          <w:noProof/>
          <w:lang w:val="sq-AL"/>
        </w:rPr>
        <w:t>milionë</w:t>
      </w:r>
      <w:r w:rsidRPr="00B644BE">
        <w:rPr>
          <w:noProof/>
          <w:lang w:val="sq-AL"/>
        </w:rPr>
        <w:t xml:space="preserve"> LEK)</w:t>
      </w:r>
      <w:bookmarkEnd w:id="167"/>
    </w:p>
    <w:p w14:paraId="2A9EE0C3" w14:textId="01D8D654" w:rsidR="000C27BF" w:rsidRPr="00B644BE" w:rsidRDefault="00707AC5" w:rsidP="00FC1B2F">
      <w:pPr>
        <w:spacing w:before="0"/>
        <w:jc w:val="center"/>
        <w:rPr>
          <w:rFonts w:eastAsia="MS Mincho" w:cs="Calibri"/>
          <w:noProof/>
          <w:lang w:val="sq-AL"/>
        </w:rPr>
      </w:pPr>
      <w:r>
        <w:rPr>
          <w:noProof/>
          <w14:ligatures w14:val="standardContextual"/>
        </w:rPr>
        <w:drawing>
          <wp:inline distT="0" distB="0" distL="0" distR="0" wp14:anchorId="76A30E6F" wp14:editId="74D764A4">
            <wp:extent cx="5943600" cy="1367943"/>
            <wp:effectExtent l="0" t="0" r="0" b="3810"/>
            <wp:docPr id="622486858" name="Chart 1">
              <a:extLst xmlns:a="http://schemas.openxmlformats.org/drawingml/2006/main">
                <a:ext uri="{FF2B5EF4-FFF2-40B4-BE49-F238E27FC236}">
                  <a16:creationId xmlns:a16="http://schemas.microsoft.com/office/drawing/2014/main" id="{491BF0BE-DA18-47F1-889F-0BA377136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2158C2" w14:textId="3534FDB6" w:rsidR="000C27BF" w:rsidRPr="00E1483F" w:rsidRDefault="006C1DC6" w:rsidP="007479D8">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E1483F">
        <w:rPr>
          <w:rFonts w:eastAsia="SimSun" w:cs="Calibri"/>
          <w:bCs/>
          <w:i/>
          <w:noProof/>
          <w:sz w:val="18"/>
          <w:szCs w:val="18"/>
          <w:lang w:val="sq-AL"/>
        </w:rPr>
        <w:t>)</w:t>
      </w:r>
    </w:p>
    <w:bookmarkEnd w:id="166"/>
    <w:p w14:paraId="296A1E47" w14:textId="31579D4F" w:rsidR="008D6216" w:rsidRDefault="00707AC5" w:rsidP="008D6216">
      <w:pPr>
        <w:spacing w:line="240" w:lineRule="auto"/>
        <w:ind w:right="-43"/>
        <w:rPr>
          <w:rFonts w:eastAsia="SimSun" w:cs="Calibri"/>
          <w:noProof/>
          <w:szCs w:val="18"/>
          <w:lang w:val="sq-AL"/>
        </w:rPr>
      </w:pPr>
      <w:r w:rsidRPr="00B644BE">
        <w:rPr>
          <w:rFonts w:eastAsia="SimSun" w:cs="Calibri"/>
          <w:noProof/>
          <w:szCs w:val="18"/>
          <w:lang w:val="sq-AL"/>
        </w:rPr>
        <w:t>Në vitet e fundit, p</w:t>
      </w:r>
      <w:r w:rsidRPr="00B644BE">
        <w:rPr>
          <w:rFonts w:eastAsia="MS Mincho" w:cs="Calibri"/>
          <w:noProof/>
          <w:lang w:val="sq-AL"/>
        </w:rPr>
        <w:t>avarësisht situatave të ndryshme, shpenzimet e pushtetit vendor sipas strukturës nuk kanë pësuar ndryshime të mëdha, por vihet re një tendencë pozitive e qendrueshmërisë së shpenzimeve për investime dhe zgjerimi i shpenzimeve të mirëmbajtjes së aseteve që njësitë vendore zotërojnë, përmes shpenzimeve operative</w:t>
      </w:r>
      <w:r>
        <w:rPr>
          <w:rFonts w:eastAsia="MS Mincho" w:cs="Calibri"/>
          <w:noProof/>
          <w:lang w:val="sq-AL"/>
        </w:rPr>
        <w:t xml:space="preserve"> si dhe një rritje e shpenzimeve për subvencione</w:t>
      </w:r>
      <w:r w:rsidRPr="00B644BE">
        <w:rPr>
          <w:rFonts w:eastAsia="MS Mincho" w:cs="Calibri"/>
          <w:noProof/>
          <w:lang w:val="sq-AL"/>
        </w:rPr>
        <w:t xml:space="preserve">. </w:t>
      </w:r>
      <w:r w:rsidRPr="00B644BE">
        <w:rPr>
          <w:rFonts w:eastAsia="SimSun" w:cs="Calibri"/>
          <w:noProof/>
          <w:szCs w:val="18"/>
          <w:lang w:val="sq-AL"/>
        </w:rPr>
        <w:t xml:space="preserve">Më poshtë është paraqitur në mënyrë të përmbledhur tabela analitike e ndryshimeve të të ardhurave dhe shpenzimeve në financat publike vendore gjatë </w:t>
      </w:r>
      <w:r>
        <w:rPr>
          <w:rFonts w:eastAsia="SimSun" w:cs="Calibri"/>
          <w:noProof/>
          <w:szCs w:val="18"/>
          <w:lang w:val="sq-AL"/>
        </w:rPr>
        <w:t xml:space="preserve">vitit </w:t>
      </w:r>
      <w:r w:rsidRPr="00B644BE">
        <w:rPr>
          <w:rFonts w:eastAsia="SimSun" w:cs="Calibri"/>
          <w:noProof/>
          <w:szCs w:val="18"/>
          <w:lang w:val="sq-AL"/>
        </w:rPr>
        <w:t>202</w:t>
      </w:r>
      <w:r>
        <w:rPr>
          <w:rFonts w:eastAsia="SimSun" w:cs="Calibri"/>
          <w:noProof/>
          <w:szCs w:val="18"/>
          <w:lang w:val="sq-AL"/>
        </w:rPr>
        <w:t>5</w:t>
      </w:r>
      <w:r w:rsidRPr="00B644BE">
        <w:rPr>
          <w:rFonts w:eastAsia="SimSun" w:cs="Calibri"/>
          <w:noProof/>
          <w:szCs w:val="18"/>
          <w:lang w:val="sq-AL"/>
        </w:rPr>
        <w:t xml:space="preserve"> krahasuar me 202</w:t>
      </w:r>
      <w:r>
        <w:rPr>
          <w:rFonts w:eastAsia="SimSun" w:cs="Calibri"/>
          <w:noProof/>
          <w:szCs w:val="18"/>
          <w:lang w:val="sq-AL"/>
        </w:rPr>
        <w:t>4</w:t>
      </w:r>
      <w:r w:rsidRPr="00B644BE">
        <w:rPr>
          <w:rFonts w:eastAsia="SimSun" w:cs="Calibri"/>
          <w:noProof/>
          <w:szCs w:val="18"/>
          <w:lang w:val="sq-AL"/>
        </w:rPr>
        <w:t xml:space="preserve"> dhe diferencat mes tyre në vlerë dhe në përqindje</w:t>
      </w:r>
      <w:r w:rsidR="00E1483F" w:rsidRPr="00B644BE">
        <w:rPr>
          <w:rFonts w:eastAsia="SimSun" w:cs="Calibri"/>
          <w:noProof/>
          <w:szCs w:val="18"/>
          <w:lang w:val="sq-AL"/>
        </w:rPr>
        <w:t>.</w:t>
      </w:r>
    </w:p>
    <w:p w14:paraId="1BDB679F" w14:textId="72B28C3F" w:rsidR="000C27BF" w:rsidRPr="00B644BE" w:rsidRDefault="00172213" w:rsidP="00172213">
      <w:pPr>
        <w:pStyle w:val="Caption"/>
        <w:rPr>
          <w:noProof/>
          <w:lang w:val="sq-AL"/>
        </w:rPr>
      </w:pPr>
      <w:bookmarkStart w:id="168" w:name="_Toc22912999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CB4DE6">
        <w:rPr>
          <w:noProof/>
          <w:lang w:val="sq-AL"/>
        </w:rPr>
        <w:t>16</w:t>
      </w:r>
      <w:r w:rsidR="00F675D4" w:rsidRPr="00B644BE">
        <w:rPr>
          <w:noProof/>
          <w:lang w:val="sq-AL"/>
        </w:rPr>
        <w:fldChar w:fldCharType="end"/>
      </w:r>
      <w:r w:rsidRPr="00B644BE">
        <w:rPr>
          <w:noProof/>
          <w:lang w:val="sq-AL"/>
        </w:rPr>
        <w:t xml:space="preserve"> Të ardhurat dhe shpenzimet e pushtetit vendor, sipas natyrës</w:t>
      </w:r>
      <w:bookmarkEnd w:id="168"/>
    </w:p>
    <w:tbl>
      <w:tblPr>
        <w:tblW w:w="9115"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4A0" w:firstRow="1" w:lastRow="0" w:firstColumn="1" w:lastColumn="0" w:noHBand="0" w:noVBand="1"/>
      </w:tblPr>
      <w:tblGrid>
        <w:gridCol w:w="558"/>
        <w:gridCol w:w="3950"/>
        <w:gridCol w:w="1221"/>
        <w:gridCol w:w="1130"/>
        <w:gridCol w:w="1127"/>
        <w:gridCol w:w="1129"/>
      </w:tblGrid>
      <w:tr w:rsidR="00707AC5" w:rsidRPr="0033643A" w14:paraId="4490941B" w14:textId="77777777" w:rsidTr="00983808">
        <w:trPr>
          <w:trHeight w:val="276"/>
          <w:jc w:val="center"/>
        </w:trPr>
        <w:tc>
          <w:tcPr>
            <w:tcW w:w="558" w:type="dxa"/>
            <w:vMerge w:val="restart"/>
            <w:shd w:val="clear" w:color="000000" w:fill="C5D9F1"/>
            <w:noWrap/>
            <w:vAlign w:val="center"/>
            <w:hideMark/>
          </w:tcPr>
          <w:p w14:paraId="179ECBF1"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Nr</w:t>
            </w:r>
          </w:p>
        </w:tc>
        <w:tc>
          <w:tcPr>
            <w:tcW w:w="3950" w:type="dxa"/>
            <w:vMerge w:val="restart"/>
            <w:shd w:val="clear" w:color="000000" w:fill="C5D9F1"/>
            <w:noWrap/>
            <w:vAlign w:val="center"/>
            <w:hideMark/>
          </w:tcPr>
          <w:p w14:paraId="4202ADB3"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E  M  Ë  R  T  I  M  I</w:t>
            </w:r>
          </w:p>
        </w:tc>
        <w:tc>
          <w:tcPr>
            <w:tcW w:w="2351" w:type="dxa"/>
            <w:gridSpan w:val="2"/>
            <w:shd w:val="clear" w:color="000000" w:fill="C5D9F1"/>
            <w:vAlign w:val="center"/>
            <w:hideMark/>
          </w:tcPr>
          <w:p w14:paraId="7BCE7B00"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Fakt 12 mujori</w:t>
            </w:r>
          </w:p>
        </w:tc>
        <w:tc>
          <w:tcPr>
            <w:tcW w:w="2256" w:type="dxa"/>
            <w:gridSpan w:val="2"/>
            <w:shd w:val="clear" w:color="000000" w:fill="C5D9F1"/>
            <w:vAlign w:val="center"/>
            <w:hideMark/>
          </w:tcPr>
          <w:p w14:paraId="3B519A13"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Diferenca 202</w:t>
            </w:r>
            <w:r>
              <w:rPr>
                <w:rFonts w:asciiTheme="majorHAnsi" w:hAnsiTheme="majorHAnsi" w:cstheme="minorHAnsi"/>
                <w:b/>
                <w:bCs/>
                <w:noProof/>
                <w:sz w:val="18"/>
                <w:szCs w:val="18"/>
                <w:lang w:val="sq-AL"/>
              </w:rPr>
              <w:t>5</w:t>
            </w:r>
            <w:r w:rsidRPr="0033643A">
              <w:rPr>
                <w:rFonts w:asciiTheme="majorHAnsi" w:hAnsiTheme="majorHAnsi" w:cstheme="minorHAnsi"/>
                <w:b/>
                <w:bCs/>
                <w:noProof/>
                <w:sz w:val="18"/>
                <w:szCs w:val="18"/>
                <w:lang w:val="sq-AL"/>
              </w:rPr>
              <w:t>-202</w:t>
            </w:r>
            <w:r>
              <w:rPr>
                <w:rFonts w:asciiTheme="majorHAnsi" w:hAnsiTheme="majorHAnsi" w:cstheme="minorHAnsi"/>
                <w:b/>
                <w:bCs/>
                <w:noProof/>
                <w:sz w:val="18"/>
                <w:szCs w:val="18"/>
                <w:lang w:val="sq-AL"/>
              </w:rPr>
              <w:t>4</w:t>
            </w:r>
          </w:p>
        </w:tc>
      </w:tr>
      <w:tr w:rsidR="00707AC5" w:rsidRPr="0033643A" w14:paraId="5F6BFDEE" w14:textId="77777777" w:rsidTr="00983808">
        <w:trPr>
          <w:trHeight w:val="276"/>
          <w:jc w:val="center"/>
        </w:trPr>
        <w:tc>
          <w:tcPr>
            <w:tcW w:w="558" w:type="dxa"/>
            <w:vMerge/>
            <w:vAlign w:val="center"/>
            <w:hideMark/>
          </w:tcPr>
          <w:p w14:paraId="798EBB67" w14:textId="77777777" w:rsidR="00707AC5" w:rsidRPr="0033643A" w:rsidRDefault="00707AC5" w:rsidP="00030ED6">
            <w:pPr>
              <w:spacing w:before="0" w:line="240" w:lineRule="auto"/>
              <w:jc w:val="left"/>
              <w:rPr>
                <w:rFonts w:asciiTheme="majorHAnsi" w:hAnsiTheme="majorHAnsi" w:cstheme="minorHAnsi"/>
                <w:b/>
                <w:bCs/>
                <w:noProof/>
                <w:sz w:val="18"/>
                <w:szCs w:val="18"/>
                <w:lang w:val="sq-AL"/>
              </w:rPr>
            </w:pPr>
          </w:p>
        </w:tc>
        <w:tc>
          <w:tcPr>
            <w:tcW w:w="3950" w:type="dxa"/>
            <w:vMerge/>
            <w:vAlign w:val="center"/>
            <w:hideMark/>
          </w:tcPr>
          <w:p w14:paraId="73B85853" w14:textId="77777777" w:rsidR="00707AC5" w:rsidRPr="0033643A" w:rsidRDefault="00707AC5" w:rsidP="00030ED6">
            <w:pPr>
              <w:spacing w:before="0" w:line="240" w:lineRule="auto"/>
              <w:jc w:val="left"/>
              <w:rPr>
                <w:rFonts w:asciiTheme="majorHAnsi" w:hAnsiTheme="majorHAnsi" w:cstheme="minorHAnsi"/>
                <w:b/>
                <w:bCs/>
                <w:noProof/>
                <w:sz w:val="18"/>
                <w:szCs w:val="18"/>
                <w:lang w:val="sq-AL"/>
              </w:rPr>
            </w:pPr>
          </w:p>
        </w:tc>
        <w:tc>
          <w:tcPr>
            <w:tcW w:w="1221" w:type="dxa"/>
            <w:shd w:val="clear" w:color="000000" w:fill="C5D9F1"/>
            <w:vAlign w:val="center"/>
            <w:hideMark/>
          </w:tcPr>
          <w:p w14:paraId="02215660"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202</w:t>
            </w:r>
            <w:r>
              <w:rPr>
                <w:rFonts w:asciiTheme="majorHAnsi" w:hAnsiTheme="majorHAnsi" w:cs="Calibri"/>
                <w:b/>
                <w:bCs/>
                <w:noProof/>
                <w:sz w:val="18"/>
                <w:szCs w:val="18"/>
                <w:lang w:val="sq-AL"/>
              </w:rPr>
              <w:t>5</w:t>
            </w:r>
          </w:p>
        </w:tc>
        <w:tc>
          <w:tcPr>
            <w:tcW w:w="1129" w:type="dxa"/>
            <w:shd w:val="clear" w:color="000000" w:fill="C5D9F1"/>
            <w:vAlign w:val="center"/>
            <w:hideMark/>
          </w:tcPr>
          <w:p w14:paraId="53FB5BD8"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2024</w:t>
            </w:r>
          </w:p>
        </w:tc>
        <w:tc>
          <w:tcPr>
            <w:tcW w:w="1127" w:type="dxa"/>
            <w:shd w:val="clear" w:color="000000" w:fill="C5D9F1"/>
            <w:vAlign w:val="center"/>
            <w:hideMark/>
          </w:tcPr>
          <w:p w14:paraId="6CFF456F"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në vlerë</w:t>
            </w:r>
          </w:p>
        </w:tc>
        <w:tc>
          <w:tcPr>
            <w:tcW w:w="1129" w:type="dxa"/>
            <w:shd w:val="clear" w:color="000000" w:fill="C5D9F1"/>
            <w:vAlign w:val="center"/>
            <w:hideMark/>
          </w:tcPr>
          <w:p w14:paraId="1817AD9C"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në %</w:t>
            </w:r>
          </w:p>
        </w:tc>
      </w:tr>
      <w:tr w:rsidR="00707AC5" w:rsidRPr="0033643A" w14:paraId="52B0AA4C" w14:textId="77777777" w:rsidTr="00983808">
        <w:trPr>
          <w:trHeight w:val="248"/>
          <w:jc w:val="center"/>
        </w:trPr>
        <w:tc>
          <w:tcPr>
            <w:tcW w:w="558" w:type="dxa"/>
            <w:noWrap/>
            <w:vAlign w:val="center"/>
            <w:hideMark/>
          </w:tcPr>
          <w:p w14:paraId="4CF97F82"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I.</w:t>
            </w:r>
          </w:p>
        </w:tc>
        <w:tc>
          <w:tcPr>
            <w:tcW w:w="3950" w:type="dxa"/>
            <w:noWrap/>
            <w:vAlign w:val="center"/>
            <w:hideMark/>
          </w:tcPr>
          <w:p w14:paraId="1A9D7539" w14:textId="77777777" w:rsidR="00707AC5" w:rsidRPr="0033643A" w:rsidRDefault="00707AC5" w:rsidP="00030ED6">
            <w:pPr>
              <w:spacing w:before="0" w:line="240" w:lineRule="auto"/>
              <w:jc w:val="left"/>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Të ardhura nga Pushteti vendor</w:t>
            </w:r>
          </w:p>
        </w:tc>
        <w:tc>
          <w:tcPr>
            <w:tcW w:w="1221" w:type="dxa"/>
            <w:noWrap/>
            <w:vAlign w:val="center"/>
            <w:hideMark/>
          </w:tcPr>
          <w:p w14:paraId="25A6BAC4"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40,911</w:t>
            </w:r>
          </w:p>
        </w:tc>
        <w:tc>
          <w:tcPr>
            <w:tcW w:w="1129" w:type="dxa"/>
            <w:noWrap/>
            <w:vAlign w:val="center"/>
            <w:hideMark/>
          </w:tcPr>
          <w:p w14:paraId="0857A761"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40,331</w:t>
            </w:r>
          </w:p>
        </w:tc>
        <w:tc>
          <w:tcPr>
            <w:tcW w:w="1127" w:type="dxa"/>
            <w:noWrap/>
            <w:vAlign w:val="center"/>
            <w:hideMark/>
          </w:tcPr>
          <w:p w14:paraId="25BCF43B"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580</w:t>
            </w:r>
          </w:p>
        </w:tc>
        <w:tc>
          <w:tcPr>
            <w:tcW w:w="1129" w:type="dxa"/>
            <w:noWrap/>
            <w:vAlign w:val="center"/>
            <w:hideMark/>
          </w:tcPr>
          <w:p w14:paraId="5CF2338E"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101%</w:t>
            </w:r>
          </w:p>
        </w:tc>
      </w:tr>
      <w:tr w:rsidR="00707AC5" w:rsidRPr="0033643A" w14:paraId="266F846D" w14:textId="77777777" w:rsidTr="00983808">
        <w:trPr>
          <w:trHeight w:val="248"/>
          <w:jc w:val="center"/>
        </w:trPr>
        <w:tc>
          <w:tcPr>
            <w:tcW w:w="558" w:type="dxa"/>
            <w:noWrap/>
            <w:vAlign w:val="center"/>
            <w:hideMark/>
          </w:tcPr>
          <w:p w14:paraId="5E820C09"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I.1</w:t>
            </w:r>
          </w:p>
        </w:tc>
        <w:tc>
          <w:tcPr>
            <w:tcW w:w="3950" w:type="dxa"/>
            <w:noWrap/>
            <w:vAlign w:val="center"/>
            <w:hideMark/>
          </w:tcPr>
          <w:p w14:paraId="3E149AB9"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mbi pasurinë</w:t>
            </w:r>
          </w:p>
        </w:tc>
        <w:tc>
          <w:tcPr>
            <w:tcW w:w="1221" w:type="dxa"/>
            <w:noWrap/>
            <w:vAlign w:val="center"/>
            <w:hideMark/>
          </w:tcPr>
          <w:p w14:paraId="378082CD"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8,144</w:t>
            </w:r>
          </w:p>
        </w:tc>
        <w:tc>
          <w:tcPr>
            <w:tcW w:w="1129" w:type="dxa"/>
            <w:noWrap/>
            <w:vAlign w:val="center"/>
            <w:hideMark/>
          </w:tcPr>
          <w:p w14:paraId="5826B2E9"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cs="Calibri"/>
                <w:sz w:val="18"/>
                <w:szCs w:val="18"/>
              </w:rPr>
              <w:t>7,670</w:t>
            </w:r>
          </w:p>
        </w:tc>
        <w:tc>
          <w:tcPr>
            <w:tcW w:w="1127" w:type="dxa"/>
            <w:noWrap/>
            <w:vAlign w:val="center"/>
            <w:hideMark/>
          </w:tcPr>
          <w:p w14:paraId="5FAA7693"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474</w:t>
            </w:r>
          </w:p>
        </w:tc>
        <w:tc>
          <w:tcPr>
            <w:tcW w:w="1129" w:type="dxa"/>
            <w:noWrap/>
            <w:vAlign w:val="center"/>
            <w:hideMark/>
          </w:tcPr>
          <w:p w14:paraId="2993CEC1"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106%</w:t>
            </w:r>
          </w:p>
        </w:tc>
      </w:tr>
      <w:tr w:rsidR="00707AC5" w:rsidRPr="0033643A" w14:paraId="6EFE2A91" w14:textId="77777777" w:rsidTr="00983808">
        <w:trPr>
          <w:trHeight w:val="248"/>
          <w:jc w:val="center"/>
        </w:trPr>
        <w:tc>
          <w:tcPr>
            <w:tcW w:w="558" w:type="dxa"/>
            <w:noWrap/>
            <w:vAlign w:val="center"/>
            <w:hideMark/>
          </w:tcPr>
          <w:p w14:paraId="1F3819EC"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I.2</w:t>
            </w:r>
          </w:p>
        </w:tc>
        <w:tc>
          <w:tcPr>
            <w:tcW w:w="3950" w:type="dxa"/>
            <w:noWrap/>
            <w:vAlign w:val="center"/>
            <w:hideMark/>
          </w:tcPr>
          <w:p w14:paraId="464741C9"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e biznesit të vogël</w:t>
            </w:r>
          </w:p>
        </w:tc>
        <w:tc>
          <w:tcPr>
            <w:tcW w:w="1221" w:type="dxa"/>
            <w:noWrap/>
            <w:vAlign w:val="center"/>
            <w:hideMark/>
          </w:tcPr>
          <w:p w14:paraId="36B387B3"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36</w:t>
            </w:r>
          </w:p>
        </w:tc>
        <w:tc>
          <w:tcPr>
            <w:tcW w:w="1129" w:type="dxa"/>
            <w:noWrap/>
            <w:vAlign w:val="center"/>
            <w:hideMark/>
          </w:tcPr>
          <w:p w14:paraId="2069A30A"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97</w:t>
            </w:r>
          </w:p>
        </w:tc>
        <w:tc>
          <w:tcPr>
            <w:tcW w:w="1127" w:type="dxa"/>
            <w:noWrap/>
            <w:vAlign w:val="center"/>
            <w:hideMark/>
          </w:tcPr>
          <w:p w14:paraId="0FA07547"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-61</w:t>
            </w:r>
          </w:p>
        </w:tc>
        <w:tc>
          <w:tcPr>
            <w:tcW w:w="1129" w:type="dxa"/>
            <w:noWrap/>
            <w:vAlign w:val="center"/>
            <w:hideMark/>
          </w:tcPr>
          <w:p w14:paraId="19BFD294"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37%</w:t>
            </w:r>
          </w:p>
        </w:tc>
      </w:tr>
      <w:tr w:rsidR="00707AC5" w:rsidRPr="0033643A" w14:paraId="17B44647" w14:textId="77777777" w:rsidTr="00983808">
        <w:trPr>
          <w:trHeight w:val="248"/>
          <w:jc w:val="center"/>
        </w:trPr>
        <w:tc>
          <w:tcPr>
            <w:tcW w:w="558" w:type="dxa"/>
            <w:noWrap/>
            <w:vAlign w:val="center"/>
            <w:hideMark/>
          </w:tcPr>
          <w:p w14:paraId="27B3DC5C"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I.3</w:t>
            </w:r>
          </w:p>
        </w:tc>
        <w:tc>
          <w:tcPr>
            <w:tcW w:w="3950" w:type="dxa"/>
            <w:noWrap/>
            <w:vAlign w:val="center"/>
            <w:hideMark/>
          </w:tcPr>
          <w:p w14:paraId="3A198D9D"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Lokale</w:t>
            </w:r>
          </w:p>
        </w:tc>
        <w:tc>
          <w:tcPr>
            <w:tcW w:w="1221" w:type="dxa"/>
            <w:noWrap/>
            <w:vAlign w:val="center"/>
            <w:hideMark/>
          </w:tcPr>
          <w:p w14:paraId="015A91DC"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32,731</w:t>
            </w:r>
          </w:p>
        </w:tc>
        <w:tc>
          <w:tcPr>
            <w:tcW w:w="1129" w:type="dxa"/>
            <w:noWrap/>
            <w:vAlign w:val="center"/>
            <w:hideMark/>
          </w:tcPr>
          <w:p w14:paraId="0A9A65E3"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32,564</w:t>
            </w:r>
          </w:p>
        </w:tc>
        <w:tc>
          <w:tcPr>
            <w:tcW w:w="1127" w:type="dxa"/>
            <w:noWrap/>
            <w:vAlign w:val="center"/>
            <w:hideMark/>
          </w:tcPr>
          <w:p w14:paraId="60437B73"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167</w:t>
            </w:r>
          </w:p>
        </w:tc>
        <w:tc>
          <w:tcPr>
            <w:tcW w:w="1129" w:type="dxa"/>
            <w:noWrap/>
            <w:vAlign w:val="center"/>
            <w:hideMark/>
          </w:tcPr>
          <w:p w14:paraId="17E3C2C9"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101%</w:t>
            </w:r>
          </w:p>
        </w:tc>
      </w:tr>
      <w:tr w:rsidR="00707AC5" w:rsidRPr="0033643A" w14:paraId="3D0242F2" w14:textId="77777777" w:rsidTr="00983808">
        <w:trPr>
          <w:trHeight w:val="248"/>
          <w:jc w:val="center"/>
        </w:trPr>
        <w:tc>
          <w:tcPr>
            <w:tcW w:w="558" w:type="dxa"/>
            <w:noWrap/>
            <w:vAlign w:val="center"/>
            <w:hideMark/>
          </w:tcPr>
          <w:p w14:paraId="79F8E08A"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II.</w:t>
            </w:r>
          </w:p>
        </w:tc>
        <w:tc>
          <w:tcPr>
            <w:tcW w:w="3950" w:type="dxa"/>
            <w:noWrap/>
            <w:vAlign w:val="center"/>
            <w:hideMark/>
          </w:tcPr>
          <w:p w14:paraId="5BCB0AAA" w14:textId="77777777" w:rsidR="00707AC5" w:rsidRPr="0033643A" w:rsidRDefault="00707AC5" w:rsidP="00030ED6">
            <w:pPr>
              <w:spacing w:before="0" w:line="240" w:lineRule="auto"/>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Shpenzime nga Pushtetit Vendor</w:t>
            </w:r>
          </w:p>
        </w:tc>
        <w:tc>
          <w:tcPr>
            <w:tcW w:w="1221" w:type="dxa"/>
            <w:noWrap/>
            <w:vAlign w:val="center"/>
            <w:hideMark/>
          </w:tcPr>
          <w:p w14:paraId="1764F167"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87,793</w:t>
            </w:r>
          </w:p>
        </w:tc>
        <w:tc>
          <w:tcPr>
            <w:tcW w:w="1129" w:type="dxa"/>
            <w:noWrap/>
            <w:vAlign w:val="center"/>
            <w:hideMark/>
          </w:tcPr>
          <w:p w14:paraId="168DC780" w14:textId="77777777" w:rsidR="00707AC5" w:rsidRPr="0033643A" w:rsidRDefault="00707AC5" w:rsidP="00030ED6">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74,407</w:t>
            </w:r>
          </w:p>
        </w:tc>
        <w:tc>
          <w:tcPr>
            <w:tcW w:w="1127" w:type="dxa"/>
            <w:noWrap/>
            <w:vAlign w:val="center"/>
            <w:hideMark/>
          </w:tcPr>
          <w:p w14:paraId="582B2D20"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13,386</w:t>
            </w:r>
          </w:p>
        </w:tc>
        <w:tc>
          <w:tcPr>
            <w:tcW w:w="1129" w:type="dxa"/>
            <w:noWrap/>
            <w:vAlign w:val="center"/>
            <w:hideMark/>
          </w:tcPr>
          <w:p w14:paraId="0B6F043D" w14:textId="77777777" w:rsidR="00707AC5" w:rsidRPr="008964EE" w:rsidRDefault="00707AC5" w:rsidP="00030ED6">
            <w:pPr>
              <w:spacing w:before="0" w:line="240" w:lineRule="auto"/>
              <w:jc w:val="center"/>
              <w:rPr>
                <w:rFonts w:asciiTheme="majorHAnsi" w:hAnsiTheme="majorHAnsi" w:cstheme="minorHAnsi"/>
                <w:b/>
                <w:bCs/>
                <w:noProof/>
                <w:sz w:val="18"/>
                <w:szCs w:val="18"/>
                <w:lang w:val="sq-AL"/>
              </w:rPr>
            </w:pPr>
            <w:r w:rsidRPr="008964EE">
              <w:rPr>
                <w:b/>
                <w:bCs/>
                <w:color w:val="000000"/>
                <w:sz w:val="18"/>
                <w:szCs w:val="18"/>
              </w:rPr>
              <w:t>118%</w:t>
            </w:r>
          </w:p>
        </w:tc>
      </w:tr>
      <w:tr w:rsidR="00707AC5" w:rsidRPr="0033643A" w14:paraId="79DD53B2" w14:textId="77777777" w:rsidTr="00983808">
        <w:trPr>
          <w:trHeight w:val="248"/>
          <w:jc w:val="center"/>
        </w:trPr>
        <w:tc>
          <w:tcPr>
            <w:tcW w:w="558" w:type="dxa"/>
            <w:noWrap/>
            <w:vAlign w:val="center"/>
            <w:hideMark/>
          </w:tcPr>
          <w:p w14:paraId="1ACF0CE4" w14:textId="77777777" w:rsidR="00707AC5" w:rsidRPr="0033643A" w:rsidRDefault="00707AC5" w:rsidP="00030ED6">
            <w:pPr>
              <w:spacing w:before="0" w:line="240" w:lineRule="auto"/>
              <w:jc w:val="center"/>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II.1</w:t>
            </w:r>
          </w:p>
        </w:tc>
        <w:tc>
          <w:tcPr>
            <w:tcW w:w="3950" w:type="dxa"/>
            <w:noWrap/>
            <w:vAlign w:val="center"/>
            <w:hideMark/>
          </w:tcPr>
          <w:p w14:paraId="142E4B8A" w14:textId="77777777" w:rsidR="00707AC5" w:rsidRPr="0033643A" w:rsidRDefault="00707AC5" w:rsidP="00030ED6">
            <w:pPr>
              <w:spacing w:before="0" w:line="240" w:lineRule="auto"/>
              <w:jc w:val="center"/>
              <w:rPr>
                <w:rFonts w:asciiTheme="majorHAnsi" w:hAnsiTheme="majorHAnsi" w:cstheme="minorHAnsi"/>
                <w:b/>
                <w:bCs/>
                <w:i/>
                <w:iCs/>
                <w:noProof/>
                <w:sz w:val="18"/>
                <w:szCs w:val="18"/>
                <w:lang w:val="sq-AL"/>
              </w:rPr>
            </w:pPr>
            <w:r w:rsidRPr="0033643A">
              <w:rPr>
                <w:rFonts w:asciiTheme="majorHAnsi" w:hAnsiTheme="majorHAnsi" w:cstheme="minorHAnsi"/>
                <w:b/>
                <w:bCs/>
                <w:i/>
                <w:iCs/>
                <w:noProof/>
                <w:sz w:val="18"/>
                <w:szCs w:val="18"/>
                <w:lang w:val="sq-AL"/>
              </w:rPr>
              <w:t>Shpenzime Korente</w:t>
            </w:r>
          </w:p>
        </w:tc>
        <w:tc>
          <w:tcPr>
            <w:tcW w:w="1221" w:type="dxa"/>
            <w:noWrap/>
            <w:vAlign w:val="center"/>
            <w:hideMark/>
          </w:tcPr>
          <w:p w14:paraId="4F14B643"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color w:val="000000"/>
                <w:sz w:val="18"/>
                <w:szCs w:val="18"/>
              </w:rPr>
              <w:t>68,879</w:t>
            </w:r>
          </w:p>
        </w:tc>
        <w:tc>
          <w:tcPr>
            <w:tcW w:w="1129" w:type="dxa"/>
            <w:noWrap/>
            <w:vAlign w:val="center"/>
            <w:hideMark/>
          </w:tcPr>
          <w:p w14:paraId="68A10CF7" w14:textId="77777777" w:rsidR="00707AC5" w:rsidRPr="0033643A" w:rsidRDefault="00707AC5" w:rsidP="00030ED6">
            <w:pPr>
              <w:spacing w:before="0" w:line="240" w:lineRule="auto"/>
              <w:jc w:val="center"/>
              <w:rPr>
                <w:rFonts w:asciiTheme="majorHAnsi" w:hAnsiTheme="majorHAnsi" w:cstheme="minorHAnsi"/>
                <w:noProof/>
                <w:sz w:val="18"/>
                <w:szCs w:val="18"/>
                <w:lang w:val="sq-AL"/>
              </w:rPr>
            </w:pPr>
            <w:r w:rsidRPr="0033643A">
              <w:rPr>
                <w:rFonts w:cs="Calibri"/>
                <w:sz w:val="18"/>
                <w:szCs w:val="18"/>
              </w:rPr>
              <w:t>59,872</w:t>
            </w:r>
          </w:p>
        </w:tc>
        <w:tc>
          <w:tcPr>
            <w:tcW w:w="1127" w:type="dxa"/>
            <w:noWrap/>
            <w:vAlign w:val="center"/>
            <w:hideMark/>
          </w:tcPr>
          <w:p w14:paraId="057B5DC4"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color w:val="000000"/>
                <w:sz w:val="18"/>
                <w:szCs w:val="18"/>
              </w:rPr>
              <w:t>9,007</w:t>
            </w:r>
          </w:p>
        </w:tc>
        <w:tc>
          <w:tcPr>
            <w:tcW w:w="1129" w:type="dxa"/>
            <w:noWrap/>
            <w:vAlign w:val="center"/>
            <w:hideMark/>
          </w:tcPr>
          <w:p w14:paraId="68C8C93F"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color w:val="000000"/>
                <w:sz w:val="18"/>
                <w:szCs w:val="18"/>
              </w:rPr>
              <w:t>115%</w:t>
            </w:r>
          </w:p>
        </w:tc>
      </w:tr>
      <w:tr w:rsidR="00707AC5" w:rsidRPr="0033643A" w14:paraId="1E572D7F" w14:textId="77777777" w:rsidTr="00983808">
        <w:trPr>
          <w:trHeight w:val="248"/>
          <w:jc w:val="center"/>
        </w:trPr>
        <w:tc>
          <w:tcPr>
            <w:tcW w:w="558" w:type="dxa"/>
            <w:noWrap/>
            <w:vAlign w:val="center"/>
            <w:hideMark/>
          </w:tcPr>
          <w:p w14:paraId="3AE0BD63"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950" w:type="dxa"/>
            <w:noWrap/>
            <w:vAlign w:val="center"/>
            <w:hideMark/>
          </w:tcPr>
          <w:p w14:paraId="5ACE6431"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 xml:space="preserve">Personeli </w:t>
            </w:r>
          </w:p>
        </w:tc>
        <w:tc>
          <w:tcPr>
            <w:tcW w:w="1221" w:type="dxa"/>
            <w:noWrap/>
            <w:vAlign w:val="center"/>
            <w:hideMark/>
          </w:tcPr>
          <w:p w14:paraId="3AE694DA"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40,077</w:t>
            </w:r>
          </w:p>
        </w:tc>
        <w:tc>
          <w:tcPr>
            <w:tcW w:w="1129" w:type="dxa"/>
            <w:noWrap/>
            <w:vAlign w:val="center"/>
            <w:hideMark/>
          </w:tcPr>
          <w:p w14:paraId="3AE93BFF"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34,014</w:t>
            </w:r>
          </w:p>
        </w:tc>
        <w:tc>
          <w:tcPr>
            <w:tcW w:w="1127" w:type="dxa"/>
            <w:noWrap/>
            <w:vAlign w:val="center"/>
            <w:hideMark/>
          </w:tcPr>
          <w:p w14:paraId="20AF8672"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6,063</w:t>
            </w:r>
          </w:p>
        </w:tc>
        <w:tc>
          <w:tcPr>
            <w:tcW w:w="1129" w:type="dxa"/>
            <w:noWrap/>
            <w:vAlign w:val="center"/>
            <w:hideMark/>
          </w:tcPr>
          <w:p w14:paraId="08C590F8"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118%</w:t>
            </w:r>
          </w:p>
        </w:tc>
      </w:tr>
      <w:tr w:rsidR="00707AC5" w:rsidRPr="0033643A" w14:paraId="0FAA058E" w14:textId="77777777" w:rsidTr="00983808">
        <w:trPr>
          <w:trHeight w:val="248"/>
          <w:jc w:val="center"/>
        </w:trPr>
        <w:tc>
          <w:tcPr>
            <w:tcW w:w="558" w:type="dxa"/>
            <w:noWrap/>
            <w:vAlign w:val="center"/>
            <w:hideMark/>
          </w:tcPr>
          <w:p w14:paraId="11792BD8"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950" w:type="dxa"/>
            <w:noWrap/>
            <w:vAlign w:val="center"/>
            <w:hideMark/>
          </w:tcPr>
          <w:p w14:paraId="7093B49D"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Shpenzime Operative dhe Mirëmbajtje</w:t>
            </w:r>
          </w:p>
        </w:tc>
        <w:tc>
          <w:tcPr>
            <w:tcW w:w="1221" w:type="dxa"/>
            <w:noWrap/>
            <w:vAlign w:val="center"/>
            <w:hideMark/>
          </w:tcPr>
          <w:p w14:paraId="6D84DF3F"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22,232</w:t>
            </w:r>
          </w:p>
        </w:tc>
        <w:tc>
          <w:tcPr>
            <w:tcW w:w="1129" w:type="dxa"/>
            <w:noWrap/>
            <w:vAlign w:val="center"/>
            <w:hideMark/>
          </w:tcPr>
          <w:p w14:paraId="1D75699A"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21,857</w:t>
            </w:r>
          </w:p>
        </w:tc>
        <w:tc>
          <w:tcPr>
            <w:tcW w:w="1127" w:type="dxa"/>
            <w:noWrap/>
            <w:vAlign w:val="center"/>
            <w:hideMark/>
          </w:tcPr>
          <w:p w14:paraId="3C60FA35"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375</w:t>
            </w:r>
          </w:p>
        </w:tc>
        <w:tc>
          <w:tcPr>
            <w:tcW w:w="1129" w:type="dxa"/>
            <w:noWrap/>
            <w:vAlign w:val="center"/>
            <w:hideMark/>
          </w:tcPr>
          <w:p w14:paraId="6F6BA51C"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102%</w:t>
            </w:r>
          </w:p>
        </w:tc>
      </w:tr>
      <w:tr w:rsidR="00707AC5" w:rsidRPr="0033643A" w14:paraId="7C859D09" w14:textId="77777777" w:rsidTr="00983808">
        <w:trPr>
          <w:trHeight w:val="248"/>
          <w:jc w:val="center"/>
        </w:trPr>
        <w:tc>
          <w:tcPr>
            <w:tcW w:w="558" w:type="dxa"/>
            <w:noWrap/>
            <w:vAlign w:val="center"/>
            <w:hideMark/>
          </w:tcPr>
          <w:p w14:paraId="08A3DF19"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950" w:type="dxa"/>
            <w:noWrap/>
            <w:vAlign w:val="center"/>
            <w:hideMark/>
          </w:tcPr>
          <w:p w14:paraId="11B272A4"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Subvencione</w:t>
            </w:r>
          </w:p>
        </w:tc>
        <w:tc>
          <w:tcPr>
            <w:tcW w:w="1221" w:type="dxa"/>
            <w:noWrap/>
            <w:vAlign w:val="center"/>
            <w:hideMark/>
          </w:tcPr>
          <w:p w14:paraId="05E4A5AB"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1,666</w:t>
            </w:r>
          </w:p>
        </w:tc>
        <w:tc>
          <w:tcPr>
            <w:tcW w:w="1129" w:type="dxa"/>
            <w:noWrap/>
            <w:vAlign w:val="center"/>
            <w:hideMark/>
          </w:tcPr>
          <w:p w14:paraId="2FB44B6B"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567</w:t>
            </w:r>
          </w:p>
        </w:tc>
        <w:tc>
          <w:tcPr>
            <w:tcW w:w="1127" w:type="dxa"/>
            <w:noWrap/>
            <w:vAlign w:val="center"/>
            <w:hideMark/>
          </w:tcPr>
          <w:p w14:paraId="32BE077D"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1,099</w:t>
            </w:r>
          </w:p>
        </w:tc>
        <w:tc>
          <w:tcPr>
            <w:tcW w:w="1129" w:type="dxa"/>
            <w:noWrap/>
            <w:vAlign w:val="center"/>
            <w:hideMark/>
          </w:tcPr>
          <w:p w14:paraId="3F32020E"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294%</w:t>
            </w:r>
          </w:p>
        </w:tc>
      </w:tr>
      <w:tr w:rsidR="00707AC5" w:rsidRPr="0033643A" w14:paraId="2495D1F7" w14:textId="77777777" w:rsidTr="00983808">
        <w:trPr>
          <w:trHeight w:val="248"/>
          <w:jc w:val="center"/>
        </w:trPr>
        <w:tc>
          <w:tcPr>
            <w:tcW w:w="558" w:type="dxa"/>
            <w:noWrap/>
            <w:vAlign w:val="center"/>
            <w:hideMark/>
          </w:tcPr>
          <w:p w14:paraId="2CE66D30" w14:textId="77777777" w:rsidR="00707AC5" w:rsidRPr="0033643A" w:rsidRDefault="00707AC5" w:rsidP="00030ED6">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950" w:type="dxa"/>
            <w:noWrap/>
            <w:vAlign w:val="center"/>
            <w:hideMark/>
          </w:tcPr>
          <w:p w14:paraId="1EF79B4A"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Pr>
                <w:rFonts w:asciiTheme="majorHAnsi" w:hAnsiTheme="majorHAnsi" w:cstheme="minorHAnsi"/>
                <w:i/>
                <w:iCs/>
                <w:noProof/>
                <w:sz w:val="18"/>
                <w:szCs w:val="18"/>
                <w:lang w:val="sq-AL"/>
              </w:rPr>
              <w:t>Shpenzime të</w:t>
            </w:r>
            <w:r w:rsidRPr="0033643A">
              <w:rPr>
                <w:rFonts w:asciiTheme="majorHAnsi" w:hAnsiTheme="majorHAnsi" w:cstheme="minorHAnsi"/>
                <w:i/>
                <w:iCs/>
                <w:noProof/>
                <w:sz w:val="18"/>
                <w:szCs w:val="18"/>
                <w:lang w:val="sq-AL"/>
              </w:rPr>
              <w:t xml:space="preserve"> tjera</w:t>
            </w:r>
            <w:r>
              <w:rPr>
                <w:rFonts w:asciiTheme="majorHAnsi" w:hAnsiTheme="majorHAnsi" w:cstheme="minorHAnsi"/>
                <w:i/>
                <w:iCs/>
                <w:noProof/>
                <w:sz w:val="18"/>
                <w:szCs w:val="18"/>
                <w:lang w:val="sq-AL"/>
              </w:rPr>
              <w:t xml:space="preserve"> korente</w:t>
            </w:r>
          </w:p>
        </w:tc>
        <w:tc>
          <w:tcPr>
            <w:tcW w:w="1221" w:type="dxa"/>
            <w:noWrap/>
            <w:vAlign w:val="center"/>
            <w:hideMark/>
          </w:tcPr>
          <w:p w14:paraId="1C0D18FD" w14:textId="77777777" w:rsidR="00707AC5" w:rsidRPr="008964EE" w:rsidRDefault="00707AC5" w:rsidP="00030ED6">
            <w:pPr>
              <w:spacing w:before="0" w:line="240" w:lineRule="auto"/>
              <w:jc w:val="right"/>
              <w:rPr>
                <w:rFonts w:asciiTheme="majorHAnsi" w:hAnsiTheme="majorHAnsi" w:cstheme="minorHAnsi"/>
                <w:i/>
                <w:iCs/>
                <w:noProof/>
                <w:sz w:val="18"/>
                <w:szCs w:val="18"/>
                <w:lang w:val="sq-AL"/>
              </w:rPr>
            </w:pPr>
            <w:r w:rsidRPr="008964EE">
              <w:rPr>
                <w:i/>
                <w:iCs/>
                <w:color w:val="000000"/>
                <w:sz w:val="18"/>
                <w:szCs w:val="18"/>
              </w:rPr>
              <w:t>4,904</w:t>
            </w:r>
          </w:p>
        </w:tc>
        <w:tc>
          <w:tcPr>
            <w:tcW w:w="1129" w:type="dxa"/>
            <w:noWrap/>
            <w:vAlign w:val="center"/>
            <w:hideMark/>
          </w:tcPr>
          <w:p w14:paraId="3D8450BE" w14:textId="77777777" w:rsidR="00707AC5" w:rsidRPr="0033643A" w:rsidRDefault="00707AC5" w:rsidP="00030ED6">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3,435</w:t>
            </w:r>
          </w:p>
        </w:tc>
        <w:tc>
          <w:tcPr>
            <w:tcW w:w="1127" w:type="dxa"/>
            <w:noWrap/>
            <w:vAlign w:val="center"/>
            <w:hideMark/>
          </w:tcPr>
          <w:p w14:paraId="181A50A8" w14:textId="77777777" w:rsidR="00707AC5" w:rsidRPr="008964EE" w:rsidRDefault="00707AC5" w:rsidP="00030ED6">
            <w:pPr>
              <w:spacing w:before="0" w:line="240" w:lineRule="auto"/>
              <w:jc w:val="right"/>
              <w:rPr>
                <w:rFonts w:asciiTheme="majorHAnsi" w:hAnsiTheme="majorHAnsi" w:cstheme="minorHAnsi"/>
                <w:noProof/>
                <w:sz w:val="18"/>
                <w:szCs w:val="18"/>
                <w:lang w:val="sq-AL"/>
              </w:rPr>
            </w:pPr>
            <w:r w:rsidRPr="008964EE">
              <w:rPr>
                <w:i/>
                <w:iCs/>
                <w:color w:val="000000"/>
                <w:sz w:val="18"/>
                <w:szCs w:val="18"/>
              </w:rPr>
              <w:t>1,469</w:t>
            </w:r>
          </w:p>
        </w:tc>
        <w:tc>
          <w:tcPr>
            <w:tcW w:w="1129" w:type="dxa"/>
            <w:noWrap/>
            <w:vAlign w:val="center"/>
            <w:hideMark/>
          </w:tcPr>
          <w:p w14:paraId="44950962" w14:textId="77777777" w:rsidR="00707AC5" w:rsidRPr="00951DDC" w:rsidRDefault="00707AC5" w:rsidP="00030ED6">
            <w:pPr>
              <w:spacing w:before="0" w:line="240" w:lineRule="auto"/>
              <w:jc w:val="right"/>
              <w:rPr>
                <w:rFonts w:asciiTheme="majorHAnsi" w:hAnsiTheme="majorHAnsi" w:cstheme="minorHAnsi"/>
                <w:i/>
                <w:iCs/>
                <w:noProof/>
                <w:sz w:val="18"/>
                <w:szCs w:val="18"/>
                <w:lang w:val="sq-AL"/>
              </w:rPr>
            </w:pPr>
            <w:r w:rsidRPr="00951DDC">
              <w:rPr>
                <w:i/>
                <w:iCs/>
                <w:color w:val="000000"/>
                <w:sz w:val="18"/>
                <w:szCs w:val="18"/>
              </w:rPr>
              <w:t>143%</w:t>
            </w:r>
          </w:p>
        </w:tc>
      </w:tr>
      <w:tr w:rsidR="00707AC5" w:rsidRPr="0033643A" w14:paraId="2E4FBB10" w14:textId="77777777" w:rsidTr="00983808">
        <w:trPr>
          <w:trHeight w:val="248"/>
          <w:jc w:val="center"/>
        </w:trPr>
        <w:tc>
          <w:tcPr>
            <w:tcW w:w="558" w:type="dxa"/>
            <w:noWrap/>
            <w:vAlign w:val="center"/>
            <w:hideMark/>
          </w:tcPr>
          <w:p w14:paraId="22A4B0A5" w14:textId="77777777" w:rsidR="00707AC5" w:rsidRPr="0033643A" w:rsidRDefault="00707AC5" w:rsidP="00030ED6">
            <w:pPr>
              <w:spacing w:before="0" w:line="240" w:lineRule="auto"/>
              <w:jc w:val="center"/>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II.2</w:t>
            </w:r>
          </w:p>
        </w:tc>
        <w:tc>
          <w:tcPr>
            <w:tcW w:w="3950" w:type="dxa"/>
            <w:noWrap/>
            <w:vAlign w:val="center"/>
            <w:hideMark/>
          </w:tcPr>
          <w:p w14:paraId="23198176" w14:textId="77777777" w:rsidR="00707AC5" w:rsidRPr="0033643A" w:rsidRDefault="00707AC5" w:rsidP="00030ED6">
            <w:pPr>
              <w:spacing w:before="0" w:line="240" w:lineRule="auto"/>
              <w:jc w:val="center"/>
              <w:rPr>
                <w:rFonts w:asciiTheme="majorHAnsi" w:hAnsiTheme="majorHAnsi" w:cstheme="minorHAnsi"/>
                <w:b/>
                <w:bCs/>
                <w:i/>
                <w:iCs/>
                <w:noProof/>
                <w:sz w:val="18"/>
                <w:szCs w:val="18"/>
                <w:lang w:val="sq-AL"/>
              </w:rPr>
            </w:pPr>
            <w:r w:rsidRPr="0033643A">
              <w:rPr>
                <w:rFonts w:asciiTheme="majorHAnsi" w:hAnsiTheme="majorHAnsi" w:cstheme="minorHAnsi"/>
                <w:b/>
                <w:bCs/>
                <w:i/>
                <w:iCs/>
                <w:noProof/>
                <w:sz w:val="18"/>
                <w:szCs w:val="18"/>
                <w:lang w:val="sq-AL"/>
              </w:rPr>
              <w:t>Shpenzime Kapitale</w:t>
            </w:r>
          </w:p>
        </w:tc>
        <w:tc>
          <w:tcPr>
            <w:tcW w:w="1221" w:type="dxa"/>
            <w:noWrap/>
            <w:vAlign w:val="center"/>
            <w:hideMark/>
          </w:tcPr>
          <w:p w14:paraId="24884557"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color w:val="000000"/>
                <w:sz w:val="18"/>
                <w:szCs w:val="18"/>
              </w:rPr>
              <w:t>18,915</w:t>
            </w:r>
          </w:p>
        </w:tc>
        <w:tc>
          <w:tcPr>
            <w:tcW w:w="1129" w:type="dxa"/>
            <w:noWrap/>
            <w:vAlign w:val="center"/>
            <w:hideMark/>
          </w:tcPr>
          <w:p w14:paraId="1AD8DA4C" w14:textId="77777777" w:rsidR="00707AC5" w:rsidRPr="0033643A" w:rsidRDefault="00707AC5" w:rsidP="00030ED6">
            <w:pPr>
              <w:spacing w:before="0" w:line="240" w:lineRule="auto"/>
              <w:jc w:val="center"/>
              <w:rPr>
                <w:rFonts w:asciiTheme="majorHAnsi" w:hAnsiTheme="majorHAnsi" w:cstheme="minorHAnsi"/>
                <w:noProof/>
                <w:sz w:val="18"/>
                <w:szCs w:val="18"/>
                <w:lang w:val="sq-AL"/>
              </w:rPr>
            </w:pPr>
            <w:r w:rsidRPr="0033643A">
              <w:rPr>
                <w:rFonts w:cs="Calibri"/>
                <w:sz w:val="18"/>
                <w:szCs w:val="18"/>
              </w:rPr>
              <w:t>14,534</w:t>
            </w:r>
          </w:p>
        </w:tc>
        <w:tc>
          <w:tcPr>
            <w:tcW w:w="1127" w:type="dxa"/>
            <w:noWrap/>
            <w:vAlign w:val="center"/>
            <w:hideMark/>
          </w:tcPr>
          <w:p w14:paraId="0C3B5839"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i/>
                <w:iCs/>
                <w:color w:val="000000"/>
                <w:sz w:val="18"/>
                <w:szCs w:val="18"/>
              </w:rPr>
              <w:t>4,380</w:t>
            </w:r>
          </w:p>
        </w:tc>
        <w:tc>
          <w:tcPr>
            <w:tcW w:w="1129" w:type="dxa"/>
            <w:noWrap/>
            <w:vAlign w:val="center"/>
            <w:hideMark/>
          </w:tcPr>
          <w:p w14:paraId="5BB4488A" w14:textId="77777777" w:rsidR="00707AC5" w:rsidRPr="008964EE" w:rsidRDefault="00707AC5" w:rsidP="00030ED6">
            <w:pPr>
              <w:spacing w:before="0" w:line="240" w:lineRule="auto"/>
              <w:jc w:val="center"/>
              <w:rPr>
                <w:rFonts w:asciiTheme="majorHAnsi" w:hAnsiTheme="majorHAnsi" w:cstheme="minorHAnsi"/>
                <w:noProof/>
                <w:sz w:val="18"/>
                <w:szCs w:val="18"/>
                <w:lang w:val="sq-AL"/>
              </w:rPr>
            </w:pPr>
            <w:r w:rsidRPr="008964EE">
              <w:rPr>
                <w:color w:val="000000"/>
                <w:sz w:val="18"/>
                <w:szCs w:val="18"/>
              </w:rPr>
              <w:t>130%</w:t>
            </w:r>
          </w:p>
        </w:tc>
      </w:tr>
    </w:tbl>
    <w:p w14:paraId="1EB67C6C" w14:textId="50C2C4C1" w:rsidR="000C27BF" w:rsidRPr="00E1483F" w:rsidRDefault="006C1DC6" w:rsidP="00E1483F">
      <w:pPr>
        <w:spacing w:before="0" w:line="360" w:lineRule="auto"/>
        <w:ind w:left="720" w:firstLine="720"/>
        <w:rPr>
          <w:rFonts w:eastAsia="SimSun" w:cs="Calibri"/>
          <w:bCs/>
          <w:i/>
          <w:noProof/>
          <w:sz w:val="18"/>
          <w:szCs w:val="18"/>
          <w:lang w:val="sq-AL"/>
        </w:rPr>
      </w:pPr>
      <w:r w:rsidRPr="00E1483F">
        <w:rPr>
          <w:rFonts w:eastAsia="SimSun" w:cs="Calibri"/>
          <w:bCs/>
          <w:i/>
          <w:noProof/>
          <w:sz w:val="18"/>
          <w:szCs w:val="18"/>
          <w:lang w:val="sq-AL"/>
        </w:rPr>
        <w:t>Burimi: Ministria e Financave (202</w:t>
      </w:r>
      <w:r w:rsidR="00707AC5">
        <w:rPr>
          <w:rFonts w:eastAsia="SimSun" w:cs="Calibri"/>
          <w:bCs/>
          <w:i/>
          <w:noProof/>
          <w:sz w:val="18"/>
          <w:szCs w:val="18"/>
          <w:lang w:val="sq-AL"/>
        </w:rPr>
        <w:t>6</w:t>
      </w:r>
      <w:r w:rsidRPr="00E1483F">
        <w:rPr>
          <w:rFonts w:eastAsia="SimSun" w:cs="Calibri"/>
          <w:bCs/>
          <w:i/>
          <w:noProof/>
          <w:sz w:val="18"/>
          <w:szCs w:val="18"/>
          <w:lang w:val="sq-AL"/>
        </w:rPr>
        <w:t>)</w:t>
      </w:r>
    </w:p>
    <w:p w14:paraId="694E719C" w14:textId="34FFAE0E" w:rsidR="00E1483F" w:rsidRPr="00B644BE" w:rsidRDefault="00E1483F" w:rsidP="00E1483F">
      <w:pPr>
        <w:spacing w:before="0" w:line="240" w:lineRule="auto"/>
        <w:rPr>
          <w:rFonts w:eastAsia="MS Mincho" w:cs="Calibri"/>
          <w:i/>
          <w:noProof/>
          <w:lang w:val="sq-AL"/>
        </w:rPr>
      </w:pPr>
      <w:r w:rsidRPr="00B644BE">
        <w:rPr>
          <w:rFonts w:eastAsia="MS Mincho" w:cs="Calibri"/>
          <w:i/>
          <w:noProof/>
          <w:lang w:val="sq-AL"/>
        </w:rPr>
        <w:t xml:space="preserve">Shpenzimet vendore të personelit </w:t>
      </w:r>
      <w:r w:rsidR="00707AC5" w:rsidRPr="00B644BE">
        <w:rPr>
          <w:rFonts w:eastAsia="MS Mincho" w:cs="Calibri"/>
          <w:noProof/>
          <w:lang w:val="sq-AL"/>
        </w:rPr>
        <w:t>përbëjnë një pjesë të konsiderueshme të shpenzimeve totale të NJVQV. Për vitin 202</w:t>
      </w:r>
      <w:r w:rsidR="00707AC5">
        <w:rPr>
          <w:rFonts w:eastAsia="MS Mincho" w:cs="Calibri"/>
          <w:noProof/>
          <w:lang w:val="sq-AL"/>
        </w:rPr>
        <w:t>5</w:t>
      </w:r>
      <w:r w:rsidR="00707AC5" w:rsidRPr="00B644BE">
        <w:rPr>
          <w:rFonts w:eastAsia="MS Mincho" w:cs="Calibri"/>
          <w:noProof/>
          <w:lang w:val="sq-AL"/>
        </w:rPr>
        <w:t xml:space="preserve">, këto shpenzime janë realizuar në </w:t>
      </w:r>
      <w:r w:rsidR="00707AC5">
        <w:rPr>
          <w:rFonts w:eastAsia="MS Mincho" w:cs="Calibri"/>
          <w:noProof/>
          <w:lang w:val="sq-AL"/>
        </w:rPr>
        <w:t xml:space="preserve">mbi 40 </w:t>
      </w:r>
      <w:r w:rsidR="0056260B">
        <w:rPr>
          <w:rFonts w:eastAsia="MS Mincho" w:cs="Calibri"/>
          <w:noProof/>
          <w:lang w:val="sq-AL"/>
        </w:rPr>
        <w:t>miliardë</w:t>
      </w:r>
      <w:r w:rsidR="00707AC5" w:rsidRPr="00B644BE">
        <w:rPr>
          <w:rFonts w:eastAsia="MS Mincho" w:cs="Calibri"/>
          <w:noProof/>
          <w:lang w:val="sq-AL"/>
        </w:rPr>
        <w:t xml:space="preserve"> LEK, që rezulton në rritje prej </w:t>
      </w:r>
      <w:r w:rsidR="00707AC5">
        <w:rPr>
          <w:rFonts w:eastAsia="MS Mincho" w:cs="Calibri"/>
          <w:noProof/>
          <w:lang w:val="sq-AL"/>
        </w:rPr>
        <w:t>rreth</w:t>
      </w:r>
      <w:r w:rsidR="00707AC5" w:rsidRPr="00B644BE">
        <w:rPr>
          <w:rFonts w:eastAsia="MS Mincho" w:cs="Calibri"/>
          <w:noProof/>
          <w:lang w:val="sq-AL"/>
        </w:rPr>
        <w:t xml:space="preserve"> 1</w:t>
      </w:r>
      <w:r w:rsidR="00707AC5">
        <w:rPr>
          <w:rFonts w:eastAsia="MS Mincho" w:cs="Calibri"/>
          <w:noProof/>
          <w:lang w:val="sq-AL"/>
        </w:rPr>
        <w:t>8</w:t>
      </w:r>
      <w:r w:rsidR="00707AC5" w:rsidRPr="00B644BE">
        <w:rPr>
          <w:rFonts w:eastAsia="MS Mincho" w:cs="Calibri"/>
          <w:noProof/>
          <w:lang w:val="sq-AL"/>
        </w:rPr>
        <w:t xml:space="preserve">% ose rreth </w:t>
      </w:r>
      <w:r w:rsidR="00707AC5">
        <w:rPr>
          <w:rFonts w:eastAsia="MS Mincho" w:cs="Calibri"/>
          <w:noProof/>
          <w:lang w:val="sq-AL"/>
        </w:rPr>
        <w:t>6</w:t>
      </w:r>
      <w:r w:rsidR="00707AC5" w:rsidRPr="00B644BE">
        <w:rPr>
          <w:rFonts w:eastAsia="MS Mincho" w:cs="Calibri"/>
          <w:noProof/>
          <w:lang w:val="sq-AL"/>
        </w:rPr>
        <w:t xml:space="preserve"> </w:t>
      </w:r>
      <w:r w:rsidR="0056260B">
        <w:rPr>
          <w:rFonts w:eastAsia="MS Mincho" w:cs="Calibri"/>
          <w:noProof/>
          <w:lang w:val="sq-AL"/>
        </w:rPr>
        <w:t>miliardë</w:t>
      </w:r>
      <w:r w:rsidR="00707AC5" w:rsidRPr="00B644BE">
        <w:rPr>
          <w:rFonts w:eastAsia="MS Mincho" w:cs="Calibri"/>
          <w:noProof/>
          <w:lang w:val="sq-AL"/>
        </w:rPr>
        <w:t xml:space="preserve"> LEK më shumë se viti 202</w:t>
      </w:r>
      <w:r w:rsidR="00707AC5">
        <w:rPr>
          <w:rFonts w:eastAsia="MS Mincho" w:cs="Calibri"/>
          <w:noProof/>
          <w:lang w:val="sq-AL"/>
        </w:rPr>
        <w:t>4</w:t>
      </w:r>
      <w:r w:rsidR="00707AC5" w:rsidRPr="00B644BE">
        <w:rPr>
          <w:rFonts w:eastAsia="MS Mincho" w:cs="Calibri"/>
          <w:noProof/>
          <w:lang w:val="sq-AL"/>
        </w:rPr>
        <w:t>. Rritja e shpenzimeve të personelit nga NJVQV përbën ndryshim të ndjeshëm krahasuar</w:t>
      </w:r>
      <w:r w:rsidR="00707AC5">
        <w:rPr>
          <w:rFonts w:eastAsia="MS Mincho" w:cs="Calibri"/>
          <w:noProof/>
          <w:lang w:val="sq-AL"/>
        </w:rPr>
        <w:t xml:space="preserve"> edhe</w:t>
      </w:r>
      <w:r w:rsidR="00707AC5" w:rsidRPr="00B644BE">
        <w:rPr>
          <w:rFonts w:eastAsia="MS Mincho" w:cs="Calibri"/>
          <w:noProof/>
          <w:lang w:val="sq-AL"/>
        </w:rPr>
        <w:t xml:space="preserve"> me vitin e kaluar, pasi përveç trendi</w:t>
      </w:r>
      <w:r w:rsidR="00707AC5">
        <w:rPr>
          <w:rFonts w:eastAsia="MS Mincho" w:cs="Calibri"/>
          <w:noProof/>
          <w:lang w:val="sq-AL"/>
        </w:rPr>
        <w:t>t të zakonshëm</w:t>
      </w:r>
      <w:r w:rsidR="00707AC5" w:rsidRPr="00B644BE">
        <w:rPr>
          <w:rFonts w:eastAsia="MS Mincho" w:cs="Calibri"/>
          <w:noProof/>
          <w:lang w:val="sq-AL"/>
        </w:rPr>
        <w:t xml:space="preserve"> të rritjes që njësitë vendore realizojnë me qëllim motivimin e punonjësve për rritjen e cilësisë së shërbimeve, </w:t>
      </w:r>
      <w:r w:rsidR="00707AC5">
        <w:rPr>
          <w:rFonts w:eastAsia="MS Mincho" w:cs="Calibri"/>
          <w:noProof/>
          <w:lang w:val="sq-AL"/>
        </w:rPr>
        <w:t xml:space="preserve">por </w:t>
      </w:r>
      <w:r w:rsidR="00707AC5" w:rsidRPr="00B644BE">
        <w:rPr>
          <w:rFonts w:eastAsia="MS Mincho" w:cs="Calibri"/>
          <w:noProof/>
          <w:lang w:val="sq-AL"/>
        </w:rPr>
        <w:t>në kuadër të politikës së qeverisë për rritjen e pagave</w:t>
      </w:r>
      <w:r w:rsidR="00707AC5">
        <w:rPr>
          <w:rFonts w:eastAsia="MS Mincho" w:cs="Calibri"/>
          <w:noProof/>
          <w:lang w:val="sq-AL"/>
        </w:rPr>
        <w:t>, ndryshimi i formulës së vlerësimit të vjetërsisë në punë</w:t>
      </w:r>
      <w:r w:rsidR="00707AC5" w:rsidRPr="00B644BE">
        <w:rPr>
          <w:rFonts w:eastAsia="MS Mincho" w:cs="Calibri"/>
          <w:noProof/>
          <w:lang w:val="sq-AL"/>
        </w:rPr>
        <w:t>, rrit</w:t>
      </w:r>
      <w:r w:rsidR="00707AC5">
        <w:rPr>
          <w:rFonts w:eastAsia="MS Mincho" w:cs="Calibri"/>
          <w:noProof/>
          <w:lang w:val="sq-AL"/>
        </w:rPr>
        <w:t>ja e</w:t>
      </w:r>
      <w:r w:rsidR="00707AC5" w:rsidRPr="00B644BE">
        <w:rPr>
          <w:rFonts w:eastAsia="MS Mincho" w:cs="Calibri"/>
          <w:noProof/>
          <w:lang w:val="sq-AL"/>
        </w:rPr>
        <w:t xml:space="preserve"> kufiri</w:t>
      </w:r>
      <w:r w:rsidR="00707AC5">
        <w:rPr>
          <w:rFonts w:eastAsia="MS Mincho" w:cs="Calibri"/>
          <w:noProof/>
          <w:lang w:val="sq-AL"/>
        </w:rPr>
        <w:t>t të</w:t>
      </w:r>
      <w:r w:rsidR="00707AC5" w:rsidRPr="00B644BE">
        <w:rPr>
          <w:rFonts w:eastAsia="MS Mincho" w:cs="Calibri"/>
          <w:noProof/>
          <w:lang w:val="sq-AL"/>
        </w:rPr>
        <w:t xml:space="preserve"> pagës minimale si dhe </w:t>
      </w:r>
      <w:r w:rsidR="00707AC5">
        <w:rPr>
          <w:rFonts w:eastAsia="MS Mincho" w:cs="Calibri"/>
          <w:noProof/>
          <w:lang w:val="sq-AL"/>
        </w:rPr>
        <w:t xml:space="preserve">rritja e </w:t>
      </w:r>
      <w:r w:rsidR="00707AC5" w:rsidRPr="00B644BE">
        <w:rPr>
          <w:rFonts w:eastAsia="MS Mincho" w:cs="Calibri"/>
          <w:noProof/>
          <w:lang w:val="sq-AL"/>
        </w:rPr>
        <w:t>nivele</w:t>
      </w:r>
      <w:r w:rsidR="00707AC5">
        <w:rPr>
          <w:rFonts w:eastAsia="MS Mincho" w:cs="Calibri"/>
          <w:noProof/>
          <w:lang w:val="sq-AL"/>
        </w:rPr>
        <w:t>ve të</w:t>
      </w:r>
      <w:r w:rsidR="00707AC5" w:rsidRPr="00B644BE">
        <w:rPr>
          <w:rFonts w:eastAsia="MS Mincho" w:cs="Calibri"/>
          <w:noProof/>
          <w:lang w:val="sq-AL"/>
        </w:rPr>
        <w:t xml:space="preserve"> pagave të punonjësve sipas kategorive në tërësi</w:t>
      </w:r>
      <w:r w:rsidR="00707AC5">
        <w:rPr>
          <w:rFonts w:eastAsia="MS Mincho" w:cs="Calibri"/>
          <w:noProof/>
          <w:lang w:val="sq-AL"/>
        </w:rPr>
        <w:t>, gjithashtu kanë sjellë këtë rezultat</w:t>
      </w:r>
      <w:r w:rsidR="00707AC5" w:rsidRPr="00B644BE">
        <w:rPr>
          <w:rFonts w:eastAsia="MS Mincho" w:cs="Calibri"/>
          <w:noProof/>
          <w:lang w:val="sq-AL"/>
        </w:rPr>
        <w:t xml:space="preserve">. </w:t>
      </w:r>
      <w:r w:rsidR="00707AC5">
        <w:rPr>
          <w:rFonts w:eastAsia="MS Mincho" w:cs="Calibri"/>
          <w:noProof/>
          <w:lang w:val="sq-AL"/>
        </w:rPr>
        <w:t xml:space="preserve">Siç u tha edhe më sipër në buxhetin e vitit 2025, pushteti vendor u financua nga transfertat qendrore edhe me 3.5 </w:t>
      </w:r>
      <w:r w:rsidR="0056260B">
        <w:rPr>
          <w:rFonts w:eastAsia="MS Mincho" w:cs="Calibri"/>
          <w:noProof/>
          <w:lang w:val="sq-AL"/>
        </w:rPr>
        <w:t>miliardë</w:t>
      </w:r>
      <w:r w:rsidR="00707AC5">
        <w:rPr>
          <w:rFonts w:eastAsia="MS Mincho" w:cs="Calibri"/>
          <w:noProof/>
          <w:lang w:val="sq-AL"/>
        </w:rPr>
        <w:t xml:space="preserve"> LEK për mbështetjen e politikës së rritjes së pagave, përveç burimeve të veta. </w:t>
      </w:r>
      <w:r w:rsidR="00707AC5" w:rsidRPr="00B644BE">
        <w:rPr>
          <w:rFonts w:eastAsia="MS Mincho" w:cs="Calibri"/>
          <w:noProof/>
          <w:lang w:val="sq-AL"/>
        </w:rPr>
        <w:t>Këto shpenzime për vitin 202</w:t>
      </w:r>
      <w:r w:rsidR="00707AC5">
        <w:rPr>
          <w:rFonts w:eastAsia="MS Mincho" w:cs="Calibri"/>
          <w:noProof/>
          <w:lang w:val="sq-AL"/>
        </w:rPr>
        <w:t>5</w:t>
      </w:r>
      <w:r w:rsidR="00707AC5" w:rsidRPr="00B644BE">
        <w:rPr>
          <w:rFonts w:eastAsia="MS Mincho" w:cs="Calibri"/>
          <w:noProof/>
          <w:lang w:val="sq-AL"/>
        </w:rPr>
        <w:t xml:space="preserve"> zënë 4</w:t>
      </w:r>
      <w:r w:rsidR="00707AC5">
        <w:rPr>
          <w:rFonts w:eastAsia="MS Mincho" w:cs="Calibri"/>
          <w:noProof/>
          <w:lang w:val="sq-AL"/>
        </w:rPr>
        <w:t>5.6</w:t>
      </w:r>
      <w:r w:rsidR="00707AC5" w:rsidRPr="00B644BE">
        <w:rPr>
          <w:rFonts w:eastAsia="MS Mincho" w:cs="Calibri"/>
          <w:noProof/>
          <w:lang w:val="sq-AL"/>
        </w:rPr>
        <w:t>% të totalit të shpenzimeve të pushetit vendor</w:t>
      </w:r>
      <w:r w:rsidRPr="00B644BE">
        <w:rPr>
          <w:rFonts w:eastAsia="MS Mincho" w:cs="Calibri"/>
          <w:i/>
          <w:noProof/>
          <w:lang w:val="sq-AL"/>
        </w:rPr>
        <w:t>.</w:t>
      </w:r>
    </w:p>
    <w:p w14:paraId="01695873" w14:textId="59164566" w:rsidR="00E1483F" w:rsidRPr="00B644BE" w:rsidRDefault="00E1483F" w:rsidP="00E1483F">
      <w:pPr>
        <w:spacing w:line="240" w:lineRule="auto"/>
        <w:rPr>
          <w:rFonts w:eastAsia="MS Mincho" w:cs="Calibri"/>
          <w:noProof/>
          <w:lang w:val="sq-AL"/>
        </w:rPr>
      </w:pPr>
      <w:r w:rsidRPr="00B644BE">
        <w:rPr>
          <w:rFonts w:eastAsia="MS Mincho" w:cs="Calibri"/>
          <w:i/>
          <w:noProof/>
          <w:lang w:val="sq-AL"/>
        </w:rPr>
        <w:lastRenderedPageBreak/>
        <w:t xml:space="preserve">Shpenzimet vendore operative </w:t>
      </w:r>
      <w:r w:rsidR="00707AC5" w:rsidRPr="00B644BE">
        <w:rPr>
          <w:rFonts w:eastAsia="MS Mincho" w:cs="Calibri"/>
          <w:noProof/>
          <w:lang w:val="sq-AL"/>
        </w:rPr>
        <w:t>zënë gjithashtu një vend të rëndësishëm, pasi janë shumë të nevojshme për mbarëvajtjen dhe ushtrimin e funksioneve. Për vitin 202</w:t>
      </w:r>
      <w:r w:rsidR="00707AC5">
        <w:rPr>
          <w:rFonts w:eastAsia="MS Mincho" w:cs="Calibri"/>
          <w:noProof/>
          <w:lang w:val="sq-AL"/>
        </w:rPr>
        <w:t>5</w:t>
      </w:r>
      <w:r w:rsidR="00707AC5" w:rsidRPr="00B644BE">
        <w:rPr>
          <w:rFonts w:eastAsia="MS Mincho" w:cs="Calibri"/>
          <w:noProof/>
          <w:lang w:val="sq-AL"/>
        </w:rPr>
        <w:t xml:space="preserve">, këto shpenzime janë realizuar në masën rreth </w:t>
      </w:r>
      <w:r w:rsidR="00707AC5">
        <w:rPr>
          <w:rFonts w:eastAsia="MS Mincho" w:cs="Calibri"/>
          <w:noProof/>
          <w:lang w:val="sq-AL"/>
        </w:rPr>
        <w:t>22.2</w:t>
      </w:r>
      <w:r w:rsidR="00707AC5" w:rsidRPr="00B644BE">
        <w:rPr>
          <w:rFonts w:eastAsia="MS Mincho" w:cs="Calibri"/>
          <w:noProof/>
          <w:lang w:val="sq-AL"/>
        </w:rPr>
        <w:t xml:space="preserve"> </w:t>
      </w:r>
      <w:r w:rsidR="0056260B">
        <w:rPr>
          <w:rFonts w:eastAsia="MS Mincho" w:cs="Calibri"/>
          <w:noProof/>
          <w:lang w:val="sq-AL"/>
        </w:rPr>
        <w:t>miliardë</w:t>
      </w:r>
      <w:r w:rsidR="00707AC5" w:rsidRPr="00B644BE">
        <w:rPr>
          <w:rFonts w:eastAsia="MS Mincho" w:cs="Calibri"/>
          <w:noProof/>
          <w:lang w:val="sq-AL"/>
        </w:rPr>
        <w:t xml:space="preserve"> LEK</w:t>
      </w:r>
      <w:r w:rsidR="00707AC5">
        <w:rPr>
          <w:rFonts w:eastAsia="MS Mincho" w:cs="Calibri"/>
          <w:noProof/>
          <w:lang w:val="sq-AL"/>
        </w:rPr>
        <w:t xml:space="preserve">, pothuajse në të njëjtat nivele me vitin e mëparshëm, por </w:t>
      </w:r>
      <w:r w:rsidR="00707AC5" w:rsidRPr="00B644BE">
        <w:rPr>
          <w:rFonts w:eastAsia="MS Mincho" w:cs="Calibri"/>
          <w:noProof/>
          <w:lang w:val="sq-AL"/>
        </w:rPr>
        <w:t xml:space="preserve">rezultojnë më një rritje prej </w:t>
      </w:r>
      <w:r w:rsidR="00707AC5">
        <w:rPr>
          <w:rFonts w:eastAsia="MS Mincho" w:cs="Calibri"/>
          <w:noProof/>
          <w:lang w:val="sq-AL"/>
        </w:rPr>
        <w:t>2</w:t>
      </w:r>
      <w:r w:rsidR="00707AC5" w:rsidRPr="00B644BE">
        <w:rPr>
          <w:rFonts w:eastAsia="MS Mincho" w:cs="Calibri"/>
          <w:noProof/>
          <w:lang w:val="sq-AL"/>
        </w:rPr>
        <w:t xml:space="preserve">% ose rreth </w:t>
      </w:r>
      <w:r w:rsidR="00707AC5">
        <w:rPr>
          <w:rFonts w:eastAsia="MS Mincho" w:cs="Calibri"/>
          <w:noProof/>
          <w:lang w:val="sq-AL"/>
        </w:rPr>
        <w:t xml:space="preserve">375 </w:t>
      </w:r>
      <w:r w:rsidR="0056260B">
        <w:rPr>
          <w:rFonts w:eastAsia="MS Mincho" w:cs="Calibri"/>
          <w:noProof/>
          <w:lang w:val="sq-AL"/>
        </w:rPr>
        <w:t>milionë</w:t>
      </w:r>
      <w:r w:rsidR="00707AC5">
        <w:rPr>
          <w:rFonts w:eastAsia="MS Mincho" w:cs="Calibri"/>
          <w:noProof/>
          <w:lang w:val="sq-AL"/>
        </w:rPr>
        <w:t xml:space="preserve"> </w:t>
      </w:r>
      <w:r w:rsidR="00707AC5" w:rsidRPr="00B644BE">
        <w:rPr>
          <w:rFonts w:eastAsia="MS Mincho" w:cs="Calibri"/>
          <w:noProof/>
          <w:lang w:val="sq-AL"/>
        </w:rPr>
        <w:t>LEK më shumë</w:t>
      </w:r>
      <w:r w:rsidR="00707AC5" w:rsidRPr="00951DDC">
        <w:rPr>
          <w:rFonts w:eastAsia="MS Mincho" w:cs="Calibri"/>
          <w:noProof/>
          <w:lang w:val="sq-AL"/>
        </w:rPr>
        <w:t xml:space="preserve"> </w:t>
      </w:r>
      <w:r w:rsidR="00707AC5" w:rsidRPr="00B644BE">
        <w:rPr>
          <w:rFonts w:eastAsia="MS Mincho" w:cs="Calibri"/>
          <w:noProof/>
          <w:lang w:val="sq-AL"/>
        </w:rPr>
        <w:t>në raport me një vit më parë. Shpenzimet operative në vitin 202</w:t>
      </w:r>
      <w:r w:rsidR="00707AC5">
        <w:rPr>
          <w:rFonts w:eastAsia="MS Mincho" w:cs="Calibri"/>
          <w:noProof/>
          <w:lang w:val="sq-AL"/>
        </w:rPr>
        <w:t>5</w:t>
      </w:r>
      <w:r w:rsidR="00707AC5" w:rsidRPr="00B644BE">
        <w:rPr>
          <w:rFonts w:eastAsia="MS Mincho" w:cs="Calibri"/>
          <w:noProof/>
          <w:lang w:val="sq-AL"/>
        </w:rPr>
        <w:t xml:space="preserve"> përbëjnë rreth </w:t>
      </w:r>
      <w:r w:rsidR="00707AC5">
        <w:rPr>
          <w:rFonts w:eastAsia="MS Mincho" w:cs="Calibri"/>
          <w:noProof/>
          <w:lang w:val="sq-AL"/>
        </w:rPr>
        <w:t>25.3</w:t>
      </w:r>
      <w:r w:rsidR="00707AC5" w:rsidRPr="00B644BE">
        <w:rPr>
          <w:rFonts w:eastAsia="MS Mincho" w:cs="Calibri"/>
          <w:noProof/>
          <w:lang w:val="sq-AL"/>
        </w:rPr>
        <w:t>% të shpenzimeve të pushtetit vendor</w:t>
      </w:r>
      <w:r w:rsidRPr="00B644BE">
        <w:rPr>
          <w:rFonts w:eastAsia="MS Mincho" w:cs="Calibri"/>
          <w:noProof/>
          <w:lang w:val="sq-AL"/>
        </w:rPr>
        <w:t>.</w:t>
      </w:r>
    </w:p>
    <w:p w14:paraId="0AFC41CF" w14:textId="77777777" w:rsidR="00983808" w:rsidRDefault="00E1483F" w:rsidP="00E1483F">
      <w:pPr>
        <w:spacing w:line="240" w:lineRule="auto"/>
        <w:rPr>
          <w:rFonts w:eastAsia="MS Mincho" w:cs="Calibri"/>
          <w:noProof/>
          <w:lang w:val="sq-AL"/>
        </w:rPr>
      </w:pPr>
      <w:r w:rsidRPr="00B644BE">
        <w:rPr>
          <w:rFonts w:eastAsia="MS Mincho" w:cs="Calibri"/>
          <w:i/>
          <w:noProof/>
          <w:lang w:val="sq-AL"/>
        </w:rPr>
        <w:t>Shpenzimet vendore për subvencione dhe të tjera</w:t>
      </w:r>
      <w:r w:rsidR="00707AC5">
        <w:rPr>
          <w:rFonts w:eastAsia="MS Mincho" w:cs="Calibri"/>
          <w:i/>
          <w:noProof/>
          <w:lang w:val="sq-AL"/>
        </w:rPr>
        <w:t xml:space="preserve"> korente</w:t>
      </w:r>
      <w:r w:rsidRPr="00B644BE">
        <w:rPr>
          <w:rFonts w:eastAsia="MS Mincho" w:cs="Calibri"/>
          <w:noProof/>
          <w:lang w:val="sq-AL"/>
        </w:rPr>
        <w:t xml:space="preserve"> </w:t>
      </w:r>
      <w:r w:rsidR="00707AC5" w:rsidRPr="00B644BE">
        <w:rPr>
          <w:rFonts w:eastAsia="MS Mincho" w:cs="Calibri"/>
          <w:noProof/>
          <w:lang w:val="sq-AL"/>
        </w:rPr>
        <w:t>janë shpenzimet që zhvillojnë NJVQV për të subvencionuar dhe mbuluar funksione të tjera administrative. Subvencionet në vitin 202</w:t>
      </w:r>
      <w:r w:rsidR="00707AC5">
        <w:rPr>
          <w:rFonts w:eastAsia="MS Mincho" w:cs="Calibri"/>
          <w:noProof/>
          <w:lang w:val="sq-AL"/>
        </w:rPr>
        <w:t>5</w:t>
      </w:r>
      <w:r w:rsidR="00707AC5" w:rsidRPr="00B644BE">
        <w:rPr>
          <w:rFonts w:eastAsia="MS Mincho" w:cs="Calibri"/>
          <w:noProof/>
          <w:lang w:val="sq-AL"/>
        </w:rPr>
        <w:t xml:space="preserve"> kanë pësuar gjithashtu një rritje të konsiderueshme me rreth </w:t>
      </w:r>
      <w:r w:rsidR="00707AC5">
        <w:rPr>
          <w:rFonts w:eastAsia="MS Mincho" w:cs="Calibri"/>
          <w:noProof/>
          <w:lang w:val="sq-AL"/>
        </w:rPr>
        <w:t>294</w:t>
      </w:r>
      <w:r w:rsidR="00707AC5" w:rsidRPr="00B644BE">
        <w:rPr>
          <w:rFonts w:eastAsia="MS Mincho" w:cs="Calibri"/>
          <w:noProof/>
          <w:lang w:val="sq-AL"/>
        </w:rPr>
        <w:t>% nga viti 202</w:t>
      </w:r>
      <w:r w:rsidR="00707AC5">
        <w:rPr>
          <w:rFonts w:eastAsia="MS Mincho" w:cs="Calibri"/>
          <w:noProof/>
          <w:lang w:val="sq-AL"/>
        </w:rPr>
        <w:t>4</w:t>
      </w:r>
      <w:r w:rsidR="00707AC5" w:rsidRPr="00B644BE">
        <w:rPr>
          <w:rFonts w:eastAsia="MS Mincho" w:cs="Calibri"/>
          <w:noProof/>
          <w:lang w:val="sq-AL"/>
        </w:rPr>
        <w:t xml:space="preserve"> ose rreth </w:t>
      </w:r>
      <w:r w:rsidR="00707AC5">
        <w:rPr>
          <w:rFonts w:eastAsia="MS Mincho" w:cs="Calibri"/>
          <w:noProof/>
          <w:lang w:val="sq-AL"/>
        </w:rPr>
        <w:t>1 099</w:t>
      </w:r>
      <w:r w:rsidR="00707AC5" w:rsidRPr="00B644BE">
        <w:rPr>
          <w:rFonts w:eastAsia="MS Mincho" w:cs="Calibri"/>
          <w:noProof/>
          <w:lang w:val="sq-AL"/>
        </w:rPr>
        <w:t xml:space="preserve"> </w:t>
      </w:r>
      <w:r w:rsidR="0056260B">
        <w:rPr>
          <w:rFonts w:eastAsia="MS Mincho" w:cs="Calibri"/>
          <w:noProof/>
          <w:lang w:val="sq-AL"/>
        </w:rPr>
        <w:t>milionë</w:t>
      </w:r>
      <w:r w:rsidR="00707AC5" w:rsidRPr="00B644BE">
        <w:rPr>
          <w:rFonts w:eastAsia="MS Mincho" w:cs="Calibri"/>
          <w:noProof/>
          <w:lang w:val="sq-AL"/>
        </w:rPr>
        <w:t xml:space="preserve"> LEK më shumë. </w:t>
      </w:r>
    </w:p>
    <w:p w14:paraId="4172E109" w14:textId="1508BB0B" w:rsidR="00E1483F" w:rsidRPr="00B644BE" w:rsidRDefault="00707AC5" w:rsidP="00E1483F">
      <w:pPr>
        <w:spacing w:line="240" w:lineRule="auto"/>
        <w:rPr>
          <w:rFonts w:eastAsia="MS Mincho" w:cs="Calibri"/>
          <w:noProof/>
          <w:lang w:val="sq-AL"/>
        </w:rPr>
      </w:pPr>
      <w:r w:rsidRPr="00B644BE">
        <w:rPr>
          <w:rFonts w:eastAsia="MS Mincho" w:cs="Calibri"/>
          <w:noProof/>
          <w:lang w:val="sq-AL"/>
        </w:rPr>
        <w:t xml:space="preserve">Tashmë njësitë vendore planifikojnë në periudhë afatgjatë dhe mbështetur mbi strategji të qarta zhvillimi dhe ofrimi të shërbimit publik, që në mënyrë vazhdueshme të mbështesin me subvencione zhvillimin ekonomik të zonës nën juridiksionin e tyre. Kurse shpenzimet e tjera korente </w:t>
      </w:r>
      <w:r>
        <w:rPr>
          <w:rFonts w:eastAsia="MS Mincho" w:cs="Calibri"/>
          <w:noProof/>
          <w:lang w:val="sq-AL"/>
        </w:rPr>
        <w:t xml:space="preserve">në tërësinë e tyre </w:t>
      </w:r>
      <w:r w:rsidRPr="00B644BE">
        <w:rPr>
          <w:rFonts w:eastAsia="MS Mincho" w:cs="Calibri"/>
          <w:noProof/>
          <w:lang w:val="sq-AL"/>
        </w:rPr>
        <w:t xml:space="preserve">janë rritur me rreth </w:t>
      </w:r>
      <w:r>
        <w:rPr>
          <w:rFonts w:eastAsia="MS Mincho" w:cs="Calibri"/>
          <w:noProof/>
          <w:lang w:val="sq-AL"/>
        </w:rPr>
        <w:t>43</w:t>
      </w:r>
      <w:r w:rsidRPr="00B644BE">
        <w:rPr>
          <w:rFonts w:eastAsia="MS Mincho" w:cs="Calibri"/>
          <w:noProof/>
          <w:lang w:val="sq-AL"/>
        </w:rPr>
        <w:t xml:space="preserve">% ose me </w:t>
      </w:r>
      <w:r>
        <w:rPr>
          <w:rFonts w:eastAsia="MS Mincho" w:cs="Calibri"/>
          <w:noProof/>
          <w:lang w:val="sq-AL"/>
        </w:rPr>
        <w:t>1 469</w:t>
      </w:r>
      <w:r w:rsidRPr="00B644BE">
        <w:rPr>
          <w:rFonts w:eastAsia="MS Mincho" w:cs="Calibri"/>
          <w:noProof/>
          <w:lang w:val="sq-AL"/>
        </w:rPr>
        <w:t xml:space="preserve"> </w:t>
      </w:r>
      <w:r w:rsidR="0056260B">
        <w:rPr>
          <w:rFonts w:eastAsia="MS Mincho" w:cs="Calibri"/>
          <w:noProof/>
          <w:lang w:val="sq-AL"/>
        </w:rPr>
        <w:t>milionë</w:t>
      </w:r>
      <w:r w:rsidRPr="00B644BE">
        <w:rPr>
          <w:rFonts w:eastAsia="MS Mincho" w:cs="Calibri"/>
          <w:noProof/>
          <w:lang w:val="sq-AL"/>
        </w:rPr>
        <w:t xml:space="preserve"> LEK krahasuar me vitin 202</w:t>
      </w:r>
      <w:r>
        <w:rPr>
          <w:rFonts w:eastAsia="MS Mincho" w:cs="Calibri"/>
          <w:noProof/>
          <w:lang w:val="sq-AL"/>
        </w:rPr>
        <w:t xml:space="preserve">4, ku rritja më konsiderueshme evidentohet në llogarinë 604 “transferta të brendshme korente” si dhe në llogarinë 651 “shpenzimet për interesa </w:t>
      </w:r>
      <w:r w:rsidRPr="00C73ADC">
        <w:rPr>
          <w:rFonts w:eastAsia="MS Mincho" w:cs="Calibri"/>
          <w:noProof/>
          <w:lang w:val="sq-AL"/>
        </w:rPr>
        <w:t>p</w:t>
      </w:r>
      <w:r>
        <w:rPr>
          <w:rFonts w:eastAsia="MS Mincho" w:cs="Calibri"/>
          <w:noProof/>
          <w:lang w:val="sq-AL"/>
        </w:rPr>
        <w:t>ë</w:t>
      </w:r>
      <w:r w:rsidRPr="00C73ADC">
        <w:rPr>
          <w:rFonts w:eastAsia="MS Mincho" w:cs="Calibri"/>
          <w:noProof/>
          <w:lang w:val="sq-AL"/>
        </w:rPr>
        <w:t>r huamarrje t</w:t>
      </w:r>
      <w:r>
        <w:rPr>
          <w:rFonts w:eastAsia="MS Mincho" w:cs="Calibri"/>
          <w:noProof/>
          <w:lang w:val="sq-AL"/>
        </w:rPr>
        <w:t>ë</w:t>
      </w:r>
      <w:r w:rsidRPr="00C73ADC">
        <w:rPr>
          <w:rFonts w:eastAsia="MS Mincho" w:cs="Calibri"/>
          <w:noProof/>
          <w:lang w:val="sq-AL"/>
        </w:rPr>
        <w:t xml:space="preserve"> tjera t</w:t>
      </w:r>
      <w:r>
        <w:rPr>
          <w:rFonts w:eastAsia="MS Mincho" w:cs="Calibri"/>
          <w:noProof/>
          <w:lang w:val="sq-AL"/>
        </w:rPr>
        <w:t>ë</w:t>
      </w:r>
      <w:r w:rsidRPr="00C73ADC">
        <w:rPr>
          <w:rFonts w:eastAsia="MS Mincho" w:cs="Calibri"/>
          <w:noProof/>
          <w:lang w:val="sq-AL"/>
        </w:rPr>
        <w:t xml:space="preserve"> brendshme</w:t>
      </w:r>
      <w:r>
        <w:rPr>
          <w:rFonts w:eastAsia="MS Mincho" w:cs="Calibri"/>
          <w:noProof/>
          <w:lang w:val="sq-AL"/>
        </w:rPr>
        <w:t xml:space="preserve">” me rreth 572 </w:t>
      </w:r>
      <w:r w:rsidR="0056260B">
        <w:rPr>
          <w:rFonts w:eastAsia="MS Mincho" w:cs="Calibri"/>
          <w:noProof/>
          <w:lang w:val="sq-AL"/>
        </w:rPr>
        <w:t>milionë</w:t>
      </w:r>
      <w:r>
        <w:rPr>
          <w:rFonts w:eastAsia="MS Mincho" w:cs="Calibri"/>
          <w:noProof/>
          <w:lang w:val="sq-AL"/>
        </w:rPr>
        <w:t xml:space="preserve"> LEK më shumë se në vitin 2024</w:t>
      </w:r>
      <w:r w:rsidR="00E1483F" w:rsidRPr="00B644BE">
        <w:rPr>
          <w:rFonts w:eastAsia="MS Mincho" w:cs="Calibri"/>
          <w:noProof/>
          <w:lang w:val="sq-AL"/>
        </w:rPr>
        <w:t>.</w:t>
      </w:r>
    </w:p>
    <w:p w14:paraId="56D0C136" w14:textId="4F7578F0" w:rsidR="00B949A2" w:rsidRDefault="00E1483F" w:rsidP="00E1483F">
      <w:pPr>
        <w:spacing w:line="240" w:lineRule="auto"/>
        <w:rPr>
          <w:rFonts w:eastAsia="MS Mincho" w:cs="Calibri"/>
          <w:noProof/>
          <w:lang w:val="sq-AL"/>
        </w:rPr>
      </w:pPr>
      <w:r w:rsidRPr="00B644BE">
        <w:rPr>
          <w:rFonts w:eastAsia="MS Mincho" w:cs="Calibri"/>
          <w:i/>
          <w:noProof/>
          <w:lang w:val="sq-AL"/>
        </w:rPr>
        <w:t>Shpenzimet kapitale vendore</w:t>
      </w:r>
      <w:r w:rsidRPr="00B644BE">
        <w:rPr>
          <w:rFonts w:eastAsia="MS Mincho" w:cs="Calibri"/>
          <w:noProof/>
          <w:lang w:val="sq-AL"/>
        </w:rPr>
        <w:t xml:space="preserve"> për vitin </w:t>
      </w:r>
      <w:r w:rsidR="00707AC5" w:rsidRPr="00B644BE">
        <w:rPr>
          <w:rFonts w:eastAsia="MS Mincho" w:cs="Calibri"/>
          <w:noProof/>
          <w:lang w:val="sq-AL"/>
        </w:rPr>
        <w:t>202</w:t>
      </w:r>
      <w:r w:rsidR="00707AC5">
        <w:rPr>
          <w:rFonts w:eastAsia="MS Mincho" w:cs="Calibri"/>
          <w:noProof/>
          <w:lang w:val="sq-AL"/>
        </w:rPr>
        <w:t>5</w:t>
      </w:r>
      <w:r w:rsidR="00707AC5" w:rsidRPr="00B644BE">
        <w:rPr>
          <w:rFonts w:eastAsia="MS Mincho" w:cs="Calibri"/>
          <w:noProof/>
          <w:lang w:val="sq-AL"/>
        </w:rPr>
        <w:t xml:space="preserve"> rezultojnë të realizuara në një vlerë të konsiderueshme prej </w:t>
      </w:r>
      <w:r w:rsidR="00707AC5">
        <w:rPr>
          <w:rFonts w:eastAsia="MS Mincho" w:cs="Calibri"/>
          <w:noProof/>
          <w:lang w:val="sq-AL"/>
        </w:rPr>
        <w:t>mbi 18.9</w:t>
      </w:r>
      <w:r w:rsidR="00707AC5" w:rsidRPr="00B644BE">
        <w:rPr>
          <w:rFonts w:eastAsia="MS Mincho" w:cs="Calibri"/>
          <w:noProof/>
          <w:lang w:val="sq-AL"/>
        </w:rPr>
        <w:t xml:space="preserve"> </w:t>
      </w:r>
      <w:r w:rsidR="0056260B">
        <w:rPr>
          <w:rFonts w:eastAsia="MS Mincho" w:cs="Calibri"/>
          <w:noProof/>
          <w:lang w:val="sq-AL"/>
        </w:rPr>
        <w:t>miliardë</w:t>
      </w:r>
      <w:r w:rsidR="00707AC5" w:rsidRPr="00B644BE">
        <w:rPr>
          <w:rFonts w:eastAsia="MS Mincho" w:cs="Calibri"/>
          <w:noProof/>
          <w:lang w:val="sq-AL"/>
        </w:rPr>
        <w:t xml:space="preserve"> LEK, duke zënë kështu rreth </w:t>
      </w:r>
      <w:r w:rsidR="00707AC5">
        <w:rPr>
          <w:rFonts w:eastAsia="MS Mincho" w:cs="Calibri"/>
          <w:noProof/>
          <w:lang w:val="sq-AL"/>
        </w:rPr>
        <w:t>21.5</w:t>
      </w:r>
      <w:r w:rsidR="00707AC5" w:rsidRPr="00B644BE">
        <w:rPr>
          <w:rFonts w:eastAsia="MS Mincho" w:cs="Calibri"/>
          <w:noProof/>
          <w:lang w:val="sq-AL"/>
        </w:rPr>
        <w:t>% të totalit të shpenzimeve vendore</w:t>
      </w:r>
      <w:r w:rsidR="00707AC5">
        <w:rPr>
          <w:rFonts w:eastAsia="MS Mincho" w:cs="Calibri"/>
          <w:noProof/>
          <w:lang w:val="sq-AL"/>
        </w:rPr>
        <w:t>.</w:t>
      </w:r>
      <w:r w:rsidR="00707AC5" w:rsidRPr="00B644BE">
        <w:rPr>
          <w:rFonts w:eastAsia="MS Mincho" w:cs="Calibri"/>
          <w:noProof/>
          <w:lang w:val="sq-AL"/>
        </w:rPr>
        <w:t xml:space="preserve"> </w:t>
      </w:r>
      <w:r w:rsidR="00707AC5">
        <w:rPr>
          <w:rFonts w:eastAsia="MS Mincho" w:cs="Calibri"/>
          <w:noProof/>
          <w:lang w:val="sq-AL"/>
        </w:rPr>
        <w:t>Krahasuar me vitin 2024 shpenzimet kapitale rezultojnë më të larta në vlerë nomkinale me 4.3</w:t>
      </w:r>
      <w:r w:rsidR="00707AC5" w:rsidRPr="00B644BE">
        <w:rPr>
          <w:rFonts w:eastAsia="MS Mincho" w:cs="Calibri"/>
          <w:noProof/>
          <w:lang w:val="sq-AL"/>
        </w:rPr>
        <w:t xml:space="preserve"> </w:t>
      </w:r>
      <w:r w:rsidR="0056260B">
        <w:rPr>
          <w:rFonts w:eastAsia="MS Mincho" w:cs="Calibri"/>
          <w:noProof/>
          <w:lang w:val="sq-AL"/>
        </w:rPr>
        <w:t>miliardë</w:t>
      </w:r>
      <w:r w:rsidR="00707AC5" w:rsidRPr="00B644BE">
        <w:rPr>
          <w:rFonts w:eastAsia="MS Mincho" w:cs="Calibri"/>
          <w:noProof/>
          <w:lang w:val="sq-AL"/>
        </w:rPr>
        <w:t xml:space="preserve"> LEK ose rreth </w:t>
      </w:r>
      <w:r w:rsidR="00707AC5">
        <w:rPr>
          <w:rFonts w:eastAsia="MS Mincho" w:cs="Calibri"/>
          <w:noProof/>
          <w:lang w:val="sq-AL"/>
        </w:rPr>
        <w:t>30</w:t>
      </w:r>
      <w:r w:rsidR="00707AC5" w:rsidRPr="00B644BE">
        <w:rPr>
          <w:rFonts w:eastAsia="MS Mincho" w:cs="Calibri"/>
          <w:noProof/>
          <w:lang w:val="sq-AL"/>
        </w:rPr>
        <w:t xml:space="preserve">%. Projektet kryesore të investimeve janë përqëndruar kryesisht në </w:t>
      </w:r>
      <w:r w:rsidR="00707AC5">
        <w:rPr>
          <w:rFonts w:eastAsia="MS Mincho" w:cs="Calibri"/>
          <w:noProof/>
          <w:lang w:val="sq-AL"/>
        </w:rPr>
        <w:t xml:space="preserve">ndërtimin apo </w:t>
      </w:r>
      <w:r w:rsidR="00707AC5" w:rsidRPr="00B644BE">
        <w:rPr>
          <w:rFonts w:eastAsia="MS Mincho" w:cs="Calibri"/>
          <w:noProof/>
          <w:lang w:val="sq-AL"/>
        </w:rPr>
        <w:t>rikonstruksionin e rrugëve, fushave sportive, palestrave, bibliotekave, shkollave, ndërtim të kopshteve, rikualifikime urbane</w:t>
      </w:r>
      <w:r w:rsidR="00707AC5">
        <w:rPr>
          <w:rFonts w:eastAsia="MS Mincho" w:cs="Calibri"/>
          <w:noProof/>
          <w:lang w:val="sq-AL"/>
        </w:rPr>
        <w:t xml:space="preserve">, ujësjellësat </w:t>
      </w:r>
      <w:r w:rsidR="00707AC5" w:rsidRPr="008B7B9F">
        <w:rPr>
          <w:rFonts w:eastAsia="MS Mincho" w:cs="Calibri"/>
          <w:noProof/>
          <w:lang w:val="sq-AL"/>
        </w:rPr>
        <w:t xml:space="preserve">etj. Nisur nga burimi i financimit të tyre vërejmë se mbi 4.6 </w:t>
      </w:r>
      <w:r w:rsidR="0056260B">
        <w:rPr>
          <w:rFonts w:eastAsia="MS Mincho" w:cs="Calibri"/>
          <w:noProof/>
          <w:lang w:val="sq-AL"/>
        </w:rPr>
        <w:t>miliardë</w:t>
      </w:r>
      <w:r w:rsidR="00707AC5" w:rsidRPr="008B7B9F">
        <w:rPr>
          <w:rFonts w:eastAsia="MS Mincho" w:cs="Calibri"/>
          <w:noProof/>
          <w:lang w:val="sq-AL"/>
        </w:rPr>
        <w:t xml:space="preserve"> LEK investime janë realizuar nga kapitulli 01 “çelje nga buxheti” q</w:t>
      </w:r>
      <w:r w:rsidR="00707AC5">
        <w:rPr>
          <w:rFonts w:eastAsia="MS Mincho" w:cs="Calibri"/>
          <w:noProof/>
          <w:lang w:val="sq-AL"/>
        </w:rPr>
        <w:t>ë</w:t>
      </w:r>
      <w:r w:rsidR="00707AC5" w:rsidRPr="008B7B9F">
        <w:rPr>
          <w:rFonts w:eastAsia="MS Mincho" w:cs="Calibri"/>
          <w:noProof/>
          <w:lang w:val="sq-AL"/>
        </w:rPr>
        <w:t xml:space="preserve"> do t</w:t>
      </w:r>
      <w:r w:rsidR="00707AC5">
        <w:rPr>
          <w:rFonts w:eastAsia="MS Mincho" w:cs="Calibri"/>
          <w:noProof/>
          <w:lang w:val="sq-AL"/>
        </w:rPr>
        <w:t>ë</w:t>
      </w:r>
      <w:r w:rsidR="00707AC5" w:rsidRPr="008B7B9F">
        <w:rPr>
          <w:rFonts w:eastAsia="MS Mincho" w:cs="Calibri"/>
          <w:noProof/>
          <w:lang w:val="sq-AL"/>
        </w:rPr>
        <w:t xml:space="preserve"> thot</w:t>
      </w:r>
      <w:r w:rsidR="00707AC5">
        <w:rPr>
          <w:rFonts w:eastAsia="MS Mincho" w:cs="Calibri"/>
          <w:noProof/>
          <w:lang w:val="sq-AL"/>
        </w:rPr>
        <w:t>ë</w:t>
      </w:r>
      <w:r w:rsidR="00707AC5" w:rsidRPr="008B7B9F">
        <w:rPr>
          <w:rFonts w:eastAsia="MS Mincho" w:cs="Calibri"/>
          <w:noProof/>
          <w:lang w:val="sq-AL"/>
        </w:rPr>
        <w:t xml:space="preserve"> se kan</w:t>
      </w:r>
      <w:r w:rsidR="00707AC5">
        <w:rPr>
          <w:rFonts w:eastAsia="MS Mincho" w:cs="Calibri"/>
          <w:noProof/>
          <w:lang w:val="sq-AL"/>
        </w:rPr>
        <w:t>ë</w:t>
      </w:r>
      <w:r w:rsidR="00707AC5" w:rsidRPr="008B7B9F">
        <w:rPr>
          <w:rFonts w:eastAsia="MS Mincho" w:cs="Calibri"/>
          <w:noProof/>
          <w:lang w:val="sq-AL"/>
        </w:rPr>
        <w:t xml:space="preserve"> patur burim financimi transfertat qendrore, kurse mbi 14 </w:t>
      </w:r>
      <w:r w:rsidR="0056260B">
        <w:rPr>
          <w:rFonts w:eastAsia="MS Mincho" w:cs="Calibri"/>
          <w:noProof/>
          <w:lang w:val="sq-AL"/>
        </w:rPr>
        <w:t>miliardë</w:t>
      </w:r>
      <w:r w:rsidR="00707AC5" w:rsidRPr="008B7B9F">
        <w:rPr>
          <w:rFonts w:eastAsia="MS Mincho" w:cs="Calibri"/>
          <w:noProof/>
          <w:lang w:val="sq-AL"/>
        </w:rPr>
        <w:t xml:space="preserve"> LEK janë realizuar me burim nga kapitulli 05 “të ardhurat e veta”, ndërkohë që rezultojnë të realizuara rreth 156 </w:t>
      </w:r>
      <w:r w:rsidR="0056260B">
        <w:rPr>
          <w:rFonts w:eastAsia="MS Mincho" w:cs="Calibri"/>
          <w:noProof/>
          <w:lang w:val="sq-AL"/>
        </w:rPr>
        <w:t>milionë</w:t>
      </w:r>
      <w:r w:rsidR="00707AC5" w:rsidRPr="008B7B9F">
        <w:rPr>
          <w:rFonts w:eastAsia="MS Mincho" w:cs="Calibri"/>
          <w:noProof/>
          <w:lang w:val="sq-AL"/>
        </w:rPr>
        <w:t xml:space="preserve"> LEK investime të pushtetit vendor me financim të huaj (kapitulli 02) si dhe rreth 54 </w:t>
      </w:r>
      <w:r w:rsidR="0056260B">
        <w:rPr>
          <w:rFonts w:eastAsia="MS Mincho" w:cs="Calibri"/>
          <w:noProof/>
          <w:lang w:val="sq-AL"/>
        </w:rPr>
        <w:t>milionë</w:t>
      </w:r>
      <w:r w:rsidR="00707AC5" w:rsidRPr="008B7B9F">
        <w:rPr>
          <w:rFonts w:eastAsia="MS Mincho" w:cs="Calibri"/>
          <w:noProof/>
          <w:lang w:val="sq-AL"/>
        </w:rPr>
        <w:t xml:space="preserve"> LEK investime nga të ardhurat jashtë limitit (kapitulli 06)</w:t>
      </w:r>
      <w:r>
        <w:rPr>
          <w:rFonts w:eastAsia="MS Mincho" w:cs="Calibri"/>
          <w:noProof/>
          <w:lang w:val="sq-AL"/>
        </w:rPr>
        <w:t>.</w:t>
      </w:r>
    </w:p>
    <w:p w14:paraId="5EF52F2A" w14:textId="77777777" w:rsidR="008D6216" w:rsidRDefault="008D6216" w:rsidP="00E1483F">
      <w:pPr>
        <w:spacing w:line="240" w:lineRule="auto"/>
        <w:rPr>
          <w:rFonts w:eastAsia="MS Mincho" w:cs="Calibri"/>
          <w:noProof/>
          <w:sz w:val="12"/>
          <w:szCs w:val="14"/>
          <w:lang w:val="sq-AL"/>
        </w:rPr>
      </w:pPr>
    </w:p>
    <w:p w14:paraId="6572E4FE" w14:textId="77777777" w:rsidR="00F55F62" w:rsidRDefault="00F55F62" w:rsidP="00E1483F">
      <w:pPr>
        <w:spacing w:line="240" w:lineRule="auto"/>
        <w:rPr>
          <w:rFonts w:eastAsia="MS Mincho" w:cs="Calibri"/>
          <w:noProof/>
          <w:sz w:val="12"/>
          <w:szCs w:val="14"/>
          <w:lang w:val="sq-AL"/>
        </w:rPr>
      </w:pPr>
    </w:p>
    <w:p w14:paraId="24DD21C8" w14:textId="77777777" w:rsidR="00F55F62" w:rsidRDefault="00F55F62" w:rsidP="00E1483F">
      <w:pPr>
        <w:spacing w:line="240" w:lineRule="auto"/>
        <w:rPr>
          <w:rFonts w:eastAsia="MS Mincho" w:cs="Calibri"/>
          <w:noProof/>
          <w:sz w:val="12"/>
          <w:szCs w:val="14"/>
          <w:lang w:val="sq-AL"/>
        </w:rPr>
      </w:pPr>
    </w:p>
    <w:p w14:paraId="238612F6" w14:textId="77777777" w:rsidR="00F55F62" w:rsidRDefault="00F55F62" w:rsidP="00E1483F">
      <w:pPr>
        <w:spacing w:line="240" w:lineRule="auto"/>
        <w:rPr>
          <w:rFonts w:eastAsia="MS Mincho" w:cs="Calibri"/>
          <w:noProof/>
          <w:sz w:val="12"/>
          <w:szCs w:val="14"/>
          <w:lang w:val="sq-AL"/>
        </w:rPr>
      </w:pPr>
    </w:p>
    <w:p w14:paraId="29021544" w14:textId="77777777" w:rsidR="00F55F62" w:rsidRPr="00983808" w:rsidRDefault="00F55F62" w:rsidP="00E1483F">
      <w:pPr>
        <w:spacing w:line="240" w:lineRule="auto"/>
        <w:rPr>
          <w:rFonts w:eastAsia="MS Mincho" w:cs="Calibri"/>
          <w:noProof/>
          <w:sz w:val="12"/>
          <w:szCs w:val="14"/>
          <w:lang w:val="sq-AL"/>
        </w:rPr>
      </w:pPr>
    </w:p>
    <w:p w14:paraId="3DFAB159" w14:textId="77777777" w:rsidR="00030ED6" w:rsidRDefault="00030ED6" w:rsidP="00E1483F">
      <w:pPr>
        <w:spacing w:line="240" w:lineRule="auto"/>
        <w:rPr>
          <w:rFonts w:eastAsia="MS Mincho" w:cs="Calibri"/>
          <w:noProof/>
          <w:lang w:val="sq-AL"/>
        </w:rPr>
      </w:pPr>
    </w:p>
    <w:p w14:paraId="50ABAB07" w14:textId="77777777" w:rsidR="00A94670" w:rsidRPr="00B1170D" w:rsidRDefault="008F621A" w:rsidP="00B1170D">
      <w:pPr>
        <w:pStyle w:val="Heading1"/>
        <w:spacing w:before="0"/>
        <w:rPr>
          <w:b/>
          <w:bCs/>
          <w:noProof/>
        </w:rPr>
      </w:pPr>
      <w:bookmarkStart w:id="169" w:name="_Toc10033283"/>
      <w:bookmarkStart w:id="170" w:name="_Toc10721420"/>
      <w:bookmarkStart w:id="171" w:name="_Toc229390823"/>
      <w:r w:rsidRPr="00B1170D">
        <w:rPr>
          <w:b/>
          <w:bCs/>
          <w:noProof/>
        </w:rPr>
        <w:t>RI</w:t>
      </w:r>
      <w:r w:rsidR="00CD42C3" w:rsidRPr="00B1170D">
        <w:rPr>
          <w:b/>
          <w:bCs/>
          <w:noProof/>
        </w:rPr>
        <w:t>S</w:t>
      </w:r>
      <w:r w:rsidRPr="00B1170D">
        <w:rPr>
          <w:b/>
          <w:bCs/>
          <w:noProof/>
        </w:rPr>
        <w:t>QET FISKALE DHE DETYRIMET KONTIGJENTE</w:t>
      </w:r>
      <w:bookmarkEnd w:id="169"/>
      <w:bookmarkEnd w:id="170"/>
      <w:bookmarkEnd w:id="171"/>
      <w:r w:rsidRPr="00B1170D">
        <w:rPr>
          <w:b/>
          <w:bCs/>
          <w:noProof/>
        </w:rPr>
        <w:t xml:space="preserve"> </w:t>
      </w:r>
    </w:p>
    <w:p w14:paraId="38BE7BB4" w14:textId="0A754724" w:rsidR="008448A3" w:rsidRPr="00983808" w:rsidRDefault="008448A3" w:rsidP="008448A3">
      <w:pPr>
        <w:spacing w:line="240" w:lineRule="auto"/>
        <w:rPr>
          <w:rFonts w:cs="Calibri"/>
          <w:noProof/>
          <w:lang w:val="sq-AL"/>
        </w:rPr>
      </w:pPr>
      <w:r w:rsidRPr="00B644BE">
        <w:rPr>
          <w:rFonts w:cs="Calibri"/>
          <w:noProof/>
          <w:lang w:val="sq-AL"/>
        </w:rPr>
        <w:t xml:space="preserve">Me qëllim ndjekjen e performancës të zbatimit të buxhetit të shtetit, Ministria e Financave me mbështetjen e FMN dhe BB që prej vitit 2017 ka nisur monitorimin e risqeve që shoqërojnë zbatimin e tij. Ky proces ka për qëllim që, në bazë të analizave të thelluara, të rekomandojë zbutjen dhe/apo parandalimin në kohë të rreziqeve fiskale, pasuar nga një vendimarrje koherente. 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B644BE">
        <w:rPr>
          <w:rFonts w:cs="Calibri"/>
          <w:i/>
          <w:noProof/>
          <w:lang w:val="sq-AL"/>
        </w:rPr>
        <w:t>ad-hoc</w:t>
      </w:r>
      <w:r w:rsidRPr="00B644BE">
        <w:rPr>
          <w:rFonts w:cs="Calibri"/>
          <w:noProof/>
          <w:lang w:val="sq-AL"/>
        </w:rPr>
        <w:t xml:space="preserve"> mbi politikën fiskale dhe/ose materializimin e detyrimeve kontingjente. Vlerësimi i probabilitetit dhe ndikimit të risqeve fiskale kryhet në bazë të analizave të thelluara dhe parashikimeve në kuadër të buxhetit afatmesëm, duke vlerësuar </w:t>
      </w:r>
      <w:r w:rsidRPr="00983808">
        <w:rPr>
          <w:rFonts w:cs="Calibri"/>
          <w:noProof/>
          <w:lang w:val="sq-AL"/>
        </w:rPr>
        <w:t>dy kategori risqesh:</w:t>
      </w:r>
    </w:p>
    <w:p w14:paraId="7E9C732A" w14:textId="77777777" w:rsidR="008448A3" w:rsidRPr="00B644BE" w:rsidRDefault="008448A3" w:rsidP="008448A3">
      <w:pPr>
        <w:pStyle w:val="ListParagraph"/>
        <w:spacing w:before="0" w:line="240" w:lineRule="auto"/>
        <w:ind w:left="540"/>
        <w:rPr>
          <w:rFonts w:cs="Calibri"/>
          <w:i/>
          <w:noProof/>
          <w:sz w:val="8"/>
          <w:szCs w:val="8"/>
          <w:lang w:val="sq-AL"/>
        </w:rPr>
      </w:pPr>
    </w:p>
    <w:p w14:paraId="52FB1D19" w14:textId="77777777" w:rsidR="008448A3" w:rsidRPr="00F55F62" w:rsidRDefault="008448A3">
      <w:pPr>
        <w:pStyle w:val="ListParagraph"/>
        <w:numPr>
          <w:ilvl w:val="1"/>
          <w:numId w:val="4"/>
        </w:numPr>
        <w:spacing w:before="0" w:line="240" w:lineRule="auto"/>
        <w:ind w:left="547"/>
        <w:rPr>
          <w:rFonts w:cs="Calibri"/>
          <w:i/>
          <w:noProof/>
          <w:lang w:val="sq-AL"/>
        </w:rPr>
      </w:pPr>
      <w:r w:rsidRPr="00F55F62">
        <w:rPr>
          <w:rFonts w:cs="Calibri"/>
          <w:i/>
          <w:noProof/>
          <w:u w:val="single"/>
          <w:lang w:val="sq-AL"/>
        </w:rPr>
        <w:t>Eksplicite”</w:t>
      </w:r>
      <w:r w:rsidRPr="00F55F62">
        <w:rPr>
          <w:rFonts w:cs="Calibri"/>
          <w:i/>
          <w:noProof/>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14:paraId="06983841" w14:textId="77777777" w:rsidR="008448A3" w:rsidRPr="00F55F62" w:rsidRDefault="008448A3">
      <w:pPr>
        <w:pStyle w:val="ListParagraph"/>
        <w:numPr>
          <w:ilvl w:val="1"/>
          <w:numId w:val="4"/>
        </w:numPr>
        <w:spacing w:before="0" w:line="240" w:lineRule="auto"/>
        <w:ind w:left="547"/>
        <w:rPr>
          <w:rFonts w:cs="Calibri"/>
          <w:i/>
          <w:noProof/>
          <w:lang w:val="sq-AL"/>
        </w:rPr>
      </w:pPr>
      <w:r w:rsidRPr="00F55F62">
        <w:rPr>
          <w:rFonts w:cs="Calibri"/>
          <w:i/>
          <w:noProof/>
          <w:u w:val="single"/>
          <w:lang w:val="sq-AL"/>
        </w:rPr>
        <w:t>“Implicite”</w:t>
      </w:r>
      <w:r w:rsidRPr="00F55F62">
        <w:rPr>
          <w:rFonts w:cs="Calibri"/>
          <w:i/>
          <w:noProof/>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14:paraId="4379382E" w14:textId="77777777" w:rsidR="00F55F62" w:rsidRDefault="00F55F62" w:rsidP="00F55F62">
      <w:pPr>
        <w:pStyle w:val="ListParagraph"/>
        <w:spacing w:before="0" w:line="240" w:lineRule="auto"/>
        <w:ind w:left="547"/>
        <w:rPr>
          <w:rFonts w:cs="Calibri"/>
          <w:i/>
          <w:noProof/>
          <w:sz w:val="20"/>
          <w:szCs w:val="22"/>
          <w:lang w:val="sq-AL"/>
        </w:rPr>
      </w:pPr>
    </w:p>
    <w:p w14:paraId="15112FE1" w14:textId="77777777" w:rsidR="00F55F62" w:rsidRDefault="00F55F62" w:rsidP="00F55F62">
      <w:pPr>
        <w:pStyle w:val="ListParagraph"/>
        <w:spacing w:before="0" w:line="240" w:lineRule="auto"/>
        <w:ind w:left="547"/>
        <w:rPr>
          <w:rFonts w:cs="Calibri"/>
          <w:i/>
          <w:noProof/>
          <w:sz w:val="20"/>
          <w:szCs w:val="22"/>
          <w:lang w:val="sq-AL"/>
        </w:rPr>
      </w:pPr>
    </w:p>
    <w:p w14:paraId="2D1E31F6" w14:textId="77777777" w:rsidR="00F55F62" w:rsidRDefault="00F55F62" w:rsidP="00F55F62">
      <w:pPr>
        <w:pStyle w:val="ListParagraph"/>
        <w:spacing w:before="0" w:line="240" w:lineRule="auto"/>
        <w:ind w:left="547"/>
        <w:rPr>
          <w:rFonts w:cs="Calibri"/>
          <w:i/>
          <w:noProof/>
          <w:sz w:val="20"/>
          <w:szCs w:val="22"/>
          <w:lang w:val="sq-AL"/>
        </w:rPr>
      </w:pPr>
    </w:p>
    <w:p w14:paraId="5EB79385" w14:textId="77777777" w:rsidR="008C5430" w:rsidRPr="000D490A" w:rsidRDefault="008C5430" w:rsidP="008C5430">
      <w:pPr>
        <w:pStyle w:val="ListParagraph"/>
        <w:spacing w:before="0" w:line="240" w:lineRule="auto"/>
        <w:ind w:left="547"/>
        <w:rPr>
          <w:rFonts w:cs="Calibri"/>
          <w:i/>
          <w:noProof/>
          <w:sz w:val="8"/>
          <w:szCs w:val="10"/>
          <w:lang w:val="sq-AL"/>
        </w:rPr>
      </w:pPr>
    </w:p>
    <w:p w14:paraId="18B2C5DF" w14:textId="391633AC" w:rsidR="008448A3" w:rsidRPr="00B644BE" w:rsidRDefault="008448A3" w:rsidP="008448A3">
      <w:pPr>
        <w:pStyle w:val="Caption"/>
        <w:rPr>
          <w:noProof/>
          <w:lang w:val="sq-AL"/>
        </w:rPr>
      </w:pPr>
      <w:bookmarkStart w:id="172" w:name="_Toc229129991"/>
      <w:r w:rsidRPr="00B644BE">
        <w:rPr>
          <w:noProof/>
          <w:lang w:val="sq-AL"/>
        </w:rPr>
        <w:lastRenderedPageBreak/>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17</w:t>
      </w:r>
      <w:r w:rsidRPr="00B644BE">
        <w:rPr>
          <w:noProof/>
          <w:lang w:val="sq-AL"/>
        </w:rPr>
        <w:fldChar w:fldCharType="end"/>
      </w:r>
      <w:r w:rsidRPr="00B644BE">
        <w:rPr>
          <w:noProof/>
          <w:lang w:val="sq-AL"/>
        </w:rPr>
        <w:t xml:space="preserve"> Matrica e riskut</w:t>
      </w:r>
      <w:bookmarkEnd w:id="172"/>
    </w:p>
    <w:tbl>
      <w:tblPr>
        <w:tblStyle w:val="GridTable4-Accent11"/>
        <w:tblW w:w="4971" w:type="pct"/>
        <w:jc w:val="center"/>
        <w:tblLook w:val="04A0" w:firstRow="1" w:lastRow="0" w:firstColumn="1" w:lastColumn="0" w:noHBand="0" w:noVBand="1"/>
      </w:tblPr>
      <w:tblGrid>
        <w:gridCol w:w="3465"/>
        <w:gridCol w:w="6368"/>
      </w:tblGrid>
      <w:tr w:rsidR="008448A3" w:rsidRPr="00B644BE" w14:paraId="42E8A855" w14:textId="77777777" w:rsidTr="00F55F62">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762" w:type="pct"/>
            <w:tcBorders>
              <w:bottom w:val="single" w:sz="4" w:space="0" w:color="59A9F2" w:themeColor="accent1" w:themeTint="99"/>
            </w:tcBorders>
            <w:shd w:val="clear" w:color="auto" w:fill="0B5294" w:themeFill="accent1" w:themeFillShade="BF"/>
            <w:hideMark/>
          </w:tcPr>
          <w:p w14:paraId="1D5DAE97"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kern w:val="24"/>
                <w:sz w:val="19"/>
                <w:szCs w:val="19"/>
                <w:lang w:val="sq-AL" w:eastAsia="nb-NO"/>
              </w:rPr>
              <w:t>Lloji i rrezikut</w:t>
            </w:r>
          </w:p>
        </w:tc>
        <w:tc>
          <w:tcPr>
            <w:tcW w:w="3238" w:type="pct"/>
            <w:tcBorders>
              <w:bottom w:val="single" w:sz="4" w:space="0" w:color="59A9F2" w:themeColor="accent1" w:themeTint="99"/>
            </w:tcBorders>
            <w:shd w:val="clear" w:color="auto" w:fill="0B5294" w:themeFill="accent1" w:themeFillShade="BF"/>
            <w:hideMark/>
          </w:tcPr>
          <w:p w14:paraId="2DFFA1A3" w14:textId="77777777" w:rsidR="008448A3" w:rsidRPr="00B644BE" w:rsidRDefault="008448A3" w:rsidP="00C4499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9"/>
                <w:szCs w:val="19"/>
                <w:lang w:val="sq-AL" w:eastAsia="nb-NO"/>
              </w:rPr>
            </w:pPr>
            <w:r w:rsidRPr="00B644BE">
              <w:rPr>
                <w:rFonts w:cs="Calibri"/>
                <w:noProof/>
                <w:kern w:val="24"/>
                <w:sz w:val="19"/>
                <w:szCs w:val="19"/>
                <w:lang w:val="sq-AL" w:eastAsia="nb-NO"/>
              </w:rPr>
              <w:t>Skenarët e mundshëm</w:t>
            </w:r>
          </w:p>
        </w:tc>
      </w:tr>
      <w:tr w:rsidR="008448A3" w:rsidRPr="00B644BE" w14:paraId="6201C652" w14:textId="77777777" w:rsidTr="00F55F62">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14:paraId="728E8E9B" w14:textId="77777777" w:rsidR="008448A3" w:rsidRPr="00B644BE" w:rsidRDefault="008448A3" w:rsidP="00C44998">
            <w:pPr>
              <w:spacing w:before="0" w:line="240" w:lineRule="auto"/>
              <w:jc w:val="center"/>
              <w:rPr>
                <w:rFonts w:cs="Calibri"/>
                <w:b w:val="0"/>
                <w:bCs w:val="0"/>
                <w:noProof/>
                <w:kern w:val="24"/>
                <w:sz w:val="19"/>
                <w:szCs w:val="19"/>
                <w:lang w:val="sq-AL" w:eastAsia="nb-NO"/>
              </w:rPr>
            </w:pPr>
            <w:r w:rsidRPr="00B644BE">
              <w:rPr>
                <w:rFonts w:cs="Calibri"/>
                <w:noProof/>
                <w:kern w:val="24"/>
                <w:sz w:val="19"/>
                <w:szCs w:val="19"/>
                <w:lang w:val="sq-AL" w:eastAsia="nb-NO"/>
              </w:rPr>
              <w:t xml:space="preserve">Risqet dhe detyrimet </w:t>
            </w:r>
            <w:r w:rsidRPr="00B644BE">
              <w:rPr>
                <w:rFonts w:cs="Calibri"/>
                <w:noProof/>
                <w:kern w:val="24"/>
                <w:sz w:val="19"/>
                <w:szCs w:val="19"/>
                <w:u w:val="single"/>
                <w:lang w:val="sq-AL" w:eastAsia="nb-NO"/>
              </w:rPr>
              <w:t>eksplicite</w:t>
            </w:r>
          </w:p>
        </w:tc>
      </w:tr>
      <w:tr w:rsidR="008448A3" w:rsidRPr="00C147C4" w14:paraId="58D1749F" w14:textId="77777777" w:rsidTr="00F55F62">
        <w:trPr>
          <w:trHeight w:val="23"/>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792214EC"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Goditje Makroekonomike</w:t>
            </w:r>
          </w:p>
        </w:tc>
        <w:tc>
          <w:tcPr>
            <w:tcW w:w="3238" w:type="pct"/>
            <w:hideMark/>
          </w:tcPr>
          <w:p w14:paraId="2B899979" w14:textId="77777777" w:rsidR="008448A3" w:rsidRPr="00B644BE" w:rsidRDefault="008448A3" w:rsidP="00C449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makroekonomike të paparashikuara, që mund të ndryshojnë perspektivën e rritjes ekonomike dhe pozicionin fiskal</w:t>
            </w:r>
          </w:p>
        </w:tc>
      </w:tr>
      <w:tr w:rsidR="008448A3" w:rsidRPr="00C147C4" w14:paraId="5B72A36B" w14:textId="77777777" w:rsidTr="00F55F62">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7673E468"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Parashikimi i të ardhurave</w:t>
            </w:r>
          </w:p>
        </w:tc>
        <w:tc>
          <w:tcPr>
            <w:tcW w:w="3238" w:type="pct"/>
            <w:shd w:val="clear" w:color="auto" w:fill="auto"/>
            <w:hideMark/>
          </w:tcPr>
          <w:p w14:paraId="570E5228" w14:textId="77777777" w:rsidR="008448A3" w:rsidRPr="00B644BE" w:rsidRDefault="008448A3" w:rsidP="00C449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Mosrealizimi i të ardhurave, që mund të sjellë përkeqësimin e bilancit fiskal</w:t>
            </w:r>
          </w:p>
        </w:tc>
      </w:tr>
      <w:tr w:rsidR="008448A3" w:rsidRPr="00B644BE" w14:paraId="24BE024C" w14:textId="77777777" w:rsidTr="00F55F62">
        <w:trPr>
          <w:trHeight w:val="23"/>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7F4265F"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Shpenzime të paplanifikuara</w:t>
            </w:r>
          </w:p>
        </w:tc>
        <w:tc>
          <w:tcPr>
            <w:tcW w:w="3238" w:type="pct"/>
            <w:hideMark/>
          </w:tcPr>
          <w:p w14:paraId="4C70F6EF" w14:textId="77777777" w:rsidR="008448A3" w:rsidRPr="00B644BE" w:rsidRDefault="008448A3" w:rsidP="00C449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Detyrime ligjore ose presione politike, që mund të sjellin rishpërndarje të shpenzimeve</w:t>
            </w:r>
          </w:p>
        </w:tc>
      </w:tr>
      <w:tr w:rsidR="008448A3" w:rsidRPr="00C147C4" w14:paraId="086F95B0" w14:textId="77777777" w:rsidTr="00F55F62">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286ADE6D"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Borxhi publik</w:t>
            </w:r>
          </w:p>
        </w:tc>
        <w:tc>
          <w:tcPr>
            <w:tcW w:w="3238" w:type="pct"/>
            <w:shd w:val="clear" w:color="auto" w:fill="auto"/>
            <w:hideMark/>
          </w:tcPr>
          <w:p w14:paraId="26E3B3A5" w14:textId="77777777" w:rsidR="008448A3" w:rsidRPr="00B644BE" w:rsidRDefault="008448A3" w:rsidP="00C449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të papritura të tregut, ndryshime në normën e interesit ose në kursin e këmbimit, që mund të rrisin nivelin e borxhit publik</w:t>
            </w:r>
          </w:p>
        </w:tc>
      </w:tr>
      <w:tr w:rsidR="008448A3" w:rsidRPr="00B644BE" w14:paraId="733E9B56" w14:textId="77777777" w:rsidTr="00F55F62">
        <w:trPr>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BCE451F" w14:textId="77777777" w:rsidR="008448A3" w:rsidRPr="00B644BE" w:rsidRDefault="008448A3" w:rsidP="00C44998">
            <w:pPr>
              <w:spacing w:before="0" w:line="240" w:lineRule="auto"/>
              <w:jc w:val="center"/>
              <w:rPr>
                <w:rFonts w:cs="Calibri"/>
                <w:b w:val="0"/>
                <w:noProof/>
                <w:kern w:val="24"/>
                <w:sz w:val="19"/>
                <w:szCs w:val="19"/>
                <w:u w:val="single"/>
                <w:lang w:val="sq-AL" w:eastAsia="nb-NO"/>
              </w:rPr>
            </w:pPr>
            <w:r w:rsidRPr="00B644BE">
              <w:rPr>
                <w:rFonts w:cs="Calibri"/>
                <w:noProof/>
                <w:kern w:val="24"/>
                <w:sz w:val="19"/>
                <w:szCs w:val="19"/>
                <w:lang w:val="sq-AL" w:eastAsia="nb-NO"/>
              </w:rPr>
              <w:t xml:space="preserve">Risqet </w:t>
            </w:r>
            <w:r w:rsidRPr="00B644BE">
              <w:rPr>
                <w:rFonts w:cs="Calibri"/>
                <w:noProof/>
                <w:kern w:val="24"/>
                <w:sz w:val="19"/>
                <w:szCs w:val="19"/>
                <w:u w:val="single"/>
                <w:lang w:val="sq-AL" w:eastAsia="nb-NO"/>
              </w:rPr>
              <w:t>implicite</w:t>
            </w:r>
            <w:r w:rsidRPr="00B644BE">
              <w:rPr>
                <w:rFonts w:cs="Calibri"/>
                <w:noProof/>
                <w:kern w:val="24"/>
                <w:sz w:val="19"/>
                <w:szCs w:val="19"/>
                <w:lang w:val="sq-AL" w:eastAsia="nb-NO"/>
              </w:rPr>
              <w:t xml:space="preserve"> dhe detyrimet </w:t>
            </w:r>
            <w:r w:rsidRPr="00B644BE">
              <w:rPr>
                <w:rFonts w:cs="Calibri"/>
                <w:noProof/>
                <w:kern w:val="24"/>
                <w:sz w:val="19"/>
                <w:szCs w:val="19"/>
                <w:u w:val="single"/>
                <w:lang w:val="sq-AL" w:eastAsia="nb-NO"/>
              </w:rPr>
              <w:t>kontigjente</w:t>
            </w:r>
          </w:p>
        </w:tc>
      </w:tr>
      <w:tr w:rsidR="008448A3" w:rsidRPr="00C147C4" w14:paraId="631F5A85" w14:textId="77777777" w:rsidTr="00F55F62">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43DA33B8"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Pagesat për PPP</w:t>
            </w:r>
          </w:p>
        </w:tc>
        <w:tc>
          <w:tcPr>
            <w:tcW w:w="3238" w:type="pct"/>
            <w:shd w:val="clear" w:color="auto" w:fill="auto"/>
            <w:hideMark/>
          </w:tcPr>
          <w:p w14:paraId="24FEEEE4" w14:textId="77777777" w:rsidR="008448A3" w:rsidRPr="00B644BE" w:rsidRDefault="008448A3" w:rsidP="00C449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Pagesat vjetore për PPP-të, mund të tejkalojnë nivelin e lejuar ligjor prej 5% të të ardhurave tatimore faktike të vitit paraardhës</w:t>
            </w:r>
          </w:p>
        </w:tc>
      </w:tr>
      <w:tr w:rsidR="008448A3" w:rsidRPr="00C147C4" w14:paraId="4EB95814" w14:textId="77777777" w:rsidTr="00F55F62">
        <w:trPr>
          <w:trHeight w:val="14"/>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44E09B46"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Vështirësia financiare e Ndërmarrjeve Shtetërore (NSH)</w:t>
            </w:r>
          </w:p>
        </w:tc>
        <w:tc>
          <w:tcPr>
            <w:tcW w:w="3238" w:type="pct"/>
            <w:hideMark/>
          </w:tcPr>
          <w:p w14:paraId="77B1A90A" w14:textId="77777777" w:rsidR="008448A3" w:rsidRPr="00B644BE" w:rsidRDefault="008448A3" w:rsidP="00C449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8"/>
                <w:szCs w:val="19"/>
                <w:lang w:val="sq-AL" w:eastAsia="nb-NO"/>
              </w:rPr>
            </w:pPr>
          </w:p>
          <w:p w14:paraId="75AED1F3" w14:textId="77777777" w:rsidR="008448A3" w:rsidRPr="00B644BE" w:rsidRDefault="008448A3" w:rsidP="00C449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Qeverisë mund t’i duhet të ndërhyjë për të mbështur financiarisht NSH-të</w:t>
            </w:r>
          </w:p>
        </w:tc>
      </w:tr>
      <w:tr w:rsidR="008448A3" w:rsidRPr="00C147C4" w14:paraId="650A4245" w14:textId="77777777" w:rsidTr="00F55F62">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3774DA66" w14:textId="77777777" w:rsidR="008448A3" w:rsidRPr="00B644BE" w:rsidRDefault="008448A3" w:rsidP="00C44998">
            <w:pPr>
              <w:spacing w:before="0" w:line="240" w:lineRule="auto"/>
              <w:jc w:val="center"/>
              <w:rPr>
                <w:rFonts w:cs="Calibri"/>
                <w:b w:val="0"/>
                <w:bCs w:val="0"/>
                <w:noProof/>
                <w:color w:val="000000"/>
                <w:kern w:val="24"/>
                <w:sz w:val="8"/>
                <w:szCs w:val="19"/>
                <w:lang w:val="sq-AL" w:eastAsia="nb-NO"/>
              </w:rPr>
            </w:pPr>
          </w:p>
          <w:p w14:paraId="18EB3A72" w14:textId="77777777" w:rsidR="008448A3" w:rsidRPr="00B644BE" w:rsidRDefault="008448A3" w:rsidP="00C44998">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Të tjera</w:t>
            </w:r>
          </w:p>
        </w:tc>
        <w:tc>
          <w:tcPr>
            <w:tcW w:w="3238" w:type="pct"/>
            <w:shd w:val="clear" w:color="auto" w:fill="auto"/>
            <w:hideMark/>
          </w:tcPr>
          <w:p w14:paraId="132DF485" w14:textId="77777777" w:rsidR="008448A3" w:rsidRPr="00B644BE" w:rsidRDefault="008448A3" w:rsidP="00C449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Vendime gjyqësore, arbitrazhe ndërkombëtare, fatkeqësi natyrore, etj, që mund të sjellin kosto buxhetore shtesë në buxhetin e shtetit</w:t>
            </w:r>
          </w:p>
        </w:tc>
      </w:tr>
    </w:tbl>
    <w:p w14:paraId="559D347F" w14:textId="77777777" w:rsidR="008448A3" w:rsidRPr="000D490A" w:rsidRDefault="008448A3" w:rsidP="008448A3">
      <w:pPr>
        <w:spacing w:before="0" w:line="240" w:lineRule="auto"/>
        <w:ind w:firstLine="720"/>
        <w:rPr>
          <w:rFonts w:eastAsia="SimSun" w:cs="Calibri"/>
          <w:bCs/>
          <w:i/>
          <w:noProof/>
          <w:sz w:val="18"/>
          <w:szCs w:val="18"/>
          <w:lang w:val="sq-AL"/>
        </w:rPr>
      </w:pPr>
      <w:r w:rsidRPr="000D490A">
        <w:rPr>
          <w:rFonts w:eastAsia="SimSun" w:cs="Calibri"/>
          <w:bCs/>
          <w:i/>
          <w:noProof/>
          <w:sz w:val="18"/>
          <w:szCs w:val="18"/>
          <w:lang w:val="sq-AL"/>
        </w:rPr>
        <w:t>Burimi: Ministria e Financave (2025)</w:t>
      </w:r>
    </w:p>
    <w:p w14:paraId="0AF3C767" w14:textId="77777777" w:rsidR="008448A3" w:rsidRPr="00B644BE" w:rsidRDefault="008448A3" w:rsidP="008448A3">
      <w:pPr>
        <w:spacing w:line="240" w:lineRule="auto"/>
        <w:rPr>
          <w:noProof/>
          <w:lang w:val="sq-AL"/>
        </w:rPr>
      </w:pPr>
      <w:r w:rsidRPr="00B644BE">
        <w:rPr>
          <w:noProof/>
          <w:lang w:val="sq-AL"/>
        </w:rPr>
        <w:t>Për vitin 202</w:t>
      </w:r>
      <w:r>
        <w:rPr>
          <w:noProof/>
          <w:lang w:val="sq-AL"/>
        </w:rPr>
        <w:t>5</w:t>
      </w:r>
      <w:r w:rsidRPr="00B644BE">
        <w:rPr>
          <w:noProof/>
          <w:lang w:val="sq-AL"/>
        </w:rPr>
        <w:t>, Ministria e Financave vijoi monitorimin e risqeve kryesore buxhetore sipas Udhëzimit nr.35 datë 29.12.2022 “</w:t>
      </w:r>
      <w:r w:rsidRPr="00B644BE">
        <w:rPr>
          <w:i/>
          <w:noProof/>
          <w:lang w:val="sq-AL"/>
        </w:rPr>
        <w:t>Për procedurat standarde të raportimit dhe monitorimit të risqeve fiskale nga njësitë e qeverisjes së përgjithshme dhe njësi të tjera të sektorit publik</w:t>
      </w:r>
      <w:r w:rsidRPr="00B644BE">
        <w:rPr>
          <w:noProof/>
          <w:lang w:val="sq-AL"/>
        </w:rPr>
        <w:t>”, Udhëzimit nr.37 datë 06.10.2020 “</w:t>
      </w:r>
      <w:r w:rsidRPr="00B644BE">
        <w:rPr>
          <w:i/>
          <w:noProof/>
          <w:lang w:val="sq-AL"/>
        </w:rPr>
        <w:t>Për monitorimin dhe publikimin periodik të stokut të detyrimeve të prapambetura të qeverisjes së përgjithshme</w:t>
      </w:r>
      <w:r w:rsidRPr="008448A3">
        <w:rPr>
          <w:noProof/>
          <w:lang w:val="sq-AL"/>
        </w:rPr>
        <w:t>” dhe Udhëzimit Plotësues nr.2 datë 24.01.2025 “</w:t>
      </w:r>
      <w:r w:rsidRPr="008448A3">
        <w:rPr>
          <w:i/>
          <w:noProof/>
          <w:lang w:val="sq-AL"/>
        </w:rPr>
        <w:t>Për zbatimin e Buxhetit të vitit 2025</w:t>
      </w:r>
      <w:r w:rsidRPr="008448A3">
        <w:rPr>
          <w:noProof/>
          <w:lang w:val="sq-AL"/>
        </w:rPr>
        <w:t>”.</w:t>
      </w:r>
      <w:r w:rsidRPr="00B644BE">
        <w:rPr>
          <w:noProof/>
          <w:lang w:val="sq-AL"/>
        </w:rPr>
        <w:t xml:space="preserve"> </w:t>
      </w:r>
    </w:p>
    <w:p w14:paraId="24797ECA" w14:textId="77777777" w:rsidR="0096391A" w:rsidRPr="00B644BE" w:rsidRDefault="0096391A" w:rsidP="005749F1">
      <w:pPr>
        <w:spacing w:before="0" w:line="240" w:lineRule="auto"/>
        <w:rPr>
          <w:rFonts w:eastAsia="MS Mincho"/>
          <w:noProof/>
          <w:sz w:val="8"/>
          <w:lang w:val="sq-AL"/>
        </w:rPr>
      </w:pPr>
    </w:p>
    <w:p w14:paraId="29706753" w14:textId="27319DE4" w:rsidR="005749F1" w:rsidRPr="00F55F62" w:rsidRDefault="005749F1" w:rsidP="005749F1">
      <w:pPr>
        <w:spacing w:before="0" w:line="240" w:lineRule="auto"/>
        <w:rPr>
          <w:rFonts w:eastAsia="MS Mincho"/>
          <w:noProof/>
          <w:sz w:val="12"/>
          <w:szCs w:val="12"/>
          <w:lang w:val="sq-AL"/>
        </w:rPr>
      </w:pPr>
    </w:p>
    <w:p w14:paraId="58389E10" w14:textId="77777777" w:rsidR="002350D2" w:rsidRPr="00B1170D" w:rsidRDefault="001C245C" w:rsidP="00B1170D">
      <w:pPr>
        <w:pStyle w:val="Heading2"/>
        <w:spacing w:before="0"/>
        <w:rPr>
          <w:color w:val="0F6FC6" w:themeColor="accent1"/>
        </w:rPr>
      </w:pPr>
      <w:bookmarkStart w:id="173" w:name="_Toc229390824"/>
      <w:bookmarkStart w:id="174" w:name="_Toc10033284"/>
      <w:bookmarkStart w:id="175" w:name="_Toc10721421"/>
      <w:proofErr w:type="spellStart"/>
      <w:r w:rsidRPr="00B1170D">
        <w:rPr>
          <w:color w:val="0F6FC6" w:themeColor="accent1"/>
        </w:rPr>
        <w:t>Nd</w:t>
      </w:r>
      <w:r w:rsidR="00086626" w:rsidRPr="00B1170D">
        <w:rPr>
          <w:color w:val="0F6FC6" w:themeColor="accent1"/>
        </w:rPr>
        <w:t>ë</w:t>
      </w:r>
      <w:r w:rsidRPr="00B1170D">
        <w:rPr>
          <w:color w:val="0F6FC6" w:themeColor="accent1"/>
        </w:rPr>
        <w:t>rmarrjet</w:t>
      </w:r>
      <w:proofErr w:type="spellEnd"/>
      <w:r w:rsidRPr="00B1170D">
        <w:rPr>
          <w:color w:val="0F6FC6" w:themeColor="accent1"/>
        </w:rPr>
        <w:t xml:space="preserve"> </w:t>
      </w:r>
      <w:proofErr w:type="spellStart"/>
      <w:r w:rsidRPr="00B1170D">
        <w:rPr>
          <w:color w:val="0F6FC6" w:themeColor="accent1"/>
        </w:rPr>
        <w:t>shtet</w:t>
      </w:r>
      <w:r w:rsidR="00086626" w:rsidRPr="00B1170D">
        <w:rPr>
          <w:color w:val="0F6FC6" w:themeColor="accent1"/>
        </w:rPr>
        <w:t>ë</w:t>
      </w:r>
      <w:r w:rsidRPr="00B1170D">
        <w:rPr>
          <w:color w:val="0F6FC6" w:themeColor="accent1"/>
        </w:rPr>
        <w:t>rore</w:t>
      </w:r>
      <w:bookmarkEnd w:id="173"/>
      <w:proofErr w:type="spellEnd"/>
      <w:r w:rsidRPr="00B1170D">
        <w:rPr>
          <w:color w:val="0F6FC6" w:themeColor="accent1"/>
        </w:rPr>
        <w:t xml:space="preserve"> </w:t>
      </w:r>
      <w:bookmarkEnd w:id="174"/>
      <w:bookmarkEnd w:id="175"/>
    </w:p>
    <w:p w14:paraId="28E9907F" w14:textId="72915419" w:rsidR="0033375A" w:rsidRPr="0033375A" w:rsidRDefault="0033375A" w:rsidP="00F55F62">
      <w:pPr>
        <w:spacing w:before="0" w:line="240" w:lineRule="auto"/>
        <w:rPr>
          <w:rFonts w:cs="Calibri"/>
          <w:bCs/>
          <w:noProof/>
          <w:lang w:val="sq-AL" w:eastAsia="sq-AL"/>
        </w:rPr>
      </w:pPr>
      <w:r w:rsidRPr="0033375A">
        <w:rPr>
          <w:rFonts w:eastAsia="MS Mincho"/>
          <w:noProof/>
          <w:szCs w:val="22"/>
          <w:lang w:val="sq-AL"/>
        </w:rPr>
        <w:t>Ndërmarrjet shtetërore përbëjnë një komponent kyç të sektorit quasi-publik dhe një burim të rëndësishëm të ekspozimit fiskal për financat publike. Struktura dhe aktiviteti i tyre, veçanërisht në sektorë strategjikë si energjia dhe ujësjellës-kanalizimet, shoqërohen me një nivel të konsiderueshëm risqesh fiskale, të cilat burojnë nga performanca financiare e paqëndrueshme, niveli i lartë i detyrimeve të ndërsjella, si dhe varësia ndaj mbështetjes buxhetore dhe instrumenteve të tilla si garancitë sovrane dhe nënhuatë. Evidencat tregojnë se këto ndërmarrje, për shkak të ekspozimit ndaj faktorëve të jashtëm (si kushtet hidrologjike dhe luhatjet e çmimeve të energjisë), si dhe problematikave strukturore të brendshme (likuiditet i kufizuar, eficiencë operative e ulët), mund të gjenerojnë detyrime të kushtëzuara dhe presione të drejtpërdrejta mbi buxhetin e shtetit. Në këtë kontekst, monitorimi i vazhdueshëm financiar dhe operacional nga Ministria e Financave, si dhe forcimi i kuadrit të menaxhimit të risqeve fiskale, mbeten thelbësore për identifikimin në kohë, vlerësimin dhe mitigimin e këtyre risqeve, në funksion të ruajtjes së qëndrueshmërisë fiskale afatmesme dhe afatgjatë.</w:t>
      </w:r>
      <w:r w:rsidR="00F55F62">
        <w:rPr>
          <w:rFonts w:eastAsia="MS Mincho"/>
          <w:noProof/>
          <w:szCs w:val="22"/>
          <w:lang w:val="sq-AL"/>
        </w:rPr>
        <w:t xml:space="preserve"> </w:t>
      </w:r>
      <w:r w:rsidRPr="0033375A">
        <w:rPr>
          <w:rFonts w:cs="Calibri"/>
          <w:bCs/>
          <w:noProof/>
          <w:lang w:val="sq-AL" w:eastAsia="sq-AL"/>
        </w:rPr>
        <w:t>Referuar publikimit më të fundit të INSTAT (Shtator 2025) mbi sektorin publik në Shqipëri, numri total i institucioneve jashtëbuxhetore është 1</w:t>
      </w:r>
      <w:r w:rsidR="00F7400E">
        <w:rPr>
          <w:rFonts w:cs="Calibri"/>
          <w:bCs/>
          <w:noProof/>
          <w:lang w:val="sq-AL" w:eastAsia="sq-AL"/>
        </w:rPr>
        <w:t>80</w:t>
      </w:r>
      <w:r w:rsidRPr="0033375A">
        <w:rPr>
          <w:rFonts w:cs="Calibri"/>
          <w:bCs/>
          <w:noProof/>
          <w:lang w:val="sq-AL" w:eastAsia="sq-AL"/>
        </w:rPr>
        <w:t xml:space="preserve">. Këto institucione ndahen si më poshtë: </w:t>
      </w:r>
    </w:p>
    <w:p w14:paraId="23591667" w14:textId="77777777" w:rsidR="0033375A" w:rsidRPr="0033375A" w:rsidRDefault="0033375A">
      <w:pPr>
        <w:numPr>
          <w:ilvl w:val="0"/>
          <w:numId w:val="12"/>
        </w:numPr>
        <w:spacing w:before="0" w:line="240" w:lineRule="auto"/>
        <w:contextualSpacing/>
        <w:rPr>
          <w:rFonts w:cs="Calibri"/>
          <w:bCs/>
          <w:i/>
          <w:noProof/>
          <w:lang w:val="sq-AL" w:eastAsia="sq-AL"/>
        </w:rPr>
      </w:pPr>
      <w:r w:rsidRPr="0033375A">
        <w:rPr>
          <w:rFonts w:cs="Calibri"/>
          <w:bCs/>
          <w:i/>
          <w:noProof/>
          <w:lang w:val="sq-AL" w:eastAsia="sq-AL"/>
        </w:rPr>
        <w:t>57 Extra-buxhetore Qeveria qendrore</w:t>
      </w:r>
      <w:r w:rsidRPr="0033375A">
        <w:rPr>
          <w:rFonts w:cs="Calibri"/>
          <w:bCs/>
          <w:i/>
          <w:noProof/>
          <w:lang w:val="sq-AL" w:eastAsia="sq-AL"/>
        </w:rPr>
        <w:tab/>
      </w:r>
    </w:p>
    <w:p w14:paraId="2BBD4516" w14:textId="4946981B" w:rsidR="0033375A" w:rsidRPr="0033375A" w:rsidRDefault="0033375A">
      <w:pPr>
        <w:numPr>
          <w:ilvl w:val="0"/>
          <w:numId w:val="12"/>
        </w:numPr>
        <w:spacing w:before="0" w:line="240" w:lineRule="auto"/>
        <w:contextualSpacing/>
        <w:rPr>
          <w:rFonts w:cs="Calibri"/>
          <w:bCs/>
          <w:i/>
          <w:noProof/>
          <w:lang w:val="sq-AL" w:eastAsia="sq-AL"/>
        </w:rPr>
      </w:pPr>
      <w:r w:rsidRPr="0033375A">
        <w:rPr>
          <w:rFonts w:cs="Calibri"/>
          <w:bCs/>
          <w:i/>
          <w:noProof/>
          <w:lang w:val="sq-AL" w:eastAsia="sq-AL"/>
        </w:rPr>
        <w:t>8</w:t>
      </w:r>
      <w:r w:rsidR="00F7400E">
        <w:rPr>
          <w:rFonts w:cs="Calibri"/>
          <w:bCs/>
          <w:i/>
          <w:noProof/>
          <w:lang w:val="sq-AL" w:eastAsia="sq-AL"/>
        </w:rPr>
        <w:t>3</w:t>
      </w:r>
      <w:r w:rsidRPr="0033375A">
        <w:rPr>
          <w:rFonts w:cs="Calibri"/>
          <w:bCs/>
          <w:i/>
          <w:noProof/>
          <w:lang w:val="sq-AL" w:eastAsia="sq-AL"/>
        </w:rPr>
        <w:t xml:space="preserve"> Extra-buxhetore Qeveria lokale</w:t>
      </w:r>
      <w:r w:rsidRPr="0033375A">
        <w:rPr>
          <w:rFonts w:cs="Calibri"/>
          <w:bCs/>
          <w:i/>
          <w:noProof/>
          <w:lang w:val="sq-AL" w:eastAsia="sq-AL"/>
        </w:rPr>
        <w:tab/>
      </w:r>
    </w:p>
    <w:p w14:paraId="17102467" w14:textId="77777777" w:rsidR="0033375A" w:rsidRPr="0033375A" w:rsidRDefault="0033375A">
      <w:pPr>
        <w:numPr>
          <w:ilvl w:val="0"/>
          <w:numId w:val="12"/>
        </w:numPr>
        <w:spacing w:before="0" w:line="240" w:lineRule="auto"/>
        <w:contextualSpacing/>
        <w:rPr>
          <w:rFonts w:cs="Calibri"/>
          <w:bCs/>
          <w:i/>
          <w:noProof/>
          <w:lang w:val="sq-AL" w:eastAsia="sq-AL"/>
        </w:rPr>
      </w:pPr>
      <w:r w:rsidRPr="0033375A">
        <w:rPr>
          <w:rFonts w:cs="Calibri"/>
          <w:bCs/>
          <w:i/>
          <w:noProof/>
          <w:lang w:val="sq-AL" w:eastAsia="sq-AL"/>
        </w:rPr>
        <w:t>37 Ndërmarrje publike jo-financiare</w:t>
      </w:r>
      <w:r w:rsidRPr="0033375A">
        <w:rPr>
          <w:rFonts w:cs="Calibri"/>
          <w:bCs/>
          <w:i/>
          <w:noProof/>
          <w:lang w:val="sq-AL" w:eastAsia="sq-AL"/>
        </w:rPr>
        <w:tab/>
      </w:r>
    </w:p>
    <w:p w14:paraId="61513ADD" w14:textId="77777777" w:rsidR="0033375A" w:rsidRPr="0033375A" w:rsidRDefault="0033375A">
      <w:pPr>
        <w:numPr>
          <w:ilvl w:val="0"/>
          <w:numId w:val="12"/>
        </w:numPr>
        <w:spacing w:before="0" w:line="240" w:lineRule="auto"/>
        <w:contextualSpacing/>
        <w:rPr>
          <w:rFonts w:cs="Calibri"/>
          <w:bCs/>
          <w:i/>
          <w:noProof/>
          <w:lang w:val="sq-AL" w:eastAsia="sq-AL"/>
        </w:rPr>
      </w:pPr>
      <w:r w:rsidRPr="0033375A">
        <w:rPr>
          <w:rFonts w:cs="Calibri"/>
          <w:bCs/>
          <w:i/>
          <w:noProof/>
          <w:lang w:val="sq-AL" w:eastAsia="sq-AL"/>
        </w:rPr>
        <w:t>2 Ndërmarrje publike financiare</w:t>
      </w:r>
      <w:r w:rsidRPr="0033375A">
        <w:rPr>
          <w:rFonts w:cs="Calibri"/>
          <w:bCs/>
          <w:i/>
          <w:noProof/>
          <w:lang w:val="sq-AL" w:eastAsia="sq-AL"/>
        </w:rPr>
        <w:tab/>
      </w:r>
    </w:p>
    <w:p w14:paraId="044C1A03" w14:textId="77777777" w:rsidR="0033375A" w:rsidRDefault="0033375A">
      <w:pPr>
        <w:numPr>
          <w:ilvl w:val="0"/>
          <w:numId w:val="12"/>
        </w:numPr>
        <w:spacing w:before="0" w:line="240" w:lineRule="auto"/>
        <w:contextualSpacing/>
        <w:rPr>
          <w:rFonts w:cs="Calibri"/>
          <w:bCs/>
          <w:i/>
          <w:noProof/>
          <w:lang w:val="sq-AL" w:eastAsia="sq-AL"/>
        </w:rPr>
      </w:pPr>
      <w:r w:rsidRPr="0033375A">
        <w:rPr>
          <w:rFonts w:cs="Calibri"/>
          <w:bCs/>
          <w:i/>
          <w:noProof/>
          <w:lang w:val="sq-AL" w:eastAsia="sq-AL"/>
        </w:rPr>
        <w:t>1 Banka e Shqipërisë</w:t>
      </w:r>
    </w:p>
    <w:p w14:paraId="768EA3E0" w14:textId="42CA50F9" w:rsidR="0033375A" w:rsidRPr="0033375A" w:rsidRDefault="0033375A" w:rsidP="0033375A">
      <w:pPr>
        <w:rPr>
          <w:i/>
          <w:iCs/>
          <w:noProof/>
          <w:color w:val="17406D" w:themeColor="text2"/>
          <w:sz w:val="18"/>
          <w:szCs w:val="18"/>
          <w:lang w:val="sq-AL"/>
        </w:rPr>
      </w:pPr>
      <w:bookmarkStart w:id="176" w:name="_Toc229130049"/>
      <w:r w:rsidRPr="0033375A">
        <w:rPr>
          <w:i/>
          <w:iCs/>
          <w:noProof/>
          <w:color w:val="17406D" w:themeColor="text2"/>
          <w:sz w:val="18"/>
          <w:szCs w:val="18"/>
          <w:lang w:val="sq-AL"/>
        </w:rPr>
        <w:t xml:space="preserve">Grafiku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Grafiku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32</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Sektori quasi publik sipas numrit të ndërmarrjeve</w:t>
      </w:r>
      <w:bookmarkEnd w:id="176"/>
    </w:p>
    <w:p w14:paraId="5931D0D1" w14:textId="06563929" w:rsidR="0033375A" w:rsidRPr="0033375A" w:rsidRDefault="00473B07" w:rsidP="0033375A">
      <w:pPr>
        <w:spacing w:before="0" w:line="240" w:lineRule="auto"/>
        <w:jc w:val="center"/>
        <w:rPr>
          <w:rFonts w:cs="Calibri"/>
          <w:bCs/>
          <w:noProof/>
          <w:lang w:val="sq-AL" w:eastAsia="sq-AL"/>
        </w:rPr>
      </w:pPr>
      <w:r>
        <w:rPr>
          <w:rFonts w:cs="Calibri"/>
          <w:bCs/>
          <w:noProof/>
          <w:lang w:val="sq-AL" w:eastAsia="sq-AL"/>
        </w:rPr>
        <w:drawing>
          <wp:inline distT="0" distB="0" distL="0" distR="0" wp14:anchorId="34DB8AAD" wp14:editId="1A48C0CD">
            <wp:extent cx="3560869" cy="1814170"/>
            <wp:effectExtent l="0" t="0" r="1905" b="0"/>
            <wp:docPr id="27448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9310" cy="1833755"/>
                    </a:xfrm>
                    <a:prstGeom prst="rect">
                      <a:avLst/>
                    </a:prstGeom>
                    <a:noFill/>
                  </pic:spPr>
                </pic:pic>
              </a:graphicData>
            </a:graphic>
          </wp:inline>
        </w:drawing>
      </w:r>
    </w:p>
    <w:p w14:paraId="6724D949" w14:textId="77777777" w:rsidR="0033375A" w:rsidRPr="0033375A" w:rsidRDefault="0033375A" w:rsidP="0033375A">
      <w:pPr>
        <w:ind w:left="1440" w:firstLine="720"/>
        <w:contextualSpacing/>
        <w:rPr>
          <w:rFonts w:eastAsia="SimSun" w:cs="Calibri"/>
          <w:i/>
          <w:noProof/>
          <w:sz w:val="18"/>
          <w:szCs w:val="18"/>
          <w:lang w:val="sq-AL"/>
        </w:rPr>
      </w:pPr>
      <w:r w:rsidRPr="0033375A">
        <w:rPr>
          <w:rFonts w:eastAsia="SimSun" w:cs="Calibri"/>
          <w:i/>
          <w:noProof/>
          <w:sz w:val="18"/>
          <w:szCs w:val="18"/>
          <w:lang w:val="sq-AL"/>
        </w:rPr>
        <w:t>Burimi: INSTAT (2026)</w:t>
      </w:r>
    </w:p>
    <w:p w14:paraId="41BC5B3E" w14:textId="0416D683" w:rsidR="0033375A" w:rsidRDefault="0033375A" w:rsidP="0033375A">
      <w:pPr>
        <w:spacing w:before="0" w:line="240" w:lineRule="auto"/>
        <w:contextualSpacing/>
        <w:rPr>
          <w:rFonts w:cs="Calibri"/>
          <w:bCs/>
          <w:noProof/>
          <w:lang w:val="sq-AL" w:eastAsia="sq-AL"/>
        </w:rPr>
      </w:pPr>
      <w:r w:rsidRPr="00030ED6">
        <w:rPr>
          <w:rFonts w:cs="Calibri"/>
          <w:bCs/>
          <w:noProof/>
          <w:lang w:val="sq-AL" w:eastAsia="sq-AL"/>
        </w:rPr>
        <w:lastRenderedPageBreak/>
        <w:t>Në zbatim të Ligjit Organik të Buxhetit “</w:t>
      </w:r>
      <w:r w:rsidRPr="00030ED6">
        <w:rPr>
          <w:rFonts w:cs="Calibri"/>
          <w:bCs/>
          <w:i/>
          <w:noProof/>
          <w:lang w:val="sq-AL" w:eastAsia="sq-AL"/>
        </w:rPr>
        <w:t>Për menaxhimin e sistemit buxhetor në Republikën e Shqipërisë”, të ndryshuar</w:t>
      </w:r>
      <w:r w:rsidRPr="00030ED6">
        <w:rPr>
          <w:rFonts w:cs="Calibri"/>
          <w:bCs/>
          <w:noProof/>
          <w:lang w:val="sq-AL" w:eastAsia="sq-AL"/>
        </w:rPr>
        <w:t xml:space="preserve">”, specifikisht nenit 4/2 sipas së cilit: </w:t>
      </w:r>
      <w:r w:rsidRPr="00030ED6">
        <w:rPr>
          <w:rFonts w:cs="Calibri"/>
          <w:bCs/>
          <w:i/>
          <w:noProof/>
          <w:lang w:val="sq-AL" w:eastAsia="sq-AL"/>
        </w:rPr>
        <w:t>“...Planet financiare vjetore dhe pasqyrat financiare mbi bazë tremujori, të çdo njësie jo të qeverisjes së përgjithshme përfituese të fondeve buxhetore dhe/ose garancive shtetërore, dorëzohen në Ministrinë e Financave...”</w:t>
      </w:r>
      <w:r w:rsidRPr="00030ED6">
        <w:rPr>
          <w:rFonts w:cs="Calibri"/>
          <w:bCs/>
          <w:noProof/>
          <w:lang w:val="sq-AL" w:eastAsia="sq-AL"/>
        </w:rPr>
        <w:t>, dhe në zbatim të Udhëzimit Plotësues nr.2/2025 “</w:t>
      </w:r>
      <w:r w:rsidRPr="00030ED6">
        <w:rPr>
          <w:rFonts w:cs="Calibri"/>
          <w:bCs/>
          <w:i/>
          <w:noProof/>
          <w:lang w:val="sq-AL" w:eastAsia="sq-AL"/>
        </w:rPr>
        <w:t>Për zbatimin e buxhetit 202</w:t>
      </w:r>
      <w:r w:rsidR="00F7400E">
        <w:rPr>
          <w:rFonts w:cs="Calibri"/>
          <w:bCs/>
          <w:i/>
          <w:noProof/>
          <w:lang w:val="sq-AL" w:eastAsia="sq-AL"/>
        </w:rPr>
        <w:t>5</w:t>
      </w:r>
      <w:r w:rsidRPr="00030ED6">
        <w:rPr>
          <w:rFonts w:cs="Calibri"/>
          <w:bCs/>
          <w:noProof/>
          <w:lang w:val="sq-AL" w:eastAsia="sq-AL"/>
        </w:rPr>
        <w:t xml:space="preserve">”, kanë detyrimin e ndarjes së planeve financiare vjetore dhe pasqyrave financiare mbi bazë 3M pranë Ministrisë përgjegjëse për financat. Mbi këtë bazë, MF monitoron dhe përgatit periodikisht mbi baza tremujore, analizat financiare të performancës së NSH-ve kryesore bazuar në potencialin e tyre për të impaktuar financat publike dhe buxhetin e shtetit. Monitorimi është fokusuar kryesisht në performancën financiare dhe jofinanciare të tre kompanive të sektorit energjetik, që është thelluar në kuadër të reformës të këtij sektori, si edhe në performancën financiare të disa ndërmarrjeve shtetërore me relevancë të konsiderueshme si: Ujësjellës-Kanalizime Tiranë (UKT) sh.a, Hekurudha Shqiptare sh.a, AlbGaz sh.a, Albcontrol sh.a, Albpetrol sh.a, Posta Shqiptare sh.a, krahas edhe dy entiteteve të tjera (jo me status sh.a) si Radio Televizioni Shqiptar (RTSH) dhe Autoriteti Portual Durrës (APD). Këto analiza monitorimi, të cilat përgatiten rregullisht në bazë tremujore, bëhen pjesë/publikohen në të gjitha raportet periodike të MF si Buxheti Faktik, Raporti i Mesvitit dhe </w:t>
      </w:r>
      <w:r w:rsidR="000D490A" w:rsidRPr="00030ED6">
        <w:rPr>
          <w:rFonts w:cs="Calibri"/>
          <w:bCs/>
          <w:noProof/>
          <w:lang w:val="sq-AL" w:eastAsia="sq-AL"/>
        </w:rPr>
        <w:t>p</w:t>
      </w:r>
      <w:r w:rsidRPr="00030ED6">
        <w:rPr>
          <w:rFonts w:cs="Calibri"/>
          <w:bCs/>
          <w:noProof/>
          <w:lang w:val="sq-AL" w:eastAsia="sq-AL"/>
        </w:rPr>
        <w:t>rojektbuxheti</w:t>
      </w:r>
      <w:r w:rsidR="000D490A" w:rsidRPr="00030ED6">
        <w:rPr>
          <w:rFonts w:cs="Calibri"/>
          <w:bCs/>
          <w:noProof/>
          <w:lang w:val="sq-AL" w:eastAsia="sq-AL"/>
        </w:rPr>
        <w:t xml:space="preserve"> vjetor</w:t>
      </w:r>
      <w:r w:rsidRPr="00030ED6">
        <w:rPr>
          <w:rFonts w:cs="Calibri"/>
          <w:bCs/>
          <w:noProof/>
          <w:lang w:val="sq-AL" w:eastAsia="sq-AL"/>
        </w:rPr>
        <w:t>.</w:t>
      </w:r>
    </w:p>
    <w:p w14:paraId="48326C7B" w14:textId="77777777" w:rsidR="00F55F62" w:rsidRPr="00030ED6" w:rsidRDefault="00F55F62" w:rsidP="0033375A">
      <w:pPr>
        <w:spacing w:before="0" w:line="240" w:lineRule="auto"/>
        <w:contextualSpacing/>
        <w:rPr>
          <w:rFonts w:cs="Calibri"/>
          <w:bCs/>
          <w:noProof/>
          <w:lang w:val="sq-AL" w:eastAsia="sq-AL"/>
        </w:rPr>
      </w:pPr>
    </w:p>
    <w:p w14:paraId="7205342F" w14:textId="77777777" w:rsidR="0033375A" w:rsidRPr="0033375A" w:rsidRDefault="0033375A" w:rsidP="0033375A">
      <w:pPr>
        <w:spacing w:before="0" w:line="240" w:lineRule="auto"/>
        <w:contextualSpacing/>
        <w:rPr>
          <w:rFonts w:cs="Calibri"/>
          <w:bCs/>
          <w:noProof/>
          <w:sz w:val="8"/>
          <w:lang w:val="sq-AL" w:eastAsia="sq-AL"/>
        </w:rPr>
      </w:pPr>
    </w:p>
    <w:p w14:paraId="4CAFE709" w14:textId="77777777" w:rsidR="0033375A" w:rsidRPr="0033375A" w:rsidRDefault="0033375A" w:rsidP="0033375A">
      <w:pPr>
        <w:contextualSpacing/>
        <w:rPr>
          <w:rFonts w:eastAsia="Calibri" w:cs="Calibri"/>
          <w:bCs/>
          <w:i/>
          <w:noProof/>
          <w:sz w:val="8"/>
          <w:szCs w:val="10"/>
          <w:u w:val="single"/>
          <w:lang w:val="sq-AL" w:eastAsia="sq-AL"/>
        </w:rPr>
      </w:pPr>
    </w:p>
    <w:p w14:paraId="133F16C5" w14:textId="00B7D3AF" w:rsidR="0033375A" w:rsidRPr="00B1170D" w:rsidRDefault="0033375A" w:rsidP="00B1170D">
      <w:pPr>
        <w:pStyle w:val="Heading3"/>
        <w:rPr>
          <w:i/>
          <w:iCs/>
        </w:rPr>
      </w:pPr>
      <w:bookmarkStart w:id="177" w:name="_Toc229390825"/>
      <w:proofErr w:type="spellStart"/>
      <w:r w:rsidRPr="00B1170D">
        <w:rPr>
          <w:i/>
          <w:iCs/>
        </w:rPr>
        <w:t>Ndërmarrjet</w:t>
      </w:r>
      <w:proofErr w:type="spellEnd"/>
      <w:r w:rsidRPr="00B1170D">
        <w:rPr>
          <w:i/>
          <w:iCs/>
        </w:rPr>
        <w:t xml:space="preserve"> e </w:t>
      </w:r>
      <w:proofErr w:type="spellStart"/>
      <w:r w:rsidRPr="00B1170D">
        <w:rPr>
          <w:i/>
          <w:iCs/>
        </w:rPr>
        <w:t>Sektorit</w:t>
      </w:r>
      <w:proofErr w:type="spellEnd"/>
      <w:r w:rsidRPr="00B1170D">
        <w:rPr>
          <w:i/>
          <w:iCs/>
        </w:rPr>
        <w:t xml:space="preserve"> </w:t>
      </w:r>
      <w:proofErr w:type="spellStart"/>
      <w:r w:rsidRPr="00B1170D">
        <w:rPr>
          <w:i/>
          <w:iCs/>
        </w:rPr>
        <w:t>Energjetik</w:t>
      </w:r>
      <w:bookmarkEnd w:id="177"/>
      <w:proofErr w:type="spellEnd"/>
    </w:p>
    <w:p w14:paraId="76593684" w14:textId="77777777" w:rsidR="0033375A" w:rsidRPr="00030ED6" w:rsidRDefault="0033375A" w:rsidP="0033375A">
      <w:pPr>
        <w:spacing w:after="120" w:line="240" w:lineRule="auto"/>
        <w:rPr>
          <w:rFonts w:cs="Calibri"/>
          <w:bCs/>
          <w:noProof/>
          <w:lang w:val="sq-AL" w:eastAsia="sq-AL"/>
        </w:rPr>
      </w:pPr>
      <w:r w:rsidRPr="00030ED6">
        <w:rPr>
          <w:rFonts w:cs="Calibri"/>
          <w:bCs/>
          <w:noProof/>
          <w:lang w:val="sq-AL" w:eastAsia="sq-AL"/>
        </w:rPr>
        <w:t xml:space="preserve">Ky sektor strategjik ka qenë dhe mbetet nën monitorimin e Ministrisë së Financave, duke patur parasysh ndikimin e konsiderueshëm fiskal dhe impaktin e ndjeshëm të tij në ekonomi. Ky monitorim, i cili është kryer periodikisht mbi bazë tremujore, ka konsistuar në analizimin e treguesve të performancës financiare të secilës prej tre kompanive: OSHEE Group sh.a, KESH sh.a dhe OST sh.a. </w:t>
      </w:r>
    </w:p>
    <w:p w14:paraId="578D5392" w14:textId="29380E64" w:rsidR="0033375A" w:rsidRPr="0033375A" w:rsidRDefault="0033375A" w:rsidP="0033375A">
      <w:pPr>
        <w:rPr>
          <w:rFonts w:cs="Calibri"/>
          <w:i/>
          <w:noProof/>
          <w:color w:val="1F497D"/>
          <w:sz w:val="18"/>
          <w:szCs w:val="18"/>
          <w:lang w:val="sq-AL"/>
        </w:rPr>
      </w:pPr>
      <w:bookmarkStart w:id="178" w:name="_Toc229130050"/>
      <w:r w:rsidRPr="0033375A">
        <w:rPr>
          <w:i/>
          <w:iCs/>
          <w:noProof/>
          <w:color w:val="17406D" w:themeColor="text2"/>
          <w:sz w:val="18"/>
          <w:szCs w:val="18"/>
          <w:lang w:val="sq-AL"/>
        </w:rPr>
        <w:t xml:space="preserve">Grafiku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Grafiku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33</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Ecuria e nivelit të arkëtimeve të OSHEE Group sh.a (në </w:t>
      </w:r>
      <w:r w:rsidR="0056260B">
        <w:rPr>
          <w:i/>
          <w:iCs/>
          <w:noProof/>
          <w:color w:val="17406D" w:themeColor="text2"/>
          <w:sz w:val="18"/>
          <w:szCs w:val="18"/>
          <w:lang w:val="sq-AL"/>
        </w:rPr>
        <w:t>miliardë</w:t>
      </w:r>
      <w:r w:rsidRPr="0033375A">
        <w:rPr>
          <w:i/>
          <w:iCs/>
          <w:noProof/>
          <w:color w:val="17406D" w:themeColor="text2"/>
          <w:sz w:val="18"/>
          <w:szCs w:val="18"/>
          <w:lang w:val="sq-AL"/>
        </w:rPr>
        <w:t xml:space="preserve"> LEK)</w:t>
      </w:r>
      <w:bookmarkEnd w:id="178"/>
    </w:p>
    <w:p w14:paraId="63CBFE59" w14:textId="77777777" w:rsidR="0033375A" w:rsidRPr="0033375A" w:rsidRDefault="0033375A" w:rsidP="0033375A">
      <w:pPr>
        <w:spacing w:before="0" w:line="240" w:lineRule="auto"/>
        <w:jc w:val="center"/>
        <w:rPr>
          <w:rFonts w:cs="Calibri"/>
          <w:bCs/>
          <w:noProof/>
          <w:lang w:val="sq-AL" w:eastAsia="sq-AL"/>
        </w:rPr>
      </w:pPr>
      <w:r w:rsidRPr="0033375A">
        <w:rPr>
          <w:rFonts w:cs="Calibri"/>
          <w:bCs/>
          <w:noProof/>
          <w:lang w:val="sq-AL" w:eastAsia="sq-AL"/>
        </w:rPr>
        <w:drawing>
          <wp:inline distT="0" distB="0" distL="0" distR="0" wp14:anchorId="1F87192B" wp14:editId="1CDD3FF2">
            <wp:extent cx="6127115" cy="1420495"/>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115" cy="1420495"/>
                    </a:xfrm>
                    <a:prstGeom prst="rect">
                      <a:avLst/>
                    </a:prstGeom>
                    <a:noFill/>
                  </pic:spPr>
                </pic:pic>
              </a:graphicData>
            </a:graphic>
          </wp:inline>
        </w:drawing>
      </w:r>
    </w:p>
    <w:p w14:paraId="23E99545" w14:textId="77777777" w:rsidR="0033375A" w:rsidRPr="0033375A" w:rsidRDefault="0033375A" w:rsidP="0033375A">
      <w:pPr>
        <w:spacing w:before="0" w:line="360" w:lineRule="auto"/>
        <w:ind w:firstLine="720"/>
        <w:rPr>
          <w:rFonts w:eastAsia="SimSun" w:cs="Calibri"/>
          <w:bCs/>
          <w:i/>
          <w:noProof/>
          <w:sz w:val="18"/>
          <w:szCs w:val="18"/>
          <w:lang w:val="sq-AL"/>
        </w:rPr>
      </w:pPr>
      <w:r w:rsidRPr="0033375A">
        <w:rPr>
          <w:rFonts w:eastAsia="SimSun" w:cs="Calibri"/>
          <w:bCs/>
          <w:i/>
          <w:noProof/>
          <w:sz w:val="18"/>
          <w:szCs w:val="18"/>
          <w:lang w:val="sq-AL"/>
        </w:rPr>
        <w:t>Burimi: Ministria e Financave (2026)</w:t>
      </w:r>
    </w:p>
    <w:p w14:paraId="531031FC" w14:textId="334FB8F9" w:rsidR="0033375A" w:rsidRPr="0033375A" w:rsidRDefault="0033375A" w:rsidP="0033375A">
      <w:pPr>
        <w:rPr>
          <w:i/>
          <w:iCs/>
          <w:noProof/>
          <w:color w:val="17406D" w:themeColor="text2"/>
          <w:sz w:val="18"/>
          <w:szCs w:val="18"/>
          <w:lang w:val="sq-AL"/>
        </w:rPr>
      </w:pPr>
      <w:bookmarkStart w:id="179" w:name="_Toc229130051"/>
      <w:r w:rsidRPr="0033375A">
        <w:rPr>
          <w:i/>
          <w:iCs/>
          <w:noProof/>
          <w:color w:val="17406D" w:themeColor="text2"/>
          <w:sz w:val="18"/>
          <w:szCs w:val="18"/>
          <w:lang w:val="sq-AL"/>
        </w:rPr>
        <w:t xml:space="preserve">Grafiku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Grafiku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34</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Ecuria e nivelit të humbjeve në rrjet për OSHEE Group sh.a (në përqind)</w:t>
      </w:r>
      <w:bookmarkEnd w:id="179"/>
    </w:p>
    <w:p w14:paraId="2F5A7A0C" w14:textId="77777777" w:rsidR="0033375A" w:rsidRPr="0033375A" w:rsidRDefault="0033375A" w:rsidP="0033375A">
      <w:pPr>
        <w:spacing w:before="0" w:line="240" w:lineRule="auto"/>
        <w:jc w:val="left"/>
        <w:rPr>
          <w:rFonts w:asciiTheme="minorHAnsi" w:eastAsiaTheme="minorHAnsi" w:hAnsiTheme="minorHAnsi" w:cstheme="minorBidi"/>
          <w:szCs w:val="22"/>
          <w:lang w:val="sq-AL"/>
        </w:rPr>
      </w:pPr>
      <w:r w:rsidRPr="0033375A">
        <w:rPr>
          <w:rFonts w:asciiTheme="minorHAnsi" w:eastAsiaTheme="minorHAnsi" w:hAnsiTheme="minorHAnsi" w:cstheme="minorBidi"/>
          <w:noProof/>
          <w:szCs w:val="22"/>
          <w:lang w:val="sq-AL"/>
        </w:rPr>
        <w:drawing>
          <wp:inline distT="0" distB="0" distL="0" distR="0" wp14:anchorId="6EEAD8AA" wp14:editId="4286E2FA">
            <wp:extent cx="6127115" cy="141414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7115" cy="1414145"/>
                    </a:xfrm>
                    <a:prstGeom prst="rect">
                      <a:avLst/>
                    </a:prstGeom>
                    <a:noFill/>
                  </pic:spPr>
                </pic:pic>
              </a:graphicData>
            </a:graphic>
          </wp:inline>
        </w:drawing>
      </w:r>
    </w:p>
    <w:p w14:paraId="3D08EE9C" w14:textId="77777777" w:rsidR="0033375A" w:rsidRPr="0033375A" w:rsidRDefault="0033375A" w:rsidP="0033375A">
      <w:pPr>
        <w:spacing w:before="0" w:line="240" w:lineRule="auto"/>
        <w:jc w:val="left"/>
        <w:rPr>
          <w:rFonts w:asciiTheme="minorHAnsi" w:eastAsia="SimSun" w:hAnsiTheme="minorHAnsi" w:cs="Calibri"/>
          <w:bCs/>
          <w:i/>
          <w:noProof/>
          <w:sz w:val="18"/>
          <w:szCs w:val="18"/>
          <w:lang w:val="sq-AL"/>
        </w:rPr>
      </w:pPr>
      <w:r w:rsidRPr="0033375A">
        <w:rPr>
          <w:rFonts w:asciiTheme="minorHAnsi" w:eastAsiaTheme="minorHAnsi" w:hAnsiTheme="minorHAnsi" w:cs="Calibri"/>
          <w:bCs/>
          <w:noProof/>
          <w:szCs w:val="22"/>
          <w:lang w:val="sq-AL" w:eastAsia="sq-AL"/>
        </w:rPr>
        <w:t xml:space="preserve">               </w:t>
      </w:r>
      <w:r w:rsidRPr="0033375A">
        <w:rPr>
          <w:rFonts w:asciiTheme="minorHAnsi" w:eastAsia="SimSun" w:hAnsiTheme="minorHAnsi" w:cs="Calibri"/>
          <w:bCs/>
          <w:i/>
          <w:noProof/>
          <w:sz w:val="18"/>
          <w:szCs w:val="18"/>
          <w:lang w:val="sq-AL"/>
        </w:rPr>
        <w:t>Burimi: Ministria e Financave (2026)</w:t>
      </w:r>
    </w:p>
    <w:p w14:paraId="1AB69EC1" w14:textId="77777777" w:rsidR="0033375A" w:rsidRPr="0033375A" w:rsidRDefault="0033375A" w:rsidP="0033375A">
      <w:pPr>
        <w:spacing w:before="0" w:line="240" w:lineRule="auto"/>
        <w:rPr>
          <w:rFonts w:eastAsia="SimSun" w:cs="Calibri"/>
          <w:noProof/>
          <w:lang w:val="sq-AL"/>
        </w:rPr>
      </w:pPr>
      <w:bookmarkStart w:id="180" w:name="_Hlk167717942"/>
    </w:p>
    <w:p w14:paraId="622F6191" w14:textId="77777777" w:rsidR="00D35710" w:rsidRDefault="0033375A" w:rsidP="0033375A">
      <w:pPr>
        <w:spacing w:before="0" w:line="240" w:lineRule="auto"/>
        <w:rPr>
          <w:rFonts w:eastAsia="SimSun" w:cs="Calibri"/>
          <w:noProof/>
          <w:lang w:val="sq-AL"/>
        </w:rPr>
      </w:pPr>
      <w:r w:rsidRPr="00D35710">
        <w:rPr>
          <w:rFonts w:eastAsia="SimSun" w:cs="Calibri"/>
          <w:noProof/>
          <w:lang w:val="sq-AL"/>
        </w:rPr>
        <w:t>Gjatë 2025, sektori energjetik ka shënuar rënie të performancës financiare si pasojë e</w:t>
      </w:r>
      <w:r w:rsidR="00D35710" w:rsidRPr="00D35710">
        <w:rPr>
          <w:rFonts w:eastAsia="SimSun" w:cs="Calibri"/>
          <w:noProof/>
          <w:lang w:val="sq-AL"/>
        </w:rPr>
        <w:t>:</w:t>
      </w:r>
      <w:r w:rsidRPr="00D35710">
        <w:rPr>
          <w:rFonts w:eastAsia="SimSun" w:cs="Calibri"/>
          <w:noProof/>
          <w:lang w:val="sq-AL"/>
        </w:rPr>
        <w:t xml:space="preserve"> </w:t>
      </w:r>
      <w:r w:rsidR="00D35710" w:rsidRPr="00D35710">
        <w:rPr>
          <w:rFonts w:eastAsia="SimSun" w:cs="Calibri"/>
          <w:i/>
          <w:iCs/>
          <w:noProof/>
          <w:lang w:val="sq-AL"/>
        </w:rPr>
        <w:t>(i) kushteve të pafavorshme meteorologjike në vend gjatë vitit, dhe rrjedhimisht (ii) rënies së prurjeve në kaskadën e Drinit, që ka ndikuar në uljen e prodhimit vendas të energjisë elektrike nga KESH sh.a. përgjatë vitit 2025</w:t>
      </w:r>
      <w:r w:rsidRPr="00D35710">
        <w:rPr>
          <w:rFonts w:eastAsia="SimSun" w:cs="Calibri"/>
          <w:noProof/>
          <w:lang w:val="sq-AL"/>
        </w:rPr>
        <w:t xml:space="preserve">. </w:t>
      </w:r>
    </w:p>
    <w:p w14:paraId="0B726FDE" w14:textId="77777777" w:rsidR="00D35710" w:rsidRPr="00D35710" w:rsidRDefault="00D35710" w:rsidP="0033375A">
      <w:pPr>
        <w:spacing w:before="0" w:line="240" w:lineRule="auto"/>
        <w:rPr>
          <w:rFonts w:eastAsia="SimSun" w:cs="Calibri"/>
          <w:noProof/>
          <w:sz w:val="8"/>
          <w:szCs w:val="8"/>
          <w:lang w:val="sq-AL"/>
        </w:rPr>
      </w:pPr>
    </w:p>
    <w:p w14:paraId="5922D2A4" w14:textId="4EBEDEB4" w:rsidR="0033375A" w:rsidRPr="0047194D" w:rsidRDefault="0033375A" w:rsidP="0033375A">
      <w:pPr>
        <w:spacing w:before="0" w:line="240" w:lineRule="auto"/>
        <w:rPr>
          <w:rFonts w:eastAsia="SimSun" w:cs="Calibri"/>
          <w:noProof/>
          <w:color w:val="EE0000"/>
          <w:lang w:val="sq-AL"/>
        </w:rPr>
      </w:pPr>
      <w:r w:rsidRPr="00D35710">
        <w:rPr>
          <w:rFonts w:eastAsia="SimSun" w:cs="Calibri"/>
          <w:noProof/>
          <w:lang w:val="sq-AL"/>
        </w:rPr>
        <w:t>Megjithëse në fund të vitit niveli i basenit të Fierzës arriti në 281.2m, duke tejkaluar kuotën mesatare prej 277.9m dhe duke treguar se në total reshjet vjetore ishin mbi mesataren, shpërndarja e tyre gjatë vitit nuk ka qenë e njëtrajtshme, çka ka ndikuar negativisht në rezultatin financiar.</w:t>
      </w:r>
    </w:p>
    <w:p w14:paraId="27F7C61B" w14:textId="77777777" w:rsidR="0033375A" w:rsidRPr="0047194D" w:rsidRDefault="0033375A" w:rsidP="0033375A">
      <w:pPr>
        <w:spacing w:before="0" w:line="240" w:lineRule="auto"/>
        <w:rPr>
          <w:rFonts w:eastAsia="SimSun" w:cs="Calibri"/>
          <w:noProof/>
          <w:sz w:val="8"/>
          <w:szCs w:val="10"/>
          <w:lang w:val="sq-AL"/>
        </w:rPr>
      </w:pPr>
    </w:p>
    <w:p w14:paraId="0794D9FA" w14:textId="54C8FD5C" w:rsidR="00F55F62" w:rsidRPr="00505854" w:rsidRDefault="00F55F62" w:rsidP="0033375A">
      <w:pPr>
        <w:spacing w:before="0"/>
        <w:rPr>
          <w:rFonts w:eastAsia="SimSun" w:cs="Calibri"/>
          <w:noProof/>
          <w:lang w:val="sq-AL"/>
        </w:rPr>
      </w:pPr>
    </w:p>
    <w:p w14:paraId="2B50B2ED" w14:textId="77777777" w:rsidR="00F55F62" w:rsidRDefault="00F55F62" w:rsidP="0033375A">
      <w:pPr>
        <w:spacing w:before="0"/>
        <w:rPr>
          <w:rFonts w:eastAsia="SimSun" w:cs="Calibri"/>
          <w:b/>
          <w:bCs/>
          <w:noProof/>
          <w:lang w:val="sq-AL"/>
        </w:rPr>
      </w:pPr>
    </w:p>
    <w:p w14:paraId="6777BC31" w14:textId="0F8901BC" w:rsidR="0033375A" w:rsidRPr="0033375A" w:rsidRDefault="0033375A" w:rsidP="0033375A">
      <w:pPr>
        <w:spacing w:before="0"/>
        <w:rPr>
          <w:rFonts w:eastAsia="SimSun" w:cs="Calibri"/>
          <w:bCs/>
          <w:noProof/>
          <w:lang w:val="sq-AL"/>
        </w:rPr>
      </w:pPr>
      <w:r w:rsidRPr="0033375A">
        <w:rPr>
          <w:rFonts w:eastAsia="SimSun" w:cs="Calibri"/>
          <w:b/>
          <w:bCs/>
          <w:noProof/>
          <w:lang w:val="sq-AL"/>
        </w:rPr>
        <w:lastRenderedPageBreak/>
        <w:t>Në nivel sektori</w:t>
      </w:r>
      <w:r w:rsidRPr="0033375A">
        <w:rPr>
          <w:rFonts w:eastAsia="SimSun" w:cs="Calibri"/>
          <w:bCs/>
          <w:noProof/>
          <w:lang w:val="sq-AL"/>
        </w:rPr>
        <w:t xml:space="preserve">, krahasuar me vitin 2024, vërehet se: </w:t>
      </w:r>
    </w:p>
    <w:p w14:paraId="777BA174" w14:textId="3D63F714"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 xml:space="preserve">Rezultati financiar (fitim/humbje) i sektorit energjetik ka </w:t>
      </w:r>
      <w:r w:rsidR="00216CAC">
        <w:rPr>
          <w:rFonts w:eastAsia="SimSun" w:cs="Calibri"/>
          <w:bCs/>
          <w:i/>
          <w:iCs/>
          <w:noProof/>
          <w:lang w:val="sq-AL"/>
        </w:rPr>
        <w:t>qenë</w:t>
      </w:r>
      <w:r w:rsidRPr="000D490A">
        <w:rPr>
          <w:rFonts w:eastAsia="SimSun" w:cs="Calibri"/>
          <w:bCs/>
          <w:i/>
          <w:iCs/>
          <w:noProof/>
          <w:lang w:val="sq-AL"/>
        </w:rPr>
        <w:t xml:space="preserve"> negativ</w:t>
      </w:r>
      <w:r w:rsidR="00216CAC">
        <w:rPr>
          <w:rFonts w:eastAsia="SimSun" w:cs="Calibri"/>
          <w:bCs/>
          <w:i/>
          <w:iCs/>
          <w:noProof/>
          <w:lang w:val="sq-AL"/>
        </w:rPr>
        <w:t>,</w:t>
      </w:r>
      <w:r w:rsidRPr="000D490A">
        <w:rPr>
          <w:rFonts w:eastAsia="SimSun" w:cs="Calibri"/>
          <w:bCs/>
          <w:i/>
          <w:iCs/>
          <w:noProof/>
          <w:lang w:val="sq-AL"/>
        </w:rPr>
        <w:t xml:space="preserve"> me një humbje prej rreth 5.32 </w:t>
      </w:r>
      <w:r w:rsidR="0056260B">
        <w:rPr>
          <w:rFonts w:eastAsia="SimSun" w:cs="Calibri"/>
          <w:bCs/>
          <w:i/>
          <w:iCs/>
          <w:noProof/>
          <w:lang w:val="sq-AL"/>
        </w:rPr>
        <w:t>miliardë</w:t>
      </w:r>
      <w:r w:rsidRPr="000D490A">
        <w:rPr>
          <w:rFonts w:eastAsia="SimSun" w:cs="Calibri"/>
          <w:bCs/>
          <w:i/>
          <w:iCs/>
          <w:noProof/>
          <w:lang w:val="sq-AL"/>
        </w:rPr>
        <w:t xml:space="preserve"> LEK, duke pësuar rënie të ndjeshme me rreth </w:t>
      </w:r>
      <w:r w:rsidR="004E75E2">
        <w:rPr>
          <w:rFonts w:eastAsia="SimSun" w:cs="Calibri"/>
          <w:bCs/>
          <w:i/>
          <w:iCs/>
          <w:noProof/>
          <w:lang w:val="sq-AL"/>
        </w:rPr>
        <w:t>-</w:t>
      </w:r>
      <w:r w:rsidRPr="000D490A">
        <w:rPr>
          <w:rFonts w:eastAsia="SimSun" w:cs="Calibri"/>
          <w:bCs/>
          <w:i/>
          <w:iCs/>
          <w:noProof/>
          <w:lang w:val="sq-AL"/>
        </w:rPr>
        <w:t xml:space="preserve">14.29 </w:t>
      </w:r>
      <w:r w:rsidR="0056260B">
        <w:rPr>
          <w:rFonts w:eastAsia="SimSun" w:cs="Calibri"/>
          <w:bCs/>
          <w:i/>
          <w:iCs/>
          <w:noProof/>
          <w:lang w:val="sq-AL"/>
        </w:rPr>
        <w:t>miliardë</w:t>
      </w:r>
      <w:r w:rsidRPr="000D490A">
        <w:rPr>
          <w:rFonts w:eastAsia="SimSun" w:cs="Calibri"/>
          <w:bCs/>
          <w:i/>
          <w:iCs/>
          <w:noProof/>
          <w:lang w:val="sq-AL"/>
        </w:rPr>
        <w:t xml:space="preserve"> LEK më pak, krahasuar me 2024.</w:t>
      </w:r>
    </w:p>
    <w:p w14:paraId="5CEDD06E" w14:textId="5E96BB5A"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Marzhi i fitimit për 12 mujorin e vitit 2025 rezulto</w:t>
      </w:r>
      <w:r w:rsidR="004E75E2">
        <w:rPr>
          <w:rFonts w:eastAsia="SimSun" w:cs="Calibri"/>
          <w:bCs/>
          <w:i/>
          <w:iCs/>
          <w:noProof/>
          <w:lang w:val="sq-AL"/>
        </w:rPr>
        <w:t>i</w:t>
      </w:r>
      <w:r w:rsidR="00CA3D28">
        <w:rPr>
          <w:rFonts w:eastAsia="SimSun" w:cs="Calibri"/>
          <w:bCs/>
          <w:i/>
          <w:iCs/>
          <w:noProof/>
          <w:lang w:val="sq-AL"/>
        </w:rPr>
        <w:t xml:space="preserve"> në vlerë negative prej rreth</w:t>
      </w:r>
      <w:r w:rsidRPr="000D490A">
        <w:rPr>
          <w:rFonts w:eastAsia="SimSun" w:cs="Calibri"/>
          <w:bCs/>
          <w:i/>
          <w:iCs/>
          <w:noProof/>
          <w:lang w:val="sq-AL"/>
        </w:rPr>
        <w:t xml:space="preserve"> 5.1 përqind, i cili krahasuar me të njëjtën periudhë të një viti më parë shënon një rënie prej rreth 13.7 pikë përqind.</w:t>
      </w:r>
    </w:p>
    <w:p w14:paraId="2A61FE61" w14:textId="689FD078"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Niveli i përgjithshëm i prodhimit neto vendas, ka pësuar rënie me rreth 4.7 përqind krahasuar me të njëjtën periudhë të një viti më parë. Konkretisht, gjatë 12M 2025  prodhimi neto vendas shënon vlerën 7.47 TWh, kundrejt 7.84 TWh realizuar në të njëjtën periudhë të një viti më parë.</w:t>
      </w:r>
    </w:p>
    <w:p w14:paraId="0C6890BB" w14:textId="77777777"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KESH sh.a. realizoi një nivel prodhimi neto publik prej rreth 3.71 TWh, kundrejt 4.37 TWh realizuar në të njëjtën periudhë të vitit të kaluar, duke rezultuar me një rënie rreth 15.1 përqind.</w:t>
      </w:r>
    </w:p>
    <w:p w14:paraId="2284FFF8" w14:textId="0CCFA9C7"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Sa i përket humbjeve në sistemin e shpërndarjes së energjisë elektrike, për vitin 2025 ato rezultuan në nivelin rreth 17 përqind, duke shënuar një rënie kundrejt një viti më parë, ku humbjet ishin në nivelin 17.9</w:t>
      </w:r>
      <w:r w:rsidR="000D490A">
        <w:rPr>
          <w:rFonts w:eastAsia="SimSun" w:cs="Calibri"/>
          <w:bCs/>
          <w:i/>
          <w:iCs/>
          <w:noProof/>
          <w:lang w:val="sq-AL"/>
        </w:rPr>
        <w:t>%</w:t>
      </w:r>
      <w:r w:rsidRPr="000D490A">
        <w:rPr>
          <w:rFonts w:eastAsia="SimSun" w:cs="Calibri"/>
          <w:bCs/>
          <w:i/>
          <w:iCs/>
          <w:noProof/>
          <w:lang w:val="sq-AL"/>
        </w:rPr>
        <w:t>.</w:t>
      </w:r>
    </w:p>
    <w:p w14:paraId="635CA31C" w14:textId="77777777" w:rsidR="0033375A" w:rsidRPr="000D490A" w:rsidRDefault="0033375A">
      <w:pPr>
        <w:numPr>
          <w:ilvl w:val="0"/>
          <w:numId w:val="24"/>
        </w:numPr>
        <w:spacing w:before="0" w:line="240" w:lineRule="auto"/>
        <w:ind w:left="540"/>
        <w:contextualSpacing/>
        <w:rPr>
          <w:rFonts w:eastAsia="SimSun" w:cs="Calibri"/>
          <w:bCs/>
          <w:i/>
          <w:iCs/>
          <w:noProof/>
          <w:lang w:val="sq-AL"/>
        </w:rPr>
      </w:pPr>
      <w:r w:rsidRPr="000D490A">
        <w:rPr>
          <w:rFonts w:eastAsia="SimSun" w:cs="Calibri"/>
          <w:bCs/>
          <w:i/>
          <w:iCs/>
          <w:noProof/>
          <w:lang w:val="sq-AL"/>
        </w:rPr>
        <w:t>Niveli i arkëtimeve të OSHEE Group sh.a. për vitin 2025 arriti në nivelin 99 përqind, duke rezultuar me një rënie 1.5 përqind krahasuar me të njëjtën periudhë të një viti më parë.</w:t>
      </w:r>
    </w:p>
    <w:p w14:paraId="61D4ABA4" w14:textId="77777777" w:rsidR="004E75E2" w:rsidRDefault="0033375A" w:rsidP="00F55F62">
      <w:pPr>
        <w:spacing w:line="240" w:lineRule="auto"/>
        <w:rPr>
          <w:rFonts w:eastAsia="SimSun" w:cs="Calibri"/>
          <w:bCs/>
          <w:noProof/>
          <w:lang w:val="sq-AL"/>
        </w:rPr>
      </w:pPr>
      <w:r w:rsidRPr="0033375A">
        <w:rPr>
          <w:rFonts w:eastAsia="SimSun" w:cs="Calibri"/>
          <w:bCs/>
          <w:noProof/>
          <w:lang w:val="sq-AL"/>
        </w:rPr>
        <w:t xml:space="preserve">Në terma të riskut fiskal, impakti i sektorit si kosto financiare apo të ardhura të munguara në financat publike për vitin 2025 vlerësohet rreth 5.28 </w:t>
      </w:r>
      <w:r w:rsidR="0056260B">
        <w:rPr>
          <w:rFonts w:eastAsia="SimSun" w:cs="Calibri"/>
          <w:bCs/>
          <w:noProof/>
          <w:lang w:val="sq-AL"/>
        </w:rPr>
        <w:t>miliardë</w:t>
      </w:r>
      <w:r w:rsidRPr="0033375A">
        <w:rPr>
          <w:rFonts w:eastAsia="SimSun" w:cs="Calibri"/>
          <w:bCs/>
          <w:noProof/>
          <w:lang w:val="sq-AL"/>
        </w:rPr>
        <w:t xml:space="preserve"> LEK</w:t>
      </w:r>
      <w:r w:rsidR="004E75E2">
        <w:rPr>
          <w:rFonts w:eastAsia="SimSun" w:cs="Calibri"/>
          <w:bCs/>
          <w:noProof/>
          <w:lang w:val="sq-AL"/>
        </w:rPr>
        <w:t>,</w:t>
      </w:r>
      <w:r w:rsidRPr="0033375A">
        <w:rPr>
          <w:rFonts w:eastAsia="SimSun" w:cs="Calibri"/>
          <w:bCs/>
          <w:noProof/>
          <w:lang w:val="sq-AL"/>
        </w:rPr>
        <w:t xml:space="preserve"> nga rreth 6.05 </w:t>
      </w:r>
      <w:r w:rsidR="0056260B">
        <w:rPr>
          <w:rFonts w:eastAsia="SimSun" w:cs="Calibri"/>
          <w:bCs/>
          <w:noProof/>
          <w:lang w:val="sq-AL"/>
        </w:rPr>
        <w:t>miliardë</w:t>
      </w:r>
      <w:r w:rsidRPr="0033375A">
        <w:rPr>
          <w:rFonts w:eastAsia="SimSun" w:cs="Calibri"/>
          <w:bCs/>
          <w:noProof/>
          <w:lang w:val="sq-AL"/>
        </w:rPr>
        <w:t xml:space="preserve"> </w:t>
      </w:r>
      <w:r w:rsidR="0056260B">
        <w:rPr>
          <w:rFonts w:eastAsia="SimSun" w:cs="Calibri"/>
          <w:bCs/>
          <w:noProof/>
          <w:lang w:val="sq-AL"/>
        </w:rPr>
        <w:t>LEK</w:t>
      </w:r>
      <w:r w:rsidRPr="0033375A">
        <w:rPr>
          <w:rFonts w:eastAsia="SimSun" w:cs="Calibri"/>
          <w:bCs/>
          <w:noProof/>
          <w:lang w:val="sq-AL"/>
        </w:rPr>
        <w:t xml:space="preserve"> në vitin 2024. Duke qenë se sektori i energjisë varet ndjeshëm nga kushtet atmosferike, </w:t>
      </w:r>
      <w:r w:rsidRPr="0033375A">
        <w:rPr>
          <w:lang w:val="sq-AL"/>
        </w:rPr>
        <w:t>ndryshimet në to ndikojnë në performancën e sektorit dhe rrjedhimisht edhe në financat publike</w:t>
      </w:r>
      <w:r w:rsidRPr="0033375A">
        <w:rPr>
          <w:rFonts w:eastAsia="SimSun" w:cs="Calibri"/>
          <w:bCs/>
          <w:noProof/>
          <w:lang w:val="sq-AL"/>
        </w:rPr>
        <w:t xml:space="preserve">. </w:t>
      </w:r>
    </w:p>
    <w:p w14:paraId="1249A0AE" w14:textId="77777777" w:rsidR="004E75E2" w:rsidRDefault="0033375A" w:rsidP="00F55F62">
      <w:pPr>
        <w:spacing w:line="240" w:lineRule="auto"/>
        <w:rPr>
          <w:rFonts w:eastAsia="SimSun" w:cs="Calibri"/>
          <w:bCs/>
          <w:noProof/>
          <w:lang w:val="sq-AL"/>
        </w:rPr>
      </w:pPr>
      <w:r w:rsidRPr="0033375A">
        <w:rPr>
          <w:rFonts w:eastAsia="SimSun" w:cs="Calibri"/>
          <w:bCs/>
          <w:noProof/>
          <w:lang w:val="sq-AL"/>
        </w:rPr>
        <w:t>Projektet e investimeve me financim të huaj për sektorin e energjisë për vitin 2025 u miratuan në nivelin 2</w:t>
      </w:r>
      <w:r w:rsidR="004E75E2">
        <w:rPr>
          <w:rFonts w:eastAsia="SimSun" w:cs="Calibri"/>
          <w:bCs/>
          <w:noProof/>
          <w:lang w:val="sq-AL"/>
        </w:rPr>
        <w:t xml:space="preserve">mld </w:t>
      </w:r>
      <w:r w:rsidRPr="0033375A">
        <w:rPr>
          <w:rFonts w:eastAsia="SimSun" w:cs="Calibri"/>
          <w:bCs/>
          <w:noProof/>
          <w:lang w:val="sq-AL"/>
        </w:rPr>
        <w:t xml:space="preserve">LEK sipas buxhetit fillestar </w:t>
      </w:r>
      <w:r w:rsidR="004E75E2">
        <w:rPr>
          <w:rFonts w:eastAsia="SimSun" w:cs="Calibri"/>
          <w:bCs/>
          <w:noProof/>
          <w:lang w:val="sq-AL"/>
        </w:rPr>
        <w:t>2025</w:t>
      </w:r>
      <w:r w:rsidRPr="0033375A">
        <w:rPr>
          <w:rFonts w:eastAsia="SimSun" w:cs="Calibri"/>
          <w:bCs/>
          <w:noProof/>
          <w:lang w:val="sq-AL"/>
        </w:rPr>
        <w:t xml:space="preserve">, por nuk patën realizim. </w:t>
      </w:r>
    </w:p>
    <w:p w14:paraId="594AC55B" w14:textId="1B40715C" w:rsidR="0033375A" w:rsidRPr="0033375A" w:rsidRDefault="0033375A" w:rsidP="00F55F62">
      <w:pPr>
        <w:spacing w:line="240" w:lineRule="auto"/>
        <w:rPr>
          <w:rFonts w:eastAsia="SimSun" w:cs="Calibri"/>
          <w:bCs/>
          <w:noProof/>
          <w:lang w:val="sq-AL"/>
        </w:rPr>
      </w:pPr>
      <w:r w:rsidRPr="0033375A">
        <w:rPr>
          <w:rFonts w:eastAsia="SimSun" w:cs="Calibri"/>
          <w:bCs/>
          <w:noProof/>
          <w:lang w:val="sq-AL"/>
        </w:rPr>
        <w:t>Në tabelën e mëposhtme paraqitet në mënyrë të përmbledhur ndikimi i sektorit të Energjisë në financat publike</w:t>
      </w:r>
      <w:bookmarkEnd w:id="180"/>
      <w:r w:rsidRPr="0033375A">
        <w:rPr>
          <w:rFonts w:eastAsia="SimSun" w:cs="Calibri"/>
          <w:bCs/>
          <w:noProof/>
          <w:lang w:val="sq-AL"/>
        </w:rPr>
        <w:t>:</w:t>
      </w:r>
    </w:p>
    <w:p w14:paraId="248226A0" w14:textId="77777777" w:rsidR="0033375A" w:rsidRPr="0033375A" w:rsidRDefault="0033375A" w:rsidP="0033375A">
      <w:pPr>
        <w:spacing w:before="0" w:line="240" w:lineRule="auto"/>
        <w:rPr>
          <w:rFonts w:eastAsia="SimSun" w:cs="Calibri"/>
          <w:bCs/>
          <w:i/>
          <w:noProof/>
          <w:color w:val="FF0000"/>
          <w:sz w:val="8"/>
          <w:highlight w:val="yellow"/>
          <w:lang w:val="sq-AL"/>
        </w:rPr>
      </w:pPr>
    </w:p>
    <w:p w14:paraId="3010978D" w14:textId="55AA0B69" w:rsidR="0033375A" w:rsidRPr="0033375A" w:rsidRDefault="0033375A" w:rsidP="0033375A">
      <w:pPr>
        <w:spacing w:before="0" w:line="240" w:lineRule="auto"/>
        <w:rPr>
          <w:i/>
          <w:iCs/>
          <w:noProof/>
          <w:color w:val="17406D" w:themeColor="text2"/>
          <w:sz w:val="18"/>
          <w:szCs w:val="18"/>
          <w:lang w:val="sq-AL"/>
        </w:rPr>
      </w:pPr>
      <w:bookmarkStart w:id="181" w:name="_Toc229129992"/>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18</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Të dhëna</w:t>
      </w:r>
      <w:r w:rsidR="00F55F62">
        <w:rPr>
          <w:i/>
          <w:iCs/>
          <w:noProof/>
          <w:color w:val="17406D" w:themeColor="text2"/>
          <w:sz w:val="18"/>
          <w:szCs w:val="18"/>
          <w:lang w:val="sq-AL"/>
        </w:rPr>
        <w:t xml:space="preserve"> faktike</w:t>
      </w:r>
      <w:r w:rsidRPr="0033375A">
        <w:rPr>
          <w:i/>
          <w:iCs/>
          <w:noProof/>
          <w:color w:val="17406D" w:themeColor="text2"/>
          <w:sz w:val="18"/>
          <w:szCs w:val="18"/>
          <w:lang w:val="sq-AL"/>
        </w:rPr>
        <w:t xml:space="preserve"> mbi impaktin e sektorit të energjisë në financat publike sipas periudhave përkatëse (në </w:t>
      </w:r>
      <w:r w:rsidR="0056260B">
        <w:rPr>
          <w:i/>
          <w:iCs/>
          <w:noProof/>
          <w:color w:val="17406D" w:themeColor="text2"/>
          <w:sz w:val="18"/>
          <w:szCs w:val="18"/>
          <w:lang w:val="sq-AL"/>
        </w:rPr>
        <w:t>milionë</w:t>
      </w:r>
      <w:r w:rsidRPr="0033375A">
        <w:rPr>
          <w:i/>
          <w:iCs/>
          <w:noProof/>
          <w:color w:val="17406D" w:themeColor="text2"/>
          <w:sz w:val="18"/>
          <w:szCs w:val="18"/>
          <w:lang w:val="sq-AL"/>
        </w:rPr>
        <w:t xml:space="preserve"> LEK)</w:t>
      </w:r>
      <w:bookmarkEnd w:id="181"/>
    </w:p>
    <w:tbl>
      <w:tblPr>
        <w:tblW w:w="95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67"/>
        <w:gridCol w:w="1013"/>
        <w:gridCol w:w="990"/>
        <w:gridCol w:w="990"/>
        <w:gridCol w:w="990"/>
        <w:gridCol w:w="990"/>
      </w:tblGrid>
      <w:tr w:rsidR="0033375A" w:rsidRPr="0033375A" w14:paraId="3645CB5B" w14:textId="77777777" w:rsidTr="004E75E2">
        <w:trPr>
          <w:trHeight w:val="58"/>
          <w:jc w:val="center"/>
        </w:trPr>
        <w:tc>
          <w:tcPr>
            <w:tcW w:w="4567" w:type="dxa"/>
            <w:shd w:val="clear" w:color="auto" w:fill="9BC2E6"/>
            <w:noWrap/>
            <w:hideMark/>
          </w:tcPr>
          <w:p w14:paraId="0792C462" w14:textId="77777777" w:rsidR="0033375A" w:rsidRPr="0033375A" w:rsidRDefault="0033375A" w:rsidP="004E75E2">
            <w:pPr>
              <w:spacing w:before="0" w:line="240" w:lineRule="auto"/>
              <w:jc w:val="left"/>
              <w:rPr>
                <w:rFonts w:asciiTheme="majorHAnsi" w:hAnsiTheme="majorHAnsi" w:cstheme="majorHAnsi"/>
                <w:noProof/>
                <w:color w:val="000000"/>
                <w:szCs w:val="22"/>
                <w:lang w:val="sq-AL"/>
              </w:rPr>
            </w:pPr>
            <w:bookmarkStart w:id="182" w:name="_Hlk129872185"/>
            <w:r w:rsidRPr="0033375A">
              <w:rPr>
                <w:rFonts w:asciiTheme="majorHAnsi" w:hAnsiTheme="majorHAnsi" w:cstheme="majorHAnsi"/>
                <w:noProof/>
                <w:color w:val="000000"/>
                <w:szCs w:val="22"/>
                <w:lang w:val="sq-AL"/>
              </w:rPr>
              <w:t> </w:t>
            </w:r>
          </w:p>
        </w:tc>
        <w:tc>
          <w:tcPr>
            <w:tcW w:w="1013" w:type="dxa"/>
            <w:shd w:val="clear" w:color="auto" w:fill="9BC2E6"/>
            <w:vAlign w:val="center"/>
          </w:tcPr>
          <w:p w14:paraId="24849402" w14:textId="77777777" w:rsidR="0033375A" w:rsidRPr="0033375A" w:rsidRDefault="0033375A" w:rsidP="004E75E2">
            <w:pPr>
              <w:spacing w:before="0" w:line="240" w:lineRule="auto"/>
              <w:jc w:val="center"/>
              <w:rPr>
                <w:rFonts w:asciiTheme="majorHAnsi" w:hAnsiTheme="majorHAnsi" w:cstheme="majorHAnsi"/>
                <w:b/>
                <w:bCs/>
                <w:noProof/>
                <w:sz w:val="18"/>
                <w:szCs w:val="18"/>
                <w:lang w:val="sq-AL"/>
              </w:rPr>
            </w:pPr>
            <w:r w:rsidRPr="0033375A">
              <w:rPr>
                <w:rFonts w:asciiTheme="majorHAnsi" w:hAnsiTheme="majorHAnsi" w:cstheme="majorHAnsi"/>
                <w:b/>
                <w:bCs/>
                <w:noProof/>
                <w:sz w:val="18"/>
                <w:szCs w:val="18"/>
                <w:lang w:val="sq-AL"/>
              </w:rPr>
              <w:t>2021</w:t>
            </w:r>
          </w:p>
        </w:tc>
        <w:tc>
          <w:tcPr>
            <w:tcW w:w="990" w:type="dxa"/>
            <w:shd w:val="clear" w:color="auto" w:fill="9BC2E6"/>
            <w:vAlign w:val="center"/>
            <w:hideMark/>
          </w:tcPr>
          <w:p w14:paraId="0D2ED13E" w14:textId="77777777" w:rsidR="0033375A" w:rsidRPr="0033375A" w:rsidRDefault="0033375A" w:rsidP="004E75E2">
            <w:pPr>
              <w:spacing w:before="0" w:line="240" w:lineRule="auto"/>
              <w:jc w:val="center"/>
              <w:rPr>
                <w:rFonts w:asciiTheme="majorHAnsi" w:hAnsiTheme="majorHAnsi" w:cstheme="majorHAnsi"/>
                <w:b/>
                <w:bCs/>
                <w:noProof/>
                <w:sz w:val="18"/>
                <w:szCs w:val="18"/>
                <w:lang w:val="sq-AL"/>
              </w:rPr>
            </w:pPr>
            <w:r w:rsidRPr="0033375A">
              <w:rPr>
                <w:rFonts w:asciiTheme="majorHAnsi" w:hAnsiTheme="majorHAnsi" w:cstheme="majorHAnsi"/>
                <w:b/>
                <w:bCs/>
                <w:noProof/>
                <w:sz w:val="18"/>
                <w:szCs w:val="18"/>
                <w:lang w:val="sq-AL"/>
              </w:rPr>
              <w:t>2022</w:t>
            </w:r>
          </w:p>
        </w:tc>
        <w:tc>
          <w:tcPr>
            <w:tcW w:w="990" w:type="dxa"/>
            <w:shd w:val="clear" w:color="auto" w:fill="9BC2E6"/>
            <w:vAlign w:val="center"/>
          </w:tcPr>
          <w:p w14:paraId="581DFA0F" w14:textId="77777777" w:rsidR="0033375A" w:rsidRPr="0033375A" w:rsidRDefault="0033375A" w:rsidP="004E75E2">
            <w:pPr>
              <w:spacing w:before="0" w:line="240" w:lineRule="auto"/>
              <w:jc w:val="center"/>
              <w:rPr>
                <w:rFonts w:asciiTheme="majorHAnsi" w:hAnsiTheme="majorHAnsi" w:cstheme="majorHAnsi"/>
                <w:b/>
                <w:bCs/>
                <w:noProof/>
                <w:sz w:val="18"/>
                <w:szCs w:val="18"/>
                <w:lang w:val="sq-AL"/>
              </w:rPr>
            </w:pPr>
            <w:r w:rsidRPr="0033375A">
              <w:rPr>
                <w:rFonts w:asciiTheme="majorHAnsi" w:hAnsiTheme="majorHAnsi" w:cstheme="majorHAnsi"/>
                <w:b/>
                <w:bCs/>
                <w:noProof/>
                <w:sz w:val="18"/>
                <w:szCs w:val="18"/>
                <w:lang w:val="sq-AL"/>
              </w:rPr>
              <w:t>2023</w:t>
            </w:r>
          </w:p>
        </w:tc>
        <w:tc>
          <w:tcPr>
            <w:tcW w:w="990" w:type="dxa"/>
            <w:shd w:val="clear" w:color="auto" w:fill="9BC2E6"/>
            <w:vAlign w:val="center"/>
          </w:tcPr>
          <w:p w14:paraId="110EF6AE" w14:textId="77777777" w:rsidR="0033375A" w:rsidRPr="0033375A" w:rsidRDefault="0033375A" w:rsidP="004E75E2">
            <w:pPr>
              <w:spacing w:before="0" w:line="240" w:lineRule="auto"/>
              <w:jc w:val="center"/>
              <w:rPr>
                <w:rFonts w:asciiTheme="majorHAnsi" w:hAnsiTheme="majorHAnsi" w:cstheme="majorHAnsi"/>
                <w:b/>
                <w:bCs/>
                <w:noProof/>
                <w:sz w:val="18"/>
                <w:szCs w:val="18"/>
                <w:lang w:val="sq-AL"/>
              </w:rPr>
            </w:pPr>
            <w:r w:rsidRPr="0033375A">
              <w:rPr>
                <w:rFonts w:asciiTheme="majorHAnsi" w:hAnsiTheme="majorHAnsi" w:cstheme="majorHAnsi"/>
                <w:b/>
                <w:bCs/>
                <w:noProof/>
                <w:sz w:val="18"/>
                <w:szCs w:val="18"/>
                <w:lang w:val="sq-AL"/>
              </w:rPr>
              <w:t>2024</w:t>
            </w:r>
          </w:p>
        </w:tc>
        <w:tc>
          <w:tcPr>
            <w:tcW w:w="990" w:type="dxa"/>
            <w:shd w:val="clear" w:color="auto" w:fill="9BC2E6"/>
            <w:vAlign w:val="center"/>
            <w:hideMark/>
          </w:tcPr>
          <w:p w14:paraId="061A33E7" w14:textId="77777777" w:rsidR="0033375A" w:rsidRPr="0033375A" w:rsidRDefault="0033375A" w:rsidP="004E75E2">
            <w:pPr>
              <w:spacing w:before="0" w:line="240" w:lineRule="auto"/>
              <w:jc w:val="center"/>
              <w:rPr>
                <w:rFonts w:asciiTheme="majorHAnsi" w:hAnsiTheme="majorHAnsi" w:cstheme="majorHAnsi"/>
                <w:b/>
                <w:bCs/>
                <w:noProof/>
                <w:sz w:val="18"/>
                <w:szCs w:val="18"/>
                <w:lang w:val="sq-AL"/>
              </w:rPr>
            </w:pPr>
            <w:r w:rsidRPr="0033375A">
              <w:rPr>
                <w:rFonts w:asciiTheme="majorHAnsi" w:hAnsiTheme="majorHAnsi" w:cstheme="majorHAnsi"/>
                <w:b/>
                <w:bCs/>
                <w:noProof/>
                <w:sz w:val="18"/>
                <w:szCs w:val="18"/>
                <w:lang w:val="sq-AL"/>
              </w:rPr>
              <w:t xml:space="preserve"> 2025</w:t>
            </w:r>
          </w:p>
        </w:tc>
      </w:tr>
      <w:tr w:rsidR="0033375A" w:rsidRPr="0033375A" w14:paraId="3CE3308D" w14:textId="77777777" w:rsidTr="004E75E2">
        <w:trPr>
          <w:trHeight w:val="222"/>
          <w:jc w:val="center"/>
        </w:trPr>
        <w:tc>
          <w:tcPr>
            <w:tcW w:w="4567" w:type="dxa"/>
            <w:shd w:val="clear" w:color="000000" w:fill="FFFFFF"/>
            <w:noWrap/>
            <w:vAlign w:val="center"/>
            <w:hideMark/>
          </w:tcPr>
          <w:p w14:paraId="2E9742DE" w14:textId="051E3BC1" w:rsidR="0033375A" w:rsidRPr="0033375A" w:rsidRDefault="0033375A" w:rsidP="004E75E2">
            <w:pPr>
              <w:spacing w:before="0" w:line="240" w:lineRule="auto"/>
              <w:jc w:val="left"/>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 xml:space="preserve"> Ndikimi në financat publike (në </w:t>
            </w:r>
            <w:r w:rsidR="0056260B">
              <w:rPr>
                <w:rFonts w:asciiTheme="majorHAnsi" w:hAnsiTheme="majorHAnsi" w:cstheme="majorHAnsi"/>
                <w:b/>
                <w:bCs/>
                <w:noProof/>
                <w:color w:val="C00000"/>
                <w:sz w:val="18"/>
                <w:szCs w:val="18"/>
                <w:lang w:val="sq-AL"/>
              </w:rPr>
              <w:t>milionë</w:t>
            </w:r>
            <w:r w:rsidRPr="0033375A">
              <w:rPr>
                <w:rFonts w:asciiTheme="majorHAnsi" w:hAnsiTheme="majorHAnsi" w:cstheme="majorHAnsi"/>
                <w:b/>
                <w:bCs/>
                <w:noProof/>
                <w:color w:val="C00000"/>
                <w:sz w:val="18"/>
                <w:szCs w:val="18"/>
                <w:lang w:val="sq-AL"/>
              </w:rPr>
              <w:t xml:space="preserve"> LEK):</w:t>
            </w:r>
          </w:p>
        </w:tc>
        <w:tc>
          <w:tcPr>
            <w:tcW w:w="1013" w:type="dxa"/>
            <w:noWrap/>
            <w:vAlign w:val="center"/>
          </w:tcPr>
          <w:p w14:paraId="7BED0C32" w14:textId="77777777" w:rsidR="0033375A" w:rsidRPr="0033375A" w:rsidRDefault="0033375A" w:rsidP="004E75E2">
            <w:pPr>
              <w:spacing w:before="0" w:line="240" w:lineRule="auto"/>
              <w:jc w:val="center"/>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5,504</w:t>
            </w:r>
          </w:p>
        </w:tc>
        <w:tc>
          <w:tcPr>
            <w:tcW w:w="990" w:type="dxa"/>
            <w:noWrap/>
            <w:vAlign w:val="center"/>
            <w:hideMark/>
          </w:tcPr>
          <w:p w14:paraId="4FF9DA4A" w14:textId="77777777" w:rsidR="0033375A" w:rsidRPr="0033375A" w:rsidRDefault="0033375A" w:rsidP="004E75E2">
            <w:pPr>
              <w:spacing w:before="0" w:line="240" w:lineRule="auto"/>
              <w:jc w:val="center"/>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33,017</w:t>
            </w:r>
          </w:p>
        </w:tc>
        <w:tc>
          <w:tcPr>
            <w:tcW w:w="990" w:type="dxa"/>
            <w:vAlign w:val="center"/>
          </w:tcPr>
          <w:p w14:paraId="3F383A1A" w14:textId="77777777" w:rsidR="0033375A" w:rsidRPr="0033375A" w:rsidRDefault="0033375A" w:rsidP="004E75E2">
            <w:pPr>
              <w:spacing w:before="0" w:line="240" w:lineRule="auto"/>
              <w:jc w:val="center"/>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5,286</w:t>
            </w:r>
          </w:p>
        </w:tc>
        <w:tc>
          <w:tcPr>
            <w:tcW w:w="990" w:type="dxa"/>
            <w:vAlign w:val="center"/>
          </w:tcPr>
          <w:p w14:paraId="6B19BC87" w14:textId="77777777" w:rsidR="0033375A" w:rsidRPr="0033375A" w:rsidRDefault="0033375A" w:rsidP="004E75E2">
            <w:pPr>
              <w:spacing w:before="0" w:line="240" w:lineRule="auto"/>
              <w:jc w:val="center"/>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6,045</w:t>
            </w:r>
          </w:p>
        </w:tc>
        <w:tc>
          <w:tcPr>
            <w:tcW w:w="990" w:type="dxa"/>
            <w:noWrap/>
            <w:vAlign w:val="center"/>
            <w:hideMark/>
          </w:tcPr>
          <w:p w14:paraId="55627303" w14:textId="77777777" w:rsidR="0033375A" w:rsidRPr="0033375A" w:rsidRDefault="0033375A" w:rsidP="004E75E2">
            <w:pPr>
              <w:spacing w:before="0" w:line="240" w:lineRule="auto"/>
              <w:jc w:val="center"/>
              <w:rPr>
                <w:rFonts w:asciiTheme="majorHAnsi" w:hAnsiTheme="majorHAnsi" w:cstheme="majorHAnsi"/>
                <w:b/>
                <w:bCs/>
                <w:noProof/>
                <w:color w:val="C00000"/>
                <w:sz w:val="18"/>
                <w:szCs w:val="18"/>
                <w:lang w:val="sq-AL"/>
              </w:rPr>
            </w:pPr>
            <w:r w:rsidRPr="0033375A">
              <w:rPr>
                <w:rFonts w:asciiTheme="majorHAnsi" w:hAnsiTheme="majorHAnsi" w:cstheme="majorHAnsi"/>
                <w:b/>
                <w:bCs/>
                <w:noProof/>
                <w:color w:val="C00000"/>
                <w:sz w:val="18"/>
                <w:szCs w:val="18"/>
                <w:lang w:val="sq-AL"/>
              </w:rPr>
              <w:t>5,277</w:t>
            </w:r>
          </w:p>
        </w:tc>
      </w:tr>
      <w:tr w:rsidR="0033375A" w:rsidRPr="0033375A" w14:paraId="6548F5DA" w14:textId="77777777" w:rsidTr="004E75E2">
        <w:trPr>
          <w:trHeight w:val="309"/>
          <w:jc w:val="center"/>
        </w:trPr>
        <w:tc>
          <w:tcPr>
            <w:tcW w:w="4567" w:type="dxa"/>
            <w:shd w:val="clear" w:color="000000" w:fill="FFFFFF"/>
            <w:noWrap/>
            <w:vAlign w:val="center"/>
            <w:hideMark/>
          </w:tcPr>
          <w:p w14:paraId="72CA71BA" w14:textId="77777777" w:rsidR="0033375A" w:rsidRPr="0033375A" w:rsidRDefault="0033375A" w:rsidP="004E75E2">
            <w:pPr>
              <w:spacing w:before="0" w:line="240" w:lineRule="auto"/>
              <w:jc w:val="left"/>
              <w:rPr>
                <w:rFonts w:asciiTheme="majorHAnsi" w:hAnsiTheme="majorHAnsi" w:cstheme="majorHAnsi"/>
                <w:b/>
                <w:bCs/>
                <w:noProof/>
                <w:color w:val="000000"/>
                <w:sz w:val="18"/>
                <w:szCs w:val="18"/>
                <w:lang w:val="sq-AL"/>
              </w:rPr>
            </w:pPr>
            <w:r w:rsidRPr="0033375A">
              <w:rPr>
                <w:rFonts w:asciiTheme="majorHAnsi" w:hAnsiTheme="majorHAnsi" w:cstheme="majorHAnsi"/>
                <w:b/>
                <w:bCs/>
                <w:noProof/>
                <w:color w:val="000000"/>
                <w:sz w:val="18"/>
                <w:szCs w:val="18"/>
                <w:lang w:val="sq-AL"/>
              </w:rPr>
              <w:t>1. Garancitë dhe nënhuatë e paguara nga MF</w:t>
            </w:r>
          </w:p>
        </w:tc>
        <w:tc>
          <w:tcPr>
            <w:tcW w:w="1013" w:type="dxa"/>
            <w:shd w:val="clear" w:color="000000" w:fill="FFFFFF"/>
            <w:noWrap/>
            <w:vAlign w:val="center"/>
          </w:tcPr>
          <w:p w14:paraId="5B79EAF9"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5,407</w:t>
            </w:r>
          </w:p>
        </w:tc>
        <w:tc>
          <w:tcPr>
            <w:tcW w:w="990" w:type="dxa"/>
            <w:shd w:val="clear" w:color="000000" w:fill="FFFFFF"/>
            <w:noWrap/>
            <w:vAlign w:val="center"/>
            <w:hideMark/>
          </w:tcPr>
          <w:p w14:paraId="6F383CC7"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32,973</w:t>
            </w:r>
          </w:p>
        </w:tc>
        <w:tc>
          <w:tcPr>
            <w:tcW w:w="990" w:type="dxa"/>
            <w:shd w:val="clear" w:color="000000" w:fill="FFFFFF"/>
            <w:vAlign w:val="center"/>
          </w:tcPr>
          <w:p w14:paraId="5B8094D4"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5,285</w:t>
            </w:r>
          </w:p>
        </w:tc>
        <w:tc>
          <w:tcPr>
            <w:tcW w:w="990" w:type="dxa"/>
            <w:shd w:val="clear" w:color="000000" w:fill="FFFFFF"/>
            <w:vAlign w:val="center"/>
          </w:tcPr>
          <w:p w14:paraId="6EDA70A4"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Aptos Narrow" w:hAnsi="Aptos Narrow"/>
                <w:b/>
                <w:bCs/>
                <w:i/>
                <w:iCs/>
                <w:color w:val="000000"/>
                <w:sz w:val="18"/>
                <w:szCs w:val="18"/>
              </w:rPr>
              <w:t>6,045</w:t>
            </w:r>
          </w:p>
        </w:tc>
        <w:tc>
          <w:tcPr>
            <w:tcW w:w="990" w:type="dxa"/>
            <w:shd w:val="clear" w:color="000000" w:fill="FFFFFF"/>
            <w:noWrap/>
            <w:vAlign w:val="center"/>
            <w:hideMark/>
          </w:tcPr>
          <w:p w14:paraId="4D20256F"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5,277</w:t>
            </w:r>
          </w:p>
        </w:tc>
      </w:tr>
      <w:tr w:rsidR="0033375A" w:rsidRPr="0033375A" w14:paraId="7C35F2EE" w14:textId="77777777" w:rsidTr="004E75E2">
        <w:trPr>
          <w:trHeight w:val="80"/>
          <w:jc w:val="center"/>
        </w:trPr>
        <w:tc>
          <w:tcPr>
            <w:tcW w:w="4567" w:type="dxa"/>
            <w:shd w:val="clear" w:color="000000" w:fill="FFFFFF"/>
            <w:noWrap/>
            <w:vAlign w:val="center"/>
            <w:hideMark/>
          </w:tcPr>
          <w:p w14:paraId="3B0CA6EE" w14:textId="77777777" w:rsidR="0033375A" w:rsidRPr="0033375A" w:rsidRDefault="0033375A" w:rsidP="004E75E2">
            <w:pPr>
              <w:spacing w:before="0" w:line="240" w:lineRule="auto"/>
              <w:jc w:val="right"/>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Garanci të paguara nga MF</w:t>
            </w:r>
          </w:p>
        </w:tc>
        <w:tc>
          <w:tcPr>
            <w:tcW w:w="1013" w:type="dxa"/>
            <w:shd w:val="clear" w:color="000000" w:fill="FFFFFF"/>
            <w:noWrap/>
            <w:vAlign w:val="center"/>
          </w:tcPr>
          <w:p w14:paraId="6F6CC02A"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1,504</w:t>
            </w:r>
            <w:r w:rsidRPr="0033375A">
              <w:rPr>
                <w:rFonts w:asciiTheme="majorHAnsi" w:hAnsiTheme="majorHAnsi" w:cstheme="majorHAnsi"/>
                <w:i/>
                <w:iCs/>
                <w:noProof/>
                <w:color w:val="C00000"/>
                <w:sz w:val="18"/>
                <w:szCs w:val="18"/>
                <w:lang w:val="sq-AL"/>
              </w:rPr>
              <w:t>*</w:t>
            </w:r>
          </w:p>
        </w:tc>
        <w:tc>
          <w:tcPr>
            <w:tcW w:w="990" w:type="dxa"/>
            <w:shd w:val="clear" w:color="000000" w:fill="FFFFFF"/>
            <w:noWrap/>
            <w:vAlign w:val="center"/>
            <w:hideMark/>
          </w:tcPr>
          <w:p w14:paraId="3A1504F1"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2,989</w:t>
            </w:r>
          </w:p>
        </w:tc>
        <w:tc>
          <w:tcPr>
            <w:tcW w:w="990" w:type="dxa"/>
            <w:shd w:val="clear" w:color="000000" w:fill="FFFFFF"/>
            <w:vAlign w:val="center"/>
          </w:tcPr>
          <w:p w14:paraId="536B6ACA"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1,149</w:t>
            </w:r>
          </w:p>
        </w:tc>
        <w:tc>
          <w:tcPr>
            <w:tcW w:w="990" w:type="dxa"/>
            <w:shd w:val="clear" w:color="000000" w:fill="FFFFFF"/>
            <w:vAlign w:val="center"/>
          </w:tcPr>
          <w:p w14:paraId="5AECAE09"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Aptos Narrow" w:hAnsi="Aptos Narrow"/>
                <w:i/>
                <w:iCs/>
                <w:color w:val="000000"/>
                <w:sz w:val="18"/>
                <w:szCs w:val="18"/>
              </w:rPr>
              <w:t>1,631</w:t>
            </w:r>
          </w:p>
        </w:tc>
        <w:tc>
          <w:tcPr>
            <w:tcW w:w="990" w:type="dxa"/>
            <w:shd w:val="clear" w:color="000000" w:fill="FFFFFF"/>
            <w:noWrap/>
            <w:vAlign w:val="center"/>
            <w:hideMark/>
          </w:tcPr>
          <w:p w14:paraId="44DD6344"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2,256</w:t>
            </w:r>
          </w:p>
        </w:tc>
      </w:tr>
      <w:tr w:rsidR="0033375A" w:rsidRPr="0033375A" w14:paraId="58CDBDB5" w14:textId="77777777" w:rsidTr="004E75E2">
        <w:trPr>
          <w:trHeight w:val="80"/>
          <w:jc w:val="center"/>
        </w:trPr>
        <w:tc>
          <w:tcPr>
            <w:tcW w:w="4567" w:type="dxa"/>
            <w:shd w:val="clear" w:color="000000" w:fill="FFFFFF"/>
            <w:noWrap/>
            <w:vAlign w:val="center"/>
            <w:hideMark/>
          </w:tcPr>
          <w:p w14:paraId="3CB57C63" w14:textId="77777777" w:rsidR="0033375A" w:rsidRPr="0033375A" w:rsidRDefault="0033375A" w:rsidP="004E75E2">
            <w:pPr>
              <w:spacing w:before="0" w:line="240" w:lineRule="auto"/>
              <w:jc w:val="right"/>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Projekte me financim të huaj të nënhuazuara</w:t>
            </w:r>
          </w:p>
        </w:tc>
        <w:tc>
          <w:tcPr>
            <w:tcW w:w="1013" w:type="dxa"/>
            <w:shd w:val="clear" w:color="000000" w:fill="FFFFFF"/>
            <w:noWrap/>
            <w:vAlign w:val="center"/>
          </w:tcPr>
          <w:p w14:paraId="1971B969"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3,903</w:t>
            </w:r>
          </w:p>
        </w:tc>
        <w:tc>
          <w:tcPr>
            <w:tcW w:w="990" w:type="dxa"/>
            <w:shd w:val="clear" w:color="000000" w:fill="FFFFFF"/>
            <w:noWrap/>
            <w:vAlign w:val="center"/>
            <w:hideMark/>
          </w:tcPr>
          <w:p w14:paraId="3AE2A3A6"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2,077</w:t>
            </w:r>
          </w:p>
        </w:tc>
        <w:tc>
          <w:tcPr>
            <w:tcW w:w="990" w:type="dxa"/>
            <w:shd w:val="clear" w:color="000000" w:fill="FFFFFF"/>
            <w:vAlign w:val="center"/>
          </w:tcPr>
          <w:p w14:paraId="23ACDB1E"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4,136</w:t>
            </w:r>
          </w:p>
        </w:tc>
        <w:tc>
          <w:tcPr>
            <w:tcW w:w="990" w:type="dxa"/>
            <w:shd w:val="clear" w:color="000000" w:fill="FFFFFF"/>
            <w:vAlign w:val="center"/>
          </w:tcPr>
          <w:p w14:paraId="395ED023"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Aptos Narrow" w:hAnsi="Aptos Narrow"/>
                <w:i/>
                <w:iCs/>
                <w:color w:val="000000"/>
                <w:sz w:val="18"/>
                <w:szCs w:val="18"/>
              </w:rPr>
              <w:t>4,414</w:t>
            </w:r>
          </w:p>
        </w:tc>
        <w:tc>
          <w:tcPr>
            <w:tcW w:w="990" w:type="dxa"/>
            <w:shd w:val="clear" w:color="000000" w:fill="FFFFFF"/>
            <w:noWrap/>
            <w:vAlign w:val="center"/>
            <w:hideMark/>
          </w:tcPr>
          <w:p w14:paraId="05639813"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3,021</w:t>
            </w:r>
          </w:p>
        </w:tc>
      </w:tr>
      <w:tr w:rsidR="0033375A" w:rsidRPr="0033375A" w14:paraId="437AFA14" w14:textId="77777777" w:rsidTr="004E75E2">
        <w:trPr>
          <w:trHeight w:val="80"/>
          <w:jc w:val="center"/>
        </w:trPr>
        <w:tc>
          <w:tcPr>
            <w:tcW w:w="4567" w:type="dxa"/>
            <w:shd w:val="clear" w:color="000000" w:fill="FFFFFF"/>
            <w:noWrap/>
            <w:vAlign w:val="center"/>
            <w:hideMark/>
          </w:tcPr>
          <w:p w14:paraId="67F3BA6B" w14:textId="77777777" w:rsidR="0033375A" w:rsidRPr="0033375A" w:rsidRDefault="0033375A" w:rsidP="004E75E2">
            <w:pPr>
              <w:spacing w:before="0" w:line="240" w:lineRule="auto"/>
              <w:jc w:val="right"/>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Hua e dhënë për energjinë</w:t>
            </w:r>
          </w:p>
        </w:tc>
        <w:tc>
          <w:tcPr>
            <w:tcW w:w="1013" w:type="dxa"/>
            <w:shd w:val="clear" w:color="000000" w:fill="FFFFFF"/>
            <w:noWrap/>
            <w:vAlign w:val="center"/>
          </w:tcPr>
          <w:p w14:paraId="0C4389C5"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 xml:space="preserve">               -      </w:t>
            </w:r>
          </w:p>
        </w:tc>
        <w:tc>
          <w:tcPr>
            <w:tcW w:w="990" w:type="dxa"/>
            <w:shd w:val="clear" w:color="000000" w:fill="FFFFFF"/>
            <w:noWrap/>
            <w:vAlign w:val="center"/>
            <w:hideMark/>
          </w:tcPr>
          <w:p w14:paraId="1608F774"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7,907</w:t>
            </w:r>
            <w:r w:rsidRPr="0033375A">
              <w:rPr>
                <w:rFonts w:asciiTheme="majorHAnsi" w:hAnsiTheme="majorHAnsi" w:cstheme="majorHAnsi"/>
                <w:i/>
                <w:iCs/>
                <w:noProof/>
                <w:color w:val="C00000"/>
                <w:sz w:val="18"/>
                <w:szCs w:val="18"/>
                <w:lang w:val="sq-AL"/>
              </w:rPr>
              <w:t>**</w:t>
            </w:r>
          </w:p>
        </w:tc>
        <w:tc>
          <w:tcPr>
            <w:tcW w:w="990" w:type="dxa"/>
            <w:shd w:val="clear" w:color="000000" w:fill="FFFFFF"/>
            <w:vAlign w:val="center"/>
          </w:tcPr>
          <w:p w14:paraId="7109C90C"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 xml:space="preserve">               -      </w:t>
            </w:r>
          </w:p>
        </w:tc>
        <w:tc>
          <w:tcPr>
            <w:tcW w:w="990" w:type="dxa"/>
            <w:shd w:val="clear" w:color="000000" w:fill="FFFFFF"/>
            <w:vAlign w:val="center"/>
          </w:tcPr>
          <w:p w14:paraId="1F72BC22"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 xml:space="preserve">             -</w:t>
            </w:r>
          </w:p>
        </w:tc>
        <w:tc>
          <w:tcPr>
            <w:tcW w:w="990" w:type="dxa"/>
            <w:shd w:val="clear" w:color="000000" w:fill="FFFFFF"/>
            <w:noWrap/>
            <w:vAlign w:val="center"/>
            <w:hideMark/>
          </w:tcPr>
          <w:p w14:paraId="0FA8380D"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w:t>
            </w:r>
          </w:p>
        </w:tc>
      </w:tr>
      <w:tr w:rsidR="0033375A" w:rsidRPr="0033375A" w14:paraId="7B9D7DB0" w14:textId="77777777" w:rsidTr="004E75E2">
        <w:trPr>
          <w:trHeight w:val="265"/>
          <w:jc w:val="center"/>
        </w:trPr>
        <w:tc>
          <w:tcPr>
            <w:tcW w:w="4567" w:type="dxa"/>
            <w:shd w:val="clear" w:color="000000" w:fill="FFFFFF"/>
            <w:noWrap/>
            <w:vAlign w:val="center"/>
            <w:hideMark/>
          </w:tcPr>
          <w:p w14:paraId="5FD8A34F" w14:textId="77777777" w:rsidR="0033375A" w:rsidRPr="0033375A" w:rsidRDefault="0033375A" w:rsidP="004E75E2">
            <w:pPr>
              <w:spacing w:before="0" w:line="240" w:lineRule="auto"/>
              <w:jc w:val="left"/>
              <w:rPr>
                <w:rFonts w:asciiTheme="majorHAnsi" w:hAnsiTheme="majorHAnsi" w:cstheme="majorHAnsi"/>
                <w:b/>
                <w:bCs/>
                <w:noProof/>
                <w:color w:val="000000"/>
                <w:sz w:val="18"/>
                <w:szCs w:val="18"/>
                <w:lang w:val="sq-AL"/>
              </w:rPr>
            </w:pPr>
            <w:r w:rsidRPr="0033375A">
              <w:rPr>
                <w:rFonts w:asciiTheme="majorHAnsi" w:hAnsiTheme="majorHAnsi" w:cstheme="majorHAnsi"/>
                <w:b/>
                <w:bCs/>
                <w:noProof/>
                <w:color w:val="000000"/>
                <w:sz w:val="18"/>
                <w:szCs w:val="18"/>
                <w:lang w:val="sq-AL"/>
              </w:rPr>
              <w:t>2. Mbështetje buxhetore për sektorin energjetik</w:t>
            </w:r>
          </w:p>
        </w:tc>
        <w:tc>
          <w:tcPr>
            <w:tcW w:w="1013" w:type="dxa"/>
            <w:shd w:val="clear" w:color="000000" w:fill="FFFFFF"/>
            <w:noWrap/>
            <w:vAlign w:val="center"/>
          </w:tcPr>
          <w:p w14:paraId="14FE09EF"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 </w:t>
            </w:r>
          </w:p>
        </w:tc>
        <w:tc>
          <w:tcPr>
            <w:tcW w:w="990" w:type="dxa"/>
            <w:shd w:val="clear" w:color="000000" w:fill="FFFFFF"/>
            <w:noWrap/>
            <w:vAlign w:val="center"/>
            <w:hideMark/>
          </w:tcPr>
          <w:p w14:paraId="70CFCF71"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20,000</w:t>
            </w:r>
            <w:r w:rsidRPr="0033375A">
              <w:rPr>
                <w:rFonts w:asciiTheme="majorHAnsi" w:hAnsiTheme="majorHAnsi" w:cstheme="majorHAnsi"/>
                <w:i/>
                <w:iCs/>
                <w:noProof/>
                <w:color w:val="C00000"/>
                <w:sz w:val="18"/>
                <w:szCs w:val="18"/>
                <w:lang w:val="sq-AL"/>
              </w:rPr>
              <w:t>**</w:t>
            </w:r>
          </w:p>
        </w:tc>
        <w:tc>
          <w:tcPr>
            <w:tcW w:w="990" w:type="dxa"/>
            <w:shd w:val="clear" w:color="000000" w:fill="FFFFFF"/>
            <w:vAlign w:val="center"/>
          </w:tcPr>
          <w:p w14:paraId="6F56160A"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 0</w:t>
            </w:r>
            <w:r w:rsidRPr="0033375A">
              <w:rPr>
                <w:rFonts w:asciiTheme="majorHAnsi" w:hAnsiTheme="majorHAnsi" w:cstheme="majorHAnsi"/>
                <w:i/>
                <w:iCs/>
                <w:noProof/>
                <w:color w:val="C00000"/>
                <w:sz w:val="18"/>
                <w:szCs w:val="18"/>
                <w:lang w:val="sq-AL"/>
              </w:rPr>
              <w:t>***</w:t>
            </w:r>
          </w:p>
        </w:tc>
        <w:tc>
          <w:tcPr>
            <w:tcW w:w="990" w:type="dxa"/>
            <w:shd w:val="clear" w:color="000000" w:fill="FFFFFF"/>
            <w:vAlign w:val="center"/>
          </w:tcPr>
          <w:p w14:paraId="54985E5D"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noProof/>
                <w:color w:val="000000"/>
                <w:sz w:val="20"/>
                <w:szCs w:val="20"/>
                <w:lang w:val="sq-AL"/>
              </w:rPr>
              <w:t xml:space="preserve">           -</w:t>
            </w:r>
          </w:p>
        </w:tc>
        <w:tc>
          <w:tcPr>
            <w:tcW w:w="990" w:type="dxa"/>
            <w:shd w:val="clear" w:color="000000" w:fill="FFFFFF"/>
            <w:noWrap/>
            <w:vAlign w:val="center"/>
            <w:hideMark/>
          </w:tcPr>
          <w:p w14:paraId="746902CE" w14:textId="77777777" w:rsidR="0033375A" w:rsidRPr="0033375A" w:rsidRDefault="0033375A" w:rsidP="004E75E2">
            <w:pPr>
              <w:spacing w:before="0" w:line="240" w:lineRule="auto"/>
              <w:jc w:val="center"/>
              <w:rPr>
                <w:rFonts w:asciiTheme="majorHAnsi" w:hAnsiTheme="majorHAnsi" w:cstheme="majorHAnsi"/>
                <w:i/>
                <w:iCs/>
                <w:noProof/>
                <w:color w:val="000000"/>
                <w:sz w:val="18"/>
                <w:szCs w:val="18"/>
                <w:lang w:val="sq-AL"/>
              </w:rPr>
            </w:pPr>
            <w:r w:rsidRPr="0033375A">
              <w:rPr>
                <w:rFonts w:asciiTheme="majorHAnsi" w:hAnsiTheme="majorHAnsi" w:cstheme="majorHAnsi"/>
                <w:i/>
                <w:iCs/>
                <w:noProof/>
                <w:color w:val="000000"/>
                <w:sz w:val="18"/>
                <w:szCs w:val="18"/>
                <w:lang w:val="sq-AL"/>
              </w:rPr>
              <w:t>-</w:t>
            </w:r>
          </w:p>
        </w:tc>
      </w:tr>
      <w:tr w:rsidR="0033375A" w:rsidRPr="0033375A" w14:paraId="784E0795" w14:textId="77777777" w:rsidTr="004E75E2">
        <w:trPr>
          <w:trHeight w:val="351"/>
          <w:jc w:val="center"/>
        </w:trPr>
        <w:tc>
          <w:tcPr>
            <w:tcW w:w="4567" w:type="dxa"/>
            <w:shd w:val="clear" w:color="000000" w:fill="FFFFFF"/>
            <w:noWrap/>
            <w:vAlign w:val="center"/>
            <w:hideMark/>
          </w:tcPr>
          <w:p w14:paraId="63EBB5A8" w14:textId="77777777" w:rsidR="0033375A" w:rsidRPr="0033375A" w:rsidRDefault="0033375A" w:rsidP="004E75E2">
            <w:pPr>
              <w:spacing w:before="0" w:line="240" w:lineRule="auto"/>
              <w:jc w:val="left"/>
              <w:rPr>
                <w:rFonts w:asciiTheme="majorHAnsi" w:hAnsiTheme="majorHAnsi" w:cstheme="majorHAnsi"/>
                <w:b/>
                <w:bCs/>
                <w:noProof/>
                <w:color w:val="000000"/>
                <w:sz w:val="18"/>
                <w:szCs w:val="18"/>
                <w:lang w:val="sq-AL"/>
              </w:rPr>
            </w:pPr>
            <w:r w:rsidRPr="0033375A">
              <w:rPr>
                <w:rFonts w:asciiTheme="majorHAnsi" w:hAnsiTheme="majorHAnsi" w:cstheme="majorHAnsi"/>
                <w:b/>
                <w:bCs/>
                <w:noProof/>
                <w:color w:val="000000"/>
                <w:sz w:val="18"/>
                <w:szCs w:val="18"/>
                <w:lang w:val="sq-AL"/>
              </w:rPr>
              <w:t>3. Detyrimet Tatimore (Vjetore)</w:t>
            </w:r>
          </w:p>
        </w:tc>
        <w:tc>
          <w:tcPr>
            <w:tcW w:w="1013" w:type="dxa"/>
            <w:shd w:val="clear" w:color="000000" w:fill="FFFFFF"/>
            <w:noWrap/>
            <w:vAlign w:val="center"/>
          </w:tcPr>
          <w:p w14:paraId="64A4DD73"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97.2</w:t>
            </w:r>
          </w:p>
        </w:tc>
        <w:tc>
          <w:tcPr>
            <w:tcW w:w="990" w:type="dxa"/>
            <w:shd w:val="clear" w:color="000000" w:fill="FFFFFF"/>
            <w:noWrap/>
            <w:vAlign w:val="center"/>
            <w:hideMark/>
          </w:tcPr>
          <w:p w14:paraId="23D06271"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43.4</w:t>
            </w:r>
          </w:p>
        </w:tc>
        <w:tc>
          <w:tcPr>
            <w:tcW w:w="990" w:type="dxa"/>
            <w:shd w:val="clear" w:color="000000" w:fill="FFFFFF"/>
            <w:vAlign w:val="center"/>
          </w:tcPr>
          <w:p w14:paraId="0C5D3E7A"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0.1</w:t>
            </w:r>
          </w:p>
        </w:tc>
        <w:tc>
          <w:tcPr>
            <w:tcW w:w="990" w:type="dxa"/>
            <w:shd w:val="clear" w:color="000000" w:fill="FFFFFF"/>
            <w:vAlign w:val="center"/>
          </w:tcPr>
          <w:p w14:paraId="7032955A"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Aptos Narrow" w:hAnsi="Aptos Narrow"/>
                <w:b/>
                <w:bCs/>
                <w:i/>
                <w:iCs/>
                <w:color w:val="000000"/>
                <w:sz w:val="18"/>
                <w:szCs w:val="18"/>
              </w:rPr>
              <w:t>0.5</w:t>
            </w:r>
          </w:p>
        </w:tc>
        <w:tc>
          <w:tcPr>
            <w:tcW w:w="990" w:type="dxa"/>
            <w:shd w:val="clear" w:color="000000" w:fill="FFFFFF"/>
            <w:noWrap/>
            <w:vAlign w:val="center"/>
            <w:hideMark/>
          </w:tcPr>
          <w:p w14:paraId="5F987F07" w14:textId="77777777" w:rsidR="0033375A" w:rsidRPr="0033375A" w:rsidRDefault="0033375A" w:rsidP="004E75E2">
            <w:pPr>
              <w:spacing w:before="0" w:line="240" w:lineRule="auto"/>
              <w:jc w:val="center"/>
              <w:rPr>
                <w:rFonts w:asciiTheme="majorHAnsi" w:hAnsiTheme="majorHAnsi" w:cstheme="majorHAnsi"/>
                <w:b/>
                <w:bCs/>
                <w:i/>
                <w:iCs/>
                <w:noProof/>
                <w:color w:val="000000"/>
                <w:sz w:val="18"/>
                <w:szCs w:val="18"/>
                <w:lang w:val="sq-AL"/>
              </w:rPr>
            </w:pPr>
            <w:r w:rsidRPr="0033375A">
              <w:rPr>
                <w:rFonts w:asciiTheme="majorHAnsi" w:hAnsiTheme="majorHAnsi" w:cstheme="majorHAnsi"/>
                <w:b/>
                <w:bCs/>
                <w:i/>
                <w:iCs/>
                <w:noProof/>
                <w:color w:val="000000"/>
                <w:sz w:val="18"/>
                <w:szCs w:val="18"/>
                <w:lang w:val="sq-AL"/>
              </w:rPr>
              <w:t>0.02</w:t>
            </w:r>
          </w:p>
        </w:tc>
      </w:tr>
    </w:tbl>
    <w:p w14:paraId="6485C960" w14:textId="64863C3E" w:rsidR="0033375A" w:rsidRPr="0033375A" w:rsidRDefault="0033375A" w:rsidP="0033375A">
      <w:pPr>
        <w:spacing w:before="0" w:line="240" w:lineRule="auto"/>
        <w:rPr>
          <w:rFonts w:asciiTheme="majorHAnsi" w:hAnsiTheme="majorHAnsi" w:cstheme="majorHAnsi"/>
          <w:i/>
          <w:noProof/>
          <w:sz w:val="16"/>
          <w:szCs w:val="28"/>
          <w:lang w:val="sq-AL"/>
        </w:rPr>
      </w:pPr>
      <w:r w:rsidRPr="0033375A">
        <w:rPr>
          <w:i/>
          <w:noProof/>
          <w:sz w:val="16"/>
          <w:szCs w:val="20"/>
          <w:lang w:val="sq-AL"/>
        </w:rPr>
        <w:t>*</w:t>
      </w:r>
      <w:r w:rsidRPr="0033375A">
        <w:rPr>
          <w:noProof/>
          <w:sz w:val="18"/>
          <w:lang w:val="sq-AL"/>
        </w:rPr>
        <w:t xml:space="preserve"> </w:t>
      </w:r>
      <w:bookmarkEnd w:id="182"/>
      <w:r w:rsidRPr="0033375A">
        <w:rPr>
          <w:rFonts w:asciiTheme="majorHAnsi" w:hAnsiTheme="majorHAnsi" w:cstheme="majorHAnsi"/>
          <w:i/>
          <w:noProof/>
          <w:sz w:val="16"/>
          <w:szCs w:val="28"/>
          <w:lang w:val="sq-AL"/>
        </w:rPr>
        <w:t xml:space="preserve">”Mbështetje buxhetore për sektorin e energjisë” (OSHEE Group Sh.a.) nëpërmjet instrumentit të garancisë sovrane në shumën 10 000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 për vitin 2021 me anë të Aktit Normativ nr.31 datë 27.10.2021.</w:t>
      </w:r>
    </w:p>
    <w:p w14:paraId="7B8B5797" w14:textId="6D4C7A80" w:rsidR="0033375A" w:rsidRPr="0033375A" w:rsidRDefault="0033375A" w:rsidP="0033375A">
      <w:pPr>
        <w:spacing w:before="0" w:line="240" w:lineRule="auto"/>
        <w:rPr>
          <w:rFonts w:asciiTheme="majorHAnsi" w:hAnsiTheme="majorHAnsi" w:cstheme="majorHAnsi"/>
          <w:i/>
          <w:noProof/>
          <w:sz w:val="16"/>
          <w:szCs w:val="28"/>
          <w:lang w:val="sq-AL"/>
        </w:rPr>
      </w:pPr>
      <w:r w:rsidRPr="0033375A">
        <w:rPr>
          <w:rFonts w:asciiTheme="majorHAnsi" w:hAnsiTheme="majorHAnsi" w:cstheme="majorHAnsi"/>
          <w:i/>
          <w:noProof/>
          <w:sz w:val="16"/>
          <w:szCs w:val="28"/>
          <w:lang w:val="sq-AL"/>
        </w:rPr>
        <w:t xml:space="preserve">** “Hua e dhënë për energjinë” planifikuar në shumën 8 000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 për vitin 2022 (realizimi faktik 7 907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 dhe “Mbështetje buxhetore për sektorin e energjisë” planifikuar në shumën 20 000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 për vitin 2022 (realizimi faktik 20 000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w:t>
      </w:r>
    </w:p>
    <w:p w14:paraId="2BAC3564" w14:textId="05637DD6" w:rsidR="0033375A" w:rsidRPr="0033375A" w:rsidRDefault="0033375A" w:rsidP="0033375A">
      <w:pPr>
        <w:spacing w:before="0" w:line="240" w:lineRule="auto"/>
        <w:rPr>
          <w:rFonts w:asciiTheme="majorHAnsi" w:hAnsiTheme="majorHAnsi" w:cstheme="majorHAnsi"/>
          <w:i/>
          <w:noProof/>
          <w:sz w:val="16"/>
          <w:szCs w:val="28"/>
          <w:lang w:val="sq-AL"/>
        </w:rPr>
      </w:pPr>
      <w:r w:rsidRPr="0033375A">
        <w:rPr>
          <w:rFonts w:asciiTheme="majorHAnsi" w:hAnsiTheme="majorHAnsi" w:cstheme="majorHAnsi"/>
          <w:i/>
          <w:noProof/>
          <w:sz w:val="16"/>
          <w:szCs w:val="28"/>
          <w:lang w:val="sq-AL"/>
        </w:rPr>
        <w:t xml:space="preserve">*** “Mbështetja buxhetore për sektorin e energjisë” planifikuar në shumën 12 000 </w:t>
      </w:r>
      <w:r w:rsidR="0056260B">
        <w:rPr>
          <w:rFonts w:asciiTheme="majorHAnsi" w:hAnsiTheme="majorHAnsi" w:cstheme="majorHAnsi"/>
          <w:i/>
          <w:noProof/>
          <w:sz w:val="16"/>
          <w:szCs w:val="28"/>
          <w:lang w:val="sq-AL"/>
        </w:rPr>
        <w:t>milionë</w:t>
      </w:r>
      <w:r w:rsidRPr="0033375A">
        <w:rPr>
          <w:rFonts w:asciiTheme="majorHAnsi" w:hAnsiTheme="majorHAnsi" w:cstheme="majorHAnsi"/>
          <w:i/>
          <w:noProof/>
          <w:sz w:val="16"/>
          <w:szCs w:val="28"/>
          <w:lang w:val="sq-AL"/>
        </w:rPr>
        <w:t xml:space="preserve"> LEK për vitin 2023 nuk u përdor dhe, nëpërmjet Aktit Normativ nr.5 datë 18.10.2023 u rishpërnda për zërat e tjerë të shpenzimeve publike, bazuar në situatën e qëndrueshme të sektorit.</w:t>
      </w:r>
    </w:p>
    <w:p w14:paraId="088908C9" w14:textId="0392BD0E" w:rsidR="0033375A" w:rsidRDefault="0033375A" w:rsidP="0033375A">
      <w:pPr>
        <w:spacing w:before="0" w:line="240" w:lineRule="auto"/>
        <w:rPr>
          <w:rFonts w:asciiTheme="majorHAnsi" w:hAnsiTheme="majorHAnsi"/>
          <w:bCs/>
          <w:i/>
          <w:noProof/>
          <w:sz w:val="18"/>
          <w:szCs w:val="20"/>
          <w:lang w:val="sq-AL"/>
        </w:rPr>
      </w:pPr>
      <w:r w:rsidRPr="0033375A">
        <w:rPr>
          <w:rFonts w:asciiTheme="majorHAnsi" w:hAnsiTheme="majorHAnsi"/>
          <w:bCs/>
          <w:i/>
          <w:noProof/>
          <w:sz w:val="18"/>
          <w:szCs w:val="20"/>
          <w:lang w:val="sq-AL"/>
        </w:rPr>
        <w:t>Burimi: Ministria e Financave (2026)</w:t>
      </w:r>
    </w:p>
    <w:p w14:paraId="366BCD28" w14:textId="77777777" w:rsidR="001824B9" w:rsidRPr="004E75E2" w:rsidRDefault="001824B9" w:rsidP="0033375A">
      <w:pPr>
        <w:spacing w:before="0" w:line="240" w:lineRule="auto"/>
        <w:rPr>
          <w:rFonts w:asciiTheme="majorHAnsi" w:hAnsiTheme="majorHAnsi"/>
          <w:bCs/>
          <w:i/>
          <w:noProof/>
          <w:sz w:val="8"/>
          <w:szCs w:val="16"/>
          <w:lang w:val="sq-AL"/>
        </w:rPr>
      </w:pPr>
    </w:p>
    <w:p w14:paraId="3F2EBE2C" w14:textId="77777777" w:rsidR="00030ED6" w:rsidRDefault="0033375A" w:rsidP="00030ED6">
      <w:pPr>
        <w:spacing w:before="0" w:line="240" w:lineRule="auto"/>
        <w:textAlignment w:val="baseline"/>
        <w:rPr>
          <w:rFonts w:cs="Calibri"/>
          <w:szCs w:val="22"/>
          <w:lang w:val="sq-AL"/>
        </w:rPr>
      </w:pPr>
      <w:bookmarkStart w:id="183" w:name="_Toc76470030"/>
      <w:r w:rsidRPr="0033375A">
        <w:rPr>
          <w:rFonts w:cs="Calibri"/>
          <w:szCs w:val="22"/>
          <w:lang w:val="sq-AL"/>
        </w:rPr>
        <w:t>Në kuadër të reformës në sektorin e energjisë, Ministria e Financave dhe Ministria e Infrastrukturës dhe Energjisë, bashkëfirmosën Urdhërin e Përbashkët nr.379/2021 datë 30.09.2021 “</w:t>
      </w:r>
      <w:r w:rsidRPr="0033375A">
        <w:rPr>
          <w:rFonts w:cs="Calibri"/>
          <w:i/>
          <w:iCs/>
          <w:szCs w:val="22"/>
          <w:lang w:val="sq-AL"/>
        </w:rPr>
        <w:t>Mbi zbatimin e planit të masave për reduktimin e detyrimeve të prapambetura në sektorin e energjisë elektrike</w:t>
      </w:r>
      <w:r w:rsidRPr="0033375A">
        <w:rPr>
          <w:rFonts w:cs="Calibri"/>
          <w:szCs w:val="22"/>
          <w:lang w:val="sq-AL"/>
        </w:rPr>
        <w:t>”, nëpërmjet së cilit, ndërmarrjet e sektorit energjitik raportojnë në mënyrë periodike mujore, mbi shlyerjen e detyrimeve të prapambetura të ndërsjella ndërmjet sektorit të energjisë dhe entiteve të tjera publike. Përgjatë vitit 2025, në përputhje me udhëzimin e sipërcituar, MF ka monitoruar periodikisht mbi bazë mujore detyrimet e ndërsjella të raportuara nga ndërmarrjet e sektorit të energjisë dhe entiteve të tjera publike. Për periudhën 12 mujore të vitit 2025 vërehet një trend rritës i detyrimeve të ndërsjella krahasuar me vitin 2024. Kjo rritje i atribuohet kryesisht detyrimeve që ndërmarrja KESH-sh.a rezulton të ketë ndaj MF dhe OSHEE Group ndaj DPT.</w:t>
      </w:r>
    </w:p>
    <w:p w14:paraId="6C0FF7FB" w14:textId="3D068BD2" w:rsidR="00030ED6" w:rsidRPr="00030ED6" w:rsidRDefault="0033375A" w:rsidP="00030ED6">
      <w:pPr>
        <w:spacing w:before="0" w:line="240" w:lineRule="auto"/>
        <w:textAlignment w:val="baseline"/>
        <w:rPr>
          <w:rFonts w:cs="Calibri"/>
          <w:sz w:val="8"/>
          <w:szCs w:val="8"/>
          <w:lang w:val="sq-AL"/>
        </w:rPr>
      </w:pPr>
      <w:r w:rsidRPr="00030ED6">
        <w:rPr>
          <w:rFonts w:cs="Calibri"/>
          <w:sz w:val="8"/>
          <w:szCs w:val="8"/>
          <w:lang w:val="sq-AL"/>
        </w:rPr>
        <w:t xml:space="preserve"> </w:t>
      </w:r>
    </w:p>
    <w:p w14:paraId="24F9040F" w14:textId="77777777" w:rsidR="00B70B1A" w:rsidRDefault="0033375A" w:rsidP="00030ED6">
      <w:pPr>
        <w:spacing w:before="0" w:line="240" w:lineRule="auto"/>
        <w:textAlignment w:val="baseline"/>
        <w:rPr>
          <w:rFonts w:cs="Calibri"/>
          <w:szCs w:val="22"/>
          <w:lang w:val="sq-AL"/>
        </w:rPr>
      </w:pPr>
      <w:r w:rsidRPr="0033375A">
        <w:rPr>
          <w:rFonts w:cs="Calibri"/>
          <w:szCs w:val="22"/>
          <w:lang w:val="sq-AL"/>
        </w:rPr>
        <w:t xml:space="preserve">Megjithëse ndërmarrjet e sektorit energjetik raportojnë se, një pjesë e këtyre detyrimeve të ndërsjella janë shlyer sipas planit të masave për reduktimin e tyre, niveli i përgjithshëm vijon të rritet. Kjo pasi, shoqëritë vazhdojnë të përballen me një situatë likuiditeti të pamjaftueshme, të mbartur nga vitet e kaluara, e cila ka bërë të pamundur shlyerjen e të gjithë detyrimeve sipas planit vjetor. Një tjetër faktor që ka ndikuar në situatën aktuale janë edhe vonesat në shlyerjen e detyrimeve të ndërsjella nga ndërmarrjet UK. Ndërmarrjet e sektorit energjetik konfirmojnë se angazhimi i tyre mbetet maksimal në drejtim të përmbushjes me sukses të marrëveshjeve për likuidimin tërësor të stokut të detyrimeve të ndërsjella. </w:t>
      </w:r>
    </w:p>
    <w:p w14:paraId="5D1A135B" w14:textId="77777777" w:rsidR="004E75E2" w:rsidRDefault="004E75E2" w:rsidP="00030ED6">
      <w:pPr>
        <w:spacing w:before="0" w:line="240" w:lineRule="auto"/>
        <w:textAlignment w:val="baseline"/>
        <w:rPr>
          <w:rFonts w:cs="Calibri"/>
          <w:szCs w:val="22"/>
          <w:lang w:val="sq-AL"/>
        </w:rPr>
      </w:pPr>
    </w:p>
    <w:p w14:paraId="2AD811A1" w14:textId="393C65CC" w:rsidR="0033375A" w:rsidRDefault="0033375A" w:rsidP="00030ED6">
      <w:pPr>
        <w:spacing w:before="0" w:line="240" w:lineRule="auto"/>
        <w:textAlignment w:val="baseline"/>
        <w:rPr>
          <w:rFonts w:eastAsiaTheme="majorEastAsia" w:cs="Calibri"/>
          <w:szCs w:val="22"/>
          <w:lang w:val="sq-AL"/>
        </w:rPr>
      </w:pPr>
      <w:r w:rsidRPr="0033375A">
        <w:rPr>
          <w:rFonts w:cs="Calibri"/>
          <w:szCs w:val="22"/>
          <w:lang w:val="sq-AL"/>
        </w:rPr>
        <w:lastRenderedPageBreak/>
        <w:t>Më poshtë jepet një tablo e detyrimeve të ndërsjella, të regjistruara deri në Dhjetor 2025:</w:t>
      </w:r>
      <w:r w:rsidRPr="0033375A">
        <w:rPr>
          <w:rFonts w:eastAsiaTheme="majorEastAsia" w:cs="Calibri"/>
          <w:szCs w:val="22"/>
          <w:lang w:val="sq-AL"/>
        </w:rPr>
        <w:t> </w:t>
      </w:r>
    </w:p>
    <w:p w14:paraId="691DDAD0" w14:textId="77777777" w:rsidR="00030ED6" w:rsidRPr="00030ED6" w:rsidRDefault="00030ED6" w:rsidP="00030ED6">
      <w:pPr>
        <w:spacing w:before="0" w:line="240" w:lineRule="auto"/>
        <w:textAlignment w:val="baseline"/>
        <w:rPr>
          <w:rFonts w:cs="Calibri"/>
          <w:sz w:val="8"/>
          <w:szCs w:val="8"/>
          <w:lang w:val="sq-AL"/>
        </w:rPr>
      </w:pPr>
    </w:p>
    <w:p w14:paraId="3E292082" w14:textId="33281085" w:rsidR="0033375A" w:rsidRPr="0033375A" w:rsidRDefault="0033375A" w:rsidP="00030ED6">
      <w:pPr>
        <w:spacing w:before="0"/>
        <w:rPr>
          <w:i/>
          <w:iCs/>
          <w:noProof/>
          <w:color w:val="17406D" w:themeColor="text2"/>
          <w:sz w:val="18"/>
          <w:szCs w:val="18"/>
          <w:lang w:val="sq-AL"/>
        </w:rPr>
      </w:pPr>
      <w:bookmarkStart w:id="184" w:name="_Toc229129993"/>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19</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Detyrimet e ndërsjella midis ndërmarjeve të sektorit energjitik, ML/IB, MF dhe DPT</w:t>
      </w:r>
      <w:bookmarkEnd w:id="184"/>
    </w:p>
    <w:tbl>
      <w:tblPr>
        <w:tblStyle w:val="TableGrid"/>
        <w:tblW w:w="9457" w:type="dxa"/>
        <w:jc w:val="center"/>
        <w:tblLook w:val="04A0" w:firstRow="1" w:lastRow="0" w:firstColumn="1" w:lastColumn="0" w:noHBand="0" w:noVBand="1"/>
      </w:tblPr>
      <w:tblGrid>
        <w:gridCol w:w="2669"/>
        <w:gridCol w:w="982"/>
        <w:gridCol w:w="1220"/>
        <w:gridCol w:w="1134"/>
        <w:gridCol w:w="862"/>
        <w:gridCol w:w="917"/>
        <w:gridCol w:w="1673"/>
      </w:tblGrid>
      <w:tr w:rsidR="0033375A" w:rsidRPr="0033375A" w14:paraId="78978D35" w14:textId="77777777" w:rsidTr="00F55F62">
        <w:trPr>
          <w:trHeight w:val="249"/>
          <w:jc w:val="center"/>
        </w:trPr>
        <w:tc>
          <w:tcPr>
            <w:tcW w:w="2669" w:type="dxa"/>
            <w:shd w:val="clear" w:color="auto" w:fill="B3DDF2" w:themeFill="background2" w:themeFillShade="E6"/>
            <w:vAlign w:val="center"/>
            <w:hideMark/>
          </w:tcPr>
          <w:p w14:paraId="4AD0FEF5" w14:textId="77777777" w:rsidR="0033375A" w:rsidRPr="0033375A" w:rsidRDefault="0033375A" w:rsidP="0033375A">
            <w:pPr>
              <w:spacing w:before="0" w:line="240" w:lineRule="auto"/>
              <w:jc w:val="center"/>
              <w:rPr>
                <w:rFonts w:asciiTheme="majorHAnsi" w:eastAsia="Calibri" w:hAnsiTheme="majorHAnsi"/>
                <w:b/>
                <w:noProof/>
                <w:color w:val="C00000"/>
                <w:sz w:val="18"/>
                <w:szCs w:val="18"/>
                <w:lang w:val="sq-AL"/>
              </w:rPr>
            </w:pPr>
            <w:bookmarkStart w:id="185" w:name="_Toc104907138"/>
            <w:bookmarkStart w:id="186" w:name="_Toc104980347"/>
            <w:r w:rsidRPr="0033375A">
              <w:rPr>
                <w:rFonts w:asciiTheme="majorHAnsi" w:eastAsia="Calibri" w:hAnsiTheme="majorHAnsi"/>
                <w:b/>
                <w:noProof/>
                <w:color w:val="C00000"/>
                <w:sz w:val="18"/>
                <w:szCs w:val="18"/>
                <w:lang w:val="sq-AL"/>
              </w:rPr>
              <w:t>Deri në Dhjetor 2025</w:t>
            </w:r>
          </w:p>
          <w:p w14:paraId="4ED1CDC7" w14:textId="70515C7C"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eastAsia="Calibri" w:hAnsiTheme="majorHAnsi"/>
                <w:b/>
                <w:noProof/>
                <w:color w:val="C00000"/>
                <w:sz w:val="18"/>
                <w:szCs w:val="18"/>
                <w:lang w:val="sq-AL"/>
              </w:rPr>
              <w:t xml:space="preserve">(në </w:t>
            </w:r>
            <w:r w:rsidR="0056260B">
              <w:rPr>
                <w:rFonts w:asciiTheme="majorHAnsi" w:eastAsia="Calibri" w:hAnsiTheme="majorHAnsi"/>
                <w:b/>
                <w:noProof/>
                <w:color w:val="C00000"/>
                <w:sz w:val="18"/>
                <w:szCs w:val="18"/>
                <w:lang w:val="sq-AL"/>
              </w:rPr>
              <w:t>miliardë</w:t>
            </w:r>
            <w:r w:rsidRPr="0033375A">
              <w:rPr>
                <w:rFonts w:asciiTheme="majorHAnsi" w:eastAsia="Calibri" w:hAnsiTheme="majorHAnsi"/>
                <w:b/>
                <w:noProof/>
                <w:color w:val="C00000"/>
                <w:sz w:val="18"/>
                <w:szCs w:val="18"/>
                <w:lang w:val="sq-AL"/>
              </w:rPr>
              <w:t xml:space="preserve"> LEK)</w:t>
            </w:r>
          </w:p>
        </w:tc>
        <w:tc>
          <w:tcPr>
            <w:tcW w:w="982" w:type="dxa"/>
            <w:shd w:val="clear" w:color="auto" w:fill="B3DDF2" w:themeFill="background2" w:themeFillShade="E6"/>
            <w:vAlign w:val="center"/>
            <w:hideMark/>
          </w:tcPr>
          <w:p w14:paraId="61D01DCA"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KESH</w:t>
            </w:r>
          </w:p>
        </w:tc>
        <w:tc>
          <w:tcPr>
            <w:tcW w:w="1220" w:type="dxa"/>
            <w:shd w:val="clear" w:color="auto" w:fill="B3DDF2" w:themeFill="background2" w:themeFillShade="E6"/>
            <w:vAlign w:val="center"/>
            <w:hideMark/>
          </w:tcPr>
          <w:p w14:paraId="0813A7B3"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OST</w:t>
            </w:r>
          </w:p>
        </w:tc>
        <w:tc>
          <w:tcPr>
            <w:tcW w:w="1134" w:type="dxa"/>
            <w:shd w:val="clear" w:color="auto" w:fill="B3DDF2" w:themeFill="background2" w:themeFillShade="E6"/>
            <w:vAlign w:val="center"/>
            <w:hideMark/>
          </w:tcPr>
          <w:p w14:paraId="75154548"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OSHEE</w:t>
            </w:r>
          </w:p>
        </w:tc>
        <w:tc>
          <w:tcPr>
            <w:tcW w:w="862" w:type="dxa"/>
            <w:shd w:val="clear" w:color="auto" w:fill="B3DDF2" w:themeFill="background2" w:themeFillShade="E6"/>
            <w:vAlign w:val="center"/>
            <w:hideMark/>
          </w:tcPr>
          <w:p w14:paraId="4C0FD165"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MF</w:t>
            </w:r>
          </w:p>
        </w:tc>
        <w:tc>
          <w:tcPr>
            <w:tcW w:w="917" w:type="dxa"/>
            <w:shd w:val="clear" w:color="auto" w:fill="B3DDF2" w:themeFill="background2" w:themeFillShade="E6"/>
            <w:vAlign w:val="center"/>
            <w:hideMark/>
          </w:tcPr>
          <w:p w14:paraId="15E0DB72"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DPT</w:t>
            </w:r>
          </w:p>
        </w:tc>
        <w:tc>
          <w:tcPr>
            <w:tcW w:w="1673" w:type="dxa"/>
            <w:shd w:val="clear" w:color="auto" w:fill="B3DDF2" w:themeFill="background2" w:themeFillShade="E6"/>
            <w:vAlign w:val="center"/>
            <w:hideMark/>
          </w:tcPr>
          <w:p w14:paraId="6E4F7064" w14:textId="77777777" w:rsidR="0033375A" w:rsidRPr="0033375A" w:rsidRDefault="0033375A" w:rsidP="0033375A">
            <w:pPr>
              <w:spacing w:before="0" w:line="240" w:lineRule="auto"/>
              <w:jc w:val="center"/>
              <w:rPr>
                <w:rFonts w:asciiTheme="majorHAnsi" w:hAnsiTheme="majorHAnsi"/>
                <w:b/>
                <w:bCs/>
                <w:noProof/>
                <w:color w:val="C00000"/>
                <w:sz w:val="18"/>
                <w:szCs w:val="18"/>
                <w:lang w:val="sq-AL"/>
              </w:rPr>
            </w:pPr>
            <w:r w:rsidRPr="0033375A">
              <w:rPr>
                <w:rFonts w:asciiTheme="majorHAnsi" w:hAnsiTheme="majorHAnsi"/>
                <w:b/>
                <w:bCs/>
                <w:noProof/>
                <w:color w:val="C00000"/>
                <w:sz w:val="18"/>
                <w:szCs w:val="18"/>
                <w:lang w:val="sq-AL"/>
              </w:rPr>
              <w:t>Total</w:t>
            </w:r>
          </w:p>
        </w:tc>
      </w:tr>
      <w:tr w:rsidR="0033375A" w:rsidRPr="0033375A" w14:paraId="30BE3B8B" w14:textId="77777777" w:rsidTr="00F55F62">
        <w:trPr>
          <w:trHeight w:val="220"/>
          <w:jc w:val="center"/>
        </w:trPr>
        <w:tc>
          <w:tcPr>
            <w:tcW w:w="2669" w:type="dxa"/>
            <w:vAlign w:val="center"/>
            <w:hideMark/>
          </w:tcPr>
          <w:p w14:paraId="69112536"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KESH ndaj:</w:t>
            </w:r>
          </w:p>
        </w:tc>
        <w:tc>
          <w:tcPr>
            <w:tcW w:w="982" w:type="dxa"/>
            <w:vAlign w:val="center"/>
            <w:hideMark/>
          </w:tcPr>
          <w:p w14:paraId="51CD654D"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220" w:type="dxa"/>
            <w:vAlign w:val="center"/>
            <w:hideMark/>
          </w:tcPr>
          <w:p w14:paraId="4FB42F43"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0*</w:t>
            </w:r>
          </w:p>
        </w:tc>
        <w:tc>
          <w:tcPr>
            <w:tcW w:w="1134" w:type="dxa"/>
            <w:vAlign w:val="center"/>
            <w:hideMark/>
          </w:tcPr>
          <w:p w14:paraId="4E85F395"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862" w:type="dxa"/>
            <w:vAlign w:val="center"/>
            <w:hideMark/>
          </w:tcPr>
          <w:p w14:paraId="03DE7798"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45.13</w:t>
            </w:r>
          </w:p>
        </w:tc>
        <w:tc>
          <w:tcPr>
            <w:tcW w:w="917" w:type="dxa"/>
            <w:vAlign w:val="center"/>
            <w:hideMark/>
          </w:tcPr>
          <w:p w14:paraId="089EBB3E"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673" w:type="dxa"/>
            <w:shd w:val="clear" w:color="auto" w:fill="B3DDF2" w:themeFill="background2" w:themeFillShade="E6"/>
            <w:vAlign w:val="center"/>
            <w:hideMark/>
          </w:tcPr>
          <w:p w14:paraId="4C81F5C4"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45.13</w:t>
            </w:r>
          </w:p>
        </w:tc>
      </w:tr>
      <w:tr w:rsidR="0033375A" w:rsidRPr="0033375A" w14:paraId="00BB814E" w14:textId="77777777" w:rsidTr="00F55F62">
        <w:trPr>
          <w:trHeight w:val="220"/>
          <w:jc w:val="center"/>
        </w:trPr>
        <w:tc>
          <w:tcPr>
            <w:tcW w:w="2669" w:type="dxa"/>
            <w:vAlign w:val="center"/>
            <w:hideMark/>
          </w:tcPr>
          <w:p w14:paraId="0CFF0716"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OST ndaj:</w:t>
            </w:r>
          </w:p>
        </w:tc>
        <w:tc>
          <w:tcPr>
            <w:tcW w:w="982" w:type="dxa"/>
            <w:vAlign w:val="center"/>
            <w:hideMark/>
          </w:tcPr>
          <w:p w14:paraId="2EBF8453"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10.24*</w:t>
            </w:r>
          </w:p>
        </w:tc>
        <w:tc>
          <w:tcPr>
            <w:tcW w:w="1220" w:type="dxa"/>
            <w:vAlign w:val="center"/>
            <w:hideMark/>
          </w:tcPr>
          <w:p w14:paraId="044439E0"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134" w:type="dxa"/>
            <w:vAlign w:val="center"/>
            <w:hideMark/>
          </w:tcPr>
          <w:p w14:paraId="486CF20F"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0.04</w:t>
            </w:r>
          </w:p>
        </w:tc>
        <w:tc>
          <w:tcPr>
            <w:tcW w:w="862" w:type="dxa"/>
            <w:vAlign w:val="center"/>
            <w:hideMark/>
          </w:tcPr>
          <w:p w14:paraId="168EFF52"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7.40</w:t>
            </w:r>
          </w:p>
        </w:tc>
        <w:tc>
          <w:tcPr>
            <w:tcW w:w="917" w:type="dxa"/>
            <w:vAlign w:val="center"/>
            <w:hideMark/>
          </w:tcPr>
          <w:p w14:paraId="06E5A66A"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673" w:type="dxa"/>
            <w:shd w:val="clear" w:color="auto" w:fill="B3DDF2" w:themeFill="background2" w:themeFillShade="E6"/>
            <w:vAlign w:val="center"/>
            <w:hideMark/>
          </w:tcPr>
          <w:p w14:paraId="332DD7C5"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17.69</w:t>
            </w:r>
          </w:p>
        </w:tc>
      </w:tr>
      <w:tr w:rsidR="0033375A" w:rsidRPr="0033375A" w14:paraId="60C5C7AF" w14:textId="77777777" w:rsidTr="00F55F62">
        <w:trPr>
          <w:trHeight w:val="244"/>
          <w:jc w:val="center"/>
        </w:trPr>
        <w:tc>
          <w:tcPr>
            <w:tcW w:w="2669" w:type="dxa"/>
            <w:vAlign w:val="center"/>
            <w:hideMark/>
          </w:tcPr>
          <w:p w14:paraId="345C2D8E"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OSHEE ndaj:</w:t>
            </w:r>
          </w:p>
        </w:tc>
        <w:tc>
          <w:tcPr>
            <w:tcW w:w="982" w:type="dxa"/>
            <w:vAlign w:val="center"/>
            <w:hideMark/>
          </w:tcPr>
          <w:p w14:paraId="4F4C7E79"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45.47**</w:t>
            </w:r>
          </w:p>
        </w:tc>
        <w:tc>
          <w:tcPr>
            <w:tcW w:w="1220" w:type="dxa"/>
            <w:vAlign w:val="center"/>
            <w:hideMark/>
          </w:tcPr>
          <w:p w14:paraId="449CBDCA"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8.07**</w:t>
            </w:r>
          </w:p>
        </w:tc>
        <w:tc>
          <w:tcPr>
            <w:tcW w:w="1134" w:type="dxa"/>
            <w:vAlign w:val="center"/>
            <w:hideMark/>
          </w:tcPr>
          <w:p w14:paraId="4C29B7AA"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862" w:type="dxa"/>
            <w:vAlign w:val="center"/>
            <w:hideMark/>
          </w:tcPr>
          <w:p w14:paraId="7777C0F5"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2.83</w:t>
            </w:r>
          </w:p>
        </w:tc>
        <w:tc>
          <w:tcPr>
            <w:tcW w:w="917" w:type="dxa"/>
            <w:vAlign w:val="center"/>
            <w:hideMark/>
          </w:tcPr>
          <w:p w14:paraId="48326CCA"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4.65</w:t>
            </w:r>
          </w:p>
        </w:tc>
        <w:tc>
          <w:tcPr>
            <w:tcW w:w="1673" w:type="dxa"/>
            <w:shd w:val="clear" w:color="auto" w:fill="B3DDF2" w:themeFill="background2" w:themeFillShade="E6"/>
            <w:vAlign w:val="center"/>
            <w:hideMark/>
          </w:tcPr>
          <w:p w14:paraId="51846FE7"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61.02</w:t>
            </w:r>
          </w:p>
        </w:tc>
      </w:tr>
      <w:tr w:rsidR="0033375A" w:rsidRPr="0033375A" w14:paraId="48ACCB20" w14:textId="77777777" w:rsidTr="00F55F62">
        <w:trPr>
          <w:trHeight w:val="181"/>
          <w:jc w:val="center"/>
        </w:trPr>
        <w:tc>
          <w:tcPr>
            <w:tcW w:w="2669" w:type="dxa"/>
            <w:vAlign w:val="center"/>
            <w:hideMark/>
          </w:tcPr>
          <w:p w14:paraId="1E8A6B74"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Ndërmarrjet UK ndaj:</w:t>
            </w:r>
          </w:p>
        </w:tc>
        <w:tc>
          <w:tcPr>
            <w:tcW w:w="982" w:type="dxa"/>
            <w:vAlign w:val="center"/>
            <w:hideMark/>
          </w:tcPr>
          <w:p w14:paraId="3F4903AD"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220" w:type="dxa"/>
            <w:vAlign w:val="center"/>
            <w:hideMark/>
          </w:tcPr>
          <w:p w14:paraId="6F1EE913"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134" w:type="dxa"/>
            <w:vAlign w:val="center"/>
            <w:hideMark/>
          </w:tcPr>
          <w:p w14:paraId="0FE066F5"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33.80</w:t>
            </w:r>
          </w:p>
        </w:tc>
        <w:tc>
          <w:tcPr>
            <w:tcW w:w="862" w:type="dxa"/>
            <w:vAlign w:val="center"/>
            <w:hideMark/>
          </w:tcPr>
          <w:p w14:paraId="2EDA6B98"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11.19</w:t>
            </w:r>
          </w:p>
        </w:tc>
        <w:tc>
          <w:tcPr>
            <w:tcW w:w="917" w:type="dxa"/>
            <w:vAlign w:val="center"/>
            <w:hideMark/>
          </w:tcPr>
          <w:p w14:paraId="0C5E6E9A"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673" w:type="dxa"/>
            <w:shd w:val="clear" w:color="auto" w:fill="B3DDF2" w:themeFill="background2" w:themeFillShade="E6"/>
            <w:vAlign w:val="center"/>
            <w:hideMark/>
          </w:tcPr>
          <w:p w14:paraId="1DC5CF42"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44.99</w:t>
            </w:r>
          </w:p>
        </w:tc>
      </w:tr>
      <w:tr w:rsidR="0033375A" w:rsidRPr="0033375A" w14:paraId="37200B8F" w14:textId="77777777" w:rsidTr="00F55F62">
        <w:trPr>
          <w:trHeight w:val="220"/>
          <w:jc w:val="center"/>
        </w:trPr>
        <w:tc>
          <w:tcPr>
            <w:tcW w:w="2669" w:type="dxa"/>
            <w:vAlign w:val="center"/>
            <w:hideMark/>
          </w:tcPr>
          <w:p w14:paraId="27F974A6" w14:textId="77777777" w:rsidR="0033375A" w:rsidRPr="0033375A" w:rsidRDefault="0033375A" w:rsidP="0033375A">
            <w:pPr>
              <w:spacing w:before="0" w:line="240" w:lineRule="auto"/>
              <w:jc w:val="center"/>
              <w:rPr>
                <w:rFonts w:asciiTheme="majorHAnsi" w:hAnsiTheme="majorHAnsi"/>
                <w:b/>
                <w:bCs/>
                <w:noProof/>
                <w:color w:val="000000" w:themeColor="text1"/>
                <w:sz w:val="18"/>
                <w:szCs w:val="18"/>
                <w:lang w:val="sq-AL"/>
              </w:rPr>
            </w:pPr>
            <w:r w:rsidRPr="0033375A">
              <w:rPr>
                <w:rFonts w:asciiTheme="majorHAnsi" w:hAnsiTheme="majorHAnsi"/>
                <w:b/>
                <w:bCs/>
                <w:noProof/>
                <w:color w:val="000000" w:themeColor="text1"/>
                <w:sz w:val="18"/>
                <w:szCs w:val="18"/>
                <w:lang w:val="sq-AL"/>
              </w:rPr>
              <w:t>ML/IB ndaj:</w:t>
            </w:r>
          </w:p>
        </w:tc>
        <w:tc>
          <w:tcPr>
            <w:tcW w:w="982" w:type="dxa"/>
            <w:vAlign w:val="center"/>
            <w:hideMark/>
          </w:tcPr>
          <w:p w14:paraId="27FCDEF8"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220" w:type="dxa"/>
            <w:vAlign w:val="center"/>
            <w:hideMark/>
          </w:tcPr>
          <w:p w14:paraId="2B02A1B1"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134" w:type="dxa"/>
            <w:vAlign w:val="center"/>
            <w:hideMark/>
          </w:tcPr>
          <w:p w14:paraId="1F01D5B9" w14:textId="77777777" w:rsidR="0033375A" w:rsidRPr="0033375A" w:rsidRDefault="0033375A" w:rsidP="0033375A">
            <w:pPr>
              <w:spacing w:before="0" w:line="240" w:lineRule="auto"/>
              <w:jc w:val="center"/>
              <w:rPr>
                <w:rFonts w:asciiTheme="majorHAnsi" w:hAnsiTheme="majorHAnsi"/>
                <w:noProof/>
                <w:sz w:val="18"/>
                <w:szCs w:val="18"/>
                <w:lang w:val="sq-AL"/>
              </w:rPr>
            </w:pPr>
            <w:r w:rsidRPr="0033375A">
              <w:rPr>
                <w:rFonts w:asciiTheme="majorHAnsi" w:hAnsiTheme="majorHAnsi"/>
                <w:noProof/>
                <w:sz w:val="18"/>
                <w:szCs w:val="18"/>
                <w:lang w:val="sq-AL"/>
              </w:rPr>
              <w:t>6.60</w:t>
            </w:r>
          </w:p>
        </w:tc>
        <w:tc>
          <w:tcPr>
            <w:tcW w:w="862" w:type="dxa"/>
            <w:vAlign w:val="center"/>
            <w:hideMark/>
          </w:tcPr>
          <w:p w14:paraId="2470EC8E"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917" w:type="dxa"/>
            <w:vAlign w:val="center"/>
            <w:hideMark/>
          </w:tcPr>
          <w:p w14:paraId="1B2FCEF7" w14:textId="77777777" w:rsidR="0033375A" w:rsidRPr="0033375A" w:rsidRDefault="0033375A" w:rsidP="0033375A">
            <w:pPr>
              <w:spacing w:before="0" w:line="240" w:lineRule="auto"/>
              <w:jc w:val="center"/>
              <w:rPr>
                <w:rFonts w:asciiTheme="majorHAnsi" w:hAnsiTheme="majorHAnsi"/>
                <w:noProof/>
                <w:sz w:val="18"/>
                <w:szCs w:val="18"/>
                <w:lang w:val="sq-AL"/>
              </w:rPr>
            </w:pPr>
          </w:p>
        </w:tc>
        <w:tc>
          <w:tcPr>
            <w:tcW w:w="1673" w:type="dxa"/>
            <w:shd w:val="clear" w:color="auto" w:fill="B3DDF2" w:themeFill="background2" w:themeFillShade="E6"/>
            <w:vAlign w:val="center"/>
            <w:hideMark/>
          </w:tcPr>
          <w:p w14:paraId="1423A93B"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6.60</w:t>
            </w:r>
          </w:p>
        </w:tc>
      </w:tr>
      <w:tr w:rsidR="0033375A" w:rsidRPr="0033375A" w14:paraId="487B3919" w14:textId="77777777" w:rsidTr="00F55F62">
        <w:trPr>
          <w:trHeight w:val="249"/>
          <w:jc w:val="center"/>
        </w:trPr>
        <w:tc>
          <w:tcPr>
            <w:tcW w:w="2669" w:type="dxa"/>
            <w:shd w:val="clear" w:color="auto" w:fill="B3DDF2" w:themeFill="background2" w:themeFillShade="E6"/>
            <w:vAlign w:val="center"/>
            <w:hideMark/>
          </w:tcPr>
          <w:p w14:paraId="63683F98" w14:textId="77777777" w:rsidR="0033375A" w:rsidRPr="0033375A" w:rsidRDefault="0033375A" w:rsidP="0033375A">
            <w:pPr>
              <w:spacing w:before="0" w:line="240" w:lineRule="auto"/>
              <w:jc w:val="center"/>
              <w:rPr>
                <w:rFonts w:asciiTheme="majorHAnsi" w:hAnsiTheme="majorHAnsi"/>
                <w:b/>
                <w:bCs/>
                <w:noProof/>
                <w:color w:val="C00000"/>
                <w:sz w:val="18"/>
                <w:szCs w:val="18"/>
                <w:lang w:val="sq-AL"/>
              </w:rPr>
            </w:pPr>
            <w:r w:rsidRPr="0033375A">
              <w:rPr>
                <w:rFonts w:asciiTheme="majorHAnsi" w:hAnsiTheme="majorHAnsi"/>
                <w:b/>
                <w:bCs/>
                <w:noProof/>
                <w:color w:val="C00000"/>
                <w:sz w:val="18"/>
                <w:szCs w:val="18"/>
                <w:lang w:val="sq-AL"/>
              </w:rPr>
              <w:t>Total</w:t>
            </w:r>
          </w:p>
        </w:tc>
        <w:tc>
          <w:tcPr>
            <w:tcW w:w="982" w:type="dxa"/>
            <w:shd w:val="clear" w:color="auto" w:fill="B3DDF2" w:themeFill="background2" w:themeFillShade="E6"/>
            <w:hideMark/>
          </w:tcPr>
          <w:p w14:paraId="315C9179"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55.71</w:t>
            </w:r>
          </w:p>
        </w:tc>
        <w:tc>
          <w:tcPr>
            <w:tcW w:w="1220" w:type="dxa"/>
            <w:shd w:val="clear" w:color="auto" w:fill="B3DDF2" w:themeFill="background2" w:themeFillShade="E6"/>
            <w:hideMark/>
          </w:tcPr>
          <w:p w14:paraId="47458DF9"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8.07</w:t>
            </w:r>
          </w:p>
        </w:tc>
        <w:tc>
          <w:tcPr>
            <w:tcW w:w="1134" w:type="dxa"/>
            <w:shd w:val="clear" w:color="auto" w:fill="B3DDF2" w:themeFill="background2" w:themeFillShade="E6"/>
            <w:hideMark/>
          </w:tcPr>
          <w:p w14:paraId="52645A14"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40.44</w:t>
            </w:r>
          </w:p>
        </w:tc>
        <w:tc>
          <w:tcPr>
            <w:tcW w:w="862" w:type="dxa"/>
            <w:shd w:val="clear" w:color="auto" w:fill="B3DDF2" w:themeFill="background2" w:themeFillShade="E6"/>
            <w:hideMark/>
          </w:tcPr>
          <w:p w14:paraId="6EE09C30"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66.55</w:t>
            </w:r>
          </w:p>
        </w:tc>
        <w:tc>
          <w:tcPr>
            <w:tcW w:w="917" w:type="dxa"/>
            <w:shd w:val="clear" w:color="auto" w:fill="B3DDF2" w:themeFill="background2" w:themeFillShade="E6"/>
            <w:hideMark/>
          </w:tcPr>
          <w:p w14:paraId="39D4BEFF"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4.65</w:t>
            </w:r>
          </w:p>
        </w:tc>
        <w:tc>
          <w:tcPr>
            <w:tcW w:w="1673" w:type="dxa"/>
            <w:shd w:val="clear" w:color="auto" w:fill="B3DDF2" w:themeFill="background2" w:themeFillShade="E6"/>
            <w:hideMark/>
          </w:tcPr>
          <w:p w14:paraId="31B0034C" w14:textId="77777777" w:rsidR="0033375A" w:rsidRPr="0033375A" w:rsidRDefault="0033375A" w:rsidP="0033375A">
            <w:pPr>
              <w:spacing w:before="0" w:line="240" w:lineRule="auto"/>
              <w:jc w:val="center"/>
              <w:rPr>
                <w:rFonts w:asciiTheme="majorHAnsi" w:hAnsiTheme="majorHAnsi" w:cstheme="majorHAnsi"/>
                <w:b/>
                <w:noProof/>
                <w:color w:val="C00000"/>
                <w:sz w:val="18"/>
                <w:szCs w:val="18"/>
                <w:lang w:val="sq-AL"/>
              </w:rPr>
            </w:pPr>
            <w:r w:rsidRPr="0033375A">
              <w:rPr>
                <w:rFonts w:asciiTheme="majorHAnsi" w:hAnsiTheme="majorHAnsi" w:cstheme="majorHAnsi"/>
                <w:b/>
                <w:noProof/>
                <w:color w:val="C00000"/>
                <w:sz w:val="18"/>
                <w:szCs w:val="18"/>
                <w:lang w:val="sq-AL"/>
              </w:rPr>
              <w:t>175.42</w:t>
            </w:r>
          </w:p>
        </w:tc>
      </w:tr>
    </w:tbl>
    <w:p w14:paraId="3A4A60A7" w14:textId="7D63924A" w:rsidR="0033375A" w:rsidRPr="0033375A" w:rsidRDefault="0033375A" w:rsidP="0033375A">
      <w:pPr>
        <w:spacing w:before="0" w:line="240" w:lineRule="auto"/>
        <w:ind w:left="180"/>
        <w:rPr>
          <w:rFonts w:eastAsia="SimSun"/>
          <w:i/>
          <w:noProof/>
          <w:sz w:val="18"/>
          <w:szCs w:val="18"/>
          <w:lang w:val="sq-AL"/>
        </w:rPr>
      </w:pPr>
      <w:r w:rsidRPr="0033375A">
        <w:rPr>
          <w:rFonts w:eastAsia="SimSun"/>
          <w:i/>
          <w:noProof/>
          <w:sz w:val="18"/>
          <w:szCs w:val="18"/>
          <w:lang w:val="sq-AL"/>
        </w:rPr>
        <w:t xml:space="preserve">* Vlera e detyrimeve të ndërsjellta varion nga 0-0.13 </w:t>
      </w:r>
      <w:r w:rsidR="0056260B">
        <w:rPr>
          <w:rFonts w:eastAsia="SimSun"/>
          <w:i/>
          <w:noProof/>
          <w:sz w:val="18"/>
          <w:szCs w:val="18"/>
          <w:lang w:val="sq-AL"/>
        </w:rPr>
        <w:t>miliardë</w:t>
      </w:r>
      <w:r w:rsidRPr="0033375A">
        <w:rPr>
          <w:rFonts w:eastAsia="SimSun"/>
          <w:i/>
          <w:noProof/>
          <w:sz w:val="18"/>
          <w:szCs w:val="18"/>
          <w:lang w:val="sq-AL"/>
        </w:rPr>
        <w:t xml:space="preserve"> LEK për KESH ndaj OST dhe nga 10.24-13.58 </w:t>
      </w:r>
      <w:r w:rsidR="0056260B">
        <w:rPr>
          <w:rFonts w:eastAsia="SimSun"/>
          <w:i/>
          <w:noProof/>
          <w:sz w:val="18"/>
          <w:szCs w:val="18"/>
          <w:lang w:val="sq-AL"/>
        </w:rPr>
        <w:t>miliardë</w:t>
      </w:r>
      <w:r w:rsidRPr="0033375A">
        <w:rPr>
          <w:rFonts w:eastAsia="SimSun"/>
          <w:i/>
          <w:noProof/>
          <w:sz w:val="18"/>
          <w:szCs w:val="18"/>
          <w:lang w:val="sq-AL"/>
        </w:rPr>
        <w:t xml:space="preserve"> LEK për OST ndaj KESH, për arsye të mosrakordimit mes kompanive.</w:t>
      </w:r>
    </w:p>
    <w:p w14:paraId="526AC813" w14:textId="3B92E13E" w:rsidR="0033375A" w:rsidRPr="0033375A" w:rsidRDefault="0033375A" w:rsidP="0033375A">
      <w:pPr>
        <w:spacing w:before="0" w:line="240" w:lineRule="auto"/>
        <w:ind w:left="180"/>
        <w:rPr>
          <w:rFonts w:eastAsia="SimSun"/>
          <w:i/>
          <w:noProof/>
          <w:sz w:val="18"/>
          <w:szCs w:val="18"/>
          <w:lang w:val="sq-AL"/>
        </w:rPr>
      </w:pPr>
      <w:bookmarkStart w:id="187" w:name="_Hlk123199818"/>
      <w:r w:rsidRPr="0033375A">
        <w:rPr>
          <w:rFonts w:eastAsia="SimSun"/>
          <w:i/>
          <w:noProof/>
          <w:sz w:val="18"/>
          <w:szCs w:val="18"/>
          <w:lang w:val="sq-AL"/>
        </w:rPr>
        <w:t xml:space="preserve">** Vlera e detyrimeve të ndërsjellta varion nga 45.47-49.70 </w:t>
      </w:r>
      <w:r w:rsidR="0056260B">
        <w:rPr>
          <w:rFonts w:eastAsia="SimSun"/>
          <w:i/>
          <w:noProof/>
          <w:sz w:val="18"/>
          <w:szCs w:val="18"/>
          <w:lang w:val="sq-AL"/>
        </w:rPr>
        <w:t>miliardë</w:t>
      </w:r>
      <w:r w:rsidRPr="0033375A">
        <w:rPr>
          <w:rFonts w:eastAsia="SimSun"/>
          <w:i/>
          <w:noProof/>
          <w:sz w:val="18"/>
          <w:szCs w:val="18"/>
          <w:lang w:val="sq-AL"/>
        </w:rPr>
        <w:t xml:space="preserve"> LEK për OSHEE ndaj KESH dhe nga 8.07-15.61 </w:t>
      </w:r>
      <w:r w:rsidR="0056260B">
        <w:rPr>
          <w:rFonts w:eastAsia="SimSun"/>
          <w:i/>
          <w:noProof/>
          <w:sz w:val="18"/>
          <w:szCs w:val="18"/>
          <w:lang w:val="sq-AL"/>
        </w:rPr>
        <w:t>miliardë</w:t>
      </w:r>
      <w:r w:rsidRPr="0033375A">
        <w:rPr>
          <w:rFonts w:eastAsia="SimSun"/>
          <w:i/>
          <w:noProof/>
          <w:sz w:val="18"/>
          <w:szCs w:val="18"/>
          <w:lang w:val="sq-AL"/>
        </w:rPr>
        <w:t xml:space="preserve"> LEK për OSHEE ndaj OST, për arsye të mosrakordimit mes kompanive.</w:t>
      </w:r>
      <w:bookmarkEnd w:id="187"/>
    </w:p>
    <w:p w14:paraId="658A5FD6" w14:textId="77777777" w:rsidR="0033375A" w:rsidRDefault="0033375A" w:rsidP="0033375A">
      <w:pPr>
        <w:spacing w:before="0" w:line="240" w:lineRule="auto"/>
        <w:ind w:firstLine="180"/>
        <w:rPr>
          <w:rFonts w:asciiTheme="majorHAnsi" w:hAnsiTheme="majorHAnsi"/>
          <w:i/>
          <w:noProof/>
          <w:sz w:val="18"/>
          <w:szCs w:val="28"/>
          <w:lang w:val="sq-AL"/>
        </w:rPr>
      </w:pPr>
      <w:r w:rsidRPr="0033375A">
        <w:rPr>
          <w:rFonts w:asciiTheme="majorHAnsi" w:hAnsiTheme="majorHAnsi"/>
          <w:i/>
          <w:noProof/>
          <w:sz w:val="18"/>
          <w:szCs w:val="28"/>
          <w:lang w:val="sq-AL"/>
        </w:rPr>
        <w:t>Burimi: MF, KESH sh.a, OST sh.a, OSHEE Group sh.a, AKUK (2026)</w:t>
      </w:r>
    </w:p>
    <w:p w14:paraId="5C986548" w14:textId="77777777" w:rsidR="00B70B1A" w:rsidRPr="0033375A" w:rsidRDefault="00B70B1A" w:rsidP="0033375A">
      <w:pPr>
        <w:spacing w:before="0" w:line="240" w:lineRule="auto"/>
        <w:ind w:firstLine="180"/>
        <w:rPr>
          <w:rFonts w:asciiTheme="majorHAnsi" w:hAnsiTheme="majorHAnsi"/>
          <w:i/>
          <w:noProof/>
          <w:sz w:val="18"/>
          <w:szCs w:val="28"/>
          <w:lang w:val="sq-AL"/>
        </w:rPr>
      </w:pPr>
    </w:p>
    <w:p w14:paraId="68EA329E" w14:textId="15B0F796" w:rsidR="0033375A" w:rsidRPr="0033375A" w:rsidRDefault="0033375A" w:rsidP="0033375A">
      <w:pPr>
        <w:keepNext/>
        <w:rPr>
          <w:i/>
          <w:noProof/>
          <w:u w:val="single"/>
          <w:lang w:val="sq-AL"/>
        </w:rPr>
      </w:pPr>
      <w:r w:rsidRPr="0033375A">
        <w:rPr>
          <w:i/>
          <w:noProof/>
          <w:u w:val="single"/>
          <w:lang w:val="sq-AL"/>
        </w:rPr>
        <w:t>Të Dhëna Financiare për Sektorin Energjetik</w:t>
      </w:r>
      <w:bookmarkEnd w:id="183"/>
      <w:bookmarkEnd w:id="185"/>
      <w:bookmarkEnd w:id="186"/>
    </w:p>
    <w:p w14:paraId="7BA4BF19" w14:textId="77777777" w:rsidR="0033375A" w:rsidRPr="0033375A" w:rsidRDefault="0033375A" w:rsidP="0033375A">
      <w:pPr>
        <w:spacing w:before="0" w:line="240" w:lineRule="auto"/>
        <w:rPr>
          <w:rFonts w:eastAsia="SimSun" w:cs="Calibri"/>
          <w:noProof/>
          <w:lang w:val="sq-AL"/>
        </w:rPr>
      </w:pPr>
      <w:r w:rsidRPr="0033375A">
        <w:rPr>
          <w:rFonts w:cs="Calibri"/>
          <w:bCs/>
          <w:noProof/>
          <w:lang w:val="sq-AL" w:eastAsia="sq-AL"/>
        </w:rPr>
        <w:t>Në zbatim të Udhëzimit Plotësues Nr.2 datë 24.01.2025 “</w:t>
      </w:r>
      <w:r w:rsidRPr="0033375A">
        <w:rPr>
          <w:rFonts w:cs="Calibri"/>
          <w:bCs/>
          <w:i/>
          <w:noProof/>
          <w:lang w:val="sq-AL" w:eastAsia="sq-AL"/>
        </w:rPr>
        <w:t>Për zbatimin e Buxhetit të vitit 2025</w:t>
      </w:r>
      <w:r w:rsidRPr="0033375A">
        <w:rPr>
          <w:rFonts w:cs="Calibri"/>
          <w:bCs/>
          <w:noProof/>
          <w:lang w:val="sq-AL" w:eastAsia="sq-AL"/>
        </w:rPr>
        <w:t xml:space="preserve">”, </w:t>
      </w:r>
      <w:r w:rsidRPr="0033375A">
        <w:rPr>
          <w:rFonts w:eastAsia="SimSun" w:cs="Calibri"/>
          <w:noProof/>
          <w:lang w:val="sq-AL"/>
        </w:rPr>
        <w:t>MF periodikisht mbi bazë tremujore ka mbledhur, përpunuar dhe analizuar informacionin e nevojshëm në lidhje me treguesit e performancës financiare të tre kompanive të sektorit energjetik. Kjo, me qëllim identifikimin, vlerësimin, monitorimin dhe raportimin e risqeve buxhetore që rezultojnë nga ndërmarrjet publike me kapital shtetëror në tërësi dhe nga sektori energjetik në veçanti, duke konsideruar rëndësinë strategjike të tij dhe problematikat sensitive që e karakterizojnë. Bazuar në të dhënat më të fundit të raportuara pranë MF për vitin 2025, më poshtë paraqitet performanca financiare e tre ndërmarrjeve të sektorit energjetik</w:t>
      </w:r>
      <w:r w:rsidRPr="0033375A">
        <w:rPr>
          <w:rFonts w:eastAsia="SimSun" w:cs="Calibri"/>
          <w:noProof/>
          <w:vertAlign w:val="superscript"/>
          <w:lang w:val="sq-AL"/>
        </w:rPr>
        <w:t xml:space="preserve"> </w:t>
      </w:r>
      <w:r w:rsidRPr="0033375A">
        <w:rPr>
          <w:rFonts w:eastAsia="SimSun" w:cs="Calibri"/>
          <w:noProof/>
          <w:lang w:val="sq-AL"/>
        </w:rPr>
        <w:t xml:space="preserve"> (</w:t>
      </w:r>
      <w:r w:rsidRPr="0033375A">
        <w:rPr>
          <w:rFonts w:eastAsia="SimSun" w:cs="Calibri"/>
          <w:i/>
          <w:iCs/>
          <w:noProof/>
          <w:lang w:val="sq-AL"/>
        </w:rPr>
        <w:t>OSHEE Group sh.a, KESH sh.a dhe OST sh.a</w:t>
      </w:r>
      <w:r w:rsidRPr="0033375A">
        <w:rPr>
          <w:rFonts w:eastAsia="SimSun" w:cs="Calibri"/>
          <w:noProof/>
          <w:lang w:val="sq-AL"/>
        </w:rPr>
        <w:t>) mbi bazë krahasimore për të njëjtat periudha pararendëse:</w:t>
      </w:r>
    </w:p>
    <w:p w14:paraId="7A440AE7" w14:textId="77777777" w:rsidR="0033375A" w:rsidRPr="0033375A" w:rsidRDefault="0033375A" w:rsidP="0033375A">
      <w:pPr>
        <w:spacing w:before="0" w:line="240" w:lineRule="auto"/>
        <w:rPr>
          <w:rFonts w:eastAsia="SimSun" w:cs="Calibri"/>
          <w:noProof/>
          <w:sz w:val="8"/>
          <w:szCs w:val="8"/>
          <w:lang w:val="sq-AL"/>
        </w:rPr>
      </w:pPr>
    </w:p>
    <w:p w14:paraId="1F63449E" w14:textId="4010BC73" w:rsidR="0033375A" w:rsidRPr="0033375A" w:rsidRDefault="0033375A" w:rsidP="0033375A">
      <w:pPr>
        <w:spacing w:before="0"/>
        <w:rPr>
          <w:rFonts w:ascii="Times New Roman" w:hAnsi="Times New Roman"/>
          <w:iCs/>
          <w:noProof/>
          <w:color w:val="17406D" w:themeColor="text2"/>
          <w:sz w:val="20"/>
          <w:szCs w:val="28"/>
          <w:lang w:val="sq-AL"/>
        </w:rPr>
      </w:pPr>
      <w:bookmarkStart w:id="188" w:name="_Toc229129994"/>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20</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Të dhënat financiare për Sektorin Energjitik (në mijë LEK</w:t>
      </w:r>
      <w:r w:rsidRPr="0033375A">
        <w:rPr>
          <w:rFonts w:cs="Calibri"/>
          <w:i/>
          <w:iCs/>
          <w:noProof/>
          <w:color w:val="17406D" w:themeColor="text2"/>
          <w:sz w:val="18"/>
          <w:szCs w:val="18"/>
          <w:lang w:val="sq-AL"/>
        </w:rPr>
        <w:t>)</w:t>
      </w:r>
      <w:r w:rsidRPr="0033375A">
        <w:rPr>
          <w:rFonts w:cs="Calibri"/>
          <w:i/>
          <w:iCs/>
          <w:noProof/>
          <w:color w:val="17406D" w:themeColor="text2"/>
          <w:sz w:val="18"/>
          <w:szCs w:val="18"/>
          <w:vertAlign w:val="superscript"/>
          <w:lang w:val="sq-AL"/>
        </w:rPr>
        <w:footnoteReference w:id="2"/>
      </w:r>
      <w:bookmarkEnd w:id="188"/>
    </w:p>
    <w:tbl>
      <w:tblPr>
        <w:tblW w:w="907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342"/>
        <w:gridCol w:w="2408"/>
        <w:gridCol w:w="2408"/>
        <w:gridCol w:w="1917"/>
      </w:tblGrid>
      <w:tr w:rsidR="0033375A" w:rsidRPr="0033375A" w14:paraId="41FF9B76" w14:textId="77777777" w:rsidTr="009F174D">
        <w:trPr>
          <w:trHeight w:val="184"/>
          <w:jc w:val="center"/>
        </w:trPr>
        <w:tc>
          <w:tcPr>
            <w:tcW w:w="2342" w:type="dxa"/>
            <w:tcBorders>
              <w:top w:val="single" w:sz="24" w:space="0" w:color="95B3D7"/>
              <w:left w:val="single" w:sz="24" w:space="0" w:color="95B3D7"/>
            </w:tcBorders>
            <w:shd w:val="clear" w:color="auto" w:fill="B3DDF2" w:themeFill="background2" w:themeFillShade="E6"/>
            <w:noWrap/>
            <w:vAlign w:val="center"/>
            <w:hideMark/>
          </w:tcPr>
          <w:p w14:paraId="3E4C2F40" w14:textId="77777777" w:rsidR="0033375A" w:rsidRPr="0033375A" w:rsidRDefault="0033375A" w:rsidP="0033375A">
            <w:pPr>
              <w:spacing w:before="0" w:line="240" w:lineRule="auto"/>
              <w:jc w:val="center"/>
              <w:rPr>
                <w:rFonts w:cs="Calibri"/>
                <w:b/>
                <w:noProof/>
                <w:color w:val="C00000"/>
                <w:sz w:val="18"/>
                <w:szCs w:val="20"/>
                <w:lang w:val="sq-AL"/>
              </w:rPr>
            </w:pPr>
            <w:r w:rsidRPr="0033375A">
              <w:rPr>
                <w:rFonts w:cs="Calibri"/>
                <w:b/>
                <w:noProof/>
                <w:color w:val="C00000"/>
                <w:sz w:val="18"/>
                <w:szCs w:val="20"/>
                <w:lang w:val="sq-AL"/>
              </w:rPr>
              <w:t>Zërat/Periudha</w:t>
            </w:r>
          </w:p>
        </w:tc>
        <w:tc>
          <w:tcPr>
            <w:tcW w:w="2408" w:type="dxa"/>
            <w:tcBorders>
              <w:top w:val="single" w:sz="24" w:space="0" w:color="95B3D7"/>
            </w:tcBorders>
            <w:shd w:val="clear" w:color="auto" w:fill="B3DDF2" w:themeFill="background2" w:themeFillShade="E6"/>
            <w:noWrap/>
            <w:vAlign w:val="center"/>
            <w:hideMark/>
          </w:tcPr>
          <w:p w14:paraId="0BBD7987"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12M 2023</w:t>
            </w:r>
          </w:p>
        </w:tc>
        <w:tc>
          <w:tcPr>
            <w:tcW w:w="2408" w:type="dxa"/>
            <w:tcBorders>
              <w:top w:val="single" w:sz="24" w:space="0" w:color="95B3D7"/>
            </w:tcBorders>
            <w:shd w:val="clear" w:color="auto" w:fill="B3DDF2" w:themeFill="background2" w:themeFillShade="E6"/>
            <w:noWrap/>
            <w:vAlign w:val="center"/>
            <w:hideMark/>
          </w:tcPr>
          <w:p w14:paraId="7EEBEA42"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12M 2024</w:t>
            </w:r>
          </w:p>
        </w:tc>
        <w:tc>
          <w:tcPr>
            <w:tcW w:w="1917" w:type="dxa"/>
            <w:tcBorders>
              <w:top w:val="single" w:sz="24" w:space="0" w:color="95B3D7"/>
              <w:right w:val="single" w:sz="24" w:space="0" w:color="95B3D7"/>
            </w:tcBorders>
            <w:shd w:val="clear" w:color="auto" w:fill="B3DDF2" w:themeFill="background2" w:themeFillShade="E6"/>
            <w:noWrap/>
            <w:vAlign w:val="center"/>
            <w:hideMark/>
          </w:tcPr>
          <w:p w14:paraId="3B86EB59"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12M 2025</w:t>
            </w:r>
          </w:p>
        </w:tc>
      </w:tr>
      <w:tr w:rsidR="0033375A" w:rsidRPr="0033375A" w14:paraId="0182AD79" w14:textId="77777777" w:rsidTr="009F174D">
        <w:trPr>
          <w:trHeight w:val="184"/>
          <w:jc w:val="center"/>
        </w:trPr>
        <w:tc>
          <w:tcPr>
            <w:tcW w:w="2342" w:type="dxa"/>
            <w:tcBorders>
              <w:left w:val="single" w:sz="24" w:space="0" w:color="95B3D7"/>
            </w:tcBorders>
            <w:noWrap/>
            <w:vAlign w:val="center"/>
            <w:hideMark/>
          </w:tcPr>
          <w:p w14:paraId="05FBC773" w14:textId="77777777" w:rsidR="0033375A" w:rsidRPr="0033375A" w:rsidRDefault="0033375A" w:rsidP="0033375A">
            <w:pPr>
              <w:spacing w:before="0" w:line="240" w:lineRule="auto"/>
              <w:jc w:val="center"/>
              <w:rPr>
                <w:rFonts w:cs="Calibri"/>
                <w:i/>
                <w:noProof/>
                <w:sz w:val="18"/>
                <w:szCs w:val="20"/>
                <w:lang w:val="sq-AL"/>
              </w:rPr>
            </w:pPr>
            <w:r w:rsidRPr="0033375A">
              <w:rPr>
                <w:rFonts w:cs="Calibri"/>
                <w:i/>
                <w:noProof/>
                <w:sz w:val="18"/>
                <w:szCs w:val="20"/>
                <w:lang w:val="sq-AL"/>
              </w:rPr>
              <w:t>Të ardhurat</w:t>
            </w:r>
          </w:p>
        </w:tc>
        <w:tc>
          <w:tcPr>
            <w:tcW w:w="2408" w:type="dxa"/>
            <w:noWrap/>
            <w:vAlign w:val="center"/>
            <w:hideMark/>
          </w:tcPr>
          <w:p w14:paraId="271F487E"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147,098,293</w:t>
            </w:r>
          </w:p>
        </w:tc>
        <w:tc>
          <w:tcPr>
            <w:tcW w:w="2408" w:type="dxa"/>
            <w:noWrap/>
            <w:vAlign w:val="center"/>
            <w:hideMark/>
          </w:tcPr>
          <w:p w14:paraId="762CC8B6"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116,501,361</w:t>
            </w:r>
          </w:p>
        </w:tc>
        <w:tc>
          <w:tcPr>
            <w:tcW w:w="1917" w:type="dxa"/>
            <w:tcBorders>
              <w:right w:val="single" w:sz="24" w:space="0" w:color="95B3D7"/>
            </w:tcBorders>
            <w:noWrap/>
            <w:vAlign w:val="center"/>
            <w:hideMark/>
          </w:tcPr>
          <w:p w14:paraId="2F1CDE23"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111,627,879</w:t>
            </w:r>
          </w:p>
        </w:tc>
      </w:tr>
      <w:tr w:rsidR="0033375A" w:rsidRPr="0033375A" w14:paraId="7DFE1E13" w14:textId="77777777" w:rsidTr="009F174D">
        <w:trPr>
          <w:trHeight w:val="184"/>
          <w:jc w:val="center"/>
        </w:trPr>
        <w:tc>
          <w:tcPr>
            <w:tcW w:w="2342" w:type="dxa"/>
            <w:tcBorders>
              <w:left w:val="single" w:sz="24" w:space="0" w:color="95B3D7"/>
            </w:tcBorders>
            <w:noWrap/>
            <w:vAlign w:val="center"/>
            <w:hideMark/>
          </w:tcPr>
          <w:p w14:paraId="0D45BCBF" w14:textId="77777777" w:rsidR="0033375A" w:rsidRPr="0033375A" w:rsidRDefault="0033375A" w:rsidP="0033375A">
            <w:pPr>
              <w:spacing w:before="0" w:line="240" w:lineRule="auto"/>
              <w:jc w:val="center"/>
              <w:rPr>
                <w:rFonts w:cs="Calibri"/>
                <w:i/>
                <w:noProof/>
                <w:sz w:val="18"/>
                <w:szCs w:val="20"/>
                <w:lang w:val="sq-AL"/>
              </w:rPr>
            </w:pPr>
            <w:r w:rsidRPr="0033375A">
              <w:rPr>
                <w:rFonts w:cs="Calibri"/>
                <w:i/>
                <w:noProof/>
                <w:sz w:val="18"/>
                <w:szCs w:val="20"/>
                <w:lang w:val="sq-AL"/>
              </w:rPr>
              <w:t>Shpenzimet</w:t>
            </w:r>
          </w:p>
        </w:tc>
        <w:tc>
          <w:tcPr>
            <w:tcW w:w="2408" w:type="dxa"/>
            <w:noWrap/>
            <w:vAlign w:val="center"/>
            <w:hideMark/>
          </w:tcPr>
          <w:p w14:paraId="4766B14C"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120,976,782</w:t>
            </w:r>
          </w:p>
        </w:tc>
        <w:tc>
          <w:tcPr>
            <w:tcW w:w="2408" w:type="dxa"/>
            <w:noWrap/>
            <w:vAlign w:val="center"/>
            <w:hideMark/>
          </w:tcPr>
          <w:p w14:paraId="49AC81A5"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107,540,836</w:t>
            </w:r>
          </w:p>
        </w:tc>
        <w:tc>
          <w:tcPr>
            <w:tcW w:w="1917" w:type="dxa"/>
            <w:tcBorders>
              <w:right w:val="single" w:sz="24" w:space="0" w:color="95B3D7"/>
            </w:tcBorders>
            <w:noWrap/>
            <w:vAlign w:val="center"/>
            <w:hideMark/>
          </w:tcPr>
          <w:p w14:paraId="79F66E9B" w14:textId="77777777" w:rsidR="0033375A" w:rsidRPr="0033375A" w:rsidRDefault="0033375A" w:rsidP="0033375A">
            <w:pPr>
              <w:spacing w:before="0" w:line="240" w:lineRule="auto"/>
              <w:jc w:val="center"/>
              <w:rPr>
                <w:rFonts w:cs="Calibri"/>
                <w:bCs/>
                <w:i/>
                <w:noProof/>
                <w:sz w:val="18"/>
                <w:szCs w:val="20"/>
                <w:lang w:val="sq-AL"/>
              </w:rPr>
            </w:pPr>
            <w:r w:rsidRPr="0033375A">
              <w:rPr>
                <w:rFonts w:cs="Calibri"/>
                <w:bCs/>
                <w:i/>
                <w:noProof/>
                <w:sz w:val="18"/>
                <w:szCs w:val="20"/>
                <w:lang w:val="sq-AL"/>
              </w:rPr>
              <w:t>116,952,582</w:t>
            </w:r>
          </w:p>
        </w:tc>
      </w:tr>
      <w:tr w:rsidR="0033375A" w:rsidRPr="0033375A" w14:paraId="6101EEDE" w14:textId="77777777" w:rsidTr="009F174D">
        <w:trPr>
          <w:trHeight w:val="184"/>
          <w:jc w:val="center"/>
        </w:trPr>
        <w:tc>
          <w:tcPr>
            <w:tcW w:w="2342" w:type="dxa"/>
            <w:tcBorders>
              <w:left w:val="single" w:sz="24" w:space="0" w:color="95B3D7"/>
            </w:tcBorders>
            <w:noWrap/>
            <w:vAlign w:val="center"/>
            <w:hideMark/>
          </w:tcPr>
          <w:p w14:paraId="18D4C327" w14:textId="77777777" w:rsidR="0033375A" w:rsidRPr="0033375A" w:rsidRDefault="0033375A" w:rsidP="0033375A">
            <w:pPr>
              <w:spacing w:before="0" w:line="240" w:lineRule="auto"/>
              <w:jc w:val="center"/>
              <w:rPr>
                <w:rFonts w:cs="Calibri"/>
                <w:b/>
                <w:noProof/>
                <w:color w:val="C00000"/>
                <w:sz w:val="18"/>
                <w:szCs w:val="20"/>
                <w:lang w:val="sq-AL"/>
              </w:rPr>
            </w:pPr>
            <w:r w:rsidRPr="0033375A">
              <w:rPr>
                <w:rFonts w:cs="Calibri"/>
                <w:b/>
                <w:noProof/>
                <w:color w:val="C00000"/>
                <w:sz w:val="18"/>
                <w:szCs w:val="20"/>
                <w:lang w:val="sq-AL"/>
              </w:rPr>
              <w:t>Humbje/Fitim</w:t>
            </w:r>
          </w:p>
        </w:tc>
        <w:tc>
          <w:tcPr>
            <w:tcW w:w="2408" w:type="dxa"/>
            <w:noWrap/>
            <w:vAlign w:val="center"/>
            <w:hideMark/>
          </w:tcPr>
          <w:p w14:paraId="354F7993"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26,121,511</w:t>
            </w:r>
          </w:p>
        </w:tc>
        <w:tc>
          <w:tcPr>
            <w:tcW w:w="2408" w:type="dxa"/>
            <w:noWrap/>
            <w:vAlign w:val="center"/>
            <w:hideMark/>
          </w:tcPr>
          <w:p w14:paraId="44F7BE0A"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8,960,525</w:t>
            </w:r>
          </w:p>
        </w:tc>
        <w:tc>
          <w:tcPr>
            <w:tcW w:w="1917" w:type="dxa"/>
            <w:tcBorders>
              <w:right w:val="single" w:sz="24" w:space="0" w:color="95B3D7"/>
            </w:tcBorders>
            <w:noWrap/>
            <w:vAlign w:val="center"/>
            <w:hideMark/>
          </w:tcPr>
          <w:p w14:paraId="6F4263F7" w14:textId="77777777" w:rsidR="0033375A" w:rsidRPr="0033375A" w:rsidRDefault="0033375A" w:rsidP="0033375A">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(5,324,702)</w:t>
            </w:r>
          </w:p>
        </w:tc>
      </w:tr>
      <w:tr w:rsidR="00F7400E" w:rsidRPr="0033375A" w14:paraId="62DF42F0" w14:textId="77777777" w:rsidTr="009F174D">
        <w:trPr>
          <w:trHeight w:val="184"/>
          <w:jc w:val="center"/>
        </w:trPr>
        <w:tc>
          <w:tcPr>
            <w:tcW w:w="2342" w:type="dxa"/>
            <w:tcBorders>
              <w:left w:val="single" w:sz="24" w:space="0" w:color="95B3D7"/>
            </w:tcBorders>
            <w:noWrap/>
            <w:vAlign w:val="center"/>
            <w:hideMark/>
          </w:tcPr>
          <w:p w14:paraId="2235A978" w14:textId="77777777" w:rsidR="00F7400E" w:rsidRPr="0033375A" w:rsidRDefault="00F7400E" w:rsidP="00F7400E">
            <w:pPr>
              <w:spacing w:before="0" w:line="240" w:lineRule="auto"/>
              <w:jc w:val="center"/>
              <w:rPr>
                <w:rFonts w:cs="Calibri"/>
                <w:i/>
                <w:noProof/>
                <w:sz w:val="18"/>
                <w:szCs w:val="20"/>
                <w:lang w:val="sq-AL"/>
              </w:rPr>
            </w:pPr>
            <w:r w:rsidRPr="0033375A">
              <w:rPr>
                <w:rFonts w:cs="Calibri"/>
                <w:i/>
                <w:noProof/>
                <w:sz w:val="18"/>
                <w:szCs w:val="20"/>
                <w:lang w:val="sq-AL"/>
              </w:rPr>
              <w:t>Aktivet Afatshkurtra</w:t>
            </w:r>
          </w:p>
        </w:tc>
        <w:tc>
          <w:tcPr>
            <w:tcW w:w="2408" w:type="dxa"/>
            <w:noWrap/>
            <w:vAlign w:val="center"/>
            <w:hideMark/>
          </w:tcPr>
          <w:p w14:paraId="7FB32CDE"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160,808,096</w:t>
            </w:r>
          </w:p>
        </w:tc>
        <w:tc>
          <w:tcPr>
            <w:tcW w:w="2408" w:type="dxa"/>
            <w:noWrap/>
            <w:vAlign w:val="center"/>
            <w:hideMark/>
          </w:tcPr>
          <w:p w14:paraId="17CD3D68" w14:textId="47FAEDE8" w:rsidR="00F7400E" w:rsidRPr="00F7400E" w:rsidRDefault="00F7400E" w:rsidP="00F7400E">
            <w:pPr>
              <w:spacing w:before="0" w:line="240" w:lineRule="auto"/>
              <w:jc w:val="center"/>
              <w:rPr>
                <w:rFonts w:cs="Calibri"/>
                <w:bCs/>
                <w:i/>
                <w:noProof/>
                <w:sz w:val="18"/>
                <w:szCs w:val="20"/>
                <w:lang w:val="sq-AL"/>
              </w:rPr>
            </w:pPr>
            <w:r w:rsidRPr="00F7400E">
              <w:rPr>
                <w:rFonts w:cs="Calibri"/>
                <w:bCs/>
                <w:i/>
                <w:noProof/>
                <w:sz w:val="18"/>
                <w:szCs w:val="20"/>
                <w:lang w:val="sq-AL"/>
              </w:rPr>
              <w:t>139,827,957</w:t>
            </w:r>
          </w:p>
        </w:tc>
        <w:tc>
          <w:tcPr>
            <w:tcW w:w="1917" w:type="dxa"/>
            <w:tcBorders>
              <w:right w:val="single" w:sz="24" w:space="0" w:color="95B3D7"/>
            </w:tcBorders>
            <w:noWrap/>
            <w:vAlign w:val="center"/>
            <w:hideMark/>
          </w:tcPr>
          <w:p w14:paraId="37B982E4"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123,704,979</w:t>
            </w:r>
          </w:p>
        </w:tc>
      </w:tr>
      <w:tr w:rsidR="00F7400E" w:rsidRPr="0033375A" w14:paraId="7A1052D9" w14:textId="77777777" w:rsidTr="009F174D">
        <w:trPr>
          <w:trHeight w:val="184"/>
          <w:jc w:val="center"/>
        </w:trPr>
        <w:tc>
          <w:tcPr>
            <w:tcW w:w="2342" w:type="dxa"/>
            <w:tcBorders>
              <w:left w:val="single" w:sz="24" w:space="0" w:color="95B3D7"/>
            </w:tcBorders>
            <w:noWrap/>
            <w:vAlign w:val="center"/>
            <w:hideMark/>
          </w:tcPr>
          <w:p w14:paraId="2A17D06C" w14:textId="77777777" w:rsidR="00F7400E" w:rsidRPr="0033375A" w:rsidRDefault="00F7400E" w:rsidP="00F7400E">
            <w:pPr>
              <w:spacing w:before="0" w:line="240" w:lineRule="auto"/>
              <w:jc w:val="center"/>
              <w:rPr>
                <w:rFonts w:cs="Calibri"/>
                <w:i/>
                <w:noProof/>
                <w:sz w:val="18"/>
                <w:szCs w:val="20"/>
                <w:lang w:val="sq-AL"/>
              </w:rPr>
            </w:pPr>
            <w:r w:rsidRPr="0033375A">
              <w:rPr>
                <w:rFonts w:cs="Calibri"/>
                <w:i/>
                <w:noProof/>
                <w:sz w:val="18"/>
                <w:szCs w:val="20"/>
                <w:lang w:val="sq-AL"/>
              </w:rPr>
              <w:t>Aktivet Afatgjata</w:t>
            </w:r>
          </w:p>
        </w:tc>
        <w:tc>
          <w:tcPr>
            <w:tcW w:w="2408" w:type="dxa"/>
            <w:noWrap/>
            <w:vAlign w:val="center"/>
            <w:hideMark/>
          </w:tcPr>
          <w:p w14:paraId="6EA393E7"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219,191,444</w:t>
            </w:r>
          </w:p>
        </w:tc>
        <w:tc>
          <w:tcPr>
            <w:tcW w:w="2408" w:type="dxa"/>
            <w:noWrap/>
            <w:vAlign w:val="center"/>
            <w:hideMark/>
          </w:tcPr>
          <w:p w14:paraId="146DE880" w14:textId="26D17AC9" w:rsidR="00F7400E" w:rsidRPr="00F7400E" w:rsidRDefault="00F7400E" w:rsidP="00F7400E">
            <w:pPr>
              <w:spacing w:before="0" w:line="240" w:lineRule="auto"/>
              <w:jc w:val="center"/>
              <w:rPr>
                <w:rFonts w:cs="Calibri"/>
                <w:bCs/>
                <w:i/>
                <w:noProof/>
                <w:sz w:val="18"/>
                <w:szCs w:val="20"/>
                <w:lang w:val="sq-AL"/>
              </w:rPr>
            </w:pPr>
            <w:r w:rsidRPr="00F7400E">
              <w:rPr>
                <w:rFonts w:cs="Calibri"/>
                <w:bCs/>
                <w:i/>
                <w:noProof/>
                <w:sz w:val="18"/>
                <w:szCs w:val="20"/>
                <w:lang w:val="sq-AL"/>
              </w:rPr>
              <w:t>224,112,925</w:t>
            </w:r>
          </w:p>
        </w:tc>
        <w:tc>
          <w:tcPr>
            <w:tcW w:w="1917" w:type="dxa"/>
            <w:tcBorders>
              <w:right w:val="single" w:sz="24" w:space="0" w:color="95B3D7"/>
            </w:tcBorders>
            <w:noWrap/>
            <w:vAlign w:val="center"/>
            <w:hideMark/>
          </w:tcPr>
          <w:p w14:paraId="577D3969"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233,112,479</w:t>
            </w:r>
          </w:p>
        </w:tc>
      </w:tr>
      <w:tr w:rsidR="00F7400E" w:rsidRPr="0033375A" w14:paraId="7E0831C1" w14:textId="77777777" w:rsidTr="009F174D">
        <w:trPr>
          <w:trHeight w:val="184"/>
          <w:jc w:val="center"/>
        </w:trPr>
        <w:tc>
          <w:tcPr>
            <w:tcW w:w="2342" w:type="dxa"/>
            <w:tcBorders>
              <w:left w:val="single" w:sz="24" w:space="0" w:color="95B3D7"/>
            </w:tcBorders>
            <w:noWrap/>
            <w:vAlign w:val="center"/>
            <w:hideMark/>
          </w:tcPr>
          <w:p w14:paraId="5F4749A3" w14:textId="77777777" w:rsidR="00F7400E" w:rsidRPr="0033375A" w:rsidRDefault="00F7400E" w:rsidP="00F7400E">
            <w:pPr>
              <w:spacing w:before="0" w:line="240" w:lineRule="auto"/>
              <w:jc w:val="center"/>
              <w:rPr>
                <w:rFonts w:cs="Calibri"/>
                <w:b/>
                <w:noProof/>
                <w:color w:val="C00000"/>
                <w:sz w:val="18"/>
                <w:szCs w:val="20"/>
                <w:lang w:val="sq-AL"/>
              </w:rPr>
            </w:pPr>
            <w:r w:rsidRPr="0033375A">
              <w:rPr>
                <w:rFonts w:cs="Calibri"/>
                <w:b/>
                <w:noProof/>
                <w:color w:val="C00000"/>
                <w:sz w:val="18"/>
                <w:szCs w:val="20"/>
                <w:lang w:val="sq-AL"/>
              </w:rPr>
              <w:t>Total Aktive</w:t>
            </w:r>
          </w:p>
        </w:tc>
        <w:tc>
          <w:tcPr>
            <w:tcW w:w="2408" w:type="dxa"/>
            <w:noWrap/>
            <w:vAlign w:val="center"/>
            <w:hideMark/>
          </w:tcPr>
          <w:p w14:paraId="4CE0E754"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379,999,540</w:t>
            </w:r>
          </w:p>
        </w:tc>
        <w:tc>
          <w:tcPr>
            <w:tcW w:w="2408" w:type="dxa"/>
            <w:noWrap/>
            <w:vAlign w:val="center"/>
            <w:hideMark/>
          </w:tcPr>
          <w:p w14:paraId="6B1757AE" w14:textId="00C32702" w:rsidR="00F7400E" w:rsidRPr="00F7400E" w:rsidRDefault="00F7400E" w:rsidP="00F7400E">
            <w:pPr>
              <w:spacing w:before="0" w:line="240" w:lineRule="auto"/>
              <w:jc w:val="center"/>
              <w:rPr>
                <w:rFonts w:cs="Calibri"/>
                <w:b/>
                <w:bCs/>
                <w:noProof/>
                <w:color w:val="C00000"/>
                <w:sz w:val="18"/>
                <w:szCs w:val="20"/>
                <w:lang w:val="sq-AL"/>
              </w:rPr>
            </w:pPr>
            <w:r w:rsidRPr="00F7400E">
              <w:rPr>
                <w:rFonts w:cs="Calibri"/>
                <w:b/>
                <w:bCs/>
                <w:noProof/>
                <w:color w:val="C00000"/>
                <w:sz w:val="18"/>
                <w:szCs w:val="20"/>
                <w:lang w:val="sq-AL"/>
              </w:rPr>
              <w:t>363,940,882</w:t>
            </w:r>
          </w:p>
        </w:tc>
        <w:tc>
          <w:tcPr>
            <w:tcW w:w="1917" w:type="dxa"/>
            <w:tcBorders>
              <w:right w:val="single" w:sz="24" w:space="0" w:color="95B3D7"/>
            </w:tcBorders>
            <w:noWrap/>
            <w:vAlign w:val="center"/>
            <w:hideMark/>
          </w:tcPr>
          <w:p w14:paraId="798BAA10"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356,817,458</w:t>
            </w:r>
          </w:p>
        </w:tc>
      </w:tr>
      <w:tr w:rsidR="00F7400E" w:rsidRPr="0033375A" w14:paraId="0CDF1232" w14:textId="77777777" w:rsidTr="009F174D">
        <w:trPr>
          <w:trHeight w:val="184"/>
          <w:jc w:val="center"/>
        </w:trPr>
        <w:tc>
          <w:tcPr>
            <w:tcW w:w="2342" w:type="dxa"/>
            <w:tcBorders>
              <w:left w:val="single" w:sz="24" w:space="0" w:color="95B3D7"/>
            </w:tcBorders>
            <w:noWrap/>
            <w:vAlign w:val="center"/>
            <w:hideMark/>
          </w:tcPr>
          <w:p w14:paraId="1B69A264" w14:textId="77777777" w:rsidR="00F7400E" w:rsidRPr="0033375A" w:rsidRDefault="00F7400E" w:rsidP="00F7400E">
            <w:pPr>
              <w:spacing w:before="0" w:line="240" w:lineRule="auto"/>
              <w:jc w:val="center"/>
              <w:rPr>
                <w:rFonts w:cs="Calibri"/>
                <w:i/>
                <w:noProof/>
                <w:sz w:val="18"/>
                <w:szCs w:val="20"/>
                <w:lang w:val="sq-AL"/>
              </w:rPr>
            </w:pPr>
            <w:r w:rsidRPr="0033375A">
              <w:rPr>
                <w:rFonts w:cs="Calibri"/>
                <w:i/>
                <w:noProof/>
                <w:sz w:val="18"/>
                <w:szCs w:val="20"/>
                <w:lang w:val="sq-AL"/>
              </w:rPr>
              <w:t>Detyrimet afatshkurtra</w:t>
            </w:r>
          </w:p>
        </w:tc>
        <w:tc>
          <w:tcPr>
            <w:tcW w:w="2408" w:type="dxa"/>
            <w:noWrap/>
            <w:vAlign w:val="center"/>
            <w:hideMark/>
          </w:tcPr>
          <w:p w14:paraId="3E8791BF"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188,128,567</w:t>
            </w:r>
          </w:p>
        </w:tc>
        <w:tc>
          <w:tcPr>
            <w:tcW w:w="2408" w:type="dxa"/>
            <w:noWrap/>
            <w:vAlign w:val="center"/>
            <w:hideMark/>
          </w:tcPr>
          <w:p w14:paraId="71EF27CC" w14:textId="206DF71D" w:rsidR="00F7400E" w:rsidRPr="00F7400E" w:rsidRDefault="00F7400E" w:rsidP="00F7400E">
            <w:pPr>
              <w:spacing w:before="0" w:line="240" w:lineRule="auto"/>
              <w:jc w:val="center"/>
              <w:rPr>
                <w:rFonts w:cs="Calibri"/>
                <w:bCs/>
                <w:i/>
                <w:noProof/>
                <w:sz w:val="18"/>
                <w:szCs w:val="20"/>
                <w:lang w:val="sq-AL"/>
              </w:rPr>
            </w:pPr>
            <w:r w:rsidRPr="00F7400E">
              <w:rPr>
                <w:rFonts w:cs="Calibri"/>
                <w:bCs/>
                <w:i/>
                <w:noProof/>
                <w:sz w:val="18"/>
                <w:szCs w:val="20"/>
                <w:lang w:val="sq-AL"/>
              </w:rPr>
              <w:t>163,461,465</w:t>
            </w:r>
          </w:p>
        </w:tc>
        <w:tc>
          <w:tcPr>
            <w:tcW w:w="1917" w:type="dxa"/>
            <w:tcBorders>
              <w:right w:val="single" w:sz="24" w:space="0" w:color="95B3D7"/>
            </w:tcBorders>
            <w:noWrap/>
            <w:vAlign w:val="center"/>
            <w:hideMark/>
          </w:tcPr>
          <w:p w14:paraId="7ED6AE06"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154,594,247</w:t>
            </w:r>
          </w:p>
        </w:tc>
      </w:tr>
      <w:tr w:rsidR="00F7400E" w:rsidRPr="0033375A" w14:paraId="5DAA7FD3" w14:textId="77777777" w:rsidTr="009F174D">
        <w:trPr>
          <w:trHeight w:val="184"/>
          <w:jc w:val="center"/>
        </w:trPr>
        <w:tc>
          <w:tcPr>
            <w:tcW w:w="2342" w:type="dxa"/>
            <w:tcBorders>
              <w:left w:val="single" w:sz="24" w:space="0" w:color="95B3D7"/>
            </w:tcBorders>
            <w:noWrap/>
            <w:vAlign w:val="center"/>
            <w:hideMark/>
          </w:tcPr>
          <w:p w14:paraId="64C9BEEF" w14:textId="77777777" w:rsidR="00F7400E" w:rsidRPr="0033375A" w:rsidRDefault="00F7400E" w:rsidP="00F7400E">
            <w:pPr>
              <w:spacing w:before="0" w:line="240" w:lineRule="auto"/>
              <w:jc w:val="center"/>
              <w:rPr>
                <w:rFonts w:cs="Calibri"/>
                <w:i/>
                <w:noProof/>
                <w:sz w:val="18"/>
                <w:szCs w:val="20"/>
                <w:lang w:val="sq-AL"/>
              </w:rPr>
            </w:pPr>
            <w:r w:rsidRPr="0033375A">
              <w:rPr>
                <w:rFonts w:cs="Calibri"/>
                <w:i/>
                <w:noProof/>
                <w:sz w:val="18"/>
                <w:szCs w:val="20"/>
                <w:lang w:val="sq-AL"/>
              </w:rPr>
              <w:t>Detyrimet afatgjata</w:t>
            </w:r>
          </w:p>
        </w:tc>
        <w:tc>
          <w:tcPr>
            <w:tcW w:w="2408" w:type="dxa"/>
            <w:noWrap/>
            <w:vAlign w:val="center"/>
            <w:hideMark/>
          </w:tcPr>
          <w:p w14:paraId="2AAECE90"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91,758,670</w:t>
            </w:r>
          </w:p>
        </w:tc>
        <w:tc>
          <w:tcPr>
            <w:tcW w:w="2408" w:type="dxa"/>
            <w:noWrap/>
            <w:vAlign w:val="center"/>
            <w:hideMark/>
          </w:tcPr>
          <w:p w14:paraId="0F3727D5" w14:textId="67AFC4A3" w:rsidR="00F7400E" w:rsidRPr="00F7400E" w:rsidRDefault="00F7400E" w:rsidP="00F7400E">
            <w:pPr>
              <w:spacing w:before="0" w:line="240" w:lineRule="auto"/>
              <w:jc w:val="center"/>
              <w:rPr>
                <w:rFonts w:cs="Calibri"/>
                <w:bCs/>
                <w:i/>
                <w:noProof/>
                <w:sz w:val="18"/>
                <w:szCs w:val="20"/>
                <w:lang w:val="sq-AL"/>
              </w:rPr>
            </w:pPr>
            <w:r w:rsidRPr="00F7400E">
              <w:rPr>
                <w:rFonts w:cs="Calibri"/>
                <w:bCs/>
                <w:i/>
                <w:noProof/>
                <w:sz w:val="18"/>
                <w:szCs w:val="20"/>
                <w:lang w:val="sq-AL"/>
              </w:rPr>
              <w:t>86,019,619</w:t>
            </w:r>
          </w:p>
        </w:tc>
        <w:tc>
          <w:tcPr>
            <w:tcW w:w="1917" w:type="dxa"/>
            <w:tcBorders>
              <w:right w:val="single" w:sz="24" w:space="0" w:color="95B3D7"/>
            </w:tcBorders>
            <w:noWrap/>
            <w:vAlign w:val="center"/>
            <w:hideMark/>
          </w:tcPr>
          <w:p w14:paraId="51FFCEB9" w14:textId="77777777" w:rsidR="00F7400E" w:rsidRPr="0033375A" w:rsidRDefault="00F7400E" w:rsidP="00F7400E">
            <w:pPr>
              <w:spacing w:before="0" w:line="240" w:lineRule="auto"/>
              <w:jc w:val="center"/>
              <w:rPr>
                <w:rFonts w:cs="Calibri"/>
                <w:bCs/>
                <w:i/>
                <w:noProof/>
                <w:sz w:val="18"/>
                <w:szCs w:val="20"/>
                <w:lang w:val="sq-AL"/>
              </w:rPr>
            </w:pPr>
            <w:r w:rsidRPr="0033375A">
              <w:rPr>
                <w:rFonts w:cs="Calibri"/>
                <w:bCs/>
                <w:i/>
                <w:noProof/>
                <w:sz w:val="18"/>
                <w:szCs w:val="20"/>
                <w:lang w:val="sq-AL"/>
              </w:rPr>
              <w:t>84,344,674</w:t>
            </w:r>
          </w:p>
        </w:tc>
      </w:tr>
      <w:tr w:rsidR="00F7400E" w:rsidRPr="0033375A" w14:paraId="1321E291" w14:textId="77777777" w:rsidTr="009F174D">
        <w:trPr>
          <w:trHeight w:val="184"/>
          <w:jc w:val="center"/>
        </w:trPr>
        <w:tc>
          <w:tcPr>
            <w:tcW w:w="2342" w:type="dxa"/>
            <w:tcBorders>
              <w:left w:val="single" w:sz="24" w:space="0" w:color="95B3D7"/>
            </w:tcBorders>
            <w:noWrap/>
            <w:vAlign w:val="center"/>
            <w:hideMark/>
          </w:tcPr>
          <w:p w14:paraId="70F69BB7" w14:textId="77777777" w:rsidR="00F7400E" w:rsidRPr="0033375A" w:rsidRDefault="00F7400E" w:rsidP="00F7400E">
            <w:pPr>
              <w:spacing w:before="0" w:line="240" w:lineRule="auto"/>
              <w:jc w:val="center"/>
              <w:rPr>
                <w:rFonts w:cs="Calibri"/>
                <w:b/>
                <w:noProof/>
                <w:color w:val="C00000"/>
                <w:sz w:val="18"/>
                <w:szCs w:val="20"/>
                <w:lang w:val="sq-AL"/>
              </w:rPr>
            </w:pPr>
            <w:r w:rsidRPr="0033375A">
              <w:rPr>
                <w:rFonts w:cs="Calibri"/>
                <w:b/>
                <w:noProof/>
                <w:color w:val="C00000"/>
                <w:sz w:val="18"/>
                <w:szCs w:val="20"/>
                <w:lang w:val="sq-AL"/>
              </w:rPr>
              <w:t>Total Detyrime</w:t>
            </w:r>
          </w:p>
        </w:tc>
        <w:tc>
          <w:tcPr>
            <w:tcW w:w="2408" w:type="dxa"/>
            <w:noWrap/>
            <w:vAlign w:val="center"/>
            <w:hideMark/>
          </w:tcPr>
          <w:p w14:paraId="3FC0A20F"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279,887,236</w:t>
            </w:r>
          </w:p>
        </w:tc>
        <w:tc>
          <w:tcPr>
            <w:tcW w:w="2408" w:type="dxa"/>
            <w:noWrap/>
            <w:vAlign w:val="center"/>
            <w:hideMark/>
          </w:tcPr>
          <w:p w14:paraId="5C15E68D" w14:textId="6D286818" w:rsidR="00F7400E" w:rsidRPr="00F7400E" w:rsidRDefault="00F7400E" w:rsidP="00F7400E">
            <w:pPr>
              <w:spacing w:before="0" w:line="240" w:lineRule="auto"/>
              <w:jc w:val="center"/>
              <w:rPr>
                <w:rFonts w:cs="Calibri"/>
                <w:b/>
                <w:bCs/>
                <w:noProof/>
                <w:color w:val="C00000"/>
                <w:sz w:val="18"/>
                <w:szCs w:val="20"/>
                <w:lang w:val="sq-AL"/>
              </w:rPr>
            </w:pPr>
            <w:r w:rsidRPr="00F7400E">
              <w:rPr>
                <w:rFonts w:cs="Calibri"/>
                <w:b/>
                <w:bCs/>
                <w:noProof/>
                <w:color w:val="C00000"/>
                <w:sz w:val="18"/>
                <w:szCs w:val="20"/>
                <w:lang w:val="sq-AL"/>
              </w:rPr>
              <w:t>249,481,085</w:t>
            </w:r>
          </w:p>
        </w:tc>
        <w:tc>
          <w:tcPr>
            <w:tcW w:w="1917" w:type="dxa"/>
            <w:tcBorders>
              <w:right w:val="single" w:sz="24" w:space="0" w:color="95B3D7"/>
            </w:tcBorders>
            <w:noWrap/>
            <w:vAlign w:val="center"/>
            <w:hideMark/>
          </w:tcPr>
          <w:p w14:paraId="4F3A858A"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238,938,921</w:t>
            </w:r>
          </w:p>
        </w:tc>
      </w:tr>
      <w:tr w:rsidR="00F7400E" w:rsidRPr="0033375A" w14:paraId="5468238C" w14:textId="77777777" w:rsidTr="009F174D">
        <w:trPr>
          <w:trHeight w:val="184"/>
          <w:jc w:val="center"/>
        </w:trPr>
        <w:tc>
          <w:tcPr>
            <w:tcW w:w="2342" w:type="dxa"/>
            <w:tcBorders>
              <w:left w:val="single" w:sz="24" w:space="0" w:color="95B3D7"/>
              <w:bottom w:val="single" w:sz="24" w:space="0" w:color="95B3D7"/>
            </w:tcBorders>
            <w:noWrap/>
            <w:vAlign w:val="center"/>
            <w:hideMark/>
          </w:tcPr>
          <w:p w14:paraId="15FD8994" w14:textId="77777777" w:rsidR="00F7400E" w:rsidRPr="0033375A" w:rsidRDefault="00F7400E" w:rsidP="00F7400E">
            <w:pPr>
              <w:spacing w:before="0" w:line="240" w:lineRule="auto"/>
              <w:jc w:val="center"/>
              <w:rPr>
                <w:rFonts w:cs="Calibri"/>
                <w:b/>
                <w:noProof/>
                <w:color w:val="C00000"/>
                <w:sz w:val="18"/>
                <w:szCs w:val="20"/>
                <w:lang w:val="sq-AL"/>
              </w:rPr>
            </w:pPr>
            <w:r w:rsidRPr="0033375A">
              <w:rPr>
                <w:rFonts w:cs="Calibri"/>
                <w:b/>
                <w:noProof/>
                <w:color w:val="C00000"/>
                <w:sz w:val="18"/>
                <w:szCs w:val="20"/>
                <w:lang w:val="sq-AL"/>
              </w:rPr>
              <w:t>Kapital</w:t>
            </w:r>
          </w:p>
        </w:tc>
        <w:tc>
          <w:tcPr>
            <w:tcW w:w="2408" w:type="dxa"/>
            <w:tcBorders>
              <w:bottom w:val="single" w:sz="24" w:space="0" w:color="95B3D7"/>
            </w:tcBorders>
            <w:noWrap/>
            <w:vAlign w:val="center"/>
            <w:hideMark/>
          </w:tcPr>
          <w:p w14:paraId="3A93AF62"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100,112,304</w:t>
            </w:r>
          </w:p>
        </w:tc>
        <w:tc>
          <w:tcPr>
            <w:tcW w:w="2408" w:type="dxa"/>
            <w:tcBorders>
              <w:bottom w:val="single" w:sz="24" w:space="0" w:color="95B3D7"/>
            </w:tcBorders>
            <w:noWrap/>
            <w:vAlign w:val="center"/>
            <w:hideMark/>
          </w:tcPr>
          <w:p w14:paraId="4EBC1A6B" w14:textId="06C7E0D1" w:rsidR="00F7400E" w:rsidRPr="00F7400E" w:rsidRDefault="00F7400E" w:rsidP="00F7400E">
            <w:pPr>
              <w:spacing w:before="0" w:line="240" w:lineRule="auto"/>
              <w:jc w:val="center"/>
              <w:rPr>
                <w:rFonts w:cs="Calibri"/>
                <w:b/>
                <w:bCs/>
                <w:noProof/>
                <w:color w:val="C00000"/>
                <w:sz w:val="18"/>
                <w:szCs w:val="20"/>
                <w:lang w:val="sq-AL"/>
              </w:rPr>
            </w:pPr>
            <w:r w:rsidRPr="00F7400E">
              <w:rPr>
                <w:rFonts w:cs="Calibri"/>
                <w:b/>
                <w:bCs/>
                <w:noProof/>
                <w:color w:val="C00000"/>
                <w:sz w:val="18"/>
                <w:szCs w:val="20"/>
                <w:lang w:val="sq-AL"/>
              </w:rPr>
              <w:t>114,459,797</w:t>
            </w:r>
          </w:p>
        </w:tc>
        <w:tc>
          <w:tcPr>
            <w:tcW w:w="1917" w:type="dxa"/>
            <w:tcBorders>
              <w:bottom w:val="single" w:sz="24" w:space="0" w:color="95B3D7"/>
              <w:right w:val="single" w:sz="24" w:space="0" w:color="95B3D7"/>
            </w:tcBorders>
            <w:noWrap/>
            <w:vAlign w:val="center"/>
            <w:hideMark/>
          </w:tcPr>
          <w:p w14:paraId="214E5037" w14:textId="77777777" w:rsidR="00F7400E" w:rsidRPr="0033375A" w:rsidRDefault="00F7400E" w:rsidP="00F7400E">
            <w:pPr>
              <w:spacing w:before="0" w:line="240" w:lineRule="auto"/>
              <w:jc w:val="center"/>
              <w:rPr>
                <w:rFonts w:cs="Calibri"/>
                <w:b/>
                <w:bCs/>
                <w:noProof/>
                <w:color w:val="C00000"/>
                <w:sz w:val="18"/>
                <w:szCs w:val="20"/>
                <w:lang w:val="sq-AL"/>
              </w:rPr>
            </w:pPr>
            <w:r w:rsidRPr="0033375A">
              <w:rPr>
                <w:rFonts w:cs="Calibri"/>
                <w:b/>
                <w:bCs/>
                <w:noProof/>
                <w:color w:val="C00000"/>
                <w:sz w:val="18"/>
                <w:szCs w:val="20"/>
                <w:lang w:val="sq-AL"/>
              </w:rPr>
              <w:t>117,878,537</w:t>
            </w:r>
          </w:p>
        </w:tc>
      </w:tr>
    </w:tbl>
    <w:p w14:paraId="3A289C55" w14:textId="77777777" w:rsidR="0033375A" w:rsidRDefault="0033375A" w:rsidP="0033375A">
      <w:pPr>
        <w:spacing w:before="0"/>
        <w:ind w:left="1080" w:firstLine="360"/>
        <w:contextualSpacing/>
        <w:rPr>
          <w:rFonts w:asciiTheme="majorHAnsi" w:hAnsiTheme="majorHAnsi"/>
          <w:i/>
          <w:noProof/>
          <w:sz w:val="18"/>
          <w:szCs w:val="28"/>
          <w:lang w:val="sq-AL"/>
        </w:rPr>
      </w:pPr>
      <w:r w:rsidRPr="0033375A">
        <w:rPr>
          <w:rFonts w:asciiTheme="majorHAnsi" w:hAnsiTheme="majorHAnsi"/>
          <w:i/>
          <w:noProof/>
          <w:sz w:val="18"/>
          <w:szCs w:val="28"/>
          <w:lang w:val="sq-AL"/>
        </w:rPr>
        <w:t>Burimi: OSHEE Group sh.a, OST sh.a, KESH sh.a. (2026)</w:t>
      </w:r>
    </w:p>
    <w:p w14:paraId="09D122AB" w14:textId="77777777" w:rsidR="00B70B1A" w:rsidRDefault="00B70B1A" w:rsidP="0033375A">
      <w:pPr>
        <w:spacing w:before="0"/>
        <w:ind w:left="1080" w:firstLine="360"/>
        <w:contextualSpacing/>
        <w:rPr>
          <w:rFonts w:asciiTheme="majorHAnsi" w:hAnsiTheme="majorHAnsi"/>
          <w:i/>
          <w:noProof/>
          <w:sz w:val="18"/>
          <w:szCs w:val="28"/>
          <w:lang w:val="sq-AL"/>
        </w:rPr>
      </w:pPr>
    </w:p>
    <w:p w14:paraId="19AF5BCB" w14:textId="31B92996" w:rsidR="002D674F" w:rsidRPr="001824B9" w:rsidRDefault="0033375A" w:rsidP="001824B9">
      <w:pPr>
        <w:keepNext/>
        <w:numPr>
          <w:ilvl w:val="0"/>
          <w:numId w:val="17"/>
        </w:numPr>
        <w:rPr>
          <w:i/>
          <w:noProof/>
          <w:lang w:val="sq-AL"/>
        </w:rPr>
      </w:pPr>
      <w:r w:rsidRPr="0033375A">
        <w:rPr>
          <w:i/>
          <w:noProof/>
          <w:lang w:val="sq-AL"/>
        </w:rPr>
        <w:t>Performanca financiare e OSHEE Group sh.a.</w:t>
      </w:r>
    </w:p>
    <w:p w14:paraId="0AD25B1D" w14:textId="43A3AF40" w:rsidR="0033375A" w:rsidRPr="0033375A" w:rsidRDefault="0033375A" w:rsidP="0033375A">
      <w:pPr>
        <w:spacing w:before="0"/>
        <w:rPr>
          <w:rFonts w:asciiTheme="majorHAnsi" w:hAnsiTheme="majorHAnsi"/>
          <w:i/>
          <w:iCs/>
          <w:noProof/>
          <w:color w:val="17406D" w:themeColor="text2"/>
          <w:sz w:val="20"/>
          <w:szCs w:val="18"/>
          <w:lang w:val="sq-AL"/>
        </w:rPr>
      </w:pPr>
      <w:bookmarkStart w:id="189" w:name="_Toc229129995"/>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21</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Të dhënat financiare 12 mujore për OSHEE Group Sh.a (në mijë LEK)</w:t>
      </w:r>
      <w:bookmarkEnd w:id="189"/>
    </w:p>
    <w:tbl>
      <w:tblPr>
        <w:tblW w:w="926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77"/>
        <w:gridCol w:w="2126"/>
        <w:gridCol w:w="2126"/>
        <w:gridCol w:w="2136"/>
      </w:tblGrid>
      <w:tr w:rsidR="0033375A" w:rsidRPr="0033375A" w14:paraId="1633EF1F" w14:textId="77777777" w:rsidTr="009F174D">
        <w:trPr>
          <w:trHeight w:val="265"/>
          <w:jc w:val="center"/>
        </w:trPr>
        <w:tc>
          <w:tcPr>
            <w:tcW w:w="2877" w:type="dxa"/>
            <w:tcBorders>
              <w:top w:val="single" w:sz="24" w:space="0" w:color="95B3D7"/>
              <w:left w:val="single" w:sz="24" w:space="0" w:color="95B3D7"/>
            </w:tcBorders>
            <w:shd w:val="clear" w:color="auto" w:fill="B3DDF2" w:themeFill="background2" w:themeFillShade="E6"/>
            <w:noWrap/>
            <w:vAlign w:val="center"/>
            <w:hideMark/>
          </w:tcPr>
          <w:p w14:paraId="42FE24C0"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Zërat/Periudha</w:t>
            </w:r>
          </w:p>
        </w:tc>
        <w:tc>
          <w:tcPr>
            <w:tcW w:w="2126" w:type="dxa"/>
            <w:tcBorders>
              <w:top w:val="single" w:sz="24" w:space="0" w:color="95B3D7"/>
            </w:tcBorders>
            <w:shd w:val="clear" w:color="auto" w:fill="B3DDF2" w:themeFill="background2" w:themeFillShade="E6"/>
            <w:noWrap/>
            <w:vAlign w:val="center"/>
            <w:hideMark/>
          </w:tcPr>
          <w:p w14:paraId="2AD4C2F3"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2023</w:t>
            </w:r>
          </w:p>
        </w:tc>
        <w:tc>
          <w:tcPr>
            <w:tcW w:w="2126" w:type="dxa"/>
            <w:tcBorders>
              <w:top w:val="single" w:sz="24" w:space="0" w:color="95B3D7"/>
            </w:tcBorders>
            <w:shd w:val="clear" w:color="auto" w:fill="B3DDF2" w:themeFill="background2" w:themeFillShade="E6"/>
            <w:noWrap/>
            <w:vAlign w:val="center"/>
            <w:hideMark/>
          </w:tcPr>
          <w:p w14:paraId="3F47BF04"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2024</w:t>
            </w:r>
          </w:p>
        </w:tc>
        <w:tc>
          <w:tcPr>
            <w:tcW w:w="2136" w:type="dxa"/>
            <w:tcBorders>
              <w:top w:val="single" w:sz="24" w:space="0" w:color="95B3D7"/>
              <w:right w:val="single" w:sz="24" w:space="0" w:color="95B3D7"/>
            </w:tcBorders>
            <w:shd w:val="clear" w:color="auto" w:fill="B3DDF2" w:themeFill="background2" w:themeFillShade="E6"/>
            <w:noWrap/>
            <w:vAlign w:val="center"/>
            <w:hideMark/>
          </w:tcPr>
          <w:p w14:paraId="3E77D505"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2025</w:t>
            </w:r>
          </w:p>
        </w:tc>
      </w:tr>
      <w:tr w:rsidR="0033375A" w:rsidRPr="0033375A" w14:paraId="103A22F2" w14:textId="77777777" w:rsidTr="009F174D">
        <w:trPr>
          <w:trHeight w:val="265"/>
          <w:jc w:val="center"/>
        </w:trPr>
        <w:tc>
          <w:tcPr>
            <w:tcW w:w="2877" w:type="dxa"/>
            <w:tcBorders>
              <w:left w:val="single" w:sz="24" w:space="0" w:color="95B3D7"/>
            </w:tcBorders>
            <w:noWrap/>
            <w:vAlign w:val="center"/>
            <w:hideMark/>
          </w:tcPr>
          <w:p w14:paraId="6169249E"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Të ardhurat</w:t>
            </w:r>
          </w:p>
        </w:tc>
        <w:tc>
          <w:tcPr>
            <w:tcW w:w="2126" w:type="dxa"/>
            <w:noWrap/>
            <w:vAlign w:val="center"/>
            <w:hideMark/>
          </w:tcPr>
          <w:p w14:paraId="19AEAF9F"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93,182,743</w:t>
            </w:r>
          </w:p>
        </w:tc>
        <w:tc>
          <w:tcPr>
            <w:tcW w:w="2126" w:type="dxa"/>
            <w:noWrap/>
            <w:vAlign w:val="center"/>
            <w:hideMark/>
          </w:tcPr>
          <w:p w14:paraId="5D9421A7"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78,358,635</w:t>
            </w:r>
          </w:p>
        </w:tc>
        <w:tc>
          <w:tcPr>
            <w:tcW w:w="2136" w:type="dxa"/>
            <w:tcBorders>
              <w:right w:val="single" w:sz="24" w:space="0" w:color="95B3D7"/>
            </w:tcBorders>
            <w:noWrap/>
            <w:vAlign w:val="center"/>
            <w:hideMark/>
          </w:tcPr>
          <w:p w14:paraId="16DBFB08"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72,787,453</w:t>
            </w:r>
          </w:p>
        </w:tc>
      </w:tr>
      <w:tr w:rsidR="0033375A" w:rsidRPr="0033375A" w14:paraId="25BF06CD" w14:textId="77777777" w:rsidTr="009F174D">
        <w:trPr>
          <w:trHeight w:val="265"/>
          <w:jc w:val="center"/>
        </w:trPr>
        <w:tc>
          <w:tcPr>
            <w:tcW w:w="2877" w:type="dxa"/>
            <w:tcBorders>
              <w:left w:val="single" w:sz="24" w:space="0" w:color="95B3D7"/>
            </w:tcBorders>
            <w:noWrap/>
            <w:vAlign w:val="center"/>
            <w:hideMark/>
          </w:tcPr>
          <w:p w14:paraId="215B6ADE"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Shpenzimet</w:t>
            </w:r>
          </w:p>
        </w:tc>
        <w:tc>
          <w:tcPr>
            <w:tcW w:w="2126" w:type="dxa"/>
            <w:noWrap/>
            <w:vAlign w:val="center"/>
            <w:hideMark/>
          </w:tcPr>
          <w:p w14:paraId="4B1F8F07"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86,051,068</w:t>
            </w:r>
          </w:p>
        </w:tc>
        <w:tc>
          <w:tcPr>
            <w:tcW w:w="2126" w:type="dxa"/>
            <w:noWrap/>
            <w:vAlign w:val="center"/>
            <w:hideMark/>
          </w:tcPr>
          <w:p w14:paraId="14BEEB38"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70,779,989</w:t>
            </w:r>
          </w:p>
        </w:tc>
        <w:tc>
          <w:tcPr>
            <w:tcW w:w="2136" w:type="dxa"/>
            <w:tcBorders>
              <w:right w:val="single" w:sz="24" w:space="0" w:color="95B3D7"/>
            </w:tcBorders>
            <w:noWrap/>
            <w:vAlign w:val="center"/>
            <w:hideMark/>
          </w:tcPr>
          <w:p w14:paraId="7B52777E"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65,708,915</w:t>
            </w:r>
          </w:p>
        </w:tc>
      </w:tr>
      <w:tr w:rsidR="0033375A" w:rsidRPr="0033375A" w14:paraId="24E0DB84" w14:textId="77777777" w:rsidTr="009F174D">
        <w:trPr>
          <w:trHeight w:val="265"/>
          <w:jc w:val="center"/>
        </w:trPr>
        <w:tc>
          <w:tcPr>
            <w:tcW w:w="2877" w:type="dxa"/>
            <w:tcBorders>
              <w:left w:val="single" w:sz="24" w:space="0" w:color="95B3D7"/>
            </w:tcBorders>
            <w:noWrap/>
            <w:vAlign w:val="center"/>
            <w:hideMark/>
          </w:tcPr>
          <w:p w14:paraId="2C749AD9"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Humbje/Fitim</w:t>
            </w:r>
          </w:p>
        </w:tc>
        <w:tc>
          <w:tcPr>
            <w:tcW w:w="2126" w:type="dxa"/>
            <w:noWrap/>
            <w:vAlign w:val="center"/>
            <w:hideMark/>
          </w:tcPr>
          <w:p w14:paraId="10654F67"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7,131,675</w:t>
            </w:r>
          </w:p>
        </w:tc>
        <w:tc>
          <w:tcPr>
            <w:tcW w:w="2126" w:type="dxa"/>
            <w:noWrap/>
            <w:vAlign w:val="center"/>
            <w:hideMark/>
          </w:tcPr>
          <w:p w14:paraId="19A3CA5B"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7,578,646</w:t>
            </w:r>
          </w:p>
        </w:tc>
        <w:tc>
          <w:tcPr>
            <w:tcW w:w="2136" w:type="dxa"/>
            <w:tcBorders>
              <w:right w:val="single" w:sz="24" w:space="0" w:color="95B3D7"/>
            </w:tcBorders>
            <w:noWrap/>
            <w:vAlign w:val="center"/>
            <w:hideMark/>
          </w:tcPr>
          <w:p w14:paraId="3B96D7C8"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7,078,538</w:t>
            </w:r>
          </w:p>
        </w:tc>
      </w:tr>
      <w:tr w:rsidR="002D674F" w:rsidRPr="0033375A" w14:paraId="7B745E08" w14:textId="77777777" w:rsidTr="009F174D">
        <w:trPr>
          <w:trHeight w:val="265"/>
          <w:jc w:val="center"/>
        </w:trPr>
        <w:tc>
          <w:tcPr>
            <w:tcW w:w="2877" w:type="dxa"/>
            <w:tcBorders>
              <w:left w:val="single" w:sz="24" w:space="0" w:color="95B3D7"/>
            </w:tcBorders>
            <w:noWrap/>
            <w:vAlign w:val="center"/>
            <w:hideMark/>
          </w:tcPr>
          <w:p w14:paraId="615211D8" w14:textId="77777777" w:rsidR="002D674F" w:rsidRPr="0033375A" w:rsidRDefault="002D674F" w:rsidP="002D674F">
            <w:pPr>
              <w:spacing w:before="0" w:line="240" w:lineRule="auto"/>
              <w:jc w:val="center"/>
              <w:rPr>
                <w:rFonts w:cs="Calibri"/>
                <w:i/>
                <w:noProof/>
                <w:sz w:val="20"/>
                <w:szCs w:val="22"/>
                <w:lang w:val="sq-AL"/>
              </w:rPr>
            </w:pPr>
            <w:r w:rsidRPr="0033375A">
              <w:rPr>
                <w:rFonts w:cs="Calibri"/>
                <w:i/>
                <w:noProof/>
                <w:sz w:val="20"/>
                <w:szCs w:val="22"/>
                <w:lang w:val="sq-AL"/>
              </w:rPr>
              <w:t>Aktivet Afatshkurtra</w:t>
            </w:r>
          </w:p>
        </w:tc>
        <w:tc>
          <w:tcPr>
            <w:tcW w:w="2126" w:type="dxa"/>
            <w:noWrap/>
            <w:vAlign w:val="center"/>
            <w:hideMark/>
          </w:tcPr>
          <w:p w14:paraId="248382D5"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42,410,250</w:t>
            </w:r>
          </w:p>
        </w:tc>
        <w:tc>
          <w:tcPr>
            <w:tcW w:w="2126" w:type="dxa"/>
            <w:noWrap/>
            <w:vAlign w:val="center"/>
            <w:hideMark/>
          </w:tcPr>
          <w:p w14:paraId="643EE66A" w14:textId="185277E4" w:rsidR="002D674F" w:rsidRPr="002D674F" w:rsidRDefault="002D674F" w:rsidP="002D674F">
            <w:pPr>
              <w:spacing w:before="0" w:line="240" w:lineRule="auto"/>
              <w:jc w:val="center"/>
              <w:rPr>
                <w:rFonts w:cs="Calibri"/>
                <w:bCs/>
                <w:i/>
                <w:noProof/>
                <w:sz w:val="20"/>
                <w:szCs w:val="22"/>
                <w:lang w:val="sq-AL"/>
              </w:rPr>
            </w:pPr>
            <w:r w:rsidRPr="002D674F">
              <w:rPr>
                <w:rFonts w:cs="Calibri"/>
                <w:bCs/>
                <w:i/>
                <w:noProof/>
                <w:sz w:val="20"/>
                <w:szCs w:val="22"/>
                <w:lang w:val="sq-AL"/>
              </w:rPr>
              <w:t>34,853,588</w:t>
            </w:r>
          </w:p>
        </w:tc>
        <w:tc>
          <w:tcPr>
            <w:tcW w:w="2136" w:type="dxa"/>
            <w:tcBorders>
              <w:right w:val="single" w:sz="24" w:space="0" w:color="95B3D7"/>
            </w:tcBorders>
            <w:noWrap/>
            <w:vAlign w:val="center"/>
            <w:hideMark/>
          </w:tcPr>
          <w:p w14:paraId="5C1A63D2"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29,191,497</w:t>
            </w:r>
          </w:p>
        </w:tc>
      </w:tr>
      <w:tr w:rsidR="002D674F" w:rsidRPr="0033375A" w14:paraId="0DE52B28" w14:textId="77777777" w:rsidTr="009F174D">
        <w:trPr>
          <w:trHeight w:val="265"/>
          <w:jc w:val="center"/>
        </w:trPr>
        <w:tc>
          <w:tcPr>
            <w:tcW w:w="2877" w:type="dxa"/>
            <w:tcBorders>
              <w:left w:val="single" w:sz="24" w:space="0" w:color="95B3D7"/>
            </w:tcBorders>
            <w:noWrap/>
            <w:vAlign w:val="center"/>
            <w:hideMark/>
          </w:tcPr>
          <w:p w14:paraId="3A484494" w14:textId="77777777" w:rsidR="002D674F" w:rsidRPr="0033375A" w:rsidRDefault="002D674F" w:rsidP="002D674F">
            <w:pPr>
              <w:spacing w:before="0" w:line="240" w:lineRule="auto"/>
              <w:jc w:val="center"/>
              <w:rPr>
                <w:rFonts w:cs="Calibri"/>
                <w:i/>
                <w:noProof/>
                <w:sz w:val="20"/>
                <w:szCs w:val="22"/>
                <w:lang w:val="sq-AL"/>
              </w:rPr>
            </w:pPr>
            <w:r w:rsidRPr="0033375A">
              <w:rPr>
                <w:rFonts w:cs="Calibri"/>
                <w:i/>
                <w:noProof/>
                <w:sz w:val="20"/>
                <w:szCs w:val="22"/>
                <w:lang w:val="sq-AL"/>
              </w:rPr>
              <w:t>Aktivet Afatgjata</w:t>
            </w:r>
          </w:p>
        </w:tc>
        <w:tc>
          <w:tcPr>
            <w:tcW w:w="2126" w:type="dxa"/>
            <w:noWrap/>
            <w:vAlign w:val="center"/>
            <w:hideMark/>
          </w:tcPr>
          <w:p w14:paraId="017BBC5C"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68,932,021</w:t>
            </w:r>
          </w:p>
        </w:tc>
        <w:tc>
          <w:tcPr>
            <w:tcW w:w="2126" w:type="dxa"/>
            <w:noWrap/>
            <w:vAlign w:val="center"/>
            <w:hideMark/>
          </w:tcPr>
          <w:p w14:paraId="02F5B9B1" w14:textId="365C981A" w:rsidR="002D674F" w:rsidRPr="002D674F" w:rsidRDefault="002D674F" w:rsidP="002D674F">
            <w:pPr>
              <w:spacing w:before="0" w:line="240" w:lineRule="auto"/>
              <w:jc w:val="center"/>
              <w:rPr>
                <w:rFonts w:cs="Calibri"/>
                <w:bCs/>
                <w:i/>
                <w:noProof/>
                <w:sz w:val="20"/>
                <w:szCs w:val="22"/>
                <w:lang w:val="sq-AL"/>
              </w:rPr>
            </w:pPr>
            <w:r w:rsidRPr="002D674F">
              <w:rPr>
                <w:rFonts w:cs="Calibri"/>
                <w:bCs/>
                <w:i/>
                <w:noProof/>
                <w:sz w:val="20"/>
                <w:szCs w:val="22"/>
                <w:lang w:val="sq-AL"/>
              </w:rPr>
              <w:t>71,271,886</w:t>
            </w:r>
          </w:p>
        </w:tc>
        <w:tc>
          <w:tcPr>
            <w:tcW w:w="2136" w:type="dxa"/>
            <w:tcBorders>
              <w:right w:val="single" w:sz="24" w:space="0" w:color="95B3D7"/>
            </w:tcBorders>
            <w:noWrap/>
            <w:vAlign w:val="center"/>
            <w:hideMark/>
          </w:tcPr>
          <w:p w14:paraId="27E16B7C"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80,710,161</w:t>
            </w:r>
          </w:p>
        </w:tc>
      </w:tr>
      <w:tr w:rsidR="002D674F" w:rsidRPr="0033375A" w14:paraId="2B17EACE" w14:textId="77777777" w:rsidTr="009F174D">
        <w:trPr>
          <w:trHeight w:val="265"/>
          <w:jc w:val="center"/>
        </w:trPr>
        <w:tc>
          <w:tcPr>
            <w:tcW w:w="2877" w:type="dxa"/>
            <w:tcBorders>
              <w:left w:val="single" w:sz="24" w:space="0" w:color="95B3D7"/>
            </w:tcBorders>
            <w:noWrap/>
            <w:vAlign w:val="center"/>
            <w:hideMark/>
          </w:tcPr>
          <w:p w14:paraId="2BB56414" w14:textId="77777777" w:rsidR="002D674F" w:rsidRPr="0033375A" w:rsidRDefault="002D674F" w:rsidP="002D674F">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Total Aktive</w:t>
            </w:r>
          </w:p>
        </w:tc>
        <w:tc>
          <w:tcPr>
            <w:tcW w:w="2126" w:type="dxa"/>
            <w:noWrap/>
            <w:vAlign w:val="center"/>
            <w:hideMark/>
          </w:tcPr>
          <w:p w14:paraId="68CD1A7C"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111,342,271</w:t>
            </w:r>
          </w:p>
        </w:tc>
        <w:tc>
          <w:tcPr>
            <w:tcW w:w="2126" w:type="dxa"/>
            <w:noWrap/>
            <w:vAlign w:val="center"/>
            <w:hideMark/>
          </w:tcPr>
          <w:p w14:paraId="1F7DE69F" w14:textId="5B818A95" w:rsidR="002D674F" w:rsidRPr="002D674F" w:rsidRDefault="002D674F" w:rsidP="002D674F">
            <w:pPr>
              <w:spacing w:before="0" w:line="240" w:lineRule="auto"/>
              <w:jc w:val="center"/>
              <w:rPr>
                <w:rFonts w:cs="Calibri"/>
                <w:b/>
                <w:bCs/>
                <w:noProof/>
                <w:color w:val="C00000"/>
                <w:sz w:val="20"/>
                <w:szCs w:val="22"/>
                <w:lang w:val="sq-AL"/>
              </w:rPr>
            </w:pPr>
            <w:r w:rsidRPr="002D674F">
              <w:rPr>
                <w:rFonts w:cs="Calibri"/>
                <w:b/>
                <w:bCs/>
                <w:noProof/>
                <w:color w:val="C00000"/>
                <w:sz w:val="20"/>
                <w:szCs w:val="22"/>
                <w:lang w:val="sq-AL"/>
              </w:rPr>
              <w:t>106,125,474</w:t>
            </w:r>
          </w:p>
        </w:tc>
        <w:tc>
          <w:tcPr>
            <w:tcW w:w="2136" w:type="dxa"/>
            <w:tcBorders>
              <w:right w:val="single" w:sz="24" w:space="0" w:color="95B3D7"/>
            </w:tcBorders>
            <w:noWrap/>
            <w:vAlign w:val="center"/>
            <w:hideMark/>
          </w:tcPr>
          <w:p w14:paraId="3C051C35"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109,901,658</w:t>
            </w:r>
          </w:p>
        </w:tc>
      </w:tr>
      <w:tr w:rsidR="002D674F" w:rsidRPr="0033375A" w14:paraId="04CE7992" w14:textId="77777777" w:rsidTr="009F174D">
        <w:trPr>
          <w:trHeight w:val="265"/>
          <w:jc w:val="center"/>
        </w:trPr>
        <w:tc>
          <w:tcPr>
            <w:tcW w:w="2877" w:type="dxa"/>
            <w:tcBorders>
              <w:left w:val="single" w:sz="24" w:space="0" w:color="95B3D7"/>
            </w:tcBorders>
            <w:noWrap/>
            <w:vAlign w:val="center"/>
            <w:hideMark/>
          </w:tcPr>
          <w:p w14:paraId="4F97BA99" w14:textId="77777777" w:rsidR="002D674F" w:rsidRPr="0033375A" w:rsidRDefault="002D674F" w:rsidP="002D674F">
            <w:pPr>
              <w:spacing w:before="0" w:line="240" w:lineRule="auto"/>
              <w:jc w:val="center"/>
              <w:rPr>
                <w:rFonts w:cs="Calibri"/>
                <w:i/>
                <w:noProof/>
                <w:sz w:val="20"/>
                <w:szCs w:val="22"/>
                <w:lang w:val="sq-AL"/>
              </w:rPr>
            </w:pPr>
            <w:r w:rsidRPr="0033375A">
              <w:rPr>
                <w:rFonts w:cs="Calibri"/>
                <w:i/>
                <w:noProof/>
                <w:sz w:val="20"/>
                <w:szCs w:val="22"/>
                <w:lang w:val="sq-AL"/>
              </w:rPr>
              <w:t>Detyrimet afatshkurtra</w:t>
            </w:r>
          </w:p>
        </w:tc>
        <w:tc>
          <w:tcPr>
            <w:tcW w:w="2126" w:type="dxa"/>
            <w:noWrap/>
            <w:vAlign w:val="center"/>
            <w:hideMark/>
          </w:tcPr>
          <w:p w14:paraId="0ADE70A7"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81,065,671</w:t>
            </w:r>
          </w:p>
        </w:tc>
        <w:tc>
          <w:tcPr>
            <w:tcW w:w="2126" w:type="dxa"/>
            <w:noWrap/>
            <w:vAlign w:val="center"/>
            <w:hideMark/>
          </w:tcPr>
          <w:p w14:paraId="12946DD1" w14:textId="253B20DB" w:rsidR="002D674F" w:rsidRPr="002D674F" w:rsidRDefault="002D674F" w:rsidP="002D674F">
            <w:pPr>
              <w:spacing w:before="0" w:line="240" w:lineRule="auto"/>
              <w:jc w:val="center"/>
              <w:rPr>
                <w:rFonts w:cs="Calibri"/>
                <w:bCs/>
                <w:i/>
                <w:noProof/>
                <w:sz w:val="20"/>
                <w:szCs w:val="22"/>
                <w:lang w:val="sq-AL"/>
              </w:rPr>
            </w:pPr>
            <w:r w:rsidRPr="002D674F">
              <w:rPr>
                <w:rFonts w:cs="Calibri"/>
                <w:bCs/>
                <w:i/>
                <w:noProof/>
                <w:sz w:val="20"/>
                <w:szCs w:val="22"/>
                <w:lang w:val="sq-AL"/>
              </w:rPr>
              <w:t>73,034,634</w:t>
            </w:r>
          </w:p>
        </w:tc>
        <w:tc>
          <w:tcPr>
            <w:tcW w:w="2136" w:type="dxa"/>
            <w:tcBorders>
              <w:right w:val="single" w:sz="24" w:space="0" w:color="95B3D7"/>
            </w:tcBorders>
            <w:noWrap/>
            <w:vAlign w:val="center"/>
            <w:hideMark/>
          </w:tcPr>
          <w:p w14:paraId="6345B8C6"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65,383,049</w:t>
            </w:r>
          </w:p>
        </w:tc>
      </w:tr>
      <w:tr w:rsidR="002D674F" w:rsidRPr="0033375A" w14:paraId="0C8595F9" w14:textId="77777777" w:rsidTr="009F174D">
        <w:trPr>
          <w:trHeight w:val="265"/>
          <w:jc w:val="center"/>
        </w:trPr>
        <w:tc>
          <w:tcPr>
            <w:tcW w:w="2877" w:type="dxa"/>
            <w:tcBorders>
              <w:left w:val="single" w:sz="24" w:space="0" w:color="95B3D7"/>
            </w:tcBorders>
            <w:noWrap/>
            <w:vAlign w:val="center"/>
            <w:hideMark/>
          </w:tcPr>
          <w:p w14:paraId="001A9043" w14:textId="77777777" w:rsidR="002D674F" w:rsidRPr="0033375A" w:rsidRDefault="002D674F" w:rsidP="002D674F">
            <w:pPr>
              <w:spacing w:before="0" w:line="240" w:lineRule="auto"/>
              <w:jc w:val="center"/>
              <w:rPr>
                <w:rFonts w:cs="Calibri"/>
                <w:i/>
                <w:noProof/>
                <w:sz w:val="20"/>
                <w:szCs w:val="22"/>
                <w:lang w:val="sq-AL"/>
              </w:rPr>
            </w:pPr>
            <w:r w:rsidRPr="0033375A">
              <w:rPr>
                <w:rFonts w:cs="Calibri"/>
                <w:i/>
                <w:noProof/>
                <w:sz w:val="20"/>
                <w:szCs w:val="22"/>
                <w:lang w:val="sq-AL"/>
              </w:rPr>
              <w:t>Detyrimet afatgjata</w:t>
            </w:r>
          </w:p>
        </w:tc>
        <w:tc>
          <w:tcPr>
            <w:tcW w:w="2126" w:type="dxa"/>
            <w:noWrap/>
            <w:vAlign w:val="center"/>
            <w:hideMark/>
          </w:tcPr>
          <w:p w14:paraId="161D12FD"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58,973,387</w:t>
            </w:r>
          </w:p>
        </w:tc>
        <w:tc>
          <w:tcPr>
            <w:tcW w:w="2126" w:type="dxa"/>
            <w:noWrap/>
            <w:vAlign w:val="center"/>
            <w:hideMark/>
          </w:tcPr>
          <w:p w14:paraId="746E33AC" w14:textId="0349C36E" w:rsidR="002D674F" w:rsidRPr="002D674F" w:rsidRDefault="002D674F" w:rsidP="002D674F">
            <w:pPr>
              <w:spacing w:before="0" w:line="240" w:lineRule="auto"/>
              <w:jc w:val="center"/>
              <w:rPr>
                <w:rFonts w:cs="Calibri"/>
                <w:bCs/>
                <w:i/>
                <w:noProof/>
                <w:sz w:val="20"/>
                <w:szCs w:val="22"/>
                <w:lang w:val="sq-AL"/>
              </w:rPr>
            </w:pPr>
            <w:r w:rsidRPr="002D674F">
              <w:rPr>
                <w:rFonts w:cs="Calibri"/>
                <w:bCs/>
                <w:i/>
                <w:noProof/>
                <w:sz w:val="20"/>
                <w:szCs w:val="22"/>
                <w:lang w:val="sq-AL"/>
              </w:rPr>
              <w:t>54,208,980</w:t>
            </w:r>
          </w:p>
        </w:tc>
        <w:tc>
          <w:tcPr>
            <w:tcW w:w="2136" w:type="dxa"/>
            <w:tcBorders>
              <w:right w:val="single" w:sz="24" w:space="0" w:color="95B3D7"/>
            </w:tcBorders>
            <w:noWrap/>
            <w:vAlign w:val="center"/>
            <w:hideMark/>
          </w:tcPr>
          <w:p w14:paraId="42C14BCB" w14:textId="77777777" w:rsidR="002D674F" w:rsidRPr="0033375A" w:rsidRDefault="002D674F" w:rsidP="002D674F">
            <w:pPr>
              <w:spacing w:before="0" w:line="240" w:lineRule="auto"/>
              <w:jc w:val="center"/>
              <w:rPr>
                <w:rFonts w:cs="Calibri"/>
                <w:bCs/>
                <w:i/>
                <w:noProof/>
                <w:sz w:val="20"/>
                <w:szCs w:val="22"/>
                <w:lang w:val="sq-AL"/>
              </w:rPr>
            </w:pPr>
            <w:r w:rsidRPr="0033375A">
              <w:rPr>
                <w:rFonts w:cs="Calibri"/>
                <w:bCs/>
                <w:i/>
                <w:noProof/>
                <w:sz w:val="20"/>
                <w:szCs w:val="22"/>
                <w:lang w:val="sq-AL"/>
              </w:rPr>
              <w:t>51,751,971</w:t>
            </w:r>
          </w:p>
        </w:tc>
      </w:tr>
      <w:tr w:rsidR="002D674F" w:rsidRPr="0033375A" w14:paraId="413CE80F" w14:textId="77777777" w:rsidTr="009F174D">
        <w:trPr>
          <w:trHeight w:val="265"/>
          <w:jc w:val="center"/>
        </w:trPr>
        <w:tc>
          <w:tcPr>
            <w:tcW w:w="2877" w:type="dxa"/>
            <w:tcBorders>
              <w:left w:val="single" w:sz="24" w:space="0" w:color="95B3D7"/>
            </w:tcBorders>
            <w:noWrap/>
            <w:vAlign w:val="center"/>
            <w:hideMark/>
          </w:tcPr>
          <w:p w14:paraId="7BD72228" w14:textId="77777777" w:rsidR="002D674F" w:rsidRPr="0033375A" w:rsidRDefault="002D674F" w:rsidP="002D674F">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Total Detyrime</w:t>
            </w:r>
          </w:p>
        </w:tc>
        <w:tc>
          <w:tcPr>
            <w:tcW w:w="2126" w:type="dxa"/>
            <w:noWrap/>
            <w:vAlign w:val="center"/>
            <w:hideMark/>
          </w:tcPr>
          <w:p w14:paraId="07465B49"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140,039,058</w:t>
            </w:r>
          </w:p>
        </w:tc>
        <w:tc>
          <w:tcPr>
            <w:tcW w:w="2126" w:type="dxa"/>
            <w:noWrap/>
            <w:vAlign w:val="center"/>
            <w:hideMark/>
          </w:tcPr>
          <w:p w14:paraId="3128B1A6" w14:textId="50D4E563" w:rsidR="002D674F" w:rsidRPr="002D674F" w:rsidRDefault="002D674F" w:rsidP="002D674F">
            <w:pPr>
              <w:spacing w:before="0" w:line="240" w:lineRule="auto"/>
              <w:jc w:val="center"/>
              <w:rPr>
                <w:rFonts w:cs="Calibri"/>
                <w:b/>
                <w:bCs/>
                <w:noProof/>
                <w:color w:val="C00000"/>
                <w:sz w:val="20"/>
                <w:szCs w:val="22"/>
                <w:lang w:val="sq-AL"/>
              </w:rPr>
            </w:pPr>
            <w:r w:rsidRPr="002D674F">
              <w:rPr>
                <w:rFonts w:cs="Calibri"/>
                <w:b/>
                <w:bCs/>
                <w:noProof/>
                <w:color w:val="C00000"/>
                <w:sz w:val="20"/>
                <w:szCs w:val="22"/>
                <w:lang w:val="sq-AL"/>
              </w:rPr>
              <w:t>127,243,614</w:t>
            </w:r>
          </w:p>
        </w:tc>
        <w:tc>
          <w:tcPr>
            <w:tcW w:w="2136" w:type="dxa"/>
            <w:tcBorders>
              <w:right w:val="single" w:sz="24" w:space="0" w:color="95B3D7"/>
            </w:tcBorders>
            <w:noWrap/>
            <w:vAlign w:val="center"/>
            <w:hideMark/>
          </w:tcPr>
          <w:p w14:paraId="0133F4A4"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117,135,021</w:t>
            </w:r>
          </w:p>
        </w:tc>
      </w:tr>
      <w:tr w:rsidR="002D674F" w:rsidRPr="0033375A" w14:paraId="79883399" w14:textId="77777777" w:rsidTr="009F174D">
        <w:trPr>
          <w:trHeight w:val="265"/>
          <w:jc w:val="center"/>
        </w:trPr>
        <w:tc>
          <w:tcPr>
            <w:tcW w:w="2877" w:type="dxa"/>
            <w:tcBorders>
              <w:left w:val="single" w:sz="24" w:space="0" w:color="95B3D7"/>
              <w:bottom w:val="single" w:sz="24" w:space="0" w:color="95B3D7"/>
            </w:tcBorders>
            <w:noWrap/>
            <w:vAlign w:val="center"/>
            <w:hideMark/>
          </w:tcPr>
          <w:p w14:paraId="589F4EEE" w14:textId="77777777" w:rsidR="002D674F" w:rsidRPr="0033375A" w:rsidRDefault="002D674F" w:rsidP="002D674F">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Kapital</w:t>
            </w:r>
          </w:p>
        </w:tc>
        <w:tc>
          <w:tcPr>
            <w:tcW w:w="2126" w:type="dxa"/>
            <w:tcBorders>
              <w:bottom w:val="single" w:sz="24" w:space="0" w:color="95B3D7"/>
            </w:tcBorders>
            <w:noWrap/>
            <w:vAlign w:val="center"/>
            <w:hideMark/>
          </w:tcPr>
          <w:p w14:paraId="72A3F0B3"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(28,696,787)</w:t>
            </w:r>
          </w:p>
        </w:tc>
        <w:tc>
          <w:tcPr>
            <w:tcW w:w="2126" w:type="dxa"/>
            <w:tcBorders>
              <w:bottom w:val="single" w:sz="24" w:space="0" w:color="95B3D7"/>
            </w:tcBorders>
            <w:noWrap/>
            <w:vAlign w:val="center"/>
            <w:hideMark/>
          </w:tcPr>
          <w:p w14:paraId="165606FB" w14:textId="101988C0" w:rsidR="002D674F" w:rsidRPr="002D674F" w:rsidRDefault="002D674F" w:rsidP="002D674F">
            <w:pPr>
              <w:spacing w:before="0" w:line="240" w:lineRule="auto"/>
              <w:jc w:val="center"/>
              <w:rPr>
                <w:rFonts w:cs="Calibri"/>
                <w:b/>
                <w:bCs/>
                <w:noProof/>
                <w:color w:val="C00000"/>
                <w:sz w:val="20"/>
                <w:szCs w:val="22"/>
                <w:lang w:val="sq-AL"/>
              </w:rPr>
            </w:pPr>
            <w:r w:rsidRPr="002D674F">
              <w:rPr>
                <w:rFonts w:cs="Calibri"/>
                <w:b/>
                <w:bCs/>
                <w:noProof/>
                <w:color w:val="C00000"/>
                <w:sz w:val="20"/>
                <w:szCs w:val="22"/>
                <w:lang w:val="sq-AL"/>
              </w:rPr>
              <w:t>(21,118,140)</w:t>
            </w:r>
          </w:p>
        </w:tc>
        <w:tc>
          <w:tcPr>
            <w:tcW w:w="2136" w:type="dxa"/>
            <w:tcBorders>
              <w:bottom w:val="single" w:sz="24" w:space="0" w:color="95B3D7"/>
              <w:right w:val="single" w:sz="24" w:space="0" w:color="95B3D7"/>
            </w:tcBorders>
            <w:noWrap/>
            <w:vAlign w:val="center"/>
            <w:hideMark/>
          </w:tcPr>
          <w:p w14:paraId="7D5679B6" w14:textId="77777777" w:rsidR="002D674F" w:rsidRPr="0033375A" w:rsidRDefault="002D674F" w:rsidP="002D674F">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(7,233,363)</w:t>
            </w:r>
          </w:p>
        </w:tc>
      </w:tr>
    </w:tbl>
    <w:p w14:paraId="53700F98" w14:textId="277D37E9" w:rsidR="0033375A" w:rsidRDefault="0033375A" w:rsidP="001824B9">
      <w:pPr>
        <w:spacing w:before="0" w:line="240" w:lineRule="auto"/>
        <w:ind w:left="1440"/>
        <w:rPr>
          <w:rFonts w:asciiTheme="majorHAnsi" w:hAnsiTheme="majorHAnsi"/>
          <w:i/>
          <w:noProof/>
          <w:sz w:val="18"/>
          <w:szCs w:val="28"/>
          <w:lang w:val="sq-AL"/>
        </w:rPr>
      </w:pPr>
      <w:r w:rsidRPr="0033375A">
        <w:rPr>
          <w:rFonts w:asciiTheme="majorHAnsi" w:hAnsiTheme="majorHAnsi"/>
          <w:i/>
          <w:noProof/>
          <w:sz w:val="18"/>
          <w:szCs w:val="28"/>
          <w:lang w:val="sq-AL"/>
        </w:rPr>
        <w:t>Burimi: OSHEE Group sh.a.</w:t>
      </w:r>
    </w:p>
    <w:p w14:paraId="0D130F44" w14:textId="77777777" w:rsidR="0033375A" w:rsidRPr="0033375A" w:rsidRDefault="0033375A">
      <w:pPr>
        <w:keepNext/>
        <w:numPr>
          <w:ilvl w:val="0"/>
          <w:numId w:val="17"/>
        </w:numPr>
        <w:rPr>
          <w:i/>
          <w:noProof/>
          <w:lang w:val="sq-AL"/>
        </w:rPr>
      </w:pPr>
      <w:r w:rsidRPr="0033375A">
        <w:rPr>
          <w:i/>
          <w:noProof/>
          <w:lang w:val="sq-AL"/>
        </w:rPr>
        <w:lastRenderedPageBreak/>
        <w:t>Performanca financiare e KESH sh.a.</w:t>
      </w:r>
    </w:p>
    <w:p w14:paraId="2F3D5D66" w14:textId="3A8FE156" w:rsidR="0033375A" w:rsidRPr="0033375A" w:rsidRDefault="0033375A" w:rsidP="0033375A">
      <w:pPr>
        <w:spacing w:before="0"/>
        <w:rPr>
          <w:i/>
          <w:iCs/>
          <w:noProof/>
          <w:color w:val="17406D" w:themeColor="text2"/>
          <w:sz w:val="18"/>
          <w:szCs w:val="18"/>
          <w:lang w:val="sq-AL"/>
        </w:rPr>
      </w:pPr>
      <w:bookmarkStart w:id="190" w:name="_Toc229129996"/>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22</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Të dhënat financiare 12 mujore për KESH sh.a (në mijë LEK)</w:t>
      </w:r>
      <w:bookmarkEnd w:id="190"/>
    </w:p>
    <w:tbl>
      <w:tblPr>
        <w:tblW w:w="9013"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00"/>
        <w:gridCol w:w="2071"/>
        <w:gridCol w:w="2071"/>
        <w:gridCol w:w="2071"/>
      </w:tblGrid>
      <w:tr w:rsidR="0033375A" w:rsidRPr="0033375A" w14:paraId="0D9723D4" w14:textId="77777777" w:rsidTr="009F174D">
        <w:trPr>
          <w:trHeight w:val="236"/>
          <w:jc w:val="center"/>
        </w:trPr>
        <w:tc>
          <w:tcPr>
            <w:tcW w:w="2800" w:type="dxa"/>
            <w:tcBorders>
              <w:top w:val="single" w:sz="24" w:space="0" w:color="95B3D7"/>
              <w:left w:val="single" w:sz="24" w:space="0" w:color="95B3D7"/>
            </w:tcBorders>
            <w:shd w:val="clear" w:color="auto" w:fill="B3DDF2" w:themeFill="background2" w:themeFillShade="E6"/>
            <w:noWrap/>
            <w:vAlign w:val="center"/>
            <w:hideMark/>
          </w:tcPr>
          <w:p w14:paraId="6034E6A6"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Zërat/Periudha</w:t>
            </w:r>
          </w:p>
        </w:tc>
        <w:tc>
          <w:tcPr>
            <w:tcW w:w="2071" w:type="dxa"/>
            <w:tcBorders>
              <w:top w:val="single" w:sz="24" w:space="0" w:color="95B3D7"/>
            </w:tcBorders>
            <w:shd w:val="clear" w:color="auto" w:fill="B3DDF2" w:themeFill="background2" w:themeFillShade="E6"/>
            <w:noWrap/>
            <w:vAlign w:val="center"/>
            <w:hideMark/>
          </w:tcPr>
          <w:p w14:paraId="68814AEA"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2023</w:t>
            </w:r>
          </w:p>
        </w:tc>
        <w:tc>
          <w:tcPr>
            <w:tcW w:w="2071" w:type="dxa"/>
            <w:tcBorders>
              <w:top w:val="single" w:sz="24" w:space="0" w:color="95B3D7"/>
            </w:tcBorders>
            <w:shd w:val="clear" w:color="auto" w:fill="B3DDF2" w:themeFill="background2" w:themeFillShade="E6"/>
            <w:noWrap/>
            <w:vAlign w:val="center"/>
            <w:hideMark/>
          </w:tcPr>
          <w:p w14:paraId="4323E054"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2024</w:t>
            </w:r>
          </w:p>
        </w:tc>
        <w:tc>
          <w:tcPr>
            <w:tcW w:w="2071" w:type="dxa"/>
            <w:tcBorders>
              <w:top w:val="single" w:sz="24" w:space="0" w:color="95B3D7"/>
              <w:right w:val="single" w:sz="24" w:space="0" w:color="95B3D7"/>
            </w:tcBorders>
            <w:shd w:val="clear" w:color="auto" w:fill="B3DDF2" w:themeFill="background2" w:themeFillShade="E6"/>
            <w:noWrap/>
            <w:vAlign w:val="center"/>
            <w:hideMark/>
          </w:tcPr>
          <w:p w14:paraId="5261D0E1"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12M 2025</w:t>
            </w:r>
          </w:p>
        </w:tc>
      </w:tr>
      <w:tr w:rsidR="0033375A" w:rsidRPr="0033375A" w14:paraId="3FCBDBFA" w14:textId="77777777" w:rsidTr="009F174D">
        <w:trPr>
          <w:trHeight w:val="236"/>
          <w:jc w:val="center"/>
        </w:trPr>
        <w:tc>
          <w:tcPr>
            <w:tcW w:w="2800" w:type="dxa"/>
            <w:tcBorders>
              <w:left w:val="single" w:sz="24" w:space="0" w:color="95B3D7"/>
            </w:tcBorders>
            <w:noWrap/>
            <w:vAlign w:val="center"/>
            <w:hideMark/>
          </w:tcPr>
          <w:p w14:paraId="7A46388E"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Të ardhurat</w:t>
            </w:r>
          </w:p>
        </w:tc>
        <w:tc>
          <w:tcPr>
            <w:tcW w:w="2071" w:type="dxa"/>
            <w:noWrap/>
            <w:vAlign w:val="center"/>
            <w:hideMark/>
          </w:tcPr>
          <w:p w14:paraId="72F496CB"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41,973,808</w:t>
            </w:r>
          </w:p>
        </w:tc>
        <w:tc>
          <w:tcPr>
            <w:tcW w:w="2071" w:type="dxa"/>
            <w:noWrap/>
            <w:vAlign w:val="center"/>
            <w:hideMark/>
          </w:tcPr>
          <w:p w14:paraId="2C49E9A6"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28,323,926</w:t>
            </w:r>
          </w:p>
        </w:tc>
        <w:tc>
          <w:tcPr>
            <w:tcW w:w="2071" w:type="dxa"/>
            <w:tcBorders>
              <w:right w:val="single" w:sz="24" w:space="0" w:color="95B3D7"/>
            </w:tcBorders>
            <w:noWrap/>
            <w:vAlign w:val="center"/>
            <w:hideMark/>
          </w:tcPr>
          <w:p w14:paraId="2A95618B"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28,209,489</w:t>
            </w:r>
          </w:p>
        </w:tc>
      </w:tr>
      <w:tr w:rsidR="0033375A" w:rsidRPr="0033375A" w14:paraId="7E8B47AB" w14:textId="77777777" w:rsidTr="009F174D">
        <w:trPr>
          <w:trHeight w:val="236"/>
          <w:jc w:val="center"/>
        </w:trPr>
        <w:tc>
          <w:tcPr>
            <w:tcW w:w="2800" w:type="dxa"/>
            <w:tcBorders>
              <w:left w:val="single" w:sz="24" w:space="0" w:color="95B3D7"/>
            </w:tcBorders>
            <w:noWrap/>
            <w:vAlign w:val="center"/>
            <w:hideMark/>
          </w:tcPr>
          <w:p w14:paraId="0AC2CE6E"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Shpenzimet</w:t>
            </w:r>
          </w:p>
        </w:tc>
        <w:tc>
          <w:tcPr>
            <w:tcW w:w="2071" w:type="dxa"/>
            <w:noWrap/>
            <w:vAlign w:val="center"/>
            <w:hideMark/>
          </w:tcPr>
          <w:p w14:paraId="6E7605CF"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28,478,190</w:t>
            </w:r>
          </w:p>
        </w:tc>
        <w:tc>
          <w:tcPr>
            <w:tcW w:w="2071" w:type="dxa"/>
            <w:noWrap/>
            <w:vAlign w:val="center"/>
            <w:hideMark/>
          </w:tcPr>
          <w:p w14:paraId="40C9CAB7"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28,702,644</w:t>
            </w:r>
          </w:p>
        </w:tc>
        <w:tc>
          <w:tcPr>
            <w:tcW w:w="2071" w:type="dxa"/>
            <w:tcBorders>
              <w:right w:val="single" w:sz="24" w:space="0" w:color="95B3D7"/>
            </w:tcBorders>
            <w:noWrap/>
            <w:vAlign w:val="center"/>
            <w:hideMark/>
          </w:tcPr>
          <w:p w14:paraId="18729358"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41,947,444</w:t>
            </w:r>
          </w:p>
        </w:tc>
      </w:tr>
      <w:tr w:rsidR="0033375A" w:rsidRPr="0033375A" w14:paraId="66FC3D35" w14:textId="77777777" w:rsidTr="009F174D">
        <w:trPr>
          <w:trHeight w:val="236"/>
          <w:jc w:val="center"/>
        </w:trPr>
        <w:tc>
          <w:tcPr>
            <w:tcW w:w="2800" w:type="dxa"/>
            <w:tcBorders>
              <w:left w:val="single" w:sz="24" w:space="0" w:color="95B3D7"/>
            </w:tcBorders>
            <w:noWrap/>
            <w:vAlign w:val="center"/>
            <w:hideMark/>
          </w:tcPr>
          <w:p w14:paraId="40496DDF"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Humbje/Fitim</w:t>
            </w:r>
          </w:p>
        </w:tc>
        <w:tc>
          <w:tcPr>
            <w:tcW w:w="2071" w:type="dxa"/>
            <w:noWrap/>
            <w:vAlign w:val="center"/>
            <w:hideMark/>
          </w:tcPr>
          <w:p w14:paraId="5C08DC80"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13,495,618</w:t>
            </w:r>
          </w:p>
        </w:tc>
        <w:tc>
          <w:tcPr>
            <w:tcW w:w="2071" w:type="dxa"/>
            <w:noWrap/>
            <w:vAlign w:val="center"/>
            <w:hideMark/>
          </w:tcPr>
          <w:p w14:paraId="5B000832"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(378,718)</w:t>
            </w:r>
          </w:p>
        </w:tc>
        <w:tc>
          <w:tcPr>
            <w:tcW w:w="2071" w:type="dxa"/>
            <w:tcBorders>
              <w:right w:val="single" w:sz="24" w:space="0" w:color="95B3D7"/>
            </w:tcBorders>
            <w:noWrap/>
            <w:vAlign w:val="center"/>
            <w:hideMark/>
          </w:tcPr>
          <w:p w14:paraId="2B473D02"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(13,737,955)</w:t>
            </w:r>
          </w:p>
        </w:tc>
      </w:tr>
      <w:tr w:rsidR="0033375A" w:rsidRPr="0033375A" w14:paraId="1B10122B" w14:textId="77777777" w:rsidTr="009F174D">
        <w:trPr>
          <w:trHeight w:val="236"/>
          <w:jc w:val="center"/>
        </w:trPr>
        <w:tc>
          <w:tcPr>
            <w:tcW w:w="2800" w:type="dxa"/>
            <w:tcBorders>
              <w:left w:val="single" w:sz="24" w:space="0" w:color="95B3D7"/>
            </w:tcBorders>
            <w:noWrap/>
            <w:vAlign w:val="center"/>
            <w:hideMark/>
          </w:tcPr>
          <w:p w14:paraId="75C4FF08"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Aktivet Afatshkurtra</w:t>
            </w:r>
          </w:p>
        </w:tc>
        <w:tc>
          <w:tcPr>
            <w:tcW w:w="2071" w:type="dxa"/>
            <w:noWrap/>
            <w:vAlign w:val="center"/>
            <w:hideMark/>
          </w:tcPr>
          <w:p w14:paraId="2178BB83"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99,764,401</w:t>
            </w:r>
          </w:p>
        </w:tc>
        <w:tc>
          <w:tcPr>
            <w:tcW w:w="2071" w:type="dxa"/>
            <w:noWrap/>
            <w:vAlign w:val="center"/>
            <w:hideMark/>
          </w:tcPr>
          <w:p w14:paraId="2FBE4FC1"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88,659,440</w:t>
            </w:r>
          </w:p>
        </w:tc>
        <w:tc>
          <w:tcPr>
            <w:tcW w:w="2071" w:type="dxa"/>
            <w:tcBorders>
              <w:right w:val="single" w:sz="24" w:space="0" w:color="95B3D7"/>
            </w:tcBorders>
            <w:noWrap/>
            <w:vAlign w:val="center"/>
            <w:hideMark/>
          </w:tcPr>
          <w:p w14:paraId="33067DAD"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81,615,556</w:t>
            </w:r>
          </w:p>
        </w:tc>
      </w:tr>
      <w:tr w:rsidR="0033375A" w:rsidRPr="0033375A" w14:paraId="7A9A61E0" w14:textId="77777777" w:rsidTr="009F174D">
        <w:trPr>
          <w:trHeight w:val="236"/>
          <w:jc w:val="center"/>
        </w:trPr>
        <w:tc>
          <w:tcPr>
            <w:tcW w:w="2800" w:type="dxa"/>
            <w:tcBorders>
              <w:left w:val="single" w:sz="24" w:space="0" w:color="95B3D7"/>
            </w:tcBorders>
            <w:noWrap/>
            <w:vAlign w:val="center"/>
            <w:hideMark/>
          </w:tcPr>
          <w:p w14:paraId="5295B790"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Aktivet Afatgjata</w:t>
            </w:r>
          </w:p>
        </w:tc>
        <w:tc>
          <w:tcPr>
            <w:tcW w:w="2071" w:type="dxa"/>
            <w:noWrap/>
            <w:vAlign w:val="center"/>
            <w:hideMark/>
          </w:tcPr>
          <w:p w14:paraId="54AFF524"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85,349,460</w:t>
            </w:r>
          </w:p>
        </w:tc>
        <w:tc>
          <w:tcPr>
            <w:tcW w:w="2071" w:type="dxa"/>
            <w:noWrap/>
            <w:vAlign w:val="center"/>
            <w:hideMark/>
          </w:tcPr>
          <w:p w14:paraId="7D5C3A25"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85,366,477</w:t>
            </w:r>
          </w:p>
        </w:tc>
        <w:tc>
          <w:tcPr>
            <w:tcW w:w="2071" w:type="dxa"/>
            <w:tcBorders>
              <w:right w:val="single" w:sz="24" w:space="0" w:color="95B3D7"/>
            </w:tcBorders>
            <w:noWrap/>
            <w:vAlign w:val="center"/>
            <w:hideMark/>
          </w:tcPr>
          <w:p w14:paraId="562F9600"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81,999,861</w:t>
            </w:r>
          </w:p>
        </w:tc>
      </w:tr>
      <w:tr w:rsidR="0033375A" w:rsidRPr="0033375A" w14:paraId="676A3C01" w14:textId="77777777" w:rsidTr="009F174D">
        <w:trPr>
          <w:trHeight w:val="236"/>
          <w:jc w:val="center"/>
        </w:trPr>
        <w:tc>
          <w:tcPr>
            <w:tcW w:w="2800" w:type="dxa"/>
            <w:tcBorders>
              <w:left w:val="single" w:sz="24" w:space="0" w:color="95B3D7"/>
            </w:tcBorders>
            <w:noWrap/>
            <w:vAlign w:val="center"/>
            <w:hideMark/>
          </w:tcPr>
          <w:p w14:paraId="0FA9D373"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Total Aktive</w:t>
            </w:r>
          </w:p>
        </w:tc>
        <w:tc>
          <w:tcPr>
            <w:tcW w:w="2071" w:type="dxa"/>
            <w:noWrap/>
            <w:vAlign w:val="center"/>
            <w:hideMark/>
          </w:tcPr>
          <w:p w14:paraId="0121AD09"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185,113,860</w:t>
            </w:r>
          </w:p>
        </w:tc>
        <w:tc>
          <w:tcPr>
            <w:tcW w:w="2071" w:type="dxa"/>
            <w:noWrap/>
            <w:vAlign w:val="center"/>
            <w:hideMark/>
          </w:tcPr>
          <w:p w14:paraId="03F7E5F9"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174,025,917</w:t>
            </w:r>
          </w:p>
        </w:tc>
        <w:tc>
          <w:tcPr>
            <w:tcW w:w="2071" w:type="dxa"/>
            <w:tcBorders>
              <w:right w:val="single" w:sz="24" w:space="0" w:color="95B3D7"/>
            </w:tcBorders>
            <w:noWrap/>
            <w:vAlign w:val="center"/>
            <w:hideMark/>
          </w:tcPr>
          <w:p w14:paraId="583E41AC"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163,615,417</w:t>
            </w:r>
          </w:p>
        </w:tc>
      </w:tr>
      <w:tr w:rsidR="0033375A" w:rsidRPr="0033375A" w14:paraId="0BB7FB1B" w14:textId="77777777" w:rsidTr="009F174D">
        <w:trPr>
          <w:trHeight w:val="236"/>
          <w:jc w:val="center"/>
        </w:trPr>
        <w:tc>
          <w:tcPr>
            <w:tcW w:w="2800" w:type="dxa"/>
            <w:tcBorders>
              <w:left w:val="single" w:sz="24" w:space="0" w:color="95B3D7"/>
            </w:tcBorders>
            <w:noWrap/>
            <w:vAlign w:val="center"/>
            <w:hideMark/>
          </w:tcPr>
          <w:p w14:paraId="718CEF1E"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Detyrimet afatshkurtra</w:t>
            </w:r>
          </w:p>
        </w:tc>
        <w:tc>
          <w:tcPr>
            <w:tcW w:w="2071" w:type="dxa"/>
            <w:noWrap/>
            <w:vAlign w:val="center"/>
            <w:hideMark/>
          </w:tcPr>
          <w:p w14:paraId="46BE3C4C"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79,805,047</w:t>
            </w:r>
          </w:p>
        </w:tc>
        <w:tc>
          <w:tcPr>
            <w:tcW w:w="2071" w:type="dxa"/>
            <w:noWrap/>
            <w:vAlign w:val="center"/>
            <w:hideMark/>
          </w:tcPr>
          <w:p w14:paraId="0B1C06C1"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63,768,692</w:t>
            </w:r>
          </w:p>
        </w:tc>
        <w:tc>
          <w:tcPr>
            <w:tcW w:w="2071" w:type="dxa"/>
            <w:tcBorders>
              <w:right w:val="single" w:sz="24" w:space="0" w:color="95B3D7"/>
            </w:tcBorders>
            <w:noWrap/>
            <w:vAlign w:val="center"/>
            <w:hideMark/>
          </w:tcPr>
          <w:p w14:paraId="4D3BD71B"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63,901,649</w:t>
            </w:r>
          </w:p>
        </w:tc>
      </w:tr>
      <w:tr w:rsidR="0033375A" w:rsidRPr="0033375A" w14:paraId="00731F9D" w14:textId="77777777" w:rsidTr="009F174D">
        <w:trPr>
          <w:trHeight w:val="236"/>
          <w:jc w:val="center"/>
        </w:trPr>
        <w:tc>
          <w:tcPr>
            <w:tcW w:w="2800" w:type="dxa"/>
            <w:tcBorders>
              <w:left w:val="single" w:sz="24" w:space="0" w:color="95B3D7"/>
            </w:tcBorders>
            <w:noWrap/>
            <w:vAlign w:val="center"/>
            <w:hideMark/>
          </w:tcPr>
          <w:p w14:paraId="2C28FB8C" w14:textId="77777777" w:rsidR="0033375A" w:rsidRPr="0033375A" w:rsidRDefault="0033375A" w:rsidP="0033375A">
            <w:pPr>
              <w:spacing w:before="0" w:line="240" w:lineRule="auto"/>
              <w:jc w:val="center"/>
              <w:rPr>
                <w:rFonts w:cs="Calibri"/>
                <w:i/>
                <w:noProof/>
                <w:sz w:val="20"/>
                <w:szCs w:val="22"/>
                <w:lang w:val="sq-AL"/>
              </w:rPr>
            </w:pPr>
            <w:r w:rsidRPr="0033375A">
              <w:rPr>
                <w:rFonts w:cs="Calibri"/>
                <w:i/>
                <w:noProof/>
                <w:sz w:val="20"/>
                <w:szCs w:val="22"/>
                <w:lang w:val="sq-AL"/>
              </w:rPr>
              <w:t>Detyrimet afatgjata</w:t>
            </w:r>
          </w:p>
        </w:tc>
        <w:tc>
          <w:tcPr>
            <w:tcW w:w="2071" w:type="dxa"/>
            <w:noWrap/>
            <w:vAlign w:val="center"/>
            <w:hideMark/>
          </w:tcPr>
          <w:p w14:paraId="3B47014D"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17,545,032</w:t>
            </w:r>
          </w:p>
        </w:tc>
        <w:tc>
          <w:tcPr>
            <w:tcW w:w="2071" w:type="dxa"/>
            <w:noWrap/>
            <w:vAlign w:val="center"/>
            <w:hideMark/>
          </w:tcPr>
          <w:p w14:paraId="2E09BFD7"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17,397,937</w:t>
            </w:r>
          </w:p>
        </w:tc>
        <w:tc>
          <w:tcPr>
            <w:tcW w:w="2071" w:type="dxa"/>
            <w:tcBorders>
              <w:right w:val="single" w:sz="24" w:space="0" w:color="95B3D7"/>
            </w:tcBorders>
            <w:noWrap/>
            <w:vAlign w:val="center"/>
            <w:hideMark/>
          </w:tcPr>
          <w:p w14:paraId="47115EEA" w14:textId="77777777" w:rsidR="0033375A" w:rsidRPr="0033375A" w:rsidRDefault="0033375A" w:rsidP="0033375A">
            <w:pPr>
              <w:spacing w:before="0" w:line="240" w:lineRule="auto"/>
              <w:jc w:val="center"/>
              <w:rPr>
                <w:rFonts w:cs="Calibri"/>
                <w:bCs/>
                <w:i/>
                <w:noProof/>
                <w:sz w:val="20"/>
                <w:szCs w:val="22"/>
                <w:lang w:val="sq-AL"/>
              </w:rPr>
            </w:pPr>
            <w:r w:rsidRPr="0033375A">
              <w:rPr>
                <w:rFonts w:cs="Calibri"/>
                <w:bCs/>
                <w:i/>
                <w:noProof/>
                <w:sz w:val="20"/>
                <w:szCs w:val="22"/>
                <w:lang w:val="sq-AL"/>
              </w:rPr>
              <w:t>18,745,837</w:t>
            </w:r>
          </w:p>
        </w:tc>
      </w:tr>
      <w:tr w:rsidR="0033375A" w:rsidRPr="0033375A" w14:paraId="7386AFBD" w14:textId="77777777" w:rsidTr="009F174D">
        <w:trPr>
          <w:trHeight w:val="236"/>
          <w:jc w:val="center"/>
        </w:trPr>
        <w:tc>
          <w:tcPr>
            <w:tcW w:w="2800" w:type="dxa"/>
            <w:tcBorders>
              <w:left w:val="single" w:sz="24" w:space="0" w:color="95B3D7"/>
            </w:tcBorders>
            <w:noWrap/>
            <w:vAlign w:val="center"/>
            <w:hideMark/>
          </w:tcPr>
          <w:p w14:paraId="5B906D06"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Total Detyrime</w:t>
            </w:r>
          </w:p>
        </w:tc>
        <w:tc>
          <w:tcPr>
            <w:tcW w:w="2071" w:type="dxa"/>
            <w:noWrap/>
            <w:vAlign w:val="center"/>
            <w:hideMark/>
          </w:tcPr>
          <w:p w14:paraId="4EB378B7"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97,350,079</w:t>
            </w:r>
          </w:p>
        </w:tc>
        <w:tc>
          <w:tcPr>
            <w:tcW w:w="2071" w:type="dxa"/>
            <w:noWrap/>
            <w:vAlign w:val="center"/>
            <w:hideMark/>
          </w:tcPr>
          <w:p w14:paraId="562ADB3F"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81,166,629</w:t>
            </w:r>
          </w:p>
        </w:tc>
        <w:tc>
          <w:tcPr>
            <w:tcW w:w="2071" w:type="dxa"/>
            <w:tcBorders>
              <w:right w:val="single" w:sz="24" w:space="0" w:color="95B3D7"/>
            </w:tcBorders>
            <w:noWrap/>
            <w:vAlign w:val="center"/>
            <w:hideMark/>
          </w:tcPr>
          <w:p w14:paraId="4529E6C3"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82,647,486</w:t>
            </w:r>
          </w:p>
        </w:tc>
      </w:tr>
      <w:tr w:rsidR="0033375A" w:rsidRPr="0033375A" w14:paraId="6ED9568F" w14:textId="77777777" w:rsidTr="009F174D">
        <w:trPr>
          <w:trHeight w:val="236"/>
          <w:jc w:val="center"/>
        </w:trPr>
        <w:tc>
          <w:tcPr>
            <w:tcW w:w="2800" w:type="dxa"/>
            <w:tcBorders>
              <w:left w:val="single" w:sz="24" w:space="0" w:color="95B3D7"/>
              <w:bottom w:val="single" w:sz="24" w:space="0" w:color="95B3D7"/>
            </w:tcBorders>
            <w:noWrap/>
            <w:vAlign w:val="center"/>
            <w:hideMark/>
          </w:tcPr>
          <w:p w14:paraId="1110CAE4" w14:textId="77777777" w:rsidR="0033375A" w:rsidRPr="0033375A" w:rsidRDefault="0033375A" w:rsidP="0033375A">
            <w:pPr>
              <w:spacing w:before="0" w:line="240" w:lineRule="auto"/>
              <w:jc w:val="center"/>
              <w:rPr>
                <w:rFonts w:cs="Calibri"/>
                <w:b/>
                <w:noProof/>
                <w:color w:val="C00000"/>
                <w:sz w:val="20"/>
                <w:szCs w:val="22"/>
                <w:lang w:val="sq-AL"/>
              </w:rPr>
            </w:pPr>
            <w:r w:rsidRPr="0033375A">
              <w:rPr>
                <w:rFonts w:cs="Calibri"/>
                <w:b/>
                <w:noProof/>
                <w:color w:val="C00000"/>
                <w:sz w:val="20"/>
                <w:szCs w:val="22"/>
                <w:lang w:val="sq-AL"/>
              </w:rPr>
              <w:t>Kapital</w:t>
            </w:r>
          </w:p>
        </w:tc>
        <w:tc>
          <w:tcPr>
            <w:tcW w:w="2071" w:type="dxa"/>
            <w:tcBorders>
              <w:bottom w:val="single" w:sz="24" w:space="0" w:color="95B3D7"/>
            </w:tcBorders>
            <w:noWrap/>
            <w:vAlign w:val="center"/>
            <w:hideMark/>
          </w:tcPr>
          <w:p w14:paraId="4C444F97"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87,763,782</w:t>
            </w:r>
          </w:p>
        </w:tc>
        <w:tc>
          <w:tcPr>
            <w:tcW w:w="2071" w:type="dxa"/>
            <w:tcBorders>
              <w:bottom w:val="single" w:sz="24" w:space="0" w:color="95B3D7"/>
            </w:tcBorders>
            <w:noWrap/>
            <w:vAlign w:val="center"/>
            <w:hideMark/>
          </w:tcPr>
          <w:p w14:paraId="73AE279F" w14:textId="77777777" w:rsidR="0033375A" w:rsidRPr="0033375A" w:rsidRDefault="0033375A" w:rsidP="0033375A">
            <w:pPr>
              <w:spacing w:before="0" w:line="240" w:lineRule="auto"/>
              <w:rPr>
                <w:rFonts w:cs="Calibri"/>
                <w:b/>
                <w:bCs/>
                <w:noProof/>
                <w:color w:val="C00000"/>
                <w:sz w:val="20"/>
                <w:szCs w:val="22"/>
                <w:lang w:val="sq-AL"/>
              </w:rPr>
            </w:pPr>
            <w:r w:rsidRPr="0033375A">
              <w:rPr>
                <w:rFonts w:cs="Calibri"/>
                <w:b/>
                <w:bCs/>
                <w:noProof/>
                <w:color w:val="C00000"/>
                <w:sz w:val="20"/>
                <w:szCs w:val="22"/>
                <w:lang w:val="sq-AL"/>
              </w:rPr>
              <w:t xml:space="preserve">           92,859,288</w:t>
            </w:r>
          </w:p>
        </w:tc>
        <w:tc>
          <w:tcPr>
            <w:tcW w:w="2071" w:type="dxa"/>
            <w:tcBorders>
              <w:bottom w:val="single" w:sz="24" w:space="0" w:color="95B3D7"/>
              <w:right w:val="single" w:sz="24" w:space="0" w:color="95B3D7"/>
            </w:tcBorders>
            <w:noWrap/>
            <w:vAlign w:val="center"/>
            <w:hideMark/>
          </w:tcPr>
          <w:p w14:paraId="7B3301CF" w14:textId="77777777" w:rsidR="0033375A" w:rsidRPr="0033375A" w:rsidRDefault="0033375A" w:rsidP="0033375A">
            <w:pPr>
              <w:spacing w:before="0" w:line="240" w:lineRule="auto"/>
              <w:jc w:val="center"/>
              <w:rPr>
                <w:rFonts w:cs="Calibri"/>
                <w:b/>
                <w:bCs/>
                <w:noProof/>
                <w:color w:val="C00000"/>
                <w:sz w:val="20"/>
                <w:szCs w:val="22"/>
                <w:lang w:val="sq-AL"/>
              </w:rPr>
            </w:pPr>
            <w:r w:rsidRPr="0033375A">
              <w:rPr>
                <w:rFonts w:cs="Calibri"/>
                <w:b/>
                <w:bCs/>
                <w:noProof/>
                <w:color w:val="C00000"/>
                <w:sz w:val="20"/>
                <w:szCs w:val="22"/>
                <w:lang w:val="sq-AL"/>
              </w:rPr>
              <w:t>80,967,930</w:t>
            </w:r>
          </w:p>
        </w:tc>
      </w:tr>
    </w:tbl>
    <w:p w14:paraId="22DAAF9A" w14:textId="77777777" w:rsidR="0033375A" w:rsidRPr="0033375A" w:rsidRDefault="0033375A" w:rsidP="0033375A">
      <w:pPr>
        <w:spacing w:before="0" w:line="240" w:lineRule="auto"/>
        <w:ind w:left="720" w:firstLine="720"/>
        <w:contextualSpacing/>
        <w:rPr>
          <w:rFonts w:asciiTheme="majorHAnsi" w:hAnsiTheme="majorHAnsi"/>
          <w:i/>
          <w:noProof/>
          <w:sz w:val="18"/>
          <w:szCs w:val="28"/>
          <w:lang w:val="sq-AL"/>
        </w:rPr>
      </w:pPr>
      <w:r w:rsidRPr="0033375A">
        <w:rPr>
          <w:rFonts w:asciiTheme="majorHAnsi" w:hAnsiTheme="majorHAnsi"/>
          <w:i/>
          <w:noProof/>
          <w:sz w:val="18"/>
          <w:szCs w:val="28"/>
          <w:lang w:val="sq-AL"/>
        </w:rPr>
        <w:t>Burimi: KESH sh.a.</w:t>
      </w:r>
    </w:p>
    <w:p w14:paraId="3A8F5FF7" w14:textId="77777777" w:rsidR="0033375A" w:rsidRPr="0033375A" w:rsidRDefault="0033375A" w:rsidP="001824B9">
      <w:pPr>
        <w:spacing w:before="0" w:line="240" w:lineRule="auto"/>
        <w:contextualSpacing/>
        <w:rPr>
          <w:rFonts w:asciiTheme="majorHAnsi" w:hAnsiTheme="majorHAnsi"/>
          <w:i/>
          <w:noProof/>
          <w:sz w:val="18"/>
          <w:szCs w:val="28"/>
          <w:lang w:val="sq-AL"/>
        </w:rPr>
      </w:pPr>
    </w:p>
    <w:p w14:paraId="29715211" w14:textId="77777777" w:rsidR="0033375A" w:rsidRPr="0033375A" w:rsidRDefault="0033375A">
      <w:pPr>
        <w:keepNext/>
        <w:numPr>
          <w:ilvl w:val="0"/>
          <w:numId w:val="17"/>
        </w:numPr>
        <w:rPr>
          <w:i/>
          <w:noProof/>
          <w:lang w:val="sq-AL"/>
        </w:rPr>
      </w:pPr>
      <w:r w:rsidRPr="0033375A">
        <w:rPr>
          <w:i/>
          <w:noProof/>
          <w:lang w:val="sq-AL"/>
        </w:rPr>
        <w:t>Performanca financiare e OST sh.a.</w:t>
      </w:r>
    </w:p>
    <w:p w14:paraId="7B662838" w14:textId="048B576B" w:rsidR="0033375A" w:rsidRPr="0033375A" w:rsidRDefault="0033375A" w:rsidP="0033375A">
      <w:pPr>
        <w:spacing w:before="0"/>
        <w:rPr>
          <w:rFonts w:asciiTheme="majorHAnsi" w:hAnsiTheme="majorHAnsi"/>
          <w:iCs/>
          <w:noProof/>
          <w:color w:val="17406D" w:themeColor="text2"/>
          <w:sz w:val="20"/>
          <w:szCs w:val="18"/>
          <w:lang w:val="sq-AL"/>
        </w:rPr>
      </w:pPr>
      <w:bookmarkStart w:id="191" w:name="_Toc229129997"/>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23</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Të dhënat financiare 12 mujore për OST Sh.a (në mijë LEK)</w:t>
      </w:r>
      <w:bookmarkEnd w:id="191"/>
    </w:p>
    <w:tbl>
      <w:tblPr>
        <w:tblW w:w="9071"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14"/>
        <w:gridCol w:w="2095"/>
        <w:gridCol w:w="2081"/>
        <w:gridCol w:w="2081"/>
      </w:tblGrid>
      <w:tr w:rsidR="0033375A" w:rsidRPr="0033375A" w14:paraId="69FECAD8" w14:textId="77777777" w:rsidTr="009F174D">
        <w:trPr>
          <w:trHeight w:val="243"/>
          <w:jc w:val="center"/>
        </w:trPr>
        <w:tc>
          <w:tcPr>
            <w:tcW w:w="2814" w:type="dxa"/>
            <w:tcBorders>
              <w:top w:val="single" w:sz="24" w:space="0" w:color="95B3D7"/>
              <w:left w:val="single" w:sz="24" w:space="0" w:color="95B3D7"/>
            </w:tcBorders>
            <w:shd w:val="clear" w:color="auto" w:fill="B3DDF2" w:themeFill="background2" w:themeFillShade="E6"/>
            <w:noWrap/>
            <w:vAlign w:val="center"/>
            <w:hideMark/>
          </w:tcPr>
          <w:p w14:paraId="1921E894" w14:textId="77777777" w:rsidR="0033375A" w:rsidRPr="0033375A" w:rsidRDefault="0033375A" w:rsidP="0033375A">
            <w:pPr>
              <w:spacing w:before="0" w:line="240" w:lineRule="auto"/>
              <w:jc w:val="center"/>
              <w:rPr>
                <w:rFonts w:cs="Calibri"/>
                <w:b/>
                <w:noProof/>
                <w:color w:val="C00000"/>
                <w:sz w:val="20"/>
                <w:szCs w:val="20"/>
                <w:lang w:val="sq-AL"/>
              </w:rPr>
            </w:pPr>
            <w:r w:rsidRPr="0033375A">
              <w:rPr>
                <w:rFonts w:cs="Calibri"/>
                <w:b/>
                <w:noProof/>
                <w:color w:val="C00000"/>
                <w:sz w:val="20"/>
                <w:szCs w:val="20"/>
                <w:lang w:val="sq-AL"/>
              </w:rPr>
              <w:t>Zërat/Periudha</w:t>
            </w:r>
          </w:p>
        </w:tc>
        <w:tc>
          <w:tcPr>
            <w:tcW w:w="2095" w:type="dxa"/>
            <w:tcBorders>
              <w:top w:val="single" w:sz="24" w:space="0" w:color="95B3D7"/>
            </w:tcBorders>
            <w:shd w:val="clear" w:color="auto" w:fill="B3DDF2" w:themeFill="background2" w:themeFillShade="E6"/>
            <w:noWrap/>
            <w:vAlign w:val="center"/>
            <w:hideMark/>
          </w:tcPr>
          <w:p w14:paraId="44E42F89"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12M 2023</w:t>
            </w:r>
          </w:p>
        </w:tc>
        <w:tc>
          <w:tcPr>
            <w:tcW w:w="2081" w:type="dxa"/>
            <w:tcBorders>
              <w:top w:val="single" w:sz="24" w:space="0" w:color="95B3D7"/>
            </w:tcBorders>
            <w:shd w:val="clear" w:color="auto" w:fill="B3DDF2" w:themeFill="background2" w:themeFillShade="E6"/>
            <w:noWrap/>
            <w:vAlign w:val="center"/>
            <w:hideMark/>
          </w:tcPr>
          <w:p w14:paraId="01007656"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12M 2024</w:t>
            </w:r>
          </w:p>
        </w:tc>
        <w:tc>
          <w:tcPr>
            <w:tcW w:w="2081" w:type="dxa"/>
            <w:tcBorders>
              <w:top w:val="single" w:sz="24" w:space="0" w:color="95B3D7"/>
              <w:right w:val="single" w:sz="24" w:space="0" w:color="95B3D7"/>
            </w:tcBorders>
            <w:shd w:val="clear" w:color="auto" w:fill="B3DDF2" w:themeFill="background2" w:themeFillShade="E6"/>
            <w:noWrap/>
            <w:vAlign w:val="center"/>
            <w:hideMark/>
          </w:tcPr>
          <w:p w14:paraId="09C8735F"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12M 2025</w:t>
            </w:r>
          </w:p>
        </w:tc>
      </w:tr>
      <w:tr w:rsidR="0033375A" w:rsidRPr="0033375A" w14:paraId="33028A75" w14:textId="77777777" w:rsidTr="009F174D">
        <w:trPr>
          <w:trHeight w:val="243"/>
          <w:jc w:val="center"/>
        </w:trPr>
        <w:tc>
          <w:tcPr>
            <w:tcW w:w="2814" w:type="dxa"/>
            <w:tcBorders>
              <w:left w:val="single" w:sz="24" w:space="0" w:color="95B3D7"/>
            </w:tcBorders>
            <w:noWrap/>
            <w:vAlign w:val="center"/>
            <w:hideMark/>
          </w:tcPr>
          <w:p w14:paraId="6EB8A2CF"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Të ardhurat</w:t>
            </w:r>
          </w:p>
        </w:tc>
        <w:tc>
          <w:tcPr>
            <w:tcW w:w="2095" w:type="dxa"/>
            <w:noWrap/>
            <w:vAlign w:val="center"/>
            <w:hideMark/>
          </w:tcPr>
          <w:p w14:paraId="3C4ADBBB"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11,941,741</w:t>
            </w:r>
          </w:p>
        </w:tc>
        <w:tc>
          <w:tcPr>
            <w:tcW w:w="2081" w:type="dxa"/>
            <w:noWrap/>
            <w:vAlign w:val="center"/>
            <w:hideMark/>
          </w:tcPr>
          <w:p w14:paraId="1EDC6A94"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9,818,799</w:t>
            </w:r>
          </w:p>
        </w:tc>
        <w:tc>
          <w:tcPr>
            <w:tcW w:w="2081" w:type="dxa"/>
            <w:tcBorders>
              <w:right w:val="single" w:sz="24" w:space="0" w:color="95B3D7"/>
            </w:tcBorders>
            <w:noWrap/>
            <w:vAlign w:val="center"/>
            <w:hideMark/>
          </w:tcPr>
          <w:p w14:paraId="08F17AD9"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10,630,937</w:t>
            </w:r>
          </w:p>
        </w:tc>
      </w:tr>
      <w:tr w:rsidR="0033375A" w:rsidRPr="0033375A" w14:paraId="15C689F5" w14:textId="77777777" w:rsidTr="009F174D">
        <w:trPr>
          <w:trHeight w:val="243"/>
          <w:jc w:val="center"/>
        </w:trPr>
        <w:tc>
          <w:tcPr>
            <w:tcW w:w="2814" w:type="dxa"/>
            <w:tcBorders>
              <w:left w:val="single" w:sz="24" w:space="0" w:color="95B3D7"/>
            </w:tcBorders>
            <w:noWrap/>
            <w:vAlign w:val="center"/>
            <w:hideMark/>
          </w:tcPr>
          <w:p w14:paraId="03868A1E"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Shpenzimet</w:t>
            </w:r>
          </w:p>
        </w:tc>
        <w:tc>
          <w:tcPr>
            <w:tcW w:w="2095" w:type="dxa"/>
            <w:noWrap/>
            <w:vAlign w:val="center"/>
            <w:hideMark/>
          </w:tcPr>
          <w:p w14:paraId="5B6D4BAE"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6,447,524</w:t>
            </w:r>
          </w:p>
        </w:tc>
        <w:tc>
          <w:tcPr>
            <w:tcW w:w="2081" w:type="dxa"/>
            <w:noWrap/>
            <w:vAlign w:val="center"/>
            <w:hideMark/>
          </w:tcPr>
          <w:p w14:paraId="0AFD478D"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8,058,203</w:t>
            </w:r>
          </w:p>
        </w:tc>
        <w:tc>
          <w:tcPr>
            <w:tcW w:w="2081" w:type="dxa"/>
            <w:tcBorders>
              <w:right w:val="single" w:sz="24" w:space="0" w:color="95B3D7"/>
            </w:tcBorders>
            <w:noWrap/>
            <w:vAlign w:val="center"/>
            <w:hideMark/>
          </w:tcPr>
          <w:p w14:paraId="31AEB0EF"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9,296,223</w:t>
            </w:r>
          </w:p>
        </w:tc>
      </w:tr>
      <w:tr w:rsidR="0033375A" w:rsidRPr="0033375A" w14:paraId="74D2882E" w14:textId="77777777" w:rsidTr="009F174D">
        <w:trPr>
          <w:trHeight w:val="243"/>
          <w:jc w:val="center"/>
        </w:trPr>
        <w:tc>
          <w:tcPr>
            <w:tcW w:w="2814" w:type="dxa"/>
            <w:tcBorders>
              <w:left w:val="single" w:sz="24" w:space="0" w:color="95B3D7"/>
            </w:tcBorders>
            <w:noWrap/>
            <w:vAlign w:val="center"/>
            <w:hideMark/>
          </w:tcPr>
          <w:p w14:paraId="7CA73A44" w14:textId="77777777" w:rsidR="0033375A" w:rsidRPr="0033375A" w:rsidRDefault="0033375A" w:rsidP="0033375A">
            <w:pPr>
              <w:spacing w:before="0" w:line="240" w:lineRule="auto"/>
              <w:jc w:val="center"/>
              <w:rPr>
                <w:rFonts w:cs="Calibri"/>
                <w:b/>
                <w:noProof/>
                <w:color w:val="C00000"/>
                <w:sz w:val="20"/>
                <w:szCs w:val="20"/>
                <w:lang w:val="sq-AL"/>
              </w:rPr>
            </w:pPr>
            <w:r w:rsidRPr="0033375A">
              <w:rPr>
                <w:rFonts w:cs="Calibri"/>
                <w:b/>
                <w:noProof/>
                <w:color w:val="C00000"/>
                <w:sz w:val="20"/>
                <w:szCs w:val="20"/>
                <w:lang w:val="sq-AL"/>
              </w:rPr>
              <w:t>Humbje/Fitim</w:t>
            </w:r>
          </w:p>
        </w:tc>
        <w:tc>
          <w:tcPr>
            <w:tcW w:w="2095" w:type="dxa"/>
            <w:noWrap/>
            <w:vAlign w:val="center"/>
            <w:hideMark/>
          </w:tcPr>
          <w:p w14:paraId="367340BC" w14:textId="77777777" w:rsidR="0033375A" w:rsidRPr="0033375A" w:rsidRDefault="0033375A" w:rsidP="0033375A">
            <w:pPr>
              <w:spacing w:before="0" w:line="240" w:lineRule="auto"/>
              <w:rPr>
                <w:rFonts w:cs="Calibri"/>
                <w:b/>
                <w:bCs/>
                <w:noProof/>
                <w:color w:val="C00000"/>
                <w:sz w:val="20"/>
                <w:szCs w:val="20"/>
                <w:lang w:val="sq-AL"/>
              </w:rPr>
            </w:pPr>
            <w:r w:rsidRPr="0033375A">
              <w:rPr>
                <w:rFonts w:cs="Calibri"/>
                <w:b/>
                <w:bCs/>
                <w:noProof/>
                <w:color w:val="C00000"/>
                <w:sz w:val="20"/>
                <w:szCs w:val="20"/>
                <w:lang w:val="sq-AL"/>
              </w:rPr>
              <w:t xml:space="preserve">            5,494,218</w:t>
            </w:r>
          </w:p>
        </w:tc>
        <w:tc>
          <w:tcPr>
            <w:tcW w:w="2081" w:type="dxa"/>
            <w:noWrap/>
            <w:vAlign w:val="center"/>
            <w:hideMark/>
          </w:tcPr>
          <w:p w14:paraId="7E8733DA"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1,760,597</w:t>
            </w:r>
          </w:p>
        </w:tc>
        <w:tc>
          <w:tcPr>
            <w:tcW w:w="2081" w:type="dxa"/>
            <w:tcBorders>
              <w:right w:val="single" w:sz="24" w:space="0" w:color="95B3D7"/>
            </w:tcBorders>
            <w:noWrap/>
            <w:vAlign w:val="center"/>
            <w:hideMark/>
          </w:tcPr>
          <w:p w14:paraId="23DD1DF2"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1,334,714</w:t>
            </w:r>
          </w:p>
        </w:tc>
      </w:tr>
      <w:tr w:rsidR="0033375A" w:rsidRPr="0033375A" w14:paraId="32A22743" w14:textId="77777777" w:rsidTr="009F174D">
        <w:trPr>
          <w:trHeight w:val="243"/>
          <w:jc w:val="center"/>
        </w:trPr>
        <w:tc>
          <w:tcPr>
            <w:tcW w:w="2814" w:type="dxa"/>
            <w:tcBorders>
              <w:left w:val="single" w:sz="24" w:space="0" w:color="95B3D7"/>
            </w:tcBorders>
            <w:noWrap/>
            <w:vAlign w:val="center"/>
            <w:hideMark/>
          </w:tcPr>
          <w:p w14:paraId="4BBF408D"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Aktivet Afatshkurtra</w:t>
            </w:r>
          </w:p>
        </w:tc>
        <w:tc>
          <w:tcPr>
            <w:tcW w:w="2095" w:type="dxa"/>
            <w:noWrap/>
            <w:vAlign w:val="center"/>
            <w:hideMark/>
          </w:tcPr>
          <w:p w14:paraId="031C342C"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18,633,446</w:t>
            </w:r>
          </w:p>
        </w:tc>
        <w:tc>
          <w:tcPr>
            <w:tcW w:w="2081" w:type="dxa"/>
            <w:noWrap/>
            <w:vAlign w:val="center"/>
            <w:hideMark/>
          </w:tcPr>
          <w:p w14:paraId="6C0A3261"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16,314,929</w:t>
            </w:r>
          </w:p>
        </w:tc>
        <w:tc>
          <w:tcPr>
            <w:tcW w:w="2081" w:type="dxa"/>
            <w:tcBorders>
              <w:right w:val="single" w:sz="24" w:space="0" w:color="95B3D7"/>
            </w:tcBorders>
            <w:noWrap/>
            <w:vAlign w:val="center"/>
            <w:hideMark/>
          </w:tcPr>
          <w:p w14:paraId="5E3BAE7F"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12,897,926</w:t>
            </w:r>
          </w:p>
        </w:tc>
      </w:tr>
      <w:tr w:rsidR="0033375A" w:rsidRPr="0033375A" w14:paraId="3E71105D" w14:textId="77777777" w:rsidTr="009F174D">
        <w:trPr>
          <w:trHeight w:val="243"/>
          <w:jc w:val="center"/>
        </w:trPr>
        <w:tc>
          <w:tcPr>
            <w:tcW w:w="2814" w:type="dxa"/>
            <w:tcBorders>
              <w:left w:val="single" w:sz="24" w:space="0" w:color="95B3D7"/>
            </w:tcBorders>
            <w:noWrap/>
            <w:vAlign w:val="center"/>
            <w:hideMark/>
          </w:tcPr>
          <w:p w14:paraId="11C9091D"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Aktivet Afatgjata</w:t>
            </w:r>
          </w:p>
        </w:tc>
        <w:tc>
          <w:tcPr>
            <w:tcW w:w="2095" w:type="dxa"/>
            <w:noWrap/>
            <w:vAlign w:val="center"/>
            <w:hideMark/>
          </w:tcPr>
          <w:p w14:paraId="686F53DB"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64,909,963</w:t>
            </w:r>
          </w:p>
        </w:tc>
        <w:tc>
          <w:tcPr>
            <w:tcW w:w="2081" w:type="dxa"/>
            <w:noWrap/>
            <w:vAlign w:val="center"/>
            <w:hideMark/>
          </w:tcPr>
          <w:p w14:paraId="11F0ECDA"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67,474,562</w:t>
            </w:r>
          </w:p>
        </w:tc>
        <w:tc>
          <w:tcPr>
            <w:tcW w:w="2081" w:type="dxa"/>
            <w:tcBorders>
              <w:right w:val="single" w:sz="24" w:space="0" w:color="95B3D7"/>
            </w:tcBorders>
            <w:noWrap/>
            <w:vAlign w:val="center"/>
            <w:hideMark/>
          </w:tcPr>
          <w:p w14:paraId="62BB1713"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70,402,458</w:t>
            </w:r>
          </w:p>
        </w:tc>
      </w:tr>
      <w:tr w:rsidR="0033375A" w:rsidRPr="0033375A" w14:paraId="2D3C5BA1" w14:textId="77777777" w:rsidTr="009F174D">
        <w:trPr>
          <w:trHeight w:val="243"/>
          <w:jc w:val="center"/>
        </w:trPr>
        <w:tc>
          <w:tcPr>
            <w:tcW w:w="2814" w:type="dxa"/>
            <w:tcBorders>
              <w:left w:val="single" w:sz="24" w:space="0" w:color="95B3D7"/>
            </w:tcBorders>
            <w:noWrap/>
            <w:vAlign w:val="center"/>
            <w:hideMark/>
          </w:tcPr>
          <w:p w14:paraId="128D9F2C" w14:textId="77777777" w:rsidR="0033375A" w:rsidRPr="0033375A" w:rsidRDefault="0033375A" w:rsidP="0033375A">
            <w:pPr>
              <w:spacing w:before="0" w:line="240" w:lineRule="auto"/>
              <w:jc w:val="center"/>
              <w:rPr>
                <w:rFonts w:cs="Calibri"/>
                <w:b/>
                <w:noProof/>
                <w:color w:val="C00000"/>
                <w:sz w:val="20"/>
                <w:szCs w:val="20"/>
                <w:lang w:val="sq-AL"/>
              </w:rPr>
            </w:pPr>
            <w:r w:rsidRPr="0033375A">
              <w:rPr>
                <w:rFonts w:cs="Calibri"/>
                <w:b/>
                <w:noProof/>
                <w:color w:val="C00000"/>
                <w:sz w:val="20"/>
                <w:szCs w:val="20"/>
                <w:lang w:val="sq-AL"/>
              </w:rPr>
              <w:t>Total Aktive</w:t>
            </w:r>
          </w:p>
        </w:tc>
        <w:tc>
          <w:tcPr>
            <w:tcW w:w="2095" w:type="dxa"/>
            <w:noWrap/>
            <w:vAlign w:val="center"/>
            <w:hideMark/>
          </w:tcPr>
          <w:p w14:paraId="5E20173A"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83,543,408</w:t>
            </w:r>
          </w:p>
        </w:tc>
        <w:tc>
          <w:tcPr>
            <w:tcW w:w="2081" w:type="dxa"/>
            <w:noWrap/>
            <w:vAlign w:val="center"/>
            <w:hideMark/>
          </w:tcPr>
          <w:p w14:paraId="1027E769"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83,789,491</w:t>
            </w:r>
          </w:p>
        </w:tc>
        <w:tc>
          <w:tcPr>
            <w:tcW w:w="2081" w:type="dxa"/>
            <w:tcBorders>
              <w:right w:val="single" w:sz="24" w:space="0" w:color="95B3D7"/>
            </w:tcBorders>
            <w:noWrap/>
            <w:vAlign w:val="center"/>
            <w:hideMark/>
          </w:tcPr>
          <w:p w14:paraId="65E56ABA"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83,300,383</w:t>
            </w:r>
          </w:p>
        </w:tc>
      </w:tr>
      <w:tr w:rsidR="0033375A" w:rsidRPr="0033375A" w14:paraId="0E2BBCBF" w14:textId="77777777" w:rsidTr="009F174D">
        <w:trPr>
          <w:trHeight w:val="243"/>
          <w:jc w:val="center"/>
        </w:trPr>
        <w:tc>
          <w:tcPr>
            <w:tcW w:w="2814" w:type="dxa"/>
            <w:tcBorders>
              <w:left w:val="single" w:sz="24" w:space="0" w:color="95B3D7"/>
            </w:tcBorders>
            <w:noWrap/>
            <w:vAlign w:val="center"/>
            <w:hideMark/>
          </w:tcPr>
          <w:p w14:paraId="7F940534"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Detyrimet afatshkurtra</w:t>
            </w:r>
          </w:p>
        </w:tc>
        <w:tc>
          <w:tcPr>
            <w:tcW w:w="2095" w:type="dxa"/>
            <w:noWrap/>
            <w:vAlign w:val="center"/>
            <w:hideMark/>
          </w:tcPr>
          <w:p w14:paraId="6C98944C"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27,257,849</w:t>
            </w:r>
          </w:p>
        </w:tc>
        <w:tc>
          <w:tcPr>
            <w:tcW w:w="2081" w:type="dxa"/>
            <w:noWrap/>
            <w:vAlign w:val="center"/>
            <w:hideMark/>
          </w:tcPr>
          <w:p w14:paraId="347E23EB"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26,658,139</w:t>
            </w:r>
          </w:p>
        </w:tc>
        <w:tc>
          <w:tcPr>
            <w:tcW w:w="2081" w:type="dxa"/>
            <w:tcBorders>
              <w:right w:val="single" w:sz="24" w:space="0" w:color="95B3D7"/>
            </w:tcBorders>
            <w:noWrap/>
            <w:vAlign w:val="center"/>
            <w:hideMark/>
          </w:tcPr>
          <w:p w14:paraId="6634AF08"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25,309,548</w:t>
            </w:r>
          </w:p>
        </w:tc>
      </w:tr>
      <w:tr w:rsidR="0033375A" w:rsidRPr="0033375A" w14:paraId="0A7841A0" w14:textId="77777777" w:rsidTr="009F174D">
        <w:trPr>
          <w:trHeight w:val="243"/>
          <w:jc w:val="center"/>
        </w:trPr>
        <w:tc>
          <w:tcPr>
            <w:tcW w:w="2814" w:type="dxa"/>
            <w:tcBorders>
              <w:left w:val="single" w:sz="24" w:space="0" w:color="95B3D7"/>
            </w:tcBorders>
            <w:noWrap/>
            <w:vAlign w:val="center"/>
            <w:hideMark/>
          </w:tcPr>
          <w:p w14:paraId="3EF4A203" w14:textId="77777777" w:rsidR="0033375A" w:rsidRPr="0033375A" w:rsidRDefault="0033375A" w:rsidP="0033375A">
            <w:pPr>
              <w:spacing w:before="0" w:line="240" w:lineRule="auto"/>
              <w:jc w:val="center"/>
              <w:rPr>
                <w:rFonts w:cs="Calibri"/>
                <w:i/>
                <w:noProof/>
                <w:sz w:val="20"/>
                <w:szCs w:val="20"/>
                <w:lang w:val="sq-AL"/>
              </w:rPr>
            </w:pPr>
            <w:r w:rsidRPr="0033375A">
              <w:rPr>
                <w:rFonts w:cs="Calibri"/>
                <w:i/>
                <w:noProof/>
                <w:sz w:val="20"/>
                <w:szCs w:val="20"/>
                <w:lang w:val="sq-AL"/>
              </w:rPr>
              <w:t>Detyrimet afatgjata</w:t>
            </w:r>
          </w:p>
        </w:tc>
        <w:tc>
          <w:tcPr>
            <w:tcW w:w="2095" w:type="dxa"/>
            <w:noWrap/>
            <w:vAlign w:val="center"/>
            <w:hideMark/>
          </w:tcPr>
          <w:p w14:paraId="49F81086"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15,240,251</w:t>
            </w:r>
          </w:p>
        </w:tc>
        <w:tc>
          <w:tcPr>
            <w:tcW w:w="2081" w:type="dxa"/>
            <w:noWrap/>
            <w:vAlign w:val="center"/>
            <w:hideMark/>
          </w:tcPr>
          <w:p w14:paraId="4C9ED0CD"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14,412,702</w:t>
            </w:r>
          </w:p>
        </w:tc>
        <w:tc>
          <w:tcPr>
            <w:tcW w:w="2081" w:type="dxa"/>
            <w:tcBorders>
              <w:right w:val="single" w:sz="24" w:space="0" w:color="95B3D7"/>
            </w:tcBorders>
            <w:noWrap/>
            <w:vAlign w:val="center"/>
            <w:hideMark/>
          </w:tcPr>
          <w:p w14:paraId="03BD2670" w14:textId="77777777" w:rsidR="0033375A" w:rsidRPr="0033375A" w:rsidRDefault="0033375A" w:rsidP="0033375A">
            <w:pPr>
              <w:spacing w:before="0" w:line="240" w:lineRule="auto"/>
              <w:jc w:val="center"/>
              <w:rPr>
                <w:rFonts w:cs="Calibri"/>
                <w:bCs/>
                <w:i/>
                <w:noProof/>
                <w:sz w:val="20"/>
                <w:szCs w:val="20"/>
                <w:lang w:val="sq-AL"/>
              </w:rPr>
            </w:pPr>
            <w:r w:rsidRPr="0033375A">
              <w:rPr>
                <w:rFonts w:cs="Calibri"/>
                <w:bCs/>
                <w:i/>
                <w:noProof/>
                <w:sz w:val="20"/>
                <w:szCs w:val="20"/>
                <w:lang w:val="sq-AL"/>
              </w:rPr>
              <w:t>13,846,866</w:t>
            </w:r>
          </w:p>
        </w:tc>
      </w:tr>
      <w:tr w:rsidR="0033375A" w:rsidRPr="0033375A" w14:paraId="3A31AA8E" w14:textId="77777777" w:rsidTr="009F174D">
        <w:trPr>
          <w:trHeight w:val="243"/>
          <w:jc w:val="center"/>
        </w:trPr>
        <w:tc>
          <w:tcPr>
            <w:tcW w:w="2814" w:type="dxa"/>
            <w:tcBorders>
              <w:left w:val="single" w:sz="24" w:space="0" w:color="95B3D7"/>
            </w:tcBorders>
            <w:noWrap/>
            <w:vAlign w:val="center"/>
            <w:hideMark/>
          </w:tcPr>
          <w:p w14:paraId="427A4DAC" w14:textId="77777777" w:rsidR="0033375A" w:rsidRPr="0033375A" w:rsidRDefault="0033375A" w:rsidP="0033375A">
            <w:pPr>
              <w:spacing w:before="0" w:line="240" w:lineRule="auto"/>
              <w:jc w:val="center"/>
              <w:rPr>
                <w:rFonts w:cs="Calibri"/>
                <w:b/>
                <w:noProof/>
                <w:color w:val="C00000"/>
                <w:sz w:val="20"/>
                <w:szCs w:val="20"/>
                <w:lang w:val="sq-AL"/>
              </w:rPr>
            </w:pPr>
            <w:r w:rsidRPr="0033375A">
              <w:rPr>
                <w:rFonts w:cs="Calibri"/>
                <w:b/>
                <w:noProof/>
                <w:color w:val="C00000"/>
                <w:sz w:val="20"/>
                <w:szCs w:val="20"/>
                <w:lang w:val="sq-AL"/>
              </w:rPr>
              <w:t>Total Detyrime</w:t>
            </w:r>
          </w:p>
        </w:tc>
        <w:tc>
          <w:tcPr>
            <w:tcW w:w="2095" w:type="dxa"/>
            <w:noWrap/>
            <w:vAlign w:val="center"/>
            <w:hideMark/>
          </w:tcPr>
          <w:p w14:paraId="6902A250"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42,498,100</w:t>
            </w:r>
          </w:p>
        </w:tc>
        <w:tc>
          <w:tcPr>
            <w:tcW w:w="2081" w:type="dxa"/>
            <w:noWrap/>
            <w:vAlign w:val="center"/>
            <w:hideMark/>
          </w:tcPr>
          <w:p w14:paraId="2519C74F"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41,070,842</w:t>
            </w:r>
          </w:p>
        </w:tc>
        <w:tc>
          <w:tcPr>
            <w:tcW w:w="2081" w:type="dxa"/>
            <w:tcBorders>
              <w:right w:val="single" w:sz="24" w:space="0" w:color="95B3D7"/>
            </w:tcBorders>
            <w:noWrap/>
            <w:vAlign w:val="center"/>
            <w:hideMark/>
          </w:tcPr>
          <w:p w14:paraId="68FFD8EB"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39,156,414</w:t>
            </w:r>
          </w:p>
        </w:tc>
      </w:tr>
      <w:tr w:rsidR="0033375A" w:rsidRPr="0033375A" w14:paraId="7071F15C" w14:textId="77777777" w:rsidTr="009F174D">
        <w:trPr>
          <w:trHeight w:val="68"/>
          <w:jc w:val="center"/>
        </w:trPr>
        <w:tc>
          <w:tcPr>
            <w:tcW w:w="2814" w:type="dxa"/>
            <w:tcBorders>
              <w:left w:val="single" w:sz="24" w:space="0" w:color="95B3D7"/>
              <w:bottom w:val="single" w:sz="24" w:space="0" w:color="95B3D7"/>
            </w:tcBorders>
            <w:noWrap/>
            <w:vAlign w:val="center"/>
            <w:hideMark/>
          </w:tcPr>
          <w:p w14:paraId="1E68D4BE" w14:textId="77777777" w:rsidR="0033375A" w:rsidRPr="0033375A" w:rsidRDefault="0033375A" w:rsidP="0033375A">
            <w:pPr>
              <w:spacing w:before="0" w:line="240" w:lineRule="auto"/>
              <w:jc w:val="center"/>
              <w:rPr>
                <w:rFonts w:cs="Calibri"/>
                <w:b/>
                <w:noProof/>
                <w:color w:val="C00000"/>
                <w:sz w:val="20"/>
                <w:szCs w:val="20"/>
                <w:lang w:val="sq-AL"/>
              </w:rPr>
            </w:pPr>
            <w:r w:rsidRPr="0033375A">
              <w:rPr>
                <w:rFonts w:cs="Calibri"/>
                <w:b/>
                <w:noProof/>
                <w:color w:val="C00000"/>
                <w:sz w:val="20"/>
                <w:szCs w:val="20"/>
                <w:lang w:val="sq-AL"/>
              </w:rPr>
              <w:t>Kapital</w:t>
            </w:r>
          </w:p>
        </w:tc>
        <w:tc>
          <w:tcPr>
            <w:tcW w:w="2095" w:type="dxa"/>
            <w:tcBorders>
              <w:bottom w:val="single" w:sz="24" w:space="0" w:color="95B3D7"/>
            </w:tcBorders>
            <w:noWrap/>
            <w:vAlign w:val="center"/>
            <w:hideMark/>
          </w:tcPr>
          <w:p w14:paraId="36B6379E"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41,045,309</w:t>
            </w:r>
          </w:p>
        </w:tc>
        <w:tc>
          <w:tcPr>
            <w:tcW w:w="2081" w:type="dxa"/>
            <w:tcBorders>
              <w:bottom w:val="single" w:sz="24" w:space="0" w:color="95B3D7"/>
            </w:tcBorders>
            <w:noWrap/>
            <w:vAlign w:val="center"/>
            <w:hideMark/>
          </w:tcPr>
          <w:p w14:paraId="078083E4"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42,718,649</w:t>
            </w:r>
          </w:p>
        </w:tc>
        <w:tc>
          <w:tcPr>
            <w:tcW w:w="2081" w:type="dxa"/>
            <w:tcBorders>
              <w:bottom w:val="single" w:sz="24" w:space="0" w:color="95B3D7"/>
              <w:right w:val="single" w:sz="24" w:space="0" w:color="95B3D7"/>
            </w:tcBorders>
            <w:noWrap/>
            <w:vAlign w:val="center"/>
            <w:hideMark/>
          </w:tcPr>
          <w:p w14:paraId="68506CFC" w14:textId="77777777" w:rsidR="0033375A" w:rsidRPr="0033375A" w:rsidRDefault="0033375A" w:rsidP="0033375A">
            <w:pPr>
              <w:spacing w:before="0" w:line="240" w:lineRule="auto"/>
              <w:jc w:val="center"/>
              <w:rPr>
                <w:rFonts w:cs="Calibri"/>
                <w:b/>
                <w:bCs/>
                <w:noProof/>
                <w:color w:val="C00000"/>
                <w:sz w:val="20"/>
                <w:szCs w:val="20"/>
                <w:lang w:val="sq-AL"/>
              </w:rPr>
            </w:pPr>
            <w:r w:rsidRPr="0033375A">
              <w:rPr>
                <w:rFonts w:cs="Calibri"/>
                <w:b/>
                <w:bCs/>
                <w:noProof/>
                <w:color w:val="C00000"/>
                <w:sz w:val="20"/>
                <w:szCs w:val="20"/>
                <w:lang w:val="sq-AL"/>
              </w:rPr>
              <w:t>44,143,969</w:t>
            </w:r>
          </w:p>
        </w:tc>
      </w:tr>
    </w:tbl>
    <w:p w14:paraId="5E455340" w14:textId="77777777" w:rsidR="0033375A" w:rsidRPr="0033375A" w:rsidRDefault="0033375A" w:rsidP="0033375A">
      <w:pPr>
        <w:spacing w:before="240" w:line="240" w:lineRule="auto"/>
        <w:ind w:left="360" w:firstLine="720"/>
        <w:contextualSpacing/>
        <w:rPr>
          <w:rFonts w:asciiTheme="majorHAnsi" w:hAnsiTheme="majorHAnsi"/>
          <w:i/>
          <w:noProof/>
          <w:sz w:val="18"/>
          <w:szCs w:val="20"/>
          <w:lang w:val="sq-AL"/>
        </w:rPr>
      </w:pPr>
      <w:r w:rsidRPr="0033375A">
        <w:rPr>
          <w:rFonts w:asciiTheme="majorHAnsi" w:hAnsiTheme="majorHAnsi"/>
          <w:i/>
          <w:noProof/>
          <w:sz w:val="18"/>
          <w:szCs w:val="20"/>
          <w:lang w:val="sq-AL"/>
        </w:rPr>
        <w:t>Burimi: OST Sh.a.</w:t>
      </w:r>
    </w:p>
    <w:p w14:paraId="2497AFC5" w14:textId="77777777" w:rsidR="0033375A" w:rsidRDefault="0033375A" w:rsidP="0033375A">
      <w:pPr>
        <w:spacing w:before="240"/>
        <w:contextualSpacing/>
        <w:rPr>
          <w:i/>
          <w:noProof/>
          <w:highlight w:val="yellow"/>
          <w:lang w:val="sq-AL"/>
        </w:rPr>
      </w:pPr>
    </w:p>
    <w:p w14:paraId="23F9FDE0" w14:textId="77777777" w:rsidR="00B70B1A" w:rsidRPr="0033375A" w:rsidRDefault="00B70B1A" w:rsidP="0033375A">
      <w:pPr>
        <w:spacing w:before="240"/>
        <w:contextualSpacing/>
        <w:rPr>
          <w:i/>
          <w:noProof/>
          <w:highlight w:val="yellow"/>
          <w:lang w:val="sq-AL"/>
        </w:rPr>
      </w:pPr>
    </w:p>
    <w:p w14:paraId="6A3ED328" w14:textId="77777777" w:rsidR="0033375A" w:rsidRPr="001824B9" w:rsidRDefault="0033375A" w:rsidP="001824B9">
      <w:pPr>
        <w:pStyle w:val="Heading3"/>
        <w:rPr>
          <w:i/>
          <w:iCs/>
        </w:rPr>
      </w:pPr>
      <w:bookmarkStart w:id="192" w:name="_Toc229390826"/>
      <w:proofErr w:type="spellStart"/>
      <w:r w:rsidRPr="001824B9">
        <w:rPr>
          <w:i/>
          <w:iCs/>
        </w:rPr>
        <w:t>Ndërmarrjet</w:t>
      </w:r>
      <w:proofErr w:type="spellEnd"/>
      <w:r w:rsidRPr="001824B9">
        <w:rPr>
          <w:i/>
          <w:iCs/>
        </w:rPr>
        <w:t xml:space="preserve"> e </w:t>
      </w:r>
      <w:proofErr w:type="spellStart"/>
      <w:r w:rsidRPr="001824B9">
        <w:rPr>
          <w:i/>
          <w:iCs/>
        </w:rPr>
        <w:t>Sektorit</w:t>
      </w:r>
      <w:proofErr w:type="spellEnd"/>
      <w:r w:rsidRPr="001824B9">
        <w:rPr>
          <w:i/>
          <w:iCs/>
        </w:rPr>
        <w:t xml:space="preserve"> </w:t>
      </w:r>
      <w:proofErr w:type="spellStart"/>
      <w:r w:rsidRPr="001824B9">
        <w:rPr>
          <w:i/>
          <w:iCs/>
        </w:rPr>
        <w:t>të</w:t>
      </w:r>
      <w:proofErr w:type="spellEnd"/>
      <w:r w:rsidRPr="001824B9">
        <w:rPr>
          <w:i/>
          <w:iCs/>
        </w:rPr>
        <w:t xml:space="preserve"> </w:t>
      </w:r>
      <w:proofErr w:type="spellStart"/>
      <w:r w:rsidRPr="001824B9">
        <w:rPr>
          <w:i/>
          <w:iCs/>
        </w:rPr>
        <w:t>Ujësjellës-Kanalizimeve</w:t>
      </w:r>
      <w:bookmarkEnd w:id="192"/>
      <w:proofErr w:type="spellEnd"/>
    </w:p>
    <w:p w14:paraId="43EE246C" w14:textId="77777777" w:rsidR="000D490A" w:rsidRDefault="0033375A" w:rsidP="0033375A">
      <w:pPr>
        <w:spacing w:line="240" w:lineRule="auto"/>
        <w:rPr>
          <w:rFonts w:eastAsia="SimSun" w:cs="Calibri"/>
          <w:noProof/>
          <w:lang w:val="sq-AL"/>
        </w:rPr>
      </w:pPr>
      <w:r w:rsidRPr="0033375A">
        <w:rPr>
          <w:rFonts w:eastAsia="SimSun" w:cs="Calibri"/>
          <w:noProof/>
          <w:lang w:val="sq-AL"/>
        </w:rPr>
        <w:t xml:space="preserve">Në kuadër të përmirësimit të monitorimit të ndërmarrjeve shtetërore, Ministria e Financave ka monitoruar disa tregues kryesorë financiarë të ndërmarrjeve të Ujësjellës Kanalizime. Treguesit kryesorë të performancës për vitin 2025, për ndërmarrjet e U-K të analizuara, tregojnë për një vijimësi të gjendjes ekzistuese financiare dhe vështirësi në pagimin e detyrimeve dhe mbledhjen e të ardhurave, duke sinjalizuar probleme potenciale të likuiditetit në periudhën afashkurtër. Pasojat nga pandemia COVID19 dhe faktorë të tillë si efektet e krizës globale energjetike, lufta në Ukrainë, luhatjet e çmimeve të energjisë, karburanteve dhe inputeve, kanë patur impakt të konsiderueshëm në vështirësitë financiare të ndërmarrjeve U-K. </w:t>
      </w:r>
    </w:p>
    <w:p w14:paraId="0737A763" w14:textId="1297F986" w:rsidR="0033375A" w:rsidRPr="0033375A" w:rsidRDefault="0033375A" w:rsidP="0033375A">
      <w:pPr>
        <w:spacing w:line="240" w:lineRule="auto"/>
        <w:rPr>
          <w:rFonts w:eastAsia="SimSun" w:cs="Calibri"/>
          <w:noProof/>
          <w:lang w:val="sq-AL"/>
        </w:rPr>
      </w:pPr>
      <w:r w:rsidRPr="0033375A">
        <w:rPr>
          <w:rFonts w:eastAsia="SimSun" w:cs="Calibri"/>
          <w:noProof/>
          <w:lang w:val="sq-AL"/>
        </w:rPr>
        <w:t xml:space="preserve">Për vitin 2025, buxheti i shtetit ka alokuar një vlerë totale subvencioni prej 350 </w:t>
      </w:r>
      <w:r w:rsidR="0056260B">
        <w:rPr>
          <w:rFonts w:eastAsia="SimSun" w:cs="Calibri"/>
          <w:noProof/>
          <w:lang w:val="sq-AL"/>
        </w:rPr>
        <w:t>milionë</w:t>
      </w:r>
      <w:r w:rsidRPr="0033375A">
        <w:rPr>
          <w:rFonts w:eastAsia="SimSun" w:cs="Calibri"/>
          <w:noProof/>
          <w:lang w:val="sq-AL"/>
        </w:rPr>
        <w:t xml:space="preserve"> LEK në strukturën buxhetore të MIE, i cili detajohet nga AKUK/MIE bazuar në kriteret e përcaktuara në Udhëzimin “</w:t>
      </w:r>
      <w:r w:rsidRPr="0033375A">
        <w:rPr>
          <w:rFonts w:eastAsia="SimSun" w:cs="Calibri"/>
          <w:i/>
          <w:iCs/>
          <w:noProof/>
          <w:lang w:val="sq-AL"/>
        </w:rPr>
        <w:t>Për miratimin e metodologjisë për kriteret dhe procedurat, për shpërndarjen dhe përdorimin e subvencioneve shtetërore, për shoqëritë aksionare të ujësjellës-kanalizimeve...</w:t>
      </w:r>
      <w:r w:rsidRPr="0033375A">
        <w:rPr>
          <w:rFonts w:eastAsia="SimSun" w:cs="Calibri"/>
          <w:noProof/>
          <w:lang w:val="sq-AL"/>
        </w:rPr>
        <w:t>”, miratuar nga Ministri përgjegjës për Infrastrukturën dhe Energjinë. Ky subvencion shkon kryesisht për ndërmarrjet të cilat nuk arrijnë të mbulojnë koston/shpenzimet e operimit dhe mirëmbajtjes. Sa i takon stokut të detyrimeve të akumuluara nga ndërmarrjet UK sh.a ndaj sektorit të energjisë, vlen për t’u theksuar se në kuadër të reformës në sektorin e energjisë, janë intensifikuar marrëdhëniet dhe bashkëpunimi me institucionet dhe aktorët kryesorë. Plani i masave për reduktimin e detyrimeve të prapambetura në sektorin e energjisë elektrike, miratuar me Urdhërin e Përbashkët MIE/MF nr.304/2020 “</w:t>
      </w:r>
      <w:r w:rsidRPr="0033375A">
        <w:rPr>
          <w:rFonts w:eastAsia="SimSun" w:cs="Calibri"/>
          <w:i/>
          <w:iCs/>
          <w:noProof/>
          <w:lang w:val="sq-AL"/>
        </w:rPr>
        <w:t>Për miratimin e planit të masave të reduktimit të detyrimeve të prapambetura në sektorin e energjisë elektrike</w:t>
      </w:r>
      <w:r w:rsidRPr="0033375A">
        <w:rPr>
          <w:rFonts w:eastAsia="SimSun" w:cs="Calibri"/>
          <w:noProof/>
          <w:lang w:val="sq-AL"/>
        </w:rPr>
        <w:t xml:space="preserve">”, përfshin në procesin e shlyerjes së detyrimeve të ndërsjella edhe sektorin e Ujit. </w:t>
      </w:r>
    </w:p>
    <w:p w14:paraId="6B9210F3" w14:textId="77777777" w:rsidR="00B70B1A" w:rsidRDefault="00B70B1A" w:rsidP="0033375A">
      <w:pPr>
        <w:spacing w:line="240" w:lineRule="auto"/>
        <w:rPr>
          <w:rFonts w:eastAsia="SimSun" w:cs="Calibri"/>
          <w:noProof/>
          <w:lang w:val="sq-AL"/>
        </w:rPr>
      </w:pPr>
    </w:p>
    <w:p w14:paraId="0CC358A4" w14:textId="77777777" w:rsidR="00B70B1A" w:rsidRDefault="00B70B1A" w:rsidP="0033375A">
      <w:pPr>
        <w:spacing w:line="240" w:lineRule="auto"/>
        <w:rPr>
          <w:rFonts w:eastAsia="SimSun" w:cs="Calibri"/>
          <w:noProof/>
          <w:lang w:val="sq-AL"/>
        </w:rPr>
      </w:pPr>
    </w:p>
    <w:p w14:paraId="7D1D2C1F" w14:textId="5DA136E2" w:rsidR="0033375A" w:rsidRDefault="0033375A" w:rsidP="0033375A">
      <w:pPr>
        <w:spacing w:line="240" w:lineRule="auto"/>
        <w:rPr>
          <w:rFonts w:eastAsia="SimSun" w:cs="Calibri"/>
          <w:bCs/>
          <w:noProof/>
          <w:lang w:val="sq-AL"/>
        </w:rPr>
      </w:pPr>
      <w:r w:rsidRPr="0033375A">
        <w:rPr>
          <w:rFonts w:eastAsia="SimSun" w:cs="Calibri"/>
          <w:noProof/>
          <w:lang w:val="sq-AL"/>
        </w:rPr>
        <w:lastRenderedPageBreak/>
        <w:t>Me qëllim zbatimin me sukses të këtij plani, MIE dhe MF bashkëfirmosën Urdhërin e dytë të Përbashkët nr.379/2021 “</w:t>
      </w:r>
      <w:r w:rsidRPr="0033375A">
        <w:rPr>
          <w:rFonts w:eastAsia="SimSun" w:cs="Calibri"/>
          <w:i/>
          <w:iCs/>
          <w:noProof/>
          <w:lang w:val="sq-AL"/>
        </w:rPr>
        <w:t>Mbi zbatimin e planit të masave për reduktimin e detyrimeve të prapambetura në sektorin e energjisë elektrike</w:t>
      </w:r>
      <w:r w:rsidRPr="0033375A">
        <w:rPr>
          <w:rFonts w:eastAsia="SimSun" w:cs="Calibri"/>
          <w:noProof/>
          <w:lang w:val="sq-AL"/>
        </w:rPr>
        <w:t xml:space="preserve">”, i cili ngarkon (krahas ndërmarrjeve të sektorit energjitik) edhe AKUK për raportim mujor mbi ecurinë e shlyerjen së detyrimeve të prapambetura të ndërsjella. Kështu, deri në Dhjetor 2025, OSHEE Group sh.a. raporton se detyrimet e akumuluara të ndërmarrjeve të ujësjellës-kanalizimeve rezultojnë të jenë në vlerën rreth 33.8 </w:t>
      </w:r>
      <w:r w:rsidR="0056260B">
        <w:rPr>
          <w:rFonts w:eastAsia="SimSun" w:cs="Calibri"/>
          <w:noProof/>
          <w:lang w:val="sq-AL"/>
        </w:rPr>
        <w:t>miliardë</w:t>
      </w:r>
      <w:r w:rsidRPr="0033375A">
        <w:rPr>
          <w:rFonts w:eastAsia="SimSun" w:cs="Calibri"/>
          <w:noProof/>
          <w:lang w:val="sq-AL"/>
        </w:rPr>
        <w:t xml:space="preserve"> LEK. Nga këto, rreth 14.1 </w:t>
      </w:r>
      <w:r w:rsidR="0056260B">
        <w:rPr>
          <w:rFonts w:eastAsia="SimSun" w:cs="Calibri"/>
          <w:noProof/>
          <w:lang w:val="sq-AL"/>
        </w:rPr>
        <w:t>miliardë</w:t>
      </w:r>
      <w:r w:rsidRPr="0033375A">
        <w:rPr>
          <w:rFonts w:eastAsia="SimSun" w:cs="Calibri"/>
          <w:noProof/>
          <w:lang w:val="sq-AL"/>
        </w:rPr>
        <w:t xml:space="preserve"> LEK janë detyrime të faturuara ndaj kompanisë dhe rreth 19.7 </w:t>
      </w:r>
      <w:r w:rsidR="0056260B">
        <w:rPr>
          <w:rFonts w:eastAsia="SimSun" w:cs="Calibri"/>
          <w:noProof/>
          <w:lang w:val="sq-AL"/>
        </w:rPr>
        <w:t>miliardë</w:t>
      </w:r>
      <w:r w:rsidRPr="0033375A">
        <w:rPr>
          <w:rFonts w:eastAsia="SimSun" w:cs="Calibri"/>
          <w:noProof/>
          <w:lang w:val="sq-AL"/>
        </w:rPr>
        <w:t xml:space="preserve"> LEK janë detyrime për kamatëvonesa. Nga totali i detyrimeve principal (pa kamatëvonesa), vetëm ndërmarrja e UK Durrës sh.a ka 5.75 </w:t>
      </w:r>
      <w:r w:rsidR="0056260B">
        <w:rPr>
          <w:rFonts w:eastAsia="SimSun" w:cs="Calibri"/>
          <w:noProof/>
          <w:lang w:val="sq-AL"/>
        </w:rPr>
        <w:t>miliardë</w:t>
      </w:r>
      <w:r w:rsidRPr="0033375A">
        <w:rPr>
          <w:rFonts w:eastAsia="SimSun" w:cs="Calibri"/>
          <w:noProof/>
          <w:lang w:val="sq-AL"/>
        </w:rPr>
        <w:t xml:space="preserve"> LEK detyrime të akumuluara në vite. Në tabelën e mëposhtme listohen pesë ndërmarrjet U-K që kanë pjesën më të madhe të detyrimeve (pa kamatëvonesa) ndaj OSHEE Group sh.a, deri në Dhjetor 2025</w:t>
      </w:r>
      <w:r w:rsidRPr="0033375A">
        <w:rPr>
          <w:rFonts w:eastAsia="SimSun" w:cs="Calibri"/>
          <w:bCs/>
          <w:noProof/>
          <w:lang w:val="sq-AL"/>
        </w:rPr>
        <w:t xml:space="preserve">. </w:t>
      </w:r>
    </w:p>
    <w:p w14:paraId="63329313" w14:textId="45D3975F" w:rsidR="0033375A" w:rsidRPr="0033375A" w:rsidRDefault="0033375A" w:rsidP="0033375A">
      <w:pPr>
        <w:rPr>
          <w:i/>
          <w:iCs/>
          <w:noProof/>
          <w:color w:val="17406D" w:themeColor="text2"/>
          <w:sz w:val="18"/>
          <w:szCs w:val="18"/>
          <w:lang w:val="sq-AL"/>
        </w:rPr>
      </w:pPr>
      <w:bookmarkStart w:id="193" w:name="_Toc229129998"/>
      <w:r w:rsidRPr="0033375A">
        <w:rPr>
          <w:i/>
          <w:iCs/>
          <w:noProof/>
          <w:color w:val="17406D" w:themeColor="text2"/>
          <w:sz w:val="18"/>
          <w:szCs w:val="18"/>
          <w:lang w:val="sq-AL"/>
        </w:rPr>
        <w:t xml:space="preserve">Tabela </w:t>
      </w:r>
      <w:r w:rsidRPr="0033375A">
        <w:rPr>
          <w:i/>
          <w:iCs/>
          <w:noProof/>
          <w:color w:val="17406D" w:themeColor="text2"/>
          <w:sz w:val="18"/>
          <w:szCs w:val="18"/>
          <w:lang w:val="sq-AL"/>
        </w:rPr>
        <w:fldChar w:fldCharType="begin"/>
      </w:r>
      <w:r w:rsidRPr="0033375A">
        <w:rPr>
          <w:i/>
          <w:iCs/>
          <w:noProof/>
          <w:color w:val="17406D" w:themeColor="text2"/>
          <w:sz w:val="18"/>
          <w:szCs w:val="18"/>
          <w:lang w:val="sq-AL"/>
        </w:rPr>
        <w:instrText xml:space="preserve"> SEQ Tabela \* ARABIC </w:instrText>
      </w:r>
      <w:r w:rsidRPr="0033375A">
        <w:rPr>
          <w:i/>
          <w:iCs/>
          <w:noProof/>
          <w:color w:val="17406D" w:themeColor="text2"/>
          <w:sz w:val="18"/>
          <w:szCs w:val="18"/>
          <w:lang w:val="sq-AL"/>
        </w:rPr>
        <w:fldChar w:fldCharType="separate"/>
      </w:r>
      <w:r w:rsidR="00CB4DE6">
        <w:rPr>
          <w:i/>
          <w:iCs/>
          <w:noProof/>
          <w:color w:val="17406D" w:themeColor="text2"/>
          <w:sz w:val="18"/>
          <w:szCs w:val="18"/>
          <w:lang w:val="sq-AL"/>
        </w:rPr>
        <w:t>24</w:t>
      </w:r>
      <w:r w:rsidRPr="0033375A">
        <w:rPr>
          <w:i/>
          <w:iCs/>
          <w:noProof/>
          <w:color w:val="17406D" w:themeColor="text2"/>
          <w:sz w:val="18"/>
          <w:szCs w:val="18"/>
          <w:lang w:val="sq-AL"/>
        </w:rPr>
        <w:fldChar w:fldCharType="end"/>
      </w:r>
      <w:r w:rsidRPr="0033375A">
        <w:rPr>
          <w:i/>
          <w:iCs/>
          <w:noProof/>
          <w:color w:val="17406D" w:themeColor="text2"/>
          <w:sz w:val="18"/>
          <w:szCs w:val="18"/>
          <w:lang w:val="sq-AL"/>
        </w:rPr>
        <w:t xml:space="preserve"> Stoku i detyrimeve të prapambetura e Sektorit Ujësjellës-Kanalizime ndaj OSHEE Group Sh.a (në </w:t>
      </w:r>
      <w:r w:rsidR="0056260B">
        <w:rPr>
          <w:i/>
          <w:iCs/>
          <w:noProof/>
          <w:color w:val="17406D" w:themeColor="text2"/>
          <w:sz w:val="18"/>
          <w:szCs w:val="18"/>
          <w:lang w:val="sq-AL"/>
        </w:rPr>
        <w:t>miliardë</w:t>
      </w:r>
      <w:r w:rsidRPr="0033375A">
        <w:rPr>
          <w:i/>
          <w:iCs/>
          <w:noProof/>
          <w:color w:val="17406D" w:themeColor="text2"/>
          <w:sz w:val="18"/>
          <w:szCs w:val="18"/>
          <w:lang w:val="sq-AL"/>
        </w:rPr>
        <w:t xml:space="preserve"> LEK)</w:t>
      </w:r>
      <w:bookmarkEnd w:id="193"/>
    </w:p>
    <w:tbl>
      <w:tblPr>
        <w:tblStyle w:val="GridTable4-Accent11"/>
        <w:tblpPr w:leftFromText="180" w:rightFromText="180" w:vertAnchor="text" w:horzAnchor="margin" w:tblpXSpec="center" w:tblpY="13"/>
        <w:tblW w:w="7825" w:type="dxa"/>
        <w:tblLook w:val="04A0" w:firstRow="1" w:lastRow="0" w:firstColumn="1" w:lastColumn="0" w:noHBand="0" w:noVBand="1"/>
      </w:tblPr>
      <w:tblGrid>
        <w:gridCol w:w="5575"/>
        <w:gridCol w:w="2250"/>
      </w:tblGrid>
      <w:tr w:rsidR="0033375A" w:rsidRPr="0033375A" w14:paraId="726E9DE2" w14:textId="77777777" w:rsidTr="009F174D">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75" w:type="dxa"/>
            <w:shd w:val="clear" w:color="auto" w:fill="4389D7" w:themeFill="text2" w:themeFillTint="99"/>
            <w:noWrap/>
            <w:hideMark/>
          </w:tcPr>
          <w:p w14:paraId="26413CCF" w14:textId="77777777" w:rsidR="0033375A" w:rsidRPr="0033375A" w:rsidRDefault="0033375A" w:rsidP="0033375A">
            <w:pPr>
              <w:contextualSpacing/>
              <w:jc w:val="center"/>
              <w:rPr>
                <w:rFonts w:asciiTheme="majorHAnsi" w:hAnsiTheme="majorHAnsi" w:cstheme="majorHAnsi"/>
                <w:noProof/>
                <w:color w:val="000000"/>
                <w:sz w:val="18"/>
                <w:szCs w:val="18"/>
                <w:lang w:val="sq-AL"/>
              </w:rPr>
            </w:pPr>
          </w:p>
        </w:tc>
        <w:tc>
          <w:tcPr>
            <w:tcW w:w="2250" w:type="dxa"/>
            <w:shd w:val="clear" w:color="auto" w:fill="4389D7" w:themeFill="text2" w:themeFillTint="99"/>
            <w:noWrap/>
            <w:hideMark/>
          </w:tcPr>
          <w:p w14:paraId="2FC6A32C" w14:textId="577B549F" w:rsidR="0033375A" w:rsidRPr="0033375A" w:rsidRDefault="0033375A" w:rsidP="0033375A">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noProof/>
                <w:color w:val="000000"/>
                <w:sz w:val="18"/>
                <w:szCs w:val="18"/>
                <w:lang w:val="sq-AL"/>
              </w:rPr>
            </w:pPr>
            <w:r w:rsidRPr="0033375A">
              <w:rPr>
                <w:rFonts w:asciiTheme="majorHAnsi" w:hAnsiTheme="majorHAnsi" w:cstheme="majorHAnsi"/>
                <w:i/>
                <w:iCs/>
                <w:noProof/>
                <w:sz w:val="18"/>
                <w:szCs w:val="18"/>
                <w:lang w:val="sq-AL"/>
              </w:rPr>
              <w:t>(</w:t>
            </w:r>
            <w:r w:rsidR="0056260B">
              <w:rPr>
                <w:rFonts w:asciiTheme="majorHAnsi" w:hAnsiTheme="majorHAnsi" w:cstheme="majorHAnsi"/>
                <w:i/>
                <w:iCs/>
                <w:noProof/>
                <w:sz w:val="18"/>
                <w:szCs w:val="18"/>
                <w:lang w:val="sq-AL"/>
              </w:rPr>
              <w:t>miliardë</w:t>
            </w:r>
            <w:r w:rsidRPr="0033375A">
              <w:rPr>
                <w:rFonts w:asciiTheme="majorHAnsi" w:hAnsiTheme="majorHAnsi" w:cstheme="majorHAnsi"/>
                <w:i/>
                <w:iCs/>
                <w:noProof/>
                <w:sz w:val="18"/>
                <w:szCs w:val="18"/>
                <w:lang w:val="sq-AL"/>
              </w:rPr>
              <w:t>/LEK)</w:t>
            </w:r>
          </w:p>
        </w:tc>
      </w:tr>
      <w:tr w:rsidR="0033375A" w:rsidRPr="0033375A" w14:paraId="2E9EA21E" w14:textId="77777777" w:rsidTr="009F1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18ABCB35" w14:textId="77777777" w:rsidR="0033375A" w:rsidRPr="0033375A" w:rsidRDefault="0033375A" w:rsidP="0033375A">
            <w:pPr>
              <w:contextualSpacing/>
              <w:jc w:val="center"/>
              <w:rPr>
                <w:rFonts w:asciiTheme="majorHAnsi" w:hAnsiTheme="majorHAnsi" w:cstheme="majorHAnsi"/>
                <w:noProof/>
                <w:color w:val="000000"/>
                <w:sz w:val="18"/>
                <w:szCs w:val="18"/>
                <w:u w:val="single"/>
                <w:lang w:val="sq-AL"/>
              </w:rPr>
            </w:pPr>
            <w:r w:rsidRPr="0033375A">
              <w:rPr>
                <w:rFonts w:asciiTheme="majorHAnsi" w:hAnsiTheme="majorHAnsi" w:cstheme="majorHAnsi"/>
                <w:noProof/>
                <w:color w:val="000000"/>
                <w:sz w:val="18"/>
                <w:szCs w:val="18"/>
                <w:u w:val="single"/>
                <w:lang w:val="sq-AL"/>
              </w:rPr>
              <w:t>Ndërmarrjet U-K kryesore me detyrime ndaj OSHEE Group sh.a</w:t>
            </w:r>
          </w:p>
        </w:tc>
        <w:tc>
          <w:tcPr>
            <w:tcW w:w="2250" w:type="dxa"/>
            <w:shd w:val="clear" w:color="auto" w:fill="auto"/>
            <w:hideMark/>
          </w:tcPr>
          <w:p w14:paraId="119F7D82" w14:textId="77777777" w:rsidR="0033375A" w:rsidRPr="0033375A" w:rsidRDefault="0033375A" w:rsidP="0033375A">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color w:val="000000"/>
                <w:sz w:val="18"/>
                <w:szCs w:val="18"/>
                <w:u w:val="single"/>
                <w:lang w:val="sq-AL"/>
              </w:rPr>
            </w:pPr>
            <w:r w:rsidRPr="0033375A">
              <w:rPr>
                <w:rFonts w:asciiTheme="majorHAnsi" w:hAnsiTheme="majorHAnsi" w:cstheme="majorHAnsi"/>
                <w:b/>
                <w:bCs/>
                <w:noProof/>
                <w:color w:val="000000"/>
                <w:sz w:val="18"/>
                <w:szCs w:val="18"/>
                <w:u w:val="single"/>
                <w:lang w:val="sq-AL"/>
              </w:rPr>
              <w:t>9.16</w:t>
            </w:r>
          </w:p>
        </w:tc>
      </w:tr>
      <w:tr w:rsidR="0033375A" w:rsidRPr="0033375A" w14:paraId="69965E4C" w14:textId="77777777" w:rsidTr="009F174D">
        <w:trPr>
          <w:trHeight w:val="75"/>
        </w:trPr>
        <w:tc>
          <w:tcPr>
            <w:cnfStyle w:val="001000000000" w:firstRow="0" w:lastRow="0" w:firstColumn="1" w:lastColumn="0" w:oddVBand="0" w:evenVBand="0" w:oddHBand="0" w:evenHBand="0" w:firstRowFirstColumn="0" w:firstRowLastColumn="0" w:lastRowFirstColumn="0" w:lastRowLastColumn="0"/>
            <w:tcW w:w="5575" w:type="dxa"/>
            <w:noWrap/>
            <w:hideMark/>
          </w:tcPr>
          <w:p w14:paraId="16BE3417" w14:textId="77777777" w:rsidR="0033375A" w:rsidRPr="0033375A" w:rsidRDefault="0033375A" w:rsidP="0033375A">
            <w:pPr>
              <w:contextualSpacing/>
              <w:jc w:val="center"/>
              <w:rPr>
                <w:rFonts w:asciiTheme="majorHAnsi" w:hAnsiTheme="majorHAnsi" w:cstheme="majorHAnsi"/>
                <w:b w:val="0"/>
                <w:noProof/>
                <w:sz w:val="18"/>
                <w:szCs w:val="18"/>
                <w:lang w:val="sq-AL"/>
              </w:rPr>
            </w:pPr>
            <w:r w:rsidRPr="0033375A">
              <w:rPr>
                <w:rFonts w:asciiTheme="majorHAnsi" w:hAnsiTheme="majorHAnsi" w:cstheme="majorHAnsi"/>
                <w:b w:val="0"/>
                <w:noProof/>
                <w:sz w:val="18"/>
                <w:szCs w:val="18"/>
                <w:lang w:val="sq-AL"/>
              </w:rPr>
              <w:t>Njësia Durrës UK sh.a</w:t>
            </w:r>
          </w:p>
        </w:tc>
        <w:tc>
          <w:tcPr>
            <w:tcW w:w="2250" w:type="dxa"/>
            <w:noWrap/>
            <w:hideMark/>
          </w:tcPr>
          <w:p w14:paraId="19E10C02" w14:textId="77777777" w:rsidR="0033375A" w:rsidRPr="0033375A" w:rsidRDefault="0033375A" w:rsidP="0033375A">
            <w:pPr>
              <w:tabs>
                <w:tab w:val="left" w:pos="1950"/>
                <w:tab w:val="center" w:pos="2152"/>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33375A">
              <w:rPr>
                <w:rFonts w:asciiTheme="majorHAnsi" w:hAnsiTheme="majorHAnsi" w:cstheme="majorHAnsi"/>
                <w:noProof/>
                <w:sz w:val="18"/>
                <w:szCs w:val="18"/>
                <w:lang w:val="sq-AL"/>
              </w:rPr>
              <w:t>5.75</w:t>
            </w:r>
          </w:p>
        </w:tc>
      </w:tr>
      <w:tr w:rsidR="0033375A" w:rsidRPr="0033375A" w14:paraId="295A6E4C" w14:textId="77777777" w:rsidTr="009F17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48AC84F1" w14:textId="77777777" w:rsidR="0033375A" w:rsidRPr="0033375A" w:rsidRDefault="0033375A" w:rsidP="0033375A">
            <w:pPr>
              <w:contextualSpacing/>
              <w:jc w:val="center"/>
              <w:rPr>
                <w:rFonts w:asciiTheme="majorHAnsi" w:hAnsiTheme="majorHAnsi" w:cstheme="majorHAnsi"/>
                <w:b w:val="0"/>
                <w:noProof/>
                <w:sz w:val="18"/>
                <w:szCs w:val="18"/>
                <w:lang w:val="sq-AL"/>
              </w:rPr>
            </w:pPr>
            <w:r w:rsidRPr="0033375A">
              <w:rPr>
                <w:rFonts w:asciiTheme="majorHAnsi" w:hAnsiTheme="majorHAnsi" w:cstheme="majorHAnsi"/>
                <w:b w:val="0"/>
                <w:noProof/>
                <w:sz w:val="18"/>
                <w:szCs w:val="18"/>
                <w:lang w:val="sq-AL"/>
              </w:rPr>
              <w:t>Njësia Fier UK sh.a</w:t>
            </w:r>
          </w:p>
        </w:tc>
        <w:tc>
          <w:tcPr>
            <w:tcW w:w="2250" w:type="dxa"/>
            <w:shd w:val="clear" w:color="auto" w:fill="auto"/>
            <w:noWrap/>
            <w:hideMark/>
          </w:tcPr>
          <w:p w14:paraId="1D74EAA5" w14:textId="77777777" w:rsidR="0033375A" w:rsidRPr="0033375A" w:rsidRDefault="0033375A" w:rsidP="0033375A">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33375A">
              <w:rPr>
                <w:rFonts w:asciiTheme="majorHAnsi" w:hAnsiTheme="majorHAnsi" w:cstheme="majorHAnsi"/>
                <w:noProof/>
                <w:sz w:val="18"/>
                <w:szCs w:val="18"/>
                <w:lang w:val="sq-AL"/>
              </w:rPr>
              <w:t>0.89</w:t>
            </w:r>
          </w:p>
        </w:tc>
      </w:tr>
      <w:tr w:rsidR="0033375A" w:rsidRPr="0033375A" w14:paraId="73B54DA5" w14:textId="77777777" w:rsidTr="009F174D">
        <w:trPr>
          <w:trHeight w:val="113"/>
        </w:trPr>
        <w:tc>
          <w:tcPr>
            <w:cnfStyle w:val="001000000000" w:firstRow="0" w:lastRow="0" w:firstColumn="1" w:lastColumn="0" w:oddVBand="0" w:evenVBand="0" w:oddHBand="0" w:evenHBand="0" w:firstRowFirstColumn="0" w:firstRowLastColumn="0" w:lastRowFirstColumn="0" w:lastRowLastColumn="0"/>
            <w:tcW w:w="5575" w:type="dxa"/>
            <w:noWrap/>
            <w:hideMark/>
          </w:tcPr>
          <w:p w14:paraId="0D460F7C" w14:textId="77777777" w:rsidR="0033375A" w:rsidRPr="0033375A" w:rsidRDefault="0033375A" w:rsidP="0033375A">
            <w:pPr>
              <w:contextualSpacing/>
              <w:jc w:val="center"/>
              <w:rPr>
                <w:rFonts w:asciiTheme="majorHAnsi" w:hAnsiTheme="majorHAnsi" w:cstheme="majorHAnsi"/>
                <w:b w:val="0"/>
                <w:noProof/>
                <w:sz w:val="18"/>
                <w:szCs w:val="18"/>
                <w:lang w:val="sq-AL"/>
              </w:rPr>
            </w:pPr>
            <w:r w:rsidRPr="0033375A">
              <w:rPr>
                <w:rFonts w:asciiTheme="majorHAnsi" w:hAnsiTheme="majorHAnsi" w:cstheme="majorHAnsi"/>
                <w:b w:val="0"/>
                <w:noProof/>
                <w:sz w:val="18"/>
                <w:szCs w:val="18"/>
                <w:lang w:val="sq-AL"/>
              </w:rPr>
              <w:t>Njësia Shkodër UK sh.a</w:t>
            </w:r>
          </w:p>
        </w:tc>
        <w:tc>
          <w:tcPr>
            <w:tcW w:w="2250" w:type="dxa"/>
            <w:noWrap/>
            <w:hideMark/>
          </w:tcPr>
          <w:p w14:paraId="53CCD286" w14:textId="77777777" w:rsidR="0033375A" w:rsidRPr="0033375A" w:rsidRDefault="0033375A" w:rsidP="0033375A">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33375A">
              <w:rPr>
                <w:rFonts w:asciiTheme="majorHAnsi" w:hAnsiTheme="majorHAnsi" w:cstheme="majorHAnsi"/>
                <w:noProof/>
                <w:sz w:val="18"/>
                <w:szCs w:val="18"/>
                <w:lang w:val="sq-AL"/>
              </w:rPr>
              <w:t>0.88</w:t>
            </w:r>
          </w:p>
        </w:tc>
      </w:tr>
      <w:tr w:rsidR="0033375A" w:rsidRPr="0033375A" w14:paraId="208E9761" w14:textId="77777777" w:rsidTr="009F174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0D70B386" w14:textId="77777777" w:rsidR="0033375A" w:rsidRPr="0033375A" w:rsidRDefault="0033375A" w:rsidP="0033375A">
            <w:pPr>
              <w:contextualSpacing/>
              <w:jc w:val="center"/>
              <w:rPr>
                <w:rFonts w:asciiTheme="majorHAnsi" w:hAnsiTheme="majorHAnsi" w:cstheme="majorHAnsi"/>
                <w:b w:val="0"/>
                <w:noProof/>
                <w:sz w:val="18"/>
                <w:szCs w:val="18"/>
                <w:lang w:val="sq-AL"/>
              </w:rPr>
            </w:pPr>
            <w:r w:rsidRPr="0033375A">
              <w:rPr>
                <w:rFonts w:asciiTheme="majorHAnsi" w:hAnsiTheme="majorHAnsi" w:cstheme="majorHAnsi"/>
                <w:b w:val="0"/>
                <w:noProof/>
                <w:sz w:val="18"/>
                <w:szCs w:val="18"/>
                <w:lang w:val="sq-AL"/>
              </w:rPr>
              <w:t>Njësia Patos UK sh.a</w:t>
            </w:r>
          </w:p>
        </w:tc>
        <w:tc>
          <w:tcPr>
            <w:tcW w:w="2250" w:type="dxa"/>
            <w:shd w:val="clear" w:color="auto" w:fill="auto"/>
            <w:noWrap/>
            <w:hideMark/>
          </w:tcPr>
          <w:p w14:paraId="37A3C378" w14:textId="77777777" w:rsidR="0033375A" w:rsidRPr="0033375A" w:rsidRDefault="0033375A" w:rsidP="0033375A">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33375A">
              <w:rPr>
                <w:rFonts w:asciiTheme="majorHAnsi" w:hAnsiTheme="majorHAnsi" w:cstheme="majorHAnsi"/>
                <w:noProof/>
                <w:sz w:val="18"/>
                <w:szCs w:val="18"/>
                <w:lang w:val="sq-AL"/>
              </w:rPr>
              <w:t>0.87</w:t>
            </w:r>
          </w:p>
        </w:tc>
      </w:tr>
      <w:tr w:rsidR="0033375A" w:rsidRPr="0033375A" w14:paraId="246648CB" w14:textId="77777777" w:rsidTr="009F174D">
        <w:trPr>
          <w:trHeight w:val="167"/>
        </w:trPr>
        <w:tc>
          <w:tcPr>
            <w:cnfStyle w:val="001000000000" w:firstRow="0" w:lastRow="0" w:firstColumn="1" w:lastColumn="0" w:oddVBand="0" w:evenVBand="0" w:oddHBand="0" w:evenHBand="0" w:firstRowFirstColumn="0" w:firstRowLastColumn="0" w:lastRowFirstColumn="0" w:lastRowLastColumn="0"/>
            <w:tcW w:w="5575" w:type="dxa"/>
            <w:noWrap/>
          </w:tcPr>
          <w:p w14:paraId="19523457" w14:textId="77777777" w:rsidR="0033375A" w:rsidRPr="0033375A" w:rsidRDefault="0033375A" w:rsidP="0033375A">
            <w:pPr>
              <w:contextualSpacing/>
              <w:jc w:val="center"/>
              <w:rPr>
                <w:rFonts w:asciiTheme="majorHAnsi" w:hAnsiTheme="majorHAnsi" w:cstheme="majorHAnsi"/>
                <w:b w:val="0"/>
                <w:noProof/>
                <w:sz w:val="18"/>
                <w:szCs w:val="18"/>
                <w:lang w:val="sq-AL"/>
              </w:rPr>
            </w:pPr>
            <w:r w:rsidRPr="0033375A">
              <w:rPr>
                <w:rFonts w:asciiTheme="majorHAnsi" w:hAnsiTheme="majorHAnsi" w:cstheme="majorHAnsi"/>
                <w:b w:val="0"/>
                <w:noProof/>
                <w:sz w:val="18"/>
                <w:szCs w:val="18"/>
                <w:lang w:val="sq-AL"/>
              </w:rPr>
              <w:t>Njësia  Kavajë UK sh.a</w:t>
            </w:r>
          </w:p>
        </w:tc>
        <w:tc>
          <w:tcPr>
            <w:tcW w:w="2250" w:type="dxa"/>
            <w:noWrap/>
          </w:tcPr>
          <w:p w14:paraId="01AEA7C1" w14:textId="77777777" w:rsidR="0033375A" w:rsidRPr="0033375A" w:rsidRDefault="0033375A" w:rsidP="0033375A">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33375A">
              <w:rPr>
                <w:rFonts w:asciiTheme="majorHAnsi" w:hAnsiTheme="majorHAnsi" w:cstheme="majorHAnsi"/>
                <w:noProof/>
                <w:sz w:val="18"/>
                <w:szCs w:val="18"/>
                <w:lang w:val="sq-AL"/>
              </w:rPr>
              <w:t>0.77</w:t>
            </w:r>
          </w:p>
        </w:tc>
      </w:tr>
    </w:tbl>
    <w:p w14:paraId="030357A3" w14:textId="77777777" w:rsidR="0033375A" w:rsidRPr="0033375A" w:rsidRDefault="0033375A" w:rsidP="0033375A">
      <w:pPr>
        <w:spacing w:before="0" w:line="240" w:lineRule="auto"/>
        <w:jc w:val="center"/>
        <w:rPr>
          <w:rFonts w:eastAsia="SimSun" w:cs="Calibri"/>
          <w:i/>
          <w:noProof/>
          <w:sz w:val="18"/>
          <w:szCs w:val="18"/>
          <w:lang w:val="sq-AL"/>
        </w:rPr>
      </w:pPr>
    </w:p>
    <w:p w14:paraId="3245C210" w14:textId="77777777" w:rsidR="0033375A" w:rsidRPr="0033375A" w:rsidRDefault="0033375A" w:rsidP="0033375A">
      <w:pPr>
        <w:spacing w:before="0"/>
        <w:ind w:left="720" w:firstLine="720"/>
        <w:rPr>
          <w:rFonts w:eastAsia="SimSun" w:cs="Calibri"/>
          <w:i/>
          <w:noProof/>
          <w:sz w:val="18"/>
          <w:szCs w:val="18"/>
          <w:lang w:val="sq-AL"/>
        </w:rPr>
      </w:pPr>
      <w:r w:rsidRPr="0033375A">
        <w:rPr>
          <w:rFonts w:eastAsia="SimSun" w:cs="Calibri"/>
          <w:i/>
          <w:noProof/>
          <w:sz w:val="18"/>
          <w:szCs w:val="18"/>
          <w:lang w:val="sq-AL"/>
        </w:rPr>
        <w:t>Burimi: AKUK (2026)</w:t>
      </w:r>
    </w:p>
    <w:p w14:paraId="47320E7F" w14:textId="6596D78E" w:rsidR="00FD2966" w:rsidRDefault="0033375A" w:rsidP="0033375A">
      <w:pPr>
        <w:spacing w:after="120" w:line="240" w:lineRule="auto"/>
        <w:rPr>
          <w:rFonts w:cs="Calibri"/>
          <w:bCs/>
          <w:iCs/>
          <w:szCs w:val="22"/>
          <w:lang w:val="sq-AL"/>
        </w:rPr>
      </w:pPr>
      <w:r w:rsidRPr="0033375A">
        <w:rPr>
          <w:rFonts w:cs="Calibri"/>
          <w:bCs/>
          <w:iCs/>
          <w:szCs w:val="22"/>
          <w:lang w:val="sq-AL"/>
        </w:rPr>
        <w:t>Në zbatim të VKM nr.302/2022 “</w:t>
      </w:r>
      <w:r w:rsidRPr="0033375A">
        <w:rPr>
          <w:rFonts w:cs="Calibri"/>
          <w:bCs/>
          <w:i/>
          <w:iCs/>
          <w:szCs w:val="22"/>
          <w:lang w:val="sq-AL"/>
        </w:rPr>
        <w:t>Për politikat kombëtare për riorganizimin e sektorit të furnizimit me ujë dhe të largimit, trajtimit dhe përpunimit të ujërave të ndotura</w:t>
      </w:r>
      <w:r w:rsidRPr="0033375A">
        <w:rPr>
          <w:rFonts w:cs="Calibri"/>
          <w:bCs/>
          <w:iCs/>
          <w:szCs w:val="22"/>
          <w:lang w:val="sq-AL"/>
        </w:rPr>
        <w:t xml:space="preserve">”, reforma për sektorin e ujësjellës kanalizimeve ka hyrë tashmë në një faze konsolidimi. Synimi i kësaj reforme ishte ridimensionimi i 58 ndërmarrjeve U-K aktuale nëpërmjet rigrupimit të tyre në 15 </w:t>
      </w:r>
      <w:bookmarkStart w:id="194" w:name="_Hlk212554073"/>
      <w:r w:rsidRPr="0033375A">
        <w:rPr>
          <w:rFonts w:cs="Calibri"/>
          <w:bCs/>
          <w:iCs/>
          <w:szCs w:val="22"/>
          <w:lang w:val="sq-AL"/>
        </w:rPr>
        <w:t>shoqëri SKP-UK (</w:t>
      </w:r>
      <w:r w:rsidRPr="0033375A">
        <w:rPr>
          <w:rFonts w:cs="Calibri"/>
          <w:bCs/>
          <w:i/>
          <w:iCs/>
          <w:szCs w:val="22"/>
          <w:lang w:val="sq-AL"/>
        </w:rPr>
        <w:t>Subjekte me Kompetenca të Përbashkëta</w:t>
      </w:r>
      <w:r w:rsidRPr="0033375A">
        <w:rPr>
          <w:rFonts w:cs="Calibri"/>
          <w:bCs/>
          <w:iCs/>
          <w:szCs w:val="22"/>
          <w:lang w:val="sq-AL"/>
        </w:rPr>
        <w:t>) rajonal</w:t>
      </w:r>
      <w:bookmarkEnd w:id="194"/>
      <w:r w:rsidRPr="0033375A">
        <w:rPr>
          <w:rFonts w:cs="Calibri"/>
          <w:bCs/>
          <w:iCs/>
          <w:szCs w:val="22"/>
          <w:lang w:val="sq-AL"/>
        </w:rPr>
        <w:t>e, me qëllim rritjen e mirëmenaxhimit dhe performancës financiare. Aktualisht janë krijuar 14 shoqëri SKP-UK rajonale dhe procesi ka përparuar edhe në drejtim të strukturimit të brendshëm të këtyre shoqërive. Mbeten 3 bashki të cilat ende nuk kanë firmosur marrëveshjet e bashkëpunimit për krijimin e shoqërisë rajonale UK Tiranë.</w:t>
      </w:r>
    </w:p>
    <w:p w14:paraId="07BF2447" w14:textId="77777777" w:rsidR="0033375A" w:rsidRPr="00B644BE" w:rsidRDefault="0033375A" w:rsidP="0033375A">
      <w:pPr>
        <w:spacing w:after="120" w:line="240" w:lineRule="auto"/>
        <w:rPr>
          <w:rFonts w:eastAsia="SimSun" w:cs="Calibri"/>
          <w:bCs/>
          <w:noProof/>
          <w:lang w:val="sq-AL"/>
        </w:rPr>
      </w:pPr>
    </w:p>
    <w:p w14:paraId="629B4D3E" w14:textId="77777777" w:rsidR="00C6090D" w:rsidRPr="00B1170D" w:rsidRDefault="002350D2" w:rsidP="00B1170D">
      <w:pPr>
        <w:pStyle w:val="Heading2"/>
        <w:spacing w:before="0"/>
        <w:rPr>
          <w:color w:val="0F6FC6" w:themeColor="accent1"/>
        </w:rPr>
      </w:pPr>
      <w:bookmarkStart w:id="195" w:name="_Toc466295701"/>
      <w:bookmarkStart w:id="196" w:name="_Toc10033285"/>
      <w:bookmarkStart w:id="197" w:name="_Toc10721422"/>
      <w:bookmarkStart w:id="198" w:name="_Toc229390827"/>
      <w:proofErr w:type="spellStart"/>
      <w:r w:rsidRPr="00B1170D">
        <w:rPr>
          <w:color w:val="0F6FC6" w:themeColor="accent1"/>
        </w:rPr>
        <w:t>Detyrime</w:t>
      </w:r>
      <w:bookmarkEnd w:id="195"/>
      <w:r w:rsidRPr="00B1170D">
        <w:rPr>
          <w:color w:val="0F6FC6" w:themeColor="accent1"/>
        </w:rPr>
        <w:t>t</w:t>
      </w:r>
      <w:proofErr w:type="spellEnd"/>
      <w:r w:rsidRPr="00B1170D">
        <w:rPr>
          <w:color w:val="0F6FC6" w:themeColor="accent1"/>
        </w:rPr>
        <w:t xml:space="preserve"> e </w:t>
      </w:r>
      <w:proofErr w:type="spellStart"/>
      <w:r w:rsidR="005C6E2E" w:rsidRPr="00B1170D">
        <w:rPr>
          <w:color w:val="0F6FC6" w:themeColor="accent1"/>
        </w:rPr>
        <w:t>p</w:t>
      </w:r>
      <w:r w:rsidRPr="00B1170D">
        <w:rPr>
          <w:color w:val="0F6FC6" w:themeColor="accent1"/>
        </w:rPr>
        <w:t>rapambetura</w:t>
      </w:r>
      <w:proofErr w:type="spellEnd"/>
      <w:r w:rsidRPr="00B1170D">
        <w:rPr>
          <w:color w:val="0F6FC6" w:themeColor="accent1"/>
        </w:rPr>
        <w:t xml:space="preserve"> </w:t>
      </w:r>
      <w:proofErr w:type="spellStart"/>
      <w:r w:rsidR="0045266E" w:rsidRPr="00B1170D">
        <w:rPr>
          <w:color w:val="0F6FC6" w:themeColor="accent1"/>
        </w:rPr>
        <w:t>të</w:t>
      </w:r>
      <w:proofErr w:type="spellEnd"/>
      <w:r w:rsidR="0045266E" w:rsidRPr="00B1170D">
        <w:rPr>
          <w:color w:val="0F6FC6" w:themeColor="accent1"/>
        </w:rPr>
        <w:t xml:space="preserve"> </w:t>
      </w:r>
      <w:bookmarkEnd w:id="196"/>
      <w:bookmarkEnd w:id="197"/>
      <w:proofErr w:type="spellStart"/>
      <w:r w:rsidR="001119D4" w:rsidRPr="00B1170D">
        <w:rPr>
          <w:color w:val="0F6FC6" w:themeColor="accent1"/>
        </w:rPr>
        <w:t>Qeverisjes</w:t>
      </w:r>
      <w:proofErr w:type="spellEnd"/>
      <w:r w:rsidR="001119D4" w:rsidRPr="00B1170D">
        <w:rPr>
          <w:color w:val="0F6FC6" w:themeColor="accent1"/>
        </w:rPr>
        <w:t xml:space="preserve"> </w:t>
      </w:r>
      <w:proofErr w:type="spellStart"/>
      <w:r w:rsidR="001119D4" w:rsidRPr="00B1170D">
        <w:rPr>
          <w:color w:val="0F6FC6" w:themeColor="accent1"/>
        </w:rPr>
        <w:t>s</w:t>
      </w:r>
      <w:r w:rsidR="00366408" w:rsidRPr="00B1170D">
        <w:rPr>
          <w:color w:val="0F6FC6" w:themeColor="accent1"/>
        </w:rPr>
        <w:t>ë</w:t>
      </w:r>
      <w:proofErr w:type="spellEnd"/>
      <w:r w:rsidR="001119D4" w:rsidRPr="00B1170D">
        <w:rPr>
          <w:color w:val="0F6FC6" w:themeColor="accent1"/>
        </w:rPr>
        <w:t xml:space="preserve"> </w:t>
      </w:r>
      <w:proofErr w:type="spellStart"/>
      <w:r w:rsidR="001119D4" w:rsidRPr="00B1170D">
        <w:rPr>
          <w:color w:val="0F6FC6" w:themeColor="accent1"/>
        </w:rPr>
        <w:t>P</w:t>
      </w:r>
      <w:r w:rsidR="00366408" w:rsidRPr="00B1170D">
        <w:rPr>
          <w:color w:val="0F6FC6" w:themeColor="accent1"/>
        </w:rPr>
        <w:t>ë</w:t>
      </w:r>
      <w:r w:rsidR="001119D4" w:rsidRPr="00B1170D">
        <w:rPr>
          <w:color w:val="0F6FC6" w:themeColor="accent1"/>
        </w:rPr>
        <w:t>rgjithshme</w:t>
      </w:r>
      <w:bookmarkEnd w:id="198"/>
      <w:proofErr w:type="spellEnd"/>
    </w:p>
    <w:p w14:paraId="72D8C18A" w14:textId="77777777" w:rsidR="008448A3" w:rsidRPr="008448A3" w:rsidRDefault="008448A3" w:rsidP="008448A3">
      <w:pPr>
        <w:spacing w:line="240" w:lineRule="auto"/>
        <w:contextualSpacing/>
        <w:rPr>
          <w:rFonts w:eastAsia="SimSun" w:cs="Calibri"/>
          <w:noProof/>
          <w:lang w:val="sq-AL"/>
        </w:rPr>
      </w:pPr>
      <w:r w:rsidRPr="008448A3">
        <w:rPr>
          <w:rFonts w:eastAsia="SimSun" w:cs="Calibri"/>
          <w:noProof/>
          <w:lang w:val="sq-AL"/>
        </w:rPr>
        <w:t>Bazuar në VKM nr.50 datë 05.02.2014 “</w:t>
      </w:r>
      <w:r w:rsidRPr="008448A3">
        <w:rPr>
          <w:rFonts w:eastAsia="SimSun" w:cs="Calibri"/>
          <w:i/>
          <w:iCs/>
          <w:noProof/>
          <w:lang w:val="sq-AL"/>
        </w:rPr>
        <w:t>Për miratimin e Strategjisë për parandalimin dhe shlyerjen e detyrimeve të prapambetura e të planit të veprimit</w:t>
      </w:r>
      <w:r w:rsidRPr="008448A3">
        <w:rPr>
          <w:rFonts w:eastAsia="SimSun" w:cs="Calibri"/>
          <w:noProof/>
          <w:lang w:val="sq-AL"/>
        </w:rPr>
        <w:t xml:space="preserve">”, Ministria e Financave ka ndërmarrë hapa konkretë në drejtim të monitorimit, raportimit dhe parandalimit të detyrimeve të prapambetura. Vlen për t’u theksuar se tashmë monitorimi i detyrimeve të prapambetura është një proces i konsoliduar në kohë dhe cilësi, përmes monitorimit periodik intensiv të të gjitha detyrimeve të pashlyera të institucioneve buxhetore. </w:t>
      </w:r>
    </w:p>
    <w:p w14:paraId="0085BE74" w14:textId="77777777" w:rsidR="008448A3" w:rsidRPr="008448A3" w:rsidRDefault="008448A3" w:rsidP="008448A3">
      <w:pPr>
        <w:spacing w:line="240" w:lineRule="auto"/>
        <w:contextualSpacing/>
        <w:rPr>
          <w:rFonts w:eastAsia="SimSun" w:cs="Calibri"/>
          <w:noProof/>
          <w:sz w:val="8"/>
          <w:szCs w:val="10"/>
          <w:lang w:val="sq-AL"/>
        </w:rPr>
      </w:pPr>
    </w:p>
    <w:p w14:paraId="4980789B" w14:textId="77777777" w:rsidR="00B70B1A" w:rsidRDefault="008448A3" w:rsidP="008448A3">
      <w:pPr>
        <w:spacing w:line="240" w:lineRule="auto"/>
        <w:contextualSpacing/>
        <w:rPr>
          <w:rFonts w:eastAsia="SimSun" w:cs="Calibri"/>
          <w:noProof/>
          <w:lang w:val="sq-AL"/>
        </w:rPr>
      </w:pPr>
      <w:r w:rsidRPr="008448A3">
        <w:rPr>
          <w:rFonts w:eastAsia="SimSun" w:cs="Calibri"/>
          <w:noProof/>
          <w:lang w:val="sq-AL"/>
        </w:rPr>
        <w:t>Duke nisur nga muaji Dhjetor 2020, ky proces i cili më parë kryhej mbi bazë tremujore nëpërmjet raportimit shkresor të institucioneve, tashmë gjenerohet automatikisht nga Sistemi Informatik Financiar i Qeverisë (SIFQ) sipas përcaktimeve të Udhëzimit nr.37 datë 06.10.2020 “</w:t>
      </w:r>
      <w:r w:rsidRPr="008448A3">
        <w:rPr>
          <w:rFonts w:eastAsia="SimSun" w:cs="Calibri"/>
          <w:i/>
          <w:iCs/>
          <w:noProof/>
          <w:lang w:val="sq-AL"/>
        </w:rPr>
        <w:t>Për monitorimin dhe publikimin periodik të stokut të detyrimeve të prapambetura të qeverisjes së përgjithshme</w:t>
      </w:r>
      <w:r w:rsidRPr="008448A3">
        <w:rPr>
          <w:rFonts w:eastAsia="SimSun" w:cs="Calibri"/>
          <w:noProof/>
          <w:lang w:val="sq-AL"/>
        </w:rPr>
        <w:t xml:space="preserve">”, gjë që përveçse ka rritur saktësinë e të dhënave dhe sigurimin e tyre në kohë reale, ka unifikuar njëkohësisht edhe modalitetin e raportimit për të gjitha njësitë e qeverisjes së përgjithshme. </w:t>
      </w:r>
    </w:p>
    <w:p w14:paraId="6A7EE9BF" w14:textId="77777777" w:rsidR="00B70B1A" w:rsidRPr="00B70B1A" w:rsidRDefault="00B70B1A" w:rsidP="008448A3">
      <w:pPr>
        <w:spacing w:line="240" w:lineRule="auto"/>
        <w:contextualSpacing/>
        <w:rPr>
          <w:rFonts w:eastAsia="SimSun" w:cs="Calibri"/>
          <w:noProof/>
          <w:sz w:val="8"/>
          <w:szCs w:val="8"/>
          <w:lang w:val="sq-AL"/>
        </w:rPr>
      </w:pPr>
    </w:p>
    <w:p w14:paraId="25E80A3C" w14:textId="609FB8BC" w:rsidR="008448A3" w:rsidRPr="008448A3" w:rsidRDefault="008448A3" w:rsidP="008448A3">
      <w:pPr>
        <w:spacing w:line="240" w:lineRule="auto"/>
        <w:contextualSpacing/>
        <w:rPr>
          <w:rFonts w:eastAsia="SimSun" w:cs="Calibri"/>
          <w:noProof/>
          <w:lang w:val="sq-AL"/>
        </w:rPr>
      </w:pPr>
      <w:r w:rsidRPr="008448A3">
        <w:rPr>
          <w:rFonts w:eastAsia="SimSun" w:cs="Calibri"/>
          <w:noProof/>
          <w:lang w:val="sq-AL"/>
        </w:rPr>
        <w:t>Në zbatim të Ligjit Organik të Buxhetit nr.9936 datë 26.06.2008 “</w:t>
      </w:r>
      <w:r w:rsidRPr="008448A3">
        <w:rPr>
          <w:rFonts w:eastAsia="SimSun" w:cs="Calibri"/>
          <w:i/>
          <w:iCs/>
          <w:noProof/>
          <w:lang w:val="sq-AL"/>
        </w:rPr>
        <w:t>Për menaxhimin e sistemit buxhetor në Republikën e Shqipërisë”, i ndryshuar</w:t>
      </w:r>
      <w:r w:rsidRPr="008448A3">
        <w:rPr>
          <w:rFonts w:eastAsia="SimSun" w:cs="Calibri"/>
          <w:noProof/>
          <w:lang w:val="sq-AL"/>
        </w:rPr>
        <w:t>”, në nenin 52 përcaktohet qartë se: “...</w:t>
      </w:r>
      <w:r w:rsidRPr="008448A3">
        <w:rPr>
          <w:rFonts w:eastAsia="SimSun" w:cs="Calibri"/>
          <w:i/>
          <w:iCs/>
          <w:noProof/>
          <w:lang w:val="sq-AL"/>
        </w:rPr>
        <w:t>Shpenzimet që rezultojnë nga angazhimet e ndërmarra gjatë viteve të mëparshme, në përputhje me dispozitat e veçanta të ligjit të buxhetit vjetor, përfshihen në buxhetin e vitit pasardhës. Shlyerja e angazhimeve, me përfundimin e afatit, kryhet me fondet e miratuara për vitin buxhetor pasardhës</w:t>
      </w:r>
      <w:r w:rsidRPr="008448A3">
        <w:rPr>
          <w:rFonts w:eastAsia="SimSun" w:cs="Calibri"/>
          <w:noProof/>
          <w:lang w:val="sq-AL"/>
        </w:rPr>
        <w:t>...". Nisur nga sa më sipër, shlyerja e detyrimeve të prapambetura përbën një detyrim ligjor për të gjitha njësitë e qeverisjes së përgjithshme.</w:t>
      </w:r>
    </w:p>
    <w:p w14:paraId="51DD6C13" w14:textId="77777777" w:rsidR="008448A3" w:rsidRPr="008448A3" w:rsidRDefault="008448A3" w:rsidP="008448A3">
      <w:pPr>
        <w:spacing w:line="240" w:lineRule="auto"/>
        <w:contextualSpacing/>
        <w:rPr>
          <w:rFonts w:eastAsia="SimSun" w:cs="Calibri"/>
          <w:noProof/>
          <w:sz w:val="8"/>
          <w:szCs w:val="8"/>
          <w:lang w:val="sq-AL"/>
        </w:rPr>
      </w:pPr>
    </w:p>
    <w:p w14:paraId="4D2FEA68" w14:textId="77777777" w:rsidR="00B70B1A" w:rsidRDefault="008448A3" w:rsidP="008448A3">
      <w:pPr>
        <w:spacing w:before="0" w:line="240" w:lineRule="auto"/>
        <w:rPr>
          <w:rFonts w:cs="Calibri"/>
          <w:noProof/>
          <w:lang w:val="sq-AL"/>
        </w:rPr>
      </w:pPr>
      <w:r w:rsidRPr="008448A3">
        <w:rPr>
          <w:rFonts w:eastAsia="SimSun" w:cs="Calibri"/>
          <w:noProof/>
          <w:lang w:val="sq-AL"/>
        </w:rPr>
        <w:t>Parë në një aspekt më të gjerë dhe gjithëpërfshirës, Ministria e Financave i ka sugjeruar të gjitha njësive të auditimit të brendshëm në sektorin publik që në “</w:t>
      </w:r>
      <w:r w:rsidRPr="008448A3">
        <w:rPr>
          <w:rFonts w:eastAsia="SimSun" w:cs="Calibri"/>
          <w:i/>
          <w:iCs/>
          <w:noProof/>
          <w:lang w:val="sq-AL"/>
        </w:rPr>
        <w:t>Planin strategjik dhe vjetor të veprimtarisë audituese për vitet 2024-2026</w:t>
      </w:r>
      <w:r w:rsidRPr="008448A3">
        <w:rPr>
          <w:rFonts w:eastAsia="SimSun" w:cs="Calibri"/>
          <w:noProof/>
          <w:lang w:val="sq-AL"/>
        </w:rPr>
        <w:t>”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në këtë drejtim</w:t>
      </w:r>
      <w:r w:rsidRPr="008448A3">
        <w:rPr>
          <w:rFonts w:cs="Calibri"/>
          <w:noProof/>
          <w:lang w:val="sq-AL"/>
        </w:rPr>
        <w:t xml:space="preserve">. </w:t>
      </w:r>
    </w:p>
    <w:p w14:paraId="26262D3D" w14:textId="54A5D1E8" w:rsidR="008448A3" w:rsidRDefault="008448A3" w:rsidP="008448A3">
      <w:pPr>
        <w:spacing w:before="0" w:line="240" w:lineRule="auto"/>
        <w:rPr>
          <w:noProof/>
          <w:szCs w:val="22"/>
          <w:lang w:val="sq-AL"/>
        </w:rPr>
      </w:pPr>
      <w:r w:rsidRPr="008448A3">
        <w:rPr>
          <w:rFonts w:cs="Calibri"/>
          <w:noProof/>
          <w:lang w:val="sq-AL"/>
        </w:rPr>
        <w:lastRenderedPageBreak/>
        <w:t>Njëkohësisht, p</w:t>
      </w:r>
      <w:r w:rsidRPr="008448A3">
        <w:rPr>
          <w:noProof/>
          <w:color w:val="000000" w:themeColor="text1"/>
          <w:szCs w:val="22"/>
          <w:lang w:val="sq-AL"/>
        </w:rPr>
        <w:t>ër të parandaluar akumulimin dhe ulur stokun total të detyrimeve të prapambetura ndër vite, si në rastin e detyrimeve nga vendimet gjyqësore, Ministria e Financave krahas monitorimit periodik të tyre, apelon edhe tek institucionet buxhetore që të ulin edhe më tej barrën e tyre, nëpërmjet aplikimit në kohë të kësteve të pagesave ose implementimin e instrumente të tjera lehtësuese ndaj përfituesve të vendimeve gjyqësore</w:t>
      </w:r>
      <w:r w:rsidRPr="008448A3">
        <w:rPr>
          <w:i/>
          <w:noProof/>
          <w:color w:val="000000" w:themeColor="text1"/>
          <w:szCs w:val="22"/>
          <w:lang w:val="sq-AL"/>
        </w:rPr>
        <w:t>.</w:t>
      </w:r>
      <w:r w:rsidR="00B70B1A">
        <w:rPr>
          <w:i/>
          <w:noProof/>
          <w:color w:val="000000" w:themeColor="text1"/>
          <w:szCs w:val="22"/>
          <w:lang w:val="sq-AL"/>
        </w:rPr>
        <w:t xml:space="preserve"> </w:t>
      </w:r>
      <w:r w:rsidRPr="008448A3">
        <w:rPr>
          <w:noProof/>
          <w:szCs w:val="22"/>
          <w:lang w:val="sq-AL"/>
        </w:rPr>
        <w:t>Prioriteti kryesor i Ministrisë së Financave në periudhën afatmesme, mbetet reduktimi i stokut të detyrimeve të prapambetura dhe parandalimi i akumulimit të tyre.</w:t>
      </w:r>
      <w:bookmarkStart w:id="199" w:name="_Toc495672777"/>
      <w:bookmarkEnd w:id="199"/>
    </w:p>
    <w:p w14:paraId="7FACC0FE" w14:textId="76F3FB32" w:rsidR="008448A3" w:rsidRPr="00E73352" w:rsidRDefault="008448A3" w:rsidP="008448A3">
      <w:pPr>
        <w:pStyle w:val="Caption"/>
        <w:rPr>
          <w:rFonts w:cs="Calibri"/>
          <w:noProof/>
          <w:lang w:val="sq-AL"/>
        </w:rPr>
      </w:pPr>
      <w:bookmarkStart w:id="200" w:name="_Toc229130052"/>
      <w:r w:rsidRPr="00B644BE">
        <w:rPr>
          <w:noProof/>
          <w:lang w:val="sq-AL"/>
        </w:rPr>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35</w:t>
      </w:r>
      <w:r w:rsidRPr="00B644BE">
        <w:rPr>
          <w:noProof/>
          <w:lang w:val="sq-AL"/>
        </w:rPr>
        <w:fldChar w:fldCharType="end"/>
      </w:r>
      <w:r w:rsidRPr="00B644BE">
        <w:rPr>
          <w:noProof/>
          <w:lang w:val="sq-AL"/>
        </w:rPr>
        <w:t xml:space="preserve"> Stoku i detyrimeve të prapambetura të qeverisjes së përgjithshme, në </w:t>
      </w:r>
      <w:r w:rsidR="0056260B">
        <w:rPr>
          <w:noProof/>
          <w:lang w:val="sq-AL"/>
        </w:rPr>
        <w:t>milionë</w:t>
      </w:r>
      <w:r>
        <w:rPr>
          <w:noProof/>
          <w:lang w:val="sq-AL"/>
        </w:rPr>
        <w:t xml:space="preserve"> </w:t>
      </w:r>
      <w:r w:rsidR="0056260B">
        <w:rPr>
          <w:noProof/>
          <w:lang w:val="sq-AL"/>
        </w:rPr>
        <w:t>LEK</w:t>
      </w:r>
      <w:r>
        <w:rPr>
          <w:noProof/>
          <w:lang w:val="sq-AL"/>
        </w:rPr>
        <w:t>.</w:t>
      </w:r>
      <w:bookmarkEnd w:id="200"/>
    </w:p>
    <w:p w14:paraId="2174CF34" w14:textId="22BC0518" w:rsidR="008448A3" w:rsidRDefault="004B57C3" w:rsidP="008448A3">
      <w:pPr>
        <w:spacing w:before="0"/>
        <w:jc w:val="center"/>
        <w:rPr>
          <w:rFonts w:cs="Calibri"/>
          <w:noProof/>
          <w:sz w:val="12"/>
          <w:szCs w:val="12"/>
          <w:lang w:val="sq-AL"/>
        </w:rPr>
      </w:pPr>
      <w:r>
        <w:rPr>
          <w:rFonts w:cs="Calibri"/>
          <w:noProof/>
          <w:sz w:val="12"/>
          <w:szCs w:val="12"/>
          <w:lang w:val="sq-AL"/>
        </w:rPr>
        <w:drawing>
          <wp:inline distT="0" distB="0" distL="0" distR="0" wp14:anchorId="221C292F" wp14:editId="70E90A03">
            <wp:extent cx="5872382" cy="1797050"/>
            <wp:effectExtent l="0" t="0" r="0" b="0"/>
            <wp:docPr id="1191970582" name="Picture 9" descr="A graph with numbers and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0582" name="Picture 9" descr="A graph with numbers and a red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8479" cy="1820337"/>
                    </a:xfrm>
                    <a:prstGeom prst="rect">
                      <a:avLst/>
                    </a:prstGeom>
                    <a:noFill/>
                  </pic:spPr>
                </pic:pic>
              </a:graphicData>
            </a:graphic>
          </wp:inline>
        </w:drawing>
      </w:r>
    </w:p>
    <w:p w14:paraId="72D50643" w14:textId="77777777" w:rsidR="008448A3" w:rsidRPr="00E95FBE" w:rsidRDefault="008448A3" w:rsidP="008448A3">
      <w:pPr>
        <w:spacing w:before="0" w:line="360" w:lineRule="auto"/>
        <w:rPr>
          <w:rFonts w:eastAsia="SimSun" w:cs="Calibri"/>
          <w:bCs/>
          <w:i/>
          <w:noProof/>
          <w:sz w:val="18"/>
          <w:szCs w:val="18"/>
          <w:lang w:val="sq-AL"/>
        </w:rPr>
      </w:pPr>
      <w:r w:rsidRPr="00E95FBE">
        <w:rPr>
          <w:rFonts w:eastAsia="SimSun" w:cs="Calibri"/>
          <w:bCs/>
          <w:i/>
          <w:noProof/>
          <w:sz w:val="18"/>
          <w:szCs w:val="18"/>
          <w:lang w:val="sq-AL"/>
        </w:rPr>
        <w:tab/>
        <w:t>Burimi: Ministria e Financave (202</w:t>
      </w:r>
      <w:r>
        <w:rPr>
          <w:rFonts w:eastAsia="SimSun" w:cs="Calibri"/>
          <w:bCs/>
          <w:i/>
          <w:noProof/>
          <w:sz w:val="18"/>
          <w:szCs w:val="18"/>
          <w:lang w:val="sq-AL"/>
        </w:rPr>
        <w:t>6</w:t>
      </w:r>
      <w:r w:rsidRPr="00E95FBE">
        <w:rPr>
          <w:rFonts w:eastAsia="SimSun" w:cs="Calibri"/>
          <w:bCs/>
          <w:i/>
          <w:noProof/>
          <w:sz w:val="18"/>
          <w:szCs w:val="18"/>
          <w:lang w:val="sq-AL"/>
        </w:rPr>
        <w:t>)</w:t>
      </w:r>
    </w:p>
    <w:p w14:paraId="715E1E51" w14:textId="425795C7" w:rsidR="008448A3" w:rsidRPr="008448A3" w:rsidRDefault="00B70B1A" w:rsidP="008448A3">
      <w:pPr>
        <w:spacing w:line="240" w:lineRule="auto"/>
        <w:rPr>
          <w:noProof/>
          <w:lang w:val="sq-AL"/>
        </w:rPr>
      </w:pPr>
      <w:r w:rsidRPr="00B70B1A">
        <w:rPr>
          <w:b/>
          <w:bCs/>
          <w:noProof/>
          <w:lang w:val="sq-AL"/>
        </w:rPr>
        <w:t>D</w:t>
      </w:r>
      <w:r w:rsidR="008448A3" w:rsidRPr="00B70B1A">
        <w:rPr>
          <w:b/>
          <w:bCs/>
          <w:noProof/>
          <w:lang w:val="sq-AL"/>
        </w:rPr>
        <w:t>eri në fund të muajit Dhjetor 2025</w:t>
      </w:r>
      <w:r w:rsidR="008448A3" w:rsidRPr="008448A3">
        <w:rPr>
          <w:noProof/>
          <w:lang w:val="sq-AL"/>
        </w:rPr>
        <w:t xml:space="preserve"> u regjistrua një stok kumulativ i detyrimeve të prapambetura të njësive të qeverisjes së përgjithshme prej 5.</w:t>
      </w:r>
      <w:r w:rsidR="004B57C3">
        <w:rPr>
          <w:noProof/>
          <w:lang w:val="sq-AL"/>
        </w:rPr>
        <w:t>9</w:t>
      </w:r>
      <w:r w:rsidR="008448A3" w:rsidRPr="008448A3">
        <w:rPr>
          <w:noProof/>
          <w:lang w:val="sq-AL"/>
        </w:rPr>
        <w:t xml:space="preserve"> </w:t>
      </w:r>
      <w:r w:rsidR="0056260B">
        <w:rPr>
          <w:noProof/>
          <w:lang w:val="sq-AL"/>
        </w:rPr>
        <w:t>miliardë</w:t>
      </w:r>
      <w:r w:rsidR="008448A3" w:rsidRPr="008448A3">
        <w:rPr>
          <w:noProof/>
          <w:lang w:val="sq-AL"/>
        </w:rPr>
        <w:t xml:space="preserve"> </w:t>
      </w:r>
      <w:r w:rsidR="0056260B">
        <w:rPr>
          <w:noProof/>
          <w:lang w:val="sq-AL"/>
        </w:rPr>
        <w:t>LEK</w:t>
      </w:r>
      <w:r w:rsidR="008448A3" w:rsidRPr="008448A3">
        <w:rPr>
          <w:noProof/>
          <w:vertAlign w:val="superscript"/>
          <w:lang w:val="sq-AL"/>
        </w:rPr>
        <w:footnoteReference w:id="3"/>
      </w:r>
      <w:r w:rsidR="008448A3" w:rsidRPr="008448A3">
        <w:rPr>
          <w:noProof/>
          <w:lang w:val="sq-AL"/>
        </w:rPr>
        <w:t>, nga të cilat:</w:t>
      </w:r>
    </w:p>
    <w:p w14:paraId="7E0374F6" w14:textId="77777777" w:rsidR="004B57C3" w:rsidRPr="008448A3" w:rsidRDefault="004B57C3" w:rsidP="004B57C3">
      <w:pPr>
        <w:numPr>
          <w:ilvl w:val="0"/>
          <w:numId w:val="14"/>
        </w:numPr>
        <w:spacing w:before="0" w:line="240" w:lineRule="auto"/>
        <w:contextualSpacing/>
        <w:rPr>
          <w:i/>
          <w:noProof/>
          <w:lang w:val="sq-AL"/>
        </w:rPr>
      </w:pPr>
      <w:r w:rsidRPr="008448A3">
        <w:rPr>
          <w:i/>
          <w:noProof/>
          <w:lang w:val="sq-AL"/>
        </w:rPr>
        <w:t>Totali detyrimeve të qeverisë qendrore rreth 1.5</w:t>
      </w:r>
      <w:r>
        <w:rPr>
          <w:i/>
          <w:noProof/>
          <w:lang w:val="sq-AL"/>
        </w:rPr>
        <w:t>6</w:t>
      </w:r>
      <w:r w:rsidRPr="008448A3">
        <w:rPr>
          <w:i/>
          <w:noProof/>
          <w:lang w:val="sq-AL"/>
        </w:rPr>
        <w:t xml:space="preserve"> </w:t>
      </w:r>
      <w:r>
        <w:rPr>
          <w:i/>
          <w:noProof/>
          <w:lang w:val="sq-AL"/>
        </w:rPr>
        <w:t>miliardë</w:t>
      </w:r>
      <w:r w:rsidRPr="008448A3">
        <w:rPr>
          <w:i/>
          <w:noProof/>
          <w:lang w:val="sq-AL"/>
        </w:rPr>
        <w:t xml:space="preserve"> LEK</w:t>
      </w:r>
    </w:p>
    <w:p w14:paraId="65AAFE45" w14:textId="77777777" w:rsidR="004B57C3" w:rsidRPr="008448A3" w:rsidRDefault="004B57C3" w:rsidP="004B57C3">
      <w:pPr>
        <w:numPr>
          <w:ilvl w:val="0"/>
          <w:numId w:val="14"/>
        </w:numPr>
        <w:spacing w:before="0" w:line="240" w:lineRule="auto"/>
        <w:contextualSpacing/>
        <w:rPr>
          <w:i/>
          <w:noProof/>
          <w:lang w:val="sq-AL"/>
        </w:rPr>
      </w:pPr>
      <w:r w:rsidRPr="008448A3">
        <w:rPr>
          <w:i/>
          <w:noProof/>
          <w:lang w:val="sq-AL"/>
        </w:rPr>
        <w:t>Totali detyrimeve të qeverisë vendore rreth 2.9</w:t>
      </w:r>
      <w:r>
        <w:rPr>
          <w:i/>
          <w:noProof/>
          <w:lang w:val="sq-AL"/>
        </w:rPr>
        <w:t>3</w:t>
      </w:r>
      <w:r w:rsidRPr="008448A3">
        <w:rPr>
          <w:i/>
          <w:noProof/>
          <w:lang w:val="sq-AL"/>
        </w:rPr>
        <w:t xml:space="preserve"> </w:t>
      </w:r>
      <w:r>
        <w:rPr>
          <w:i/>
          <w:noProof/>
          <w:lang w:val="sq-AL"/>
        </w:rPr>
        <w:t>miliardë</w:t>
      </w:r>
      <w:r w:rsidRPr="008448A3">
        <w:rPr>
          <w:i/>
          <w:noProof/>
          <w:lang w:val="sq-AL"/>
        </w:rPr>
        <w:t xml:space="preserve"> LEK.</w:t>
      </w:r>
    </w:p>
    <w:p w14:paraId="6BE99579" w14:textId="36B91E35" w:rsidR="004B57C3" w:rsidRPr="008448A3" w:rsidRDefault="004B57C3" w:rsidP="004B57C3">
      <w:pPr>
        <w:numPr>
          <w:ilvl w:val="0"/>
          <w:numId w:val="14"/>
        </w:numPr>
        <w:spacing w:before="0" w:line="240" w:lineRule="auto"/>
        <w:contextualSpacing/>
        <w:rPr>
          <w:i/>
          <w:noProof/>
          <w:lang w:val="sq-AL"/>
        </w:rPr>
      </w:pPr>
      <w:r w:rsidRPr="008448A3">
        <w:rPr>
          <w:i/>
          <w:noProof/>
          <w:lang w:val="sq-AL"/>
        </w:rPr>
        <w:t xml:space="preserve">Totali i detyrimeve për rimbursimin e TVSH rreth 1.41 </w:t>
      </w:r>
      <w:r>
        <w:rPr>
          <w:i/>
          <w:noProof/>
          <w:lang w:val="sq-AL"/>
        </w:rPr>
        <w:t>miliardë</w:t>
      </w:r>
      <w:r w:rsidRPr="008448A3">
        <w:rPr>
          <w:i/>
          <w:noProof/>
          <w:lang w:val="sq-AL"/>
        </w:rPr>
        <w:t xml:space="preserve"> LEK.</w:t>
      </w:r>
    </w:p>
    <w:p w14:paraId="4AB41001" w14:textId="5F4C25EB" w:rsidR="008448A3" w:rsidRPr="008448A3" w:rsidRDefault="008448A3" w:rsidP="008448A3">
      <w:pPr>
        <w:spacing w:line="240" w:lineRule="auto"/>
        <w:rPr>
          <w:noProof/>
          <w:lang w:val="sq-AL"/>
        </w:rPr>
      </w:pPr>
      <w:r w:rsidRPr="008448A3">
        <w:rPr>
          <w:noProof/>
          <w:lang w:val="sq-AL"/>
        </w:rPr>
        <w:t>Krahasuar me stokun e detyrimeve të prapambetura të raportuara për të njëjtën periudhë të vitit 2024, rezulton se niveli i përgjithshëm i tyre është rreth 1.4</w:t>
      </w:r>
      <w:r w:rsidR="004B57C3">
        <w:rPr>
          <w:noProof/>
          <w:lang w:val="sq-AL"/>
        </w:rPr>
        <w:t>2</w:t>
      </w:r>
      <w:r w:rsidRPr="008448A3">
        <w:rPr>
          <w:noProof/>
          <w:lang w:val="sq-AL"/>
        </w:rPr>
        <w:t xml:space="preserve"> </w:t>
      </w:r>
      <w:r w:rsidR="0056260B" w:rsidRPr="004B57C3">
        <w:rPr>
          <w:iCs/>
          <w:noProof/>
          <w:lang w:val="sq-AL"/>
        </w:rPr>
        <w:t>miliardë</w:t>
      </w:r>
      <w:r w:rsidRPr="004B57C3">
        <w:rPr>
          <w:iCs/>
          <w:noProof/>
          <w:lang w:val="sq-AL"/>
        </w:rPr>
        <w:t xml:space="preserve"> </w:t>
      </w:r>
      <w:r w:rsidR="0056260B" w:rsidRPr="004B57C3">
        <w:rPr>
          <w:iCs/>
          <w:noProof/>
          <w:lang w:val="sq-AL"/>
        </w:rPr>
        <w:t>LEK</w:t>
      </w:r>
      <w:r w:rsidRPr="004B57C3">
        <w:rPr>
          <w:iCs/>
          <w:noProof/>
          <w:lang w:val="sq-AL"/>
        </w:rPr>
        <w:t xml:space="preserve"> më</w:t>
      </w:r>
      <w:r w:rsidRPr="008448A3">
        <w:rPr>
          <w:noProof/>
          <w:lang w:val="sq-AL"/>
        </w:rPr>
        <w:t xml:space="preserve"> i ulët ose me një rënie prej </w:t>
      </w:r>
      <w:r w:rsidR="004B57C3">
        <w:rPr>
          <w:noProof/>
          <w:lang w:val="sq-AL"/>
        </w:rPr>
        <w:t>19.4</w:t>
      </w:r>
      <w:r w:rsidRPr="008448A3">
        <w:rPr>
          <w:noProof/>
          <w:lang w:val="sq-AL"/>
        </w:rPr>
        <w:t xml:space="preserve">%. Konkretisht, </w:t>
      </w:r>
    </w:p>
    <w:p w14:paraId="7E9C229D" w14:textId="77777777" w:rsidR="004B57C3" w:rsidRPr="008448A3" w:rsidRDefault="004B57C3" w:rsidP="004B57C3">
      <w:pPr>
        <w:numPr>
          <w:ilvl w:val="0"/>
          <w:numId w:val="14"/>
        </w:numPr>
        <w:spacing w:before="0" w:line="240" w:lineRule="auto"/>
        <w:contextualSpacing/>
        <w:rPr>
          <w:i/>
          <w:noProof/>
          <w:lang w:val="sq-AL"/>
        </w:rPr>
      </w:pPr>
      <w:r w:rsidRPr="008448A3">
        <w:rPr>
          <w:i/>
          <w:noProof/>
          <w:lang w:val="sq-AL"/>
        </w:rPr>
        <w:t xml:space="preserve">Detyrimet e prapambetura qendrore janë ulur me rreth 1.1 </w:t>
      </w:r>
      <w:r>
        <w:rPr>
          <w:i/>
          <w:noProof/>
          <w:lang w:val="sq-AL"/>
        </w:rPr>
        <w:t>miliardë</w:t>
      </w:r>
      <w:r w:rsidRPr="008448A3">
        <w:rPr>
          <w:i/>
          <w:iCs/>
          <w:noProof/>
          <w:lang w:val="sq-AL"/>
        </w:rPr>
        <w:t xml:space="preserve"> </w:t>
      </w:r>
      <w:r>
        <w:rPr>
          <w:i/>
          <w:iCs/>
          <w:noProof/>
          <w:lang w:val="sq-AL"/>
        </w:rPr>
        <w:t>LEK</w:t>
      </w:r>
      <w:r w:rsidRPr="008448A3">
        <w:rPr>
          <w:i/>
          <w:noProof/>
          <w:lang w:val="sq-AL"/>
        </w:rPr>
        <w:t>, ndërsa ato vendore janë ulur me rreth 3</w:t>
      </w:r>
      <w:r>
        <w:rPr>
          <w:i/>
          <w:noProof/>
          <w:lang w:val="sq-AL"/>
        </w:rPr>
        <w:t>25</w:t>
      </w:r>
      <w:r w:rsidRPr="008448A3">
        <w:rPr>
          <w:i/>
          <w:noProof/>
          <w:lang w:val="sq-AL"/>
        </w:rPr>
        <w:t>.</w:t>
      </w:r>
      <w:r>
        <w:rPr>
          <w:i/>
          <w:noProof/>
          <w:lang w:val="sq-AL"/>
        </w:rPr>
        <w:t>8</w:t>
      </w:r>
      <w:r w:rsidRPr="008448A3">
        <w:rPr>
          <w:i/>
          <w:noProof/>
          <w:lang w:val="sq-AL"/>
        </w:rPr>
        <w:t xml:space="preserve"> </w:t>
      </w:r>
      <w:r>
        <w:rPr>
          <w:i/>
          <w:noProof/>
          <w:lang w:val="sq-AL"/>
        </w:rPr>
        <w:t>milionë</w:t>
      </w:r>
      <w:r w:rsidRPr="008448A3">
        <w:rPr>
          <w:i/>
          <w:noProof/>
          <w:lang w:val="sq-AL"/>
        </w:rPr>
        <w:t xml:space="preserve"> </w:t>
      </w:r>
      <w:r>
        <w:rPr>
          <w:i/>
          <w:iCs/>
          <w:noProof/>
          <w:lang w:val="sq-AL"/>
        </w:rPr>
        <w:t>LEK</w:t>
      </w:r>
      <w:r w:rsidRPr="008448A3">
        <w:rPr>
          <w:i/>
          <w:noProof/>
          <w:lang w:val="sq-AL"/>
        </w:rPr>
        <w:t>.</w:t>
      </w:r>
    </w:p>
    <w:p w14:paraId="46E8D7DF" w14:textId="37BC1DDC" w:rsidR="004B57C3" w:rsidRPr="008448A3" w:rsidRDefault="004B57C3" w:rsidP="004B57C3">
      <w:pPr>
        <w:numPr>
          <w:ilvl w:val="0"/>
          <w:numId w:val="14"/>
        </w:numPr>
        <w:spacing w:before="0" w:line="240" w:lineRule="auto"/>
        <w:contextualSpacing/>
        <w:rPr>
          <w:i/>
          <w:noProof/>
          <w:lang w:val="sq-AL"/>
        </w:rPr>
      </w:pPr>
      <w:r>
        <w:rPr>
          <w:i/>
          <w:noProof/>
          <w:lang w:val="sq-AL"/>
        </w:rPr>
        <w:t>D</w:t>
      </w:r>
      <w:r w:rsidRPr="008448A3">
        <w:rPr>
          <w:i/>
          <w:noProof/>
          <w:lang w:val="sq-AL"/>
        </w:rPr>
        <w:t xml:space="preserve">etyrimet për rimbursimin e TVSH janë rreth 1.41 </w:t>
      </w:r>
      <w:r>
        <w:rPr>
          <w:i/>
          <w:noProof/>
          <w:lang w:val="sq-AL"/>
        </w:rPr>
        <w:t>miliardë</w:t>
      </w:r>
      <w:r w:rsidRPr="008448A3">
        <w:rPr>
          <w:i/>
          <w:noProof/>
          <w:lang w:val="sq-AL"/>
        </w:rPr>
        <w:t xml:space="preserve"> </w:t>
      </w:r>
      <w:r>
        <w:rPr>
          <w:i/>
          <w:iCs/>
          <w:noProof/>
          <w:lang w:val="sq-AL"/>
        </w:rPr>
        <w:t>LEK</w:t>
      </w:r>
      <w:r w:rsidRPr="008448A3">
        <w:rPr>
          <w:i/>
          <w:noProof/>
          <w:lang w:val="sq-AL"/>
        </w:rPr>
        <w:t>, duke ruajtur të njëjtin nivel me vitin paraardhës 2024.</w:t>
      </w:r>
    </w:p>
    <w:p w14:paraId="2E76DBAE" w14:textId="0795574B" w:rsidR="008448A3" w:rsidRPr="000F0D9E" w:rsidRDefault="008448A3" w:rsidP="008448A3">
      <w:pPr>
        <w:spacing w:line="240" w:lineRule="auto"/>
        <w:rPr>
          <w:rFonts w:cs="Calibri"/>
          <w:noProof/>
          <w:lang w:val="sq-AL"/>
        </w:rPr>
      </w:pPr>
      <w:r w:rsidRPr="000F0D9E">
        <w:rPr>
          <w:rFonts w:cs="Calibri"/>
          <w:noProof/>
          <w:lang w:val="sq-AL"/>
        </w:rPr>
        <w:t xml:space="preserve">Në total, gjatë vitit 2025 janë shlyer rreth </w:t>
      </w:r>
      <w:r w:rsidR="004B57C3" w:rsidRPr="000F0D9E">
        <w:rPr>
          <w:rFonts w:cs="Calibri"/>
          <w:noProof/>
          <w:lang w:val="sq-AL"/>
        </w:rPr>
        <w:t>1.4</w:t>
      </w:r>
      <w:r w:rsidR="004B57C3">
        <w:rPr>
          <w:rFonts w:cs="Calibri"/>
          <w:noProof/>
          <w:lang w:val="sq-AL"/>
        </w:rPr>
        <w:t>2</w:t>
      </w:r>
      <w:r w:rsidR="004B57C3" w:rsidRPr="000F0D9E">
        <w:rPr>
          <w:rFonts w:cs="Calibri"/>
          <w:noProof/>
          <w:lang w:val="sq-AL"/>
        </w:rPr>
        <w:t xml:space="preserve"> </w:t>
      </w:r>
      <w:r w:rsidR="004B57C3">
        <w:rPr>
          <w:rFonts w:cs="Calibri"/>
          <w:noProof/>
          <w:lang w:val="sq-AL"/>
        </w:rPr>
        <w:t>miliardë</w:t>
      </w:r>
      <w:r w:rsidR="004B57C3" w:rsidRPr="000F0D9E">
        <w:rPr>
          <w:rFonts w:cs="Calibri"/>
          <w:noProof/>
          <w:lang w:val="sq-AL"/>
        </w:rPr>
        <w:t xml:space="preserve"> LEK detyrime të prapambetura nga periudhat e mëparshme. Duke konsideruar që procesi i shlyerjes së detyrimeve nga ana e institucioneve kryhet në respektim të parimit FIFO, rezulton se detyrimet që mbeten për t’u shlyer në vijim karakterizohen nga një “moshë mesatare” e re e krijimit të tyre</w:t>
      </w:r>
      <w:r w:rsidRPr="000F0D9E">
        <w:rPr>
          <w:rFonts w:cs="Calibri"/>
          <w:noProof/>
          <w:lang w:val="sq-AL"/>
        </w:rPr>
        <w:t xml:space="preserve">. </w:t>
      </w:r>
    </w:p>
    <w:p w14:paraId="20D67CE0" w14:textId="77777777" w:rsidR="008448A3" w:rsidRPr="00386A4D" w:rsidRDefault="008448A3" w:rsidP="008448A3">
      <w:pPr>
        <w:spacing w:before="0" w:line="240" w:lineRule="auto"/>
        <w:contextualSpacing/>
        <w:rPr>
          <w:i/>
          <w:noProof/>
          <w:color w:val="4389D7" w:themeColor="text2" w:themeTint="99"/>
          <w:lang w:val="sq-AL"/>
        </w:rPr>
      </w:pPr>
    </w:p>
    <w:p w14:paraId="038B18E2" w14:textId="77777777" w:rsidR="008448A3" w:rsidRPr="001824B9" w:rsidRDefault="008448A3" w:rsidP="001824B9">
      <w:pPr>
        <w:pStyle w:val="Heading3"/>
        <w:rPr>
          <w:i/>
          <w:iCs/>
        </w:rPr>
      </w:pPr>
      <w:bookmarkStart w:id="201" w:name="_Toc229390828"/>
      <w:proofErr w:type="spellStart"/>
      <w:r w:rsidRPr="001824B9">
        <w:rPr>
          <w:i/>
          <w:iCs/>
        </w:rPr>
        <w:t>Detyrimet</w:t>
      </w:r>
      <w:proofErr w:type="spellEnd"/>
      <w:r w:rsidRPr="001824B9">
        <w:rPr>
          <w:i/>
          <w:iCs/>
        </w:rPr>
        <w:t xml:space="preserve"> e </w:t>
      </w:r>
      <w:proofErr w:type="spellStart"/>
      <w:r w:rsidRPr="001824B9">
        <w:rPr>
          <w:i/>
          <w:iCs/>
        </w:rPr>
        <w:t>prapambetura</w:t>
      </w:r>
      <w:proofErr w:type="spellEnd"/>
      <w:r w:rsidRPr="001824B9">
        <w:rPr>
          <w:i/>
          <w:iCs/>
        </w:rPr>
        <w:t xml:space="preserve"> </w:t>
      </w:r>
      <w:proofErr w:type="spellStart"/>
      <w:r w:rsidRPr="001824B9">
        <w:rPr>
          <w:i/>
          <w:iCs/>
        </w:rPr>
        <w:t>për</w:t>
      </w:r>
      <w:proofErr w:type="spellEnd"/>
      <w:r w:rsidRPr="001824B9">
        <w:rPr>
          <w:i/>
          <w:iCs/>
        </w:rPr>
        <w:t xml:space="preserve"> </w:t>
      </w:r>
      <w:proofErr w:type="spellStart"/>
      <w:r w:rsidRPr="001824B9">
        <w:rPr>
          <w:i/>
          <w:iCs/>
        </w:rPr>
        <w:t>njësitë</w:t>
      </w:r>
      <w:proofErr w:type="spellEnd"/>
      <w:r w:rsidRPr="001824B9">
        <w:rPr>
          <w:i/>
          <w:iCs/>
        </w:rPr>
        <w:t xml:space="preserve"> e </w:t>
      </w:r>
      <w:proofErr w:type="spellStart"/>
      <w:r w:rsidRPr="001824B9">
        <w:rPr>
          <w:i/>
          <w:iCs/>
        </w:rPr>
        <w:t>Qeverisjes</w:t>
      </w:r>
      <w:proofErr w:type="spellEnd"/>
      <w:r w:rsidRPr="001824B9">
        <w:rPr>
          <w:i/>
          <w:iCs/>
        </w:rPr>
        <w:t xml:space="preserve"> </w:t>
      </w:r>
      <w:proofErr w:type="spellStart"/>
      <w:r w:rsidRPr="001824B9">
        <w:rPr>
          <w:i/>
          <w:iCs/>
        </w:rPr>
        <w:t>Qendrore</w:t>
      </w:r>
      <w:bookmarkEnd w:id="201"/>
      <w:proofErr w:type="spellEnd"/>
    </w:p>
    <w:p w14:paraId="0A464217" w14:textId="6A26EFB7" w:rsidR="008448A3" w:rsidRPr="008448A3" w:rsidRDefault="008448A3" w:rsidP="008448A3">
      <w:pPr>
        <w:spacing w:line="240" w:lineRule="auto"/>
        <w:rPr>
          <w:noProof/>
          <w:lang w:val="sq-AL"/>
        </w:rPr>
      </w:pPr>
      <w:r w:rsidRPr="008448A3">
        <w:rPr>
          <w:noProof/>
          <w:lang w:val="sq-AL"/>
        </w:rPr>
        <w:t>Sipas informacionit të gjeneruar nga Sistemi Informatik Financiar i Qeverisë (SIFQ) për periudhën deri në Dhjetor 2025, stoku i detyrimeve të prapambetura të njësive të qeverisjes qendrore është rreth 1.5</w:t>
      </w:r>
      <w:r w:rsidR="004B57C3">
        <w:rPr>
          <w:noProof/>
          <w:lang w:val="sq-AL"/>
        </w:rPr>
        <w:t>6</w:t>
      </w:r>
      <w:r w:rsidRPr="008448A3">
        <w:rPr>
          <w:noProof/>
          <w:lang w:val="sq-AL"/>
        </w:rPr>
        <w:t xml:space="preserve"> </w:t>
      </w:r>
      <w:r w:rsidR="0056260B">
        <w:rPr>
          <w:noProof/>
          <w:lang w:val="sq-AL"/>
        </w:rPr>
        <w:t>miliardë</w:t>
      </w:r>
      <w:r w:rsidRPr="008448A3">
        <w:rPr>
          <w:noProof/>
          <w:lang w:val="sq-AL"/>
        </w:rPr>
        <w:t xml:space="preserve"> LEK, ose rreth 1.1 </w:t>
      </w:r>
      <w:r w:rsidR="0056260B">
        <w:rPr>
          <w:noProof/>
          <w:lang w:val="sq-AL"/>
        </w:rPr>
        <w:t>miliardë</w:t>
      </w:r>
      <w:r w:rsidRPr="008448A3">
        <w:rPr>
          <w:noProof/>
          <w:lang w:val="sq-AL"/>
        </w:rPr>
        <w:t xml:space="preserve"> LEK më i ulët krahasuar me stokun e regjistruar në Dhjetor 2024. Sipas kategorive të shpenzimeve rezulton se: </w:t>
      </w:r>
    </w:p>
    <w:p w14:paraId="6B035B7D" w14:textId="77777777" w:rsidR="004B57C3" w:rsidRPr="00B70B1A" w:rsidRDefault="004B57C3" w:rsidP="004B57C3">
      <w:pPr>
        <w:numPr>
          <w:ilvl w:val="0"/>
          <w:numId w:val="14"/>
        </w:numPr>
        <w:spacing w:before="0" w:line="240" w:lineRule="auto"/>
        <w:contextualSpacing/>
        <w:rPr>
          <w:i/>
          <w:noProof/>
          <w:sz w:val="20"/>
          <w:szCs w:val="22"/>
          <w:lang w:val="sq-AL"/>
        </w:rPr>
      </w:pPr>
      <w:bookmarkStart w:id="202" w:name="_Toc229130053"/>
      <w:r w:rsidRPr="00B70B1A">
        <w:rPr>
          <w:i/>
          <w:noProof/>
          <w:sz w:val="20"/>
          <w:szCs w:val="22"/>
          <w:lang w:val="sq-AL"/>
        </w:rPr>
        <w:t>Investimet zënë peshën më të madhe të stokut të detyrimit rreth 4</w:t>
      </w:r>
      <w:r>
        <w:rPr>
          <w:i/>
          <w:noProof/>
          <w:sz w:val="20"/>
          <w:szCs w:val="22"/>
          <w:lang w:val="sq-AL"/>
        </w:rPr>
        <w:t>7</w:t>
      </w:r>
      <w:r w:rsidRPr="00B70B1A">
        <w:rPr>
          <w:i/>
          <w:noProof/>
          <w:sz w:val="20"/>
          <w:szCs w:val="22"/>
          <w:lang w:val="sq-AL"/>
        </w:rPr>
        <w:t>%,</w:t>
      </w:r>
    </w:p>
    <w:p w14:paraId="7AD9C823"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Vendimet gjyqësore zënë rreth 2</w:t>
      </w:r>
      <w:r>
        <w:rPr>
          <w:i/>
          <w:noProof/>
          <w:sz w:val="20"/>
          <w:szCs w:val="22"/>
          <w:lang w:val="sq-AL"/>
        </w:rPr>
        <w:t>5</w:t>
      </w:r>
      <w:r w:rsidRPr="00B70B1A">
        <w:rPr>
          <w:i/>
          <w:noProof/>
          <w:sz w:val="20"/>
          <w:szCs w:val="22"/>
          <w:lang w:val="sq-AL"/>
        </w:rPr>
        <w:t>.</w:t>
      </w:r>
      <w:r>
        <w:rPr>
          <w:i/>
          <w:noProof/>
          <w:sz w:val="20"/>
          <w:szCs w:val="22"/>
          <w:lang w:val="sq-AL"/>
        </w:rPr>
        <w:t>8</w:t>
      </w:r>
      <w:r w:rsidRPr="00B70B1A">
        <w:rPr>
          <w:i/>
          <w:noProof/>
          <w:sz w:val="20"/>
          <w:szCs w:val="22"/>
          <w:lang w:val="sq-AL"/>
        </w:rPr>
        <w:t>%,</w:t>
      </w:r>
    </w:p>
    <w:p w14:paraId="0FDFDF21"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Detyrime të prapambetura të tjera zënë rreth 10.</w:t>
      </w:r>
      <w:r>
        <w:rPr>
          <w:i/>
          <w:noProof/>
          <w:sz w:val="20"/>
          <w:szCs w:val="22"/>
          <w:lang w:val="sq-AL"/>
        </w:rPr>
        <w:t>2</w:t>
      </w:r>
      <w:r w:rsidRPr="00B70B1A">
        <w:rPr>
          <w:i/>
          <w:noProof/>
          <w:sz w:val="20"/>
          <w:szCs w:val="22"/>
          <w:lang w:val="sq-AL"/>
        </w:rPr>
        <w:t xml:space="preserve">%, </w:t>
      </w:r>
    </w:p>
    <w:p w14:paraId="1A7FA492"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Shërbimet me rreth 5.</w:t>
      </w:r>
      <w:r>
        <w:rPr>
          <w:i/>
          <w:noProof/>
          <w:sz w:val="20"/>
          <w:szCs w:val="22"/>
          <w:lang w:val="sq-AL"/>
        </w:rPr>
        <w:t>2</w:t>
      </w:r>
      <w:r w:rsidRPr="00B70B1A">
        <w:rPr>
          <w:i/>
          <w:noProof/>
          <w:sz w:val="20"/>
          <w:szCs w:val="22"/>
          <w:lang w:val="sq-AL"/>
        </w:rPr>
        <w:t>%,</w:t>
      </w:r>
    </w:p>
    <w:p w14:paraId="2DD935A1"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Mallra me rreth 3.3%,</w:t>
      </w:r>
    </w:p>
    <w:p w14:paraId="00EB2AFF"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Detyrimet për sigurimet shoqërore me rreth 2.7%,</w:t>
      </w:r>
    </w:p>
    <w:p w14:paraId="58DD3361"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Të Ardhurat Personale me rreth 2.7%,</w:t>
      </w:r>
    </w:p>
    <w:p w14:paraId="3908F9AA" w14:textId="4D3F29C5"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Detyrimet për sigurimet shëndet</w:t>
      </w:r>
      <w:r>
        <w:rPr>
          <w:i/>
          <w:noProof/>
          <w:sz w:val="20"/>
          <w:szCs w:val="22"/>
          <w:lang w:val="sq-AL"/>
        </w:rPr>
        <w:t>ë</w:t>
      </w:r>
      <w:r w:rsidRPr="00B70B1A">
        <w:rPr>
          <w:i/>
          <w:noProof/>
          <w:sz w:val="20"/>
          <w:szCs w:val="22"/>
          <w:lang w:val="sq-AL"/>
        </w:rPr>
        <w:t>sore me rreth 1.2%.</w:t>
      </w:r>
    </w:p>
    <w:p w14:paraId="285EC381" w14:textId="64989954"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Rimbursimi i TVSH 1.1%,</w:t>
      </w:r>
    </w:p>
    <w:p w14:paraId="567EF00C" w14:textId="77777777" w:rsidR="004B57C3" w:rsidRPr="00B70B1A" w:rsidRDefault="004B57C3" w:rsidP="004B57C3">
      <w:pPr>
        <w:numPr>
          <w:ilvl w:val="0"/>
          <w:numId w:val="14"/>
        </w:numPr>
        <w:spacing w:before="0" w:line="240" w:lineRule="auto"/>
        <w:contextualSpacing/>
        <w:rPr>
          <w:i/>
          <w:noProof/>
          <w:sz w:val="20"/>
          <w:szCs w:val="22"/>
          <w:lang w:val="sq-AL"/>
        </w:rPr>
      </w:pPr>
      <w:r w:rsidRPr="00B70B1A">
        <w:rPr>
          <w:i/>
          <w:noProof/>
          <w:sz w:val="20"/>
          <w:szCs w:val="22"/>
          <w:lang w:val="sq-AL"/>
        </w:rPr>
        <w:t>Mirëmbajtje me rreth 1%.</w:t>
      </w:r>
    </w:p>
    <w:p w14:paraId="563EED1E" w14:textId="7CFFD704" w:rsidR="008448A3" w:rsidRPr="00BC2AFE" w:rsidRDefault="008448A3" w:rsidP="008448A3">
      <w:pPr>
        <w:pStyle w:val="Caption"/>
        <w:rPr>
          <w:rFonts w:cs="Calibri"/>
          <w:noProof/>
          <w:lang w:val="sq-AL"/>
        </w:rPr>
      </w:pPr>
      <w:r w:rsidRPr="00B644BE">
        <w:rPr>
          <w:noProof/>
          <w:lang w:val="sq-AL"/>
        </w:rPr>
        <w:lastRenderedPageBreak/>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36</w:t>
      </w:r>
      <w:r w:rsidRPr="00B644BE">
        <w:rPr>
          <w:noProof/>
          <w:lang w:val="sq-AL"/>
        </w:rPr>
        <w:fldChar w:fldCharType="end"/>
      </w:r>
      <w:r w:rsidRPr="00B644BE">
        <w:rPr>
          <w:noProof/>
          <w:lang w:val="sq-AL"/>
        </w:rPr>
        <w:t xml:space="preserve"> Stoku i detyrimeve të Ministrisë së Energjisë dhe Infrastrukturës dhe ministrive të tjer</w:t>
      </w:r>
      <w:r>
        <w:rPr>
          <w:noProof/>
          <w:lang w:val="sq-AL"/>
        </w:rPr>
        <w:t>a</w:t>
      </w:r>
      <w:bookmarkEnd w:id="202"/>
    </w:p>
    <w:p w14:paraId="471B752F" w14:textId="30453B7F" w:rsidR="008448A3" w:rsidRPr="00B644BE" w:rsidRDefault="004B57C3" w:rsidP="008448A3">
      <w:pPr>
        <w:spacing w:before="0" w:line="240" w:lineRule="auto"/>
        <w:contextualSpacing/>
        <w:jc w:val="center"/>
        <w:rPr>
          <w:rFonts w:eastAsia="Calibri" w:cs="Calibri"/>
          <w:bCs/>
          <w:i/>
          <w:noProof/>
          <w:u w:val="single"/>
          <w:lang w:val="sq-AL" w:eastAsia="sq-AL"/>
        </w:rPr>
      </w:pPr>
      <w:r>
        <w:rPr>
          <w:rFonts w:eastAsia="Calibri" w:cs="Calibri"/>
          <w:bCs/>
          <w:i/>
          <w:noProof/>
          <w:u w:val="single"/>
          <w:lang w:val="sq-AL" w:eastAsia="sq-AL"/>
        </w:rPr>
        <w:drawing>
          <wp:inline distT="0" distB="0" distL="0" distR="0" wp14:anchorId="6B085279" wp14:editId="6B247685">
            <wp:extent cx="5882005" cy="2222500"/>
            <wp:effectExtent l="0" t="0" r="4445" b="6350"/>
            <wp:docPr id="1618162568" name="Picture 1" descr="A graph with numbers and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62568" name="Picture 1" descr="A graph with numbers and a red 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4114" cy="2234632"/>
                    </a:xfrm>
                    <a:prstGeom prst="rect">
                      <a:avLst/>
                    </a:prstGeom>
                    <a:noFill/>
                  </pic:spPr>
                </pic:pic>
              </a:graphicData>
            </a:graphic>
          </wp:inline>
        </w:drawing>
      </w:r>
    </w:p>
    <w:p w14:paraId="036B6B63" w14:textId="77777777" w:rsidR="008448A3" w:rsidRPr="00BC2AFE" w:rsidRDefault="008448A3" w:rsidP="008448A3">
      <w:pPr>
        <w:spacing w:before="0" w:line="240" w:lineRule="auto"/>
        <w:ind w:firstLine="720"/>
        <w:rPr>
          <w:rFonts w:eastAsia="SimSun" w:cs="Calibri"/>
          <w:bCs/>
          <w:i/>
          <w:noProof/>
          <w:sz w:val="18"/>
          <w:szCs w:val="18"/>
          <w:lang w:val="sq-AL"/>
        </w:rPr>
      </w:pPr>
      <w:r w:rsidRPr="00E95FBE">
        <w:rPr>
          <w:rFonts w:eastAsia="SimSun" w:cs="Calibri"/>
          <w:bCs/>
          <w:i/>
          <w:noProof/>
          <w:sz w:val="18"/>
          <w:szCs w:val="18"/>
          <w:lang w:val="sq-AL"/>
        </w:rPr>
        <w:t>Burimi: Ministria e Financave (202</w:t>
      </w:r>
      <w:r>
        <w:rPr>
          <w:rFonts w:eastAsia="SimSun" w:cs="Calibri"/>
          <w:bCs/>
          <w:i/>
          <w:noProof/>
          <w:sz w:val="18"/>
          <w:szCs w:val="18"/>
          <w:lang w:val="sq-AL"/>
        </w:rPr>
        <w:t>6</w:t>
      </w:r>
      <w:r w:rsidRPr="00E95FBE">
        <w:rPr>
          <w:rFonts w:eastAsia="SimSun" w:cs="Calibri"/>
          <w:bCs/>
          <w:i/>
          <w:noProof/>
          <w:sz w:val="18"/>
          <w:szCs w:val="18"/>
          <w:lang w:val="sq-AL"/>
        </w:rPr>
        <w:t>)</w:t>
      </w:r>
    </w:p>
    <w:p w14:paraId="649916EF" w14:textId="77777777" w:rsidR="004B69BA" w:rsidRPr="004B69BA" w:rsidRDefault="004B69BA" w:rsidP="008448A3">
      <w:pPr>
        <w:pStyle w:val="Caption"/>
        <w:rPr>
          <w:noProof/>
          <w:sz w:val="2"/>
          <w:szCs w:val="2"/>
          <w:lang w:val="sq-AL"/>
        </w:rPr>
      </w:pPr>
    </w:p>
    <w:p w14:paraId="4B036A3D" w14:textId="376B97DD" w:rsidR="008448A3" w:rsidRPr="00BC2AFE" w:rsidRDefault="008448A3" w:rsidP="008448A3">
      <w:pPr>
        <w:pStyle w:val="Caption"/>
        <w:rPr>
          <w:rFonts w:cs="Calibri"/>
          <w:noProof/>
          <w:lang w:val="sq-AL"/>
        </w:rPr>
      </w:pPr>
      <w:bookmarkStart w:id="203" w:name="_Toc229130054"/>
      <w:r w:rsidRPr="00B644BE">
        <w:rPr>
          <w:noProof/>
          <w:lang w:val="sq-AL"/>
        </w:rPr>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37</w:t>
      </w:r>
      <w:r w:rsidRPr="00B644BE">
        <w:rPr>
          <w:noProof/>
          <w:lang w:val="sq-AL"/>
        </w:rPr>
        <w:fldChar w:fldCharType="end"/>
      </w:r>
      <w:r w:rsidRPr="00B644BE">
        <w:rPr>
          <w:noProof/>
          <w:lang w:val="sq-AL"/>
        </w:rPr>
        <w:t xml:space="preserve"> Stoku i detyrimeve të prapambetura qendrore sipas zërave kryesorë</w:t>
      </w:r>
      <w:bookmarkEnd w:id="203"/>
    </w:p>
    <w:p w14:paraId="5D0F859E" w14:textId="0AB27476" w:rsidR="008448A3" w:rsidRPr="00B644BE" w:rsidRDefault="004B57C3" w:rsidP="008448A3">
      <w:pPr>
        <w:spacing w:before="0" w:line="240" w:lineRule="auto"/>
        <w:contextualSpacing/>
        <w:jc w:val="center"/>
        <w:rPr>
          <w:i/>
          <w:noProof/>
          <w:lang w:val="sq-AL"/>
        </w:rPr>
      </w:pPr>
      <w:r>
        <w:rPr>
          <w:i/>
          <w:noProof/>
          <w:lang w:val="sq-AL"/>
        </w:rPr>
        <w:drawing>
          <wp:inline distT="0" distB="0" distL="0" distR="0" wp14:anchorId="7B2A8571" wp14:editId="6C4E0F0D">
            <wp:extent cx="4714875" cy="2870421"/>
            <wp:effectExtent l="0" t="0" r="0" b="6350"/>
            <wp:docPr id="1756779065" name="Picture 3" descr="A pie char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79065" name="Picture 3" descr="A pie chart with numbers and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8019" cy="2872335"/>
                    </a:xfrm>
                    <a:prstGeom prst="rect">
                      <a:avLst/>
                    </a:prstGeom>
                    <a:noFill/>
                  </pic:spPr>
                </pic:pic>
              </a:graphicData>
            </a:graphic>
          </wp:inline>
        </w:drawing>
      </w:r>
    </w:p>
    <w:p w14:paraId="3785E7F9" w14:textId="77777777" w:rsidR="008448A3" w:rsidRPr="00E95FBE" w:rsidRDefault="008448A3" w:rsidP="008448A3">
      <w:pPr>
        <w:spacing w:before="0" w:line="360" w:lineRule="auto"/>
        <w:contextualSpacing/>
        <w:rPr>
          <w:bCs/>
          <w:i/>
          <w:noProof/>
          <w:sz w:val="18"/>
          <w:lang w:val="sq-AL"/>
        </w:rPr>
      </w:pPr>
      <w:r w:rsidRPr="00E95FBE">
        <w:rPr>
          <w:bCs/>
          <w:i/>
          <w:noProof/>
          <w:sz w:val="20"/>
          <w:lang w:val="sq-AL"/>
        </w:rPr>
        <w:t xml:space="preserve">                  </w:t>
      </w:r>
      <w:r w:rsidRPr="00E95FBE">
        <w:rPr>
          <w:bCs/>
          <w:i/>
          <w:noProof/>
          <w:sz w:val="20"/>
          <w:lang w:val="sq-AL"/>
        </w:rPr>
        <w:tab/>
      </w:r>
      <w:r>
        <w:rPr>
          <w:bCs/>
          <w:i/>
          <w:noProof/>
          <w:sz w:val="20"/>
          <w:lang w:val="sq-AL"/>
        </w:rPr>
        <w:tab/>
      </w:r>
      <w:r w:rsidRPr="00E95FBE">
        <w:rPr>
          <w:bCs/>
          <w:i/>
          <w:noProof/>
          <w:sz w:val="18"/>
          <w:lang w:val="sq-AL"/>
        </w:rPr>
        <w:t>Burimi: Ministria e Financave (202</w:t>
      </w:r>
      <w:r>
        <w:rPr>
          <w:bCs/>
          <w:i/>
          <w:noProof/>
          <w:sz w:val="18"/>
          <w:lang w:val="sq-AL"/>
        </w:rPr>
        <w:t>6</w:t>
      </w:r>
      <w:r w:rsidRPr="00E95FBE">
        <w:rPr>
          <w:bCs/>
          <w:i/>
          <w:noProof/>
          <w:sz w:val="18"/>
          <w:lang w:val="sq-AL"/>
        </w:rPr>
        <w:t>)</w:t>
      </w:r>
    </w:p>
    <w:p w14:paraId="2103EB07" w14:textId="77777777" w:rsidR="0047194D" w:rsidRDefault="0047194D" w:rsidP="008448A3">
      <w:pPr>
        <w:spacing w:line="240" w:lineRule="auto"/>
        <w:contextualSpacing/>
        <w:rPr>
          <w:rFonts w:eastAsia="Calibri" w:cs="Calibri"/>
          <w:bCs/>
          <w:noProof/>
          <w:lang w:val="sq-AL" w:eastAsia="sq-AL"/>
        </w:rPr>
      </w:pPr>
    </w:p>
    <w:p w14:paraId="272112AD" w14:textId="1E18305C" w:rsidR="008448A3" w:rsidRPr="008448A3" w:rsidRDefault="008448A3" w:rsidP="008448A3">
      <w:pPr>
        <w:spacing w:line="240" w:lineRule="auto"/>
        <w:contextualSpacing/>
        <w:rPr>
          <w:rFonts w:eastAsia="Calibri" w:cs="Calibri"/>
          <w:bCs/>
          <w:noProof/>
          <w:lang w:val="sq-AL" w:eastAsia="sq-AL"/>
        </w:rPr>
      </w:pPr>
      <w:r w:rsidRPr="008448A3">
        <w:rPr>
          <w:rFonts w:eastAsia="Calibri" w:cs="Calibri"/>
          <w:bCs/>
          <w:noProof/>
          <w:lang w:val="sq-AL" w:eastAsia="sq-AL"/>
        </w:rPr>
        <w:t>Krahasuar me vitet e kaluara, viti 2025 shënoi një ulje të detyrimeve të prapambetura në shpenzimet për investime, të cilat zënë dhe peshën kryesore ndaj totalit në nivel qendror.</w:t>
      </w:r>
    </w:p>
    <w:p w14:paraId="3AD63ACF" w14:textId="0988C89C" w:rsidR="008448A3" w:rsidRDefault="004B57C3">
      <w:pPr>
        <w:pStyle w:val="ListParagraph"/>
        <w:numPr>
          <w:ilvl w:val="0"/>
          <w:numId w:val="25"/>
        </w:numPr>
        <w:spacing w:before="0" w:line="240" w:lineRule="auto"/>
        <w:ind w:left="450"/>
        <w:rPr>
          <w:rFonts w:eastAsia="Calibri" w:cs="Calibri"/>
          <w:bCs/>
          <w:i/>
          <w:noProof/>
          <w:lang w:val="sq-AL" w:eastAsia="sq-AL"/>
        </w:rPr>
      </w:pPr>
      <w:r w:rsidRPr="008448A3">
        <w:rPr>
          <w:rFonts w:eastAsia="Calibri" w:cs="Calibri"/>
          <w:bCs/>
          <w:i/>
          <w:noProof/>
          <w:lang w:val="sq-AL" w:eastAsia="sq-AL"/>
        </w:rPr>
        <w:t xml:space="preserve">Deri në Dhjetor 2025, detyrimet e prapambetura të shpenzimeve për investimet rezultuan në rreth </w:t>
      </w:r>
      <w:r>
        <w:rPr>
          <w:rFonts w:eastAsia="Calibri" w:cs="Calibri"/>
          <w:bCs/>
          <w:i/>
          <w:noProof/>
          <w:lang w:val="sq-AL" w:eastAsia="sq-AL"/>
        </w:rPr>
        <w:t>732</w:t>
      </w:r>
      <w:r w:rsidRPr="008448A3">
        <w:rPr>
          <w:rFonts w:eastAsia="Calibri" w:cs="Calibri"/>
          <w:bCs/>
          <w:i/>
          <w:noProof/>
          <w:lang w:val="sq-AL" w:eastAsia="sq-AL"/>
        </w:rPr>
        <w:t xml:space="preserve"> </w:t>
      </w:r>
      <w:r>
        <w:rPr>
          <w:rFonts w:eastAsia="Calibri" w:cs="Calibri"/>
          <w:bCs/>
          <w:i/>
          <w:noProof/>
          <w:lang w:val="sq-AL" w:eastAsia="sq-AL"/>
        </w:rPr>
        <w:t>milionë</w:t>
      </w:r>
      <w:r w:rsidRPr="008448A3">
        <w:rPr>
          <w:rFonts w:eastAsia="Calibri" w:cs="Calibri"/>
          <w:bCs/>
          <w:i/>
          <w:noProof/>
          <w:lang w:val="sq-AL" w:eastAsia="sq-AL"/>
        </w:rPr>
        <w:t xml:space="preserve"> </w:t>
      </w:r>
      <w:r>
        <w:rPr>
          <w:rFonts w:eastAsia="Calibri" w:cs="Calibri"/>
          <w:bCs/>
          <w:i/>
          <w:noProof/>
          <w:lang w:val="sq-AL" w:eastAsia="sq-AL"/>
        </w:rPr>
        <w:t>LEK</w:t>
      </w:r>
      <w:r w:rsidRPr="008448A3">
        <w:rPr>
          <w:rFonts w:eastAsia="Calibri" w:cs="Calibri"/>
          <w:bCs/>
          <w:i/>
          <w:noProof/>
          <w:lang w:val="sq-AL" w:eastAsia="sq-AL"/>
        </w:rPr>
        <w:t xml:space="preserve"> ose rreth 4</w:t>
      </w:r>
      <w:r>
        <w:rPr>
          <w:rFonts w:eastAsia="Calibri" w:cs="Calibri"/>
          <w:bCs/>
          <w:i/>
          <w:noProof/>
          <w:lang w:val="sq-AL" w:eastAsia="sq-AL"/>
        </w:rPr>
        <w:t>7</w:t>
      </w:r>
      <w:r w:rsidRPr="008448A3">
        <w:rPr>
          <w:rFonts w:eastAsia="Calibri" w:cs="Calibri"/>
          <w:bCs/>
          <w:i/>
          <w:noProof/>
          <w:lang w:val="sq-AL" w:eastAsia="sq-AL"/>
        </w:rPr>
        <w:t xml:space="preserve">% e totalit të detyrimeve në nivel qendror, nga 1,093.7 </w:t>
      </w:r>
      <w:r>
        <w:rPr>
          <w:rFonts w:eastAsia="Calibri" w:cs="Calibri"/>
          <w:bCs/>
          <w:i/>
          <w:noProof/>
          <w:lang w:val="sq-AL" w:eastAsia="sq-AL"/>
        </w:rPr>
        <w:t>miliardë</w:t>
      </w:r>
      <w:r w:rsidRPr="008448A3">
        <w:rPr>
          <w:rFonts w:eastAsia="Calibri" w:cs="Calibri"/>
          <w:bCs/>
          <w:i/>
          <w:noProof/>
          <w:lang w:val="sq-AL" w:eastAsia="sq-AL"/>
        </w:rPr>
        <w:t xml:space="preserve"> </w:t>
      </w:r>
      <w:r>
        <w:rPr>
          <w:rFonts w:eastAsia="Calibri" w:cs="Calibri"/>
          <w:bCs/>
          <w:i/>
          <w:noProof/>
          <w:lang w:val="sq-AL" w:eastAsia="sq-AL"/>
        </w:rPr>
        <w:t>LEK</w:t>
      </w:r>
      <w:r w:rsidRPr="008448A3">
        <w:rPr>
          <w:rFonts w:eastAsia="Calibri" w:cs="Calibri"/>
          <w:bCs/>
          <w:i/>
          <w:noProof/>
          <w:lang w:val="sq-AL" w:eastAsia="sq-AL"/>
        </w:rPr>
        <w:t xml:space="preserve"> që ishin</w:t>
      </w:r>
      <w:r w:rsidR="00EC65D6">
        <w:rPr>
          <w:rFonts w:eastAsia="Calibri" w:cs="Calibri"/>
          <w:bCs/>
          <w:i/>
          <w:noProof/>
          <w:lang w:val="sq-AL" w:eastAsia="sq-AL"/>
        </w:rPr>
        <w:t xml:space="preserve"> </w:t>
      </w:r>
      <w:r w:rsidRPr="008448A3">
        <w:rPr>
          <w:rFonts w:eastAsia="Calibri" w:cs="Calibri"/>
          <w:bCs/>
          <w:i/>
          <w:noProof/>
          <w:lang w:val="sq-AL" w:eastAsia="sq-AL"/>
        </w:rPr>
        <w:t>në Dhjetor 2024</w:t>
      </w:r>
      <w:r w:rsidR="008448A3" w:rsidRPr="008448A3">
        <w:rPr>
          <w:rFonts w:eastAsia="Calibri" w:cs="Calibri"/>
          <w:bCs/>
          <w:i/>
          <w:noProof/>
          <w:lang w:val="sq-AL" w:eastAsia="sq-AL"/>
        </w:rPr>
        <w:t xml:space="preserve">. </w:t>
      </w:r>
    </w:p>
    <w:p w14:paraId="35173CE2" w14:textId="77777777" w:rsidR="00EC65D6" w:rsidRPr="008448A3" w:rsidRDefault="00EC65D6" w:rsidP="00EC65D6">
      <w:pPr>
        <w:pStyle w:val="ListParagraph"/>
        <w:spacing w:before="0" w:line="240" w:lineRule="auto"/>
        <w:ind w:left="450"/>
        <w:rPr>
          <w:rFonts w:eastAsia="Calibri" w:cs="Calibri"/>
          <w:bCs/>
          <w:i/>
          <w:noProof/>
          <w:lang w:val="sq-AL" w:eastAsia="sq-AL"/>
        </w:rPr>
      </w:pPr>
    </w:p>
    <w:p w14:paraId="479AE75F" w14:textId="0135C546" w:rsidR="008448A3" w:rsidRPr="008448A3" w:rsidRDefault="008448A3" w:rsidP="008448A3">
      <w:pPr>
        <w:spacing w:line="240" w:lineRule="auto"/>
        <w:contextualSpacing/>
        <w:rPr>
          <w:rFonts w:eastAsia="Calibri" w:cs="Calibri"/>
          <w:bCs/>
          <w:noProof/>
          <w:lang w:val="sq-AL" w:eastAsia="sq-AL"/>
        </w:rPr>
      </w:pPr>
      <w:r w:rsidRPr="008448A3">
        <w:rPr>
          <w:rFonts w:eastAsia="Calibri" w:cs="Calibri"/>
          <w:bCs/>
          <w:noProof/>
          <w:lang w:val="sq-AL" w:eastAsia="sq-AL"/>
        </w:rPr>
        <w:t>Një zë me peshë të konsiderueshme vijon të mbetet ai i vendimeve gjyqësore administrative, të cilat:</w:t>
      </w:r>
    </w:p>
    <w:p w14:paraId="696AD3D4" w14:textId="3886AD48" w:rsidR="008448A3" w:rsidRPr="00EC65D6" w:rsidRDefault="004B57C3" w:rsidP="00EC65D6">
      <w:pPr>
        <w:pStyle w:val="ListParagraph"/>
        <w:numPr>
          <w:ilvl w:val="0"/>
          <w:numId w:val="25"/>
        </w:numPr>
        <w:spacing w:before="0" w:line="240" w:lineRule="auto"/>
        <w:ind w:left="450"/>
        <w:rPr>
          <w:rFonts w:eastAsia="Calibri" w:cs="Calibri"/>
          <w:bCs/>
          <w:i/>
          <w:noProof/>
          <w:lang w:val="sq-AL" w:eastAsia="sq-AL"/>
        </w:rPr>
      </w:pPr>
      <w:r w:rsidRPr="008448A3">
        <w:rPr>
          <w:rFonts w:eastAsia="Calibri" w:cs="Calibri"/>
          <w:bCs/>
          <w:i/>
          <w:noProof/>
          <w:lang w:val="sq-AL" w:eastAsia="sq-AL"/>
        </w:rPr>
        <w:t xml:space="preserve">Kanë kryesisht në sfond largimet e padrejta nga puna të ish-punonjësve, të cilat në çdo rast implikojnë kosto buxhetore të paparashikuara. Deri në Dhjetor 2025, detyrimet e prapambetura për vendime gjyqësore për njësitë e qeverisjes qendrore rezultuan në rreth </w:t>
      </w:r>
      <w:r>
        <w:rPr>
          <w:rFonts w:eastAsia="Calibri" w:cs="Calibri"/>
          <w:bCs/>
          <w:i/>
          <w:noProof/>
          <w:lang w:val="sq-AL" w:eastAsia="sq-AL"/>
        </w:rPr>
        <w:t>402</w:t>
      </w:r>
      <w:r w:rsidRPr="008448A3">
        <w:rPr>
          <w:rFonts w:eastAsia="Calibri" w:cs="Calibri"/>
          <w:bCs/>
          <w:i/>
          <w:noProof/>
          <w:lang w:val="sq-AL" w:eastAsia="sq-AL"/>
        </w:rPr>
        <w:t xml:space="preserve">.3 </w:t>
      </w:r>
      <w:r>
        <w:rPr>
          <w:rFonts w:eastAsia="Calibri" w:cs="Calibri"/>
          <w:bCs/>
          <w:i/>
          <w:noProof/>
          <w:lang w:val="sq-AL" w:eastAsia="sq-AL"/>
        </w:rPr>
        <w:t>milionë</w:t>
      </w:r>
      <w:r w:rsidRPr="008448A3">
        <w:rPr>
          <w:rFonts w:eastAsia="Calibri" w:cs="Calibri"/>
          <w:bCs/>
          <w:i/>
          <w:noProof/>
          <w:lang w:val="sq-AL" w:eastAsia="sq-AL"/>
        </w:rPr>
        <w:t xml:space="preserve"> </w:t>
      </w:r>
      <w:r>
        <w:rPr>
          <w:rFonts w:eastAsia="Calibri" w:cs="Calibri"/>
          <w:bCs/>
          <w:i/>
          <w:noProof/>
          <w:lang w:val="sq-AL" w:eastAsia="sq-AL"/>
        </w:rPr>
        <w:t>LEK</w:t>
      </w:r>
      <w:r w:rsidRPr="008448A3">
        <w:rPr>
          <w:rFonts w:eastAsia="Calibri" w:cs="Calibri"/>
          <w:bCs/>
          <w:i/>
          <w:noProof/>
          <w:lang w:val="sq-AL" w:eastAsia="sq-AL"/>
        </w:rPr>
        <w:t xml:space="preserve"> ose rreth 2</w:t>
      </w:r>
      <w:r>
        <w:rPr>
          <w:rFonts w:eastAsia="Calibri" w:cs="Calibri"/>
          <w:bCs/>
          <w:i/>
          <w:noProof/>
          <w:lang w:val="sq-AL" w:eastAsia="sq-AL"/>
        </w:rPr>
        <w:t>5.8</w:t>
      </w:r>
      <w:r w:rsidRPr="008448A3">
        <w:rPr>
          <w:rFonts w:eastAsia="Calibri" w:cs="Calibri"/>
          <w:bCs/>
          <w:i/>
          <w:noProof/>
          <w:lang w:val="sq-AL" w:eastAsia="sq-AL"/>
        </w:rPr>
        <w:t xml:space="preserve">% e stokut total të detyrimeve të prapambetura të njësive qendrore, nga 911.6 </w:t>
      </w:r>
      <w:r>
        <w:rPr>
          <w:rFonts w:eastAsia="Calibri" w:cs="Calibri"/>
          <w:bCs/>
          <w:i/>
          <w:noProof/>
          <w:lang w:val="sq-AL" w:eastAsia="sq-AL"/>
        </w:rPr>
        <w:t>miliardë</w:t>
      </w:r>
      <w:r w:rsidRPr="008448A3">
        <w:rPr>
          <w:rFonts w:eastAsia="Calibri" w:cs="Calibri"/>
          <w:bCs/>
          <w:i/>
          <w:noProof/>
          <w:lang w:val="sq-AL" w:eastAsia="sq-AL"/>
        </w:rPr>
        <w:t xml:space="preserve"> </w:t>
      </w:r>
      <w:r>
        <w:rPr>
          <w:rFonts w:eastAsia="Calibri" w:cs="Calibri"/>
          <w:bCs/>
          <w:i/>
          <w:noProof/>
          <w:lang w:val="sq-AL" w:eastAsia="sq-AL"/>
        </w:rPr>
        <w:t>LEK</w:t>
      </w:r>
      <w:r w:rsidRPr="008448A3">
        <w:rPr>
          <w:rFonts w:eastAsia="Calibri" w:cs="Calibri"/>
          <w:bCs/>
          <w:i/>
          <w:noProof/>
          <w:lang w:val="sq-AL" w:eastAsia="sq-AL"/>
        </w:rPr>
        <w:t xml:space="preserve"> që ishin deri në Dhjetor 2024.</w:t>
      </w:r>
      <w:r w:rsidR="00EC65D6">
        <w:rPr>
          <w:rFonts w:eastAsia="Calibri" w:cs="Calibri"/>
          <w:bCs/>
          <w:i/>
          <w:noProof/>
          <w:lang w:val="sq-AL" w:eastAsia="sq-AL"/>
        </w:rPr>
        <w:t xml:space="preserve"> </w:t>
      </w:r>
      <w:r w:rsidRPr="00EC65D6">
        <w:rPr>
          <w:rFonts w:eastAsia="Calibri" w:cs="Calibri"/>
          <w:bCs/>
          <w:i/>
          <w:noProof/>
          <w:lang w:val="sq-AL" w:eastAsia="sq-AL"/>
        </w:rPr>
        <w:t>Ministria e Financave, për t’i paraprirë akumulimit të tyre në kohë, përveç një monitorimi periodik, vazhdimisht i ka bërë apel aftësisë menaxhuese të vetë institucioneve buxhetore, përmes aplikimit me këste të pagesës për përfituesit apo instrumenteve të tjerë të lehtësimit dhe/ose zhvendosjes në kohë të të barrës së tyre buxhetore</w:t>
      </w:r>
      <w:r w:rsidR="008448A3" w:rsidRPr="00EC65D6">
        <w:rPr>
          <w:rFonts w:eastAsia="Calibri" w:cs="Calibri"/>
          <w:bCs/>
          <w:i/>
          <w:noProof/>
          <w:lang w:val="sq-AL" w:eastAsia="sq-AL"/>
        </w:rPr>
        <w:t>.</w:t>
      </w:r>
    </w:p>
    <w:p w14:paraId="27996D9A" w14:textId="77777777" w:rsidR="00BB7DD5" w:rsidRPr="008448A3" w:rsidRDefault="00BB7DD5" w:rsidP="001824B9">
      <w:pPr>
        <w:spacing w:before="0" w:line="240" w:lineRule="auto"/>
        <w:contextualSpacing/>
        <w:rPr>
          <w:rFonts w:eastAsia="Calibri" w:cs="Calibri"/>
          <w:bCs/>
          <w:i/>
          <w:noProof/>
          <w:lang w:val="sq-AL" w:eastAsia="sq-AL"/>
        </w:rPr>
      </w:pPr>
    </w:p>
    <w:p w14:paraId="5414BC55" w14:textId="77777777" w:rsidR="008448A3" w:rsidRPr="001824B9" w:rsidRDefault="008448A3" w:rsidP="001824B9">
      <w:pPr>
        <w:pStyle w:val="Heading3"/>
        <w:rPr>
          <w:i/>
          <w:iCs/>
        </w:rPr>
      </w:pPr>
      <w:bookmarkStart w:id="204" w:name="_Toc229390829"/>
      <w:proofErr w:type="spellStart"/>
      <w:r w:rsidRPr="001824B9">
        <w:rPr>
          <w:i/>
          <w:iCs/>
        </w:rPr>
        <w:lastRenderedPageBreak/>
        <w:t>Detyrimet</w:t>
      </w:r>
      <w:proofErr w:type="spellEnd"/>
      <w:r w:rsidRPr="001824B9">
        <w:rPr>
          <w:i/>
          <w:iCs/>
        </w:rPr>
        <w:t xml:space="preserve"> e </w:t>
      </w:r>
      <w:proofErr w:type="spellStart"/>
      <w:r w:rsidRPr="001824B9">
        <w:rPr>
          <w:i/>
          <w:iCs/>
        </w:rPr>
        <w:t>prapambetura</w:t>
      </w:r>
      <w:proofErr w:type="spellEnd"/>
      <w:r w:rsidRPr="001824B9">
        <w:rPr>
          <w:i/>
          <w:iCs/>
        </w:rPr>
        <w:t xml:space="preserve"> </w:t>
      </w:r>
      <w:proofErr w:type="spellStart"/>
      <w:r w:rsidRPr="001824B9">
        <w:rPr>
          <w:i/>
          <w:iCs/>
        </w:rPr>
        <w:t>për</w:t>
      </w:r>
      <w:proofErr w:type="spellEnd"/>
      <w:r w:rsidRPr="001824B9">
        <w:rPr>
          <w:i/>
          <w:iCs/>
        </w:rPr>
        <w:t xml:space="preserve"> </w:t>
      </w:r>
      <w:proofErr w:type="spellStart"/>
      <w:r w:rsidRPr="001824B9">
        <w:rPr>
          <w:i/>
          <w:iCs/>
        </w:rPr>
        <w:t>njësitë</w:t>
      </w:r>
      <w:proofErr w:type="spellEnd"/>
      <w:r w:rsidRPr="001824B9">
        <w:rPr>
          <w:i/>
          <w:iCs/>
        </w:rPr>
        <w:t xml:space="preserve"> e </w:t>
      </w:r>
      <w:proofErr w:type="spellStart"/>
      <w:r w:rsidRPr="001824B9">
        <w:rPr>
          <w:i/>
          <w:iCs/>
        </w:rPr>
        <w:t>Vetëqeverisjes</w:t>
      </w:r>
      <w:proofErr w:type="spellEnd"/>
      <w:r w:rsidRPr="001824B9">
        <w:rPr>
          <w:i/>
          <w:iCs/>
        </w:rPr>
        <w:t xml:space="preserve"> </w:t>
      </w:r>
      <w:proofErr w:type="spellStart"/>
      <w:r w:rsidRPr="001824B9">
        <w:rPr>
          <w:i/>
          <w:iCs/>
        </w:rPr>
        <w:t>Vendore</w:t>
      </w:r>
      <w:proofErr w:type="spellEnd"/>
      <w:r w:rsidRPr="001824B9">
        <w:rPr>
          <w:i/>
          <w:iCs/>
        </w:rPr>
        <w:t xml:space="preserve"> (NJVQV)</w:t>
      </w:r>
      <w:bookmarkStart w:id="205" w:name="_Hlk135830342"/>
      <w:bookmarkEnd w:id="204"/>
    </w:p>
    <w:p w14:paraId="72BD90D3" w14:textId="3147CD92" w:rsidR="00072BA1" w:rsidRPr="00072BA1" w:rsidRDefault="003C40CA" w:rsidP="00072BA1">
      <w:pPr>
        <w:spacing w:line="240" w:lineRule="auto"/>
        <w:contextualSpacing/>
        <w:rPr>
          <w:rFonts w:eastAsia="Calibri" w:cs="Calibri"/>
          <w:bCs/>
          <w:noProof/>
          <w:lang w:val="sq-AL" w:eastAsia="sq-AL"/>
        </w:rPr>
      </w:pPr>
      <w:r w:rsidRPr="001947E5">
        <w:rPr>
          <w:rFonts w:eastAsia="Calibri" w:cs="Calibri"/>
          <w:bCs/>
          <w:noProof/>
          <w:lang w:val="sq-AL" w:eastAsia="sq-AL"/>
        </w:rPr>
        <w:t>Stoku i detyrimeve të prapambetura në fund të muajit dhjetor 2025, i cili parashikohet të shlyhet në një periudhë afatmesme, bazuar në planin e shlyerjes së dërguar nga të gjitha bashkitë në Ministrinë e Financave është mbi 2.9 miliardë LEK. Vlera e stokut të detyrimeve të prapambetura është rritur me rreth 107 milionë LEK, krahasuar me stokun e detyrimit në fund të tremujorit të tretë të vitit 2025, dhe është ulur me rreth 326 milionë LEK, krahasuar me stokun e detyrimit në fund të vitit 2024, që ishte 3.2 miliardë LEK</w:t>
      </w:r>
      <w:r w:rsidR="00072BA1" w:rsidRPr="00072BA1">
        <w:rPr>
          <w:rFonts w:eastAsia="Calibri" w:cs="Calibri"/>
          <w:bCs/>
          <w:noProof/>
          <w:lang w:val="sq-AL" w:eastAsia="sq-AL"/>
        </w:rPr>
        <w:t>.</w:t>
      </w:r>
    </w:p>
    <w:p w14:paraId="6BA297EB" w14:textId="77777777" w:rsidR="00072BA1" w:rsidRPr="00072BA1" w:rsidRDefault="00072BA1" w:rsidP="00072BA1">
      <w:pPr>
        <w:spacing w:line="240" w:lineRule="auto"/>
        <w:contextualSpacing/>
        <w:rPr>
          <w:rFonts w:eastAsia="Calibri" w:cs="Calibri"/>
          <w:bCs/>
          <w:noProof/>
          <w:sz w:val="8"/>
          <w:szCs w:val="8"/>
          <w:lang w:val="sq-AL" w:eastAsia="sq-AL"/>
        </w:rPr>
      </w:pPr>
    </w:p>
    <w:p w14:paraId="5621E625" w14:textId="59B9F0E9" w:rsidR="008448A3" w:rsidRPr="00072BA1" w:rsidRDefault="003C40CA" w:rsidP="00072BA1">
      <w:pPr>
        <w:spacing w:line="240" w:lineRule="auto"/>
        <w:contextualSpacing/>
        <w:rPr>
          <w:rFonts w:eastAsia="Calibri" w:cs="Calibri"/>
          <w:bCs/>
          <w:noProof/>
          <w:lang w:val="sq-AL" w:eastAsia="sq-AL"/>
        </w:rPr>
      </w:pPr>
      <w:r w:rsidRPr="001947E5">
        <w:rPr>
          <w:rFonts w:eastAsia="Calibri" w:cs="Calibri"/>
          <w:bCs/>
          <w:noProof/>
          <w:lang w:val="sq-AL" w:eastAsia="sq-AL"/>
        </w:rPr>
        <w:t>Stokun më të lartë të detyrimeve e ka bashkia Kavajë në vlerën rreth 755 milionë LEK</w:t>
      </w:r>
      <w:r>
        <w:rPr>
          <w:rFonts w:eastAsia="Calibri" w:cs="Calibri"/>
          <w:bCs/>
          <w:noProof/>
          <w:lang w:val="sq-AL" w:eastAsia="sq-AL"/>
        </w:rPr>
        <w:t xml:space="preserve"> ose</w:t>
      </w:r>
      <w:r w:rsidRPr="001947E5">
        <w:rPr>
          <w:rFonts w:eastAsia="Calibri" w:cs="Calibri"/>
          <w:bCs/>
          <w:noProof/>
          <w:lang w:val="sq-AL" w:eastAsia="sq-AL"/>
        </w:rPr>
        <w:t xml:space="preserve"> 26.2% të totalit të detyrimeve (pa përfshirë detyrimet e qarqeve).  Më pas, bashkia Pogradec në vlerën rreth 251 milionë LEK</w:t>
      </w:r>
      <w:r>
        <w:rPr>
          <w:rFonts w:eastAsia="Calibri" w:cs="Calibri"/>
          <w:bCs/>
          <w:noProof/>
          <w:lang w:val="sq-AL" w:eastAsia="sq-AL"/>
        </w:rPr>
        <w:t xml:space="preserve"> ose</w:t>
      </w:r>
      <w:r w:rsidRPr="001947E5">
        <w:rPr>
          <w:rFonts w:eastAsia="Calibri" w:cs="Calibri"/>
          <w:bCs/>
          <w:noProof/>
          <w:lang w:val="sq-AL" w:eastAsia="sq-AL"/>
        </w:rPr>
        <w:t xml:space="preserve"> 8.7% të totalit të detyrimeve; bashkia Vorë në vlerën rreth 185 milionë LEK</w:t>
      </w:r>
      <w:r>
        <w:rPr>
          <w:rFonts w:eastAsia="Calibri" w:cs="Calibri"/>
          <w:bCs/>
          <w:noProof/>
          <w:lang w:val="sq-AL" w:eastAsia="sq-AL"/>
        </w:rPr>
        <w:t xml:space="preserve"> ose</w:t>
      </w:r>
      <w:r w:rsidRPr="001947E5">
        <w:rPr>
          <w:rFonts w:eastAsia="Calibri" w:cs="Calibri"/>
          <w:bCs/>
          <w:noProof/>
          <w:lang w:val="sq-AL" w:eastAsia="sq-AL"/>
        </w:rPr>
        <w:t xml:space="preserve"> 6.4% të totalit të detyrimeve; bashkia Rrogozhinë në vlerën rreth 141 milionë LEK</w:t>
      </w:r>
      <w:r>
        <w:rPr>
          <w:rFonts w:eastAsia="Calibri" w:cs="Calibri"/>
          <w:bCs/>
          <w:noProof/>
          <w:lang w:val="sq-AL" w:eastAsia="sq-AL"/>
        </w:rPr>
        <w:t xml:space="preserve"> ose</w:t>
      </w:r>
      <w:r w:rsidRPr="001947E5">
        <w:rPr>
          <w:rFonts w:eastAsia="Calibri" w:cs="Calibri"/>
          <w:bCs/>
          <w:noProof/>
          <w:lang w:val="sq-AL" w:eastAsia="sq-AL"/>
        </w:rPr>
        <w:t xml:space="preserve"> 4.9% të totalit të detyrimeve dhe bashkia Tiranë në vlerën rreth 133 milionë LEK</w:t>
      </w:r>
      <w:r>
        <w:rPr>
          <w:rFonts w:eastAsia="Calibri" w:cs="Calibri"/>
          <w:bCs/>
          <w:noProof/>
          <w:lang w:val="sq-AL" w:eastAsia="sq-AL"/>
        </w:rPr>
        <w:t xml:space="preserve"> ose</w:t>
      </w:r>
      <w:r w:rsidRPr="001947E5">
        <w:rPr>
          <w:rFonts w:eastAsia="Calibri" w:cs="Calibri"/>
          <w:bCs/>
          <w:noProof/>
          <w:lang w:val="sq-AL" w:eastAsia="sq-AL"/>
        </w:rPr>
        <w:t xml:space="preserve"> 4.6 % të totalit të detyrimeve</w:t>
      </w:r>
      <w:r w:rsidR="008448A3" w:rsidRPr="00072BA1">
        <w:rPr>
          <w:rFonts w:eastAsia="Calibri" w:cs="Calibri"/>
          <w:bCs/>
          <w:noProof/>
          <w:lang w:val="sq-AL" w:eastAsia="sq-AL"/>
        </w:rPr>
        <w:t xml:space="preserve">. </w:t>
      </w:r>
    </w:p>
    <w:p w14:paraId="6D86FFCA" w14:textId="00240C69" w:rsidR="008448A3" w:rsidRPr="00B644BE" w:rsidRDefault="008448A3" w:rsidP="008448A3">
      <w:pPr>
        <w:pStyle w:val="Caption"/>
        <w:rPr>
          <w:noProof/>
          <w:lang w:val="sq-AL"/>
        </w:rPr>
      </w:pPr>
      <w:bookmarkStart w:id="206" w:name="_Toc229130055"/>
      <w:r w:rsidRPr="00B644BE">
        <w:rPr>
          <w:noProof/>
          <w:lang w:val="sq-AL"/>
        </w:rPr>
        <w:t xml:space="preserve">Grafiku </w:t>
      </w:r>
      <w:r w:rsidRPr="00B644BE">
        <w:rPr>
          <w:noProof/>
          <w:lang w:val="sq-AL"/>
        </w:rPr>
        <w:fldChar w:fldCharType="begin"/>
      </w:r>
      <w:r w:rsidRPr="00B644BE">
        <w:rPr>
          <w:noProof/>
          <w:lang w:val="sq-AL"/>
        </w:rPr>
        <w:instrText xml:space="preserve"> SEQ Grafiku \* ARABIC </w:instrText>
      </w:r>
      <w:r w:rsidRPr="00B644BE">
        <w:rPr>
          <w:noProof/>
          <w:lang w:val="sq-AL"/>
        </w:rPr>
        <w:fldChar w:fldCharType="separate"/>
      </w:r>
      <w:r w:rsidR="00CB4DE6">
        <w:rPr>
          <w:noProof/>
          <w:lang w:val="sq-AL"/>
        </w:rPr>
        <w:t>38</w:t>
      </w:r>
      <w:r w:rsidRPr="00B644BE">
        <w:rPr>
          <w:noProof/>
          <w:lang w:val="sq-AL"/>
        </w:rPr>
        <w:fldChar w:fldCharType="end"/>
      </w:r>
      <w:r w:rsidRPr="00B644BE">
        <w:rPr>
          <w:noProof/>
          <w:lang w:val="sq-AL"/>
        </w:rPr>
        <w:t xml:space="preserve"> Stoku i detyrimeve të prapambetura vendore sipas zërave kryesorë</w:t>
      </w:r>
      <w:bookmarkEnd w:id="206"/>
    </w:p>
    <w:p w14:paraId="6F0FED3A" w14:textId="2B2E482B" w:rsidR="008448A3" w:rsidRPr="00B644BE" w:rsidRDefault="003C40CA" w:rsidP="008448A3">
      <w:pPr>
        <w:pStyle w:val="ListParagraph"/>
        <w:spacing w:before="0" w:line="240" w:lineRule="auto"/>
        <w:ind w:left="360"/>
        <w:jc w:val="center"/>
        <w:rPr>
          <w:rFonts w:cs="Calibri"/>
          <w:noProof/>
          <w:lang w:val="sq-AL"/>
        </w:rPr>
      </w:pPr>
      <w:r w:rsidRPr="001947E5">
        <w:rPr>
          <w:rFonts w:cs="Calibri"/>
          <w:noProof/>
          <w:lang w:val="sq-AL"/>
        </w:rPr>
        <w:drawing>
          <wp:inline distT="0" distB="0" distL="0" distR="0" wp14:anchorId="29935B56" wp14:editId="6B4A0D6E">
            <wp:extent cx="4913906" cy="2217420"/>
            <wp:effectExtent l="0" t="0" r="1270" b="0"/>
            <wp:docPr id="1575439469" name="Picture 1" descr="A pie chart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39469" name="Picture 1" descr="A pie chart with numbers and a few word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0806" cy="2234071"/>
                    </a:xfrm>
                    <a:prstGeom prst="rect">
                      <a:avLst/>
                    </a:prstGeom>
                    <a:noFill/>
                  </pic:spPr>
                </pic:pic>
              </a:graphicData>
            </a:graphic>
          </wp:inline>
        </w:drawing>
      </w:r>
    </w:p>
    <w:p w14:paraId="7FBE28F7" w14:textId="16297DA5" w:rsidR="00BB7DD5" w:rsidRPr="001824B9" w:rsidRDefault="008448A3" w:rsidP="001824B9">
      <w:pPr>
        <w:spacing w:before="0" w:line="360" w:lineRule="auto"/>
        <w:contextualSpacing/>
        <w:rPr>
          <w:bCs/>
          <w:i/>
          <w:noProof/>
          <w:sz w:val="18"/>
          <w:lang w:val="sq-AL"/>
        </w:rPr>
      </w:pPr>
      <w:r w:rsidRPr="009334DE">
        <w:rPr>
          <w:bCs/>
          <w:i/>
          <w:noProof/>
          <w:sz w:val="20"/>
          <w:lang w:val="sq-AL"/>
        </w:rPr>
        <w:t xml:space="preserve">                  </w:t>
      </w:r>
      <w:r w:rsidRPr="009334DE">
        <w:rPr>
          <w:bCs/>
          <w:i/>
          <w:noProof/>
          <w:sz w:val="20"/>
          <w:lang w:val="sq-AL"/>
        </w:rPr>
        <w:tab/>
      </w:r>
      <w:r>
        <w:rPr>
          <w:bCs/>
          <w:i/>
          <w:noProof/>
          <w:sz w:val="20"/>
          <w:lang w:val="sq-AL"/>
        </w:rPr>
        <w:tab/>
      </w:r>
      <w:r w:rsidRPr="009334DE">
        <w:rPr>
          <w:bCs/>
          <w:i/>
          <w:noProof/>
          <w:sz w:val="18"/>
          <w:lang w:val="sq-AL"/>
        </w:rPr>
        <w:t>Burimi: Ministria e Financave (202</w:t>
      </w:r>
      <w:r w:rsidR="00072BA1">
        <w:rPr>
          <w:bCs/>
          <w:i/>
          <w:noProof/>
          <w:sz w:val="18"/>
          <w:lang w:val="sq-AL"/>
        </w:rPr>
        <w:t>6</w:t>
      </w:r>
      <w:r w:rsidR="00D55647">
        <w:rPr>
          <w:bCs/>
          <w:i/>
          <w:noProof/>
          <w:sz w:val="18"/>
          <w:lang w:val="sq-AL"/>
        </w:rPr>
        <w:t>)</w:t>
      </w:r>
    </w:p>
    <w:p w14:paraId="73036DD0" w14:textId="308880B3" w:rsidR="008448A3" w:rsidRPr="00B644BE" w:rsidRDefault="008448A3" w:rsidP="008448A3">
      <w:pPr>
        <w:spacing w:before="0" w:line="240" w:lineRule="auto"/>
        <w:contextualSpacing/>
        <w:rPr>
          <w:noProof/>
          <w:lang w:val="sq-AL"/>
        </w:rPr>
      </w:pPr>
      <w:r w:rsidRPr="00B644BE">
        <w:rPr>
          <w:noProof/>
          <w:lang w:val="sq-AL"/>
        </w:rPr>
        <w:t xml:space="preserve">Sipas kategorive, rezulton që: </w:t>
      </w:r>
    </w:p>
    <w:p w14:paraId="6ED5BDF7"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Investimet zënë një peshë të madhe të stokut të detyrimit me rreth 32.4%,</w:t>
      </w:r>
    </w:p>
    <w:p w14:paraId="18E59FF9"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Detyrime të prapambetura të tjera me rreth 24.2%,</w:t>
      </w:r>
    </w:p>
    <w:p w14:paraId="3C36D505"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Shërbimet rreth 19.7%,</w:t>
      </w:r>
    </w:p>
    <w:p w14:paraId="1E96F82F"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Vendimet Gjyqësore rreth 10.7%,</w:t>
      </w:r>
    </w:p>
    <w:p w14:paraId="20BBF4F9"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 xml:space="preserve">Mallra me rreth 7.2%, </w:t>
      </w:r>
    </w:p>
    <w:p w14:paraId="65B1BC63" w14:textId="77777777" w:rsidR="003C40CA" w:rsidRPr="001947E5" w:rsidRDefault="003C40CA" w:rsidP="003C40CA">
      <w:pPr>
        <w:numPr>
          <w:ilvl w:val="0"/>
          <w:numId w:val="14"/>
        </w:numPr>
        <w:spacing w:before="0" w:line="240" w:lineRule="auto"/>
        <w:contextualSpacing/>
        <w:rPr>
          <w:i/>
          <w:noProof/>
          <w:lang w:val="sq-AL"/>
        </w:rPr>
      </w:pPr>
      <w:r w:rsidRPr="001947E5">
        <w:rPr>
          <w:i/>
          <w:noProof/>
          <w:lang w:val="sq-AL"/>
        </w:rPr>
        <w:t>Mirëmbajtje rreth 4.1%, etj.</w:t>
      </w:r>
    </w:p>
    <w:p w14:paraId="4D4556AF" w14:textId="77777777" w:rsidR="00BB7DD5" w:rsidRPr="00B70B1A" w:rsidRDefault="00BB7DD5" w:rsidP="00BB7DD5">
      <w:pPr>
        <w:spacing w:before="0" w:line="240" w:lineRule="auto"/>
        <w:contextualSpacing/>
        <w:rPr>
          <w:i/>
          <w:sz w:val="4"/>
          <w:szCs w:val="6"/>
          <w:lang w:val="sq-AL"/>
        </w:rPr>
      </w:pPr>
    </w:p>
    <w:p w14:paraId="42960E1D" w14:textId="5972EC6C" w:rsidR="008448A3" w:rsidRPr="00072BA1" w:rsidRDefault="008448A3" w:rsidP="008448A3">
      <w:pPr>
        <w:pStyle w:val="Caption"/>
        <w:rPr>
          <w:noProof/>
          <w:lang w:val="sq-AL"/>
        </w:rPr>
      </w:pPr>
      <w:bookmarkStart w:id="207" w:name="_Toc229129999"/>
      <w:r w:rsidRPr="00072BA1">
        <w:rPr>
          <w:noProof/>
          <w:lang w:val="sq-AL"/>
        </w:rPr>
        <w:t xml:space="preserve">Tabela </w:t>
      </w:r>
      <w:r w:rsidRPr="00072BA1">
        <w:rPr>
          <w:noProof/>
          <w:lang w:val="sq-AL"/>
        </w:rPr>
        <w:fldChar w:fldCharType="begin"/>
      </w:r>
      <w:r w:rsidRPr="00072BA1">
        <w:rPr>
          <w:noProof/>
          <w:lang w:val="sq-AL"/>
        </w:rPr>
        <w:instrText xml:space="preserve"> SEQ Tabela \* ARABIC </w:instrText>
      </w:r>
      <w:r w:rsidRPr="00072BA1">
        <w:rPr>
          <w:noProof/>
          <w:lang w:val="sq-AL"/>
        </w:rPr>
        <w:fldChar w:fldCharType="separate"/>
      </w:r>
      <w:r w:rsidR="00CB4DE6">
        <w:rPr>
          <w:noProof/>
          <w:lang w:val="sq-AL"/>
        </w:rPr>
        <w:t>25</w:t>
      </w:r>
      <w:r w:rsidRPr="00072BA1">
        <w:rPr>
          <w:noProof/>
          <w:lang w:val="sq-AL"/>
        </w:rPr>
        <w:fldChar w:fldCharType="end"/>
      </w:r>
      <w:r w:rsidRPr="00072BA1">
        <w:rPr>
          <w:noProof/>
          <w:lang w:val="sq-AL"/>
        </w:rPr>
        <w:t xml:space="preserve"> Detyrimet e prapambetura në nivel vendor sipas kategorive</w:t>
      </w:r>
      <w:bookmarkEnd w:id="207"/>
    </w:p>
    <w:tbl>
      <w:tblPr>
        <w:tblStyle w:val="ListTable3-Accent121"/>
        <w:tblW w:w="4581" w:type="pct"/>
        <w:jc w:val="center"/>
        <w:tblLook w:val="04A0" w:firstRow="1" w:lastRow="0" w:firstColumn="1" w:lastColumn="0" w:noHBand="0" w:noVBand="1"/>
      </w:tblPr>
      <w:tblGrid>
        <w:gridCol w:w="1405"/>
        <w:gridCol w:w="185"/>
        <w:gridCol w:w="1966"/>
        <w:gridCol w:w="1406"/>
        <w:gridCol w:w="1225"/>
        <w:gridCol w:w="1450"/>
        <w:gridCol w:w="1424"/>
      </w:tblGrid>
      <w:tr w:rsidR="003C40CA" w:rsidRPr="001947E5" w14:paraId="6F537A38" w14:textId="77777777" w:rsidTr="006A2AD2">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100" w:firstRow="0" w:lastRow="0" w:firstColumn="1" w:lastColumn="0" w:oddVBand="0" w:evenVBand="0" w:oddHBand="0" w:evenHBand="0" w:firstRowFirstColumn="1" w:firstRowLastColumn="0" w:lastRowFirstColumn="0" w:lastRowLastColumn="0"/>
            <w:tcW w:w="775" w:type="pct"/>
            <w:tcBorders>
              <w:top w:val="single" w:sz="4" w:space="0" w:color="0F6FC6" w:themeColor="accent1"/>
              <w:bottom w:val="single" w:sz="4" w:space="0" w:color="0F6FC6" w:themeColor="accent1"/>
            </w:tcBorders>
            <w:shd w:val="clear" w:color="auto" w:fill="90C5F6" w:themeFill="accent1" w:themeFillTint="66"/>
            <w:hideMark/>
          </w:tcPr>
          <w:p w14:paraId="6014879A" w14:textId="77777777" w:rsidR="003C40CA" w:rsidRPr="003C40CA" w:rsidRDefault="003C40CA" w:rsidP="006A2AD2">
            <w:pPr>
              <w:spacing w:before="0" w:line="240" w:lineRule="auto"/>
              <w:jc w:val="center"/>
              <w:rPr>
                <w:rFonts w:asciiTheme="majorHAnsi" w:hAnsiTheme="majorHAnsi" w:cstheme="minorHAnsi"/>
                <w:lang w:val="sq-AL"/>
              </w:rPr>
            </w:pPr>
            <w:r w:rsidRPr="003C40CA">
              <w:rPr>
                <w:rFonts w:asciiTheme="majorHAnsi" w:hAnsiTheme="majorHAnsi" w:cstheme="minorHAnsi"/>
                <w:lang w:val="sq-AL"/>
              </w:rPr>
              <w:t>Llog. Ekonomike</w:t>
            </w:r>
          </w:p>
        </w:tc>
        <w:tc>
          <w:tcPr>
            <w:tcW w:w="1187" w:type="pct"/>
            <w:gridSpan w:val="2"/>
            <w:tcBorders>
              <w:top w:val="single" w:sz="4" w:space="0" w:color="0F6FC6" w:themeColor="accent1"/>
              <w:bottom w:val="single" w:sz="4" w:space="0" w:color="0F6FC6" w:themeColor="accent1"/>
            </w:tcBorders>
            <w:shd w:val="clear" w:color="auto" w:fill="90C5F6" w:themeFill="accent1" w:themeFillTint="66"/>
            <w:hideMark/>
          </w:tcPr>
          <w:p w14:paraId="79D9F51B" w14:textId="77777777"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sz w:val="8"/>
                <w:szCs w:val="8"/>
                <w:lang w:val="sq-AL"/>
              </w:rPr>
            </w:pPr>
          </w:p>
          <w:p w14:paraId="0EA2FCAF" w14:textId="18CC8A15"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lang w:val="sq-AL"/>
              </w:rPr>
            </w:pPr>
            <w:r w:rsidRPr="003C40CA">
              <w:rPr>
                <w:rFonts w:asciiTheme="majorHAnsi" w:hAnsiTheme="majorHAnsi" w:cstheme="minorHAnsi"/>
                <w:lang w:val="sq-AL"/>
              </w:rPr>
              <w:t>Kategoria</w:t>
            </w:r>
          </w:p>
        </w:tc>
        <w:tc>
          <w:tcPr>
            <w:tcW w:w="776" w:type="pct"/>
            <w:tcBorders>
              <w:top w:val="single" w:sz="4" w:space="0" w:color="0F6FC6" w:themeColor="accent1"/>
              <w:bottom w:val="single" w:sz="4" w:space="0" w:color="0F6FC6" w:themeColor="accent1"/>
            </w:tcBorders>
            <w:shd w:val="clear" w:color="auto" w:fill="90C5F6" w:themeFill="accent1" w:themeFillTint="66"/>
            <w:hideMark/>
          </w:tcPr>
          <w:p w14:paraId="5A818CF8" w14:textId="77777777"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sz w:val="8"/>
                <w:szCs w:val="8"/>
                <w:lang w:val="sq-AL"/>
              </w:rPr>
            </w:pPr>
          </w:p>
          <w:p w14:paraId="1DC481F8" w14:textId="399D16D4"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lang w:val="sq-AL"/>
              </w:rPr>
            </w:pPr>
            <w:r w:rsidRPr="003C40CA">
              <w:rPr>
                <w:rFonts w:asciiTheme="majorHAnsi" w:hAnsiTheme="majorHAnsi" w:cstheme="minorHAnsi"/>
                <w:lang w:val="sq-AL"/>
              </w:rPr>
              <w:t>Bashki</w:t>
            </w:r>
          </w:p>
        </w:tc>
        <w:tc>
          <w:tcPr>
            <w:tcW w:w="676" w:type="pct"/>
            <w:tcBorders>
              <w:top w:val="single" w:sz="4" w:space="0" w:color="0F6FC6" w:themeColor="accent1"/>
              <w:bottom w:val="single" w:sz="4" w:space="0" w:color="0F6FC6" w:themeColor="accent1"/>
            </w:tcBorders>
            <w:shd w:val="clear" w:color="auto" w:fill="90C5F6" w:themeFill="accent1" w:themeFillTint="66"/>
            <w:hideMark/>
          </w:tcPr>
          <w:p w14:paraId="127BB301" w14:textId="77777777"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sz w:val="8"/>
                <w:szCs w:val="8"/>
                <w:lang w:val="sq-AL"/>
              </w:rPr>
            </w:pPr>
          </w:p>
          <w:p w14:paraId="16BACA02" w14:textId="3709EAA6"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lang w:val="sq-AL"/>
              </w:rPr>
            </w:pPr>
            <w:r w:rsidRPr="003C40CA">
              <w:rPr>
                <w:rFonts w:asciiTheme="majorHAnsi" w:hAnsiTheme="majorHAnsi" w:cstheme="minorHAnsi"/>
                <w:lang w:val="sq-AL"/>
              </w:rPr>
              <w:t>Qarqe</w:t>
            </w:r>
          </w:p>
        </w:tc>
        <w:tc>
          <w:tcPr>
            <w:tcW w:w="800" w:type="pct"/>
            <w:tcBorders>
              <w:top w:val="single" w:sz="4" w:space="0" w:color="0F6FC6" w:themeColor="accent1"/>
              <w:bottom w:val="single" w:sz="4" w:space="0" w:color="0F6FC6" w:themeColor="accent1"/>
            </w:tcBorders>
            <w:shd w:val="clear" w:color="auto" w:fill="90C5F6" w:themeFill="accent1" w:themeFillTint="66"/>
            <w:hideMark/>
          </w:tcPr>
          <w:p w14:paraId="16E46A13" w14:textId="3DEF2044"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lang w:val="sq-AL"/>
              </w:rPr>
            </w:pPr>
            <w:r w:rsidRPr="003C40CA">
              <w:rPr>
                <w:rFonts w:asciiTheme="majorHAnsi" w:hAnsiTheme="majorHAnsi" w:cstheme="minorHAnsi"/>
                <w:lang w:val="sq-AL"/>
              </w:rPr>
              <w:t xml:space="preserve">Pesha ne % </w:t>
            </w:r>
            <w:r>
              <w:rPr>
                <w:rFonts w:asciiTheme="majorHAnsi" w:hAnsiTheme="majorHAnsi" w:cstheme="minorHAnsi"/>
                <w:lang w:val="sq-AL"/>
              </w:rPr>
              <w:t>(</w:t>
            </w:r>
            <w:r w:rsidRPr="003C40CA">
              <w:rPr>
                <w:rFonts w:asciiTheme="majorHAnsi" w:hAnsiTheme="majorHAnsi" w:cstheme="minorHAnsi"/>
                <w:lang w:val="sq-AL"/>
              </w:rPr>
              <w:t>Bashki</w:t>
            </w:r>
            <w:r>
              <w:rPr>
                <w:rFonts w:asciiTheme="majorHAnsi" w:hAnsiTheme="majorHAnsi" w:cstheme="minorHAnsi"/>
                <w:lang w:val="sq-AL"/>
              </w:rPr>
              <w:t>)</w:t>
            </w:r>
          </w:p>
        </w:tc>
        <w:tc>
          <w:tcPr>
            <w:tcW w:w="787" w:type="pct"/>
            <w:tcBorders>
              <w:top w:val="single" w:sz="4" w:space="0" w:color="0F6FC6" w:themeColor="accent1"/>
              <w:bottom w:val="single" w:sz="4" w:space="0" w:color="0F6FC6" w:themeColor="accent1"/>
            </w:tcBorders>
            <w:shd w:val="clear" w:color="auto" w:fill="90C5F6" w:themeFill="accent1" w:themeFillTint="66"/>
            <w:hideMark/>
          </w:tcPr>
          <w:p w14:paraId="53C608FB" w14:textId="668528E3" w:rsidR="003C40CA" w:rsidRPr="003C40CA" w:rsidRDefault="003C40CA" w:rsidP="006A2AD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lang w:val="sq-AL"/>
              </w:rPr>
            </w:pPr>
            <w:r w:rsidRPr="003C40CA">
              <w:rPr>
                <w:rFonts w:asciiTheme="majorHAnsi" w:hAnsiTheme="majorHAnsi" w:cstheme="minorHAnsi"/>
                <w:lang w:val="sq-AL"/>
              </w:rPr>
              <w:t xml:space="preserve">Pesha ne % </w:t>
            </w:r>
            <w:r>
              <w:rPr>
                <w:rFonts w:asciiTheme="majorHAnsi" w:hAnsiTheme="majorHAnsi" w:cstheme="minorHAnsi"/>
                <w:lang w:val="sq-AL"/>
              </w:rPr>
              <w:t>(</w:t>
            </w:r>
            <w:r w:rsidRPr="003C40CA">
              <w:rPr>
                <w:rFonts w:asciiTheme="majorHAnsi" w:hAnsiTheme="majorHAnsi" w:cstheme="minorHAnsi"/>
                <w:lang w:val="sq-AL"/>
              </w:rPr>
              <w:t>Qarqe</w:t>
            </w:r>
            <w:r>
              <w:rPr>
                <w:rFonts w:asciiTheme="majorHAnsi" w:hAnsiTheme="majorHAnsi" w:cstheme="minorHAnsi"/>
                <w:lang w:val="sq-AL"/>
              </w:rPr>
              <w:t>)</w:t>
            </w:r>
          </w:p>
        </w:tc>
      </w:tr>
      <w:tr w:rsidR="003C40CA" w:rsidRPr="001947E5" w14:paraId="6D5B2042"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7084ABE7"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4864100</w:t>
            </w:r>
          </w:p>
        </w:tc>
        <w:tc>
          <w:tcPr>
            <w:tcW w:w="1187" w:type="pct"/>
            <w:gridSpan w:val="2"/>
            <w:noWrap/>
            <w:vAlign w:val="bottom"/>
            <w:hideMark/>
          </w:tcPr>
          <w:p w14:paraId="2CC3BCF9"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r w:rsidRPr="003C40CA">
              <w:rPr>
                <w:rFonts w:asciiTheme="majorHAnsi" w:hAnsiTheme="majorHAnsi" w:cstheme="majorHAnsi"/>
                <w:color w:val="000000"/>
                <w:sz w:val="18"/>
                <w:szCs w:val="18"/>
              </w:rPr>
              <w:t>Vendime</w:t>
            </w:r>
            <w:proofErr w:type="spellEnd"/>
            <w:r w:rsidRPr="003C40CA">
              <w:rPr>
                <w:rFonts w:asciiTheme="majorHAnsi" w:hAnsiTheme="majorHAnsi" w:cstheme="majorHAnsi"/>
                <w:color w:val="000000"/>
                <w:sz w:val="18"/>
                <w:szCs w:val="18"/>
              </w:rPr>
              <w:t xml:space="preserve"> </w:t>
            </w:r>
            <w:proofErr w:type="spellStart"/>
            <w:r w:rsidRPr="003C40CA">
              <w:rPr>
                <w:rFonts w:asciiTheme="majorHAnsi" w:hAnsiTheme="majorHAnsi" w:cstheme="majorHAnsi"/>
                <w:color w:val="000000"/>
                <w:sz w:val="18"/>
                <w:szCs w:val="18"/>
              </w:rPr>
              <w:t>Gjyqësore</w:t>
            </w:r>
            <w:proofErr w:type="spellEnd"/>
          </w:p>
        </w:tc>
        <w:tc>
          <w:tcPr>
            <w:tcW w:w="776" w:type="pct"/>
            <w:noWrap/>
            <w:vAlign w:val="bottom"/>
            <w:hideMark/>
          </w:tcPr>
          <w:p w14:paraId="6C356044"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269,068,597</w:t>
            </w:r>
          </w:p>
        </w:tc>
        <w:tc>
          <w:tcPr>
            <w:tcW w:w="676" w:type="pct"/>
            <w:noWrap/>
            <w:vAlign w:val="bottom"/>
            <w:hideMark/>
          </w:tcPr>
          <w:p w14:paraId="56BAF94D"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44,521,820</w:t>
            </w:r>
          </w:p>
        </w:tc>
        <w:tc>
          <w:tcPr>
            <w:tcW w:w="800" w:type="pct"/>
            <w:noWrap/>
            <w:vAlign w:val="bottom"/>
            <w:hideMark/>
          </w:tcPr>
          <w:p w14:paraId="5DFAEEB0"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9.3%</w:t>
            </w:r>
          </w:p>
        </w:tc>
        <w:tc>
          <w:tcPr>
            <w:tcW w:w="787" w:type="pct"/>
            <w:noWrap/>
            <w:vAlign w:val="bottom"/>
            <w:hideMark/>
          </w:tcPr>
          <w:p w14:paraId="7EA3CF78"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94.7%</w:t>
            </w:r>
          </w:p>
        </w:tc>
      </w:tr>
      <w:tr w:rsidR="003C40CA" w:rsidRPr="001947E5" w14:paraId="6975F01E" w14:textId="77777777" w:rsidTr="006A2AD2">
        <w:trPr>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5BF172F2"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4864200</w:t>
            </w:r>
          </w:p>
        </w:tc>
        <w:tc>
          <w:tcPr>
            <w:tcW w:w="1187" w:type="pct"/>
            <w:gridSpan w:val="2"/>
            <w:noWrap/>
            <w:vAlign w:val="bottom"/>
            <w:hideMark/>
          </w:tcPr>
          <w:p w14:paraId="58D38834"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proofErr w:type="spellStart"/>
            <w:r w:rsidRPr="003C40CA">
              <w:rPr>
                <w:rFonts w:asciiTheme="majorHAnsi" w:hAnsiTheme="majorHAnsi" w:cstheme="majorHAnsi"/>
                <w:color w:val="000000"/>
                <w:sz w:val="18"/>
                <w:szCs w:val="18"/>
              </w:rPr>
              <w:t>Det.Prap</w:t>
            </w:r>
            <w:proofErr w:type="spellEnd"/>
            <w:r w:rsidRPr="003C40CA">
              <w:rPr>
                <w:rFonts w:asciiTheme="majorHAnsi" w:hAnsiTheme="majorHAnsi" w:cstheme="majorHAnsi"/>
                <w:color w:val="000000"/>
                <w:sz w:val="18"/>
                <w:szCs w:val="18"/>
              </w:rPr>
              <w:t xml:space="preserve">. </w:t>
            </w:r>
            <w:proofErr w:type="spellStart"/>
            <w:r w:rsidRPr="003C40CA">
              <w:rPr>
                <w:rFonts w:asciiTheme="majorHAnsi" w:hAnsiTheme="majorHAnsi" w:cstheme="majorHAnsi"/>
                <w:color w:val="000000"/>
                <w:sz w:val="18"/>
                <w:szCs w:val="18"/>
              </w:rPr>
              <w:t>Shërbime</w:t>
            </w:r>
            <w:proofErr w:type="spellEnd"/>
          </w:p>
        </w:tc>
        <w:tc>
          <w:tcPr>
            <w:tcW w:w="776" w:type="pct"/>
            <w:noWrap/>
            <w:vAlign w:val="bottom"/>
            <w:hideMark/>
          </w:tcPr>
          <w:p w14:paraId="461D0802"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575,659,018</w:t>
            </w:r>
          </w:p>
        </w:tc>
        <w:tc>
          <w:tcPr>
            <w:tcW w:w="676" w:type="pct"/>
            <w:noWrap/>
            <w:vAlign w:val="bottom"/>
            <w:hideMark/>
          </w:tcPr>
          <w:p w14:paraId="62C91BC0"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1,279,017</w:t>
            </w:r>
          </w:p>
        </w:tc>
        <w:tc>
          <w:tcPr>
            <w:tcW w:w="800" w:type="pct"/>
            <w:noWrap/>
            <w:vAlign w:val="bottom"/>
            <w:hideMark/>
          </w:tcPr>
          <w:p w14:paraId="583A8B96"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19.9%</w:t>
            </w:r>
          </w:p>
        </w:tc>
        <w:tc>
          <w:tcPr>
            <w:tcW w:w="787" w:type="pct"/>
            <w:noWrap/>
            <w:vAlign w:val="bottom"/>
            <w:hideMark/>
          </w:tcPr>
          <w:p w14:paraId="5909D67A"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2.7%</w:t>
            </w:r>
          </w:p>
        </w:tc>
      </w:tr>
      <w:tr w:rsidR="003C40CA" w:rsidRPr="001947E5" w14:paraId="0AE11769"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6C899B04"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4864300</w:t>
            </w:r>
          </w:p>
        </w:tc>
        <w:tc>
          <w:tcPr>
            <w:tcW w:w="1187" w:type="pct"/>
            <w:gridSpan w:val="2"/>
            <w:noWrap/>
            <w:vAlign w:val="bottom"/>
            <w:hideMark/>
          </w:tcPr>
          <w:p w14:paraId="760CECC6"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Det.Prap.Mirëmbajtje</w:t>
            </w:r>
            <w:proofErr w:type="spellEnd"/>
            <w:proofErr w:type="gramEnd"/>
          </w:p>
        </w:tc>
        <w:tc>
          <w:tcPr>
            <w:tcW w:w="776" w:type="pct"/>
            <w:noWrap/>
            <w:vAlign w:val="bottom"/>
            <w:hideMark/>
          </w:tcPr>
          <w:p w14:paraId="68E45FBD"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120,193,707</w:t>
            </w:r>
          </w:p>
        </w:tc>
        <w:tc>
          <w:tcPr>
            <w:tcW w:w="676" w:type="pct"/>
            <w:noWrap/>
            <w:vAlign w:val="bottom"/>
            <w:hideMark/>
          </w:tcPr>
          <w:p w14:paraId="1C39C096"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6E9DF5AF"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4.2%</w:t>
            </w:r>
          </w:p>
        </w:tc>
        <w:tc>
          <w:tcPr>
            <w:tcW w:w="787" w:type="pct"/>
            <w:noWrap/>
            <w:vAlign w:val="bottom"/>
            <w:hideMark/>
          </w:tcPr>
          <w:p w14:paraId="3CE72772"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214E9008" w14:textId="77777777" w:rsidTr="006A2AD2">
        <w:trPr>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784BC632"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4864400</w:t>
            </w:r>
          </w:p>
        </w:tc>
        <w:tc>
          <w:tcPr>
            <w:tcW w:w="1187" w:type="pct"/>
            <w:gridSpan w:val="2"/>
            <w:noWrap/>
            <w:vAlign w:val="bottom"/>
            <w:hideMark/>
          </w:tcPr>
          <w:p w14:paraId="0DFF6F11"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proofErr w:type="spellStart"/>
            <w:r w:rsidRPr="003C40CA">
              <w:rPr>
                <w:rFonts w:asciiTheme="majorHAnsi" w:hAnsiTheme="majorHAnsi" w:cstheme="majorHAnsi"/>
                <w:color w:val="000000"/>
                <w:sz w:val="18"/>
                <w:szCs w:val="18"/>
              </w:rPr>
              <w:t>Det.Prap</w:t>
            </w:r>
            <w:proofErr w:type="spellEnd"/>
            <w:r w:rsidRPr="003C40CA">
              <w:rPr>
                <w:rFonts w:asciiTheme="majorHAnsi" w:hAnsiTheme="majorHAnsi" w:cstheme="majorHAnsi"/>
                <w:color w:val="000000"/>
                <w:sz w:val="18"/>
                <w:szCs w:val="18"/>
              </w:rPr>
              <w:t>. Investime</w:t>
            </w:r>
          </w:p>
        </w:tc>
        <w:tc>
          <w:tcPr>
            <w:tcW w:w="776" w:type="pct"/>
            <w:noWrap/>
            <w:vAlign w:val="bottom"/>
            <w:hideMark/>
          </w:tcPr>
          <w:p w14:paraId="1B549F3E"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948,499,801</w:t>
            </w:r>
          </w:p>
        </w:tc>
        <w:tc>
          <w:tcPr>
            <w:tcW w:w="676" w:type="pct"/>
            <w:noWrap/>
            <w:vAlign w:val="bottom"/>
            <w:hideMark/>
          </w:tcPr>
          <w:p w14:paraId="186DCC9E"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576,220</w:t>
            </w:r>
          </w:p>
        </w:tc>
        <w:tc>
          <w:tcPr>
            <w:tcW w:w="800" w:type="pct"/>
            <w:noWrap/>
            <w:vAlign w:val="bottom"/>
            <w:hideMark/>
          </w:tcPr>
          <w:p w14:paraId="474F7AA0"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32.9%</w:t>
            </w:r>
          </w:p>
        </w:tc>
        <w:tc>
          <w:tcPr>
            <w:tcW w:w="787" w:type="pct"/>
            <w:noWrap/>
            <w:vAlign w:val="bottom"/>
            <w:hideMark/>
          </w:tcPr>
          <w:p w14:paraId="4F2032ED"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1.2%</w:t>
            </w:r>
          </w:p>
        </w:tc>
      </w:tr>
      <w:tr w:rsidR="003C40CA" w:rsidRPr="001947E5" w14:paraId="63F157C9"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5DF845E4"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4864500</w:t>
            </w:r>
          </w:p>
        </w:tc>
        <w:tc>
          <w:tcPr>
            <w:tcW w:w="1187" w:type="pct"/>
            <w:gridSpan w:val="2"/>
            <w:noWrap/>
            <w:vAlign w:val="bottom"/>
            <w:hideMark/>
          </w:tcPr>
          <w:p w14:paraId="189E2481"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Det.Prap.Rimbursim</w:t>
            </w:r>
            <w:proofErr w:type="spellEnd"/>
            <w:proofErr w:type="gramEnd"/>
            <w:r w:rsidRPr="003C40CA">
              <w:rPr>
                <w:rFonts w:asciiTheme="majorHAnsi" w:hAnsiTheme="majorHAnsi" w:cstheme="majorHAnsi"/>
                <w:color w:val="000000"/>
                <w:sz w:val="18"/>
                <w:szCs w:val="18"/>
              </w:rPr>
              <w:t xml:space="preserve"> TVSH</w:t>
            </w:r>
          </w:p>
        </w:tc>
        <w:tc>
          <w:tcPr>
            <w:tcW w:w="776" w:type="pct"/>
            <w:noWrap/>
            <w:vAlign w:val="bottom"/>
            <w:hideMark/>
          </w:tcPr>
          <w:p w14:paraId="05EB3931"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676" w:type="pct"/>
            <w:noWrap/>
            <w:vAlign w:val="bottom"/>
            <w:hideMark/>
          </w:tcPr>
          <w:p w14:paraId="2BFDB57D"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3F284817"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c>
          <w:tcPr>
            <w:tcW w:w="787" w:type="pct"/>
            <w:noWrap/>
            <w:vAlign w:val="bottom"/>
            <w:hideMark/>
          </w:tcPr>
          <w:p w14:paraId="07625F5E"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26CCCC5A" w14:textId="77777777" w:rsidTr="006A2AD2">
        <w:trPr>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3CC1B487"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4864600</w:t>
            </w:r>
          </w:p>
        </w:tc>
        <w:tc>
          <w:tcPr>
            <w:tcW w:w="1187" w:type="pct"/>
            <w:gridSpan w:val="2"/>
            <w:noWrap/>
            <w:vAlign w:val="bottom"/>
            <w:hideMark/>
          </w:tcPr>
          <w:p w14:paraId="6E377835"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proofErr w:type="spellStart"/>
            <w:r w:rsidRPr="003C40CA">
              <w:rPr>
                <w:rFonts w:asciiTheme="majorHAnsi" w:hAnsiTheme="majorHAnsi" w:cstheme="majorHAnsi"/>
                <w:color w:val="000000"/>
                <w:sz w:val="18"/>
                <w:szCs w:val="18"/>
              </w:rPr>
              <w:t>Mallra</w:t>
            </w:r>
            <w:proofErr w:type="spellEnd"/>
          </w:p>
        </w:tc>
        <w:tc>
          <w:tcPr>
            <w:tcW w:w="776" w:type="pct"/>
            <w:noWrap/>
            <w:vAlign w:val="bottom"/>
            <w:hideMark/>
          </w:tcPr>
          <w:p w14:paraId="610B68F0"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209,910,980</w:t>
            </w:r>
          </w:p>
        </w:tc>
        <w:tc>
          <w:tcPr>
            <w:tcW w:w="676" w:type="pct"/>
            <w:noWrap/>
            <w:vAlign w:val="bottom"/>
            <w:hideMark/>
          </w:tcPr>
          <w:p w14:paraId="0DC59762"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517,735</w:t>
            </w:r>
          </w:p>
        </w:tc>
        <w:tc>
          <w:tcPr>
            <w:tcW w:w="800" w:type="pct"/>
            <w:noWrap/>
            <w:vAlign w:val="bottom"/>
            <w:hideMark/>
          </w:tcPr>
          <w:p w14:paraId="704D360F"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7.3%</w:t>
            </w:r>
          </w:p>
        </w:tc>
        <w:tc>
          <w:tcPr>
            <w:tcW w:w="787" w:type="pct"/>
            <w:noWrap/>
            <w:vAlign w:val="bottom"/>
            <w:hideMark/>
          </w:tcPr>
          <w:p w14:paraId="5D1FC4C6"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1.1%</w:t>
            </w:r>
          </w:p>
        </w:tc>
      </w:tr>
      <w:tr w:rsidR="003C40CA" w:rsidRPr="001947E5" w14:paraId="5CBEBA7F"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19C86C2B"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4864900</w:t>
            </w:r>
          </w:p>
        </w:tc>
        <w:tc>
          <w:tcPr>
            <w:tcW w:w="1187" w:type="pct"/>
            <w:gridSpan w:val="2"/>
            <w:noWrap/>
            <w:vAlign w:val="bottom"/>
            <w:hideMark/>
          </w:tcPr>
          <w:p w14:paraId="38EA6E6F"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Det.Prap.Të</w:t>
            </w:r>
            <w:proofErr w:type="spellEnd"/>
            <w:proofErr w:type="gramEnd"/>
            <w:r w:rsidRPr="003C40CA">
              <w:rPr>
                <w:rFonts w:asciiTheme="majorHAnsi" w:hAnsiTheme="majorHAnsi" w:cstheme="majorHAnsi"/>
                <w:color w:val="000000"/>
                <w:sz w:val="18"/>
                <w:szCs w:val="18"/>
              </w:rPr>
              <w:t xml:space="preserve"> </w:t>
            </w:r>
            <w:proofErr w:type="spellStart"/>
            <w:r w:rsidRPr="003C40CA">
              <w:rPr>
                <w:rFonts w:asciiTheme="majorHAnsi" w:hAnsiTheme="majorHAnsi" w:cstheme="majorHAnsi"/>
                <w:color w:val="000000"/>
                <w:sz w:val="18"/>
                <w:szCs w:val="18"/>
              </w:rPr>
              <w:t>Tjera</w:t>
            </w:r>
            <w:proofErr w:type="spellEnd"/>
          </w:p>
        </w:tc>
        <w:tc>
          <w:tcPr>
            <w:tcW w:w="776" w:type="pct"/>
            <w:noWrap/>
            <w:vAlign w:val="bottom"/>
            <w:hideMark/>
          </w:tcPr>
          <w:p w14:paraId="149B76BD"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710,737,397</w:t>
            </w:r>
          </w:p>
        </w:tc>
        <w:tc>
          <w:tcPr>
            <w:tcW w:w="676" w:type="pct"/>
            <w:noWrap/>
            <w:vAlign w:val="bottom"/>
            <w:hideMark/>
          </w:tcPr>
          <w:p w14:paraId="2B26DF0B"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120,000</w:t>
            </w:r>
          </w:p>
        </w:tc>
        <w:tc>
          <w:tcPr>
            <w:tcW w:w="800" w:type="pct"/>
            <w:noWrap/>
            <w:vAlign w:val="bottom"/>
            <w:hideMark/>
          </w:tcPr>
          <w:p w14:paraId="0D476D2F"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24.6%</w:t>
            </w:r>
          </w:p>
        </w:tc>
        <w:tc>
          <w:tcPr>
            <w:tcW w:w="787" w:type="pct"/>
            <w:noWrap/>
            <w:vAlign w:val="bottom"/>
            <w:hideMark/>
          </w:tcPr>
          <w:p w14:paraId="083462CB"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0.3%</w:t>
            </w:r>
          </w:p>
        </w:tc>
      </w:tr>
      <w:tr w:rsidR="003C40CA" w:rsidRPr="001947E5" w14:paraId="0A4871EE" w14:textId="77777777" w:rsidTr="006A2AD2">
        <w:trPr>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1C056F2F"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4864601</w:t>
            </w:r>
          </w:p>
        </w:tc>
        <w:tc>
          <w:tcPr>
            <w:tcW w:w="1187" w:type="pct"/>
            <w:gridSpan w:val="2"/>
            <w:noWrap/>
            <w:vAlign w:val="bottom"/>
            <w:hideMark/>
          </w:tcPr>
          <w:p w14:paraId="178717C6"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Det.Prap.Sig.Shoqërore</w:t>
            </w:r>
            <w:proofErr w:type="spellEnd"/>
            <w:proofErr w:type="gramEnd"/>
          </w:p>
        </w:tc>
        <w:tc>
          <w:tcPr>
            <w:tcW w:w="776" w:type="pct"/>
            <w:noWrap/>
            <w:vAlign w:val="bottom"/>
            <w:hideMark/>
          </w:tcPr>
          <w:p w14:paraId="34A7B529"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38,234,856</w:t>
            </w:r>
          </w:p>
        </w:tc>
        <w:tc>
          <w:tcPr>
            <w:tcW w:w="676" w:type="pct"/>
            <w:noWrap/>
            <w:vAlign w:val="bottom"/>
            <w:hideMark/>
          </w:tcPr>
          <w:p w14:paraId="20DDC282"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767BBC2E"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1.3%</w:t>
            </w:r>
          </w:p>
        </w:tc>
        <w:tc>
          <w:tcPr>
            <w:tcW w:w="787" w:type="pct"/>
            <w:noWrap/>
            <w:vAlign w:val="bottom"/>
            <w:hideMark/>
          </w:tcPr>
          <w:p w14:paraId="03EF3171"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50C19A05"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18475B94"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4864602</w:t>
            </w:r>
          </w:p>
        </w:tc>
        <w:tc>
          <w:tcPr>
            <w:tcW w:w="1187" w:type="pct"/>
            <w:gridSpan w:val="2"/>
            <w:noWrap/>
            <w:vAlign w:val="bottom"/>
            <w:hideMark/>
          </w:tcPr>
          <w:p w14:paraId="04910560"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Det.Prap.Sig.Shëndet</w:t>
            </w:r>
            <w:proofErr w:type="spellEnd"/>
            <w:proofErr w:type="gramEnd"/>
            <w:r w:rsidRPr="003C40CA">
              <w:rPr>
                <w:rFonts w:asciiTheme="majorHAnsi" w:hAnsiTheme="majorHAnsi" w:cstheme="majorHAnsi"/>
                <w:color w:val="000000"/>
                <w:sz w:val="18"/>
                <w:szCs w:val="18"/>
              </w:rPr>
              <w:t>.</w:t>
            </w:r>
          </w:p>
        </w:tc>
        <w:tc>
          <w:tcPr>
            <w:tcW w:w="776" w:type="pct"/>
            <w:noWrap/>
            <w:vAlign w:val="bottom"/>
            <w:hideMark/>
          </w:tcPr>
          <w:p w14:paraId="4A87E7BA"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2,811,899</w:t>
            </w:r>
          </w:p>
        </w:tc>
        <w:tc>
          <w:tcPr>
            <w:tcW w:w="676" w:type="pct"/>
            <w:noWrap/>
            <w:vAlign w:val="bottom"/>
            <w:hideMark/>
          </w:tcPr>
          <w:p w14:paraId="5AD198B8"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35DCB5FE"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0.1%</w:t>
            </w:r>
          </w:p>
        </w:tc>
        <w:tc>
          <w:tcPr>
            <w:tcW w:w="787" w:type="pct"/>
            <w:noWrap/>
            <w:vAlign w:val="bottom"/>
            <w:hideMark/>
          </w:tcPr>
          <w:p w14:paraId="6F3EA15F"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65BD2818" w14:textId="77777777" w:rsidTr="006A2AD2">
        <w:trPr>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2E3E89DC"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4864603</w:t>
            </w:r>
          </w:p>
        </w:tc>
        <w:tc>
          <w:tcPr>
            <w:tcW w:w="1187" w:type="pct"/>
            <w:gridSpan w:val="2"/>
            <w:noWrap/>
            <w:vAlign w:val="bottom"/>
            <w:hideMark/>
          </w:tcPr>
          <w:p w14:paraId="303B80CF"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Det.Prap.Ardh.Personale</w:t>
            </w:r>
            <w:proofErr w:type="spellEnd"/>
            <w:proofErr w:type="gramEnd"/>
          </w:p>
        </w:tc>
        <w:tc>
          <w:tcPr>
            <w:tcW w:w="776" w:type="pct"/>
            <w:noWrap/>
            <w:vAlign w:val="bottom"/>
            <w:hideMark/>
          </w:tcPr>
          <w:p w14:paraId="75C94E67"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9,617,123</w:t>
            </w:r>
          </w:p>
        </w:tc>
        <w:tc>
          <w:tcPr>
            <w:tcW w:w="676" w:type="pct"/>
            <w:noWrap/>
            <w:vAlign w:val="bottom"/>
            <w:hideMark/>
          </w:tcPr>
          <w:p w14:paraId="46D1B104"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7580B9FF"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0.3%</w:t>
            </w:r>
          </w:p>
        </w:tc>
        <w:tc>
          <w:tcPr>
            <w:tcW w:w="787" w:type="pct"/>
            <w:noWrap/>
            <w:vAlign w:val="bottom"/>
            <w:hideMark/>
          </w:tcPr>
          <w:p w14:paraId="666C59C8" w14:textId="77777777" w:rsidR="003C40CA" w:rsidRPr="003C40CA" w:rsidRDefault="003C40CA" w:rsidP="006A2AD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00A20336" w14:textId="77777777" w:rsidTr="006A2AD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75" w:type="pct"/>
            <w:noWrap/>
            <w:vAlign w:val="bottom"/>
            <w:hideMark/>
          </w:tcPr>
          <w:p w14:paraId="24B803C7" w14:textId="77777777" w:rsidR="003C40CA" w:rsidRPr="003C40CA" w:rsidRDefault="003C40CA" w:rsidP="006A2AD2">
            <w:pPr>
              <w:spacing w:before="0" w:line="240" w:lineRule="auto"/>
              <w:jc w:val="center"/>
              <w:rPr>
                <w:rFonts w:asciiTheme="majorHAnsi" w:hAnsiTheme="majorHAnsi" w:cstheme="majorHAnsi"/>
                <w:sz w:val="18"/>
                <w:szCs w:val="18"/>
                <w:lang w:val="sq-AL"/>
              </w:rPr>
            </w:pPr>
            <w:r w:rsidRPr="003C40CA">
              <w:rPr>
                <w:rFonts w:asciiTheme="majorHAnsi" w:hAnsiTheme="majorHAnsi" w:cstheme="majorHAnsi"/>
                <w:color w:val="000000"/>
                <w:sz w:val="18"/>
                <w:szCs w:val="18"/>
              </w:rPr>
              <w:t>4864604</w:t>
            </w:r>
          </w:p>
        </w:tc>
        <w:tc>
          <w:tcPr>
            <w:tcW w:w="1187" w:type="pct"/>
            <w:gridSpan w:val="2"/>
            <w:noWrap/>
            <w:vAlign w:val="bottom"/>
            <w:hideMark/>
          </w:tcPr>
          <w:p w14:paraId="4275A1B7"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proofErr w:type="spellStart"/>
            <w:proofErr w:type="gramStart"/>
            <w:r w:rsidRPr="003C40CA">
              <w:rPr>
                <w:rFonts w:asciiTheme="majorHAnsi" w:hAnsiTheme="majorHAnsi" w:cstheme="majorHAnsi"/>
                <w:color w:val="000000"/>
                <w:sz w:val="18"/>
                <w:szCs w:val="18"/>
              </w:rPr>
              <w:t>Det.Prap.Tatime</w:t>
            </w:r>
            <w:proofErr w:type="spellEnd"/>
            <w:proofErr w:type="gramEnd"/>
            <w:r w:rsidRPr="003C40CA">
              <w:rPr>
                <w:rFonts w:asciiTheme="majorHAnsi" w:hAnsiTheme="majorHAnsi" w:cstheme="majorHAnsi"/>
                <w:color w:val="000000"/>
                <w:sz w:val="18"/>
                <w:szCs w:val="18"/>
              </w:rPr>
              <w:t xml:space="preserve"> </w:t>
            </w:r>
            <w:proofErr w:type="spellStart"/>
            <w:r w:rsidRPr="003C40CA">
              <w:rPr>
                <w:rFonts w:asciiTheme="majorHAnsi" w:hAnsiTheme="majorHAnsi" w:cstheme="majorHAnsi"/>
                <w:color w:val="000000"/>
                <w:sz w:val="18"/>
                <w:szCs w:val="18"/>
              </w:rPr>
              <w:t>Tjera</w:t>
            </w:r>
            <w:proofErr w:type="spellEnd"/>
          </w:p>
        </w:tc>
        <w:tc>
          <w:tcPr>
            <w:tcW w:w="776" w:type="pct"/>
            <w:noWrap/>
            <w:vAlign w:val="bottom"/>
            <w:hideMark/>
          </w:tcPr>
          <w:p w14:paraId="35C9BAB4"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1,220,430</w:t>
            </w:r>
          </w:p>
        </w:tc>
        <w:tc>
          <w:tcPr>
            <w:tcW w:w="676" w:type="pct"/>
            <w:noWrap/>
            <w:vAlign w:val="bottom"/>
            <w:hideMark/>
          </w:tcPr>
          <w:p w14:paraId="170C6156"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w:t>
            </w:r>
          </w:p>
        </w:tc>
        <w:tc>
          <w:tcPr>
            <w:tcW w:w="800" w:type="pct"/>
            <w:noWrap/>
            <w:vAlign w:val="bottom"/>
            <w:hideMark/>
          </w:tcPr>
          <w:p w14:paraId="50FEE0D4"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c>
          <w:tcPr>
            <w:tcW w:w="787" w:type="pct"/>
            <w:noWrap/>
            <w:vAlign w:val="bottom"/>
            <w:hideMark/>
          </w:tcPr>
          <w:p w14:paraId="5D0414E2" w14:textId="77777777" w:rsidR="003C40CA" w:rsidRPr="003C40CA" w:rsidRDefault="003C40CA" w:rsidP="006A2AD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sq-AL"/>
              </w:rPr>
            </w:pPr>
            <w:r w:rsidRPr="003C40CA">
              <w:rPr>
                <w:rFonts w:asciiTheme="majorHAnsi" w:hAnsiTheme="majorHAnsi" w:cstheme="majorHAnsi"/>
                <w:color w:val="000000"/>
                <w:sz w:val="18"/>
                <w:szCs w:val="18"/>
              </w:rPr>
              <w:t>0.0%</w:t>
            </w:r>
          </w:p>
        </w:tc>
      </w:tr>
      <w:tr w:rsidR="003C40CA" w:rsidRPr="001947E5" w14:paraId="5C8A742C" w14:textId="77777777" w:rsidTr="006A2AD2">
        <w:trPr>
          <w:trHeight w:val="235"/>
          <w:jc w:val="center"/>
        </w:trPr>
        <w:tc>
          <w:tcPr>
            <w:cnfStyle w:val="001000000000" w:firstRow="0" w:lastRow="0" w:firstColumn="1" w:lastColumn="0" w:oddVBand="0" w:evenVBand="0" w:oddHBand="0" w:evenHBand="0" w:firstRowFirstColumn="0" w:firstRowLastColumn="0" w:lastRowFirstColumn="0" w:lastRowLastColumn="0"/>
            <w:tcW w:w="877" w:type="pct"/>
            <w:gridSpan w:val="2"/>
            <w:noWrap/>
          </w:tcPr>
          <w:p w14:paraId="6261F1AD" w14:textId="77777777" w:rsidR="003C40CA" w:rsidRPr="003C40CA" w:rsidRDefault="003C40CA" w:rsidP="006A2AD2">
            <w:pPr>
              <w:spacing w:before="0"/>
              <w:jc w:val="center"/>
              <w:rPr>
                <w:rFonts w:asciiTheme="majorHAnsi" w:hAnsiTheme="majorHAnsi" w:cstheme="majorHAnsi"/>
                <w:sz w:val="18"/>
                <w:szCs w:val="18"/>
                <w:lang w:val="sq-AL"/>
              </w:rPr>
            </w:pPr>
            <w:r w:rsidRPr="003C40CA">
              <w:rPr>
                <w:rFonts w:asciiTheme="majorHAnsi" w:hAnsiTheme="majorHAnsi" w:cstheme="majorHAnsi"/>
                <w:sz w:val="18"/>
                <w:szCs w:val="18"/>
                <w:lang w:val="sq-AL"/>
              </w:rPr>
              <w:t>TOTAL</w:t>
            </w:r>
          </w:p>
        </w:tc>
        <w:tc>
          <w:tcPr>
            <w:tcW w:w="1085" w:type="pct"/>
          </w:tcPr>
          <w:p w14:paraId="6281697D" w14:textId="77777777" w:rsidR="003C40CA" w:rsidRPr="003C40CA" w:rsidRDefault="003C40CA" w:rsidP="006A2AD2">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sq-AL"/>
              </w:rPr>
            </w:pPr>
          </w:p>
        </w:tc>
        <w:tc>
          <w:tcPr>
            <w:tcW w:w="776" w:type="pct"/>
            <w:noWrap/>
            <w:vAlign w:val="bottom"/>
            <w:hideMark/>
          </w:tcPr>
          <w:p w14:paraId="19B8DE71" w14:textId="77777777" w:rsidR="003C40CA" w:rsidRPr="003C40CA" w:rsidRDefault="003C40CA" w:rsidP="006A2AD2">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sq-AL"/>
              </w:rPr>
            </w:pPr>
            <w:r w:rsidRPr="003C40CA">
              <w:rPr>
                <w:rFonts w:asciiTheme="majorHAnsi" w:hAnsiTheme="majorHAnsi" w:cstheme="majorHAnsi"/>
                <w:b/>
                <w:bCs/>
                <w:color w:val="000000"/>
                <w:sz w:val="18"/>
                <w:szCs w:val="18"/>
              </w:rPr>
              <w:t>2,885,953,808</w:t>
            </w:r>
          </w:p>
        </w:tc>
        <w:tc>
          <w:tcPr>
            <w:tcW w:w="676" w:type="pct"/>
            <w:noWrap/>
            <w:vAlign w:val="bottom"/>
            <w:hideMark/>
          </w:tcPr>
          <w:p w14:paraId="643A5C75" w14:textId="77777777" w:rsidR="003C40CA" w:rsidRPr="003C40CA" w:rsidRDefault="003C40CA" w:rsidP="006A2AD2">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sq-AL"/>
              </w:rPr>
            </w:pPr>
            <w:r w:rsidRPr="003C40CA">
              <w:rPr>
                <w:rFonts w:asciiTheme="majorHAnsi" w:hAnsiTheme="majorHAnsi" w:cstheme="majorHAnsi"/>
                <w:b/>
                <w:bCs/>
                <w:color w:val="000000"/>
                <w:sz w:val="18"/>
                <w:szCs w:val="18"/>
              </w:rPr>
              <w:t>47,014,792</w:t>
            </w:r>
          </w:p>
        </w:tc>
        <w:tc>
          <w:tcPr>
            <w:tcW w:w="800" w:type="pct"/>
            <w:noWrap/>
            <w:vAlign w:val="bottom"/>
            <w:hideMark/>
          </w:tcPr>
          <w:p w14:paraId="2DF9D251" w14:textId="77777777" w:rsidR="003C40CA" w:rsidRPr="003C40CA" w:rsidRDefault="003C40CA" w:rsidP="006A2AD2">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sq-AL"/>
              </w:rPr>
            </w:pPr>
            <w:r w:rsidRPr="003C40CA">
              <w:rPr>
                <w:rFonts w:asciiTheme="majorHAnsi" w:hAnsiTheme="majorHAnsi" w:cstheme="majorHAnsi"/>
                <w:color w:val="000000"/>
                <w:sz w:val="18"/>
                <w:szCs w:val="18"/>
              </w:rPr>
              <w:t>100.0%</w:t>
            </w:r>
          </w:p>
        </w:tc>
        <w:tc>
          <w:tcPr>
            <w:tcW w:w="787" w:type="pct"/>
            <w:noWrap/>
            <w:vAlign w:val="bottom"/>
            <w:hideMark/>
          </w:tcPr>
          <w:p w14:paraId="640630C9" w14:textId="77777777" w:rsidR="003C40CA" w:rsidRPr="003C40CA" w:rsidRDefault="003C40CA" w:rsidP="006A2AD2">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sq-AL"/>
              </w:rPr>
            </w:pPr>
            <w:r w:rsidRPr="003C40CA">
              <w:rPr>
                <w:rFonts w:asciiTheme="majorHAnsi" w:hAnsiTheme="majorHAnsi" w:cstheme="majorHAnsi"/>
                <w:color w:val="000000"/>
                <w:sz w:val="18"/>
                <w:szCs w:val="18"/>
              </w:rPr>
              <w:t>100.0%</w:t>
            </w:r>
          </w:p>
        </w:tc>
      </w:tr>
    </w:tbl>
    <w:p w14:paraId="5C71D22D" w14:textId="39CFC2A1" w:rsidR="008448A3" w:rsidRDefault="008448A3" w:rsidP="003C40CA">
      <w:pPr>
        <w:spacing w:before="0" w:line="360" w:lineRule="auto"/>
        <w:ind w:firstLine="576"/>
        <w:rPr>
          <w:rFonts w:eastAsia="SimSun" w:cs="Calibri"/>
          <w:bCs/>
          <w:i/>
          <w:noProof/>
          <w:sz w:val="18"/>
          <w:lang w:val="sq-AL"/>
        </w:rPr>
      </w:pPr>
      <w:r w:rsidRPr="009334DE">
        <w:rPr>
          <w:rFonts w:eastAsia="SimSun" w:cs="Calibri"/>
          <w:bCs/>
          <w:i/>
          <w:noProof/>
          <w:sz w:val="18"/>
          <w:lang w:val="sq-AL"/>
        </w:rPr>
        <w:t>Burimi: Ministria e Financave (202</w:t>
      </w:r>
      <w:r w:rsidR="00072BA1">
        <w:rPr>
          <w:rFonts w:eastAsia="SimSun" w:cs="Calibri"/>
          <w:bCs/>
          <w:i/>
          <w:noProof/>
          <w:sz w:val="18"/>
          <w:lang w:val="sq-AL"/>
        </w:rPr>
        <w:t>6</w:t>
      </w:r>
      <w:r w:rsidRPr="009334DE">
        <w:rPr>
          <w:rFonts w:eastAsia="SimSun" w:cs="Calibri"/>
          <w:bCs/>
          <w:i/>
          <w:noProof/>
          <w:sz w:val="18"/>
          <w:lang w:val="sq-AL"/>
        </w:rPr>
        <w:t>)</w:t>
      </w:r>
    </w:p>
    <w:p w14:paraId="5D9278A0" w14:textId="7E363036" w:rsidR="008448A3" w:rsidRPr="00B1170D" w:rsidRDefault="00B70B1A" w:rsidP="00B1170D">
      <w:pPr>
        <w:pStyle w:val="Heading2"/>
        <w:spacing w:before="0"/>
        <w:rPr>
          <w:color w:val="0F6FC6" w:themeColor="accent1"/>
        </w:rPr>
      </w:pPr>
      <w:bookmarkStart w:id="208" w:name="_Toc229390830"/>
      <w:bookmarkEnd w:id="205"/>
      <w:proofErr w:type="spellStart"/>
      <w:r>
        <w:rPr>
          <w:color w:val="0F6FC6" w:themeColor="accent1"/>
        </w:rPr>
        <w:lastRenderedPageBreak/>
        <w:t>Pagesat</w:t>
      </w:r>
      <w:proofErr w:type="spellEnd"/>
      <w:r>
        <w:rPr>
          <w:color w:val="0F6FC6" w:themeColor="accent1"/>
        </w:rPr>
        <w:t xml:space="preserve"> </w:t>
      </w:r>
      <w:proofErr w:type="spellStart"/>
      <w:r>
        <w:rPr>
          <w:color w:val="0F6FC6" w:themeColor="accent1"/>
        </w:rPr>
        <w:t>për</w:t>
      </w:r>
      <w:proofErr w:type="spellEnd"/>
      <w:r>
        <w:rPr>
          <w:color w:val="0F6FC6" w:themeColor="accent1"/>
        </w:rPr>
        <w:t xml:space="preserve"> </w:t>
      </w:r>
      <w:proofErr w:type="spellStart"/>
      <w:r>
        <w:rPr>
          <w:color w:val="0F6FC6" w:themeColor="accent1"/>
        </w:rPr>
        <w:t>Kontratat</w:t>
      </w:r>
      <w:proofErr w:type="spellEnd"/>
      <w:r>
        <w:rPr>
          <w:color w:val="0F6FC6" w:themeColor="accent1"/>
        </w:rPr>
        <w:t xml:space="preserve"> </w:t>
      </w:r>
      <w:proofErr w:type="spellStart"/>
      <w:r w:rsidR="008448A3" w:rsidRPr="00B1170D">
        <w:rPr>
          <w:color w:val="0F6FC6" w:themeColor="accent1"/>
        </w:rPr>
        <w:t>Koncesion</w:t>
      </w:r>
      <w:r>
        <w:rPr>
          <w:color w:val="0F6FC6" w:themeColor="accent1"/>
        </w:rPr>
        <w:t>are</w:t>
      </w:r>
      <w:proofErr w:type="spellEnd"/>
      <w:r w:rsidR="008448A3" w:rsidRPr="00B1170D">
        <w:rPr>
          <w:color w:val="0F6FC6" w:themeColor="accent1"/>
        </w:rPr>
        <w:t>/PPP</w:t>
      </w:r>
      <w:bookmarkEnd w:id="208"/>
    </w:p>
    <w:p w14:paraId="572A6DD6" w14:textId="77777777" w:rsidR="008448A3" w:rsidRPr="00B644BE" w:rsidRDefault="008448A3" w:rsidP="008448A3">
      <w:pPr>
        <w:spacing w:line="240" w:lineRule="auto"/>
        <w:rPr>
          <w:rFonts w:cs="Calibri"/>
          <w:noProof/>
          <w:lang w:val="sq-AL"/>
        </w:rPr>
      </w:pPr>
      <w:r w:rsidRPr="00B644BE">
        <w:rPr>
          <w:rFonts w:cs="Calibri"/>
          <w:noProof/>
          <w:lang w:val="sq-AL"/>
        </w:rPr>
        <w:t>Sa i takon ecurisë së pagesave faktike për kontratat koncesionare dhe të partneritetit publik privat (PPP) me mbështetje buxhetore, për vitin 202</w:t>
      </w:r>
      <w:r>
        <w:rPr>
          <w:rFonts w:cs="Calibri"/>
          <w:noProof/>
          <w:lang w:val="sq-AL"/>
        </w:rPr>
        <w:t>5</w:t>
      </w:r>
      <w:r w:rsidRPr="00B644BE">
        <w:rPr>
          <w:rFonts w:cs="Calibri"/>
          <w:noProof/>
          <w:lang w:val="sq-AL"/>
        </w:rPr>
        <w:t xml:space="preserve"> monitorimi dhe raportimi i tyre është institucionalizuar përmes përfshirjes në Udhëzimin Plotësues nr.</w:t>
      </w:r>
      <w:r>
        <w:rPr>
          <w:rFonts w:cs="Calibri"/>
          <w:noProof/>
          <w:lang w:val="sq-AL"/>
        </w:rPr>
        <w:t>2</w:t>
      </w:r>
      <w:r w:rsidRPr="00B644BE">
        <w:rPr>
          <w:rFonts w:cs="Calibri"/>
          <w:noProof/>
          <w:lang w:val="sq-AL"/>
        </w:rPr>
        <w:t xml:space="preserve"> datë </w:t>
      </w:r>
      <w:r>
        <w:rPr>
          <w:rFonts w:cs="Calibri"/>
          <w:noProof/>
          <w:lang w:val="sq-AL"/>
        </w:rPr>
        <w:t>24</w:t>
      </w:r>
      <w:r w:rsidRPr="00B644BE">
        <w:rPr>
          <w:rFonts w:cs="Calibri"/>
          <w:noProof/>
          <w:lang w:val="sq-AL"/>
        </w:rPr>
        <w:t>.01.202</w:t>
      </w:r>
      <w:r>
        <w:rPr>
          <w:rFonts w:cs="Calibri"/>
          <w:noProof/>
          <w:lang w:val="sq-AL"/>
        </w:rPr>
        <w:t>5</w:t>
      </w:r>
      <w:r w:rsidRPr="00B644BE">
        <w:rPr>
          <w:rFonts w:cs="Calibri"/>
          <w:noProof/>
          <w:lang w:val="sq-AL"/>
        </w:rPr>
        <w:t xml:space="preserve"> “</w:t>
      </w:r>
      <w:r w:rsidRPr="00B644BE">
        <w:rPr>
          <w:rFonts w:cs="Calibri"/>
          <w:i/>
          <w:noProof/>
          <w:lang w:val="sq-AL"/>
        </w:rPr>
        <w:t>Për zbatimin e buxhetit të vitit 202</w:t>
      </w:r>
      <w:r>
        <w:rPr>
          <w:rFonts w:cs="Calibri"/>
          <w:i/>
          <w:noProof/>
          <w:lang w:val="sq-AL"/>
        </w:rPr>
        <w:t>5</w:t>
      </w:r>
      <w:r w:rsidRPr="00B644BE">
        <w:rPr>
          <w:rFonts w:cs="Calibri"/>
          <w:noProof/>
          <w:lang w:val="sq-AL"/>
        </w:rPr>
        <w:t>”, i cili përcakton skedulin e detyrueshëm kohor të raportimit të tyre nga çdo autoritet kontraktor, krahas formateve standarde për këtë qëllim. Në nivel total p</w:t>
      </w:r>
      <w:r w:rsidRPr="00B644BE">
        <w:rPr>
          <w:rFonts w:eastAsia="Calibri" w:cs="Calibri"/>
          <w:bCs/>
          <w:noProof/>
          <w:lang w:val="sq-AL" w:eastAsia="sq-AL"/>
        </w:rPr>
        <w:t>ër 202</w:t>
      </w:r>
      <w:r>
        <w:rPr>
          <w:rFonts w:eastAsia="Calibri" w:cs="Calibri"/>
          <w:bCs/>
          <w:noProof/>
          <w:lang w:val="sq-AL" w:eastAsia="sq-AL"/>
        </w:rPr>
        <w:t>5</w:t>
      </w:r>
      <w:r w:rsidRPr="00B644BE">
        <w:rPr>
          <w:rFonts w:cs="Calibri"/>
          <w:noProof/>
          <w:lang w:val="sq-AL"/>
        </w:rPr>
        <w:t xml:space="preserve">: </w:t>
      </w:r>
    </w:p>
    <w:p w14:paraId="11C4912C" w14:textId="77777777" w:rsidR="008448A3" w:rsidRPr="001167F1" w:rsidRDefault="008448A3">
      <w:pPr>
        <w:numPr>
          <w:ilvl w:val="0"/>
          <w:numId w:val="13"/>
        </w:numPr>
        <w:spacing w:before="0" w:line="240" w:lineRule="auto"/>
        <w:ind w:left="540"/>
        <w:contextualSpacing/>
        <w:rPr>
          <w:rFonts w:eastAsia="Calibri" w:cs="Calibri"/>
          <w:bCs/>
          <w:i/>
          <w:noProof/>
          <w:sz w:val="20"/>
          <w:szCs w:val="22"/>
          <w:lang w:val="sq-AL" w:eastAsia="sq-AL"/>
        </w:rPr>
      </w:pPr>
      <w:r w:rsidRPr="001167F1">
        <w:rPr>
          <w:rFonts w:eastAsia="Calibri" w:cs="Calibri"/>
          <w:bCs/>
          <w:i/>
          <w:noProof/>
          <w:sz w:val="20"/>
          <w:szCs w:val="22"/>
          <w:lang w:val="sq-AL" w:eastAsia="sq-AL"/>
        </w:rPr>
        <w:t>Rezultojnë 11 kontrata koncesionare/PPP të miratuara me mbështetje buxhetore.</w:t>
      </w:r>
    </w:p>
    <w:p w14:paraId="3D020413" w14:textId="77777777" w:rsidR="008448A3" w:rsidRPr="001167F1" w:rsidRDefault="008448A3">
      <w:pPr>
        <w:numPr>
          <w:ilvl w:val="0"/>
          <w:numId w:val="13"/>
        </w:numPr>
        <w:spacing w:before="0" w:line="240" w:lineRule="auto"/>
        <w:ind w:left="540"/>
        <w:contextualSpacing/>
        <w:rPr>
          <w:rFonts w:eastAsia="Calibri" w:cs="Calibri"/>
          <w:bCs/>
          <w:i/>
          <w:noProof/>
          <w:sz w:val="20"/>
          <w:szCs w:val="22"/>
          <w:lang w:val="sq-AL" w:eastAsia="sq-AL"/>
        </w:rPr>
      </w:pPr>
      <w:r w:rsidRPr="001167F1">
        <w:rPr>
          <w:rFonts w:eastAsia="Calibri" w:cs="Calibri"/>
          <w:bCs/>
          <w:i/>
          <w:noProof/>
          <w:sz w:val="20"/>
          <w:szCs w:val="22"/>
          <w:lang w:val="sq-AL" w:eastAsia="sq-AL"/>
        </w:rPr>
        <w:t>Janë realizuar pagesa faktike për 10 kontrata koncesionare/PPP me mbështetje buxhetore</w:t>
      </w:r>
      <w:r w:rsidRPr="001167F1">
        <w:rPr>
          <w:rFonts w:eastAsia="Calibri" w:cs="Calibri"/>
          <w:bCs/>
          <w:i/>
          <w:noProof/>
          <w:sz w:val="20"/>
          <w:szCs w:val="22"/>
          <w:vertAlign w:val="superscript"/>
          <w:lang w:val="sq-AL" w:eastAsia="sq-AL"/>
        </w:rPr>
        <w:footnoteReference w:id="4"/>
      </w:r>
      <w:r w:rsidRPr="001167F1">
        <w:rPr>
          <w:rFonts w:eastAsia="Calibri" w:cs="Calibri"/>
          <w:bCs/>
          <w:i/>
          <w:noProof/>
          <w:sz w:val="20"/>
          <w:szCs w:val="22"/>
          <w:lang w:val="sq-AL" w:eastAsia="sq-AL"/>
        </w:rPr>
        <w:t xml:space="preserve">. </w:t>
      </w:r>
    </w:p>
    <w:p w14:paraId="1163247F" w14:textId="11C08428" w:rsidR="008448A3" w:rsidRPr="001167F1" w:rsidRDefault="008448A3">
      <w:pPr>
        <w:numPr>
          <w:ilvl w:val="0"/>
          <w:numId w:val="13"/>
        </w:numPr>
        <w:spacing w:before="0" w:line="240" w:lineRule="auto"/>
        <w:ind w:left="540"/>
        <w:contextualSpacing/>
        <w:rPr>
          <w:rFonts w:eastAsia="Calibri" w:cs="Calibri"/>
          <w:bCs/>
          <w:i/>
          <w:noProof/>
          <w:sz w:val="20"/>
          <w:szCs w:val="22"/>
          <w:lang w:val="sq-AL" w:eastAsia="sq-AL"/>
        </w:rPr>
      </w:pPr>
      <w:r w:rsidRPr="001167F1">
        <w:rPr>
          <w:rFonts w:eastAsia="Calibri" w:cs="Calibri"/>
          <w:bCs/>
          <w:i/>
          <w:noProof/>
          <w:sz w:val="20"/>
          <w:szCs w:val="22"/>
          <w:lang w:val="sq-AL" w:eastAsia="sq-AL"/>
        </w:rPr>
        <w:t xml:space="preserve">Fondet buxhetore të planifikuara, sipas planit vjetor me ndryshime, me destinacion mbështetjen nga buxheti për kontratat koncesionare/PPP, rezultojnë rreth 13.68 </w:t>
      </w:r>
      <w:r w:rsidR="0056260B" w:rsidRPr="001167F1">
        <w:rPr>
          <w:rFonts w:eastAsia="Calibri" w:cs="Calibri"/>
          <w:bCs/>
          <w:i/>
          <w:noProof/>
          <w:sz w:val="20"/>
          <w:szCs w:val="22"/>
          <w:lang w:val="sq-AL" w:eastAsia="sq-AL"/>
        </w:rPr>
        <w:t>miliardë</w:t>
      </w:r>
      <w:r w:rsidRPr="001167F1">
        <w:rPr>
          <w:rFonts w:eastAsia="Calibri" w:cs="Calibri"/>
          <w:bCs/>
          <w:i/>
          <w:noProof/>
          <w:sz w:val="20"/>
          <w:szCs w:val="22"/>
          <w:lang w:val="sq-AL" w:eastAsia="sq-AL"/>
        </w:rPr>
        <w:t xml:space="preserve"> LEK. </w:t>
      </w:r>
    </w:p>
    <w:p w14:paraId="237BDC94" w14:textId="107E9DD5" w:rsidR="008448A3" w:rsidRPr="001167F1" w:rsidRDefault="008448A3">
      <w:pPr>
        <w:numPr>
          <w:ilvl w:val="0"/>
          <w:numId w:val="13"/>
        </w:numPr>
        <w:spacing w:before="0" w:line="240" w:lineRule="auto"/>
        <w:ind w:left="540"/>
        <w:contextualSpacing/>
        <w:rPr>
          <w:rFonts w:cs="Calibri"/>
          <w:noProof/>
          <w:sz w:val="20"/>
          <w:szCs w:val="22"/>
          <w:lang w:val="sq-AL"/>
        </w:rPr>
      </w:pPr>
      <w:r w:rsidRPr="001167F1">
        <w:rPr>
          <w:rFonts w:eastAsia="Calibri" w:cs="Calibri"/>
          <w:bCs/>
          <w:i/>
          <w:noProof/>
          <w:sz w:val="20"/>
          <w:szCs w:val="22"/>
          <w:lang w:val="sq-AL" w:eastAsia="sq-AL"/>
        </w:rPr>
        <w:t xml:space="preserve">Pagesat faktike vjetore total </w:t>
      </w:r>
      <w:r w:rsidR="001167F1">
        <w:rPr>
          <w:rFonts w:eastAsia="Calibri" w:cs="Calibri"/>
          <w:bCs/>
          <w:i/>
          <w:noProof/>
          <w:sz w:val="20"/>
          <w:szCs w:val="22"/>
          <w:lang w:val="sq-AL" w:eastAsia="sq-AL"/>
        </w:rPr>
        <w:t>ishin</w:t>
      </w:r>
      <w:r w:rsidRPr="001167F1">
        <w:rPr>
          <w:rFonts w:eastAsia="Calibri" w:cs="Calibri"/>
          <w:bCs/>
          <w:i/>
          <w:noProof/>
          <w:sz w:val="20"/>
          <w:szCs w:val="22"/>
          <w:lang w:val="sq-AL" w:eastAsia="sq-AL"/>
        </w:rPr>
        <w:t xml:space="preserve"> 13.36</w:t>
      </w:r>
      <w:r w:rsidR="001167F1">
        <w:rPr>
          <w:rFonts w:eastAsia="Calibri" w:cs="Calibri"/>
          <w:bCs/>
          <w:i/>
          <w:noProof/>
          <w:sz w:val="20"/>
          <w:szCs w:val="22"/>
          <w:lang w:val="sq-AL" w:eastAsia="sq-AL"/>
        </w:rPr>
        <w:t>mld</w:t>
      </w:r>
      <w:r w:rsidRPr="001167F1">
        <w:rPr>
          <w:rFonts w:eastAsia="Calibri" w:cs="Calibri"/>
          <w:bCs/>
          <w:i/>
          <w:noProof/>
          <w:sz w:val="20"/>
          <w:szCs w:val="22"/>
          <w:lang w:val="sq-AL" w:eastAsia="sq-AL"/>
        </w:rPr>
        <w:t xml:space="preserve"> LEK ose 97.6% </w:t>
      </w:r>
      <w:r w:rsidR="001167F1">
        <w:rPr>
          <w:rFonts w:eastAsia="Calibri" w:cs="Calibri"/>
          <w:bCs/>
          <w:i/>
          <w:noProof/>
          <w:sz w:val="20"/>
          <w:szCs w:val="22"/>
          <w:lang w:val="sq-AL" w:eastAsia="sq-AL"/>
        </w:rPr>
        <w:t>e</w:t>
      </w:r>
      <w:r w:rsidRPr="001167F1">
        <w:rPr>
          <w:rFonts w:eastAsia="Calibri" w:cs="Calibri"/>
          <w:bCs/>
          <w:i/>
          <w:sz w:val="20"/>
          <w:szCs w:val="22"/>
          <w:lang w:val="sq-AL" w:eastAsia="sq-AL"/>
        </w:rPr>
        <w:t xml:space="preserve"> pagesave të planifikuara, sipas planit</w:t>
      </w:r>
      <w:r w:rsidRPr="001167F1">
        <w:rPr>
          <w:rFonts w:eastAsia="Calibri" w:cs="Calibri"/>
          <w:bCs/>
          <w:i/>
          <w:noProof/>
          <w:sz w:val="20"/>
          <w:szCs w:val="22"/>
          <w:lang w:val="sq-AL" w:eastAsia="sq-AL"/>
        </w:rPr>
        <w:t xml:space="preserve"> me ndryshime.</w:t>
      </w:r>
    </w:p>
    <w:p w14:paraId="61C9D555" w14:textId="77777777" w:rsidR="008448A3" w:rsidRPr="00B644BE" w:rsidRDefault="008448A3" w:rsidP="008448A3">
      <w:pPr>
        <w:spacing w:line="240" w:lineRule="auto"/>
        <w:rPr>
          <w:rFonts w:cs="Calibri"/>
          <w:b/>
          <w:noProof/>
          <w:lang w:val="sq-AL"/>
        </w:rPr>
      </w:pPr>
      <w:r w:rsidRPr="00B644BE">
        <w:rPr>
          <w:rFonts w:cs="Calibri"/>
          <w:b/>
          <w:noProof/>
          <w:lang w:val="sq-AL"/>
        </w:rPr>
        <w:t>Respektimi i rregullit fiskal, për vitin 202</w:t>
      </w:r>
      <w:r>
        <w:rPr>
          <w:rFonts w:cs="Calibri"/>
          <w:b/>
          <w:noProof/>
          <w:lang w:val="sq-AL"/>
        </w:rPr>
        <w:t>5</w:t>
      </w:r>
      <w:r w:rsidRPr="00B644BE">
        <w:rPr>
          <w:rFonts w:cs="Calibri"/>
          <w:b/>
          <w:noProof/>
          <w:lang w:val="sq-AL"/>
        </w:rPr>
        <w:t>:</w:t>
      </w:r>
    </w:p>
    <w:p w14:paraId="170A073B" w14:textId="743B94FE" w:rsidR="008448A3" w:rsidRPr="00B644BE" w:rsidRDefault="008448A3">
      <w:pPr>
        <w:numPr>
          <w:ilvl w:val="0"/>
          <w:numId w:val="13"/>
        </w:numPr>
        <w:spacing w:after="240" w:line="240" w:lineRule="auto"/>
        <w:ind w:left="540"/>
        <w:contextualSpacing/>
        <w:rPr>
          <w:rFonts w:eastAsia="Calibri" w:cs="Calibri"/>
          <w:bCs/>
          <w:noProof/>
          <w:lang w:val="sq-AL" w:eastAsia="sq-AL"/>
        </w:rPr>
      </w:pPr>
      <w:r w:rsidRPr="00B644BE">
        <w:rPr>
          <w:rFonts w:eastAsia="Calibri" w:cs="Calibri"/>
          <w:bCs/>
          <w:noProof/>
          <w:lang w:val="sq-AL" w:eastAsia="sq-AL"/>
        </w:rPr>
        <w:t>Kufiri i lejuar i pagesave neto për kontratat koncesionare/PPP, prej 5% i të ardhurave tatimore faktike të vitit pararendës 202</w:t>
      </w:r>
      <w:r>
        <w:rPr>
          <w:rFonts w:eastAsia="Calibri" w:cs="Calibri"/>
          <w:bCs/>
          <w:noProof/>
          <w:lang w:val="sq-AL" w:eastAsia="sq-AL"/>
        </w:rPr>
        <w:t>4</w:t>
      </w:r>
      <w:r w:rsidRPr="00B644BE">
        <w:rPr>
          <w:rFonts w:eastAsia="Calibri" w:cs="Calibri"/>
          <w:bCs/>
          <w:noProof/>
          <w:lang w:val="sq-AL" w:eastAsia="sq-AL"/>
        </w:rPr>
        <w:t xml:space="preserve">, përllogaritet në rreth </w:t>
      </w:r>
      <w:r>
        <w:rPr>
          <w:rFonts w:eastAsia="Calibri" w:cs="Calibri"/>
          <w:bCs/>
          <w:noProof/>
          <w:lang w:val="sq-AL" w:eastAsia="sq-AL"/>
        </w:rPr>
        <w:t>32.95</w:t>
      </w:r>
      <w:r w:rsidRPr="00B644BE">
        <w:rPr>
          <w:rFonts w:eastAsia="Calibri" w:cs="Calibri"/>
          <w:bCs/>
          <w:noProof/>
          <w:lang w:val="sq-AL" w:eastAsia="sq-AL"/>
        </w:rPr>
        <w:t xml:space="preserve"> </w:t>
      </w:r>
      <w:r w:rsidR="0056260B">
        <w:rPr>
          <w:rFonts w:eastAsia="Calibri" w:cs="Calibri"/>
          <w:bCs/>
          <w:noProof/>
          <w:lang w:val="sq-AL" w:eastAsia="sq-AL"/>
        </w:rPr>
        <w:t>miliardë</w:t>
      </w:r>
      <w:r w:rsidRPr="00B644BE">
        <w:rPr>
          <w:rFonts w:eastAsia="Calibri" w:cs="Calibri"/>
          <w:bCs/>
          <w:noProof/>
          <w:lang w:val="sq-AL" w:eastAsia="sq-AL"/>
        </w:rPr>
        <w:t xml:space="preserve"> LEK.</w:t>
      </w:r>
    </w:p>
    <w:p w14:paraId="76C424BE" w14:textId="782D61B3" w:rsidR="008448A3" w:rsidRPr="00B644BE" w:rsidRDefault="008448A3">
      <w:pPr>
        <w:numPr>
          <w:ilvl w:val="0"/>
          <w:numId w:val="13"/>
        </w:numPr>
        <w:spacing w:after="240" w:line="240" w:lineRule="auto"/>
        <w:ind w:left="540"/>
        <w:contextualSpacing/>
        <w:rPr>
          <w:rFonts w:eastAsia="Calibri" w:cs="Calibri"/>
          <w:bCs/>
          <w:noProof/>
          <w:lang w:val="sq-AL" w:eastAsia="sq-AL"/>
        </w:rPr>
      </w:pPr>
      <w:r w:rsidRPr="00B644BE">
        <w:rPr>
          <w:rFonts w:eastAsia="Calibri" w:cs="Calibri"/>
          <w:bCs/>
          <w:noProof/>
          <w:lang w:val="sq-AL" w:eastAsia="sq-AL"/>
        </w:rPr>
        <w:t xml:space="preserve">Referuar tabelës së mëposhtme, pagesat vjetore faktike </w:t>
      </w:r>
      <w:r w:rsidR="001167F1">
        <w:rPr>
          <w:rFonts w:eastAsia="Calibri" w:cs="Calibri"/>
          <w:bCs/>
          <w:noProof/>
          <w:lang w:val="sq-AL" w:eastAsia="sq-AL"/>
        </w:rPr>
        <w:t xml:space="preserve">të kryera </w:t>
      </w:r>
      <w:r w:rsidRPr="00B644BE">
        <w:rPr>
          <w:rFonts w:eastAsia="Calibri" w:cs="Calibri"/>
          <w:bCs/>
          <w:noProof/>
          <w:lang w:val="sq-AL" w:eastAsia="sq-AL"/>
        </w:rPr>
        <w:t>nga njësitë e qeverisjes së përgjithshme, për kontratat koncesionare/PPP me mbështetje buxhetore, rezultuan në rreth 1</w:t>
      </w:r>
      <w:r>
        <w:rPr>
          <w:rFonts w:eastAsia="Calibri" w:cs="Calibri"/>
          <w:bCs/>
          <w:noProof/>
          <w:lang w:val="sq-AL" w:eastAsia="sq-AL"/>
        </w:rPr>
        <w:t>3.36</w:t>
      </w:r>
      <w:r w:rsidR="001167F1">
        <w:rPr>
          <w:rFonts w:eastAsia="Calibri" w:cs="Calibri"/>
          <w:bCs/>
          <w:noProof/>
          <w:lang w:val="sq-AL" w:eastAsia="sq-AL"/>
        </w:rPr>
        <w:t xml:space="preserve">mld </w:t>
      </w:r>
      <w:r w:rsidRPr="00B644BE">
        <w:rPr>
          <w:rFonts w:eastAsia="Calibri" w:cs="Calibri"/>
          <w:bCs/>
          <w:noProof/>
          <w:lang w:val="sq-AL" w:eastAsia="sq-AL"/>
        </w:rPr>
        <w:t>LEK.</w:t>
      </w:r>
    </w:p>
    <w:p w14:paraId="737AA5EF" w14:textId="742C4F37" w:rsidR="00BB7DD5" w:rsidRPr="00D45157" w:rsidRDefault="008448A3" w:rsidP="001167F1">
      <w:pPr>
        <w:numPr>
          <w:ilvl w:val="1"/>
          <w:numId w:val="3"/>
        </w:numPr>
        <w:spacing w:line="240" w:lineRule="auto"/>
        <w:ind w:left="900" w:hanging="270"/>
        <w:contextualSpacing/>
        <w:rPr>
          <w:rFonts w:cs="Calibri"/>
          <w:b/>
          <w:bCs/>
          <w:i/>
          <w:noProof/>
          <w:szCs w:val="22"/>
          <w:lang w:val="sq-AL"/>
        </w:rPr>
      </w:pPr>
      <w:r w:rsidRPr="00D45157">
        <w:rPr>
          <w:rFonts w:cs="Calibri"/>
          <w:b/>
          <w:bCs/>
          <w:i/>
          <w:noProof/>
          <w:szCs w:val="22"/>
          <w:lang w:val="sq-AL"/>
        </w:rPr>
        <w:t xml:space="preserve">Rrjedhimisht, për vitin 2025 </w:t>
      </w:r>
      <w:r w:rsidR="001167F1" w:rsidRPr="00D45157">
        <w:rPr>
          <w:rFonts w:cs="Calibri"/>
          <w:b/>
          <w:bCs/>
          <w:i/>
          <w:noProof/>
          <w:szCs w:val="22"/>
          <w:lang w:val="sq-AL"/>
        </w:rPr>
        <w:t>u</w:t>
      </w:r>
      <w:r w:rsidRPr="00D45157">
        <w:rPr>
          <w:rFonts w:cs="Calibri"/>
          <w:b/>
          <w:bCs/>
          <w:i/>
          <w:noProof/>
          <w:szCs w:val="22"/>
          <w:lang w:val="sq-AL"/>
        </w:rPr>
        <w:t xml:space="preserve"> respektua rregulli fiskal</w:t>
      </w:r>
      <w:r w:rsidR="007E53C1">
        <w:rPr>
          <w:rFonts w:cs="Calibri"/>
          <w:b/>
          <w:bCs/>
          <w:i/>
          <w:noProof/>
          <w:szCs w:val="22"/>
          <w:lang w:val="sq-AL"/>
        </w:rPr>
        <w:t xml:space="preserve"> &lt;5%, </w:t>
      </w:r>
      <w:r w:rsidRPr="00D45157">
        <w:rPr>
          <w:rFonts w:cs="Calibri"/>
          <w:b/>
          <w:bCs/>
          <w:i/>
          <w:noProof/>
          <w:szCs w:val="22"/>
          <w:lang w:val="sq-AL"/>
        </w:rPr>
        <w:t xml:space="preserve">pasi </w:t>
      </w:r>
      <w:r w:rsidR="002E4BAD" w:rsidRPr="00D45157">
        <w:rPr>
          <w:rFonts w:cs="Calibri"/>
          <w:b/>
          <w:bCs/>
          <w:i/>
          <w:noProof/>
          <w:szCs w:val="22"/>
          <w:lang w:val="sq-AL"/>
        </w:rPr>
        <w:t>niveli</w:t>
      </w:r>
      <w:r w:rsidRPr="00D45157">
        <w:rPr>
          <w:rFonts w:cs="Calibri"/>
          <w:b/>
          <w:bCs/>
          <w:i/>
          <w:noProof/>
          <w:szCs w:val="22"/>
          <w:lang w:val="sq-AL"/>
        </w:rPr>
        <w:t xml:space="preserve"> 13.36</w:t>
      </w:r>
      <w:r w:rsidR="001167F1" w:rsidRPr="00D45157">
        <w:rPr>
          <w:rFonts w:cs="Calibri"/>
          <w:b/>
          <w:bCs/>
          <w:i/>
          <w:noProof/>
          <w:szCs w:val="22"/>
          <w:lang w:val="sq-AL"/>
        </w:rPr>
        <w:t>mld</w:t>
      </w:r>
      <w:r w:rsidRPr="00D45157">
        <w:rPr>
          <w:rFonts w:cs="Calibri"/>
          <w:b/>
          <w:bCs/>
          <w:i/>
          <w:noProof/>
          <w:szCs w:val="22"/>
          <w:lang w:val="sq-AL"/>
        </w:rPr>
        <w:t xml:space="preserve"> LEK përbën vetëm 2.03% të totalit të të ardhurave tatimore faktike</w:t>
      </w:r>
      <w:r w:rsidR="002E4BAD" w:rsidRPr="00D45157">
        <w:rPr>
          <w:rFonts w:cs="Calibri"/>
          <w:b/>
          <w:bCs/>
          <w:i/>
          <w:noProof/>
          <w:szCs w:val="22"/>
          <w:lang w:val="sq-AL"/>
        </w:rPr>
        <w:t xml:space="preserve"> të vitit pararendës</w:t>
      </w:r>
      <w:r w:rsidRPr="00D45157">
        <w:rPr>
          <w:rFonts w:cs="Calibri"/>
          <w:b/>
          <w:bCs/>
          <w:i/>
          <w:noProof/>
          <w:szCs w:val="22"/>
          <w:lang w:val="sq-AL"/>
        </w:rPr>
        <w:t xml:space="preserve"> 2024</w:t>
      </w:r>
      <w:r w:rsidR="001167F1" w:rsidRPr="00D45157">
        <w:rPr>
          <w:rFonts w:cs="Calibri"/>
          <w:b/>
          <w:bCs/>
          <w:i/>
          <w:noProof/>
          <w:szCs w:val="22"/>
          <w:lang w:val="sq-AL"/>
        </w:rPr>
        <w:t>,</w:t>
      </w:r>
      <w:r w:rsidRPr="00D45157">
        <w:rPr>
          <w:rFonts w:cs="Calibri"/>
          <w:b/>
          <w:bCs/>
          <w:i/>
          <w:noProof/>
          <w:szCs w:val="22"/>
          <w:lang w:val="sq-AL"/>
        </w:rPr>
        <w:t xml:space="preserve"> prej 659.1</w:t>
      </w:r>
      <w:r w:rsidR="001167F1" w:rsidRPr="00D45157">
        <w:rPr>
          <w:rFonts w:cs="Calibri"/>
          <w:b/>
          <w:bCs/>
          <w:i/>
          <w:noProof/>
          <w:szCs w:val="22"/>
          <w:lang w:val="sq-AL"/>
        </w:rPr>
        <w:t>mld</w:t>
      </w:r>
      <w:r w:rsidRPr="00D45157">
        <w:rPr>
          <w:rFonts w:cs="Calibri"/>
          <w:b/>
          <w:bCs/>
          <w:i/>
          <w:noProof/>
          <w:szCs w:val="22"/>
          <w:lang w:val="sq-AL"/>
        </w:rPr>
        <w:t xml:space="preserve"> LEK.</w:t>
      </w:r>
    </w:p>
    <w:p w14:paraId="2B7C9653" w14:textId="51E08645" w:rsidR="00610215" w:rsidRPr="00B644BE" w:rsidRDefault="00F37714" w:rsidP="00F37714">
      <w:pPr>
        <w:pStyle w:val="Caption"/>
        <w:rPr>
          <w:rFonts w:cs="Calibri"/>
          <w:noProof/>
          <w:lang w:val="sq-AL"/>
        </w:rPr>
      </w:pPr>
      <w:bookmarkStart w:id="209" w:name="_Toc22913000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CB4DE6">
        <w:rPr>
          <w:noProof/>
          <w:lang w:val="sq-AL"/>
        </w:rPr>
        <w:t>26</w:t>
      </w:r>
      <w:r w:rsidR="00F675D4" w:rsidRPr="00B644BE">
        <w:rPr>
          <w:noProof/>
          <w:lang w:val="sq-AL"/>
        </w:rPr>
        <w:fldChar w:fldCharType="end"/>
      </w:r>
      <w:r w:rsidRPr="00B644BE">
        <w:rPr>
          <w:noProof/>
          <w:lang w:val="sq-AL"/>
        </w:rPr>
        <w:t xml:space="preserve">  Koncesionet/PPP-të aktive me mbështetje nga buxheti i shtetit (në mijë LEK)</w:t>
      </w:r>
      <w:bookmarkEnd w:id="209"/>
    </w:p>
    <w:p w14:paraId="663E147C" w14:textId="77777777" w:rsidR="002A65F4" w:rsidRDefault="008448A3" w:rsidP="002E4BAD">
      <w:pPr>
        <w:spacing w:before="0" w:line="240" w:lineRule="auto"/>
        <w:jc w:val="center"/>
        <w:rPr>
          <w:rFonts w:cs="Calibri"/>
          <w:noProof/>
          <w:lang w:val="sq-AL"/>
        </w:rPr>
      </w:pPr>
      <w:r>
        <w:rPr>
          <w:rFonts w:cs="Calibri"/>
          <w:noProof/>
          <w:lang w:val="sq-AL"/>
        </w:rPr>
        <w:drawing>
          <wp:inline distT="0" distB="0" distL="0" distR="0" wp14:anchorId="06509C1B" wp14:editId="1BAF8E2E">
            <wp:extent cx="6203290" cy="4959350"/>
            <wp:effectExtent l="0" t="0" r="7620" b="0"/>
            <wp:docPr id="204473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6477" cy="4985882"/>
                    </a:xfrm>
                    <a:prstGeom prst="rect">
                      <a:avLst/>
                    </a:prstGeom>
                    <a:noFill/>
                  </pic:spPr>
                </pic:pic>
              </a:graphicData>
            </a:graphic>
          </wp:inline>
        </w:drawing>
      </w:r>
    </w:p>
    <w:p w14:paraId="53DF5CE2" w14:textId="4C04FC4D" w:rsidR="002111DF" w:rsidRDefault="00055B55" w:rsidP="001824B9">
      <w:pPr>
        <w:spacing w:before="0" w:line="360" w:lineRule="auto"/>
        <w:ind w:left="-360" w:firstLine="360"/>
        <w:rPr>
          <w:rFonts w:eastAsia="SimSun" w:cs="Calibri"/>
          <w:i/>
          <w:noProof/>
          <w:sz w:val="18"/>
          <w:szCs w:val="18"/>
          <w:lang w:val="sq-AL"/>
        </w:rPr>
      </w:pPr>
      <w:r w:rsidRPr="00B644BE">
        <w:rPr>
          <w:rFonts w:eastAsia="SimSun" w:cs="Calibri"/>
          <w:i/>
          <w:noProof/>
          <w:sz w:val="18"/>
          <w:szCs w:val="18"/>
          <w:lang w:val="sq-AL"/>
        </w:rPr>
        <w:t>Burimi: Ministria e Financave</w:t>
      </w:r>
      <w:r w:rsidR="00D664C1" w:rsidRPr="00B644BE">
        <w:rPr>
          <w:rFonts w:eastAsia="SimSun" w:cs="Calibri"/>
          <w:i/>
          <w:noProof/>
          <w:sz w:val="18"/>
          <w:szCs w:val="18"/>
          <w:lang w:val="sq-AL"/>
        </w:rPr>
        <w:t>, Autoritetet Kontraktore</w:t>
      </w:r>
      <w:r w:rsidRPr="00B644BE">
        <w:rPr>
          <w:rFonts w:eastAsia="SimSun" w:cs="Calibri"/>
          <w:i/>
          <w:noProof/>
          <w:sz w:val="18"/>
          <w:szCs w:val="18"/>
          <w:lang w:val="sq-AL"/>
        </w:rPr>
        <w:t xml:space="preserve"> (202</w:t>
      </w:r>
      <w:r w:rsidR="002A65F4">
        <w:rPr>
          <w:rFonts w:eastAsia="SimSun" w:cs="Calibri"/>
          <w:i/>
          <w:noProof/>
          <w:sz w:val="18"/>
          <w:szCs w:val="18"/>
          <w:lang w:val="sq-AL"/>
        </w:rPr>
        <w:t>6</w:t>
      </w:r>
      <w:r w:rsidRPr="00B644BE">
        <w:rPr>
          <w:rFonts w:eastAsia="SimSun" w:cs="Calibri"/>
          <w:i/>
          <w:noProof/>
          <w:sz w:val="18"/>
          <w:szCs w:val="18"/>
          <w:lang w:val="sq-AL"/>
        </w:rPr>
        <w:t>)</w:t>
      </w:r>
    </w:p>
    <w:p w14:paraId="26047A22" w14:textId="32C2A7D1" w:rsidR="0058527B" w:rsidRDefault="002350D2" w:rsidP="0058527B">
      <w:pPr>
        <w:pStyle w:val="Heading2"/>
        <w:spacing w:before="0"/>
        <w:rPr>
          <w:color w:val="0F6FC6" w:themeColor="accent1"/>
        </w:rPr>
      </w:pPr>
      <w:bookmarkStart w:id="210" w:name="_Toc374447187"/>
      <w:bookmarkStart w:id="211" w:name="_Toc374620506"/>
      <w:bookmarkStart w:id="212" w:name="_Toc495672782"/>
      <w:bookmarkStart w:id="213" w:name="_Toc10033287"/>
      <w:bookmarkStart w:id="214" w:name="_Toc10721424"/>
      <w:bookmarkStart w:id="215" w:name="_Toc229390831"/>
      <w:bookmarkEnd w:id="210"/>
      <w:bookmarkEnd w:id="211"/>
      <w:bookmarkEnd w:id="212"/>
      <w:proofErr w:type="spellStart"/>
      <w:r w:rsidRPr="00B1170D">
        <w:rPr>
          <w:color w:val="0F6FC6" w:themeColor="accent1"/>
        </w:rPr>
        <w:lastRenderedPageBreak/>
        <w:t>Detyrime</w:t>
      </w:r>
      <w:proofErr w:type="spellEnd"/>
      <w:r w:rsidR="00EF1EEE" w:rsidRPr="00B1170D">
        <w:rPr>
          <w:color w:val="0F6FC6" w:themeColor="accent1"/>
        </w:rPr>
        <w:t xml:space="preserve"> </w:t>
      </w:r>
      <w:proofErr w:type="spellStart"/>
      <w:r w:rsidR="00EF1EEE" w:rsidRPr="00B1170D">
        <w:rPr>
          <w:color w:val="0F6FC6" w:themeColor="accent1"/>
        </w:rPr>
        <w:t>të</w:t>
      </w:r>
      <w:proofErr w:type="spellEnd"/>
      <w:r w:rsidR="00EF1EEE" w:rsidRPr="00B1170D">
        <w:rPr>
          <w:color w:val="0F6FC6" w:themeColor="accent1"/>
        </w:rPr>
        <w:t xml:space="preserve"> </w:t>
      </w:r>
      <w:proofErr w:type="spellStart"/>
      <w:r w:rsidRPr="00B1170D">
        <w:rPr>
          <w:color w:val="0F6FC6" w:themeColor="accent1"/>
        </w:rPr>
        <w:t>t</w:t>
      </w:r>
      <w:r w:rsidR="00EF1EEE" w:rsidRPr="00B1170D">
        <w:rPr>
          <w:color w:val="0F6FC6" w:themeColor="accent1"/>
        </w:rPr>
        <w:t>jera</w:t>
      </w:r>
      <w:proofErr w:type="spellEnd"/>
      <w:r w:rsidRPr="00B1170D">
        <w:rPr>
          <w:color w:val="0F6FC6" w:themeColor="accent1"/>
        </w:rPr>
        <w:t xml:space="preserve"> </w:t>
      </w:r>
      <w:proofErr w:type="spellStart"/>
      <w:r w:rsidRPr="00B1170D">
        <w:rPr>
          <w:color w:val="0F6FC6" w:themeColor="accent1"/>
        </w:rPr>
        <w:t>Kontigjente</w:t>
      </w:r>
      <w:bookmarkEnd w:id="213"/>
      <w:bookmarkEnd w:id="214"/>
      <w:bookmarkEnd w:id="215"/>
      <w:proofErr w:type="spellEnd"/>
    </w:p>
    <w:p w14:paraId="2F67C984" w14:textId="77777777" w:rsidR="0058527B" w:rsidRPr="0058527B" w:rsidRDefault="0058527B" w:rsidP="0058527B"/>
    <w:p w14:paraId="55300705" w14:textId="77777777" w:rsidR="00CC1C5C" w:rsidRPr="00B644BE" w:rsidRDefault="00CC1C5C" w:rsidP="001824B9">
      <w:pPr>
        <w:pStyle w:val="Fiskale2"/>
        <w:numPr>
          <w:ilvl w:val="0"/>
          <w:numId w:val="0"/>
        </w:numPr>
        <w:rPr>
          <w:rFonts w:ascii="Calibri" w:hAnsi="Calibri" w:cs="Calibri"/>
          <w:sz w:val="8"/>
        </w:rPr>
      </w:pPr>
    </w:p>
    <w:p w14:paraId="2E8A3823" w14:textId="77777777" w:rsidR="002350D2" w:rsidRPr="001824B9" w:rsidRDefault="002350D2" w:rsidP="001824B9">
      <w:pPr>
        <w:pStyle w:val="Heading3"/>
        <w:rPr>
          <w:i/>
          <w:iCs/>
        </w:rPr>
      </w:pPr>
      <w:bookmarkStart w:id="216" w:name="_Toc229390832"/>
      <w:proofErr w:type="spellStart"/>
      <w:r w:rsidRPr="001824B9">
        <w:rPr>
          <w:i/>
          <w:iCs/>
        </w:rPr>
        <w:t>Vendimet</w:t>
      </w:r>
      <w:proofErr w:type="spellEnd"/>
      <w:r w:rsidRPr="001824B9">
        <w:rPr>
          <w:i/>
          <w:iCs/>
        </w:rPr>
        <w:t xml:space="preserve"> e </w:t>
      </w:r>
      <w:proofErr w:type="spellStart"/>
      <w:r w:rsidRPr="001824B9">
        <w:rPr>
          <w:i/>
          <w:iCs/>
        </w:rPr>
        <w:t>Gjykatës</w:t>
      </w:r>
      <w:proofErr w:type="spellEnd"/>
      <w:r w:rsidRPr="001824B9">
        <w:rPr>
          <w:i/>
          <w:iCs/>
        </w:rPr>
        <w:t xml:space="preserve"> </w:t>
      </w:r>
      <w:proofErr w:type="spellStart"/>
      <w:r w:rsidRPr="001824B9">
        <w:rPr>
          <w:i/>
          <w:iCs/>
        </w:rPr>
        <w:t>së</w:t>
      </w:r>
      <w:proofErr w:type="spellEnd"/>
      <w:r w:rsidRPr="001824B9">
        <w:rPr>
          <w:i/>
          <w:iCs/>
        </w:rPr>
        <w:t xml:space="preserve"> </w:t>
      </w:r>
      <w:proofErr w:type="spellStart"/>
      <w:r w:rsidRPr="001824B9">
        <w:rPr>
          <w:i/>
          <w:iCs/>
        </w:rPr>
        <w:t>të</w:t>
      </w:r>
      <w:proofErr w:type="spellEnd"/>
      <w:r w:rsidRPr="001824B9">
        <w:rPr>
          <w:i/>
          <w:iCs/>
        </w:rPr>
        <w:t xml:space="preserve"> </w:t>
      </w:r>
      <w:proofErr w:type="spellStart"/>
      <w:r w:rsidRPr="001824B9">
        <w:rPr>
          <w:i/>
          <w:iCs/>
        </w:rPr>
        <w:t>Drejtave</w:t>
      </w:r>
      <w:proofErr w:type="spellEnd"/>
      <w:r w:rsidRPr="001824B9">
        <w:rPr>
          <w:i/>
          <w:iCs/>
        </w:rPr>
        <w:t xml:space="preserve"> </w:t>
      </w:r>
      <w:proofErr w:type="spellStart"/>
      <w:r w:rsidRPr="001824B9">
        <w:rPr>
          <w:i/>
          <w:iCs/>
        </w:rPr>
        <w:t>të</w:t>
      </w:r>
      <w:proofErr w:type="spellEnd"/>
      <w:r w:rsidRPr="001824B9">
        <w:rPr>
          <w:i/>
          <w:iCs/>
        </w:rPr>
        <w:t xml:space="preserve"> </w:t>
      </w:r>
      <w:proofErr w:type="spellStart"/>
      <w:r w:rsidRPr="001824B9">
        <w:rPr>
          <w:i/>
          <w:iCs/>
        </w:rPr>
        <w:t>Njeriut</w:t>
      </w:r>
      <w:proofErr w:type="spellEnd"/>
      <w:r w:rsidRPr="001824B9">
        <w:rPr>
          <w:i/>
          <w:iCs/>
        </w:rPr>
        <w:t xml:space="preserve"> </w:t>
      </w:r>
      <w:proofErr w:type="spellStart"/>
      <w:r w:rsidRPr="001824B9">
        <w:rPr>
          <w:i/>
          <w:iCs/>
        </w:rPr>
        <w:t>në</w:t>
      </w:r>
      <w:proofErr w:type="spellEnd"/>
      <w:r w:rsidRPr="001824B9">
        <w:rPr>
          <w:i/>
          <w:iCs/>
        </w:rPr>
        <w:t xml:space="preserve"> Strasburg (GJEDNJ)</w:t>
      </w:r>
      <w:bookmarkEnd w:id="216"/>
      <w:r w:rsidRPr="001824B9">
        <w:rPr>
          <w:i/>
          <w:iCs/>
        </w:rPr>
        <w:t xml:space="preserve"> </w:t>
      </w:r>
    </w:p>
    <w:p w14:paraId="1EBB2B11" w14:textId="77777777" w:rsidR="002A65F4" w:rsidRPr="00BB7DD5" w:rsidRDefault="002A65F4" w:rsidP="0058527B">
      <w:pPr>
        <w:contextualSpacing/>
        <w:rPr>
          <w:noProof/>
          <w:szCs w:val="22"/>
          <w:lang w:val="sq-AL"/>
        </w:rPr>
      </w:pPr>
      <w:r w:rsidRPr="00BB7DD5">
        <w:rPr>
          <w:rFonts w:cs="Calibri"/>
          <w:noProof/>
          <w:szCs w:val="22"/>
          <w:lang w:val="sq-AL"/>
        </w:rPr>
        <w:t xml:space="preserve">Këto vendime kanë të bëjnë kryesisht me çështje që lidhen me kthimin dhe kompensimin e pronave tek ish-pronarët. </w:t>
      </w:r>
      <w:r w:rsidRPr="00BB7DD5">
        <w:rPr>
          <w:noProof/>
          <w:szCs w:val="22"/>
          <w:lang w:val="sq-AL"/>
        </w:rPr>
        <w:t xml:space="preserve">Ministria e Financave ka respektuar në vazhdimësi të gjitha vendimet e miratuara nga GJEDNJ, përmes likuidimit të VKM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Sidoqoftë, për garantimin e shlyerjes në kohë të këtyre vendimeve, MF ka rekomanduar vazhdimisht përdorimin e të gjitha kanaleve të mundshme institucionale dhe proceduriale, brenda hapësirave që siguron kuadri ligjor në fuqi, duke sugjeruar skedulimin e detyrimit financiar, sipas mundësive të buxhetit të shtetit me këste, në negocim me përfituesit. </w:t>
      </w:r>
      <w:r w:rsidRPr="00BB7DD5">
        <w:rPr>
          <w:rFonts w:cs="Calibri"/>
          <w:noProof/>
          <w:szCs w:val="22"/>
          <w:lang w:val="sq-AL"/>
        </w:rPr>
        <w:t>Ndërkohë, hyrja në fuqi më datë 30.12.2018 e ndryshimeve në ligjin “</w:t>
      </w:r>
      <w:r w:rsidRPr="00BB7DD5">
        <w:rPr>
          <w:rFonts w:cs="Calibri"/>
          <w:i/>
          <w:noProof/>
          <w:szCs w:val="22"/>
          <w:lang w:val="sq-AL"/>
        </w:rPr>
        <w:t>Për Avokaturën e Shtetit</w:t>
      </w:r>
      <w:r w:rsidRPr="00BB7DD5">
        <w:rPr>
          <w:rFonts w:cs="Calibri"/>
          <w:noProof/>
          <w:szCs w:val="22"/>
          <w:lang w:val="sq-AL"/>
        </w:rPr>
        <w:t>”, përmban një kre të veçantë dedikuar ekzekutimit të vendimeve të GJEDNJ, ku në nenin 19/5 përcaktohen 2 mënyra ekzekutimi:</w:t>
      </w:r>
    </w:p>
    <w:p w14:paraId="0D6FEF84" w14:textId="3B43F79A" w:rsidR="002A65F4" w:rsidRPr="00BB7DD5" w:rsidRDefault="002A65F4" w:rsidP="0058527B">
      <w:pPr>
        <w:pStyle w:val="ListParagraph"/>
        <w:numPr>
          <w:ilvl w:val="0"/>
          <w:numId w:val="15"/>
        </w:numPr>
        <w:spacing w:before="0"/>
        <w:rPr>
          <w:rFonts w:cs="Calibri"/>
          <w:i/>
          <w:noProof/>
          <w:lang w:val="sq-AL"/>
        </w:rPr>
      </w:pPr>
      <w:r w:rsidRPr="00BB7DD5">
        <w:rPr>
          <w:rFonts w:cs="Calibri"/>
          <w:i/>
          <w:noProof/>
          <w:lang w:val="sq-AL"/>
        </w:rPr>
        <w:t xml:space="preserve">Detyrimet financiare që burojnë nga vendimet e GJEDNJ mbulohen nga buxheti i shtetit, sipas përcaktimeve të parashikuara në VKM përkatëse për ekzekutimin e vendimit të GJEDNJ.   </w:t>
      </w:r>
    </w:p>
    <w:p w14:paraId="1A44413E" w14:textId="77777777" w:rsidR="002A65F4" w:rsidRPr="00BB7DD5" w:rsidRDefault="002A65F4" w:rsidP="0058527B">
      <w:pPr>
        <w:pStyle w:val="ListParagraph"/>
        <w:numPr>
          <w:ilvl w:val="0"/>
          <w:numId w:val="15"/>
        </w:numPr>
        <w:spacing w:before="0"/>
        <w:rPr>
          <w:rFonts w:cs="Calibri"/>
          <w:i/>
          <w:noProof/>
          <w:lang w:val="sq-AL"/>
        </w:rPr>
      </w:pPr>
      <w:r w:rsidRPr="00BB7DD5">
        <w:rPr>
          <w:rFonts w:cs="Calibri"/>
          <w:i/>
          <w:noProof/>
          <w:lang w:val="sq-AL"/>
        </w:rPr>
        <w:t xml:space="preserve">Përjashtimisht, për detyrimet financiare deri në 10 000 (dhjetë mijë) EUR, pagesa ekzekutohet në mënyrë të drejtpërdrejtë nga ministria përgjegjëse për financat, pas njoftimit nga Avokatura e Shtetit.   </w:t>
      </w:r>
    </w:p>
    <w:p w14:paraId="1D7A03A9" w14:textId="77777777" w:rsidR="0058527B" w:rsidRDefault="0058527B" w:rsidP="002A65F4">
      <w:pPr>
        <w:spacing w:line="240" w:lineRule="auto"/>
        <w:rPr>
          <w:rFonts w:cs="Calibri"/>
          <w:b/>
          <w:bCs/>
          <w:noProof/>
          <w:lang w:val="sq-AL"/>
        </w:rPr>
      </w:pPr>
    </w:p>
    <w:p w14:paraId="4787BA65" w14:textId="3871CDF6" w:rsidR="002A65F4" w:rsidRDefault="002A65F4" w:rsidP="002A65F4">
      <w:pPr>
        <w:spacing w:line="240" w:lineRule="auto"/>
        <w:rPr>
          <w:rFonts w:cs="Calibri"/>
          <w:b/>
          <w:bCs/>
          <w:noProof/>
          <w:lang w:val="sq-AL"/>
        </w:rPr>
      </w:pPr>
      <w:r w:rsidRPr="0058527B">
        <w:rPr>
          <w:rFonts w:cs="Calibri"/>
          <w:b/>
          <w:bCs/>
          <w:noProof/>
          <w:lang w:val="sq-AL"/>
        </w:rPr>
        <w:t xml:space="preserve">Gjatë vitit 2025,rezultoi </w:t>
      </w:r>
      <w:r w:rsidR="0058527B">
        <w:rPr>
          <w:rFonts w:cs="Calibri"/>
          <w:b/>
          <w:bCs/>
          <w:noProof/>
          <w:lang w:val="sq-AL"/>
        </w:rPr>
        <w:t>se</w:t>
      </w:r>
      <w:r w:rsidRPr="0058527B">
        <w:rPr>
          <w:rFonts w:cs="Calibri"/>
          <w:b/>
          <w:bCs/>
          <w:noProof/>
          <w:lang w:val="sq-AL"/>
        </w:rPr>
        <w:t>:</w:t>
      </w:r>
    </w:p>
    <w:p w14:paraId="4DC72153" w14:textId="77777777" w:rsidR="0058527B" w:rsidRPr="0058527B" w:rsidRDefault="0058527B" w:rsidP="002A65F4">
      <w:pPr>
        <w:spacing w:line="240" w:lineRule="auto"/>
        <w:rPr>
          <w:rFonts w:cs="Calibri"/>
          <w:b/>
          <w:bCs/>
          <w:noProof/>
          <w:sz w:val="12"/>
          <w:szCs w:val="12"/>
          <w:lang w:val="sq-AL"/>
        </w:rPr>
      </w:pPr>
    </w:p>
    <w:p w14:paraId="3D068A7C" w14:textId="111EA0EA" w:rsidR="002A65F4" w:rsidRPr="00BB7DD5" w:rsidRDefault="002A65F4" w:rsidP="0058527B">
      <w:pPr>
        <w:pStyle w:val="ListParagraph"/>
        <w:numPr>
          <w:ilvl w:val="0"/>
          <w:numId w:val="16"/>
        </w:numPr>
        <w:spacing w:before="0"/>
        <w:rPr>
          <w:rFonts w:cs="Calibri"/>
          <w:noProof/>
          <w:szCs w:val="22"/>
          <w:lang w:val="sq-AL"/>
        </w:rPr>
      </w:pPr>
      <w:r w:rsidRPr="00BB7DD5">
        <w:rPr>
          <w:rFonts w:cs="Calibri"/>
          <w:noProof/>
          <w:szCs w:val="22"/>
          <w:lang w:val="sq-AL"/>
        </w:rPr>
        <w:t xml:space="preserve">Këshilli i Ministrave ka miratuar 4 (katër) VKM me një vlerë totale prej 56 500 EUR (rreth 5.56 </w:t>
      </w:r>
      <w:r w:rsidR="0056260B">
        <w:rPr>
          <w:rFonts w:cs="Calibri"/>
          <w:noProof/>
          <w:szCs w:val="22"/>
          <w:lang w:val="sq-AL"/>
        </w:rPr>
        <w:t>milionë</w:t>
      </w:r>
      <w:r w:rsidRPr="00BB7DD5">
        <w:rPr>
          <w:rFonts w:cs="Calibri"/>
          <w:noProof/>
          <w:szCs w:val="22"/>
          <w:lang w:val="sq-AL"/>
        </w:rPr>
        <w:t xml:space="preserve"> LEK) të cilat janë përballuar nga Fondi Rezervë i buxhetit të shtetit i miratuar për vitin 2025 dhe konkretisht:</w:t>
      </w:r>
    </w:p>
    <w:p w14:paraId="3EFB9010" w14:textId="014D3365" w:rsidR="002A65F4" w:rsidRPr="0058527B" w:rsidRDefault="002A65F4" w:rsidP="0058527B">
      <w:pPr>
        <w:pStyle w:val="ListParagraph"/>
        <w:numPr>
          <w:ilvl w:val="1"/>
          <w:numId w:val="3"/>
        </w:numPr>
        <w:ind w:left="1080" w:hanging="270"/>
        <w:rPr>
          <w:rFonts w:cs="Calibri"/>
          <w:i/>
          <w:noProof/>
          <w:szCs w:val="22"/>
          <w:lang w:val="sq-AL"/>
        </w:rPr>
      </w:pPr>
      <w:r w:rsidRPr="0058527B">
        <w:rPr>
          <w:rFonts w:cs="Calibri"/>
          <w:i/>
          <w:noProof/>
          <w:szCs w:val="22"/>
          <w:lang w:val="sq-AL"/>
        </w:rPr>
        <w:t xml:space="preserve">VKM 547/2025 “Për ekzekutimin e vendimit të GJEDNJ datë 16.07.2024 për çështjen ‘Meli dhe Swinkels Family Brewers N.V kundër Shqipërisë’” (kërkesat nr.41373/21 dhe 48801/21), në vlerën </w:t>
      </w:r>
      <w:r w:rsidR="0058527B">
        <w:rPr>
          <w:rFonts w:cs="Calibri"/>
          <w:i/>
          <w:noProof/>
          <w:szCs w:val="22"/>
          <w:lang w:val="sq-AL"/>
        </w:rPr>
        <w:t xml:space="preserve">   </w:t>
      </w:r>
      <w:r w:rsidRPr="0058527B">
        <w:rPr>
          <w:rFonts w:cs="Calibri"/>
          <w:i/>
          <w:noProof/>
          <w:szCs w:val="22"/>
          <w:lang w:val="sq-AL"/>
        </w:rPr>
        <w:t>17 200 EUR.</w:t>
      </w:r>
    </w:p>
    <w:p w14:paraId="53D2878F" w14:textId="77777777" w:rsidR="002A65F4" w:rsidRPr="0058527B" w:rsidRDefault="002A65F4" w:rsidP="0058527B">
      <w:pPr>
        <w:pStyle w:val="ListParagraph"/>
        <w:numPr>
          <w:ilvl w:val="1"/>
          <w:numId w:val="3"/>
        </w:numPr>
        <w:ind w:left="1080" w:hanging="270"/>
        <w:rPr>
          <w:rFonts w:cs="Calibri"/>
          <w:i/>
          <w:noProof/>
          <w:szCs w:val="22"/>
          <w:lang w:val="sq-AL"/>
        </w:rPr>
      </w:pPr>
      <w:r w:rsidRPr="0058527B">
        <w:rPr>
          <w:rFonts w:cs="Calibri"/>
          <w:i/>
          <w:noProof/>
          <w:szCs w:val="22"/>
          <w:lang w:val="sq-AL"/>
        </w:rPr>
        <w:t>VKM 592/2025 “Për ekzekutimin e vendimit të GJEDNJ datë 10.12.2024 për çështjen ‘Ramaj kundër Shqipërisë’” (kërkesa nr.17758/06), në vlerën 14 000 EUR.</w:t>
      </w:r>
    </w:p>
    <w:p w14:paraId="4EA7594E" w14:textId="77777777" w:rsidR="002A65F4" w:rsidRPr="0058527B" w:rsidRDefault="002A65F4" w:rsidP="0058527B">
      <w:pPr>
        <w:pStyle w:val="ListParagraph"/>
        <w:numPr>
          <w:ilvl w:val="1"/>
          <w:numId w:val="3"/>
        </w:numPr>
        <w:ind w:left="1080" w:hanging="270"/>
        <w:rPr>
          <w:rFonts w:cs="Calibri"/>
          <w:i/>
          <w:noProof/>
          <w:szCs w:val="22"/>
          <w:lang w:val="sq-AL"/>
        </w:rPr>
      </w:pPr>
      <w:r w:rsidRPr="0058527B">
        <w:rPr>
          <w:rFonts w:cs="Calibri"/>
          <w:i/>
          <w:noProof/>
          <w:szCs w:val="22"/>
          <w:lang w:val="sq-AL"/>
        </w:rPr>
        <w:t>VKM 724/2025 “Për ekzekutimin e vendimit të GJEDNJ datë 14.01.2025 për çështjen ‘Ibrahimi dhe të tjerë kundër Shqipërisë’” (kërkesa nr.81057/17 dhe 4 kërkesa të tjera), në vlerën 12 800 EUR.</w:t>
      </w:r>
    </w:p>
    <w:p w14:paraId="0519F5CF" w14:textId="77777777" w:rsidR="002A65F4" w:rsidRPr="0058527B" w:rsidRDefault="002A65F4" w:rsidP="0058527B">
      <w:pPr>
        <w:pStyle w:val="ListParagraph"/>
        <w:numPr>
          <w:ilvl w:val="1"/>
          <w:numId w:val="3"/>
        </w:numPr>
        <w:ind w:left="1080" w:hanging="270"/>
        <w:rPr>
          <w:rFonts w:cs="Calibri"/>
          <w:i/>
          <w:noProof/>
          <w:szCs w:val="22"/>
          <w:lang w:val="sq-AL"/>
        </w:rPr>
      </w:pPr>
      <w:r w:rsidRPr="0058527B">
        <w:rPr>
          <w:rFonts w:cs="Calibri"/>
          <w:i/>
          <w:noProof/>
          <w:szCs w:val="22"/>
          <w:lang w:val="sq-AL"/>
        </w:rPr>
        <w:t>VKM 652/2025 “Për ekzekutimin e vendimit të GJEDNJ datë 27.05.2025 për çështjen ‘ARB, sh.p.k dhe të tjerë kundër Shqipërisë’” (kërkesa nr.39860/19 dhe 3 kërkesa të tjera), në vlerën 12 500 EUR.</w:t>
      </w:r>
    </w:p>
    <w:p w14:paraId="1604E1BC" w14:textId="77777777" w:rsidR="0058527B" w:rsidRPr="00F45244" w:rsidRDefault="0058527B" w:rsidP="0058527B">
      <w:pPr>
        <w:pStyle w:val="ListParagraph"/>
        <w:spacing w:before="0"/>
        <w:rPr>
          <w:rFonts w:cs="Calibri"/>
          <w:noProof/>
          <w:sz w:val="8"/>
          <w:szCs w:val="8"/>
          <w:lang w:val="sq-AL"/>
        </w:rPr>
      </w:pPr>
    </w:p>
    <w:p w14:paraId="4FF7ABF6" w14:textId="02179096" w:rsidR="002A65F4" w:rsidRPr="00BB7DD5" w:rsidRDefault="002A65F4" w:rsidP="0058527B">
      <w:pPr>
        <w:pStyle w:val="ListParagraph"/>
        <w:numPr>
          <w:ilvl w:val="0"/>
          <w:numId w:val="16"/>
        </w:numPr>
        <w:spacing w:before="0"/>
        <w:rPr>
          <w:rFonts w:cs="Calibri"/>
          <w:noProof/>
          <w:szCs w:val="22"/>
          <w:lang w:val="sq-AL"/>
        </w:rPr>
      </w:pPr>
      <w:r w:rsidRPr="00BB7DD5">
        <w:rPr>
          <w:rFonts w:cs="Calibri"/>
          <w:noProof/>
          <w:szCs w:val="22"/>
          <w:lang w:val="sq-AL"/>
        </w:rPr>
        <w:t xml:space="preserve">Ndërkohë, Ministria e Financave ka ekzekutuar gjatë 2025 edhe 13 (trembëdhjetë) vendime të </w:t>
      </w:r>
      <w:r w:rsidR="0058527B">
        <w:rPr>
          <w:rFonts w:cs="Calibri"/>
          <w:noProof/>
          <w:szCs w:val="22"/>
          <w:lang w:val="sq-AL"/>
        </w:rPr>
        <w:t xml:space="preserve">tjera të </w:t>
      </w:r>
      <w:r w:rsidRPr="00BB7DD5">
        <w:rPr>
          <w:rFonts w:cs="Calibri"/>
          <w:noProof/>
          <w:szCs w:val="22"/>
          <w:lang w:val="sq-AL"/>
        </w:rPr>
        <w:t>GJEDNJ, me vlera nën 10 000 EUR, për një total prej 55 905 EUR (</w:t>
      </w:r>
      <w:r w:rsidRPr="00BB7DD5">
        <w:rPr>
          <w:rFonts w:cs="Calibri"/>
          <w:i/>
          <w:iCs/>
          <w:noProof/>
          <w:szCs w:val="22"/>
          <w:lang w:val="sq-AL"/>
        </w:rPr>
        <w:t xml:space="preserve">rreth 5.57 </w:t>
      </w:r>
      <w:r w:rsidR="0056260B">
        <w:rPr>
          <w:rFonts w:cs="Calibri"/>
          <w:i/>
          <w:iCs/>
          <w:noProof/>
          <w:szCs w:val="22"/>
          <w:lang w:val="sq-AL"/>
        </w:rPr>
        <w:t>milionë</w:t>
      </w:r>
      <w:r w:rsidRPr="00BB7DD5">
        <w:rPr>
          <w:rFonts w:cs="Calibri"/>
          <w:i/>
          <w:iCs/>
          <w:noProof/>
          <w:szCs w:val="22"/>
          <w:lang w:val="sq-AL"/>
        </w:rPr>
        <w:t xml:space="preserve"> LEK</w:t>
      </w:r>
      <w:r w:rsidRPr="00BB7DD5">
        <w:rPr>
          <w:rFonts w:cs="Calibri"/>
          <w:noProof/>
          <w:szCs w:val="22"/>
          <w:lang w:val="sq-AL"/>
        </w:rPr>
        <w:t>).</w:t>
      </w:r>
    </w:p>
    <w:p w14:paraId="6B8CEB2F" w14:textId="77777777" w:rsidR="002A65F4" w:rsidRPr="00BB7DD5" w:rsidRDefault="002A65F4" w:rsidP="002A65F4">
      <w:pPr>
        <w:spacing w:before="0" w:line="240" w:lineRule="auto"/>
        <w:rPr>
          <w:rFonts w:cs="Calibri"/>
          <w:noProof/>
          <w:sz w:val="8"/>
          <w:lang w:val="sq-AL"/>
        </w:rPr>
      </w:pPr>
    </w:p>
    <w:p w14:paraId="4A6ED187" w14:textId="77777777" w:rsidR="0058527B" w:rsidRDefault="0058527B" w:rsidP="002A65F4">
      <w:pPr>
        <w:spacing w:before="0" w:line="240" w:lineRule="auto"/>
        <w:rPr>
          <w:rFonts w:cs="Calibri"/>
          <w:noProof/>
          <w:lang w:val="sq-AL"/>
        </w:rPr>
      </w:pPr>
    </w:p>
    <w:p w14:paraId="11293961" w14:textId="77777777" w:rsidR="0058527B" w:rsidRDefault="0058527B" w:rsidP="002A65F4">
      <w:pPr>
        <w:spacing w:before="0" w:line="240" w:lineRule="auto"/>
        <w:rPr>
          <w:rFonts w:cs="Calibri"/>
          <w:noProof/>
          <w:lang w:val="sq-AL"/>
        </w:rPr>
      </w:pPr>
    </w:p>
    <w:p w14:paraId="6DAFD36D" w14:textId="77777777" w:rsidR="0058527B" w:rsidRDefault="0058527B" w:rsidP="002A65F4">
      <w:pPr>
        <w:spacing w:before="0" w:line="240" w:lineRule="auto"/>
        <w:rPr>
          <w:rFonts w:cs="Calibri"/>
          <w:noProof/>
          <w:lang w:val="sq-AL"/>
        </w:rPr>
      </w:pPr>
    </w:p>
    <w:p w14:paraId="2A351C3C" w14:textId="77777777" w:rsidR="0058527B" w:rsidRDefault="0058527B" w:rsidP="002A65F4">
      <w:pPr>
        <w:spacing w:before="0" w:line="240" w:lineRule="auto"/>
        <w:rPr>
          <w:rFonts w:cs="Calibri"/>
          <w:noProof/>
          <w:lang w:val="sq-AL"/>
        </w:rPr>
      </w:pPr>
    </w:p>
    <w:p w14:paraId="6A7A971F" w14:textId="77777777" w:rsidR="0058527B" w:rsidRDefault="0058527B" w:rsidP="002A65F4">
      <w:pPr>
        <w:spacing w:before="0" w:line="240" w:lineRule="auto"/>
        <w:rPr>
          <w:rFonts w:cs="Calibri"/>
          <w:noProof/>
          <w:lang w:val="sq-AL"/>
        </w:rPr>
      </w:pPr>
    </w:p>
    <w:p w14:paraId="516E21AC" w14:textId="77777777" w:rsidR="0058527B" w:rsidRDefault="0058527B" w:rsidP="002A65F4">
      <w:pPr>
        <w:spacing w:before="0" w:line="240" w:lineRule="auto"/>
        <w:rPr>
          <w:rFonts w:cs="Calibri"/>
          <w:noProof/>
          <w:lang w:val="sq-AL"/>
        </w:rPr>
      </w:pPr>
    </w:p>
    <w:p w14:paraId="1203BBD3" w14:textId="77777777" w:rsidR="0058527B" w:rsidRDefault="0058527B" w:rsidP="002A65F4">
      <w:pPr>
        <w:spacing w:before="0" w:line="240" w:lineRule="auto"/>
        <w:rPr>
          <w:rFonts w:cs="Calibri"/>
          <w:noProof/>
          <w:lang w:val="sq-AL"/>
        </w:rPr>
      </w:pPr>
    </w:p>
    <w:p w14:paraId="7C5C7DBD" w14:textId="77777777" w:rsidR="0058527B" w:rsidRDefault="0058527B" w:rsidP="002A65F4">
      <w:pPr>
        <w:spacing w:before="0" w:line="240" w:lineRule="auto"/>
        <w:rPr>
          <w:rFonts w:cs="Calibri"/>
          <w:noProof/>
          <w:lang w:val="sq-AL"/>
        </w:rPr>
      </w:pPr>
    </w:p>
    <w:p w14:paraId="4B2CE011" w14:textId="77777777" w:rsidR="0058527B" w:rsidRDefault="0058527B" w:rsidP="002A65F4">
      <w:pPr>
        <w:spacing w:before="0" w:line="240" w:lineRule="auto"/>
        <w:rPr>
          <w:rFonts w:cs="Calibri"/>
          <w:noProof/>
          <w:lang w:val="sq-AL"/>
        </w:rPr>
      </w:pPr>
    </w:p>
    <w:p w14:paraId="00908E31" w14:textId="77777777" w:rsidR="0058527B" w:rsidRDefault="0058527B" w:rsidP="002A65F4">
      <w:pPr>
        <w:spacing w:before="0" w:line="240" w:lineRule="auto"/>
        <w:rPr>
          <w:rFonts w:cs="Calibri"/>
          <w:noProof/>
          <w:lang w:val="sq-AL"/>
        </w:rPr>
      </w:pPr>
    </w:p>
    <w:p w14:paraId="0825E929" w14:textId="77777777" w:rsidR="0058527B" w:rsidRDefault="0058527B" w:rsidP="002A65F4">
      <w:pPr>
        <w:spacing w:before="0" w:line="240" w:lineRule="auto"/>
        <w:rPr>
          <w:rFonts w:cs="Calibri"/>
          <w:noProof/>
          <w:lang w:val="sq-AL"/>
        </w:rPr>
      </w:pPr>
    </w:p>
    <w:p w14:paraId="18275CB8" w14:textId="3E3A483F" w:rsidR="002A65F4" w:rsidRPr="00BB7DD5" w:rsidRDefault="002A65F4" w:rsidP="002A65F4">
      <w:pPr>
        <w:spacing w:before="0" w:line="240" w:lineRule="auto"/>
        <w:rPr>
          <w:rFonts w:cs="Calibri"/>
          <w:noProof/>
          <w:lang w:val="sq-AL"/>
        </w:rPr>
      </w:pPr>
      <w:r w:rsidRPr="00BB7DD5">
        <w:rPr>
          <w:rFonts w:cs="Calibri"/>
          <w:noProof/>
          <w:lang w:val="sq-AL"/>
        </w:rPr>
        <w:lastRenderedPageBreak/>
        <w:t>Deri në fund të vitit 2025, detyrimet e materializuara dhe ato kontigjente për vendimet e GJEDNJ, paraqiten mëposhtë:</w:t>
      </w:r>
    </w:p>
    <w:p w14:paraId="391CAF06" w14:textId="77777777" w:rsidR="002A65F4" w:rsidRPr="00E859C3" w:rsidRDefault="002A65F4" w:rsidP="002A65F4">
      <w:pPr>
        <w:spacing w:before="0" w:line="240" w:lineRule="auto"/>
        <w:rPr>
          <w:rFonts w:cs="Calibri"/>
          <w:noProof/>
          <w:sz w:val="4"/>
          <w:szCs w:val="6"/>
          <w:lang w:val="sq-AL"/>
        </w:rPr>
      </w:pPr>
    </w:p>
    <w:p w14:paraId="1C734B27" w14:textId="77777777" w:rsidR="002A65F4" w:rsidRPr="00B644BE" w:rsidRDefault="002A65F4" w:rsidP="002A65F4">
      <w:pPr>
        <w:spacing w:before="0" w:line="240" w:lineRule="auto"/>
        <w:rPr>
          <w:rFonts w:cs="Calibri"/>
          <w:noProof/>
          <w:sz w:val="4"/>
          <w:lang w:val="sq-AL"/>
        </w:rPr>
      </w:pPr>
    </w:p>
    <w:p w14:paraId="0E16E612" w14:textId="6FA647D4" w:rsidR="002A65F4" w:rsidRPr="0021537F" w:rsidRDefault="002A65F4" w:rsidP="002A65F4">
      <w:pPr>
        <w:pStyle w:val="Caption"/>
        <w:spacing w:before="0"/>
        <w:rPr>
          <w:rFonts w:cs="Calibri"/>
          <w:noProof/>
          <w:lang w:val="sq-AL"/>
        </w:rPr>
      </w:pPr>
      <w:bookmarkStart w:id="217" w:name="_Toc229130001"/>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CB4DE6">
        <w:rPr>
          <w:noProof/>
          <w:lang w:val="sq-AL"/>
        </w:rPr>
        <w:t>27</w:t>
      </w:r>
      <w:r w:rsidRPr="00B644BE">
        <w:rPr>
          <w:noProof/>
          <w:lang w:val="sq-AL"/>
        </w:rPr>
        <w:fldChar w:fldCharType="end"/>
      </w:r>
      <w:r w:rsidRPr="00B644BE">
        <w:rPr>
          <w:noProof/>
          <w:lang w:val="sq-AL"/>
        </w:rPr>
        <w:t xml:space="preserve"> Detyrimet faktike dhe kontigjente nga vendimet e GJEDNJ (në EUR)</w:t>
      </w:r>
      <w:bookmarkEnd w:id="217"/>
    </w:p>
    <w:p w14:paraId="73E52532" w14:textId="07877795" w:rsidR="00083EB3" w:rsidRPr="00B644BE" w:rsidRDefault="002A65F4" w:rsidP="00700EA3">
      <w:pPr>
        <w:spacing w:before="0" w:line="240" w:lineRule="auto"/>
        <w:contextualSpacing/>
        <w:jc w:val="center"/>
        <w:rPr>
          <w:rFonts w:eastAsia="Calibri" w:cs="Calibri"/>
          <w:i/>
          <w:noProof/>
          <w:sz w:val="8"/>
          <w:lang w:val="sq-AL"/>
        </w:rPr>
      </w:pPr>
      <w:r w:rsidRPr="0021537F">
        <w:rPr>
          <w:noProof/>
        </w:rPr>
        <w:drawing>
          <wp:inline distT="0" distB="0" distL="0" distR="0" wp14:anchorId="32C19691" wp14:editId="2DE85FB4">
            <wp:extent cx="5987239" cy="2369820"/>
            <wp:effectExtent l="0" t="0" r="0" b="0"/>
            <wp:docPr id="26354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9342" cy="2374610"/>
                    </a:xfrm>
                    <a:prstGeom prst="rect">
                      <a:avLst/>
                    </a:prstGeom>
                    <a:noFill/>
                    <a:ln>
                      <a:noFill/>
                    </a:ln>
                  </pic:spPr>
                </pic:pic>
              </a:graphicData>
            </a:graphic>
          </wp:inline>
        </w:drawing>
      </w:r>
    </w:p>
    <w:p w14:paraId="38D0D691" w14:textId="5CE5DF96" w:rsidR="00700EA3" w:rsidRDefault="00700EA3" w:rsidP="007E53C1">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Avokatura e Shtetit (202</w:t>
      </w:r>
      <w:r w:rsidR="002A65F4">
        <w:rPr>
          <w:rFonts w:eastAsia="SimSun" w:cs="Calibri"/>
          <w:i/>
          <w:noProof/>
          <w:sz w:val="18"/>
          <w:szCs w:val="18"/>
          <w:lang w:val="sq-AL"/>
        </w:rPr>
        <w:t>6</w:t>
      </w:r>
      <w:r w:rsidRPr="00B644BE">
        <w:rPr>
          <w:rFonts w:eastAsia="SimSun" w:cs="Calibri"/>
          <w:i/>
          <w:noProof/>
          <w:sz w:val="18"/>
          <w:szCs w:val="18"/>
          <w:lang w:val="sq-AL"/>
        </w:rPr>
        <w:t>)</w:t>
      </w:r>
    </w:p>
    <w:p w14:paraId="49C48BC7" w14:textId="77777777" w:rsidR="00F45244" w:rsidRDefault="00F45244" w:rsidP="002A65F4">
      <w:pPr>
        <w:spacing w:before="0" w:line="240" w:lineRule="auto"/>
        <w:rPr>
          <w:rFonts w:eastAsia="SimSun" w:cs="Calibri"/>
          <w:i/>
          <w:noProof/>
          <w:sz w:val="18"/>
          <w:szCs w:val="18"/>
          <w:lang w:val="sq-AL"/>
        </w:rPr>
      </w:pPr>
    </w:p>
    <w:p w14:paraId="16AEFCAC" w14:textId="77777777" w:rsidR="009334DE" w:rsidRDefault="009334DE" w:rsidP="009A53A7">
      <w:pPr>
        <w:spacing w:before="0" w:line="240" w:lineRule="auto"/>
        <w:ind w:firstLine="720"/>
        <w:rPr>
          <w:rFonts w:eastAsia="SimSun" w:cs="Calibri"/>
          <w:i/>
          <w:noProof/>
          <w:sz w:val="18"/>
          <w:szCs w:val="18"/>
          <w:lang w:val="sq-AL"/>
        </w:rPr>
      </w:pPr>
    </w:p>
    <w:p w14:paraId="3EC445A1" w14:textId="77777777" w:rsidR="002350D2" w:rsidRPr="001824B9" w:rsidRDefault="002350D2" w:rsidP="001824B9">
      <w:pPr>
        <w:pStyle w:val="Heading3"/>
        <w:rPr>
          <w:i/>
          <w:iCs/>
        </w:rPr>
      </w:pPr>
      <w:bookmarkStart w:id="218" w:name="_Toc229390833"/>
      <w:proofErr w:type="spellStart"/>
      <w:r w:rsidRPr="001824B9">
        <w:rPr>
          <w:i/>
          <w:iCs/>
        </w:rPr>
        <w:t>Vendimet</w:t>
      </w:r>
      <w:proofErr w:type="spellEnd"/>
      <w:r w:rsidRPr="001824B9">
        <w:rPr>
          <w:i/>
          <w:iCs/>
        </w:rPr>
        <w:t xml:space="preserve"> e </w:t>
      </w:r>
      <w:proofErr w:type="spellStart"/>
      <w:r w:rsidRPr="001824B9">
        <w:rPr>
          <w:i/>
          <w:iCs/>
        </w:rPr>
        <w:t>Gjykatës</w:t>
      </w:r>
      <w:proofErr w:type="spellEnd"/>
      <w:r w:rsidRPr="001824B9">
        <w:rPr>
          <w:i/>
          <w:iCs/>
        </w:rPr>
        <w:t xml:space="preserve"> </w:t>
      </w:r>
      <w:proofErr w:type="spellStart"/>
      <w:r w:rsidRPr="001824B9">
        <w:rPr>
          <w:i/>
          <w:iCs/>
        </w:rPr>
        <w:t>Ndërkombëtare</w:t>
      </w:r>
      <w:proofErr w:type="spellEnd"/>
      <w:r w:rsidRPr="001824B9">
        <w:rPr>
          <w:i/>
          <w:iCs/>
        </w:rPr>
        <w:t xml:space="preserve"> </w:t>
      </w:r>
      <w:proofErr w:type="spellStart"/>
      <w:r w:rsidRPr="001824B9">
        <w:rPr>
          <w:i/>
          <w:iCs/>
        </w:rPr>
        <w:t>të</w:t>
      </w:r>
      <w:proofErr w:type="spellEnd"/>
      <w:r w:rsidRPr="001824B9">
        <w:rPr>
          <w:i/>
          <w:iCs/>
        </w:rPr>
        <w:t xml:space="preserve"> </w:t>
      </w:r>
      <w:proofErr w:type="spellStart"/>
      <w:r w:rsidRPr="001824B9">
        <w:rPr>
          <w:i/>
          <w:iCs/>
        </w:rPr>
        <w:t>A</w:t>
      </w:r>
      <w:r w:rsidR="00EC33B8" w:rsidRPr="001824B9">
        <w:rPr>
          <w:i/>
          <w:iCs/>
        </w:rPr>
        <w:t>rbitrazhit</w:t>
      </w:r>
      <w:bookmarkEnd w:id="218"/>
      <w:proofErr w:type="spellEnd"/>
      <w:r w:rsidRPr="001824B9">
        <w:rPr>
          <w:i/>
          <w:iCs/>
        </w:rPr>
        <w:t xml:space="preserve"> </w:t>
      </w:r>
    </w:p>
    <w:p w14:paraId="06A8497D" w14:textId="77777777" w:rsidR="00F45244" w:rsidRDefault="002A65F4" w:rsidP="00F45244">
      <w:pPr>
        <w:rPr>
          <w:rFonts w:cs="Calibri"/>
          <w:noProof/>
          <w:lang w:val="sq-AL"/>
        </w:rPr>
      </w:pPr>
      <w:bookmarkStart w:id="219" w:name="_Toc10033288"/>
      <w:bookmarkStart w:id="220" w:name="_Toc10721425"/>
      <w:r w:rsidRPr="00BB7DD5">
        <w:rPr>
          <w:rFonts w:cs="Calibri"/>
          <w:noProof/>
          <w:lang w:val="sq-AL"/>
        </w:rPr>
        <w:t xml:space="preserve">Vendimet e Gjykatës Ndërkombëtare të Arbitrazhit kanë të </w:t>
      </w:r>
      <w:r w:rsidRPr="00BB7DD5">
        <w:rPr>
          <w:noProof/>
          <w:lang w:val="sq-AL"/>
        </w:rPr>
        <w:t>bëjnë</w:t>
      </w:r>
      <w:r w:rsidRPr="00BB7DD5">
        <w:rPr>
          <w:rFonts w:cs="Calibri"/>
          <w:noProof/>
          <w:lang w:val="sq-AL"/>
        </w:rPr>
        <w:t xml:space="preserve"> me vendimet e formës së prerë për zgjidhjen e konflikteve në mosmarrëveshjet dy/</w:t>
      </w:r>
      <w:r w:rsidRPr="00BB7DD5">
        <w:rPr>
          <w:noProof/>
          <w:lang w:val="sq-AL"/>
        </w:rPr>
        <w:t>shumëpalëshe</w:t>
      </w:r>
      <w:r w:rsidRPr="00BB7DD5">
        <w:rPr>
          <w:rFonts w:cs="Calibri"/>
          <w:noProof/>
          <w:lang w:val="sq-AL"/>
        </w:rPr>
        <w:t xml:space="preserve">, në ngarkim të shtetit shqiptar. Duke patur parasysh efektet e qenësishme financiare që rëndom shoqërojnë këto vendime, ato vlerësohen me risk të konsiderueshëm për buxhetin e shtetit. </w:t>
      </w:r>
    </w:p>
    <w:p w14:paraId="0EEB7D87" w14:textId="77777777" w:rsidR="00F45244" w:rsidRDefault="002A65F4" w:rsidP="00F45244">
      <w:pPr>
        <w:rPr>
          <w:rFonts w:eastAsia="Calibri"/>
          <w:noProof/>
          <w:lang w:val="sq-AL" w:eastAsia="sq-AL"/>
        </w:rPr>
      </w:pPr>
      <w:r w:rsidRPr="00BB7DD5">
        <w:rPr>
          <w:rFonts w:eastAsia="Calibri" w:cs="Calibri"/>
          <w:bCs/>
          <w:noProof/>
          <w:lang w:val="sq-AL" w:eastAsia="sq-AL"/>
        </w:rPr>
        <w:t xml:space="preserve">Në pjesën më të madhe, efektet financiare që rrjedhin nga zbatimi i këtyre vendimeve janë përballuar nga buxheti i vetë </w:t>
      </w:r>
      <w:r w:rsidRPr="00BB7DD5">
        <w:rPr>
          <w:noProof/>
          <w:lang w:val="sq-AL"/>
        </w:rPr>
        <w:t>institucioneve</w:t>
      </w:r>
      <w:r w:rsidRPr="00BB7DD5">
        <w:rPr>
          <w:rFonts w:eastAsia="Calibri" w:cs="Calibri"/>
          <w:bCs/>
          <w:noProof/>
          <w:lang w:val="sq-AL" w:eastAsia="sq-AL"/>
        </w:rPr>
        <w:t xml:space="preserve"> buxhetore (kryesisht ministri linje) dhe nga buxheti i ndërmarrjeve publike, të cilat kanë qenë edhe palë e paditur në gjykimet </w:t>
      </w:r>
      <w:r w:rsidRPr="00BB7DD5">
        <w:rPr>
          <w:rFonts w:cs="Calibri"/>
          <w:noProof/>
          <w:lang w:val="sq-AL"/>
        </w:rPr>
        <w:t>respektive</w:t>
      </w:r>
      <w:r w:rsidRPr="00BB7DD5">
        <w:rPr>
          <w:rFonts w:eastAsia="Calibri" w:cs="Calibri"/>
          <w:bCs/>
          <w:noProof/>
          <w:lang w:val="sq-AL" w:eastAsia="sq-AL"/>
        </w:rPr>
        <w:t>. Ndërkohë</w:t>
      </w:r>
      <w:r w:rsidR="00F45244">
        <w:rPr>
          <w:rFonts w:eastAsia="Calibri" w:cs="Calibri"/>
          <w:bCs/>
          <w:noProof/>
          <w:lang w:val="sq-AL" w:eastAsia="sq-AL"/>
        </w:rPr>
        <w:t xml:space="preserve"> </w:t>
      </w:r>
      <w:r w:rsidRPr="00BB7DD5">
        <w:rPr>
          <w:rFonts w:eastAsia="Calibri" w:cs="Calibri"/>
          <w:bCs/>
          <w:noProof/>
          <w:lang w:val="sq-AL" w:eastAsia="sq-AL"/>
        </w:rPr>
        <w:t xml:space="preserve">që, në rastet kur palë e paditur cilësohet ‘shteti shqiptar’ apo ‘qeveria shqiptare’, këto vendime likuidohen përmes buxhetit të Ministrisë së Financave dhe/ose Fondit Rezervë të buxhetit të shtetit, nëse lind nevoja. </w:t>
      </w:r>
      <w:r w:rsidRPr="00BB7DD5">
        <w:rPr>
          <w:rFonts w:eastAsia="Calibri"/>
          <w:noProof/>
          <w:lang w:val="sq-AL" w:eastAsia="sq-AL"/>
        </w:rPr>
        <w:t xml:space="preserve">MF në vazhdimësi ka rekomanduar forcimin e rolit negociues të institucioneve buxhetore dhe Avokaturës së Shtetit në çështjet e kësaj natyre, si edhe disiplinimin e proçesit të shlyerjes financiare të përfituesve. Kjo, me qëllim final lehtësimin, reduktimin dhe shmangien e barrës financiare mbi buxhetin e shtetit. </w:t>
      </w:r>
    </w:p>
    <w:p w14:paraId="2D97693C" w14:textId="77777777" w:rsidR="00F45244" w:rsidRPr="00F45244" w:rsidRDefault="002A65F4" w:rsidP="00F45244">
      <w:pPr>
        <w:rPr>
          <w:rFonts w:asciiTheme="majorHAnsi" w:eastAsia="Calibri" w:hAnsiTheme="majorHAnsi" w:cstheme="majorHAnsi"/>
          <w:bCs/>
          <w:noProof/>
          <w:lang w:val="sq-AL" w:eastAsia="sq-AL"/>
        </w:rPr>
      </w:pPr>
      <w:r w:rsidRPr="00F45244">
        <w:rPr>
          <w:rFonts w:asciiTheme="majorHAnsi" w:eastAsia="Calibri" w:hAnsiTheme="majorHAnsi" w:cstheme="majorHAnsi"/>
          <w:bCs/>
          <w:noProof/>
          <w:lang w:val="sq-AL" w:eastAsia="sq-AL"/>
        </w:rPr>
        <w:t>Për 2025, vlera totale e paguar nga buxheti i shtetit në kuadër të kostove të përfaqësimit ligjor, proceseve të kundërshtimit, shpenzimeve gjyqësore/administrative</w:t>
      </w:r>
      <w:r w:rsidR="00F45244" w:rsidRPr="00F45244">
        <w:rPr>
          <w:rFonts w:asciiTheme="majorHAnsi" w:eastAsia="Calibri" w:hAnsiTheme="majorHAnsi" w:cstheme="majorHAnsi"/>
          <w:bCs/>
          <w:noProof/>
          <w:lang w:val="sq-AL" w:eastAsia="sq-AL"/>
        </w:rPr>
        <w:t>,</w:t>
      </w:r>
      <w:r w:rsidRPr="00F45244">
        <w:rPr>
          <w:rFonts w:asciiTheme="majorHAnsi" w:eastAsia="Calibri" w:hAnsiTheme="majorHAnsi" w:cstheme="majorHAnsi"/>
          <w:bCs/>
          <w:noProof/>
          <w:lang w:val="sq-AL" w:eastAsia="sq-AL"/>
        </w:rPr>
        <w:t xml:space="preserve"> etj, rezultoi në masën rreth 147.5 </w:t>
      </w:r>
      <w:r w:rsidR="0056260B" w:rsidRPr="00F45244">
        <w:rPr>
          <w:rFonts w:asciiTheme="majorHAnsi" w:eastAsia="Calibri" w:hAnsiTheme="majorHAnsi" w:cstheme="majorHAnsi"/>
          <w:bCs/>
          <w:noProof/>
          <w:lang w:val="sq-AL" w:eastAsia="sq-AL"/>
        </w:rPr>
        <w:t>milionë</w:t>
      </w:r>
      <w:r w:rsidRPr="00F45244">
        <w:rPr>
          <w:rFonts w:asciiTheme="majorHAnsi" w:eastAsia="Calibri" w:hAnsiTheme="majorHAnsi" w:cstheme="majorHAnsi"/>
          <w:bCs/>
          <w:noProof/>
          <w:lang w:val="sq-AL" w:eastAsia="sq-AL"/>
        </w:rPr>
        <w:t xml:space="preserve"> LEK. </w:t>
      </w:r>
    </w:p>
    <w:p w14:paraId="1B08F841" w14:textId="6C572A1B" w:rsidR="002A65F4" w:rsidRPr="00F45244" w:rsidRDefault="00F45244" w:rsidP="00F45244">
      <w:pPr>
        <w:rPr>
          <w:rFonts w:asciiTheme="majorHAnsi" w:eastAsia="Calibri" w:hAnsiTheme="majorHAnsi" w:cstheme="majorHAnsi"/>
          <w:bCs/>
          <w:noProof/>
          <w:lang w:val="sq-AL" w:eastAsia="sq-AL"/>
        </w:rPr>
      </w:pPr>
      <w:r w:rsidRPr="00F45244">
        <w:rPr>
          <w:rFonts w:asciiTheme="majorHAnsi" w:eastAsia="Calibri" w:hAnsiTheme="majorHAnsi" w:cstheme="majorHAnsi"/>
          <w:bCs/>
          <w:noProof/>
          <w:lang w:val="sq-AL" w:eastAsia="sq-AL"/>
        </w:rPr>
        <w:t>T</w:t>
      </w:r>
      <w:r w:rsidR="002A65F4" w:rsidRPr="00F45244">
        <w:rPr>
          <w:rFonts w:asciiTheme="majorHAnsi" w:eastAsia="Calibri" w:hAnsiTheme="majorHAnsi" w:cstheme="majorHAnsi"/>
          <w:bCs/>
          <w:noProof/>
          <w:lang w:val="sq-AL" w:eastAsia="sq-AL"/>
        </w:rPr>
        <w:t>abloja e pagesave buxhetore sipas institucioneve shtetërore përgjegjëse</w:t>
      </w:r>
      <w:r w:rsidRPr="00F45244">
        <w:rPr>
          <w:rFonts w:asciiTheme="majorHAnsi" w:eastAsia="Calibri" w:hAnsiTheme="majorHAnsi" w:cstheme="majorHAnsi"/>
          <w:bCs/>
          <w:noProof/>
          <w:lang w:val="sq-AL" w:eastAsia="sq-AL"/>
        </w:rPr>
        <w:t>, jepet në tabelën e mëposhtme</w:t>
      </w:r>
      <w:r w:rsidR="002A65F4" w:rsidRPr="00F45244">
        <w:rPr>
          <w:rFonts w:asciiTheme="majorHAnsi" w:eastAsia="Calibri" w:hAnsiTheme="majorHAnsi" w:cstheme="majorHAnsi"/>
          <w:bCs/>
          <w:noProof/>
          <w:lang w:val="sq-AL" w:eastAsia="sq-AL"/>
        </w:rPr>
        <w:t xml:space="preserve">: </w:t>
      </w:r>
    </w:p>
    <w:p w14:paraId="4228A20A" w14:textId="38A7C1A5" w:rsidR="002A65F4" w:rsidRPr="00F45244" w:rsidRDefault="002A65F4" w:rsidP="00F45244">
      <w:pPr>
        <w:pStyle w:val="ListParagraph"/>
        <w:numPr>
          <w:ilvl w:val="0"/>
          <w:numId w:val="15"/>
        </w:numPr>
        <w:spacing w:before="0"/>
        <w:rPr>
          <w:rFonts w:asciiTheme="majorHAnsi" w:hAnsiTheme="majorHAnsi" w:cstheme="majorHAnsi"/>
          <w:i/>
          <w:noProof/>
          <w:lang w:val="sq-AL"/>
        </w:rPr>
      </w:pPr>
      <w:r w:rsidRPr="00F45244">
        <w:rPr>
          <w:rFonts w:asciiTheme="majorHAnsi" w:hAnsiTheme="majorHAnsi" w:cstheme="majorHAnsi"/>
          <w:i/>
          <w:noProof/>
          <w:lang w:val="sq-AL"/>
        </w:rPr>
        <w:t xml:space="preserve">Rreth 145.6 </w:t>
      </w:r>
      <w:r w:rsidR="0056260B" w:rsidRPr="00F45244">
        <w:rPr>
          <w:rFonts w:asciiTheme="majorHAnsi" w:hAnsiTheme="majorHAnsi" w:cstheme="majorHAnsi"/>
          <w:i/>
          <w:noProof/>
          <w:lang w:val="sq-AL"/>
        </w:rPr>
        <w:t>milionë</w:t>
      </w:r>
      <w:r w:rsidRPr="00F45244">
        <w:rPr>
          <w:rFonts w:asciiTheme="majorHAnsi" w:hAnsiTheme="majorHAnsi" w:cstheme="majorHAnsi"/>
          <w:i/>
          <w:noProof/>
          <w:lang w:val="sq-AL"/>
        </w:rPr>
        <w:t xml:space="preserve"> LEK nga Ministria e Financave për pagesën e shërbimeve juridike dhe kostove të tjera ligjore për përfaqësimin dhe mbrojtjen e RSH në vendime të arbitrazhit ndërkombëtar.</w:t>
      </w:r>
    </w:p>
    <w:p w14:paraId="2BDD3DF7" w14:textId="5D24D95D" w:rsidR="002A65F4" w:rsidRPr="00F45244" w:rsidRDefault="002A65F4" w:rsidP="00F45244">
      <w:pPr>
        <w:pStyle w:val="ListParagraph"/>
        <w:numPr>
          <w:ilvl w:val="0"/>
          <w:numId w:val="15"/>
        </w:numPr>
        <w:spacing w:before="0"/>
        <w:rPr>
          <w:rFonts w:asciiTheme="majorHAnsi" w:hAnsiTheme="majorHAnsi" w:cstheme="majorHAnsi"/>
          <w:i/>
          <w:noProof/>
          <w:lang w:val="sq-AL"/>
        </w:rPr>
      </w:pPr>
      <w:r w:rsidRPr="00F45244">
        <w:rPr>
          <w:rFonts w:asciiTheme="majorHAnsi" w:hAnsiTheme="majorHAnsi" w:cstheme="majorHAnsi"/>
          <w:i/>
          <w:noProof/>
          <w:lang w:val="sq-AL"/>
        </w:rPr>
        <w:t xml:space="preserve">Rreth 1.84 </w:t>
      </w:r>
      <w:r w:rsidR="0056260B" w:rsidRPr="00F45244">
        <w:rPr>
          <w:rFonts w:asciiTheme="majorHAnsi" w:hAnsiTheme="majorHAnsi" w:cstheme="majorHAnsi"/>
          <w:i/>
          <w:noProof/>
          <w:lang w:val="sq-AL"/>
        </w:rPr>
        <w:t>milionë</w:t>
      </w:r>
      <w:r w:rsidRPr="00F45244">
        <w:rPr>
          <w:rFonts w:asciiTheme="majorHAnsi" w:hAnsiTheme="majorHAnsi" w:cstheme="majorHAnsi"/>
          <w:i/>
          <w:noProof/>
          <w:lang w:val="sq-AL"/>
        </w:rPr>
        <w:t xml:space="preserve"> LEK nga Ministria e Ekonomisë dhe Inovacionit për pagesën e shpenzimeve  gjyqësore dhe administrative për çështje të arbitrazhit ndërkombëtar.</w:t>
      </w:r>
    </w:p>
    <w:p w14:paraId="619EE886" w14:textId="3D5EFD67" w:rsidR="002A65F4" w:rsidRDefault="002A65F4" w:rsidP="00F45244">
      <w:pPr>
        <w:pStyle w:val="ListParagraph"/>
        <w:numPr>
          <w:ilvl w:val="0"/>
          <w:numId w:val="15"/>
        </w:numPr>
        <w:rPr>
          <w:rFonts w:asciiTheme="majorHAnsi" w:hAnsiTheme="majorHAnsi" w:cstheme="majorHAnsi"/>
          <w:i/>
          <w:noProof/>
          <w:lang w:val="sq-AL"/>
        </w:rPr>
      </w:pPr>
      <w:r w:rsidRPr="00F45244">
        <w:rPr>
          <w:rFonts w:asciiTheme="majorHAnsi" w:hAnsiTheme="majorHAnsi" w:cstheme="majorHAnsi"/>
          <w:i/>
          <w:noProof/>
          <w:lang w:val="sq-AL"/>
        </w:rPr>
        <w:t xml:space="preserve">Rreth 56 mijë LEK nga </w:t>
      </w:r>
      <w:r w:rsidR="00BB7DD5" w:rsidRPr="00F45244">
        <w:rPr>
          <w:rFonts w:asciiTheme="majorHAnsi" w:hAnsiTheme="majorHAnsi" w:cstheme="majorHAnsi"/>
          <w:i/>
          <w:noProof/>
          <w:lang w:val="sq-AL"/>
        </w:rPr>
        <w:t>MBZHR</w:t>
      </w:r>
      <w:r w:rsidRPr="00F45244">
        <w:rPr>
          <w:rFonts w:asciiTheme="majorHAnsi" w:hAnsiTheme="majorHAnsi" w:cstheme="majorHAnsi"/>
          <w:i/>
          <w:noProof/>
          <w:lang w:val="sq-AL"/>
        </w:rPr>
        <w:t>, për pagesën e kostove administrative lidhur me çertifikimin, apostilimin dhe noterizimin e vendimit final për çështjen e arbitrazhit ndërkombëtar PCA Case 2018-49.</w:t>
      </w:r>
    </w:p>
    <w:p w14:paraId="5BDB4A89" w14:textId="77777777" w:rsidR="00F45244" w:rsidRDefault="00F45244" w:rsidP="00F45244">
      <w:pPr>
        <w:pStyle w:val="ListParagraph"/>
        <w:rPr>
          <w:rFonts w:asciiTheme="majorHAnsi" w:hAnsiTheme="majorHAnsi" w:cstheme="majorHAnsi"/>
          <w:i/>
          <w:noProof/>
          <w:lang w:val="sq-AL"/>
        </w:rPr>
      </w:pPr>
    </w:p>
    <w:p w14:paraId="292E1EAB" w14:textId="77777777" w:rsidR="00F45244" w:rsidRDefault="00F45244" w:rsidP="00F45244">
      <w:pPr>
        <w:pStyle w:val="ListParagraph"/>
        <w:rPr>
          <w:rFonts w:asciiTheme="majorHAnsi" w:hAnsiTheme="majorHAnsi" w:cstheme="majorHAnsi"/>
          <w:i/>
          <w:noProof/>
          <w:lang w:val="sq-AL"/>
        </w:rPr>
      </w:pPr>
    </w:p>
    <w:p w14:paraId="60A12FB7" w14:textId="77777777" w:rsidR="00F45244" w:rsidRDefault="00F45244" w:rsidP="00F45244">
      <w:pPr>
        <w:pStyle w:val="ListParagraph"/>
        <w:rPr>
          <w:rFonts w:asciiTheme="majorHAnsi" w:hAnsiTheme="majorHAnsi" w:cstheme="majorHAnsi"/>
          <w:i/>
          <w:noProof/>
          <w:lang w:val="sq-AL"/>
        </w:rPr>
      </w:pPr>
    </w:p>
    <w:p w14:paraId="04F682D5" w14:textId="77777777" w:rsidR="00F45244" w:rsidRDefault="00F45244" w:rsidP="00F45244">
      <w:pPr>
        <w:pStyle w:val="ListParagraph"/>
        <w:rPr>
          <w:rFonts w:asciiTheme="majorHAnsi" w:hAnsiTheme="majorHAnsi" w:cstheme="majorHAnsi"/>
          <w:i/>
          <w:noProof/>
          <w:lang w:val="sq-AL"/>
        </w:rPr>
      </w:pPr>
    </w:p>
    <w:p w14:paraId="670E55D6" w14:textId="77777777" w:rsidR="00F45244" w:rsidRDefault="00F45244" w:rsidP="00F45244">
      <w:pPr>
        <w:pStyle w:val="ListParagraph"/>
        <w:rPr>
          <w:rFonts w:asciiTheme="majorHAnsi" w:hAnsiTheme="majorHAnsi" w:cstheme="majorHAnsi"/>
          <w:i/>
          <w:noProof/>
          <w:lang w:val="sq-AL"/>
        </w:rPr>
      </w:pPr>
    </w:p>
    <w:p w14:paraId="138154C2" w14:textId="77777777" w:rsidR="00F45244" w:rsidRPr="00F45244" w:rsidRDefault="00F45244" w:rsidP="00F45244">
      <w:pPr>
        <w:pStyle w:val="ListParagraph"/>
        <w:rPr>
          <w:rFonts w:asciiTheme="majorHAnsi" w:hAnsiTheme="majorHAnsi" w:cstheme="majorHAnsi"/>
          <w:i/>
          <w:noProof/>
          <w:lang w:val="sq-AL"/>
        </w:rPr>
      </w:pPr>
    </w:p>
    <w:p w14:paraId="4B00506B" w14:textId="62AC3BF3" w:rsidR="008B52A6" w:rsidRPr="001845B8" w:rsidRDefault="00F37714" w:rsidP="001845B8">
      <w:pPr>
        <w:pStyle w:val="Caption"/>
        <w:spacing w:line="240" w:lineRule="auto"/>
        <w:rPr>
          <w:rFonts w:asciiTheme="majorHAnsi" w:hAnsiTheme="majorHAnsi" w:cstheme="majorHAnsi"/>
          <w:noProof/>
          <w:lang w:val="sq-AL"/>
        </w:rPr>
      </w:pPr>
      <w:bookmarkStart w:id="221" w:name="_Toc229130002"/>
      <w:r w:rsidRPr="00F45244">
        <w:rPr>
          <w:rFonts w:asciiTheme="majorHAnsi" w:hAnsiTheme="majorHAnsi" w:cstheme="majorHAnsi"/>
          <w:noProof/>
          <w:lang w:val="sq-AL"/>
        </w:rPr>
        <w:lastRenderedPageBreak/>
        <w:t xml:space="preserve">Tabela </w:t>
      </w:r>
      <w:r w:rsidR="00F675D4" w:rsidRPr="00F45244">
        <w:rPr>
          <w:rFonts w:asciiTheme="majorHAnsi" w:hAnsiTheme="majorHAnsi" w:cstheme="majorHAnsi"/>
          <w:noProof/>
          <w:lang w:val="sq-AL"/>
        </w:rPr>
        <w:fldChar w:fldCharType="begin"/>
      </w:r>
      <w:r w:rsidR="00F675D4" w:rsidRPr="00F45244">
        <w:rPr>
          <w:rFonts w:asciiTheme="majorHAnsi" w:hAnsiTheme="majorHAnsi" w:cstheme="majorHAnsi"/>
          <w:noProof/>
          <w:lang w:val="sq-AL"/>
        </w:rPr>
        <w:instrText xml:space="preserve"> SEQ Tabela \* ARABIC </w:instrText>
      </w:r>
      <w:r w:rsidR="00F675D4" w:rsidRPr="00F45244">
        <w:rPr>
          <w:rFonts w:asciiTheme="majorHAnsi" w:hAnsiTheme="majorHAnsi" w:cstheme="majorHAnsi"/>
          <w:noProof/>
          <w:lang w:val="sq-AL"/>
        </w:rPr>
        <w:fldChar w:fldCharType="separate"/>
      </w:r>
      <w:r w:rsidR="00CB4DE6">
        <w:rPr>
          <w:rFonts w:asciiTheme="majorHAnsi" w:hAnsiTheme="majorHAnsi" w:cstheme="majorHAnsi"/>
          <w:noProof/>
          <w:lang w:val="sq-AL"/>
        </w:rPr>
        <w:t>28</w:t>
      </w:r>
      <w:r w:rsidR="00F675D4" w:rsidRPr="00F45244">
        <w:rPr>
          <w:rFonts w:asciiTheme="majorHAnsi" w:hAnsiTheme="majorHAnsi" w:cstheme="majorHAnsi"/>
          <w:noProof/>
          <w:lang w:val="sq-AL"/>
        </w:rPr>
        <w:fldChar w:fldCharType="end"/>
      </w:r>
      <w:r w:rsidRPr="00F45244">
        <w:rPr>
          <w:rFonts w:asciiTheme="majorHAnsi" w:hAnsiTheme="majorHAnsi" w:cstheme="majorHAnsi"/>
          <w:noProof/>
          <w:lang w:val="sq-AL"/>
        </w:rPr>
        <w:t xml:space="preserve"> Detyrime për vendimet e Arbitrazhit Ndërkombëtar (në EUR)</w:t>
      </w:r>
      <w:bookmarkEnd w:id="221"/>
    </w:p>
    <w:p w14:paraId="704F408E" w14:textId="35A7B5A1" w:rsidR="008B52A6" w:rsidRPr="00B644BE" w:rsidRDefault="008B52A6" w:rsidP="00700EA3">
      <w:pPr>
        <w:spacing w:before="0" w:line="240" w:lineRule="auto"/>
        <w:jc w:val="center"/>
        <w:rPr>
          <w:rFonts w:eastAsia="Calibri"/>
          <w:noProof/>
          <w:lang w:val="sq-AL" w:eastAsia="sq-AL"/>
        </w:rPr>
      </w:pPr>
      <w:r w:rsidRPr="008B52A6">
        <w:rPr>
          <w:noProof/>
        </w:rPr>
        <w:drawing>
          <wp:inline distT="0" distB="0" distL="0" distR="0" wp14:anchorId="7D509B69" wp14:editId="6BFF64F0">
            <wp:extent cx="6286500" cy="5467350"/>
            <wp:effectExtent l="0" t="0" r="0" b="0"/>
            <wp:docPr id="1404840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0" cy="5467350"/>
                    </a:xfrm>
                    <a:prstGeom prst="rect">
                      <a:avLst/>
                    </a:prstGeom>
                    <a:noFill/>
                    <a:ln>
                      <a:noFill/>
                    </a:ln>
                  </pic:spPr>
                </pic:pic>
              </a:graphicData>
            </a:graphic>
          </wp:inline>
        </w:drawing>
      </w:r>
    </w:p>
    <w:p w14:paraId="449FFC32" w14:textId="6BF49221" w:rsidR="004A607C" w:rsidRPr="009C1933" w:rsidRDefault="004A607C" w:rsidP="007E53C1">
      <w:pPr>
        <w:spacing w:before="0" w:line="240" w:lineRule="auto"/>
        <w:ind w:firstLine="720"/>
        <w:rPr>
          <w:rFonts w:eastAsia="SimSun" w:cs="Calibri"/>
          <w:i/>
          <w:noProof/>
          <w:sz w:val="18"/>
          <w:szCs w:val="18"/>
          <w:lang w:val="sq-AL"/>
        </w:rPr>
      </w:pPr>
      <w:r w:rsidRPr="004A607C">
        <w:rPr>
          <w:rFonts w:eastAsia="SimSun" w:cs="Calibri"/>
          <w:i/>
          <w:noProof/>
          <w:sz w:val="18"/>
          <w:szCs w:val="18"/>
          <w:lang w:val="sq-AL"/>
        </w:rPr>
        <w:t>Burimi: Ministria e Financave, Avokatura e Shtetit, ML/IB, Ndërmarrjet Publike (202</w:t>
      </w:r>
      <w:r w:rsidR="002A65F4">
        <w:rPr>
          <w:rFonts w:eastAsia="SimSun" w:cs="Calibri"/>
          <w:i/>
          <w:noProof/>
          <w:sz w:val="18"/>
          <w:szCs w:val="18"/>
          <w:lang w:val="sq-AL"/>
        </w:rPr>
        <w:t>6</w:t>
      </w:r>
      <w:r w:rsidRPr="004A607C">
        <w:rPr>
          <w:rFonts w:eastAsia="SimSun" w:cs="Calibri"/>
          <w:i/>
          <w:noProof/>
          <w:sz w:val="18"/>
          <w:szCs w:val="18"/>
          <w:lang w:val="sq-AL"/>
        </w:rPr>
        <w:t>)</w:t>
      </w:r>
    </w:p>
    <w:p w14:paraId="131DD0FC" w14:textId="77777777" w:rsidR="00391699" w:rsidRDefault="00391699" w:rsidP="00700EA3">
      <w:pPr>
        <w:spacing w:before="0" w:line="240" w:lineRule="auto"/>
        <w:jc w:val="center"/>
        <w:rPr>
          <w:rFonts w:eastAsia="Calibri"/>
          <w:noProof/>
          <w:lang w:val="sq-AL" w:eastAsia="sq-AL"/>
        </w:rPr>
      </w:pPr>
    </w:p>
    <w:p w14:paraId="67AAF857" w14:textId="77777777" w:rsidR="009334DE" w:rsidRDefault="009334DE" w:rsidP="00700EA3">
      <w:pPr>
        <w:spacing w:before="0" w:line="240" w:lineRule="auto"/>
        <w:jc w:val="center"/>
        <w:rPr>
          <w:rFonts w:eastAsia="Calibri"/>
          <w:noProof/>
          <w:lang w:val="sq-AL" w:eastAsia="sq-AL"/>
        </w:rPr>
      </w:pPr>
    </w:p>
    <w:p w14:paraId="4F6F26E9" w14:textId="77777777" w:rsidR="004A607C" w:rsidRPr="008E299F" w:rsidRDefault="004A607C" w:rsidP="00700EA3">
      <w:pPr>
        <w:spacing w:before="0" w:line="240" w:lineRule="auto"/>
        <w:jc w:val="center"/>
        <w:rPr>
          <w:rFonts w:eastAsia="Calibri"/>
          <w:noProof/>
          <w:sz w:val="8"/>
          <w:szCs w:val="10"/>
          <w:lang w:val="sq-AL" w:eastAsia="sq-AL"/>
        </w:rPr>
      </w:pPr>
    </w:p>
    <w:p w14:paraId="5BBBDB82" w14:textId="77777777" w:rsidR="004A607C" w:rsidRPr="00B644BE" w:rsidRDefault="004A607C" w:rsidP="00700EA3">
      <w:pPr>
        <w:spacing w:before="0" w:line="240" w:lineRule="auto"/>
        <w:jc w:val="center"/>
        <w:rPr>
          <w:rFonts w:eastAsia="Calibri"/>
          <w:noProof/>
          <w:lang w:val="sq-AL" w:eastAsia="sq-AL"/>
        </w:rPr>
      </w:pPr>
    </w:p>
    <w:p w14:paraId="307AF20A" w14:textId="3AAC2455" w:rsidR="004E5E8E" w:rsidRDefault="004E5E8E" w:rsidP="004A607C">
      <w:pPr>
        <w:jc w:val="center"/>
        <w:rPr>
          <w:rFonts w:eastAsia="SimSun" w:cs="Calibri"/>
          <w:b/>
          <w:noProof/>
          <w:sz w:val="28"/>
          <w:lang w:val="sq-AL"/>
        </w:rPr>
      </w:pPr>
      <w:r w:rsidRPr="00B644BE">
        <w:rPr>
          <w:rFonts w:eastAsia="SimSun" w:cs="Calibri"/>
          <w:b/>
          <w:noProof/>
          <w:sz w:val="28"/>
          <w:lang w:val="sq-AL"/>
        </w:rPr>
        <w:t>MINISTRI I FINANCAVE</w:t>
      </w:r>
    </w:p>
    <w:p w14:paraId="5BFE1EDD" w14:textId="77777777" w:rsidR="004A607C" w:rsidRPr="004A607C" w:rsidRDefault="004A607C" w:rsidP="004A607C">
      <w:pPr>
        <w:jc w:val="center"/>
        <w:rPr>
          <w:rFonts w:eastAsia="SimSun" w:cs="Calibri"/>
          <w:b/>
          <w:noProof/>
          <w:sz w:val="14"/>
          <w:szCs w:val="12"/>
          <w:lang w:val="sq-AL"/>
        </w:rPr>
      </w:pPr>
    </w:p>
    <w:p w14:paraId="60C21904" w14:textId="031B335C" w:rsidR="004A607C" w:rsidRPr="00B644BE" w:rsidRDefault="000A15FD" w:rsidP="008E299F">
      <w:pPr>
        <w:jc w:val="center"/>
        <w:rPr>
          <w:rFonts w:eastAsia="SimSun" w:cs="Calibri"/>
          <w:b/>
          <w:noProof/>
          <w:sz w:val="28"/>
          <w:lang w:val="sq-AL"/>
        </w:rPr>
      </w:pPr>
      <w:r>
        <w:rPr>
          <w:rFonts w:eastAsia="SimSun" w:cs="Calibri"/>
          <w:b/>
          <w:noProof/>
          <w:sz w:val="28"/>
          <w:lang w:val="sq-AL"/>
        </w:rPr>
        <w:t>PETRIT  MALAJ</w:t>
      </w:r>
    </w:p>
    <w:p w14:paraId="6A41A0D6" w14:textId="74D8413C" w:rsidR="00D40A6E" w:rsidRDefault="00DA3BA6" w:rsidP="00D40A6E">
      <w:pPr>
        <w:spacing w:before="0" w:line="240" w:lineRule="auto"/>
        <w:rPr>
          <w:rFonts w:ascii="Times New Roman" w:hAnsi="Times New Roman"/>
          <w:i/>
          <w:noProof/>
          <w:color w:val="FFFFFF" w:themeColor="background1"/>
          <w:sz w:val="18"/>
          <w:szCs w:val="18"/>
          <w:lang w:val="sq-AL" w:eastAsia="it-IT"/>
        </w:rPr>
      </w:pPr>
      <w:bookmarkStart w:id="222" w:name="_Hlk168480029"/>
      <w:r w:rsidRPr="00F977B7">
        <w:rPr>
          <w:rFonts w:ascii="Times New Roman" w:hAnsi="Times New Roman"/>
          <w:i/>
          <w:noProof/>
          <w:color w:val="FFFFFF" w:themeColor="background1"/>
          <w:sz w:val="18"/>
          <w:szCs w:val="18"/>
          <w:lang w:val="sq-AL" w:eastAsia="it-IT"/>
        </w:rPr>
        <w:t>Konceptoi:</w:t>
      </w:r>
      <w:r w:rsidRPr="00F977B7">
        <w:rPr>
          <w:rFonts w:ascii="Times New Roman" w:hAnsi="Times New Roman"/>
          <w:i/>
          <w:noProof/>
          <w:color w:val="FFFFFF" w:themeColor="background1"/>
          <w:sz w:val="18"/>
          <w:szCs w:val="18"/>
          <w:lang w:val="sq-AL" w:eastAsia="it-IT"/>
        </w:rPr>
        <w:tab/>
        <w:t>Sh.Hodaj, J.Fili, E.Durmishi, A.Xhyheri, R.Petriti, A.Idrizi, D.AjaziPranoi:</w:t>
      </w:r>
      <w:r w:rsidRPr="00F977B7">
        <w:rPr>
          <w:rFonts w:ascii="Times New Roman" w:hAnsi="Times New Roman"/>
          <w:i/>
          <w:noProof/>
          <w:color w:val="FFFFFF" w:themeColor="background1"/>
          <w:sz w:val="18"/>
          <w:szCs w:val="18"/>
          <w:lang w:val="sq-AL" w:eastAsia="it-IT"/>
        </w:rPr>
        <w:tab/>
        <w:t xml:space="preserve"> </w:t>
      </w:r>
      <w:r w:rsidRPr="00F977B7">
        <w:rPr>
          <w:rFonts w:ascii="Times New Roman" w:hAnsi="Times New Roman"/>
          <w:i/>
          <w:noProof/>
          <w:color w:val="FFFFFF" w:themeColor="background1"/>
          <w:sz w:val="18"/>
          <w:szCs w:val="18"/>
          <w:lang w:val="sq-AL" w:eastAsia="it-IT"/>
        </w:rPr>
        <w:tab/>
        <w:t xml:space="preserve">Xh.Agolli, F.Brahimi, zi, , </w:t>
      </w:r>
    </w:p>
    <w:p w14:paraId="673396D5" w14:textId="77777777" w:rsidR="00D40A6E" w:rsidRDefault="00D40A6E" w:rsidP="00D40A6E">
      <w:pPr>
        <w:spacing w:before="0" w:line="240" w:lineRule="auto"/>
        <w:rPr>
          <w:rFonts w:ascii="Times New Roman" w:hAnsi="Times New Roman"/>
          <w:i/>
          <w:sz w:val="18"/>
          <w:szCs w:val="18"/>
          <w:lang w:val="it-IT" w:eastAsia="it-IT"/>
        </w:rPr>
      </w:pPr>
    </w:p>
    <w:p w14:paraId="3CF41076" w14:textId="77777777" w:rsidR="00F45244"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Konceptoi:</w:t>
      </w:r>
      <w:r w:rsidRPr="00A12B47">
        <w:rPr>
          <w:rFonts w:ascii="Times New Roman" w:hAnsi="Times New Roman"/>
          <w:i/>
          <w:color w:val="FFFFFF" w:themeColor="background1"/>
          <w:sz w:val="18"/>
          <w:szCs w:val="18"/>
          <w:lang w:val="it-IT" w:eastAsia="it-IT"/>
        </w:rPr>
        <w:tab/>
        <w:t>Sh.Hodaj, A.Shka</w:t>
      </w:r>
    </w:p>
    <w:p w14:paraId="78FF8800" w14:textId="77777777" w:rsidR="00F45244" w:rsidRDefault="00F45244" w:rsidP="00D40A6E">
      <w:pPr>
        <w:spacing w:before="0" w:line="240" w:lineRule="auto"/>
        <w:rPr>
          <w:rFonts w:ascii="Times New Roman" w:hAnsi="Times New Roman"/>
          <w:i/>
          <w:color w:val="FFFFFF" w:themeColor="background1"/>
          <w:sz w:val="18"/>
          <w:szCs w:val="18"/>
          <w:lang w:val="it-IT" w:eastAsia="it-IT"/>
        </w:rPr>
      </w:pPr>
    </w:p>
    <w:p w14:paraId="7BBDB14F" w14:textId="77777777" w:rsidR="00F45244" w:rsidRDefault="00F45244" w:rsidP="00D40A6E">
      <w:pPr>
        <w:spacing w:before="0" w:line="240" w:lineRule="auto"/>
        <w:rPr>
          <w:rFonts w:ascii="Times New Roman" w:hAnsi="Times New Roman"/>
          <w:i/>
          <w:color w:val="FFFFFF" w:themeColor="background1"/>
          <w:sz w:val="18"/>
          <w:szCs w:val="18"/>
          <w:lang w:val="it-IT" w:eastAsia="it-IT"/>
        </w:rPr>
      </w:pPr>
    </w:p>
    <w:p w14:paraId="63DB7A94" w14:textId="77777777" w:rsidR="00F45244" w:rsidRDefault="00F45244" w:rsidP="00D40A6E">
      <w:pPr>
        <w:spacing w:before="0" w:line="240" w:lineRule="auto"/>
        <w:rPr>
          <w:rFonts w:ascii="Times New Roman" w:hAnsi="Times New Roman"/>
          <w:i/>
          <w:color w:val="FFFFFF" w:themeColor="background1"/>
          <w:sz w:val="18"/>
          <w:szCs w:val="18"/>
          <w:lang w:val="it-IT" w:eastAsia="it-IT"/>
        </w:rPr>
      </w:pPr>
    </w:p>
    <w:p w14:paraId="246591C7" w14:textId="77777777" w:rsidR="00F45244" w:rsidRDefault="00F45244" w:rsidP="00D40A6E">
      <w:pPr>
        <w:spacing w:before="0" w:line="240" w:lineRule="auto"/>
        <w:rPr>
          <w:rFonts w:ascii="Times New Roman" w:hAnsi="Times New Roman"/>
          <w:i/>
          <w:color w:val="FFFFFF" w:themeColor="background1"/>
          <w:sz w:val="18"/>
          <w:szCs w:val="18"/>
          <w:lang w:val="it-IT" w:eastAsia="it-IT"/>
        </w:rPr>
      </w:pPr>
    </w:p>
    <w:p w14:paraId="3C5109D1" w14:textId="75FA74F3"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bari, E.Durmishi, A.Xhyheri, D.Ajazi, A.Idrizi</w:t>
      </w:r>
    </w:p>
    <w:p w14:paraId="0BF2612F" w14:textId="77777777"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Pranoi:</w:t>
      </w:r>
      <w:r w:rsidRPr="00A12B47">
        <w:rPr>
          <w:rFonts w:ascii="Times New Roman" w:hAnsi="Times New Roman"/>
          <w:i/>
          <w:color w:val="FFFFFF" w:themeColor="background1"/>
          <w:sz w:val="18"/>
          <w:szCs w:val="18"/>
          <w:lang w:val="it-IT" w:eastAsia="it-IT"/>
        </w:rPr>
        <w:tab/>
        <w:t xml:space="preserve"> </w:t>
      </w:r>
      <w:r w:rsidRPr="00A12B47">
        <w:rPr>
          <w:rFonts w:ascii="Times New Roman" w:hAnsi="Times New Roman"/>
          <w:i/>
          <w:color w:val="FFFFFF" w:themeColor="background1"/>
          <w:sz w:val="18"/>
          <w:szCs w:val="18"/>
          <w:lang w:val="it-IT" w:eastAsia="it-IT"/>
        </w:rPr>
        <w:tab/>
        <w:t xml:space="preserve">Xh.Agolli, E.Ahmeti, F.Brahimi, R.Petriti, J.Kaza, B.Jazxhi, M.Peço, A.Gjinopulli </w:t>
      </w:r>
    </w:p>
    <w:p w14:paraId="0E586C95" w14:textId="77777777" w:rsidR="008B52A6"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Miratoi:</w:t>
      </w:r>
      <w:r w:rsidRPr="00A12B47">
        <w:rPr>
          <w:rFonts w:ascii="Times New Roman" w:hAnsi="Times New Roman"/>
          <w:i/>
          <w:color w:val="FFFFFF" w:themeColor="background1"/>
          <w:sz w:val="18"/>
          <w:szCs w:val="18"/>
          <w:lang w:val="it-IT" w:eastAsia="it-IT"/>
        </w:rPr>
        <w:tab/>
      </w:r>
    </w:p>
    <w:p w14:paraId="6C86FBC6" w14:textId="6619FEFF"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ab/>
        <w:t>M.Dhëmbi, E.Lami, K.Halili, A.Velo, yrmishi,</w:t>
      </w:r>
    </w:p>
    <w:p w14:paraId="765EC373" w14:textId="77777777" w:rsidR="001845B8" w:rsidRDefault="00D40A6E" w:rsidP="00DA3BA6">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Konfirm</w:t>
      </w:r>
    </w:p>
    <w:p w14:paraId="53906CE6" w14:textId="77777777" w:rsidR="001845B8" w:rsidRDefault="001845B8" w:rsidP="00DA3BA6">
      <w:pPr>
        <w:spacing w:before="0" w:line="240" w:lineRule="auto"/>
        <w:rPr>
          <w:rFonts w:ascii="Times New Roman" w:hAnsi="Times New Roman"/>
          <w:i/>
          <w:color w:val="FFFFFF" w:themeColor="background1"/>
          <w:sz w:val="18"/>
          <w:szCs w:val="18"/>
          <w:lang w:val="it-IT" w:eastAsia="it-IT"/>
        </w:rPr>
      </w:pPr>
    </w:p>
    <w:p w14:paraId="3FC95A61" w14:textId="2C7D075E" w:rsidR="00DA3BA6" w:rsidRPr="000F0D9E" w:rsidRDefault="00D40A6E" w:rsidP="00DA3BA6">
      <w:pPr>
        <w:spacing w:before="0" w:line="240" w:lineRule="auto"/>
        <w:rPr>
          <w:rFonts w:ascii="Times New Roman" w:hAnsi="Times New Roman"/>
          <w:i/>
          <w:sz w:val="24"/>
          <w:lang w:val="pt-PT"/>
        </w:rPr>
      </w:pPr>
      <w:r w:rsidRPr="00A12B47">
        <w:rPr>
          <w:rFonts w:ascii="Times New Roman" w:hAnsi="Times New Roman"/>
          <w:i/>
          <w:color w:val="FFFFFF" w:themeColor="background1"/>
          <w:sz w:val="18"/>
          <w:szCs w:val="18"/>
          <w:lang w:val="it-IT" w:eastAsia="it-IT"/>
        </w:rPr>
        <w:t>oi:</w:t>
      </w:r>
      <w:r w:rsidRPr="00A12B47">
        <w:rPr>
          <w:rFonts w:ascii="Times New Roman" w:hAnsi="Times New Roman"/>
          <w:i/>
          <w:color w:val="FFFFFF" w:themeColor="background1"/>
          <w:sz w:val="18"/>
          <w:szCs w:val="18"/>
          <w:lang w:val="it-IT" w:eastAsia="it-IT"/>
        </w:rPr>
        <w:tab/>
        <w:t>B.Beja</w:t>
      </w:r>
      <w:r w:rsidRPr="00A12B47">
        <w:rPr>
          <w:rFonts w:ascii="Times New Roman" w:hAnsi="Times New Roman"/>
          <w:i/>
          <w:color w:val="FFFFFF" w:themeColor="background1"/>
          <w:sz w:val="18"/>
          <w:szCs w:val="18"/>
          <w:lang w:val="it-IT" w:eastAsia="it-IT"/>
        </w:rPr>
        <w:tab/>
      </w:r>
      <w:r w:rsidR="00DA3BA6" w:rsidRPr="00A12B47">
        <w:rPr>
          <w:rFonts w:ascii="Times New Roman" w:hAnsi="Times New Roman"/>
          <w:i/>
          <w:noProof/>
          <w:color w:val="FFFFFF" w:themeColor="background1"/>
          <w:sz w:val="18"/>
          <w:szCs w:val="18"/>
          <w:lang w:val="sq-AL" w:eastAsia="it-IT"/>
        </w:rPr>
        <w:t>era,, K.Halili</w:t>
      </w:r>
      <w:r w:rsidR="00DA3BA6" w:rsidRPr="00F977B7">
        <w:rPr>
          <w:rFonts w:ascii="Times New Roman" w:hAnsi="Times New Roman"/>
          <w:i/>
          <w:noProof/>
          <w:color w:val="FFFFFF" w:themeColor="background1"/>
          <w:sz w:val="18"/>
          <w:szCs w:val="18"/>
          <w:lang w:val="sq-AL" w:eastAsia="it-IT"/>
        </w:rPr>
        <w:t>, A.Velo, ali</w:t>
      </w:r>
      <w:r w:rsidR="00DA3BA6" w:rsidRPr="00F977B7">
        <w:rPr>
          <w:rFonts w:ascii="Times New Roman" w:hAnsi="Times New Roman"/>
          <w:i/>
          <w:noProof/>
          <w:color w:val="FFFFFF" w:themeColor="background1"/>
          <w:sz w:val="18"/>
          <w:szCs w:val="18"/>
          <w:lang w:val="sq-AL" w:eastAsia="it-IT"/>
        </w:rPr>
        <w:tab/>
      </w:r>
    </w:p>
    <w:p w14:paraId="73DFC913" w14:textId="77777777" w:rsidR="00777EB2" w:rsidRDefault="00083EB3" w:rsidP="001824B9">
      <w:pPr>
        <w:pStyle w:val="Heading1"/>
        <w:spacing w:before="0"/>
        <w:rPr>
          <w:b/>
          <w:bCs/>
          <w:noProof/>
        </w:rPr>
      </w:pPr>
      <w:bookmarkStart w:id="223" w:name="_Toc229390834"/>
      <w:bookmarkEnd w:id="222"/>
      <w:r w:rsidRPr="001824B9">
        <w:rPr>
          <w:b/>
          <w:bCs/>
          <w:noProof/>
        </w:rPr>
        <w:lastRenderedPageBreak/>
        <w:t>SHTOJCAT</w:t>
      </w:r>
      <w:bookmarkStart w:id="224" w:name="_Toc10033289"/>
      <w:bookmarkStart w:id="225" w:name="_Toc10721426"/>
      <w:bookmarkEnd w:id="219"/>
      <w:bookmarkEnd w:id="220"/>
      <w:bookmarkEnd w:id="223"/>
    </w:p>
    <w:p w14:paraId="0404181D" w14:textId="77777777" w:rsidR="001824B9" w:rsidRPr="001824B9" w:rsidRDefault="001824B9" w:rsidP="001824B9">
      <w:pPr>
        <w:spacing w:before="0"/>
        <w:rPr>
          <w:sz w:val="12"/>
          <w:szCs w:val="14"/>
        </w:rPr>
      </w:pPr>
    </w:p>
    <w:p w14:paraId="6B31D2B7" w14:textId="77777777" w:rsidR="00A94670" w:rsidRPr="001824B9" w:rsidRDefault="00A94670" w:rsidP="001824B9">
      <w:pPr>
        <w:pStyle w:val="Heading2"/>
        <w:spacing w:before="0"/>
        <w:rPr>
          <w:color w:val="0F6FC6" w:themeColor="accent1"/>
        </w:rPr>
      </w:pPr>
      <w:bookmarkStart w:id="226" w:name="_Toc229390835"/>
      <w:proofErr w:type="spellStart"/>
      <w:r w:rsidRPr="001824B9">
        <w:rPr>
          <w:color w:val="0F6FC6" w:themeColor="accent1"/>
        </w:rPr>
        <w:t>Shtojca</w:t>
      </w:r>
      <w:proofErr w:type="spellEnd"/>
      <w:r w:rsidR="00DC2B59" w:rsidRPr="001824B9">
        <w:rPr>
          <w:color w:val="0F6FC6" w:themeColor="accent1"/>
        </w:rPr>
        <w:t xml:space="preserve"> 1 - </w:t>
      </w:r>
      <w:proofErr w:type="spellStart"/>
      <w:r w:rsidR="00DC2B59" w:rsidRPr="001824B9">
        <w:rPr>
          <w:color w:val="0F6FC6" w:themeColor="accent1"/>
        </w:rPr>
        <w:t>Zbatimi</w:t>
      </w:r>
      <w:proofErr w:type="spellEnd"/>
      <w:r w:rsidR="00DC2B59" w:rsidRPr="001824B9">
        <w:rPr>
          <w:color w:val="0F6FC6" w:themeColor="accent1"/>
        </w:rPr>
        <w:t xml:space="preserve"> </w:t>
      </w:r>
      <w:proofErr w:type="spellStart"/>
      <w:r w:rsidR="00DC2B59" w:rsidRPr="001824B9">
        <w:rPr>
          <w:color w:val="0F6FC6" w:themeColor="accent1"/>
        </w:rPr>
        <w:t>dhe</w:t>
      </w:r>
      <w:proofErr w:type="spellEnd"/>
      <w:r w:rsidR="00DC2B59" w:rsidRPr="001824B9">
        <w:rPr>
          <w:color w:val="0F6FC6" w:themeColor="accent1"/>
        </w:rPr>
        <w:t xml:space="preserve"> </w:t>
      </w:r>
      <w:proofErr w:type="spellStart"/>
      <w:r w:rsidR="00DC2B59" w:rsidRPr="001824B9">
        <w:rPr>
          <w:color w:val="0F6FC6" w:themeColor="accent1"/>
        </w:rPr>
        <w:t>monitorimi</w:t>
      </w:r>
      <w:proofErr w:type="spellEnd"/>
      <w:r w:rsidR="00DC2B59" w:rsidRPr="001824B9">
        <w:rPr>
          <w:color w:val="0F6FC6" w:themeColor="accent1"/>
        </w:rPr>
        <w:t xml:space="preserve"> </w:t>
      </w:r>
      <w:proofErr w:type="spellStart"/>
      <w:r w:rsidR="00DC2B59" w:rsidRPr="001824B9">
        <w:rPr>
          <w:color w:val="0F6FC6" w:themeColor="accent1"/>
        </w:rPr>
        <w:t>i</w:t>
      </w:r>
      <w:proofErr w:type="spellEnd"/>
      <w:r w:rsidR="00DC2B59" w:rsidRPr="001824B9">
        <w:rPr>
          <w:color w:val="0F6FC6" w:themeColor="accent1"/>
        </w:rPr>
        <w:t xml:space="preserve"> </w:t>
      </w:r>
      <w:proofErr w:type="spellStart"/>
      <w:r w:rsidR="00DC2B59" w:rsidRPr="001824B9">
        <w:rPr>
          <w:color w:val="0F6FC6" w:themeColor="accent1"/>
        </w:rPr>
        <w:t>parimeve</w:t>
      </w:r>
      <w:proofErr w:type="spellEnd"/>
      <w:r w:rsidR="00DC2B59" w:rsidRPr="001824B9">
        <w:rPr>
          <w:color w:val="0F6FC6" w:themeColor="accent1"/>
        </w:rPr>
        <w:t xml:space="preserve"> </w:t>
      </w:r>
      <w:proofErr w:type="spellStart"/>
      <w:r w:rsidR="00DC2B59" w:rsidRPr="001824B9">
        <w:rPr>
          <w:color w:val="0F6FC6" w:themeColor="accent1"/>
        </w:rPr>
        <w:t>dhe</w:t>
      </w:r>
      <w:proofErr w:type="spellEnd"/>
      <w:r w:rsidR="00DC2B59" w:rsidRPr="001824B9">
        <w:rPr>
          <w:color w:val="0F6FC6" w:themeColor="accent1"/>
        </w:rPr>
        <w:t xml:space="preserve"> </w:t>
      </w:r>
      <w:proofErr w:type="spellStart"/>
      <w:r w:rsidR="00DC2B59" w:rsidRPr="001824B9">
        <w:rPr>
          <w:color w:val="0F6FC6" w:themeColor="accent1"/>
        </w:rPr>
        <w:t>rregullave</w:t>
      </w:r>
      <w:proofErr w:type="spellEnd"/>
      <w:r w:rsidR="00DC2B59" w:rsidRPr="001824B9">
        <w:rPr>
          <w:color w:val="0F6FC6" w:themeColor="accent1"/>
        </w:rPr>
        <w:t xml:space="preserve"> </w:t>
      </w:r>
      <w:proofErr w:type="spellStart"/>
      <w:r w:rsidR="00DC2B59" w:rsidRPr="001824B9">
        <w:rPr>
          <w:color w:val="0F6FC6" w:themeColor="accent1"/>
        </w:rPr>
        <w:t>fiskale</w:t>
      </w:r>
      <w:bookmarkEnd w:id="224"/>
      <w:bookmarkEnd w:id="225"/>
      <w:bookmarkEnd w:id="226"/>
      <w:proofErr w:type="spellEnd"/>
    </w:p>
    <w:p w14:paraId="56D7851E" w14:textId="77777777" w:rsidR="00B966EF" w:rsidRPr="00B644BE" w:rsidRDefault="00B966EF" w:rsidP="00B966EF">
      <w:pPr>
        <w:spacing w:line="240" w:lineRule="auto"/>
        <w:rPr>
          <w:rFonts w:cs="Calibri"/>
          <w:noProof/>
          <w:lang w:val="sq-AL"/>
        </w:rPr>
      </w:pPr>
      <w:bookmarkStart w:id="227" w:name="_Ref10032567"/>
      <w:bookmarkStart w:id="228" w:name="_Toc10033290"/>
      <w:bookmarkStart w:id="229" w:name="_Toc10721427"/>
      <w:r w:rsidRPr="00B644BE">
        <w:rPr>
          <w:rFonts w:cs="Calibri"/>
          <w:noProof/>
          <w:lang w:val="sq-AL"/>
        </w:rPr>
        <w:t>Ligji Nr.57 datë 02.06.2016 “</w:t>
      </w:r>
      <w:r w:rsidRPr="00A91575">
        <w:rPr>
          <w:rFonts w:cs="Calibri"/>
          <w:i/>
          <w:iCs/>
          <w:noProof/>
          <w:lang w:val="sq-AL"/>
        </w:rPr>
        <w:t xml:space="preserve">Për disa ndryshime dhe shtesa në </w:t>
      </w:r>
      <w:r>
        <w:rPr>
          <w:rFonts w:cs="Calibri"/>
          <w:i/>
          <w:iCs/>
          <w:noProof/>
          <w:lang w:val="sq-AL"/>
        </w:rPr>
        <w:t>L</w:t>
      </w:r>
      <w:r w:rsidRPr="00A91575">
        <w:rPr>
          <w:rFonts w:cs="Calibri"/>
          <w:i/>
          <w:iCs/>
          <w:noProof/>
          <w:lang w:val="sq-AL"/>
        </w:rPr>
        <w:t xml:space="preserve">igjin Nr.9936 datë 26.06.2008 “Për menaxhimin e sistemit buxhetor në Republikën e Shqipërisë, </w:t>
      </w:r>
      <w:r>
        <w:rPr>
          <w:rFonts w:cs="Calibri"/>
          <w:i/>
          <w:iCs/>
          <w:noProof/>
          <w:lang w:val="sq-AL"/>
        </w:rPr>
        <w:t>i</w:t>
      </w:r>
      <w:r w:rsidRPr="00A91575">
        <w:rPr>
          <w:rFonts w:cs="Calibri"/>
          <w:i/>
          <w:iCs/>
          <w:noProof/>
          <w:lang w:val="sq-AL"/>
        </w:rPr>
        <w:t xml:space="preserve"> ndryshuar</w:t>
      </w:r>
      <w:r w:rsidRPr="00B644BE">
        <w:rPr>
          <w:rFonts w:cs="Calibri"/>
          <w:noProof/>
          <w:lang w:val="sq-AL"/>
        </w:rPr>
        <w:t>” (</w:t>
      </w:r>
      <w:r w:rsidRPr="00A91575">
        <w:rPr>
          <w:rFonts w:cs="Calibri"/>
          <w:i/>
          <w:iCs/>
          <w:noProof/>
          <w:lang w:val="sq-AL"/>
        </w:rPr>
        <w:t>referuar në vijim si Ligji Organik i Buxhetit - LOB</w:t>
      </w:r>
      <w:r w:rsidRPr="00B644BE">
        <w:rPr>
          <w:rFonts w:cs="Calibri"/>
          <w:noProof/>
          <w:lang w:val="sq-AL"/>
        </w:rPr>
        <w:t>), në nenin 4/1 sanksionon disa parime dhe rregulla fiskale për mirëmenaxhimin e financave publike në Shqipëri. Ky seksion paraqet zbatueshmërinë e këtyre parimeve dhe rregullave fiskale përgjatë vitit 202</w:t>
      </w:r>
      <w:r>
        <w:rPr>
          <w:rFonts w:cs="Calibri"/>
          <w:noProof/>
          <w:lang w:val="sq-AL"/>
        </w:rPr>
        <w:t>5</w:t>
      </w:r>
      <w:r w:rsidRPr="00B644BE">
        <w:rPr>
          <w:rFonts w:cs="Calibri"/>
          <w:noProof/>
          <w:lang w:val="sq-AL"/>
        </w:rPr>
        <w:t>.</w:t>
      </w:r>
    </w:p>
    <w:p w14:paraId="251ABB93" w14:textId="77777777" w:rsidR="00B966EF" w:rsidRPr="00B644BE" w:rsidRDefault="00B966EF" w:rsidP="00B966EF">
      <w:pPr>
        <w:spacing w:line="240" w:lineRule="auto"/>
        <w:ind w:firstLine="720"/>
        <w:rPr>
          <w:rFonts w:cs="Calibri"/>
          <w:b/>
          <w:i/>
          <w:noProof/>
          <w:lang w:val="sq-AL"/>
        </w:rPr>
      </w:pPr>
      <w:r w:rsidRPr="00B644BE">
        <w:rPr>
          <w:rFonts w:cs="Calibri"/>
          <w:b/>
          <w:i/>
          <w:noProof/>
          <w:lang w:val="sq-AL"/>
        </w:rPr>
        <w:t>Përcaktimi ligjor (1):</w:t>
      </w:r>
    </w:p>
    <w:p w14:paraId="0D9AAA8E" w14:textId="77777777" w:rsidR="00B966EF" w:rsidRPr="00B644BE" w:rsidRDefault="00B966EF" w:rsidP="00B966EF">
      <w:pPr>
        <w:spacing w:before="0" w:after="120" w:line="240" w:lineRule="auto"/>
        <w:rPr>
          <w:rFonts w:cs="Calibri"/>
          <w:noProof/>
          <w:lang w:val="sq-AL"/>
        </w:rPr>
      </w:pPr>
      <w:r w:rsidRPr="00B644BE">
        <w:rPr>
          <w:rFonts w:cs="Calibri"/>
          <w:noProof/>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qendrojë poshtë nivelit 45% të PBB.</w:t>
      </w:r>
    </w:p>
    <w:p w14:paraId="018DCD40" w14:textId="77777777" w:rsidR="00B966EF" w:rsidRPr="00B644BE" w:rsidRDefault="00B966EF" w:rsidP="00B966EF">
      <w:pPr>
        <w:spacing w:line="240" w:lineRule="auto"/>
        <w:ind w:firstLine="720"/>
        <w:rPr>
          <w:rFonts w:cs="Calibri"/>
          <w:i/>
          <w:noProof/>
          <w:lang w:val="sq-AL"/>
        </w:rPr>
      </w:pPr>
      <w:r w:rsidRPr="00B644BE">
        <w:rPr>
          <w:rFonts w:cs="Calibri"/>
          <w:i/>
          <w:noProof/>
          <w:lang w:val="sq-AL"/>
        </w:rPr>
        <w:t>Zbatimi i ligjit (1):</w:t>
      </w:r>
    </w:p>
    <w:p w14:paraId="3E9846F9" w14:textId="076EDB7F" w:rsidR="00EE01ED" w:rsidRPr="00EE01ED" w:rsidRDefault="00B966EF" w:rsidP="00EE01ED">
      <w:pPr>
        <w:spacing w:before="0" w:line="240" w:lineRule="auto"/>
        <w:rPr>
          <w:rFonts w:cs="Calibri"/>
          <w:noProof/>
          <w:lang w:val="sq-AL"/>
        </w:rPr>
      </w:pPr>
      <w:r w:rsidRPr="00B644BE">
        <w:rPr>
          <w:rFonts w:cs="Calibri"/>
          <w:noProof/>
          <w:lang w:val="sq-AL"/>
        </w:rPr>
        <w:t>Ligji fillestar i buxhetit vjetor 202</w:t>
      </w:r>
      <w:r>
        <w:rPr>
          <w:rFonts w:cs="Calibri"/>
          <w:noProof/>
          <w:lang w:val="sq-AL"/>
        </w:rPr>
        <w:t>5</w:t>
      </w:r>
      <w:r w:rsidRPr="00B644BE">
        <w:rPr>
          <w:rFonts w:cs="Calibri"/>
          <w:noProof/>
          <w:lang w:val="sq-AL"/>
        </w:rPr>
        <w:t xml:space="preserve"> (Ligj nr.</w:t>
      </w:r>
      <w:r>
        <w:rPr>
          <w:rFonts w:cs="Calibri"/>
          <w:noProof/>
          <w:lang w:val="sq-AL"/>
        </w:rPr>
        <w:t>115</w:t>
      </w:r>
      <w:r w:rsidRPr="00B644BE">
        <w:rPr>
          <w:rFonts w:cs="Calibri"/>
          <w:noProof/>
          <w:lang w:val="sq-AL"/>
        </w:rPr>
        <w:t>/202</w:t>
      </w:r>
      <w:r>
        <w:rPr>
          <w:rFonts w:cs="Calibri"/>
          <w:noProof/>
          <w:lang w:val="sq-AL"/>
        </w:rPr>
        <w:t>4</w:t>
      </w:r>
      <w:r w:rsidRPr="00B644BE">
        <w:rPr>
          <w:rFonts w:cs="Calibri"/>
          <w:noProof/>
          <w:lang w:val="sq-AL"/>
        </w:rPr>
        <w:t xml:space="preserve"> datë </w:t>
      </w:r>
      <w:r>
        <w:rPr>
          <w:rFonts w:cs="Calibri"/>
          <w:noProof/>
          <w:lang w:val="sq-AL"/>
        </w:rPr>
        <w:t>3</w:t>
      </w:r>
      <w:r w:rsidRPr="00B644BE">
        <w:rPr>
          <w:rFonts w:cs="Calibri"/>
          <w:noProof/>
          <w:lang w:val="sq-AL"/>
        </w:rPr>
        <w:t>.1</w:t>
      </w:r>
      <w:r>
        <w:rPr>
          <w:rFonts w:cs="Calibri"/>
          <w:noProof/>
          <w:lang w:val="sq-AL"/>
        </w:rPr>
        <w:t>2</w:t>
      </w:r>
      <w:r w:rsidRPr="00B644BE">
        <w:rPr>
          <w:rFonts w:cs="Calibri"/>
          <w:noProof/>
          <w:lang w:val="sq-AL"/>
        </w:rPr>
        <w:t>.202</w:t>
      </w:r>
      <w:r>
        <w:rPr>
          <w:rFonts w:cs="Calibri"/>
          <w:noProof/>
          <w:lang w:val="sq-AL"/>
        </w:rPr>
        <w:t>4</w:t>
      </w:r>
      <w:r w:rsidRPr="00B644BE">
        <w:rPr>
          <w:rFonts w:cs="Calibri"/>
          <w:noProof/>
          <w:lang w:val="sq-AL"/>
        </w:rPr>
        <w:t>) ka qenë në përputhje të plotë me këtë përcaktim ligjor. Më specifikisht, raporti i borxhit ndaj PBB për vitin 202</w:t>
      </w:r>
      <w:r>
        <w:rPr>
          <w:rFonts w:cs="Calibri"/>
          <w:noProof/>
          <w:lang w:val="sq-AL"/>
        </w:rPr>
        <w:t>4</w:t>
      </w:r>
      <w:r w:rsidRPr="00B644BE">
        <w:rPr>
          <w:rFonts w:cs="Calibri"/>
          <w:noProof/>
          <w:lang w:val="sq-AL"/>
        </w:rPr>
        <w:t>, i vlerësuar në kohën e hartimit dhe miratimit të ligjit fillestar të buxhetit vjetor 202</w:t>
      </w:r>
      <w:r>
        <w:rPr>
          <w:rFonts w:cs="Calibri"/>
          <w:noProof/>
          <w:lang w:val="sq-AL"/>
        </w:rPr>
        <w:t>5</w:t>
      </w:r>
      <w:r w:rsidRPr="00B644BE">
        <w:rPr>
          <w:rFonts w:cs="Calibri"/>
          <w:noProof/>
          <w:lang w:val="sq-AL"/>
        </w:rPr>
        <w:t xml:space="preserve">, ishte </w:t>
      </w:r>
      <w:r>
        <w:rPr>
          <w:rFonts w:cs="Calibri"/>
          <w:noProof/>
          <w:lang w:val="sq-AL"/>
        </w:rPr>
        <w:t>55.2</w:t>
      </w:r>
      <w:r w:rsidRPr="00B644BE">
        <w:rPr>
          <w:rFonts w:cs="Calibri"/>
          <w:noProof/>
          <w:lang w:val="sq-AL"/>
        </w:rPr>
        <w:t>% e PBB</w:t>
      </w:r>
      <w:r>
        <w:rPr>
          <w:rFonts w:cs="Calibri"/>
          <w:noProof/>
          <w:lang w:val="sq-AL"/>
        </w:rPr>
        <w:t>-së</w:t>
      </w:r>
      <w:r w:rsidRPr="00B644BE">
        <w:rPr>
          <w:rFonts w:cs="Calibri"/>
          <w:noProof/>
          <w:lang w:val="sq-AL"/>
        </w:rPr>
        <w:t>. Ndërsa niveli i borxhit që planifikohej në ligjin fillestar të vitit 202</w:t>
      </w:r>
      <w:r>
        <w:rPr>
          <w:rFonts w:cs="Calibri"/>
          <w:noProof/>
          <w:lang w:val="sq-AL"/>
        </w:rPr>
        <w:t>5</w:t>
      </w:r>
      <w:r w:rsidRPr="00B644BE">
        <w:rPr>
          <w:rFonts w:cs="Calibri"/>
          <w:noProof/>
          <w:lang w:val="sq-AL"/>
        </w:rPr>
        <w:t xml:space="preserve"> ishte</w:t>
      </w:r>
      <w:r>
        <w:rPr>
          <w:rFonts w:cs="Calibri"/>
          <w:noProof/>
          <w:lang w:val="sq-AL"/>
        </w:rPr>
        <w:t xml:space="preserve"> 54.8</w:t>
      </w:r>
      <w:r w:rsidRPr="00B644BE">
        <w:rPr>
          <w:rFonts w:cs="Calibri"/>
          <w:noProof/>
          <w:lang w:val="sq-AL"/>
        </w:rPr>
        <w:t>% e PBB</w:t>
      </w:r>
      <w:r>
        <w:rPr>
          <w:rFonts w:cs="Calibri"/>
          <w:noProof/>
          <w:lang w:val="sq-AL"/>
        </w:rPr>
        <w:t>-së</w:t>
      </w:r>
      <w:r w:rsidRPr="00B644BE">
        <w:rPr>
          <w:rFonts w:cs="Calibri"/>
          <w:noProof/>
          <w:lang w:val="sq-AL"/>
        </w:rPr>
        <w:t>, pra më i ulët se sa niveli i vlerësuar për vitin 202</w:t>
      </w:r>
      <w:r>
        <w:rPr>
          <w:rFonts w:cs="Calibri"/>
          <w:noProof/>
          <w:lang w:val="sq-AL"/>
        </w:rPr>
        <w:t>4</w:t>
      </w:r>
      <w:r w:rsidRPr="00B644BE">
        <w:rPr>
          <w:rFonts w:cs="Calibri"/>
          <w:noProof/>
          <w:lang w:val="sq-AL"/>
        </w:rPr>
        <w:t>.</w:t>
      </w:r>
    </w:p>
    <w:p w14:paraId="3A826501" w14:textId="77777777" w:rsidR="00EE01ED" w:rsidRPr="00B644BE" w:rsidRDefault="00EE01ED" w:rsidP="00B966EF">
      <w:pPr>
        <w:pStyle w:val="ListParagraph"/>
        <w:spacing w:before="0" w:line="240" w:lineRule="auto"/>
        <w:ind w:left="0"/>
        <w:contextualSpacing w:val="0"/>
        <w:rPr>
          <w:rFonts w:cs="Calibri"/>
          <w:noProof/>
          <w:sz w:val="8"/>
          <w:szCs w:val="8"/>
          <w:lang w:val="sq-AL"/>
        </w:rPr>
      </w:pPr>
    </w:p>
    <w:p w14:paraId="763A242C" w14:textId="77777777" w:rsidR="00B966EF" w:rsidRPr="009C640A" w:rsidRDefault="00B966EF" w:rsidP="00B966EF">
      <w:pPr>
        <w:pStyle w:val="ListParagraph"/>
        <w:spacing w:before="0" w:after="120" w:line="240" w:lineRule="auto"/>
        <w:ind w:left="0"/>
        <w:contextualSpacing w:val="0"/>
        <w:rPr>
          <w:rFonts w:cs="Calibri"/>
          <w:noProof/>
          <w:lang w:val="sq-AL"/>
        </w:rPr>
      </w:pPr>
      <w:r w:rsidRPr="00B644BE">
        <w:rPr>
          <w:rFonts w:cs="Calibri"/>
          <w:noProof/>
          <w:lang w:val="sq-AL"/>
        </w:rPr>
        <w:t>Sa i takon vlerësimit të borxhit faktik gjatë vitit 202</w:t>
      </w:r>
      <w:r>
        <w:rPr>
          <w:rFonts w:cs="Calibri"/>
          <w:noProof/>
          <w:lang w:val="sq-AL"/>
        </w:rPr>
        <w:t>5</w:t>
      </w:r>
      <w:r w:rsidRPr="00B644BE">
        <w:rPr>
          <w:rFonts w:cs="Calibri"/>
          <w:noProof/>
          <w:lang w:val="sq-AL"/>
        </w:rPr>
        <w:t xml:space="preserve"> (</w:t>
      </w:r>
      <w:r w:rsidRPr="00B644BE">
        <w:rPr>
          <w:rFonts w:cs="Calibri"/>
          <w:i/>
          <w:noProof/>
          <w:lang w:val="sq-AL"/>
        </w:rPr>
        <w:t>sipas shifrave të disponueshme deri në momentin e hartimit të këtij raporti</w:t>
      </w:r>
      <w:r w:rsidRPr="00B644BE">
        <w:rPr>
          <w:rFonts w:cs="Calibri"/>
          <w:noProof/>
          <w:lang w:val="sq-AL"/>
        </w:rPr>
        <w:t>) ai rezulton 5</w:t>
      </w:r>
      <w:r>
        <w:rPr>
          <w:rFonts w:cs="Calibri"/>
          <w:noProof/>
          <w:lang w:val="sq-AL"/>
        </w:rPr>
        <w:t>2.9</w:t>
      </w:r>
      <w:r w:rsidRPr="00B644BE">
        <w:rPr>
          <w:rFonts w:cs="Calibri"/>
          <w:noProof/>
          <w:lang w:val="sq-AL"/>
        </w:rPr>
        <w:t xml:space="preserve">% e PBB. Kjo konsiston në një rënie prej </w:t>
      </w:r>
      <w:r>
        <w:rPr>
          <w:rFonts w:cs="Calibri"/>
          <w:noProof/>
          <w:lang w:val="sq-AL"/>
        </w:rPr>
        <w:t xml:space="preserve">1.3 </w:t>
      </w:r>
      <w:r w:rsidRPr="00B644BE">
        <w:rPr>
          <w:rFonts w:cs="Calibri"/>
          <w:noProof/>
          <w:lang w:val="sq-AL"/>
        </w:rPr>
        <w:t xml:space="preserve">pp të borxhit publik total nga niveli faktik prej </w:t>
      </w:r>
      <w:r>
        <w:rPr>
          <w:rFonts w:cs="Calibri"/>
          <w:noProof/>
          <w:lang w:val="sq-AL"/>
        </w:rPr>
        <w:t>54.2</w:t>
      </w:r>
      <w:r w:rsidRPr="00B644BE">
        <w:rPr>
          <w:rFonts w:cs="Calibri"/>
          <w:noProof/>
          <w:lang w:val="sq-AL"/>
        </w:rPr>
        <w:t>% që ishte në 202</w:t>
      </w:r>
      <w:r>
        <w:rPr>
          <w:rFonts w:cs="Calibri"/>
          <w:noProof/>
          <w:lang w:val="sq-AL"/>
        </w:rPr>
        <w:t>4</w:t>
      </w:r>
      <w:r w:rsidRPr="00B644BE">
        <w:rPr>
          <w:rFonts w:cs="Calibri"/>
          <w:noProof/>
          <w:lang w:val="sq-AL"/>
        </w:rPr>
        <w:t xml:space="preserve">. Ndёrsa, nёse nё konsideratё do të merrej treguesi i borxhit publik total </w:t>
      </w:r>
      <w:r w:rsidRPr="00B644BE">
        <w:rPr>
          <w:rFonts w:cs="Calibri"/>
          <w:i/>
          <w:noProof/>
          <w:lang w:val="sq-AL"/>
        </w:rPr>
        <w:t>neto</w:t>
      </w:r>
      <w:r w:rsidRPr="00B644BE">
        <w:rPr>
          <w:rFonts w:cs="Calibri"/>
          <w:noProof/>
          <w:lang w:val="sq-AL"/>
        </w:rPr>
        <w:t xml:space="preserve"> nga gjendja e depozitёs sё Qeverisё nё Bankёn e Shqipёrisё (Llogarisё Unike tё thesarit), atёherё rënia e borxhit sipas kёtij treguesi (</w:t>
      </w:r>
      <w:r w:rsidRPr="00B644BE">
        <w:rPr>
          <w:rFonts w:cs="Calibri"/>
          <w:i/>
          <w:noProof/>
          <w:lang w:val="sq-AL"/>
        </w:rPr>
        <w:t>borxhi neto</w:t>
      </w:r>
      <w:r w:rsidRPr="00B644BE">
        <w:rPr>
          <w:rFonts w:cs="Calibri"/>
          <w:noProof/>
          <w:lang w:val="sq-AL"/>
        </w:rPr>
        <w:t xml:space="preserve">) rezulton me </w:t>
      </w:r>
      <w:r>
        <w:rPr>
          <w:rFonts w:cs="Calibri"/>
          <w:noProof/>
          <w:lang w:val="sq-AL"/>
        </w:rPr>
        <w:t xml:space="preserve">1.3 </w:t>
      </w:r>
      <w:r w:rsidRPr="00B644BE">
        <w:rPr>
          <w:rFonts w:cs="Calibri"/>
          <w:noProof/>
          <w:lang w:val="sq-AL"/>
        </w:rPr>
        <w:t xml:space="preserve">pp, nga </w:t>
      </w:r>
      <w:r>
        <w:rPr>
          <w:rFonts w:cs="Calibri"/>
          <w:noProof/>
          <w:lang w:val="sq-AL"/>
        </w:rPr>
        <w:t>51.9</w:t>
      </w:r>
      <w:r w:rsidRPr="00B644BE">
        <w:rPr>
          <w:rFonts w:cs="Calibri"/>
          <w:noProof/>
          <w:lang w:val="sq-AL"/>
        </w:rPr>
        <w:t>% nё 202</w:t>
      </w:r>
      <w:r>
        <w:rPr>
          <w:rFonts w:cs="Calibri"/>
          <w:noProof/>
          <w:lang w:val="sq-AL"/>
        </w:rPr>
        <w:t>4</w:t>
      </w:r>
      <w:r w:rsidRPr="00B644BE">
        <w:rPr>
          <w:rFonts w:cs="Calibri"/>
          <w:noProof/>
          <w:lang w:val="sq-AL"/>
        </w:rPr>
        <w:t xml:space="preserve"> nё 5</w:t>
      </w:r>
      <w:r>
        <w:rPr>
          <w:rFonts w:cs="Calibri"/>
          <w:noProof/>
          <w:lang w:val="sq-AL"/>
        </w:rPr>
        <w:t>0.7</w:t>
      </w:r>
      <w:r w:rsidRPr="00B644BE">
        <w:rPr>
          <w:rFonts w:cs="Calibri"/>
          <w:noProof/>
          <w:lang w:val="sq-AL"/>
        </w:rPr>
        <w:t>% nё 202</w:t>
      </w:r>
      <w:r>
        <w:rPr>
          <w:rFonts w:cs="Calibri"/>
          <w:noProof/>
          <w:lang w:val="sq-AL"/>
        </w:rPr>
        <w:t>5</w:t>
      </w:r>
      <w:r w:rsidRPr="00B644BE">
        <w:rPr>
          <w:rFonts w:cs="Calibri"/>
          <w:noProof/>
          <w:lang w:val="sq-AL"/>
        </w:rPr>
        <w:t>.</w:t>
      </w:r>
    </w:p>
    <w:p w14:paraId="2F8A9CAE" w14:textId="77777777" w:rsidR="00B966EF" w:rsidRPr="00EC5D51" w:rsidRDefault="00B966EF" w:rsidP="00B966EF">
      <w:pPr>
        <w:spacing w:line="240" w:lineRule="auto"/>
        <w:rPr>
          <w:rFonts w:cs="Calibri"/>
          <w:b/>
          <w:i/>
          <w:noProof/>
          <w:sz w:val="8"/>
          <w:szCs w:val="8"/>
          <w:lang w:val="sq-AL"/>
        </w:rPr>
      </w:pPr>
    </w:p>
    <w:p w14:paraId="73A979E1" w14:textId="77777777" w:rsidR="00B966EF" w:rsidRPr="00B644BE" w:rsidRDefault="00B966EF" w:rsidP="00B966EF">
      <w:pPr>
        <w:pStyle w:val="ListParagraph"/>
        <w:spacing w:line="240" w:lineRule="auto"/>
        <w:ind w:left="0" w:firstLine="720"/>
        <w:contextualSpacing w:val="0"/>
        <w:rPr>
          <w:rFonts w:cs="Calibri"/>
          <w:b/>
          <w:i/>
          <w:noProof/>
          <w:lang w:val="sq-AL"/>
        </w:rPr>
      </w:pPr>
      <w:r w:rsidRPr="00B644BE">
        <w:rPr>
          <w:rFonts w:cs="Calibri"/>
          <w:b/>
          <w:i/>
          <w:noProof/>
          <w:lang w:val="sq-AL"/>
        </w:rPr>
        <w:t>Përcaktimi ligjor (2):</w:t>
      </w:r>
    </w:p>
    <w:p w14:paraId="47B58F32" w14:textId="77777777" w:rsidR="00B966EF" w:rsidRPr="00B644BE" w:rsidRDefault="00B966EF" w:rsidP="00B966EF">
      <w:pPr>
        <w:spacing w:before="0" w:after="120" w:line="240" w:lineRule="auto"/>
        <w:rPr>
          <w:rFonts w:cs="Calibri"/>
          <w:noProof/>
          <w:lang w:val="sq-AL"/>
        </w:rPr>
      </w:pPr>
      <w:r w:rsidRPr="00B644BE">
        <w:rPr>
          <w:rFonts w:cs="Calibri"/>
          <w:noProof/>
          <w:lang w:val="sq-AL"/>
        </w:rPr>
        <w:t>Neni 4/1, pika (1.b) i LOB përcakton që përjashtim nga sanksionet e pikës së mësipërme të këtij neni (pikës ''a'') mund të bëhet vetëm në rastet e rrethanave të jashtëzakonshme, të përcaktuara në nenin 4/4 të këtij LOB.</w:t>
      </w:r>
    </w:p>
    <w:p w14:paraId="1B433EB8" w14:textId="77777777" w:rsidR="00B966EF" w:rsidRPr="00B644BE" w:rsidRDefault="00B966EF" w:rsidP="00B966EF">
      <w:pPr>
        <w:spacing w:line="240" w:lineRule="auto"/>
        <w:ind w:firstLine="720"/>
        <w:contextualSpacing/>
        <w:rPr>
          <w:rFonts w:cs="Calibri"/>
          <w:i/>
          <w:noProof/>
          <w:lang w:val="sq-AL"/>
        </w:rPr>
      </w:pPr>
      <w:r w:rsidRPr="00B644BE">
        <w:rPr>
          <w:rFonts w:cs="Calibri"/>
          <w:i/>
          <w:noProof/>
          <w:lang w:val="sq-AL"/>
        </w:rPr>
        <w:t>Zbatimi i ligjit (2):</w:t>
      </w:r>
    </w:p>
    <w:p w14:paraId="7DC9CC3E" w14:textId="77777777" w:rsidR="00B966EF" w:rsidRPr="00B644BE" w:rsidRDefault="00B966EF" w:rsidP="00B966EF">
      <w:pPr>
        <w:pStyle w:val="ListParagraph"/>
        <w:spacing w:before="0" w:after="120" w:line="240" w:lineRule="auto"/>
        <w:ind w:left="0"/>
        <w:contextualSpacing w:val="0"/>
        <w:rPr>
          <w:rFonts w:cs="Calibri"/>
          <w:noProof/>
          <w:lang w:val="sq-AL"/>
        </w:rPr>
      </w:pPr>
      <w:r w:rsidRPr="00B644BE">
        <w:rPr>
          <w:rFonts w:cs="Calibri"/>
          <w:noProof/>
          <w:lang w:val="sq-AL"/>
        </w:rPr>
        <w:t>Gjatë vitit 202</w:t>
      </w:r>
      <w:r>
        <w:rPr>
          <w:rFonts w:cs="Calibri"/>
          <w:noProof/>
          <w:lang w:val="sq-AL"/>
        </w:rPr>
        <w:t>5</w:t>
      </w:r>
      <w:r w:rsidRPr="00B644BE">
        <w:rPr>
          <w:rFonts w:cs="Calibri"/>
          <w:noProof/>
          <w:lang w:val="sq-AL"/>
        </w:rPr>
        <w:t xml:space="preserve"> nuk ka qenë rasti i aplikimit të kësaj klauzole përjashtuese.</w:t>
      </w:r>
    </w:p>
    <w:p w14:paraId="41AD5797" w14:textId="77777777" w:rsidR="00B966EF" w:rsidRPr="00B644BE" w:rsidRDefault="00B966EF" w:rsidP="00B966EF">
      <w:pPr>
        <w:pStyle w:val="ListParagraph"/>
        <w:spacing w:line="240" w:lineRule="auto"/>
        <w:ind w:left="0" w:firstLine="720"/>
        <w:contextualSpacing w:val="0"/>
        <w:rPr>
          <w:rFonts w:cs="Calibri"/>
          <w:b/>
          <w:i/>
          <w:noProof/>
          <w:sz w:val="8"/>
          <w:szCs w:val="8"/>
          <w:lang w:val="sq-AL"/>
        </w:rPr>
      </w:pPr>
    </w:p>
    <w:p w14:paraId="32061971" w14:textId="77777777" w:rsidR="00B966EF" w:rsidRPr="00B644BE" w:rsidRDefault="00B966EF" w:rsidP="00B966EF">
      <w:pPr>
        <w:pStyle w:val="ListParagraph"/>
        <w:spacing w:line="240" w:lineRule="auto"/>
        <w:ind w:left="0" w:firstLine="720"/>
        <w:contextualSpacing w:val="0"/>
        <w:rPr>
          <w:rFonts w:cs="Calibri"/>
          <w:b/>
          <w:i/>
          <w:noProof/>
          <w:lang w:val="sq-AL"/>
        </w:rPr>
      </w:pPr>
      <w:r w:rsidRPr="008A3E24">
        <w:rPr>
          <w:rFonts w:cs="Calibri"/>
          <w:b/>
          <w:i/>
          <w:noProof/>
          <w:lang w:val="sq-AL"/>
        </w:rPr>
        <w:t>Përcaktimi ligjor (3):</w:t>
      </w:r>
    </w:p>
    <w:p w14:paraId="2F0AD8DF" w14:textId="17AA2ADD" w:rsidR="00B966EF" w:rsidRPr="00B644BE" w:rsidRDefault="00B966EF" w:rsidP="00B966EF">
      <w:pPr>
        <w:spacing w:before="0" w:after="120" w:line="240" w:lineRule="auto"/>
        <w:rPr>
          <w:rFonts w:cs="Calibri"/>
          <w:noProof/>
          <w:color w:val="7CCA62"/>
          <w:lang w:val="sq-AL"/>
        </w:rPr>
      </w:pPr>
      <w:r w:rsidRPr="00B644BE">
        <w:rPr>
          <w:rFonts w:cs="Calibri"/>
          <w:noProof/>
          <w:lang w:val="sq-AL"/>
        </w:rPr>
        <w:t>Neni 4/1, pika (1.c) i LOB sanksionon që vlera e Produktit të Brendshëm Bruto, nominale në LEK, e cila do të përdoret për llogaritjen e raportit të borxhit publik ndaj PBB për vitet buxhetore që planifikohen dhe vitin pararendës, nuk mund të jetë më e lartë se vlera respektive e parashikuar ose vlerësuar në raportin “Perspektiva Ekonomike Botërore” (</w:t>
      </w:r>
      <w:r w:rsidR="009C7207">
        <w:rPr>
          <w:rFonts w:cs="Calibri"/>
          <w:i/>
          <w:noProof/>
          <w:sz w:val="20"/>
          <w:lang w:val="sq-AL"/>
        </w:rPr>
        <w:t>W</w:t>
      </w:r>
      <w:r w:rsidRPr="00B644BE">
        <w:rPr>
          <w:rFonts w:cs="Calibri"/>
          <w:i/>
          <w:noProof/>
          <w:sz w:val="20"/>
          <w:lang w:val="sq-AL"/>
        </w:rPr>
        <w:t>orld Economic Outlook</w:t>
      </w:r>
      <w:r w:rsidRPr="00B644BE">
        <w:rPr>
          <w:rFonts w:cs="Calibri"/>
          <w:noProof/>
          <w:lang w:val="sq-AL"/>
        </w:rPr>
        <w:t>) të Fondit Monetar Ndërkombëtar, më i fundit i publikuar në kohën kur ligji vjetor i buxhetit dorëzohet për miratim në Kuvend. Kjo dokumentohet qartësisht në relacionin shoqërues të ligjit vjetor të buxhetit.</w:t>
      </w:r>
      <w:r w:rsidRPr="00B644BE">
        <w:rPr>
          <w:rFonts w:cs="Calibri"/>
          <w:noProof/>
          <w:color w:val="7CCA62"/>
          <w:lang w:val="sq-AL"/>
        </w:rPr>
        <w:t xml:space="preserve"> </w:t>
      </w:r>
    </w:p>
    <w:p w14:paraId="4E2EAE2A" w14:textId="77777777" w:rsidR="00B966EF" w:rsidRPr="00F26623" w:rsidRDefault="00B966EF" w:rsidP="00B966EF">
      <w:pPr>
        <w:spacing w:line="240" w:lineRule="auto"/>
        <w:ind w:firstLine="720"/>
        <w:rPr>
          <w:rFonts w:cs="Calibri"/>
          <w:i/>
          <w:noProof/>
          <w:lang w:val="sq-AL"/>
        </w:rPr>
      </w:pPr>
      <w:r w:rsidRPr="00777F10">
        <w:rPr>
          <w:rFonts w:cs="Calibri"/>
          <w:i/>
          <w:noProof/>
          <w:lang w:val="sq-AL"/>
        </w:rPr>
        <w:t>Zbatimi i ligjit (3):</w:t>
      </w:r>
    </w:p>
    <w:p w14:paraId="6FDC6236" w14:textId="77777777" w:rsidR="00B966EF" w:rsidRPr="00777F10" w:rsidRDefault="00B966EF" w:rsidP="00B966EF">
      <w:pPr>
        <w:spacing w:before="0" w:line="240" w:lineRule="auto"/>
        <w:rPr>
          <w:rFonts w:cs="Calibri"/>
          <w:noProof/>
          <w:lang w:val="sq-AL"/>
        </w:rPr>
      </w:pPr>
      <w:r w:rsidRPr="00777F10">
        <w:rPr>
          <w:rFonts w:cs="Calibri"/>
          <w:noProof/>
          <w:lang w:val="sq-AL"/>
        </w:rPr>
        <w:t xml:space="preserve">Çdo ligj vjetor i buxhetit 2025 hartuar dhe miratuar për vitin 2025 (ligj fillestar ose i ndryshuar) ka qenë në përputhje të plotë me përcaktimet ligjore të LOB. </w:t>
      </w:r>
    </w:p>
    <w:p w14:paraId="74B0B377" w14:textId="53D96CDB" w:rsidR="00B966EF" w:rsidRPr="00F26623" w:rsidRDefault="00B966EF" w:rsidP="00B966EF">
      <w:pPr>
        <w:spacing w:before="0" w:line="240" w:lineRule="auto"/>
        <w:rPr>
          <w:rFonts w:cs="Calibri"/>
          <w:i/>
          <w:noProof/>
          <w:sz w:val="18"/>
          <w:szCs w:val="18"/>
          <w:lang w:val="sq-AL"/>
        </w:rPr>
      </w:pPr>
      <w:r w:rsidRPr="00777F10">
        <w:rPr>
          <w:rFonts w:cs="Calibri"/>
          <w:b/>
          <w:bCs/>
          <w:i/>
          <w:noProof/>
          <w:sz w:val="18"/>
          <w:szCs w:val="18"/>
          <w:u w:val="single"/>
          <w:lang w:val="sq-AL"/>
        </w:rPr>
        <w:t>Shënim:</w:t>
      </w:r>
      <w:r w:rsidRPr="00777F10">
        <w:rPr>
          <w:rFonts w:cs="Calibri"/>
          <w:i/>
          <w:noProof/>
          <w:sz w:val="18"/>
          <w:szCs w:val="18"/>
          <w:lang w:val="sq-AL"/>
        </w:rPr>
        <w:t xml:space="preserve"> </w:t>
      </w:r>
      <w:r w:rsidRPr="00F26623">
        <w:rPr>
          <w:rFonts w:cs="Calibri"/>
          <w:i/>
          <w:noProof/>
          <w:sz w:val="18"/>
          <w:szCs w:val="18"/>
          <w:lang w:val="sq-AL"/>
        </w:rPr>
        <w:t xml:space="preserve">Në </w:t>
      </w:r>
      <w:r>
        <w:rPr>
          <w:rFonts w:cs="Calibri"/>
          <w:i/>
          <w:noProof/>
          <w:sz w:val="18"/>
          <w:szCs w:val="18"/>
          <w:lang w:val="sq-AL"/>
        </w:rPr>
        <w:t>l</w:t>
      </w:r>
      <w:r w:rsidRPr="00F26623">
        <w:rPr>
          <w:rFonts w:cs="Calibri"/>
          <w:i/>
          <w:noProof/>
          <w:sz w:val="18"/>
          <w:szCs w:val="18"/>
          <w:lang w:val="sq-AL"/>
        </w:rPr>
        <w:t>igji</w:t>
      </w:r>
      <w:r>
        <w:rPr>
          <w:rFonts w:cs="Calibri"/>
          <w:i/>
          <w:noProof/>
          <w:sz w:val="18"/>
          <w:szCs w:val="18"/>
          <w:lang w:val="sq-AL"/>
        </w:rPr>
        <w:t>n e</w:t>
      </w:r>
      <w:r w:rsidRPr="00F26623">
        <w:rPr>
          <w:rFonts w:cs="Calibri"/>
          <w:i/>
          <w:noProof/>
          <w:sz w:val="18"/>
          <w:szCs w:val="18"/>
          <w:lang w:val="sq-AL"/>
        </w:rPr>
        <w:t xml:space="preserve"> buxhetit 2025</w:t>
      </w:r>
      <w:r>
        <w:rPr>
          <w:rFonts w:cs="Calibri"/>
          <w:i/>
          <w:noProof/>
          <w:sz w:val="18"/>
          <w:szCs w:val="18"/>
          <w:lang w:val="sq-AL"/>
        </w:rPr>
        <w:t>,</w:t>
      </w:r>
      <w:r w:rsidRPr="00F26623">
        <w:rPr>
          <w:rFonts w:cs="Calibri"/>
          <w:i/>
          <w:noProof/>
          <w:sz w:val="18"/>
          <w:szCs w:val="18"/>
          <w:lang w:val="sq-AL"/>
        </w:rPr>
        <w:t xml:space="preserve"> si vlera referenc</w:t>
      </w:r>
      <w:r>
        <w:rPr>
          <w:rFonts w:cs="Calibri"/>
          <w:i/>
          <w:noProof/>
          <w:sz w:val="18"/>
          <w:szCs w:val="18"/>
          <w:lang w:val="sq-AL"/>
        </w:rPr>
        <w:t>ë</w:t>
      </w:r>
      <w:r w:rsidRPr="00F26623">
        <w:rPr>
          <w:rFonts w:cs="Calibri"/>
          <w:i/>
          <w:noProof/>
          <w:sz w:val="18"/>
          <w:szCs w:val="18"/>
          <w:lang w:val="sq-AL"/>
        </w:rPr>
        <w:t xml:space="preserve"> </w:t>
      </w:r>
      <w:r>
        <w:rPr>
          <w:rFonts w:cs="Calibri"/>
          <w:i/>
          <w:noProof/>
          <w:sz w:val="18"/>
          <w:szCs w:val="18"/>
          <w:lang w:val="sq-AL"/>
        </w:rPr>
        <w:t>për p</w:t>
      </w:r>
      <w:r w:rsidRPr="00F26623">
        <w:rPr>
          <w:rFonts w:cs="Calibri"/>
          <w:i/>
          <w:noProof/>
          <w:sz w:val="18"/>
          <w:szCs w:val="18"/>
          <w:lang w:val="sq-AL"/>
        </w:rPr>
        <w:t>rojeksion</w:t>
      </w:r>
      <w:r>
        <w:rPr>
          <w:rFonts w:cs="Calibri"/>
          <w:i/>
          <w:noProof/>
          <w:sz w:val="18"/>
          <w:szCs w:val="18"/>
          <w:lang w:val="sq-AL"/>
        </w:rPr>
        <w:t>et e</w:t>
      </w:r>
      <w:r w:rsidRPr="00F26623">
        <w:rPr>
          <w:rFonts w:cs="Calibri"/>
          <w:i/>
          <w:noProof/>
          <w:sz w:val="18"/>
          <w:szCs w:val="18"/>
          <w:lang w:val="sq-AL"/>
        </w:rPr>
        <w:t xml:space="preserve"> FMN</w:t>
      </w:r>
      <w:r>
        <w:rPr>
          <w:rFonts w:cs="Calibri"/>
          <w:i/>
          <w:noProof/>
          <w:sz w:val="18"/>
          <w:szCs w:val="18"/>
          <w:lang w:val="sq-AL"/>
        </w:rPr>
        <w:t>-së</w:t>
      </w:r>
      <w:r w:rsidRPr="00F26623">
        <w:rPr>
          <w:rFonts w:cs="Calibri"/>
          <w:i/>
          <w:noProof/>
          <w:sz w:val="18"/>
          <w:szCs w:val="18"/>
          <w:lang w:val="sq-AL"/>
        </w:rPr>
        <w:t xml:space="preserve"> jan</w:t>
      </w:r>
      <w:r>
        <w:rPr>
          <w:rFonts w:cs="Calibri"/>
          <w:i/>
          <w:noProof/>
          <w:sz w:val="18"/>
          <w:szCs w:val="18"/>
          <w:lang w:val="sq-AL"/>
        </w:rPr>
        <w:t>ë</w:t>
      </w:r>
      <w:r w:rsidRPr="00F26623">
        <w:rPr>
          <w:rFonts w:cs="Calibri"/>
          <w:i/>
          <w:noProof/>
          <w:sz w:val="18"/>
          <w:szCs w:val="18"/>
          <w:lang w:val="sq-AL"/>
        </w:rPr>
        <w:t xml:space="preserve"> </w:t>
      </w:r>
      <w:r>
        <w:rPr>
          <w:rFonts w:cs="Calibri"/>
          <w:i/>
          <w:noProof/>
          <w:sz w:val="18"/>
          <w:szCs w:val="18"/>
          <w:lang w:val="sq-AL"/>
        </w:rPr>
        <w:t>përdorur</w:t>
      </w:r>
      <w:r w:rsidRPr="00F26623">
        <w:rPr>
          <w:rFonts w:cs="Calibri"/>
          <w:i/>
          <w:noProof/>
          <w:sz w:val="18"/>
          <w:szCs w:val="18"/>
          <w:lang w:val="sq-AL"/>
        </w:rPr>
        <w:t xml:space="preserve"> projeksionet më të fundit dhe të përshtatshme të FMN-së</w:t>
      </w:r>
      <w:r>
        <w:rPr>
          <w:rFonts w:cs="Calibri"/>
          <w:i/>
          <w:noProof/>
          <w:sz w:val="18"/>
          <w:szCs w:val="18"/>
          <w:lang w:val="sq-AL"/>
        </w:rPr>
        <w:t xml:space="preserve">, të </w:t>
      </w:r>
      <w:r w:rsidRPr="00F26623">
        <w:rPr>
          <w:rFonts w:cs="Calibri"/>
          <w:i/>
          <w:noProof/>
          <w:sz w:val="18"/>
          <w:szCs w:val="18"/>
          <w:lang w:val="sq-AL"/>
        </w:rPr>
        <w:t>dërgua</w:t>
      </w:r>
      <w:r>
        <w:rPr>
          <w:rFonts w:cs="Calibri"/>
          <w:i/>
          <w:noProof/>
          <w:sz w:val="18"/>
          <w:szCs w:val="18"/>
          <w:lang w:val="sq-AL"/>
        </w:rPr>
        <w:t>ra</w:t>
      </w:r>
      <w:r w:rsidRPr="00F26623">
        <w:rPr>
          <w:rFonts w:cs="Calibri"/>
          <w:i/>
          <w:noProof/>
          <w:sz w:val="18"/>
          <w:szCs w:val="18"/>
          <w:lang w:val="sq-AL"/>
        </w:rPr>
        <w:t xml:space="preserve"> zyrtarisht Ministri</w:t>
      </w:r>
      <w:r>
        <w:rPr>
          <w:rFonts w:cs="Calibri"/>
          <w:i/>
          <w:noProof/>
          <w:sz w:val="18"/>
          <w:szCs w:val="18"/>
          <w:lang w:val="sq-AL"/>
        </w:rPr>
        <w:t>s</w:t>
      </w:r>
      <w:r w:rsidRPr="00F26623">
        <w:rPr>
          <w:rFonts w:cs="Calibri"/>
          <w:i/>
          <w:noProof/>
          <w:sz w:val="18"/>
          <w:szCs w:val="18"/>
          <w:lang w:val="sq-AL"/>
        </w:rPr>
        <w:t xml:space="preserve">ë </w:t>
      </w:r>
      <w:r>
        <w:rPr>
          <w:rFonts w:cs="Calibri"/>
          <w:i/>
          <w:noProof/>
          <w:sz w:val="18"/>
          <w:szCs w:val="18"/>
          <w:lang w:val="sq-AL"/>
        </w:rPr>
        <w:t>së</w:t>
      </w:r>
      <w:r w:rsidRPr="00F26623">
        <w:rPr>
          <w:rFonts w:cs="Calibri"/>
          <w:i/>
          <w:noProof/>
          <w:sz w:val="18"/>
          <w:szCs w:val="18"/>
          <w:lang w:val="sq-AL"/>
        </w:rPr>
        <w:t xml:space="preserve"> Financave më 9 tetor 2024.</w:t>
      </w:r>
      <w:r>
        <w:rPr>
          <w:rFonts w:cs="Calibri"/>
          <w:i/>
          <w:noProof/>
          <w:sz w:val="18"/>
          <w:szCs w:val="18"/>
          <w:lang w:val="sq-AL"/>
        </w:rPr>
        <w:t xml:space="preserve"> </w:t>
      </w:r>
      <w:r w:rsidRPr="00F26623">
        <w:rPr>
          <w:rFonts w:cs="Calibri"/>
          <w:i/>
          <w:noProof/>
          <w:sz w:val="18"/>
          <w:szCs w:val="18"/>
          <w:lang w:val="sq-AL"/>
        </w:rPr>
        <w:t xml:space="preserve">Kjo qasje u adoptua </w:t>
      </w:r>
      <w:r>
        <w:rPr>
          <w:rFonts w:cs="Calibri"/>
          <w:i/>
          <w:noProof/>
          <w:sz w:val="18"/>
          <w:szCs w:val="18"/>
          <w:lang w:val="sq-AL"/>
        </w:rPr>
        <w:t xml:space="preserve">pasi </w:t>
      </w:r>
      <w:r w:rsidRPr="00F26623">
        <w:rPr>
          <w:rFonts w:cs="Calibri"/>
          <w:i/>
          <w:noProof/>
          <w:sz w:val="18"/>
          <w:szCs w:val="18"/>
          <w:lang w:val="sq-AL"/>
        </w:rPr>
        <w:t>projeksionet e FMN-së për Raportin "Perspektiva Ekonomike Botërore" (</w:t>
      </w:r>
      <w:r w:rsidR="001824B9">
        <w:rPr>
          <w:rFonts w:cs="Calibri"/>
          <w:i/>
          <w:noProof/>
          <w:sz w:val="18"/>
          <w:szCs w:val="18"/>
          <w:lang w:val="sq-AL"/>
        </w:rPr>
        <w:t>W</w:t>
      </w:r>
      <w:r w:rsidRPr="00F26623">
        <w:rPr>
          <w:rFonts w:cs="Calibri"/>
          <w:i/>
          <w:noProof/>
          <w:sz w:val="18"/>
          <w:szCs w:val="18"/>
          <w:lang w:val="sq-AL"/>
        </w:rPr>
        <w:t xml:space="preserve">orld Economic Outlook - </w:t>
      </w:r>
      <w:r w:rsidR="001824B9">
        <w:rPr>
          <w:rFonts w:cs="Calibri"/>
          <w:i/>
          <w:noProof/>
          <w:sz w:val="18"/>
          <w:szCs w:val="18"/>
          <w:lang w:val="sq-AL"/>
        </w:rPr>
        <w:t>W</w:t>
      </w:r>
      <w:r w:rsidRPr="00F26623">
        <w:rPr>
          <w:rFonts w:cs="Calibri"/>
          <w:i/>
          <w:noProof/>
          <w:sz w:val="18"/>
          <w:szCs w:val="18"/>
          <w:lang w:val="sq-AL"/>
        </w:rPr>
        <w:t>EO</w:t>
      </w:r>
      <w:r w:rsidRPr="00777F10">
        <w:rPr>
          <w:rStyle w:val="FootnoteReference"/>
          <w:rFonts w:cs="Calibri"/>
          <w:i/>
          <w:noProof/>
          <w:sz w:val="18"/>
          <w:szCs w:val="18"/>
          <w:lang w:val="sq-AL"/>
        </w:rPr>
        <w:footnoteReference w:id="5"/>
      </w:r>
      <w:r w:rsidRPr="00F26623">
        <w:rPr>
          <w:rFonts w:cs="Calibri"/>
          <w:i/>
          <w:noProof/>
          <w:sz w:val="18"/>
          <w:szCs w:val="18"/>
          <w:lang w:val="sq-AL"/>
        </w:rPr>
        <w:t>) të tetorit 2024 ishin finalizuar përpara</w:t>
      </w:r>
      <w:r>
        <w:rPr>
          <w:rFonts w:cs="Calibri"/>
          <w:i/>
          <w:noProof/>
          <w:sz w:val="18"/>
          <w:szCs w:val="18"/>
          <w:lang w:val="sq-AL"/>
        </w:rPr>
        <w:t xml:space="preserve"> publikimit nga </w:t>
      </w:r>
      <w:r w:rsidRPr="00F26623">
        <w:rPr>
          <w:rFonts w:cs="Calibri"/>
          <w:i/>
          <w:noProof/>
          <w:sz w:val="18"/>
          <w:szCs w:val="18"/>
          <w:lang w:val="sq-AL"/>
        </w:rPr>
        <w:t>Instituti i Statistikave (INSTAT)</w:t>
      </w:r>
      <w:r>
        <w:rPr>
          <w:rFonts w:cs="Calibri"/>
          <w:i/>
          <w:noProof/>
          <w:sz w:val="18"/>
          <w:szCs w:val="18"/>
          <w:lang w:val="sq-AL"/>
        </w:rPr>
        <w:t>,</w:t>
      </w:r>
      <w:r w:rsidRPr="00F26623">
        <w:rPr>
          <w:rFonts w:cs="Calibri"/>
          <w:i/>
          <w:noProof/>
          <w:sz w:val="18"/>
          <w:szCs w:val="18"/>
          <w:lang w:val="sq-AL"/>
        </w:rPr>
        <w:t xml:space="preserve"> më 30 shtator 2024</w:t>
      </w:r>
      <w:r>
        <w:rPr>
          <w:rFonts w:cs="Calibri"/>
          <w:i/>
          <w:noProof/>
          <w:sz w:val="18"/>
          <w:szCs w:val="18"/>
          <w:lang w:val="sq-AL"/>
        </w:rPr>
        <w:t xml:space="preserve">, </w:t>
      </w:r>
      <w:r w:rsidRPr="00F26623">
        <w:rPr>
          <w:rFonts w:cs="Calibri"/>
          <w:i/>
          <w:noProof/>
          <w:sz w:val="18"/>
          <w:szCs w:val="18"/>
          <w:lang w:val="sq-AL"/>
        </w:rPr>
        <w:t>të statistika</w:t>
      </w:r>
      <w:r>
        <w:rPr>
          <w:rFonts w:cs="Calibri"/>
          <w:i/>
          <w:noProof/>
          <w:sz w:val="18"/>
          <w:szCs w:val="18"/>
          <w:lang w:val="sq-AL"/>
        </w:rPr>
        <w:t>ve</w:t>
      </w:r>
      <w:r w:rsidRPr="00F26623">
        <w:rPr>
          <w:rFonts w:cs="Calibri"/>
          <w:i/>
          <w:noProof/>
          <w:sz w:val="18"/>
          <w:szCs w:val="18"/>
          <w:lang w:val="sq-AL"/>
        </w:rPr>
        <w:t xml:space="preserve"> </w:t>
      </w:r>
      <w:r>
        <w:rPr>
          <w:rFonts w:cs="Calibri"/>
          <w:i/>
          <w:noProof/>
          <w:sz w:val="18"/>
          <w:szCs w:val="18"/>
          <w:lang w:val="sq-AL"/>
        </w:rPr>
        <w:t>të</w:t>
      </w:r>
      <w:r w:rsidRPr="00F26623">
        <w:rPr>
          <w:rFonts w:cs="Calibri"/>
          <w:i/>
          <w:noProof/>
          <w:sz w:val="18"/>
          <w:szCs w:val="18"/>
          <w:lang w:val="sq-AL"/>
        </w:rPr>
        <w:t xml:space="preserve"> rishikuara të Llogarive Kombëtare Vjetore (PBB vjetore) për periudhën 2018-2023</w:t>
      </w:r>
      <w:r>
        <w:rPr>
          <w:rFonts w:cs="Calibri"/>
          <w:i/>
          <w:noProof/>
          <w:sz w:val="18"/>
          <w:szCs w:val="18"/>
          <w:lang w:val="sq-AL"/>
        </w:rPr>
        <w:t xml:space="preserve">. </w:t>
      </w:r>
      <w:r w:rsidRPr="00D67CD4">
        <w:rPr>
          <w:rFonts w:cs="Calibri"/>
          <w:i/>
          <w:noProof/>
          <w:sz w:val="18"/>
          <w:szCs w:val="18"/>
          <w:lang w:val="sq-AL"/>
        </w:rPr>
        <w:t xml:space="preserve">Duke qenë se rishikimet e PBB-së nominale rezultuan të konsiderueshme, veçanërisht për vitin bazë 2023, projeksionet e </w:t>
      </w:r>
      <w:r w:rsidR="009C7207">
        <w:rPr>
          <w:rFonts w:cs="Calibri"/>
          <w:i/>
          <w:noProof/>
          <w:sz w:val="18"/>
          <w:szCs w:val="18"/>
          <w:lang w:val="sq-AL"/>
        </w:rPr>
        <w:t>W</w:t>
      </w:r>
      <w:r w:rsidRPr="00D67CD4">
        <w:rPr>
          <w:rFonts w:cs="Calibri"/>
          <w:i/>
          <w:noProof/>
          <w:sz w:val="18"/>
          <w:szCs w:val="18"/>
          <w:lang w:val="sq-AL"/>
        </w:rPr>
        <w:t xml:space="preserve">EO-së të tetorit 2024, të bazuara në statistika më të vjetra, humbën relevancën për </w:t>
      </w:r>
      <w:r w:rsidRPr="00F26623">
        <w:rPr>
          <w:rFonts w:cs="Calibri"/>
          <w:i/>
          <w:noProof/>
          <w:sz w:val="18"/>
          <w:szCs w:val="18"/>
          <w:lang w:val="sq-AL"/>
        </w:rPr>
        <w:t>qëllimin e këtij rregulli fiskal të LOB</w:t>
      </w:r>
      <w:r>
        <w:rPr>
          <w:rFonts w:cs="Calibri"/>
          <w:i/>
          <w:noProof/>
          <w:sz w:val="18"/>
          <w:szCs w:val="18"/>
          <w:lang w:val="sq-AL"/>
        </w:rPr>
        <w:t>.</w:t>
      </w:r>
    </w:p>
    <w:p w14:paraId="39E1D431" w14:textId="77777777" w:rsidR="00B966EF" w:rsidRDefault="00B966EF" w:rsidP="00B966EF">
      <w:pPr>
        <w:spacing w:before="0" w:line="240" w:lineRule="auto"/>
        <w:rPr>
          <w:rFonts w:cs="Calibri"/>
          <w:i/>
          <w:noProof/>
          <w:sz w:val="18"/>
          <w:szCs w:val="18"/>
          <w:lang w:val="sq-AL"/>
        </w:rPr>
      </w:pPr>
      <w:r w:rsidRPr="00F26623">
        <w:rPr>
          <w:rFonts w:cs="Calibri"/>
          <w:i/>
          <w:noProof/>
          <w:sz w:val="18"/>
          <w:szCs w:val="18"/>
          <w:lang w:val="sq-AL"/>
        </w:rPr>
        <w:t>Për këtë arsye, në këtë rast të veçantë, FMN-ja i dërgoi zyrtarisht Ministrisë së Financave projeksionet e përditësuara të PBB nominal për vitet 2024 dhe 2025, të cilat reflektojnë dhe bazohen në statistikat më të fundit të rishikuara të INSTAT</w:t>
      </w:r>
      <w:r>
        <w:rPr>
          <w:rFonts w:cs="Calibri"/>
          <w:i/>
          <w:noProof/>
          <w:sz w:val="18"/>
          <w:szCs w:val="18"/>
          <w:lang w:val="sq-AL"/>
        </w:rPr>
        <w:t xml:space="preserve">. </w:t>
      </w:r>
    </w:p>
    <w:p w14:paraId="27962E4C" w14:textId="6AFBA269" w:rsidR="00B966EF" w:rsidRPr="00777F10" w:rsidRDefault="00B966EF" w:rsidP="00B966EF">
      <w:pPr>
        <w:spacing w:before="0" w:line="240" w:lineRule="auto"/>
        <w:rPr>
          <w:rFonts w:cs="Calibri"/>
          <w:i/>
          <w:noProof/>
          <w:sz w:val="18"/>
          <w:szCs w:val="18"/>
          <w:lang w:val="sq-AL"/>
        </w:rPr>
      </w:pPr>
      <w:r>
        <w:rPr>
          <w:rFonts w:cs="Calibri"/>
          <w:i/>
          <w:noProof/>
          <w:sz w:val="18"/>
          <w:szCs w:val="18"/>
          <w:lang w:val="sq-AL"/>
        </w:rPr>
        <w:t xml:space="preserve">Ndërkohë përsa i përket ndryshimeve të ligjit të buxhetit 2025, nëpërmjet </w:t>
      </w:r>
      <w:r w:rsidRPr="00F26623">
        <w:rPr>
          <w:rFonts w:cs="Calibri"/>
          <w:i/>
          <w:noProof/>
          <w:sz w:val="18"/>
          <w:szCs w:val="18"/>
          <w:lang w:val="sq-AL"/>
        </w:rPr>
        <w:t>AN nr. 3, AN nr. 6, AN nr. 10 dhe AN nr. 11</w:t>
      </w:r>
      <w:r>
        <w:rPr>
          <w:rFonts w:cs="Calibri"/>
          <w:i/>
          <w:noProof/>
          <w:sz w:val="18"/>
          <w:szCs w:val="18"/>
          <w:lang w:val="sq-AL"/>
        </w:rPr>
        <w:t xml:space="preserve"> </w:t>
      </w:r>
      <w:r w:rsidRPr="008104A9">
        <w:rPr>
          <w:rFonts w:cs="Calibri"/>
          <w:i/>
          <w:noProof/>
          <w:sz w:val="18"/>
          <w:szCs w:val="18"/>
          <w:lang w:val="sq-AL"/>
        </w:rPr>
        <w:t>si vlera referencë të projeksioneve të FMN</w:t>
      </w:r>
      <w:r>
        <w:rPr>
          <w:rFonts w:cs="Calibri"/>
          <w:i/>
          <w:noProof/>
          <w:sz w:val="18"/>
          <w:szCs w:val="18"/>
          <w:lang w:val="sq-AL"/>
        </w:rPr>
        <w:t>-së</w:t>
      </w:r>
      <w:r w:rsidRPr="008104A9">
        <w:rPr>
          <w:rFonts w:cs="Calibri"/>
          <w:i/>
          <w:noProof/>
          <w:sz w:val="18"/>
          <w:szCs w:val="18"/>
          <w:lang w:val="sq-AL"/>
        </w:rPr>
        <w:t xml:space="preserve"> janë </w:t>
      </w:r>
      <w:r>
        <w:rPr>
          <w:rFonts w:cs="Calibri"/>
          <w:i/>
          <w:noProof/>
          <w:sz w:val="18"/>
          <w:szCs w:val="18"/>
          <w:lang w:val="sq-AL"/>
        </w:rPr>
        <w:t>përdorur</w:t>
      </w:r>
      <w:r w:rsidRPr="008104A9">
        <w:rPr>
          <w:rFonts w:cs="Calibri"/>
          <w:i/>
          <w:noProof/>
          <w:sz w:val="18"/>
          <w:szCs w:val="18"/>
          <w:lang w:val="sq-AL"/>
        </w:rPr>
        <w:t xml:space="preserve"> </w:t>
      </w:r>
      <w:r>
        <w:rPr>
          <w:rFonts w:cs="Calibri"/>
          <w:i/>
          <w:noProof/>
          <w:sz w:val="18"/>
          <w:szCs w:val="18"/>
          <w:lang w:val="sq-AL"/>
        </w:rPr>
        <w:t xml:space="preserve">projeksionet e </w:t>
      </w:r>
      <w:r w:rsidR="00B14F86">
        <w:rPr>
          <w:rFonts w:cs="Calibri"/>
          <w:i/>
          <w:noProof/>
          <w:sz w:val="18"/>
          <w:szCs w:val="18"/>
          <w:lang w:val="sq-AL"/>
        </w:rPr>
        <w:t>W</w:t>
      </w:r>
      <w:r>
        <w:rPr>
          <w:rFonts w:cs="Calibri"/>
          <w:i/>
          <w:noProof/>
          <w:sz w:val="18"/>
          <w:szCs w:val="18"/>
          <w:lang w:val="sq-AL"/>
        </w:rPr>
        <w:t>EO-së të përgatitura në prill 2025.</w:t>
      </w:r>
      <w:r w:rsidRPr="008104A9">
        <w:rPr>
          <w:rFonts w:cs="Calibri"/>
          <w:i/>
          <w:noProof/>
          <w:sz w:val="18"/>
          <w:szCs w:val="18"/>
          <w:lang w:val="sq-AL"/>
        </w:rPr>
        <w:t xml:space="preserve"> </w:t>
      </w:r>
    </w:p>
    <w:p w14:paraId="477AF2EC" w14:textId="77777777" w:rsidR="00B966EF" w:rsidRPr="00777F10" w:rsidRDefault="00B966EF" w:rsidP="00B966EF">
      <w:pPr>
        <w:spacing w:before="0" w:line="240" w:lineRule="auto"/>
        <w:rPr>
          <w:rFonts w:cs="Calibri"/>
          <w:noProof/>
          <w:lang w:val="sq-AL"/>
        </w:rPr>
      </w:pPr>
      <w:r w:rsidRPr="00777F10">
        <w:rPr>
          <w:rFonts w:cs="Calibri"/>
          <w:noProof/>
          <w:lang w:val="sq-AL"/>
        </w:rPr>
        <w:lastRenderedPageBreak/>
        <w:t xml:space="preserve">Tabela më poshtë paraqet shifrat konkrete në kohën e hartimit dhe miratimit të ligjit fillestar dhe secilit ndryshim pasues përgjatë 2025 dhe përputhshmërinë respektive me këtë përcaktim të LOB. </w:t>
      </w:r>
    </w:p>
    <w:p w14:paraId="52C6355B" w14:textId="77777777" w:rsidR="00B966EF" w:rsidRPr="00777F10" w:rsidRDefault="00B966EF" w:rsidP="00B966EF">
      <w:pPr>
        <w:spacing w:before="0" w:line="240" w:lineRule="auto"/>
        <w:jc w:val="center"/>
        <w:rPr>
          <w:rFonts w:cs="Calibri"/>
          <w:noProof/>
          <w:lang w:val="sq-AL"/>
        </w:rPr>
      </w:pPr>
      <w:r w:rsidRPr="00777F10">
        <w:rPr>
          <w:noProof/>
        </w:rPr>
        <w:drawing>
          <wp:inline distT="0" distB="0" distL="0" distR="0" wp14:anchorId="1AA89D7F" wp14:editId="4EDAAF2F">
            <wp:extent cx="6093562" cy="1184275"/>
            <wp:effectExtent l="0" t="0" r="2540" b="0"/>
            <wp:docPr id="105813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3750" cy="1186255"/>
                    </a:xfrm>
                    <a:prstGeom prst="rect">
                      <a:avLst/>
                    </a:prstGeom>
                    <a:noFill/>
                    <a:ln>
                      <a:noFill/>
                    </a:ln>
                  </pic:spPr>
                </pic:pic>
              </a:graphicData>
            </a:graphic>
          </wp:inline>
        </w:drawing>
      </w:r>
      <w:r w:rsidRPr="000F0D9E">
        <w:rPr>
          <w:lang w:val="sq-AL"/>
        </w:rPr>
        <w:t xml:space="preserve"> </w:t>
      </w:r>
    </w:p>
    <w:p w14:paraId="18F9B3EF" w14:textId="77777777" w:rsidR="00B966EF" w:rsidRPr="00777F10" w:rsidRDefault="00B966EF" w:rsidP="00B966EF">
      <w:pPr>
        <w:pStyle w:val="ListParagraph"/>
        <w:spacing w:before="0" w:line="240" w:lineRule="auto"/>
        <w:ind w:left="0"/>
        <w:rPr>
          <w:rFonts w:cs="Calibri"/>
          <w:b/>
          <w:i/>
          <w:noProof/>
          <w:sz w:val="4"/>
          <w:u w:val="single"/>
          <w:lang w:val="sq-AL"/>
        </w:rPr>
      </w:pPr>
    </w:p>
    <w:p w14:paraId="3E78A36D" w14:textId="77777777" w:rsidR="00B966EF" w:rsidRPr="00B644BE" w:rsidRDefault="00B966EF" w:rsidP="00B966EF">
      <w:pPr>
        <w:pStyle w:val="ListParagraph"/>
        <w:spacing w:before="0" w:line="240" w:lineRule="auto"/>
        <w:ind w:left="0"/>
        <w:rPr>
          <w:rFonts w:cs="Calibri"/>
          <w:i/>
          <w:noProof/>
          <w:sz w:val="18"/>
          <w:szCs w:val="20"/>
          <w:lang w:val="sq-AL"/>
        </w:rPr>
      </w:pPr>
      <w:r w:rsidRPr="00777F10">
        <w:rPr>
          <w:rFonts w:cs="Calibri"/>
          <w:b/>
          <w:i/>
          <w:noProof/>
          <w:sz w:val="18"/>
          <w:szCs w:val="20"/>
          <w:u w:val="single"/>
          <w:lang w:val="sq-AL"/>
        </w:rPr>
        <w:t>Shënim</w:t>
      </w:r>
      <w:r w:rsidRPr="00777F10">
        <w:rPr>
          <w:rFonts w:cs="Calibri"/>
          <w:i/>
          <w:noProof/>
          <w:sz w:val="18"/>
          <w:szCs w:val="20"/>
          <w:lang w:val="sq-AL"/>
        </w:rPr>
        <w:t>: Vlerat faktike të PBB 2025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w:t>
      </w:r>
      <w:r w:rsidRPr="00B644BE">
        <w:rPr>
          <w:rFonts w:cs="Calibri"/>
          <w:i/>
          <w:noProof/>
          <w:sz w:val="18"/>
          <w:szCs w:val="20"/>
          <w:lang w:val="sq-AL"/>
        </w:rPr>
        <w:t xml:space="preserve"> </w:t>
      </w:r>
    </w:p>
    <w:p w14:paraId="35227101" w14:textId="77777777" w:rsidR="00B966EF" w:rsidRPr="00B644BE" w:rsidRDefault="00B966EF" w:rsidP="00B966EF">
      <w:pPr>
        <w:pStyle w:val="ListParagraph"/>
        <w:spacing w:after="120" w:line="240" w:lineRule="auto"/>
        <w:ind w:left="0"/>
        <w:rPr>
          <w:rFonts w:cs="Calibri"/>
          <w:noProof/>
          <w:sz w:val="8"/>
          <w:lang w:val="sq-AL"/>
        </w:rPr>
      </w:pPr>
    </w:p>
    <w:p w14:paraId="0555F621" w14:textId="77777777" w:rsidR="00B966EF" w:rsidRPr="00B644BE" w:rsidRDefault="00B966EF" w:rsidP="00B966EF">
      <w:pPr>
        <w:pStyle w:val="ListParagraph"/>
        <w:spacing w:after="120" w:line="240" w:lineRule="auto"/>
        <w:ind w:left="0"/>
        <w:rPr>
          <w:rFonts w:cs="Calibri"/>
          <w:noProof/>
          <w:sz w:val="8"/>
          <w:lang w:val="sq-AL"/>
        </w:rPr>
      </w:pPr>
    </w:p>
    <w:p w14:paraId="4DCFFD65" w14:textId="77777777" w:rsidR="00B966EF" w:rsidRPr="00B644BE" w:rsidRDefault="00B966EF" w:rsidP="00B966EF">
      <w:pPr>
        <w:pStyle w:val="ListParagraph"/>
        <w:spacing w:after="120" w:line="240" w:lineRule="auto"/>
        <w:ind w:left="0"/>
        <w:rPr>
          <w:rFonts w:cs="Calibri"/>
          <w:noProof/>
          <w:sz w:val="8"/>
          <w:lang w:val="sq-AL"/>
        </w:rPr>
      </w:pPr>
    </w:p>
    <w:p w14:paraId="3F38E861" w14:textId="77777777" w:rsidR="00B966EF" w:rsidRPr="00B644BE" w:rsidRDefault="00B966EF" w:rsidP="00B966EF">
      <w:pPr>
        <w:pStyle w:val="ListParagraph"/>
        <w:spacing w:line="240" w:lineRule="auto"/>
        <w:ind w:left="0" w:firstLine="720"/>
        <w:contextualSpacing w:val="0"/>
        <w:rPr>
          <w:rFonts w:cs="Calibri"/>
          <w:b/>
          <w:i/>
          <w:noProof/>
          <w:lang w:val="sq-AL"/>
        </w:rPr>
      </w:pPr>
      <w:r w:rsidRPr="00B2585A">
        <w:rPr>
          <w:rFonts w:cs="Calibri"/>
          <w:b/>
          <w:i/>
          <w:noProof/>
          <w:lang w:val="sq-AL"/>
        </w:rPr>
        <w:t>Përcaktimi ligjor (4):</w:t>
      </w:r>
    </w:p>
    <w:p w14:paraId="05379F2B" w14:textId="77777777" w:rsidR="00B966EF" w:rsidRPr="00B644BE" w:rsidRDefault="00B966EF" w:rsidP="00B966EF">
      <w:pPr>
        <w:spacing w:after="120" w:line="240" w:lineRule="auto"/>
        <w:rPr>
          <w:rFonts w:cs="Calibri"/>
          <w:noProof/>
          <w:lang w:val="sq-AL"/>
        </w:rPr>
      </w:pPr>
      <w:r w:rsidRPr="00B644BE">
        <w:rPr>
          <w:rFonts w:cs="Calibri"/>
          <w:noProof/>
          <w:lang w:val="sq-AL"/>
        </w:rPr>
        <w:t>Neni 4/1, pika (1.ç) i LOB sanksionon që në çdo vit buxhetor të planifikuar duhet të përfshihet një kontigjencë e veçantë prej jo më pak se 0.7% e shpenzimeve totale të buxhetit, për të kompensuar rreziqe potenciale nga luhatjet në kurset e këmbimit ose normat e interesit, me ndikim në nivelin e borxhit.</w:t>
      </w:r>
    </w:p>
    <w:p w14:paraId="41E1E480" w14:textId="77777777" w:rsidR="00B966EF" w:rsidRPr="00B644BE" w:rsidRDefault="00B966EF" w:rsidP="00B966EF">
      <w:pPr>
        <w:spacing w:line="240" w:lineRule="auto"/>
        <w:ind w:firstLine="720"/>
        <w:rPr>
          <w:rFonts w:cs="Calibri"/>
          <w:i/>
          <w:noProof/>
          <w:lang w:val="sq-AL"/>
        </w:rPr>
      </w:pPr>
      <w:r w:rsidRPr="00B644BE">
        <w:rPr>
          <w:rFonts w:cs="Calibri"/>
          <w:i/>
          <w:noProof/>
          <w:lang w:val="sq-AL"/>
        </w:rPr>
        <w:t>Zbatimi i ligjit (4):</w:t>
      </w:r>
    </w:p>
    <w:p w14:paraId="1207DEF7" w14:textId="77777777" w:rsidR="00B966EF" w:rsidRDefault="00B966EF" w:rsidP="00B966EF">
      <w:pPr>
        <w:spacing w:before="0" w:line="240" w:lineRule="auto"/>
        <w:jc w:val="center"/>
        <w:rPr>
          <w:noProof/>
        </w:rPr>
      </w:pPr>
      <w:r w:rsidRPr="00E267C7">
        <w:rPr>
          <w:noProof/>
        </w:rPr>
        <w:drawing>
          <wp:inline distT="0" distB="0" distL="0" distR="0" wp14:anchorId="37FBD53E" wp14:editId="04382E02">
            <wp:extent cx="6078931" cy="944245"/>
            <wp:effectExtent l="0" t="0" r="0" b="8255"/>
            <wp:docPr id="986088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1193" cy="944596"/>
                    </a:xfrm>
                    <a:prstGeom prst="rect">
                      <a:avLst/>
                    </a:prstGeom>
                    <a:noFill/>
                    <a:ln>
                      <a:noFill/>
                    </a:ln>
                  </pic:spPr>
                </pic:pic>
              </a:graphicData>
            </a:graphic>
          </wp:inline>
        </w:drawing>
      </w:r>
    </w:p>
    <w:p w14:paraId="530162C0" w14:textId="77777777" w:rsidR="00B966EF" w:rsidRPr="00A758DC" w:rsidRDefault="00B966EF" w:rsidP="00B966EF">
      <w:pPr>
        <w:spacing w:before="0" w:line="240" w:lineRule="auto"/>
        <w:rPr>
          <w:noProof/>
          <w:sz w:val="8"/>
          <w:szCs w:val="10"/>
        </w:rPr>
      </w:pPr>
    </w:p>
    <w:p w14:paraId="7736425A" w14:textId="77777777" w:rsidR="00B966EF" w:rsidRPr="00AA7AA6" w:rsidRDefault="00B966EF" w:rsidP="00B966EF">
      <w:pPr>
        <w:spacing w:before="0" w:line="240" w:lineRule="auto"/>
        <w:rPr>
          <w:rFonts w:cs="Calibri"/>
          <w:noProof/>
          <w:lang w:val="sq-AL"/>
        </w:rPr>
      </w:pPr>
      <w:r w:rsidRPr="00B644BE">
        <w:rPr>
          <w:rFonts w:cs="Calibri"/>
          <w:noProof/>
          <w:lang w:val="sq-AL"/>
        </w:rPr>
        <w:t>Çdo ligj vjetor i buxhetit hartuar dhe miratuar për vitin 202</w:t>
      </w:r>
      <w:r>
        <w:rPr>
          <w:rFonts w:cs="Calibri"/>
          <w:noProof/>
          <w:lang w:val="sq-AL"/>
        </w:rPr>
        <w:t>5</w:t>
      </w:r>
      <w:r w:rsidRPr="00B644BE">
        <w:rPr>
          <w:rFonts w:cs="Calibri"/>
          <w:noProof/>
          <w:lang w:val="sq-AL"/>
        </w:rPr>
        <w:t xml:space="preserve"> (ligj fillestar ose i ndryshuar) ka qenë në përputhje të plotë me këtë përcaktim ligjor. Tabela mëposhtë paraqet shifrat konkrete në kohën e hartimit e miratimit të ligjit fillestar dhe secilit ndryshim pasues </w:t>
      </w:r>
      <w:r>
        <w:rPr>
          <w:rFonts w:cs="Calibri"/>
          <w:noProof/>
          <w:lang w:val="sq-AL"/>
        </w:rPr>
        <w:t>g</w:t>
      </w:r>
      <w:r w:rsidRPr="00B644BE">
        <w:rPr>
          <w:rFonts w:cs="Calibri"/>
          <w:noProof/>
          <w:lang w:val="sq-AL"/>
        </w:rPr>
        <w:t>jatë 202</w:t>
      </w:r>
      <w:r>
        <w:rPr>
          <w:rFonts w:cs="Calibri"/>
          <w:noProof/>
          <w:lang w:val="sq-AL"/>
        </w:rPr>
        <w:t>5</w:t>
      </w:r>
      <w:r w:rsidRPr="00B644BE">
        <w:rPr>
          <w:rFonts w:cs="Calibri"/>
          <w:noProof/>
          <w:lang w:val="sq-AL"/>
        </w:rPr>
        <w:t xml:space="preserve"> dhe përputhshmërinë respektive me këtë përcaktim të LOB. </w:t>
      </w:r>
    </w:p>
    <w:p w14:paraId="779C7865" w14:textId="77777777" w:rsidR="00B966EF" w:rsidRDefault="00B966EF" w:rsidP="00B966EF">
      <w:pPr>
        <w:pStyle w:val="ListParagraph"/>
        <w:spacing w:after="120" w:line="240" w:lineRule="auto"/>
        <w:ind w:left="0"/>
        <w:rPr>
          <w:rFonts w:cs="Calibri"/>
          <w:i/>
          <w:noProof/>
          <w:sz w:val="8"/>
          <w:szCs w:val="10"/>
          <w:lang w:val="sq-AL"/>
        </w:rPr>
      </w:pPr>
    </w:p>
    <w:p w14:paraId="08964BC6" w14:textId="77777777" w:rsidR="00BB7DD5" w:rsidRDefault="00BB7DD5" w:rsidP="00B966EF">
      <w:pPr>
        <w:pStyle w:val="ListParagraph"/>
        <w:spacing w:after="120" w:line="240" w:lineRule="auto"/>
        <w:ind w:left="0"/>
        <w:rPr>
          <w:rFonts w:cs="Calibri"/>
          <w:i/>
          <w:noProof/>
          <w:sz w:val="8"/>
          <w:szCs w:val="10"/>
          <w:lang w:val="sq-AL"/>
        </w:rPr>
      </w:pPr>
    </w:p>
    <w:p w14:paraId="48C3A4B7" w14:textId="77777777" w:rsidR="00B966EF" w:rsidRPr="00B644BE" w:rsidRDefault="00B966EF" w:rsidP="00B966EF">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(5):</w:t>
      </w:r>
    </w:p>
    <w:p w14:paraId="1492DB39" w14:textId="77777777" w:rsidR="00B966EF" w:rsidRPr="00B644BE" w:rsidRDefault="00B966EF" w:rsidP="00B966EF">
      <w:pPr>
        <w:spacing w:line="240" w:lineRule="auto"/>
        <w:contextualSpacing/>
        <w:rPr>
          <w:rFonts w:cs="Calibri"/>
          <w:noProof/>
          <w:lang w:val="sq-AL"/>
        </w:rPr>
      </w:pPr>
      <w:r w:rsidRPr="00B644BE">
        <w:rPr>
          <w:rFonts w:cs="Calibri"/>
          <w:noProof/>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atëherë defiçiti i përgjithshëm nuk mund të jetë më i lartë se 2% e Produktit të Brendshëm Bruto, përveç rasteve të rrethanave të jashtëzakonshme, të përcaktuara në shkronjat “a”, “b” dhe “c”, të nenit 4/4, të këtij ligji.</w:t>
      </w:r>
    </w:p>
    <w:p w14:paraId="60F0CBE8" w14:textId="77777777" w:rsidR="00B966EF" w:rsidRPr="00B644BE" w:rsidRDefault="00B966EF" w:rsidP="00B966EF">
      <w:pPr>
        <w:spacing w:line="240" w:lineRule="auto"/>
        <w:ind w:firstLine="720"/>
        <w:rPr>
          <w:rFonts w:cs="Calibri"/>
          <w:i/>
          <w:noProof/>
          <w:lang w:val="sq-AL"/>
        </w:rPr>
      </w:pPr>
      <w:r w:rsidRPr="00B644BE">
        <w:rPr>
          <w:rFonts w:cs="Calibri"/>
          <w:i/>
          <w:noProof/>
          <w:lang w:val="sq-AL"/>
        </w:rPr>
        <w:t>Zbatimi i ligjit (5):</w:t>
      </w:r>
    </w:p>
    <w:p w14:paraId="10CB77F3" w14:textId="77777777" w:rsidR="00B966EF" w:rsidRDefault="00B966EF" w:rsidP="00B966EF">
      <w:pPr>
        <w:spacing w:after="120" w:line="240" w:lineRule="auto"/>
        <w:contextualSpacing/>
        <w:rPr>
          <w:rFonts w:cs="Calibri"/>
          <w:i/>
          <w:noProof/>
          <w:sz w:val="20"/>
          <w:lang w:val="sq-AL"/>
        </w:rPr>
      </w:pPr>
      <w:r w:rsidRPr="00B644BE">
        <w:rPr>
          <w:rFonts w:cs="Calibri"/>
          <w:noProof/>
          <w:lang w:val="sq-AL"/>
        </w:rPr>
        <w:t>Në çdo fazë të hartimit dhe miratimit të ligjeve vjetore të buxhetit për vitin 202</w:t>
      </w:r>
      <w:r>
        <w:rPr>
          <w:rFonts w:cs="Calibri"/>
          <w:noProof/>
          <w:lang w:val="sq-AL"/>
        </w:rPr>
        <w:t>5</w:t>
      </w:r>
      <w:r w:rsidRPr="00B644BE">
        <w:rPr>
          <w:rFonts w:cs="Calibri"/>
          <w:noProof/>
          <w:lang w:val="sq-AL"/>
        </w:rPr>
        <w:t xml:space="preserve"> kjo pikë nuk ka qenë rasti të jetë kufizuese për sa i takon sanksionit ligjor që ajo përcakton, pasi në raportet respektive </w:t>
      </w:r>
      <w:r w:rsidRPr="00B644BE">
        <w:rPr>
          <w:rFonts w:cs="Calibri"/>
          <w:i/>
          <w:noProof/>
          <w:lang w:val="sq-AL"/>
        </w:rPr>
        <w:t>''Perspektiva Ekonomike Botërore</w:t>
      </w:r>
      <w:r w:rsidRPr="00B644BE">
        <w:rPr>
          <w:rFonts w:cs="Calibri"/>
          <w:noProof/>
          <w:lang w:val="sq-AL"/>
        </w:rPr>
        <w:t>” të FMN, nuk parashikohej një rritje reale për vitin 202</w:t>
      </w:r>
      <w:r>
        <w:rPr>
          <w:rFonts w:cs="Calibri"/>
          <w:noProof/>
          <w:lang w:val="sq-AL"/>
        </w:rPr>
        <w:t>5</w:t>
      </w:r>
      <w:r w:rsidRPr="00B644BE">
        <w:rPr>
          <w:rFonts w:cs="Calibri"/>
          <w:noProof/>
          <w:lang w:val="sq-AL"/>
        </w:rPr>
        <w:t xml:space="preserve"> prej të paktën 5%. Rrjedhimisht, të gjitha ligjet vjetore të buxhetit të hartuara dhe miratuara për vitin 202</w:t>
      </w:r>
      <w:r>
        <w:rPr>
          <w:rFonts w:cs="Calibri"/>
          <w:noProof/>
          <w:lang w:val="sq-AL"/>
        </w:rPr>
        <w:t>5</w:t>
      </w:r>
      <w:r w:rsidRPr="00B644BE">
        <w:rPr>
          <w:rFonts w:cs="Calibri"/>
          <w:noProof/>
          <w:lang w:val="sq-AL"/>
        </w:rPr>
        <w:t xml:space="preserve"> kanë qenë në përputhje me këtë pikë</w:t>
      </w:r>
      <w:r w:rsidRPr="00B644BE">
        <w:rPr>
          <w:rFonts w:cs="Calibri"/>
          <w:i/>
          <w:noProof/>
          <w:sz w:val="20"/>
          <w:lang w:val="sq-AL"/>
        </w:rPr>
        <w:t>.</w:t>
      </w:r>
    </w:p>
    <w:p w14:paraId="68C551A2" w14:textId="77777777" w:rsidR="00B966EF" w:rsidRPr="00A758DC" w:rsidRDefault="00B966EF" w:rsidP="00B966EF">
      <w:pPr>
        <w:spacing w:after="120" w:line="240" w:lineRule="auto"/>
        <w:contextualSpacing/>
        <w:rPr>
          <w:rFonts w:cs="Calibri"/>
          <w:i/>
          <w:noProof/>
          <w:sz w:val="8"/>
          <w:szCs w:val="8"/>
          <w:lang w:val="sq-AL"/>
        </w:rPr>
      </w:pPr>
    </w:p>
    <w:p w14:paraId="74D9A211" w14:textId="77777777" w:rsidR="00B966EF" w:rsidRPr="00B644BE" w:rsidRDefault="00B966EF" w:rsidP="00B966EF">
      <w:pPr>
        <w:spacing w:before="0" w:line="240" w:lineRule="auto"/>
        <w:jc w:val="center"/>
        <w:rPr>
          <w:noProof/>
          <w:lang w:val="sq-AL"/>
        </w:rPr>
      </w:pPr>
      <w:r w:rsidRPr="00E02946">
        <w:rPr>
          <w:noProof/>
        </w:rPr>
        <w:drawing>
          <wp:inline distT="0" distB="0" distL="0" distR="0" wp14:anchorId="07EC0D4A" wp14:editId="7F58AA1B">
            <wp:extent cx="6284994" cy="1016813"/>
            <wp:effectExtent l="0" t="0" r="1905" b="0"/>
            <wp:docPr id="41066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9319" cy="1027220"/>
                    </a:xfrm>
                    <a:prstGeom prst="rect">
                      <a:avLst/>
                    </a:prstGeom>
                    <a:noFill/>
                    <a:ln>
                      <a:noFill/>
                    </a:ln>
                  </pic:spPr>
                </pic:pic>
              </a:graphicData>
            </a:graphic>
          </wp:inline>
        </w:drawing>
      </w:r>
    </w:p>
    <w:p w14:paraId="5C2B6DCB" w14:textId="77777777" w:rsidR="00B966EF" w:rsidRDefault="00B966EF" w:rsidP="00B966EF">
      <w:pPr>
        <w:spacing w:line="240" w:lineRule="auto"/>
        <w:contextualSpacing/>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defiçitin e targetuar në jo më shumë se 2% e PBB. P.sh., një rast hipotetik, ilustrues, nëse do të ndodhte që në një vit të caktuar rritja reale do të ishte 5% dhe nëse defiçiti do të ankorohej sipas kësaj pike 2% (maksimumi i lejueshëm në këtë rast), duke supozuar një normë inflacioni (deflator) 3% dhe variablat e tjerë të pandryshuar, atëherë borxhi publik përgjatë vetëm atij viti do të reduktohej me rreth 4pp. </w:t>
      </w:r>
    </w:p>
    <w:p w14:paraId="3D88590C" w14:textId="13F87C2C" w:rsidR="00BB7DD5" w:rsidRDefault="00B966EF" w:rsidP="00B966EF">
      <w:pPr>
        <w:spacing w:line="240" w:lineRule="auto"/>
        <w:contextualSpacing/>
        <w:rPr>
          <w:rFonts w:cs="Calibri"/>
          <w:i/>
          <w:noProof/>
          <w:sz w:val="18"/>
          <w:lang w:val="sq-AL"/>
        </w:rPr>
      </w:pPr>
      <w:r w:rsidRPr="00B644BE">
        <w:rPr>
          <w:rFonts w:cs="Calibri"/>
          <w:i/>
          <w:noProof/>
          <w:sz w:val="18"/>
          <w:lang w:val="sq-AL"/>
        </w:rPr>
        <w:lastRenderedPageBreak/>
        <w:t xml:space="preserve">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që në këtë pikë të LOB kuantifikohet si niveli nën 60% të PBB.  </w:t>
      </w:r>
    </w:p>
    <w:p w14:paraId="1AA1D302" w14:textId="77777777" w:rsidR="00BB7DD5" w:rsidRPr="00B644BE" w:rsidRDefault="00BB7DD5" w:rsidP="00B966EF">
      <w:pPr>
        <w:spacing w:line="240" w:lineRule="auto"/>
        <w:contextualSpacing/>
        <w:rPr>
          <w:rFonts w:cs="Calibri"/>
          <w:i/>
          <w:noProof/>
          <w:sz w:val="18"/>
          <w:lang w:val="sq-AL"/>
        </w:rPr>
      </w:pPr>
    </w:p>
    <w:p w14:paraId="2B1D3EF4" w14:textId="77777777" w:rsidR="00B966EF" w:rsidRPr="00B644BE" w:rsidRDefault="00B966EF" w:rsidP="00B966EF">
      <w:pPr>
        <w:pStyle w:val="ListParagraph"/>
        <w:spacing w:after="120" w:line="240" w:lineRule="auto"/>
        <w:ind w:left="0" w:firstLine="720"/>
        <w:rPr>
          <w:rFonts w:cs="Calibri"/>
          <w:b/>
          <w:i/>
          <w:noProof/>
          <w:lang w:val="sq-AL"/>
        </w:rPr>
      </w:pPr>
      <w:r w:rsidRPr="00B2585A">
        <w:rPr>
          <w:rFonts w:cs="Calibri"/>
          <w:b/>
          <w:i/>
          <w:noProof/>
          <w:lang w:val="sq-AL"/>
        </w:rPr>
        <w:t>Përcaktimi ligjor (6):</w:t>
      </w:r>
    </w:p>
    <w:p w14:paraId="1C04DB5A" w14:textId="77777777" w:rsidR="00B966EF" w:rsidRPr="00B644BE" w:rsidRDefault="00B966EF" w:rsidP="00B966EF">
      <w:pPr>
        <w:spacing w:line="240" w:lineRule="auto"/>
        <w:rPr>
          <w:rFonts w:cs="Calibri"/>
          <w:noProof/>
          <w:lang w:val="sq-AL"/>
        </w:rPr>
      </w:pPr>
      <w:r w:rsidRPr="00B644BE">
        <w:rPr>
          <w:rFonts w:cs="Calibri"/>
          <w:noProof/>
          <w:lang w:val="sq-AL"/>
        </w:rPr>
        <w:t>Neni 4/1, pika (1.dh) i LOB sanksionon që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p>
    <w:p w14:paraId="015FD4D4" w14:textId="77777777" w:rsidR="00B966EF" w:rsidRPr="00B644BE" w:rsidRDefault="00B966EF" w:rsidP="00B966EF">
      <w:pPr>
        <w:pStyle w:val="ListParagraph"/>
        <w:spacing w:line="240" w:lineRule="auto"/>
        <w:ind w:left="0" w:firstLine="720"/>
        <w:contextualSpacing w:val="0"/>
        <w:rPr>
          <w:rFonts w:cs="Calibri"/>
          <w:i/>
          <w:noProof/>
          <w:lang w:val="sq-AL"/>
        </w:rPr>
      </w:pPr>
      <w:r w:rsidRPr="00B644BE">
        <w:rPr>
          <w:rFonts w:cs="Calibri"/>
          <w:i/>
          <w:noProof/>
          <w:lang w:val="sq-AL"/>
        </w:rPr>
        <w:t>Zbatimi i ligjit (6):</w:t>
      </w:r>
    </w:p>
    <w:p w14:paraId="54748748" w14:textId="77777777" w:rsidR="00B966EF" w:rsidRPr="00B644BE" w:rsidRDefault="00B966EF" w:rsidP="00B966EF">
      <w:pPr>
        <w:spacing w:before="0" w:line="240" w:lineRule="auto"/>
        <w:rPr>
          <w:rFonts w:cs="Calibri"/>
          <w:noProof/>
          <w:lang w:val="sq-AL"/>
        </w:rPr>
      </w:pPr>
      <w:r w:rsidRPr="00B644BE">
        <w:rPr>
          <w:rFonts w:cs="Calibri"/>
          <w:noProof/>
          <w:lang w:val="sq-AL"/>
        </w:rPr>
        <w:t>Në fund të vitit 202</w:t>
      </w:r>
      <w:r>
        <w:rPr>
          <w:rFonts w:cs="Calibri"/>
          <w:noProof/>
          <w:lang w:val="sq-AL"/>
        </w:rPr>
        <w:t>5</w:t>
      </w:r>
      <w:r w:rsidRPr="00B644BE">
        <w:rPr>
          <w:rFonts w:cs="Calibri"/>
          <w:noProof/>
          <w:lang w:val="sq-AL"/>
        </w:rPr>
        <w:t xml:space="preserve"> niveli i borxhit faktik ka rezultuar më i ulët se niveli që shënoi në vitin 202</w:t>
      </w:r>
      <w:r>
        <w:rPr>
          <w:rFonts w:cs="Calibri"/>
          <w:noProof/>
          <w:lang w:val="sq-AL"/>
        </w:rPr>
        <w:t>4</w:t>
      </w:r>
      <w:r w:rsidRPr="00B644BE">
        <w:rPr>
          <w:rFonts w:cs="Calibri"/>
          <w:noProof/>
          <w:lang w:val="sq-AL"/>
        </w:rPr>
        <w:t xml:space="preserve"> (</w:t>
      </w:r>
      <w:r w:rsidRPr="00B644BE">
        <w:rPr>
          <w:rFonts w:cs="Calibri"/>
          <w:i/>
          <w:noProof/>
          <w:lang w:val="sq-AL"/>
        </w:rPr>
        <w:t>deri në këtë moment të pёrgatitjes së këtij raporti</w:t>
      </w:r>
      <w:r w:rsidRPr="00B644BE">
        <w:rPr>
          <w:rFonts w:cs="Calibri"/>
          <w:noProof/>
          <w:lang w:val="sq-AL"/>
        </w:rPr>
        <w:t>), specifikisht borxhi në vitin 202</w:t>
      </w:r>
      <w:r>
        <w:rPr>
          <w:rFonts w:cs="Calibri"/>
          <w:noProof/>
          <w:lang w:val="sq-AL"/>
        </w:rPr>
        <w:t>4</w:t>
      </w:r>
      <w:r w:rsidRPr="00B644BE">
        <w:rPr>
          <w:rFonts w:cs="Calibri"/>
          <w:noProof/>
          <w:lang w:val="sq-AL"/>
        </w:rPr>
        <w:t xml:space="preserve"> </w:t>
      </w:r>
      <w:r w:rsidRPr="00C12AA7">
        <w:rPr>
          <w:rFonts w:cs="Calibri"/>
          <w:noProof/>
          <w:lang w:val="sq-AL"/>
        </w:rPr>
        <w:t xml:space="preserve">shënoi </w:t>
      </w:r>
      <w:r w:rsidRPr="009C16C1">
        <w:rPr>
          <w:rFonts w:cs="Calibri"/>
          <w:noProof/>
          <w:lang w:val="sq-AL"/>
        </w:rPr>
        <w:t>5</w:t>
      </w:r>
      <w:r>
        <w:rPr>
          <w:rFonts w:cs="Calibri"/>
          <w:noProof/>
          <w:lang w:val="sq-AL"/>
        </w:rPr>
        <w:t>4.2</w:t>
      </w:r>
      <w:r w:rsidRPr="00C12AA7">
        <w:rPr>
          <w:rFonts w:cs="Calibri"/>
          <w:noProof/>
          <w:lang w:val="sq-AL"/>
        </w:rPr>
        <w:t>%</w:t>
      </w:r>
      <w:r w:rsidRPr="00B644BE">
        <w:rPr>
          <w:rFonts w:cs="Calibri"/>
          <w:noProof/>
          <w:lang w:val="sq-AL"/>
        </w:rPr>
        <w:t xml:space="preserve"> ndërsa në fund të 202</w:t>
      </w:r>
      <w:r>
        <w:rPr>
          <w:rFonts w:cs="Calibri"/>
          <w:noProof/>
          <w:lang w:val="sq-AL"/>
        </w:rPr>
        <w:t>5</w:t>
      </w:r>
      <w:r w:rsidRPr="00B644BE">
        <w:rPr>
          <w:rFonts w:cs="Calibri"/>
          <w:noProof/>
          <w:lang w:val="sq-AL"/>
        </w:rPr>
        <w:t xml:space="preserve"> shënoi 5</w:t>
      </w:r>
      <w:r>
        <w:rPr>
          <w:rFonts w:cs="Calibri"/>
          <w:noProof/>
          <w:lang w:val="sq-AL"/>
        </w:rPr>
        <w:t>2.9%</w:t>
      </w:r>
      <w:r w:rsidRPr="00B644BE">
        <w:rPr>
          <w:rFonts w:cs="Calibri"/>
          <w:noProof/>
          <w:lang w:val="sq-AL"/>
        </w:rPr>
        <w:t>. Rrjedhimisht, kjo pikë nuk është relevante për sa i takon planifikimeve në buxhetet pasuese.</w:t>
      </w:r>
    </w:p>
    <w:p w14:paraId="04D0ED87" w14:textId="3EC07056" w:rsidR="00B966EF" w:rsidRPr="009C7207" w:rsidRDefault="00B966EF" w:rsidP="00B966EF">
      <w:pPr>
        <w:spacing w:after="120" w:line="240" w:lineRule="auto"/>
        <w:contextualSpacing/>
        <w:rPr>
          <w:rFonts w:cs="Calibri"/>
          <w:i/>
          <w:noProof/>
          <w:sz w:val="18"/>
          <w:lang w:val="sq-AL"/>
        </w:rPr>
      </w:pPr>
      <w:r w:rsidRPr="00777F10">
        <w:rPr>
          <w:rFonts w:cs="Calibri"/>
          <w:b/>
          <w:i/>
          <w:noProof/>
          <w:sz w:val="18"/>
          <w:u w:val="single"/>
          <w:lang w:val="sq-AL"/>
        </w:rPr>
        <w:t>Shënim:</w:t>
      </w:r>
      <w:r w:rsidRPr="00777F10">
        <w:rPr>
          <w:rFonts w:cs="Calibri"/>
          <w:i/>
          <w:noProof/>
          <w:sz w:val="18"/>
          <w:lang w:val="sq-AL"/>
        </w:rPr>
        <w:t xml:space="preserve"> Kjo pikë nuk është relevante sa i takon përputhshmërisë me LOB për vitin që analizohet aktualisht, konkretisht viti 2025, por ajo ka implikime që duhen adresuar në ligjet e buxheteve të viteve të tjera në vijim nëse ndodh rasti që parashikohet në këtë pikë të LOB.</w:t>
      </w:r>
    </w:p>
    <w:p w14:paraId="675A70D5" w14:textId="77777777" w:rsidR="00BB7DD5" w:rsidRPr="00A758DC" w:rsidRDefault="00BB7DD5" w:rsidP="00B966EF">
      <w:pPr>
        <w:spacing w:after="120" w:line="240" w:lineRule="auto"/>
        <w:contextualSpacing/>
        <w:rPr>
          <w:rFonts w:cs="Calibri"/>
          <w:i/>
          <w:noProof/>
          <w:sz w:val="16"/>
          <w:szCs w:val="22"/>
          <w:lang w:val="sq-AL"/>
        </w:rPr>
      </w:pPr>
    </w:p>
    <w:p w14:paraId="5E350379" w14:textId="77777777" w:rsidR="00B966EF" w:rsidRPr="00B644BE" w:rsidRDefault="00B966EF" w:rsidP="00B966EF">
      <w:pPr>
        <w:pStyle w:val="ListParagraph"/>
        <w:spacing w:before="0" w:after="120" w:line="240" w:lineRule="auto"/>
        <w:ind w:left="0" w:firstLine="720"/>
        <w:contextualSpacing w:val="0"/>
        <w:rPr>
          <w:rFonts w:cs="Calibri"/>
          <w:b/>
          <w:i/>
          <w:noProof/>
          <w:lang w:val="sq-AL"/>
        </w:rPr>
      </w:pPr>
      <w:r w:rsidRPr="00B2585A">
        <w:rPr>
          <w:rFonts w:cs="Calibri"/>
          <w:b/>
          <w:i/>
          <w:noProof/>
          <w:lang w:val="sq-AL"/>
        </w:rPr>
        <w:t>Përcaktimi ligjor (7):</w:t>
      </w:r>
    </w:p>
    <w:p w14:paraId="32D311F9" w14:textId="77777777" w:rsidR="00B966EF" w:rsidRPr="00B644BE" w:rsidRDefault="00B966EF" w:rsidP="00B966EF">
      <w:pPr>
        <w:spacing w:after="120" w:line="240" w:lineRule="auto"/>
        <w:rPr>
          <w:rFonts w:cs="Calibri"/>
          <w:noProof/>
          <w:lang w:val="sq-AL"/>
        </w:rPr>
      </w:pPr>
      <w:bookmarkStart w:id="230" w:name="_Hlk167104023"/>
      <w:r w:rsidRPr="00B644BE">
        <w:rPr>
          <w:rFonts w:cs="Calibri"/>
          <w:noProof/>
          <w:lang w:val="sq-AL"/>
        </w:rPr>
        <w:t>Neni 4/1, pika (2) i LOB sanksionon që të ardhurat nga privatizimi nuk janë pjesë e procesit të programimit buxhetor. Në rastet e arkëtimit ato përdoren, jo më pak se 50%,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bookmarkEnd w:id="230"/>
      <w:r w:rsidRPr="00B644BE">
        <w:rPr>
          <w:rFonts w:cs="Calibri"/>
          <w:noProof/>
          <w:lang w:val="sq-AL"/>
        </w:rPr>
        <w:t>.</w:t>
      </w:r>
    </w:p>
    <w:p w14:paraId="66654F34" w14:textId="77777777" w:rsidR="00B966EF" w:rsidRPr="00B644BE" w:rsidRDefault="00B966EF" w:rsidP="00B966EF">
      <w:pPr>
        <w:spacing w:line="240" w:lineRule="auto"/>
        <w:ind w:left="720"/>
        <w:contextualSpacing/>
        <w:rPr>
          <w:rFonts w:cs="Calibri"/>
          <w:noProof/>
          <w:lang w:val="sq-AL"/>
        </w:rPr>
      </w:pPr>
      <w:r w:rsidRPr="00B644BE">
        <w:rPr>
          <w:rFonts w:cs="Calibri"/>
          <w:noProof/>
          <w:lang w:val="sq-AL"/>
        </w:rPr>
        <w:t>Zbatimi i ligjit (7):</w:t>
      </w:r>
    </w:p>
    <w:p w14:paraId="579C5E3F" w14:textId="19BF64B7" w:rsidR="00B966EF" w:rsidRDefault="00B966EF" w:rsidP="00B966EF">
      <w:pPr>
        <w:pStyle w:val="ListParagraph"/>
        <w:spacing w:before="0" w:after="120" w:line="240" w:lineRule="auto"/>
        <w:ind w:left="0"/>
        <w:rPr>
          <w:rFonts w:cs="Calibri"/>
          <w:noProof/>
          <w:szCs w:val="22"/>
          <w:lang w:val="sq-AL"/>
        </w:rPr>
      </w:pPr>
      <w:r w:rsidRPr="00B2585A">
        <w:rPr>
          <w:rFonts w:cs="Calibri"/>
          <w:noProof/>
          <w:szCs w:val="22"/>
          <w:lang w:val="sq-AL"/>
        </w:rPr>
        <w:t>Çdo ligj vjetor i buxhetit hartuar dhe miratuar për vitin 202</w:t>
      </w:r>
      <w:r>
        <w:rPr>
          <w:rFonts w:cs="Calibri"/>
          <w:noProof/>
          <w:szCs w:val="22"/>
          <w:lang w:val="sq-AL"/>
        </w:rPr>
        <w:t>5</w:t>
      </w:r>
      <w:r w:rsidRPr="00B2585A">
        <w:rPr>
          <w:rFonts w:cs="Calibri"/>
          <w:noProof/>
          <w:szCs w:val="22"/>
          <w:lang w:val="sq-AL"/>
        </w:rPr>
        <w:t xml:space="preserve"> ka qenë në përputhje të plotë me këtë përcaktim ligjor. Së pari, në asnjë ligj vjetor të buxhetit 202</w:t>
      </w:r>
      <w:r>
        <w:rPr>
          <w:rFonts w:cs="Calibri"/>
          <w:noProof/>
          <w:szCs w:val="22"/>
          <w:lang w:val="sq-AL"/>
        </w:rPr>
        <w:t>5</w:t>
      </w:r>
      <w:r w:rsidRPr="00B2585A">
        <w:rPr>
          <w:rFonts w:cs="Calibri"/>
          <w:noProof/>
          <w:szCs w:val="22"/>
          <w:lang w:val="sq-AL"/>
        </w:rPr>
        <w:t xml:space="preserve"> nuk janë parashikuar të ardhura shtesë nga privatizimet. Së dyti, të ardhurat nga privatizimet të realizuara gjatë vitit 202</w:t>
      </w:r>
      <w:r>
        <w:rPr>
          <w:rFonts w:cs="Calibri"/>
          <w:noProof/>
          <w:szCs w:val="22"/>
          <w:lang w:val="sq-AL"/>
        </w:rPr>
        <w:t>5</w:t>
      </w:r>
      <w:r w:rsidRPr="00B2585A">
        <w:rPr>
          <w:rFonts w:cs="Calibri"/>
          <w:noProof/>
          <w:szCs w:val="22"/>
          <w:lang w:val="sq-AL"/>
        </w:rPr>
        <w:t xml:space="preserve"> kanë qenë në vlerën e rreth </w:t>
      </w:r>
      <w:r>
        <w:rPr>
          <w:rFonts w:cs="Calibri"/>
          <w:noProof/>
          <w:szCs w:val="22"/>
          <w:lang w:val="sq-AL"/>
        </w:rPr>
        <w:t>301</w:t>
      </w:r>
      <w:r w:rsidRPr="00B2585A">
        <w:rPr>
          <w:rFonts w:cs="Calibri"/>
          <w:noProof/>
          <w:szCs w:val="22"/>
          <w:lang w:val="sq-AL"/>
        </w:rPr>
        <w:t xml:space="preserve"> </w:t>
      </w:r>
      <w:r w:rsidR="0056260B">
        <w:rPr>
          <w:rFonts w:cs="Calibri"/>
          <w:noProof/>
          <w:szCs w:val="22"/>
          <w:lang w:val="sq-AL"/>
        </w:rPr>
        <w:t>milionë</w:t>
      </w:r>
      <w:r w:rsidRPr="00B2585A">
        <w:rPr>
          <w:rFonts w:cs="Calibri"/>
          <w:noProof/>
          <w:szCs w:val="22"/>
          <w:lang w:val="sq-AL"/>
        </w:rPr>
        <w:t xml:space="preserve"> LEK, e cila është një vlerë marxhinale, pa rëndësi relative, krahasuar me ndryshimet e pësuara përgjatë vitit (në ndryshimet ligjore, si dhe rezultatet faktike) të zërit të shpenzimeve kapitale totale, si dhe atij të huamarrjes totale neto. Pra, pjesa e dytë e kësaj pike (lidhur me përdorimin e këtyre të hyrave në rast arkëtimi) nuk gjen aplikim (nuk është relevante) në këtë rast.</w:t>
      </w:r>
    </w:p>
    <w:p w14:paraId="24D8875B" w14:textId="77777777" w:rsidR="00B966EF" w:rsidRDefault="00B966EF" w:rsidP="00B966EF">
      <w:pPr>
        <w:pStyle w:val="ListParagraph"/>
        <w:spacing w:after="120" w:line="240" w:lineRule="auto"/>
        <w:ind w:left="0"/>
        <w:rPr>
          <w:rFonts w:eastAsiaTheme="minorHAnsi" w:cs="Calibri"/>
          <w:noProof/>
          <w:sz w:val="20"/>
          <w:szCs w:val="22"/>
          <w:lang w:val="sq-AL"/>
        </w:rPr>
      </w:pPr>
    </w:p>
    <w:p w14:paraId="02AA0A46" w14:textId="77777777" w:rsidR="00BB7DD5" w:rsidRPr="00A758DC" w:rsidRDefault="00BB7DD5" w:rsidP="00B966EF">
      <w:pPr>
        <w:pStyle w:val="ListParagraph"/>
        <w:spacing w:after="120" w:line="240" w:lineRule="auto"/>
        <w:ind w:left="0"/>
        <w:rPr>
          <w:rFonts w:eastAsiaTheme="minorHAnsi" w:cs="Calibri"/>
          <w:noProof/>
          <w:sz w:val="20"/>
          <w:szCs w:val="22"/>
          <w:lang w:val="sq-AL"/>
        </w:rPr>
      </w:pPr>
    </w:p>
    <w:p w14:paraId="21CD7A30" w14:textId="77777777" w:rsidR="00B966EF" w:rsidRPr="00B644BE" w:rsidRDefault="00B966EF" w:rsidP="00B966EF">
      <w:pPr>
        <w:pStyle w:val="ListParagraph"/>
        <w:spacing w:after="120" w:line="240" w:lineRule="auto"/>
        <w:ind w:left="0" w:firstLine="720"/>
        <w:contextualSpacing w:val="0"/>
        <w:rPr>
          <w:rFonts w:cs="Calibri"/>
          <w:b/>
          <w:i/>
          <w:noProof/>
          <w:lang w:val="sq-AL"/>
        </w:rPr>
      </w:pPr>
      <w:bookmarkStart w:id="231" w:name="_Hlk197345266"/>
      <w:r w:rsidRPr="00902CE3">
        <w:rPr>
          <w:rFonts w:cs="Calibri"/>
          <w:b/>
          <w:i/>
          <w:noProof/>
          <w:lang w:val="sq-AL"/>
        </w:rPr>
        <w:t>Përcaktimi ligjor (8):</w:t>
      </w:r>
    </w:p>
    <w:p w14:paraId="62D54BE4" w14:textId="77777777" w:rsidR="00B966EF" w:rsidRPr="00B644BE" w:rsidRDefault="00B966EF" w:rsidP="00B966EF">
      <w:pPr>
        <w:spacing w:after="120" w:line="240" w:lineRule="auto"/>
        <w:rPr>
          <w:rFonts w:cs="Calibri"/>
          <w:noProof/>
          <w:lang w:val="sq-AL"/>
        </w:rPr>
      </w:pPr>
      <w:bookmarkStart w:id="232" w:name="_Hlk167104119"/>
      <w:r w:rsidRPr="00B644BE">
        <w:rPr>
          <w:rFonts w:cs="Calibri"/>
          <w:noProof/>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bookmarkEnd w:id="232"/>
      <w:r w:rsidRPr="00B644BE">
        <w:rPr>
          <w:rFonts w:cs="Calibri"/>
          <w:noProof/>
          <w:lang w:val="sq-AL"/>
        </w:rPr>
        <w:t xml:space="preserve">. </w:t>
      </w:r>
    </w:p>
    <w:p w14:paraId="2BCD5C78" w14:textId="77777777" w:rsidR="00B966EF" w:rsidRPr="00B644BE" w:rsidRDefault="00B966EF" w:rsidP="00B966EF">
      <w:pPr>
        <w:spacing w:line="240" w:lineRule="auto"/>
        <w:ind w:firstLine="720"/>
        <w:rPr>
          <w:rFonts w:cs="Calibri"/>
          <w:i/>
          <w:noProof/>
          <w:lang w:val="sq-AL"/>
        </w:rPr>
      </w:pPr>
      <w:r w:rsidRPr="00B644BE">
        <w:rPr>
          <w:rFonts w:cs="Calibri"/>
          <w:i/>
          <w:noProof/>
          <w:lang w:val="sq-AL"/>
        </w:rPr>
        <w:t>Zbatimi i ligjit (8):</w:t>
      </w:r>
    </w:p>
    <w:p w14:paraId="51F7AB52" w14:textId="7F37DB10" w:rsidR="00BB7DD5" w:rsidRPr="009C7207" w:rsidRDefault="00B966EF" w:rsidP="009C7207">
      <w:pPr>
        <w:pStyle w:val="ListParagraph"/>
        <w:spacing w:before="0" w:after="120" w:line="240" w:lineRule="auto"/>
        <w:ind w:left="0"/>
        <w:contextualSpacing w:val="0"/>
        <w:rPr>
          <w:rFonts w:cs="Calibri"/>
          <w:noProof/>
          <w:lang w:val="sq-AL"/>
        </w:rPr>
      </w:pPr>
      <w:bookmarkStart w:id="233" w:name="_Hlk167104131"/>
      <w:r w:rsidRPr="00777F10">
        <w:rPr>
          <w:rFonts w:cs="Calibri"/>
          <w:noProof/>
          <w:lang w:val="sq-AL"/>
        </w:rPr>
        <w:t>Amendimet kryesore të ligjeve tatimore me efekt nё tё ardhurat e buxhetit pёr vitin 2025, kanё nisur nё fillim tё katërmujorit tё tretë 2024. Ndryshimet kryesore ligjore për TVSH-në, për tatimin mbi të ardhurat, për taksat kombëtare dhe për akcizat, i janë nёnshtruar diskutimit dhe marrjes sё mendimeve nga ministritё e linjёs, si dhe nga organizatat  pёrfaqёsuese dhe grupet e interesuara tё biznesit, duke reflektuar kёrkesat dhe sugjerimet e tyre. Këto ndryshime janë miratuar nё mbledhjen e Kёshillit tё Ministrave dhe më pas kanë vijuar procedurat e miratimit nga Kuvendi, me efekte që fillojnë nga viti 2025. Efektet e ndryshimeve fiskale pёrgjithёsisht janё marrё nё konsideratё nё planifikimin e tё ardhurave tatimore tё buxhetit 2025, buxhet i cili u miratua pas miratimit tё ndryshimeve ligjore të legjislacionit fiskal</w:t>
      </w:r>
      <w:bookmarkEnd w:id="233"/>
      <w:r w:rsidRPr="00777F10">
        <w:rPr>
          <w:rFonts w:cs="Calibri"/>
          <w:noProof/>
          <w:lang w:val="sq-AL"/>
        </w:rPr>
        <w:t>.</w:t>
      </w:r>
      <w:bookmarkEnd w:id="231"/>
    </w:p>
    <w:p w14:paraId="76A5FDBF" w14:textId="77777777" w:rsidR="00BB7DD5" w:rsidRDefault="00BB7DD5" w:rsidP="00B966EF">
      <w:pPr>
        <w:pStyle w:val="ListParagraph"/>
        <w:spacing w:after="120" w:line="240" w:lineRule="auto"/>
        <w:ind w:left="0"/>
        <w:contextualSpacing w:val="0"/>
        <w:rPr>
          <w:rFonts w:cs="Calibri"/>
          <w:i/>
          <w:noProof/>
          <w:sz w:val="8"/>
          <w:lang w:val="sq-AL"/>
        </w:rPr>
      </w:pPr>
    </w:p>
    <w:p w14:paraId="3B50E346" w14:textId="77777777" w:rsidR="009C7207" w:rsidRDefault="009C7207" w:rsidP="00B966EF">
      <w:pPr>
        <w:pStyle w:val="ListParagraph"/>
        <w:spacing w:after="120" w:line="240" w:lineRule="auto"/>
        <w:ind w:left="0"/>
        <w:contextualSpacing w:val="0"/>
        <w:rPr>
          <w:rFonts w:cs="Calibri"/>
          <w:i/>
          <w:noProof/>
          <w:sz w:val="8"/>
          <w:lang w:val="sq-AL"/>
        </w:rPr>
      </w:pPr>
    </w:p>
    <w:p w14:paraId="11D41063" w14:textId="77777777" w:rsidR="009C7207" w:rsidRDefault="009C7207" w:rsidP="00B966EF">
      <w:pPr>
        <w:pStyle w:val="ListParagraph"/>
        <w:spacing w:after="120" w:line="240" w:lineRule="auto"/>
        <w:ind w:left="0"/>
        <w:contextualSpacing w:val="0"/>
        <w:rPr>
          <w:rFonts w:cs="Calibri"/>
          <w:i/>
          <w:noProof/>
          <w:sz w:val="8"/>
          <w:lang w:val="sq-AL"/>
        </w:rPr>
      </w:pPr>
    </w:p>
    <w:p w14:paraId="7A7B5E87" w14:textId="77777777" w:rsidR="009C7207" w:rsidRDefault="009C7207" w:rsidP="00B966EF">
      <w:pPr>
        <w:pStyle w:val="ListParagraph"/>
        <w:spacing w:after="120" w:line="240" w:lineRule="auto"/>
        <w:ind w:left="0"/>
        <w:contextualSpacing w:val="0"/>
        <w:rPr>
          <w:rFonts w:cs="Calibri"/>
          <w:i/>
          <w:noProof/>
          <w:sz w:val="8"/>
          <w:lang w:val="sq-AL"/>
        </w:rPr>
      </w:pPr>
    </w:p>
    <w:p w14:paraId="44FFAD4A" w14:textId="77777777" w:rsidR="009C7207" w:rsidRDefault="009C7207" w:rsidP="00B966EF">
      <w:pPr>
        <w:pStyle w:val="ListParagraph"/>
        <w:spacing w:after="120" w:line="240" w:lineRule="auto"/>
        <w:ind w:left="0"/>
        <w:contextualSpacing w:val="0"/>
        <w:rPr>
          <w:rFonts w:cs="Calibri"/>
          <w:i/>
          <w:noProof/>
          <w:sz w:val="8"/>
          <w:lang w:val="sq-AL"/>
        </w:rPr>
      </w:pPr>
    </w:p>
    <w:p w14:paraId="1BA8B53F" w14:textId="77777777" w:rsidR="00BB7DD5" w:rsidRDefault="00BB7DD5" w:rsidP="00B966EF">
      <w:pPr>
        <w:pStyle w:val="ListParagraph"/>
        <w:spacing w:after="120" w:line="240" w:lineRule="auto"/>
        <w:ind w:left="0"/>
        <w:contextualSpacing w:val="0"/>
        <w:rPr>
          <w:rFonts w:cs="Calibri"/>
          <w:i/>
          <w:noProof/>
          <w:sz w:val="8"/>
          <w:lang w:val="sq-AL"/>
        </w:rPr>
      </w:pPr>
    </w:p>
    <w:p w14:paraId="1BA9D90F" w14:textId="77777777" w:rsidR="00B966EF" w:rsidRPr="00B644BE" w:rsidRDefault="00B966EF" w:rsidP="00B966EF">
      <w:pPr>
        <w:spacing w:after="120" w:line="240" w:lineRule="auto"/>
        <w:ind w:firstLine="720"/>
        <w:rPr>
          <w:rFonts w:cs="Calibri"/>
          <w:b/>
          <w:i/>
          <w:noProof/>
          <w:lang w:val="sq-AL"/>
        </w:rPr>
      </w:pPr>
      <w:r w:rsidRPr="00B2585A">
        <w:rPr>
          <w:rFonts w:cs="Calibri"/>
          <w:b/>
          <w:i/>
          <w:noProof/>
          <w:lang w:val="sq-AL"/>
        </w:rPr>
        <w:lastRenderedPageBreak/>
        <w:t>Përcaktimi ligjor (9):</w:t>
      </w:r>
    </w:p>
    <w:p w14:paraId="5DF8DFD3" w14:textId="77777777" w:rsidR="00B966EF" w:rsidRPr="00B644BE" w:rsidRDefault="00B966EF" w:rsidP="00B966EF">
      <w:pPr>
        <w:spacing w:after="120" w:line="240" w:lineRule="auto"/>
        <w:rPr>
          <w:rFonts w:cs="Calibri"/>
          <w:noProof/>
          <w:lang w:val="sq-AL"/>
        </w:rPr>
      </w:pPr>
      <w:r w:rsidRPr="00B644BE">
        <w:rPr>
          <w:rFonts w:cs="Calibri"/>
          <w:noProof/>
          <w:lang w:val="sq-AL"/>
        </w:rPr>
        <w:t>Neni 4/1, pika (4) i LOB sanksionon që masa e defiçitit buxhetor nuk mund të tejkalojë masën e shpenzimeve kapitale të parashikuara çdo vit në ligjin e buxhetit, përveç në rastet e rrethanave të jashtëzakonshme, që parashikohen në nenin 4/4 të këtij ligji.</w:t>
      </w:r>
    </w:p>
    <w:p w14:paraId="7E547213" w14:textId="77777777" w:rsidR="00B966EF" w:rsidRPr="00B644BE" w:rsidRDefault="00B966EF" w:rsidP="00B966EF">
      <w:pPr>
        <w:spacing w:line="240" w:lineRule="auto"/>
        <w:ind w:firstLine="720"/>
        <w:rPr>
          <w:rFonts w:cs="Calibri"/>
          <w:i/>
          <w:noProof/>
          <w:lang w:val="sq-AL"/>
        </w:rPr>
      </w:pPr>
      <w:r w:rsidRPr="00B644BE">
        <w:rPr>
          <w:rFonts w:cs="Calibri"/>
          <w:i/>
          <w:noProof/>
          <w:lang w:val="sq-AL"/>
        </w:rPr>
        <w:t>Zbatimi i Ligjit (9):</w:t>
      </w:r>
    </w:p>
    <w:p w14:paraId="08A93BEA" w14:textId="77777777" w:rsidR="00B966EF" w:rsidRPr="00B644BE" w:rsidRDefault="00B966EF" w:rsidP="00B966EF">
      <w:pPr>
        <w:spacing w:before="0" w:after="120" w:line="240" w:lineRule="auto"/>
        <w:rPr>
          <w:rFonts w:cs="Calibri"/>
          <w:noProof/>
          <w:lang w:val="sq-AL"/>
        </w:rPr>
      </w:pPr>
      <w:r w:rsidRPr="00B644BE">
        <w:rPr>
          <w:rFonts w:cs="Calibri"/>
          <w:noProof/>
          <w:lang w:val="sq-AL"/>
        </w:rPr>
        <w:t>Çdo ligj vjetor i buxhetit hartuar dhe miratuar për vitin 202</w:t>
      </w:r>
      <w:r>
        <w:rPr>
          <w:rFonts w:cs="Calibri"/>
          <w:noProof/>
          <w:lang w:val="sq-AL"/>
        </w:rPr>
        <w:t>5</w:t>
      </w:r>
      <w:r w:rsidRPr="00B644BE">
        <w:rPr>
          <w:rFonts w:cs="Calibri"/>
          <w:noProof/>
          <w:lang w:val="sq-AL"/>
        </w:rPr>
        <w:t xml:space="preserve"> ka qenë në përputhje të plotë me këtë përcaktim ligjor. Tabela më poshtë paraqet me shifra specifike përputhshmërinë e secilit ligj të buxhetit 202</w:t>
      </w:r>
      <w:r>
        <w:rPr>
          <w:rFonts w:cs="Calibri"/>
          <w:noProof/>
          <w:lang w:val="sq-AL"/>
        </w:rPr>
        <w:t>5</w:t>
      </w:r>
      <w:r w:rsidRPr="00B644BE">
        <w:rPr>
          <w:rFonts w:cs="Calibri"/>
          <w:noProof/>
          <w:lang w:val="sq-AL"/>
        </w:rPr>
        <w:t xml:space="preserve"> me këtë përcaktim të LOB.</w:t>
      </w:r>
    </w:p>
    <w:p w14:paraId="5F6C40F8" w14:textId="77777777" w:rsidR="00B966EF" w:rsidRPr="00B644BE" w:rsidRDefault="00B966EF" w:rsidP="00B966EF">
      <w:pPr>
        <w:spacing w:before="0" w:line="240" w:lineRule="auto"/>
        <w:jc w:val="center"/>
        <w:rPr>
          <w:rFonts w:cs="Calibri"/>
          <w:noProof/>
          <w:lang w:val="sq-AL"/>
        </w:rPr>
      </w:pPr>
      <w:r w:rsidRPr="00C07646">
        <w:rPr>
          <w:noProof/>
        </w:rPr>
        <w:drawing>
          <wp:inline distT="0" distB="0" distL="0" distR="0" wp14:anchorId="29E40687" wp14:editId="2BDB4163">
            <wp:extent cx="6286500" cy="1052830"/>
            <wp:effectExtent l="0" t="0" r="0" b="0"/>
            <wp:docPr id="1629316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1052830"/>
                    </a:xfrm>
                    <a:prstGeom prst="rect">
                      <a:avLst/>
                    </a:prstGeom>
                    <a:noFill/>
                    <a:ln>
                      <a:noFill/>
                    </a:ln>
                  </pic:spPr>
                </pic:pic>
              </a:graphicData>
            </a:graphic>
          </wp:inline>
        </w:drawing>
      </w:r>
    </w:p>
    <w:p w14:paraId="57055670" w14:textId="77777777" w:rsidR="00B966EF" w:rsidRDefault="00B966EF" w:rsidP="00B966EF">
      <w:pPr>
        <w:spacing w:before="0" w:line="240" w:lineRule="auto"/>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Edhe kjo pikë e LOB jep përcaktime ligjore të detyrueshme për fazën planifikuese të buxhetit, ndërkohë që nuk është sanksionuese për rezultatin faktik në mbyllje të vitit. </w:t>
      </w:r>
    </w:p>
    <w:p w14:paraId="4EBF039D" w14:textId="77777777" w:rsidR="00BB7DD5" w:rsidRPr="00B644BE" w:rsidRDefault="00BB7DD5" w:rsidP="00B966EF">
      <w:pPr>
        <w:spacing w:before="0" w:line="240" w:lineRule="auto"/>
        <w:rPr>
          <w:rFonts w:cs="Calibri"/>
          <w:i/>
          <w:noProof/>
          <w:sz w:val="18"/>
          <w:lang w:val="sq-AL"/>
        </w:rPr>
      </w:pPr>
    </w:p>
    <w:p w14:paraId="02D1F98E" w14:textId="77777777" w:rsidR="00B966EF" w:rsidRPr="00A758DC" w:rsidRDefault="00B966EF" w:rsidP="00B966EF">
      <w:pPr>
        <w:spacing w:before="0" w:line="240" w:lineRule="auto"/>
        <w:rPr>
          <w:rFonts w:cs="Calibri"/>
          <w:i/>
          <w:noProof/>
          <w:sz w:val="16"/>
          <w:szCs w:val="22"/>
          <w:lang w:val="sq-AL"/>
        </w:rPr>
      </w:pPr>
    </w:p>
    <w:p w14:paraId="4C5F8185" w14:textId="77777777" w:rsidR="00B966EF" w:rsidRDefault="00B966EF" w:rsidP="00B966EF">
      <w:pPr>
        <w:spacing w:line="240" w:lineRule="auto"/>
        <w:ind w:firstLine="720"/>
        <w:rPr>
          <w:rFonts w:cs="Calibri"/>
          <w:b/>
          <w:i/>
          <w:noProof/>
          <w:lang w:val="sq-AL"/>
        </w:rPr>
      </w:pPr>
      <w:r w:rsidRPr="00EC5D51">
        <w:rPr>
          <w:rFonts w:cs="Calibri"/>
          <w:b/>
          <w:i/>
          <w:noProof/>
          <w:lang w:val="sq-AL"/>
        </w:rPr>
        <w:t>P</w:t>
      </w:r>
      <w:r>
        <w:rPr>
          <w:rFonts w:cs="Calibri"/>
          <w:b/>
          <w:i/>
          <w:noProof/>
          <w:lang w:val="sq-AL"/>
        </w:rPr>
        <w:t>ë</w:t>
      </w:r>
      <w:r w:rsidRPr="00EC5D51">
        <w:rPr>
          <w:rFonts w:cs="Calibri"/>
          <w:b/>
          <w:i/>
          <w:noProof/>
          <w:lang w:val="sq-AL"/>
        </w:rPr>
        <w:t>rcaktimi ligjor (</w:t>
      </w:r>
      <w:r>
        <w:rPr>
          <w:rFonts w:cs="Calibri"/>
          <w:b/>
          <w:i/>
          <w:noProof/>
          <w:lang w:val="sq-AL"/>
        </w:rPr>
        <w:t>10</w:t>
      </w:r>
      <w:r w:rsidRPr="00EC5D51">
        <w:rPr>
          <w:rFonts w:cs="Calibri"/>
          <w:b/>
          <w:i/>
          <w:noProof/>
          <w:lang w:val="sq-AL"/>
        </w:rPr>
        <w:t>):</w:t>
      </w:r>
    </w:p>
    <w:p w14:paraId="06F8A95C" w14:textId="77777777" w:rsidR="00B966EF" w:rsidRDefault="00B966EF" w:rsidP="00B966EF">
      <w:pPr>
        <w:spacing w:line="240" w:lineRule="auto"/>
        <w:rPr>
          <w:rFonts w:cs="Calibri"/>
          <w:bCs/>
          <w:iCs/>
          <w:noProof/>
          <w:lang w:val="sq-AL"/>
        </w:rPr>
      </w:pPr>
      <w:r w:rsidRPr="00EC5D51">
        <w:rPr>
          <w:rFonts w:cs="Calibri"/>
          <w:bCs/>
          <w:iCs/>
          <w:noProof/>
          <w:lang w:val="sq-AL"/>
        </w:rPr>
        <w:t>Neni 4/1, pika (5) i LOB sa</w:t>
      </w:r>
      <w:r>
        <w:rPr>
          <w:rFonts w:cs="Calibri"/>
          <w:bCs/>
          <w:iCs/>
          <w:noProof/>
          <w:lang w:val="sq-AL"/>
        </w:rPr>
        <w:t>n</w:t>
      </w:r>
      <w:r w:rsidRPr="00EC5D51">
        <w:rPr>
          <w:rFonts w:cs="Calibri"/>
          <w:bCs/>
          <w:iCs/>
          <w:noProof/>
          <w:lang w:val="sq-AL"/>
        </w:rPr>
        <w:t>ksionon q</w:t>
      </w:r>
      <w:r>
        <w:rPr>
          <w:rFonts w:cs="Calibri"/>
          <w:bCs/>
          <w:iCs/>
          <w:noProof/>
          <w:lang w:val="sq-AL"/>
        </w:rPr>
        <w:t>ë</w:t>
      </w:r>
      <w:r w:rsidRPr="00EC5D51">
        <w:rPr>
          <w:rFonts w:cs="Calibri"/>
          <w:bCs/>
          <w:iCs/>
          <w:noProof/>
          <w:lang w:val="sq-AL"/>
        </w:rPr>
        <w:t xml:space="preserve"> duke filluar prej vitit buxhetor 202</w:t>
      </w:r>
      <w:r>
        <w:rPr>
          <w:rFonts w:cs="Calibri"/>
          <w:bCs/>
          <w:iCs/>
          <w:noProof/>
          <w:lang w:val="sq-AL"/>
        </w:rPr>
        <w:t>4</w:t>
      </w:r>
      <w:r w:rsidRPr="00EC5D51">
        <w:rPr>
          <w:rFonts w:cs="Calibri"/>
          <w:bCs/>
          <w:iCs/>
          <w:noProof/>
          <w:lang w:val="sq-AL"/>
        </w:rPr>
        <w:t xml:space="preserve"> e në vijim, balanca primare buxhetore nuk duhet të rezultojë më e vogël sesa zero, përveçse në rastet e rrethanave të jashtëzakonshme që parashikohen në nenin 4/4, të këtij ligji.</w:t>
      </w:r>
    </w:p>
    <w:p w14:paraId="0C85D0F8" w14:textId="77777777" w:rsidR="00B966EF" w:rsidRDefault="00B966EF" w:rsidP="00B966EF">
      <w:pPr>
        <w:spacing w:line="240" w:lineRule="auto"/>
        <w:ind w:firstLine="720"/>
        <w:rPr>
          <w:rFonts w:cs="Calibri"/>
          <w:i/>
          <w:noProof/>
          <w:lang w:val="sq-AL"/>
        </w:rPr>
      </w:pPr>
      <w:r w:rsidRPr="00EC5D51">
        <w:rPr>
          <w:rFonts w:cs="Calibri"/>
          <w:i/>
          <w:noProof/>
          <w:lang w:val="sq-AL"/>
        </w:rPr>
        <w:t>Zbatimi i ligjit (</w:t>
      </w:r>
      <w:r>
        <w:rPr>
          <w:rFonts w:cs="Calibri"/>
          <w:i/>
          <w:noProof/>
          <w:lang w:val="sq-AL"/>
        </w:rPr>
        <w:t>10</w:t>
      </w:r>
      <w:r w:rsidRPr="00EC5D51">
        <w:rPr>
          <w:rFonts w:cs="Calibri"/>
          <w:i/>
          <w:noProof/>
          <w:lang w:val="sq-AL"/>
        </w:rPr>
        <w:t>)</w:t>
      </w:r>
      <w:r>
        <w:rPr>
          <w:rFonts w:cs="Calibri"/>
          <w:i/>
          <w:noProof/>
          <w:lang w:val="sq-AL"/>
        </w:rPr>
        <w:t>:</w:t>
      </w:r>
    </w:p>
    <w:p w14:paraId="04AE6375" w14:textId="0E80C3C8" w:rsidR="00B966EF" w:rsidRDefault="00B966EF" w:rsidP="00B966EF">
      <w:pPr>
        <w:spacing w:before="0" w:after="120" w:line="240" w:lineRule="auto"/>
        <w:rPr>
          <w:rFonts w:cs="Calibri"/>
          <w:noProof/>
          <w:lang w:val="sq-AL"/>
        </w:rPr>
      </w:pPr>
      <w:r>
        <w:rPr>
          <w:rFonts w:cs="Calibri"/>
          <w:noProof/>
          <w:lang w:val="sq-AL"/>
        </w:rPr>
        <w:t xml:space="preserve">Çdo ligj vjetor i buxhetit i hartuar dhe miratuar për vitin 2025 ka qenë në përputhje të plotë me këtë përcaktim ligjor. Niveli i balancës primare i rezultuar në fund të 2025 është në përputhje të plotë me detyrimin ligjor të këtij neni/pike të LOB. Balanca primare gjatë vitit 2025 rezulton me një suficit prej 0.3 përqind e PBB ose 7,605 </w:t>
      </w:r>
      <w:r w:rsidR="0056260B">
        <w:rPr>
          <w:rFonts w:cs="Calibri"/>
          <w:noProof/>
          <w:lang w:val="sq-AL"/>
        </w:rPr>
        <w:t>milionë</w:t>
      </w:r>
      <w:r>
        <w:rPr>
          <w:rFonts w:cs="Calibri"/>
          <w:noProof/>
          <w:lang w:val="sq-AL"/>
        </w:rPr>
        <w:t xml:space="preserve"> </w:t>
      </w:r>
      <w:r w:rsidR="0056260B">
        <w:rPr>
          <w:rFonts w:cs="Calibri"/>
          <w:noProof/>
          <w:lang w:val="sq-AL"/>
        </w:rPr>
        <w:t>LEK</w:t>
      </w:r>
      <w:r>
        <w:rPr>
          <w:rFonts w:cs="Calibri"/>
          <w:noProof/>
          <w:lang w:val="sq-AL"/>
        </w:rPr>
        <w:t>. Tabela më poshtë paraqet shifrat specifike të parashikuara sipas secilit ligj të buxhetit 2025.</w:t>
      </w:r>
    </w:p>
    <w:p w14:paraId="312A3D2C" w14:textId="77777777" w:rsidR="00B966EF" w:rsidRPr="00B644BE" w:rsidRDefault="00B966EF" w:rsidP="00B966EF">
      <w:pPr>
        <w:spacing w:before="0" w:line="240" w:lineRule="auto"/>
        <w:rPr>
          <w:rFonts w:cs="Calibri"/>
          <w:i/>
          <w:noProof/>
          <w:sz w:val="18"/>
          <w:lang w:val="sq-AL"/>
        </w:rPr>
      </w:pPr>
      <w:r w:rsidRPr="00777F10">
        <w:rPr>
          <w:noProof/>
        </w:rPr>
        <w:drawing>
          <wp:inline distT="0" distB="0" distL="0" distR="0" wp14:anchorId="15682C5D" wp14:editId="587AA481">
            <wp:extent cx="6286500" cy="555625"/>
            <wp:effectExtent l="0" t="0" r="0" b="0"/>
            <wp:docPr id="136341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0" cy="555625"/>
                    </a:xfrm>
                    <a:prstGeom prst="rect">
                      <a:avLst/>
                    </a:prstGeom>
                    <a:noFill/>
                    <a:ln>
                      <a:noFill/>
                    </a:ln>
                  </pic:spPr>
                </pic:pic>
              </a:graphicData>
            </a:graphic>
          </wp:inline>
        </w:drawing>
      </w:r>
    </w:p>
    <w:p w14:paraId="3C798745" w14:textId="77777777" w:rsidR="00B966EF" w:rsidRDefault="00B966EF" w:rsidP="00B966EF">
      <w:pPr>
        <w:spacing w:before="0" w:line="240" w:lineRule="auto"/>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w:t>
      </w:r>
      <w:r>
        <w:rPr>
          <w:rFonts w:cs="Calibri"/>
          <w:i/>
          <w:noProof/>
          <w:sz w:val="18"/>
          <w:lang w:val="sq-AL"/>
        </w:rPr>
        <w:t>K</w:t>
      </w:r>
      <w:r w:rsidRPr="00B644BE">
        <w:rPr>
          <w:rFonts w:cs="Calibri"/>
          <w:i/>
          <w:noProof/>
          <w:sz w:val="18"/>
          <w:lang w:val="sq-AL"/>
        </w:rPr>
        <w:t>jo pikë e LOB jep përcaktime ligjore të detyrueshme për fazën planifikuese të buxhetit</w:t>
      </w:r>
      <w:r>
        <w:rPr>
          <w:rFonts w:cs="Calibri"/>
          <w:i/>
          <w:noProof/>
          <w:sz w:val="18"/>
          <w:lang w:val="sq-AL"/>
        </w:rPr>
        <w:t xml:space="preserve"> dhe </w:t>
      </w:r>
      <w:r w:rsidRPr="00B644BE">
        <w:rPr>
          <w:rFonts w:cs="Calibri"/>
          <w:i/>
          <w:noProof/>
          <w:sz w:val="18"/>
          <w:lang w:val="sq-AL"/>
        </w:rPr>
        <w:t xml:space="preserve">është sanksionuese për rezultatin faktik në mbyllje të vitit. </w:t>
      </w:r>
    </w:p>
    <w:p w14:paraId="1D472415" w14:textId="77777777" w:rsidR="00B966EF" w:rsidRDefault="00B966EF" w:rsidP="00B966EF">
      <w:pPr>
        <w:spacing w:before="0" w:line="240" w:lineRule="auto"/>
        <w:rPr>
          <w:rFonts w:cs="Calibri"/>
          <w:i/>
          <w:noProof/>
          <w:sz w:val="16"/>
          <w:szCs w:val="22"/>
          <w:lang w:val="sq-AL"/>
        </w:rPr>
      </w:pPr>
    </w:p>
    <w:p w14:paraId="778193C1" w14:textId="77777777" w:rsidR="00BB7DD5" w:rsidRPr="00A758DC" w:rsidRDefault="00BB7DD5" w:rsidP="00B966EF">
      <w:pPr>
        <w:spacing w:before="0" w:line="240" w:lineRule="auto"/>
        <w:rPr>
          <w:rFonts w:cs="Calibri"/>
          <w:i/>
          <w:noProof/>
          <w:sz w:val="16"/>
          <w:szCs w:val="22"/>
          <w:lang w:val="sq-AL"/>
        </w:rPr>
      </w:pPr>
    </w:p>
    <w:p w14:paraId="4D3FEE14" w14:textId="77777777" w:rsidR="00B966EF" w:rsidRPr="00B644BE" w:rsidRDefault="00B966EF" w:rsidP="00B966EF">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(1</w:t>
      </w:r>
      <w:r>
        <w:rPr>
          <w:rFonts w:cs="Calibri"/>
          <w:b/>
          <w:i/>
          <w:noProof/>
          <w:lang w:val="sq-AL"/>
        </w:rPr>
        <w:t>1</w:t>
      </w:r>
      <w:r w:rsidRPr="00B644BE">
        <w:rPr>
          <w:rFonts w:cs="Calibri"/>
          <w:b/>
          <w:i/>
          <w:noProof/>
          <w:lang w:val="sq-AL"/>
        </w:rPr>
        <w:t>):</w:t>
      </w:r>
    </w:p>
    <w:p w14:paraId="289D54CD" w14:textId="77777777" w:rsidR="00B966EF" w:rsidRPr="00B644BE" w:rsidRDefault="00B966EF" w:rsidP="00B966EF">
      <w:pPr>
        <w:spacing w:line="240" w:lineRule="auto"/>
        <w:rPr>
          <w:rFonts w:cs="Calibri"/>
          <w:noProof/>
          <w:lang w:val="sq-AL"/>
        </w:rPr>
      </w:pPr>
      <w:r w:rsidRPr="00B644BE">
        <w:rPr>
          <w:rFonts w:cs="Calibri"/>
          <w:noProof/>
          <w:lang w:val="sq-AL"/>
        </w:rPr>
        <w:t xml:space="preserve">Neni 4/3 sanksionon që në vitet buxhetore, gjatë të cilave mbahen zgjedhjet e përgjithshme, ekzekutimi i defiçitit buxhetor të qeverisjes së përgjithshme, përveç rasteve të jashtëzakonshme të parashikuara në nenin 4/4 të këtij ligji, bëhet në përputhje me përcaktimet e këtij neni, si më poshtë: </w:t>
      </w:r>
    </w:p>
    <w:p w14:paraId="36CB06A7" w14:textId="77777777" w:rsidR="00B966EF" w:rsidRPr="00B644BE" w:rsidRDefault="00B966EF">
      <w:pPr>
        <w:numPr>
          <w:ilvl w:val="0"/>
          <w:numId w:val="5"/>
        </w:numPr>
        <w:spacing w:line="240" w:lineRule="auto"/>
        <w:ind w:left="540"/>
        <w:contextualSpacing/>
        <w:rPr>
          <w:rFonts w:cs="Calibri"/>
          <w:i/>
          <w:noProof/>
          <w:lang w:val="sq-AL"/>
        </w:rPr>
      </w:pPr>
      <w:r w:rsidRPr="00B644BE">
        <w:rPr>
          <w:rFonts w:cs="Calibri"/>
          <w:i/>
          <w:noProof/>
          <w:lang w:val="sq-AL"/>
        </w:rPr>
        <w:t>ekzekutimi i defiçitit deri në fund të tremujorit të parë të vitit buxhetor, nuk mund të jetë më i lartë se 30% e defiçitit vjetor të përcaktuar në ligjin e buxhetit vjetor;</w:t>
      </w:r>
    </w:p>
    <w:p w14:paraId="25CB07C4" w14:textId="77777777" w:rsidR="00B966EF" w:rsidRPr="00B644BE" w:rsidRDefault="00B966EF">
      <w:pPr>
        <w:numPr>
          <w:ilvl w:val="0"/>
          <w:numId w:val="5"/>
        </w:numPr>
        <w:spacing w:line="240" w:lineRule="auto"/>
        <w:ind w:left="540"/>
        <w:contextualSpacing/>
        <w:rPr>
          <w:rFonts w:cs="Calibri"/>
          <w:i/>
          <w:noProof/>
          <w:lang w:val="sq-AL"/>
        </w:rPr>
      </w:pPr>
      <w:r w:rsidRPr="00B644BE">
        <w:rPr>
          <w:rFonts w:cs="Calibri"/>
          <w:i/>
          <w:noProof/>
          <w:lang w:val="sq-AL"/>
        </w:rPr>
        <w:t>ekzekutimi i defiçitit deri në fund të gjashtëmujorit të parë të vitit buxhetor, nuk mund të jetë më i lartë se 55% e defiçitit vjetor të përcaktuar në ligjin e buxhetit vjetor;</w:t>
      </w:r>
    </w:p>
    <w:p w14:paraId="78F5AE89" w14:textId="77777777" w:rsidR="00B966EF" w:rsidRPr="00B644BE" w:rsidRDefault="00B966EF">
      <w:pPr>
        <w:numPr>
          <w:ilvl w:val="0"/>
          <w:numId w:val="5"/>
        </w:numPr>
        <w:spacing w:line="240" w:lineRule="auto"/>
        <w:ind w:left="540"/>
        <w:contextualSpacing/>
        <w:rPr>
          <w:rFonts w:cs="Calibri"/>
          <w:i/>
          <w:noProof/>
          <w:lang w:val="sq-AL"/>
        </w:rPr>
      </w:pPr>
      <w:r w:rsidRPr="00B644BE">
        <w:rPr>
          <w:rFonts w:cs="Calibri"/>
          <w:i/>
          <w:noProof/>
          <w:lang w:val="sq-AL"/>
        </w:rPr>
        <w:t>ekzekutimi i defiçitit deri në fund të nëntëmujorit të parë të vitit buxhetor, nuk mund të jetë më i lartë se 80% e defiçitit vjetor të përcaktuar në ligjin e buxhetit vjetor.</w:t>
      </w:r>
    </w:p>
    <w:p w14:paraId="0435B0CA" w14:textId="77777777" w:rsidR="00B966EF" w:rsidRPr="00B644BE" w:rsidRDefault="00B966EF" w:rsidP="00B966EF">
      <w:pPr>
        <w:pStyle w:val="ListParagraph"/>
        <w:spacing w:line="240" w:lineRule="auto"/>
        <w:ind w:left="0" w:firstLine="540"/>
        <w:contextualSpacing w:val="0"/>
        <w:rPr>
          <w:rFonts w:cs="Calibri"/>
          <w:i/>
          <w:noProof/>
          <w:lang w:val="sq-AL"/>
        </w:rPr>
      </w:pPr>
      <w:r w:rsidRPr="00B644BE">
        <w:rPr>
          <w:rFonts w:cs="Calibri"/>
          <w:i/>
          <w:noProof/>
          <w:lang w:val="sq-AL"/>
        </w:rPr>
        <w:t>Zbatimi i ligjit (1</w:t>
      </w:r>
      <w:r>
        <w:rPr>
          <w:rFonts w:cs="Calibri"/>
          <w:i/>
          <w:noProof/>
          <w:lang w:val="sq-AL"/>
        </w:rPr>
        <w:t>1</w:t>
      </w:r>
      <w:r w:rsidRPr="00B644BE">
        <w:rPr>
          <w:rFonts w:cs="Calibri"/>
          <w:i/>
          <w:noProof/>
          <w:lang w:val="sq-AL"/>
        </w:rPr>
        <w:t xml:space="preserve">): </w:t>
      </w:r>
    </w:p>
    <w:p w14:paraId="1ACBE1F8" w14:textId="77777777" w:rsidR="00B966EF" w:rsidRDefault="00B966EF" w:rsidP="00B966EF">
      <w:pPr>
        <w:spacing w:before="0" w:after="120" w:line="240" w:lineRule="auto"/>
        <w:rPr>
          <w:rFonts w:cs="Calibri"/>
          <w:noProof/>
          <w:lang w:val="sq-AL"/>
        </w:rPr>
      </w:pPr>
      <w:r w:rsidRPr="00B644BE">
        <w:rPr>
          <w:rFonts w:cs="Calibri"/>
          <w:noProof/>
          <w:lang w:val="sq-AL"/>
        </w:rPr>
        <w:t>Gjatë vitit 202</w:t>
      </w:r>
      <w:r>
        <w:rPr>
          <w:rFonts w:cs="Calibri"/>
          <w:noProof/>
          <w:lang w:val="sq-AL"/>
        </w:rPr>
        <w:t>5</w:t>
      </w:r>
      <w:r w:rsidRPr="00B644BE">
        <w:rPr>
          <w:rFonts w:cs="Calibri"/>
          <w:noProof/>
          <w:lang w:val="sq-AL"/>
        </w:rPr>
        <w:t>, nuk janë mbajtur zgjedhje të përgjithshme dhe rrjedhimisht nuk aplikohet përcaktimi ligjor i mësipërm.</w:t>
      </w:r>
    </w:p>
    <w:p w14:paraId="5A18D953" w14:textId="77777777" w:rsidR="00E859C3" w:rsidRDefault="00E859C3" w:rsidP="00A758DC">
      <w:pPr>
        <w:spacing w:before="0" w:after="120" w:line="240" w:lineRule="auto"/>
        <w:rPr>
          <w:rFonts w:cs="Calibri"/>
          <w:noProof/>
          <w:lang w:val="sq-AL"/>
        </w:rPr>
      </w:pPr>
    </w:p>
    <w:p w14:paraId="34A17D66" w14:textId="77777777" w:rsidR="00E859C3" w:rsidRPr="00B644BE" w:rsidRDefault="00E859C3" w:rsidP="00A758DC">
      <w:pPr>
        <w:spacing w:before="0" w:after="120" w:line="240" w:lineRule="auto"/>
        <w:rPr>
          <w:rFonts w:eastAsia="SimSun"/>
          <w:noProof/>
          <w:lang w:val="sq-AL"/>
        </w:rPr>
      </w:pPr>
    </w:p>
    <w:p w14:paraId="3B63E79E" w14:textId="7239118D" w:rsidR="009C7207" w:rsidRDefault="00DC2B59" w:rsidP="0041306E">
      <w:pPr>
        <w:pStyle w:val="Heading2"/>
        <w:spacing w:before="0"/>
        <w:rPr>
          <w:color w:val="0F6FC6" w:themeColor="accent1"/>
        </w:rPr>
      </w:pPr>
      <w:bookmarkStart w:id="234" w:name="_Toc229390836"/>
      <w:proofErr w:type="spellStart"/>
      <w:r w:rsidRPr="009C7207">
        <w:rPr>
          <w:color w:val="0F6FC6" w:themeColor="accent1"/>
        </w:rPr>
        <w:lastRenderedPageBreak/>
        <w:t>Shtojca</w:t>
      </w:r>
      <w:proofErr w:type="spellEnd"/>
      <w:r w:rsidRPr="009C7207">
        <w:rPr>
          <w:color w:val="0F6FC6" w:themeColor="accent1"/>
        </w:rPr>
        <w:t xml:space="preserve"> 2 </w:t>
      </w:r>
      <w:r w:rsidR="0056260B">
        <w:rPr>
          <w:color w:val="0F6FC6" w:themeColor="accent1"/>
        </w:rPr>
        <w:t>-</w:t>
      </w:r>
      <w:r w:rsidRPr="009C7207">
        <w:rPr>
          <w:color w:val="0F6FC6" w:themeColor="accent1"/>
        </w:rPr>
        <w:t xml:space="preserve"> </w:t>
      </w:r>
      <w:proofErr w:type="spellStart"/>
      <w:r w:rsidRPr="009C7207">
        <w:rPr>
          <w:color w:val="0F6FC6" w:themeColor="accent1"/>
        </w:rPr>
        <w:t>Efektet</w:t>
      </w:r>
      <w:proofErr w:type="spellEnd"/>
      <w:r w:rsidRPr="009C7207">
        <w:rPr>
          <w:color w:val="0F6FC6" w:themeColor="accent1"/>
        </w:rPr>
        <w:t xml:space="preserve"> e </w:t>
      </w:r>
      <w:proofErr w:type="spellStart"/>
      <w:r w:rsidRPr="009C7207">
        <w:rPr>
          <w:color w:val="0F6FC6" w:themeColor="accent1"/>
        </w:rPr>
        <w:t>paket</w:t>
      </w:r>
      <w:r w:rsidR="00C33B16" w:rsidRPr="009C7207">
        <w:rPr>
          <w:color w:val="0F6FC6" w:themeColor="accent1"/>
        </w:rPr>
        <w:t>ë</w:t>
      </w:r>
      <w:r w:rsidRPr="009C7207">
        <w:rPr>
          <w:color w:val="0F6FC6" w:themeColor="accent1"/>
        </w:rPr>
        <w:t>s</w:t>
      </w:r>
      <w:proofErr w:type="spellEnd"/>
      <w:r w:rsidRPr="009C7207">
        <w:rPr>
          <w:color w:val="0F6FC6" w:themeColor="accent1"/>
        </w:rPr>
        <w:t xml:space="preserve"> </w:t>
      </w:r>
      <w:proofErr w:type="spellStart"/>
      <w:r w:rsidRPr="009C7207">
        <w:rPr>
          <w:color w:val="0F6FC6" w:themeColor="accent1"/>
        </w:rPr>
        <w:t>fiskale</w:t>
      </w:r>
      <w:proofErr w:type="spellEnd"/>
      <w:r w:rsidRPr="009C7207">
        <w:rPr>
          <w:color w:val="0F6FC6" w:themeColor="accent1"/>
        </w:rPr>
        <w:t xml:space="preserve"> 20</w:t>
      </w:r>
      <w:bookmarkEnd w:id="227"/>
      <w:bookmarkEnd w:id="228"/>
      <w:bookmarkEnd w:id="229"/>
      <w:r w:rsidR="00741C6D" w:rsidRPr="009C7207">
        <w:rPr>
          <w:color w:val="0F6FC6" w:themeColor="accent1"/>
        </w:rPr>
        <w:t>2</w:t>
      </w:r>
      <w:r w:rsidR="0037617D" w:rsidRPr="009C7207">
        <w:rPr>
          <w:color w:val="0F6FC6" w:themeColor="accent1"/>
        </w:rPr>
        <w:t>5</w:t>
      </w:r>
      <w:bookmarkStart w:id="235" w:name="_Toc10033291"/>
      <w:bookmarkStart w:id="236" w:name="_Toc10721428"/>
      <w:bookmarkEnd w:id="234"/>
    </w:p>
    <w:p w14:paraId="5168A2CC" w14:textId="77777777" w:rsidR="0041306E" w:rsidRPr="0041306E" w:rsidRDefault="0041306E" w:rsidP="0041306E">
      <w:pPr>
        <w:spacing w:before="0"/>
        <w:rPr>
          <w:sz w:val="12"/>
          <w:szCs w:val="14"/>
        </w:rPr>
      </w:pPr>
    </w:p>
    <w:p w14:paraId="2F31469F" w14:textId="71B4AD29" w:rsidR="007A259F" w:rsidRPr="00BB7DD5" w:rsidRDefault="007A259F" w:rsidP="0041306E">
      <w:pPr>
        <w:rPr>
          <w:b/>
          <w:bCs/>
        </w:rPr>
      </w:pPr>
      <w:proofErr w:type="spellStart"/>
      <w:r w:rsidRPr="00BB7DD5">
        <w:t>Masat</w:t>
      </w:r>
      <w:proofErr w:type="spellEnd"/>
      <w:r w:rsidRPr="00BB7DD5">
        <w:t xml:space="preserve"> e </w:t>
      </w:r>
      <w:proofErr w:type="spellStart"/>
      <w:r w:rsidRPr="00BB7DD5">
        <w:t>politikave</w:t>
      </w:r>
      <w:proofErr w:type="spellEnd"/>
      <w:r w:rsidRPr="00BB7DD5">
        <w:t xml:space="preserve"> </w:t>
      </w:r>
      <w:proofErr w:type="spellStart"/>
      <w:r w:rsidRPr="00BB7DD5">
        <w:t>fiskale</w:t>
      </w:r>
      <w:proofErr w:type="spellEnd"/>
      <w:r w:rsidRPr="00BB7DD5">
        <w:t xml:space="preserve"> </w:t>
      </w:r>
      <w:proofErr w:type="spellStart"/>
      <w:r w:rsidRPr="00BB7DD5">
        <w:t>të</w:t>
      </w:r>
      <w:proofErr w:type="spellEnd"/>
      <w:r w:rsidRPr="00BB7DD5">
        <w:t xml:space="preserve"> </w:t>
      </w:r>
      <w:proofErr w:type="spellStart"/>
      <w:r w:rsidRPr="00BB7DD5">
        <w:t>parashikuar</w:t>
      </w:r>
      <w:proofErr w:type="spellEnd"/>
      <w:r w:rsidRPr="00BB7DD5">
        <w:t xml:space="preserve"> </w:t>
      </w:r>
      <w:proofErr w:type="spellStart"/>
      <w:r w:rsidRPr="00BB7DD5">
        <w:t>në</w:t>
      </w:r>
      <w:proofErr w:type="spellEnd"/>
      <w:r w:rsidRPr="00BB7DD5">
        <w:t xml:space="preserve"> </w:t>
      </w:r>
      <w:proofErr w:type="spellStart"/>
      <w:r w:rsidRPr="00BB7DD5">
        <w:t>këtë</w:t>
      </w:r>
      <w:proofErr w:type="spellEnd"/>
      <w:r w:rsidRPr="00BB7DD5">
        <w:t xml:space="preserve"> </w:t>
      </w:r>
      <w:proofErr w:type="spellStart"/>
      <w:r w:rsidRPr="00BB7DD5">
        <w:t>buxhet</w:t>
      </w:r>
      <w:proofErr w:type="spellEnd"/>
      <w:r w:rsidRPr="00BB7DD5">
        <w:t xml:space="preserve"> </w:t>
      </w:r>
      <w:proofErr w:type="spellStart"/>
      <w:r w:rsidRPr="00BB7DD5">
        <w:t>janë</w:t>
      </w:r>
      <w:proofErr w:type="spellEnd"/>
      <w:r w:rsidRPr="00BB7DD5">
        <w:t xml:space="preserve"> </w:t>
      </w:r>
      <w:proofErr w:type="spellStart"/>
      <w:r w:rsidRPr="00BB7DD5">
        <w:t>ligje</w:t>
      </w:r>
      <w:proofErr w:type="spellEnd"/>
      <w:r w:rsidRPr="00BB7DD5">
        <w:t xml:space="preserve"> </w:t>
      </w:r>
      <w:proofErr w:type="spellStart"/>
      <w:r w:rsidRPr="00BB7DD5">
        <w:t>tatimore</w:t>
      </w:r>
      <w:proofErr w:type="spellEnd"/>
      <w:r w:rsidRPr="00BB7DD5">
        <w:t xml:space="preserve"> </w:t>
      </w:r>
      <w:proofErr w:type="spellStart"/>
      <w:r w:rsidRPr="00BB7DD5">
        <w:t>të</w:t>
      </w:r>
      <w:proofErr w:type="spellEnd"/>
      <w:r w:rsidRPr="00BB7DD5">
        <w:t xml:space="preserve"> </w:t>
      </w:r>
      <w:proofErr w:type="spellStart"/>
      <w:r w:rsidRPr="00BB7DD5">
        <w:t>miratuara</w:t>
      </w:r>
      <w:proofErr w:type="spellEnd"/>
      <w:r w:rsidRPr="00BB7DD5">
        <w:t xml:space="preserve"> </w:t>
      </w:r>
      <w:proofErr w:type="spellStart"/>
      <w:r w:rsidRPr="00BB7DD5">
        <w:t>në</w:t>
      </w:r>
      <w:proofErr w:type="spellEnd"/>
      <w:r w:rsidRPr="00BB7DD5">
        <w:t xml:space="preserve"> </w:t>
      </w:r>
      <w:proofErr w:type="spellStart"/>
      <w:r w:rsidRPr="00BB7DD5">
        <w:t>paketat</w:t>
      </w:r>
      <w:proofErr w:type="spellEnd"/>
      <w:r w:rsidRPr="00BB7DD5">
        <w:t xml:space="preserve"> e</w:t>
      </w:r>
      <w:r w:rsidR="00BB7DD5">
        <w:t xml:space="preserve"> </w:t>
      </w:r>
      <w:proofErr w:type="spellStart"/>
      <w:r w:rsidRPr="00BB7DD5">
        <w:t>mëparshme</w:t>
      </w:r>
      <w:proofErr w:type="spellEnd"/>
      <w:r w:rsidRPr="00BB7DD5">
        <w:t xml:space="preserve"> </w:t>
      </w:r>
      <w:proofErr w:type="spellStart"/>
      <w:r w:rsidRPr="00BB7DD5">
        <w:t>dhe</w:t>
      </w:r>
      <w:proofErr w:type="spellEnd"/>
      <w:r w:rsidRPr="00BB7DD5">
        <w:t xml:space="preserve"> </w:t>
      </w:r>
      <w:proofErr w:type="spellStart"/>
      <w:r w:rsidRPr="00BB7DD5">
        <w:t>që</w:t>
      </w:r>
      <w:proofErr w:type="spellEnd"/>
      <w:r w:rsidRPr="00BB7DD5">
        <w:t xml:space="preserve"> </w:t>
      </w:r>
      <w:proofErr w:type="spellStart"/>
      <w:r w:rsidRPr="00BB7DD5">
        <w:t>sjellin</w:t>
      </w:r>
      <w:proofErr w:type="spellEnd"/>
      <w:r w:rsidRPr="00BB7DD5">
        <w:t xml:space="preserve"> </w:t>
      </w:r>
      <w:proofErr w:type="spellStart"/>
      <w:r w:rsidRPr="00BB7DD5">
        <w:t>efekte</w:t>
      </w:r>
      <w:proofErr w:type="spellEnd"/>
      <w:r w:rsidRPr="00BB7DD5">
        <w:t xml:space="preserve"> </w:t>
      </w:r>
      <w:proofErr w:type="spellStart"/>
      <w:r w:rsidRPr="00BB7DD5">
        <w:t>në</w:t>
      </w:r>
      <w:proofErr w:type="spellEnd"/>
      <w:r w:rsidRPr="00BB7DD5">
        <w:t xml:space="preserve"> </w:t>
      </w:r>
      <w:proofErr w:type="spellStart"/>
      <w:r w:rsidRPr="00BB7DD5">
        <w:t>të</w:t>
      </w:r>
      <w:proofErr w:type="spellEnd"/>
      <w:r w:rsidRPr="00BB7DD5">
        <w:t xml:space="preserve"> </w:t>
      </w:r>
      <w:proofErr w:type="spellStart"/>
      <w:r w:rsidRPr="00BB7DD5">
        <w:t>ardhura</w:t>
      </w:r>
      <w:proofErr w:type="spellEnd"/>
      <w:r w:rsidRPr="00BB7DD5">
        <w:t xml:space="preserve"> </w:t>
      </w:r>
      <w:proofErr w:type="spellStart"/>
      <w:r w:rsidRPr="00BB7DD5">
        <w:t>në</w:t>
      </w:r>
      <w:proofErr w:type="spellEnd"/>
      <w:r w:rsidRPr="00BB7DD5">
        <w:t xml:space="preserve"> </w:t>
      </w:r>
      <w:proofErr w:type="spellStart"/>
      <w:r w:rsidRPr="00BB7DD5">
        <w:t>vitin</w:t>
      </w:r>
      <w:proofErr w:type="spellEnd"/>
      <w:r w:rsidRPr="00BB7DD5">
        <w:t xml:space="preserve"> 2025, </w:t>
      </w:r>
      <w:proofErr w:type="spellStart"/>
      <w:r w:rsidRPr="00BB7DD5">
        <w:t>si</w:t>
      </w:r>
      <w:proofErr w:type="spellEnd"/>
      <w:r w:rsidRPr="00BB7DD5">
        <w:t xml:space="preserve"> </w:t>
      </w:r>
      <w:proofErr w:type="spellStart"/>
      <w:r w:rsidRPr="00BB7DD5">
        <w:t>dhe</w:t>
      </w:r>
      <w:proofErr w:type="spellEnd"/>
      <w:r w:rsidRPr="00BB7DD5">
        <w:t xml:space="preserve"> </w:t>
      </w:r>
      <w:proofErr w:type="spellStart"/>
      <w:r w:rsidRPr="00BB7DD5">
        <w:t>të</w:t>
      </w:r>
      <w:proofErr w:type="spellEnd"/>
      <w:r w:rsidRPr="00BB7DD5">
        <w:t xml:space="preserve"> </w:t>
      </w:r>
      <w:proofErr w:type="spellStart"/>
      <w:r w:rsidRPr="00BB7DD5">
        <w:t>ardhura</w:t>
      </w:r>
      <w:proofErr w:type="spellEnd"/>
      <w:r w:rsidRPr="00BB7DD5">
        <w:t xml:space="preserve"> </w:t>
      </w:r>
      <w:proofErr w:type="spellStart"/>
      <w:r w:rsidRPr="00BB7DD5">
        <w:t>nga</w:t>
      </w:r>
      <w:proofErr w:type="spellEnd"/>
      <w:r w:rsidRPr="00BB7DD5">
        <w:t xml:space="preserve"> </w:t>
      </w:r>
      <w:proofErr w:type="spellStart"/>
      <w:r w:rsidRPr="00BB7DD5">
        <w:t>efekti</w:t>
      </w:r>
      <w:proofErr w:type="spellEnd"/>
      <w:r w:rsidRPr="00BB7DD5">
        <w:t xml:space="preserve"> </w:t>
      </w:r>
      <w:proofErr w:type="spellStart"/>
      <w:r w:rsidRPr="00BB7DD5">
        <w:t>i</w:t>
      </w:r>
      <w:proofErr w:type="spellEnd"/>
      <w:r w:rsidRPr="00BB7DD5">
        <w:t xml:space="preserve"> </w:t>
      </w:r>
      <w:proofErr w:type="spellStart"/>
      <w:r w:rsidRPr="00BB7DD5">
        <w:t>politikave</w:t>
      </w:r>
      <w:proofErr w:type="spellEnd"/>
      <w:r w:rsidRPr="00BB7DD5">
        <w:t xml:space="preserve"> </w:t>
      </w:r>
      <w:proofErr w:type="spellStart"/>
      <w:r w:rsidRPr="00BB7DD5">
        <w:t>buxhetore</w:t>
      </w:r>
      <w:proofErr w:type="spellEnd"/>
      <w:r w:rsidRPr="00BB7DD5">
        <w:t xml:space="preserve"> </w:t>
      </w:r>
      <w:proofErr w:type="spellStart"/>
      <w:r w:rsidRPr="00BB7DD5">
        <w:t>dhe</w:t>
      </w:r>
      <w:proofErr w:type="spellEnd"/>
      <w:r w:rsidRPr="00BB7DD5">
        <w:t xml:space="preserve"> </w:t>
      </w:r>
      <w:proofErr w:type="spellStart"/>
      <w:r w:rsidRPr="00BB7DD5">
        <w:t>konkretisht</w:t>
      </w:r>
      <w:proofErr w:type="spellEnd"/>
      <w:r w:rsidRPr="00BB7DD5">
        <w:t>:</w:t>
      </w:r>
    </w:p>
    <w:tbl>
      <w:tblPr>
        <w:tblStyle w:val="ListTable3-Accent52"/>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012"/>
        <w:gridCol w:w="1147"/>
        <w:gridCol w:w="1167"/>
        <w:gridCol w:w="2000"/>
        <w:gridCol w:w="3147"/>
      </w:tblGrid>
      <w:tr w:rsidR="007A259F" w:rsidRPr="00BB7DD5" w14:paraId="5B15C528" w14:textId="77777777" w:rsidTr="00FC0BCD">
        <w:trPr>
          <w:cnfStyle w:val="100000000000" w:firstRow="1" w:lastRow="0" w:firstColumn="0" w:lastColumn="0" w:oddVBand="0" w:evenVBand="0" w:oddHBand="0" w:evenHBand="0" w:firstRowFirstColumn="0" w:firstRowLastColumn="0" w:lastRowFirstColumn="0" w:lastRowLastColumn="0"/>
          <w:trHeight w:val="1061"/>
          <w:jc w:val="center"/>
        </w:trPr>
        <w:tc>
          <w:tcPr>
            <w:cnfStyle w:val="001000000100" w:firstRow="0" w:lastRow="0" w:firstColumn="1" w:lastColumn="0" w:oddVBand="0" w:evenVBand="0" w:oddHBand="0" w:evenHBand="0" w:firstRowFirstColumn="1" w:firstRowLastColumn="0" w:lastRowFirstColumn="0" w:lastRowLastColumn="0"/>
            <w:tcW w:w="869" w:type="pct"/>
            <w:shd w:val="clear" w:color="auto" w:fill="0B5294" w:themeFill="accent1" w:themeFillShade="BF"/>
            <w:noWrap/>
            <w:hideMark/>
          </w:tcPr>
          <w:p w14:paraId="106F0008" w14:textId="77777777" w:rsidR="007A259F" w:rsidRPr="00BB7DD5" w:rsidRDefault="007A259F" w:rsidP="00FC0BCD">
            <w:pPr>
              <w:spacing w:before="0" w:line="240" w:lineRule="auto"/>
              <w:contextualSpacing/>
              <w:jc w:val="center"/>
              <w:rPr>
                <w:rFonts w:asciiTheme="majorHAnsi" w:hAnsiTheme="majorHAnsi" w:cstheme="majorHAnsi"/>
                <w:noProof/>
                <w:sz w:val="18"/>
                <w:szCs w:val="18"/>
                <w:lang w:val="sq-AL"/>
              </w:rPr>
            </w:pPr>
            <w:bookmarkStart w:id="237" w:name="_Hlk225422929"/>
          </w:p>
          <w:p w14:paraId="0D60E436" w14:textId="77777777" w:rsidR="007A259F" w:rsidRPr="00BB7DD5" w:rsidRDefault="007A259F" w:rsidP="00FC0BCD">
            <w:pPr>
              <w:spacing w:before="0" w:line="240" w:lineRule="auto"/>
              <w:contextualSpacing/>
              <w:jc w:val="center"/>
              <w:rPr>
                <w:rFonts w:asciiTheme="majorHAnsi" w:hAnsiTheme="majorHAnsi" w:cstheme="majorHAnsi"/>
                <w:noProof/>
                <w:sz w:val="18"/>
                <w:szCs w:val="18"/>
                <w:lang w:val="sq-AL"/>
              </w:rPr>
            </w:pPr>
          </w:p>
          <w:p w14:paraId="6F07F67C" w14:textId="77777777" w:rsidR="00BB7DD5" w:rsidRDefault="00BB7DD5" w:rsidP="00FC0BCD">
            <w:pPr>
              <w:spacing w:before="0" w:line="240" w:lineRule="auto"/>
              <w:contextualSpacing/>
              <w:jc w:val="center"/>
              <w:rPr>
                <w:rFonts w:asciiTheme="majorHAnsi" w:hAnsiTheme="majorHAnsi" w:cstheme="majorHAnsi"/>
                <w:b w:val="0"/>
                <w:bCs w:val="0"/>
                <w:noProof/>
                <w:sz w:val="18"/>
                <w:szCs w:val="18"/>
                <w:lang w:val="sq-AL"/>
              </w:rPr>
            </w:pPr>
          </w:p>
          <w:p w14:paraId="591FB306" w14:textId="5C48C705" w:rsidR="007A259F" w:rsidRPr="00BB7DD5" w:rsidRDefault="007A259F" w:rsidP="00FC0BCD">
            <w:pPr>
              <w:spacing w:before="0" w:line="240" w:lineRule="auto"/>
              <w:contextualSpacing/>
              <w:jc w:val="center"/>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Masat</w:t>
            </w:r>
          </w:p>
        </w:tc>
        <w:tc>
          <w:tcPr>
            <w:tcW w:w="493" w:type="pct"/>
            <w:shd w:val="clear" w:color="auto" w:fill="0B5294" w:themeFill="accent1" w:themeFillShade="BF"/>
            <w:hideMark/>
          </w:tcPr>
          <w:p w14:paraId="3023CAFE"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3DA58EC2" w14:textId="77777777" w:rsidR="00BB7DD5" w:rsidRDefault="00BB7DD5"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8"/>
                <w:szCs w:val="18"/>
                <w:lang w:val="sq-AL"/>
              </w:rPr>
            </w:pPr>
          </w:p>
          <w:p w14:paraId="682F35A2" w14:textId="0C44D776"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Efekti i parash</w:t>
            </w:r>
            <w:r w:rsidR="00BB7DD5">
              <w:rPr>
                <w:rFonts w:asciiTheme="majorHAnsi" w:hAnsiTheme="majorHAnsi" w:cstheme="majorHAnsi"/>
                <w:noProof/>
                <w:sz w:val="18"/>
                <w:szCs w:val="18"/>
                <w:lang w:val="sq-AL"/>
              </w:rPr>
              <w:t>ik.</w:t>
            </w:r>
            <w:r w:rsidRPr="00BB7DD5">
              <w:rPr>
                <w:rFonts w:asciiTheme="majorHAnsi" w:hAnsiTheme="majorHAnsi" w:cstheme="majorHAnsi"/>
                <w:noProof/>
                <w:sz w:val="18"/>
                <w:szCs w:val="18"/>
                <w:lang w:val="sq-AL"/>
              </w:rPr>
              <w:t xml:space="preserve"> i paketës</w:t>
            </w:r>
          </w:p>
        </w:tc>
        <w:tc>
          <w:tcPr>
            <w:tcW w:w="559" w:type="pct"/>
            <w:shd w:val="clear" w:color="auto" w:fill="0B5294" w:themeFill="accent1" w:themeFillShade="BF"/>
            <w:hideMark/>
          </w:tcPr>
          <w:p w14:paraId="76296D00"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8"/>
                <w:szCs w:val="18"/>
                <w:lang w:val="sq-AL"/>
              </w:rPr>
            </w:pPr>
          </w:p>
          <w:p w14:paraId="2E47A172"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Të ardhura të mbledhura si efekt i masës fiskale</w:t>
            </w:r>
          </w:p>
        </w:tc>
        <w:tc>
          <w:tcPr>
            <w:tcW w:w="569" w:type="pct"/>
            <w:shd w:val="clear" w:color="auto" w:fill="0B5294" w:themeFill="accent1" w:themeFillShade="BF"/>
            <w:hideMark/>
          </w:tcPr>
          <w:p w14:paraId="0D09636A"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8"/>
                <w:szCs w:val="18"/>
                <w:lang w:val="sq-AL"/>
              </w:rPr>
            </w:pPr>
          </w:p>
          <w:p w14:paraId="3C379A8C"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Diferenca Parash/Të ardhura të mbledhura</w:t>
            </w:r>
          </w:p>
        </w:tc>
        <w:tc>
          <w:tcPr>
            <w:tcW w:w="975" w:type="pct"/>
            <w:shd w:val="clear" w:color="auto" w:fill="0B5294" w:themeFill="accent1" w:themeFillShade="BF"/>
            <w:noWrap/>
            <w:hideMark/>
          </w:tcPr>
          <w:p w14:paraId="3C30B9D0"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345528F2"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5415DA8C" w14:textId="77777777" w:rsidR="00BB7DD5" w:rsidRDefault="00BB7DD5"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8"/>
                <w:szCs w:val="18"/>
                <w:lang w:val="sq-AL"/>
              </w:rPr>
            </w:pPr>
          </w:p>
          <w:p w14:paraId="42109139" w14:textId="480A7420"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Faktorët</w:t>
            </w:r>
          </w:p>
        </w:tc>
        <w:tc>
          <w:tcPr>
            <w:tcW w:w="1534" w:type="pct"/>
            <w:shd w:val="clear" w:color="auto" w:fill="0B5294" w:themeFill="accent1" w:themeFillShade="BF"/>
            <w:noWrap/>
            <w:hideMark/>
          </w:tcPr>
          <w:p w14:paraId="10A01239"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67E7D85D" w14:textId="77777777"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4A2BE561" w14:textId="77777777" w:rsidR="00BB7DD5" w:rsidRDefault="00BB7DD5"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8"/>
                <w:szCs w:val="18"/>
                <w:lang w:val="sq-AL"/>
              </w:rPr>
            </w:pPr>
          </w:p>
          <w:p w14:paraId="446468D0" w14:textId="656E0E6A" w:rsidR="007A259F" w:rsidRPr="00BB7DD5" w:rsidRDefault="007A259F" w:rsidP="00FC0BC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B7DD5">
              <w:rPr>
                <w:rFonts w:asciiTheme="majorHAnsi" w:hAnsiTheme="majorHAnsi" w:cstheme="majorHAnsi"/>
                <w:noProof/>
                <w:sz w:val="18"/>
                <w:szCs w:val="18"/>
                <w:lang w:val="sq-AL"/>
              </w:rPr>
              <w:t>Efektet</w:t>
            </w:r>
          </w:p>
        </w:tc>
      </w:tr>
      <w:tr w:rsidR="007A259F" w:rsidRPr="00BB7DD5" w14:paraId="0FF3AC75" w14:textId="77777777" w:rsidTr="00FC0BCD">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6D398850" w14:textId="77777777" w:rsidR="007A259F" w:rsidRPr="00BB7DD5" w:rsidRDefault="007A259F" w:rsidP="00FC0BCD">
            <w:pPr>
              <w:spacing w:before="0" w:line="240" w:lineRule="auto"/>
              <w:contextualSpacing/>
              <w:jc w:val="center"/>
              <w:rPr>
                <w:rFonts w:asciiTheme="majorHAnsi" w:hAnsiTheme="majorHAnsi" w:cstheme="majorHAnsi"/>
                <w:b w:val="0"/>
                <w:noProof/>
                <w:sz w:val="16"/>
                <w:szCs w:val="16"/>
                <w:lang w:val="sq-AL"/>
              </w:rPr>
            </w:pPr>
            <w:r w:rsidRPr="00BB7DD5">
              <w:rPr>
                <w:rFonts w:asciiTheme="majorHAnsi" w:hAnsiTheme="majorHAnsi" w:cstheme="majorHAnsi"/>
                <w:b w:val="0"/>
                <w:noProof/>
                <w:sz w:val="16"/>
                <w:szCs w:val="16"/>
              </w:rPr>
              <w:t>Zbatimi i kalendarit të akcizës (2022–2026)</w:t>
            </w:r>
          </w:p>
        </w:tc>
        <w:tc>
          <w:tcPr>
            <w:tcW w:w="493" w:type="pct"/>
            <w:shd w:val="clear" w:color="auto" w:fill="F2F2F2" w:themeFill="background1" w:themeFillShade="F2"/>
            <w:vAlign w:val="center"/>
          </w:tcPr>
          <w:p w14:paraId="532F5DC5"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1.022</w:t>
            </w:r>
          </w:p>
          <w:p w14:paraId="5B2D4062" w14:textId="316F2DC7"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720BC611"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48BA6B8B"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1.028</w:t>
            </w:r>
          </w:p>
          <w:p w14:paraId="32BC8698" w14:textId="423CAD76"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0584398F"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3CA0C93D"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0.006</w:t>
            </w:r>
          </w:p>
          <w:p w14:paraId="7F54FC07" w14:textId="5D1FB62F"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7A5594B2"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4036701E"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Rritja graduale e normave të akcizës</w:t>
            </w:r>
          </w:p>
        </w:tc>
        <w:tc>
          <w:tcPr>
            <w:tcW w:w="1534" w:type="pct"/>
            <w:shd w:val="clear" w:color="auto" w:fill="F2F2F2" w:themeFill="background1" w:themeFillShade="F2"/>
            <w:vAlign w:val="center"/>
          </w:tcPr>
          <w:p w14:paraId="037807B1" w14:textId="3903BFF8" w:rsidR="007A259F" w:rsidRPr="00BB7DD5" w:rsidRDefault="007A259F" w:rsidP="00FC0BC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Rritja e të ardhurave doganore nga akciza dhe TVSH, ndikim total 1.028 </w:t>
            </w:r>
            <w:r w:rsidR="0056260B">
              <w:rPr>
                <w:rFonts w:asciiTheme="majorHAnsi" w:hAnsiTheme="majorHAnsi" w:cstheme="majorHAnsi"/>
                <w:noProof/>
                <w:sz w:val="16"/>
                <w:szCs w:val="16"/>
                <w:lang w:val="sq-AL"/>
              </w:rPr>
              <w:t>miliardë</w:t>
            </w:r>
            <w:r w:rsidRPr="00BB7DD5">
              <w:rPr>
                <w:rFonts w:asciiTheme="majorHAnsi" w:hAnsiTheme="majorHAnsi" w:cstheme="majorHAnsi"/>
                <w:noProof/>
                <w:sz w:val="16"/>
                <w:szCs w:val="16"/>
                <w:lang w:val="sq-AL"/>
              </w:rPr>
              <w:t xml:space="preserve"> </w:t>
            </w:r>
            <w:r w:rsidR="0056260B">
              <w:rPr>
                <w:rFonts w:asciiTheme="majorHAnsi" w:hAnsiTheme="majorHAnsi" w:cstheme="majorHAnsi"/>
                <w:noProof/>
                <w:sz w:val="16"/>
                <w:szCs w:val="16"/>
                <w:lang w:val="sq-AL"/>
              </w:rPr>
              <w:t>LEK</w:t>
            </w:r>
            <w:r w:rsidRPr="00BB7DD5">
              <w:rPr>
                <w:rFonts w:asciiTheme="majorHAnsi" w:hAnsiTheme="majorHAnsi" w:cstheme="majorHAnsi"/>
                <w:noProof/>
                <w:sz w:val="16"/>
                <w:szCs w:val="16"/>
                <w:lang w:val="sq-AL"/>
              </w:rPr>
              <w:t>.</w:t>
            </w:r>
          </w:p>
          <w:p w14:paraId="2ECBCE25" w14:textId="3FC5BA0A" w:rsidR="007A259F" w:rsidRPr="00BB7DD5" w:rsidRDefault="007A259F">
            <w:pPr>
              <w:pStyle w:val="ListParagraph"/>
              <w:numPr>
                <w:ilvl w:val="0"/>
                <w:numId w:val="30"/>
              </w:numPr>
              <w:autoSpaceDE w:val="0"/>
              <w:autoSpaceDN w:val="0"/>
              <w:adjustRightInd w:val="0"/>
              <w:spacing w:before="0" w:line="240" w:lineRule="auto"/>
              <w:ind w:left="-693" w:hanging="14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Në akcizë +857 </w:t>
            </w:r>
            <w:r w:rsidR="0056260B">
              <w:rPr>
                <w:rFonts w:asciiTheme="majorHAnsi" w:hAnsiTheme="majorHAnsi" w:cstheme="majorHAnsi"/>
                <w:noProof/>
                <w:sz w:val="16"/>
                <w:szCs w:val="16"/>
                <w:lang w:val="sq-AL"/>
              </w:rPr>
              <w:t>milionë</w:t>
            </w:r>
            <w:r w:rsidRPr="00BB7DD5">
              <w:rPr>
                <w:rFonts w:asciiTheme="majorHAnsi" w:hAnsiTheme="majorHAnsi" w:cstheme="majorHAnsi"/>
                <w:noProof/>
                <w:sz w:val="16"/>
                <w:szCs w:val="16"/>
                <w:lang w:val="sq-AL"/>
              </w:rPr>
              <w:t xml:space="preserve"> </w:t>
            </w:r>
            <w:r w:rsidR="0056260B">
              <w:rPr>
                <w:rFonts w:asciiTheme="majorHAnsi" w:hAnsiTheme="majorHAnsi" w:cstheme="majorHAnsi"/>
                <w:noProof/>
                <w:sz w:val="16"/>
                <w:szCs w:val="16"/>
                <w:lang w:val="sq-AL"/>
              </w:rPr>
              <w:t>LEK</w:t>
            </w:r>
            <w:r w:rsidRPr="00BB7DD5">
              <w:rPr>
                <w:rFonts w:asciiTheme="majorHAnsi" w:hAnsiTheme="majorHAnsi" w:cstheme="majorHAnsi"/>
                <w:noProof/>
                <w:sz w:val="16"/>
                <w:szCs w:val="16"/>
                <w:lang w:val="sq-AL"/>
              </w:rPr>
              <w:t>.</w:t>
            </w:r>
          </w:p>
          <w:p w14:paraId="5BB027CC" w14:textId="64304636" w:rsidR="007A259F" w:rsidRPr="00BB7DD5" w:rsidRDefault="007A259F">
            <w:pPr>
              <w:pStyle w:val="ListParagraph"/>
              <w:numPr>
                <w:ilvl w:val="0"/>
                <w:numId w:val="30"/>
              </w:numPr>
              <w:autoSpaceDE w:val="0"/>
              <w:autoSpaceDN w:val="0"/>
              <w:adjustRightInd w:val="0"/>
              <w:spacing w:before="0" w:line="240" w:lineRule="auto"/>
              <w:ind w:left="-126" w:hanging="14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Në tvsh në Import +171 </w:t>
            </w:r>
            <w:r w:rsidR="0056260B">
              <w:rPr>
                <w:rFonts w:asciiTheme="majorHAnsi" w:hAnsiTheme="majorHAnsi" w:cstheme="majorHAnsi"/>
                <w:noProof/>
                <w:sz w:val="16"/>
                <w:szCs w:val="16"/>
                <w:lang w:val="sq-AL"/>
              </w:rPr>
              <w:t>milionë</w:t>
            </w:r>
            <w:r w:rsidRPr="00BB7DD5">
              <w:rPr>
                <w:rFonts w:asciiTheme="majorHAnsi" w:hAnsiTheme="majorHAnsi" w:cstheme="majorHAnsi"/>
                <w:noProof/>
                <w:sz w:val="16"/>
                <w:szCs w:val="16"/>
                <w:lang w:val="sq-AL"/>
              </w:rPr>
              <w:t xml:space="preserve"> </w:t>
            </w:r>
            <w:r w:rsidR="0056260B">
              <w:rPr>
                <w:rFonts w:asciiTheme="majorHAnsi" w:hAnsiTheme="majorHAnsi" w:cstheme="majorHAnsi"/>
                <w:noProof/>
                <w:sz w:val="16"/>
                <w:szCs w:val="16"/>
                <w:lang w:val="sq-AL"/>
              </w:rPr>
              <w:t>LEK</w:t>
            </w:r>
            <w:r w:rsidRPr="00BB7DD5">
              <w:rPr>
                <w:rFonts w:asciiTheme="majorHAnsi" w:hAnsiTheme="majorHAnsi" w:cstheme="majorHAnsi"/>
                <w:noProof/>
                <w:sz w:val="16"/>
                <w:szCs w:val="16"/>
                <w:lang w:val="sq-AL"/>
              </w:rPr>
              <w:t>.</w:t>
            </w:r>
          </w:p>
        </w:tc>
      </w:tr>
      <w:tr w:rsidR="007A259F" w:rsidRPr="00F409F4" w14:paraId="026696EC" w14:textId="77777777" w:rsidTr="00F45244">
        <w:trPr>
          <w:trHeight w:val="626"/>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122BB4D6" w14:textId="77777777" w:rsidR="007A259F" w:rsidRPr="00BB7DD5" w:rsidRDefault="007A259F" w:rsidP="00FC0BCD">
            <w:pPr>
              <w:spacing w:before="0" w:line="240" w:lineRule="auto"/>
              <w:contextualSpacing/>
              <w:jc w:val="center"/>
              <w:rPr>
                <w:rFonts w:asciiTheme="majorHAnsi" w:hAnsiTheme="majorHAnsi" w:cstheme="majorHAnsi"/>
                <w:b w:val="0"/>
                <w:noProof/>
                <w:sz w:val="16"/>
                <w:szCs w:val="16"/>
                <w:lang w:val="sq-AL"/>
              </w:rPr>
            </w:pPr>
            <w:r w:rsidRPr="00BB7DD5">
              <w:rPr>
                <w:rFonts w:asciiTheme="majorHAnsi" w:hAnsiTheme="majorHAnsi" w:cstheme="majorHAnsi"/>
                <w:b w:val="0"/>
                <w:noProof/>
                <w:sz w:val="16"/>
                <w:szCs w:val="16"/>
                <w:lang w:val="sq-AL"/>
              </w:rPr>
              <w:t>Ndryshimet në Ligjin për Lojërat e Fatit dhe Kazinotë</w:t>
            </w:r>
          </w:p>
        </w:tc>
        <w:tc>
          <w:tcPr>
            <w:tcW w:w="493" w:type="pct"/>
            <w:shd w:val="clear" w:color="auto" w:fill="F2F2F2" w:themeFill="background1" w:themeFillShade="F2"/>
            <w:vAlign w:val="center"/>
          </w:tcPr>
          <w:p w14:paraId="31C52F4A"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2</w:t>
            </w:r>
          </w:p>
          <w:p w14:paraId="74B3F08A" w14:textId="7290A72F" w:rsidR="007A259F" w:rsidRPr="00BB7DD5" w:rsidRDefault="0056260B"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361FC2FD"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7B882A44"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0</w:t>
            </w:r>
          </w:p>
          <w:p w14:paraId="31CA620C" w14:textId="3E9584F1" w:rsidR="007A259F" w:rsidRPr="00BB7DD5" w:rsidRDefault="0056260B"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3C203D34"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3BD8BB5F"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-2 </w:t>
            </w:r>
          </w:p>
          <w:p w14:paraId="0499104B" w14:textId="4395FF6C" w:rsidR="007A259F" w:rsidRPr="00BB7DD5" w:rsidRDefault="0056260B"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7F12CC7B"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0F3B9694"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Mungesa akteve nënligjore.</w:t>
            </w:r>
          </w:p>
        </w:tc>
        <w:tc>
          <w:tcPr>
            <w:tcW w:w="1534" w:type="pct"/>
            <w:shd w:val="clear" w:color="auto" w:fill="F2F2F2" w:themeFill="background1" w:themeFillShade="F2"/>
            <w:vAlign w:val="center"/>
          </w:tcPr>
          <w:p w14:paraId="7C0C6409"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Të ardhurat e parashikuara nuk u materializuan.</w:t>
            </w:r>
          </w:p>
        </w:tc>
      </w:tr>
      <w:tr w:rsidR="007A259F" w:rsidRPr="00F409F4" w14:paraId="08C1C3F0" w14:textId="77777777" w:rsidTr="00F45244">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34B893B5" w14:textId="77777777" w:rsidR="007A259F" w:rsidRPr="00BB7DD5" w:rsidRDefault="007A259F" w:rsidP="00FC0BCD">
            <w:pPr>
              <w:spacing w:before="0" w:line="240" w:lineRule="auto"/>
              <w:contextualSpacing/>
              <w:jc w:val="center"/>
              <w:rPr>
                <w:rFonts w:asciiTheme="majorHAnsi" w:hAnsiTheme="majorHAnsi" w:cstheme="majorHAnsi"/>
                <w:b w:val="0"/>
                <w:noProof/>
                <w:sz w:val="16"/>
                <w:szCs w:val="16"/>
                <w:lang w:val="sq-AL"/>
              </w:rPr>
            </w:pPr>
            <w:r w:rsidRPr="00BB7DD5">
              <w:rPr>
                <w:rFonts w:asciiTheme="majorHAnsi" w:hAnsiTheme="majorHAnsi" w:cstheme="majorHAnsi"/>
                <w:b w:val="0"/>
                <w:noProof/>
                <w:sz w:val="16"/>
                <w:szCs w:val="16"/>
                <w:lang w:val="sq-AL"/>
              </w:rPr>
              <w:t>Kontribute shoqërore dhe shëndetësore nga rritja e pagave</w:t>
            </w:r>
          </w:p>
        </w:tc>
        <w:tc>
          <w:tcPr>
            <w:tcW w:w="493" w:type="pct"/>
            <w:shd w:val="clear" w:color="auto" w:fill="F2F2F2" w:themeFill="background1" w:themeFillShade="F2"/>
            <w:vAlign w:val="center"/>
          </w:tcPr>
          <w:p w14:paraId="28075489"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4.297 </w:t>
            </w:r>
          </w:p>
          <w:p w14:paraId="3C42C4B7" w14:textId="514DD9D8"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68817C1E"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4A836A5B"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4.297 </w:t>
            </w:r>
          </w:p>
          <w:p w14:paraId="2E940EA2" w14:textId="6724A1A1"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01023412"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4C945A80"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0 </w:t>
            </w:r>
          </w:p>
          <w:p w14:paraId="7260B0AC" w14:textId="1B6E95BD"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0266A96E"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377E86A7"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Reforma e dytë buxhetore e rritjes së pagave në Administratën Publike</w:t>
            </w:r>
          </w:p>
        </w:tc>
        <w:tc>
          <w:tcPr>
            <w:tcW w:w="1534" w:type="pct"/>
            <w:shd w:val="clear" w:color="auto" w:fill="F2F2F2" w:themeFill="background1" w:themeFillShade="F2"/>
            <w:vAlign w:val="center"/>
          </w:tcPr>
          <w:p w14:paraId="0C007629" w14:textId="77777777" w:rsidR="007A259F" w:rsidRPr="00BB7DD5" w:rsidRDefault="007A259F" w:rsidP="00FC0BCD">
            <w:pPr>
              <w:pStyle w:val="ListParagraph"/>
              <w:spacing w:before="0" w:line="240" w:lineRule="auto"/>
              <w:ind w:left="10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Rritje e fondit të pagave nga faza e dyte e rritjes së pagave në administratën publike politika e pagave rritje kontributesh. </w:t>
            </w:r>
          </w:p>
        </w:tc>
      </w:tr>
      <w:tr w:rsidR="007A259F" w:rsidRPr="00F409F4" w14:paraId="72937229" w14:textId="77777777" w:rsidTr="00F45244">
        <w:trPr>
          <w:trHeight w:val="626"/>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0C8674C7" w14:textId="77777777" w:rsidR="007A259F" w:rsidRPr="00BB7DD5" w:rsidRDefault="007A259F" w:rsidP="00FC0BCD">
            <w:pPr>
              <w:spacing w:before="0" w:line="240" w:lineRule="auto"/>
              <w:contextualSpacing/>
              <w:jc w:val="center"/>
              <w:rPr>
                <w:rFonts w:asciiTheme="majorHAnsi" w:hAnsiTheme="majorHAnsi" w:cstheme="majorHAnsi"/>
                <w:b w:val="0"/>
                <w:noProof/>
                <w:sz w:val="16"/>
                <w:szCs w:val="16"/>
                <w:lang w:val="sq-AL"/>
              </w:rPr>
            </w:pPr>
            <w:r w:rsidRPr="00BB7DD5">
              <w:rPr>
                <w:rFonts w:asciiTheme="majorHAnsi" w:hAnsiTheme="majorHAnsi" w:cstheme="majorHAnsi"/>
                <w:b w:val="0"/>
                <w:noProof/>
                <w:sz w:val="16"/>
                <w:szCs w:val="16"/>
                <w:lang w:val="sq-AL"/>
              </w:rPr>
              <w:t>TAP nga rritja e pagave në administratën publike</w:t>
            </w:r>
          </w:p>
        </w:tc>
        <w:tc>
          <w:tcPr>
            <w:tcW w:w="493" w:type="pct"/>
            <w:shd w:val="clear" w:color="auto" w:fill="F2F2F2" w:themeFill="background1" w:themeFillShade="F2"/>
            <w:vAlign w:val="center"/>
          </w:tcPr>
          <w:p w14:paraId="1D3ABEAD" w14:textId="6D62C553"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2.002 </w:t>
            </w:r>
            <w:r w:rsidR="0056260B">
              <w:rPr>
                <w:rFonts w:asciiTheme="majorHAnsi" w:hAnsiTheme="majorHAnsi" w:cstheme="majorHAnsi"/>
                <w:noProof/>
                <w:sz w:val="16"/>
                <w:szCs w:val="16"/>
                <w:lang w:val="sq-AL"/>
              </w:rPr>
              <w:t>miliardë</w:t>
            </w:r>
          </w:p>
          <w:p w14:paraId="71B1B827"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49F2B10B"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2.002</w:t>
            </w:r>
          </w:p>
          <w:p w14:paraId="7E7EDD04" w14:textId="03744C1E" w:rsidR="007A259F" w:rsidRPr="00BB7DD5" w:rsidRDefault="0056260B"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63F1E37A"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51B0B76E"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0</w:t>
            </w:r>
          </w:p>
          <w:p w14:paraId="0379D753" w14:textId="46BE98B0"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 </w:t>
            </w:r>
            <w:r w:rsidR="0056260B">
              <w:rPr>
                <w:rFonts w:asciiTheme="majorHAnsi" w:hAnsiTheme="majorHAnsi" w:cstheme="majorHAnsi"/>
                <w:noProof/>
                <w:sz w:val="16"/>
                <w:szCs w:val="16"/>
                <w:lang w:val="sq-AL"/>
              </w:rPr>
              <w:t>miliardë</w:t>
            </w:r>
          </w:p>
          <w:p w14:paraId="74462EE4"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4381D352"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Reforma e dytë buxhetore e rritjes së pagave në Administratën Publike</w:t>
            </w:r>
          </w:p>
        </w:tc>
        <w:tc>
          <w:tcPr>
            <w:tcW w:w="1534" w:type="pct"/>
            <w:shd w:val="clear" w:color="auto" w:fill="F2F2F2" w:themeFill="background1" w:themeFillShade="F2"/>
            <w:vAlign w:val="center"/>
          </w:tcPr>
          <w:p w14:paraId="6694B93E" w14:textId="77777777" w:rsidR="007A259F" w:rsidRPr="00BB7DD5" w:rsidRDefault="007A259F" w:rsidP="00FC0BC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Rritje të ardhurash nga tatimi mbi pagat në sektorin publik</w:t>
            </w:r>
          </w:p>
        </w:tc>
      </w:tr>
      <w:tr w:rsidR="007A259F" w:rsidRPr="00BB7DD5" w14:paraId="2BBCB64D" w14:textId="77777777" w:rsidTr="00F45244">
        <w:trPr>
          <w:cnfStyle w:val="000000100000" w:firstRow="0" w:lastRow="0" w:firstColumn="0" w:lastColumn="0" w:oddVBand="0" w:evenVBand="0" w:oddHBand="1"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1D8F8BA7" w14:textId="77777777" w:rsidR="007A259F" w:rsidRPr="00BB7DD5" w:rsidRDefault="007A259F" w:rsidP="00FC0BCD">
            <w:pPr>
              <w:spacing w:before="0" w:line="240" w:lineRule="auto"/>
              <w:contextualSpacing/>
              <w:jc w:val="center"/>
              <w:rPr>
                <w:rFonts w:asciiTheme="majorHAnsi" w:hAnsiTheme="majorHAnsi" w:cstheme="majorHAnsi"/>
                <w:b w:val="0"/>
                <w:noProof/>
                <w:sz w:val="16"/>
                <w:szCs w:val="16"/>
                <w:lang w:val="sq-AL"/>
              </w:rPr>
            </w:pPr>
            <w:r w:rsidRPr="00BB7DD5">
              <w:rPr>
                <w:rFonts w:asciiTheme="majorHAnsi" w:hAnsiTheme="majorHAnsi" w:cstheme="majorHAnsi"/>
                <w:b w:val="0"/>
                <w:noProof/>
                <w:sz w:val="16"/>
                <w:szCs w:val="16"/>
                <w:lang w:val="sq-AL"/>
              </w:rPr>
              <w:t>Strategjia Afatmesme e të Ardhurave (SAA/MTRS). Plani i veprimit për vitin 2025</w:t>
            </w:r>
          </w:p>
        </w:tc>
        <w:tc>
          <w:tcPr>
            <w:tcW w:w="493" w:type="pct"/>
            <w:shd w:val="clear" w:color="auto" w:fill="F2F2F2" w:themeFill="background1" w:themeFillShade="F2"/>
            <w:vAlign w:val="center"/>
          </w:tcPr>
          <w:p w14:paraId="26ED49C8"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15.96</w:t>
            </w:r>
          </w:p>
          <w:p w14:paraId="78343566" w14:textId="7382EF16"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05F18FA8"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1F20CE6A" w14:textId="0694696B"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19.64   </w:t>
            </w:r>
            <w:r w:rsidR="0056260B">
              <w:rPr>
                <w:rFonts w:asciiTheme="majorHAnsi" w:hAnsiTheme="majorHAnsi" w:cstheme="majorHAnsi"/>
                <w:noProof/>
                <w:sz w:val="16"/>
                <w:szCs w:val="16"/>
                <w:lang w:val="sq-AL"/>
              </w:rPr>
              <w:t>miliardë</w:t>
            </w:r>
          </w:p>
          <w:p w14:paraId="489B7CB1"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100B7762"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3.68</w:t>
            </w:r>
          </w:p>
          <w:p w14:paraId="22EF9F5A" w14:textId="4AB1D9AF" w:rsidR="007A259F" w:rsidRPr="00BB7DD5" w:rsidRDefault="0056260B"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Pr>
                <w:rFonts w:asciiTheme="majorHAnsi" w:hAnsiTheme="majorHAnsi" w:cstheme="majorHAnsi"/>
                <w:noProof/>
                <w:sz w:val="16"/>
                <w:szCs w:val="16"/>
                <w:lang w:val="sq-AL"/>
              </w:rPr>
              <w:t>miliardë</w:t>
            </w:r>
          </w:p>
          <w:p w14:paraId="5DC114BD"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534576B8" w14:textId="77777777"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Zbatimi i masave të planifikuara të strategjise për vitin 2025</w:t>
            </w:r>
          </w:p>
        </w:tc>
        <w:tc>
          <w:tcPr>
            <w:tcW w:w="1534" w:type="pct"/>
            <w:shd w:val="clear" w:color="auto" w:fill="F2F2F2" w:themeFill="background1" w:themeFillShade="F2"/>
            <w:vAlign w:val="center"/>
          </w:tcPr>
          <w:p w14:paraId="2AE84570" w14:textId="2CE22C2B" w:rsidR="007A259F" w:rsidRPr="00BB7DD5" w:rsidRDefault="007A259F" w:rsidP="00FC0BC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BB7DD5">
              <w:rPr>
                <w:rFonts w:asciiTheme="majorHAnsi" w:hAnsiTheme="majorHAnsi" w:cstheme="majorHAnsi"/>
                <w:noProof/>
                <w:sz w:val="16"/>
                <w:szCs w:val="16"/>
                <w:lang w:val="sq-AL"/>
              </w:rPr>
              <w:t xml:space="preserve">Efekte +3.7 </w:t>
            </w:r>
            <w:r w:rsidR="0056260B">
              <w:rPr>
                <w:rFonts w:asciiTheme="majorHAnsi" w:hAnsiTheme="majorHAnsi" w:cstheme="majorHAnsi"/>
                <w:noProof/>
                <w:sz w:val="16"/>
                <w:szCs w:val="16"/>
                <w:lang w:val="sq-AL"/>
              </w:rPr>
              <w:t>miliardë</w:t>
            </w:r>
            <w:r w:rsidRPr="00BB7DD5">
              <w:rPr>
                <w:rFonts w:asciiTheme="majorHAnsi" w:hAnsiTheme="majorHAnsi" w:cstheme="majorHAnsi"/>
                <w:noProof/>
                <w:sz w:val="16"/>
                <w:szCs w:val="16"/>
                <w:lang w:val="sq-AL"/>
              </w:rPr>
              <w:t xml:space="preserve"> mbi parashikumin për vitin 2025</w:t>
            </w:r>
          </w:p>
        </w:tc>
      </w:tr>
      <w:bookmarkEnd w:id="237"/>
    </w:tbl>
    <w:p w14:paraId="4DB6E2D8" w14:textId="77777777" w:rsidR="00F45244" w:rsidRDefault="00F45244" w:rsidP="007A259F">
      <w:pPr>
        <w:rPr>
          <w:rFonts w:asciiTheme="majorHAnsi" w:hAnsiTheme="majorHAnsi" w:cstheme="majorHAnsi"/>
          <w:noProof/>
          <w:lang w:val="sq-AL"/>
        </w:rPr>
      </w:pPr>
    </w:p>
    <w:p w14:paraId="5CCD147A" w14:textId="77777777" w:rsidR="00F45244" w:rsidRDefault="00F45244" w:rsidP="007A259F">
      <w:pPr>
        <w:rPr>
          <w:rFonts w:asciiTheme="majorHAnsi" w:hAnsiTheme="majorHAnsi" w:cstheme="majorHAnsi"/>
          <w:noProof/>
          <w:lang w:val="sq-AL"/>
        </w:rPr>
      </w:pPr>
    </w:p>
    <w:p w14:paraId="483961E8" w14:textId="77777777" w:rsidR="00F45244" w:rsidRPr="00A418CC" w:rsidRDefault="00F45244" w:rsidP="007A259F">
      <w:pPr>
        <w:rPr>
          <w:rFonts w:asciiTheme="majorHAnsi" w:hAnsiTheme="majorHAnsi" w:cstheme="majorHAnsi"/>
          <w:noProof/>
          <w:lang w:val="sq-AL"/>
        </w:rPr>
      </w:pPr>
    </w:p>
    <w:p w14:paraId="08DD3A77" w14:textId="28C58066" w:rsidR="007B7B50" w:rsidRPr="009C7207" w:rsidRDefault="00DD76EF" w:rsidP="009C7207">
      <w:pPr>
        <w:pStyle w:val="Heading2"/>
        <w:spacing w:before="0"/>
        <w:rPr>
          <w:color w:val="0F6FC6" w:themeColor="accent1"/>
        </w:rPr>
      </w:pPr>
      <w:bookmarkStart w:id="238" w:name="_Toc229390837"/>
      <w:proofErr w:type="spellStart"/>
      <w:r w:rsidRPr="009C7207">
        <w:rPr>
          <w:color w:val="0F6FC6" w:themeColor="accent1"/>
        </w:rPr>
        <w:t>Shtojca</w:t>
      </w:r>
      <w:proofErr w:type="spellEnd"/>
      <w:r w:rsidRPr="009C7207">
        <w:rPr>
          <w:color w:val="0F6FC6" w:themeColor="accent1"/>
        </w:rPr>
        <w:t xml:space="preserve"> 3 </w:t>
      </w:r>
      <w:r w:rsidR="0056260B">
        <w:rPr>
          <w:color w:val="0F6FC6" w:themeColor="accent1"/>
        </w:rPr>
        <w:t>-</w:t>
      </w:r>
      <w:r w:rsidR="00C244E2" w:rsidRPr="009C7207">
        <w:rPr>
          <w:color w:val="0F6FC6" w:themeColor="accent1"/>
        </w:rPr>
        <w:t xml:space="preserve"> </w:t>
      </w:r>
      <w:proofErr w:type="spellStart"/>
      <w:r w:rsidR="007B7B50" w:rsidRPr="009C7207">
        <w:rPr>
          <w:color w:val="0F6FC6" w:themeColor="accent1"/>
        </w:rPr>
        <w:t>Treguesit</w:t>
      </w:r>
      <w:proofErr w:type="spellEnd"/>
      <w:r w:rsidR="00C244E2" w:rsidRPr="009C7207">
        <w:rPr>
          <w:color w:val="0F6FC6" w:themeColor="accent1"/>
        </w:rPr>
        <w:t xml:space="preserve"> </w:t>
      </w:r>
      <w:proofErr w:type="spellStart"/>
      <w:r w:rsidR="007B7B50" w:rsidRPr="009C7207">
        <w:rPr>
          <w:color w:val="0F6FC6" w:themeColor="accent1"/>
        </w:rPr>
        <w:t>kryesorë</w:t>
      </w:r>
      <w:proofErr w:type="spellEnd"/>
      <w:r w:rsidR="007B7B50" w:rsidRPr="009C7207">
        <w:rPr>
          <w:color w:val="0F6FC6" w:themeColor="accent1"/>
        </w:rPr>
        <w:t xml:space="preserve"> </w:t>
      </w:r>
      <w:proofErr w:type="spellStart"/>
      <w:r w:rsidR="007B7B50" w:rsidRPr="009C7207">
        <w:rPr>
          <w:color w:val="0F6FC6" w:themeColor="accent1"/>
        </w:rPr>
        <w:t>të</w:t>
      </w:r>
      <w:proofErr w:type="spellEnd"/>
      <w:r w:rsidR="007B7B50" w:rsidRPr="009C7207">
        <w:rPr>
          <w:color w:val="0F6FC6" w:themeColor="accent1"/>
        </w:rPr>
        <w:t xml:space="preserve"> </w:t>
      </w:r>
      <w:proofErr w:type="spellStart"/>
      <w:r w:rsidR="007B7B50" w:rsidRPr="009C7207">
        <w:rPr>
          <w:color w:val="0F6FC6" w:themeColor="accent1"/>
        </w:rPr>
        <w:t>performancës</w:t>
      </w:r>
      <w:proofErr w:type="spellEnd"/>
      <w:r w:rsidR="007B7B50" w:rsidRPr="009C7207">
        <w:rPr>
          <w:color w:val="0F6FC6" w:themeColor="accent1"/>
        </w:rPr>
        <w:t xml:space="preserve"> </w:t>
      </w:r>
      <w:proofErr w:type="spellStart"/>
      <w:r w:rsidR="007B7B50" w:rsidRPr="009C7207">
        <w:rPr>
          <w:color w:val="0F6FC6" w:themeColor="accent1"/>
        </w:rPr>
        <w:t>sipas</w:t>
      </w:r>
      <w:proofErr w:type="spellEnd"/>
      <w:r w:rsidR="007B7B50" w:rsidRPr="009C7207">
        <w:rPr>
          <w:color w:val="0F6FC6" w:themeColor="accent1"/>
        </w:rPr>
        <w:t xml:space="preserve"> </w:t>
      </w:r>
      <w:proofErr w:type="spellStart"/>
      <w:r w:rsidR="007B7B50" w:rsidRPr="009C7207">
        <w:rPr>
          <w:color w:val="0F6FC6" w:themeColor="accent1"/>
        </w:rPr>
        <w:t>ministrive</w:t>
      </w:r>
      <w:proofErr w:type="spellEnd"/>
      <w:r w:rsidR="007B7B50" w:rsidRPr="009C7207">
        <w:rPr>
          <w:color w:val="0F6FC6" w:themeColor="accent1"/>
        </w:rPr>
        <w:t xml:space="preserve"> </w:t>
      </w:r>
      <w:proofErr w:type="spellStart"/>
      <w:r w:rsidR="007B7B50" w:rsidRPr="009C7207">
        <w:rPr>
          <w:color w:val="0F6FC6" w:themeColor="accent1"/>
        </w:rPr>
        <w:t>të</w:t>
      </w:r>
      <w:proofErr w:type="spellEnd"/>
      <w:r w:rsidR="007B7B50" w:rsidRPr="009C7207">
        <w:rPr>
          <w:color w:val="0F6FC6" w:themeColor="accent1"/>
        </w:rPr>
        <w:t xml:space="preserve"> </w:t>
      </w:r>
      <w:proofErr w:type="spellStart"/>
      <w:r w:rsidR="007B7B50" w:rsidRPr="009C7207">
        <w:rPr>
          <w:color w:val="0F6FC6" w:themeColor="accent1"/>
        </w:rPr>
        <w:t>linjës</w:t>
      </w:r>
      <w:bookmarkEnd w:id="238"/>
      <w:proofErr w:type="spellEnd"/>
      <w:r w:rsidR="007B7B50" w:rsidRPr="009C7207">
        <w:rPr>
          <w:color w:val="0F6FC6" w:themeColor="accent1"/>
        </w:rPr>
        <w:t xml:space="preserve"> </w:t>
      </w:r>
    </w:p>
    <w:bookmarkEnd w:id="235"/>
    <w:bookmarkEnd w:id="236"/>
    <w:p w14:paraId="1F5E6306" w14:textId="77777777" w:rsidR="00C156A0" w:rsidRPr="00C156A0" w:rsidRDefault="00C156A0" w:rsidP="00C156A0">
      <w:pPr>
        <w:spacing w:before="0" w:line="240" w:lineRule="auto"/>
        <w:rPr>
          <w:rFonts w:cs="Calibri"/>
          <w:noProof/>
          <w:color w:val="000000"/>
          <w:lang w:val="sq-AL"/>
        </w:rPr>
      </w:pPr>
      <w:r w:rsidRPr="00C156A0">
        <w:rPr>
          <w:rFonts w:cs="Calibri"/>
          <w:noProof/>
          <w:color w:val="000000"/>
          <w:lang w:val="sq-AL"/>
        </w:rPr>
        <w:t>Buxheti i vitit 2025, financoi 130 programe buxhetore dhe synonte realizimin e 1474 produkteve të 12 ministrive të linjës. Gjithashtu, këto shpenzime kanë financuar edhe buxhetin e institucioneve të pavarura, fondeve speciale dhe njësive të vetëqeverisjes vendore pë 61 bashki dhe 12 qarqe. Në përgjithësi, evidentohet një performancë relativisht e mirë e realizimit të produkteve buxhetore nga ministritë e linjës, ku nga 1474 produkte të planifikuara për vitin 2025, janë realizuar plotësisht 1000 produkte ose 67.8%, pjesërisht 258 produkte ose 17.5% dhe nuk janë realizuar vetëm 216 produkte ose 14.6%. Konkretisht:</w:t>
      </w:r>
    </w:p>
    <w:p w14:paraId="0309A8C9" w14:textId="3AB3561A" w:rsidR="00C156A0" w:rsidRPr="00C156A0" w:rsidRDefault="00C156A0" w:rsidP="00C156A0">
      <w:pPr>
        <w:rPr>
          <w:i/>
          <w:iCs/>
          <w:noProof/>
          <w:color w:val="17406D"/>
          <w:sz w:val="18"/>
          <w:szCs w:val="18"/>
          <w:lang w:val="sq-AL"/>
        </w:rPr>
      </w:pPr>
      <w:bookmarkStart w:id="239" w:name="_Toc229130003"/>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29</w:t>
      </w:r>
      <w:r w:rsidRPr="00C156A0">
        <w:rPr>
          <w:i/>
          <w:iCs/>
          <w:noProof/>
          <w:color w:val="17406D"/>
          <w:sz w:val="18"/>
          <w:szCs w:val="18"/>
          <w:lang w:val="sq-AL"/>
        </w:rPr>
        <w:fldChar w:fldCharType="end"/>
      </w:r>
      <w:r w:rsidRPr="00C156A0">
        <w:rPr>
          <w:i/>
          <w:iCs/>
          <w:noProof/>
          <w:color w:val="17406D"/>
          <w:sz w:val="18"/>
          <w:szCs w:val="18"/>
          <w:lang w:val="sq-AL"/>
        </w:rPr>
        <w:t xml:space="preserve"> Treguesit kryesorë të performancës 2024, sipas ministrive të linjës</w:t>
      </w:r>
      <w:bookmarkEnd w:id="239"/>
    </w:p>
    <w:tbl>
      <w:tblPr>
        <w:tblStyle w:val="ListTable3-Accent1221"/>
        <w:tblW w:w="5000" w:type="pct"/>
        <w:jc w:val="center"/>
        <w:tblLook w:val="04A0" w:firstRow="1" w:lastRow="0" w:firstColumn="1" w:lastColumn="0" w:noHBand="0" w:noVBand="1"/>
      </w:tblPr>
      <w:tblGrid>
        <w:gridCol w:w="653"/>
        <w:gridCol w:w="3819"/>
        <w:gridCol w:w="1327"/>
        <w:gridCol w:w="1327"/>
        <w:gridCol w:w="1327"/>
        <w:gridCol w:w="1447"/>
      </w:tblGrid>
      <w:tr w:rsidR="00C156A0" w:rsidRPr="00C156A0" w14:paraId="093088B7" w14:textId="77777777" w:rsidTr="00FC0BCD">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100" w:firstRow="0" w:lastRow="0" w:firstColumn="1" w:lastColumn="0" w:oddVBand="0" w:evenVBand="0" w:oddHBand="0" w:evenHBand="0" w:firstRowFirstColumn="1" w:firstRowLastColumn="0" w:lastRowFirstColumn="0" w:lastRowLastColumn="0"/>
            <w:tcW w:w="330" w:type="pct"/>
            <w:vMerge w:val="restart"/>
            <w:tcBorders>
              <w:top w:val="nil"/>
              <w:left w:val="nil"/>
            </w:tcBorders>
            <w:shd w:val="clear" w:color="auto" w:fill="0B5294"/>
            <w:noWrap/>
            <w:hideMark/>
          </w:tcPr>
          <w:p w14:paraId="249CE510" w14:textId="77777777" w:rsidR="00C156A0" w:rsidRPr="00C156A0" w:rsidRDefault="00C156A0" w:rsidP="00C156A0">
            <w:pPr>
              <w:spacing w:before="0" w:line="240" w:lineRule="auto"/>
              <w:jc w:val="center"/>
              <w:rPr>
                <w:rFonts w:cs="Calibri"/>
                <w:noProof/>
                <w:sz w:val="18"/>
                <w:lang w:val="sq-AL"/>
              </w:rPr>
            </w:pPr>
          </w:p>
          <w:p w14:paraId="320C5994"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Nr</w:t>
            </w:r>
          </w:p>
        </w:tc>
        <w:tc>
          <w:tcPr>
            <w:tcW w:w="1929" w:type="pct"/>
            <w:vMerge w:val="restart"/>
            <w:tcBorders>
              <w:top w:val="nil"/>
              <w:left w:val="nil"/>
              <w:bottom w:val="nil"/>
              <w:right w:val="nil"/>
            </w:tcBorders>
            <w:shd w:val="clear" w:color="auto" w:fill="0B5294"/>
            <w:noWrap/>
            <w:hideMark/>
          </w:tcPr>
          <w:p w14:paraId="1ED5472D" w14:textId="77777777" w:rsidR="00C156A0" w:rsidRPr="00C156A0" w:rsidRDefault="00C156A0" w:rsidP="00C156A0">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cs="Calibri"/>
                <w:noProof/>
                <w:sz w:val="18"/>
                <w:lang w:val="sq-AL"/>
              </w:rPr>
            </w:pPr>
          </w:p>
          <w:p w14:paraId="77185CF7" w14:textId="77777777" w:rsidR="00C156A0" w:rsidRPr="00C156A0" w:rsidRDefault="00C156A0" w:rsidP="00C156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noProof/>
                <w:sz w:val="18"/>
                <w:lang w:val="sq-AL"/>
              </w:rPr>
              <w:t>Ministria e Linjës</w:t>
            </w:r>
          </w:p>
        </w:tc>
        <w:tc>
          <w:tcPr>
            <w:tcW w:w="2741" w:type="pct"/>
            <w:gridSpan w:val="4"/>
            <w:tcBorders>
              <w:top w:val="nil"/>
              <w:left w:val="nil"/>
              <w:bottom w:val="nil"/>
              <w:right w:val="nil"/>
            </w:tcBorders>
            <w:shd w:val="clear" w:color="auto" w:fill="0B5294"/>
            <w:noWrap/>
            <w:hideMark/>
          </w:tcPr>
          <w:p w14:paraId="7CB364D7" w14:textId="77777777" w:rsidR="00C156A0" w:rsidRPr="00C156A0" w:rsidRDefault="00C156A0" w:rsidP="00C156A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noProof/>
                <w:sz w:val="18"/>
                <w:lang w:val="sq-AL"/>
              </w:rPr>
              <w:t>Produktet (në numër)</w:t>
            </w:r>
          </w:p>
        </w:tc>
      </w:tr>
      <w:tr w:rsidR="00C156A0" w:rsidRPr="00C156A0" w14:paraId="7F649157" w14:textId="77777777" w:rsidTr="00FC0BCD">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330" w:type="pct"/>
            <w:vMerge/>
            <w:tcBorders>
              <w:top w:val="nil"/>
              <w:left w:val="nil"/>
              <w:bottom w:val="nil"/>
            </w:tcBorders>
            <w:shd w:val="clear" w:color="auto" w:fill="0B5294"/>
            <w:hideMark/>
          </w:tcPr>
          <w:p w14:paraId="25F98AA8" w14:textId="77777777" w:rsidR="00C156A0" w:rsidRPr="00C156A0" w:rsidRDefault="00C156A0" w:rsidP="00C156A0">
            <w:pPr>
              <w:spacing w:before="0" w:line="240" w:lineRule="auto"/>
              <w:jc w:val="center"/>
              <w:rPr>
                <w:rFonts w:cs="Calibri"/>
                <w:noProof/>
                <w:color w:val="FFFFFF"/>
                <w:sz w:val="18"/>
                <w:lang w:val="sq-AL"/>
              </w:rPr>
            </w:pPr>
          </w:p>
        </w:tc>
        <w:tc>
          <w:tcPr>
            <w:tcW w:w="1929" w:type="pct"/>
            <w:vMerge/>
            <w:tcBorders>
              <w:top w:val="nil"/>
              <w:left w:val="nil"/>
              <w:bottom w:val="nil"/>
              <w:right w:val="nil"/>
            </w:tcBorders>
            <w:shd w:val="clear" w:color="auto" w:fill="0B5294"/>
            <w:hideMark/>
          </w:tcPr>
          <w:p w14:paraId="71490F04"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sz w:val="18"/>
                <w:lang w:val="sq-AL"/>
              </w:rPr>
            </w:pPr>
          </w:p>
        </w:tc>
        <w:tc>
          <w:tcPr>
            <w:tcW w:w="670" w:type="pct"/>
            <w:tcBorders>
              <w:top w:val="nil"/>
              <w:left w:val="nil"/>
              <w:bottom w:val="nil"/>
              <w:right w:val="nil"/>
            </w:tcBorders>
            <w:shd w:val="clear" w:color="auto" w:fill="0B5294"/>
            <w:noWrap/>
            <w:hideMark/>
          </w:tcPr>
          <w:p w14:paraId="1AD2114E"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 </w:t>
            </w:r>
          </w:p>
        </w:tc>
        <w:tc>
          <w:tcPr>
            <w:tcW w:w="1340" w:type="pct"/>
            <w:gridSpan w:val="2"/>
            <w:tcBorders>
              <w:top w:val="nil"/>
              <w:left w:val="nil"/>
              <w:bottom w:val="nil"/>
              <w:right w:val="nil"/>
            </w:tcBorders>
            <w:shd w:val="clear" w:color="auto" w:fill="0B5294"/>
            <w:noWrap/>
            <w:hideMark/>
          </w:tcPr>
          <w:p w14:paraId="07EE92C3"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Realizuar</w:t>
            </w:r>
          </w:p>
        </w:tc>
        <w:tc>
          <w:tcPr>
            <w:tcW w:w="731" w:type="pct"/>
            <w:tcBorders>
              <w:top w:val="nil"/>
              <w:left w:val="nil"/>
              <w:bottom w:val="nil"/>
              <w:right w:val="nil"/>
            </w:tcBorders>
            <w:shd w:val="clear" w:color="auto" w:fill="0B5294"/>
            <w:noWrap/>
            <w:hideMark/>
          </w:tcPr>
          <w:p w14:paraId="668109DF"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 </w:t>
            </w:r>
          </w:p>
        </w:tc>
      </w:tr>
      <w:tr w:rsidR="00C156A0" w:rsidRPr="00C156A0" w14:paraId="7BEC3E4D" w14:textId="77777777" w:rsidTr="00FC0BCD">
        <w:trPr>
          <w:trHeight w:val="140"/>
          <w:jc w:val="center"/>
        </w:trPr>
        <w:tc>
          <w:tcPr>
            <w:cnfStyle w:val="001000000000" w:firstRow="0" w:lastRow="0" w:firstColumn="1" w:lastColumn="0" w:oddVBand="0" w:evenVBand="0" w:oddHBand="0" w:evenHBand="0" w:firstRowFirstColumn="0" w:firstRowLastColumn="0" w:lastRowFirstColumn="0" w:lastRowLastColumn="0"/>
            <w:tcW w:w="330" w:type="pct"/>
            <w:vMerge/>
            <w:tcBorders>
              <w:top w:val="nil"/>
              <w:left w:val="nil"/>
              <w:bottom w:val="nil"/>
            </w:tcBorders>
            <w:shd w:val="clear" w:color="auto" w:fill="0B5294"/>
            <w:hideMark/>
          </w:tcPr>
          <w:p w14:paraId="5028B4EF" w14:textId="77777777" w:rsidR="00C156A0" w:rsidRPr="00C156A0" w:rsidRDefault="00C156A0" w:rsidP="00C156A0">
            <w:pPr>
              <w:spacing w:before="0" w:line="240" w:lineRule="auto"/>
              <w:jc w:val="center"/>
              <w:rPr>
                <w:rFonts w:cs="Calibri"/>
                <w:noProof/>
                <w:color w:val="FFFFFF"/>
                <w:sz w:val="18"/>
                <w:lang w:val="sq-AL"/>
              </w:rPr>
            </w:pPr>
          </w:p>
        </w:tc>
        <w:tc>
          <w:tcPr>
            <w:tcW w:w="1929" w:type="pct"/>
            <w:vMerge/>
            <w:tcBorders>
              <w:top w:val="nil"/>
              <w:left w:val="nil"/>
              <w:bottom w:val="nil"/>
              <w:right w:val="nil"/>
            </w:tcBorders>
            <w:shd w:val="clear" w:color="auto" w:fill="0B5294"/>
            <w:hideMark/>
          </w:tcPr>
          <w:p w14:paraId="44B21841"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sz w:val="18"/>
                <w:lang w:val="sq-AL"/>
              </w:rPr>
            </w:pPr>
          </w:p>
        </w:tc>
        <w:tc>
          <w:tcPr>
            <w:tcW w:w="670" w:type="pct"/>
            <w:tcBorders>
              <w:top w:val="nil"/>
              <w:left w:val="nil"/>
              <w:bottom w:val="nil"/>
              <w:right w:val="nil"/>
            </w:tcBorders>
            <w:shd w:val="clear" w:color="auto" w:fill="0B5294"/>
            <w:noWrap/>
            <w:hideMark/>
          </w:tcPr>
          <w:p w14:paraId="7F5950DF"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Planifikuar</w:t>
            </w:r>
          </w:p>
        </w:tc>
        <w:tc>
          <w:tcPr>
            <w:tcW w:w="670" w:type="pct"/>
            <w:tcBorders>
              <w:top w:val="nil"/>
              <w:left w:val="nil"/>
              <w:bottom w:val="nil"/>
              <w:right w:val="nil"/>
            </w:tcBorders>
            <w:shd w:val="clear" w:color="auto" w:fill="0B5294"/>
            <w:hideMark/>
          </w:tcPr>
          <w:p w14:paraId="2080845C"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Plotësisht</w:t>
            </w:r>
          </w:p>
        </w:tc>
        <w:tc>
          <w:tcPr>
            <w:tcW w:w="670" w:type="pct"/>
            <w:tcBorders>
              <w:top w:val="nil"/>
              <w:left w:val="nil"/>
              <w:bottom w:val="nil"/>
              <w:right w:val="nil"/>
            </w:tcBorders>
            <w:shd w:val="clear" w:color="auto" w:fill="0B5294"/>
            <w:hideMark/>
          </w:tcPr>
          <w:p w14:paraId="7D626EF2"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Pjesërisht</w:t>
            </w:r>
          </w:p>
        </w:tc>
        <w:tc>
          <w:tcPr>
            <w:tcW w:w="731" w:type="pct"/>
            <w:tcBorders>
              <w:top w:val="nil"/>
              <w:left w:val="nil"/>
              <w:bottom w:val="nil"/>
              <w:right w:val="nil"/>
            </w:tcBorders>
            <w:shd w:val="clear" w:color="auto" w:fill="0B5294"/>
            <w:noWrap/>
            <w:hideMark/>
          </w:tcPr>
          <w:p w14:paraId="44473C97"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sz w:val="18"/>
                <w:lang w:val="sq-AL"/>
              </w:rPr>
            </w:pPr>
            <w:r w:rsidRPr="00C156A0">
              <w:rPr>
                <w:rFonts w:cs="Calibri"/>
                <w:b/>
                <w:bCs/>
                <w:noProof/>
                <w:color w:val="FFFFFF"/>
                <w:sz w:val="18"/>
                <w:lang w:val="sq-AL"/>
              </w:rPr>
              <w:t xml:space="preserve">Pa realizuar </w:t>
            </w:r>
          </w:p>
        </w:tc>
      </w:tr>
      <w:tr w:rsidR="00C156A0" w:rsidRPr="00C156A0" w14:paraId="0313C670" w14:textId="77777777" w:rsidTr="00FC0BC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330" w:type="pct"/>
            <w:tcBorders>
              <w:top w:val="nil"/>
              <w:right w:val="dotted" w:sz="4" w:space="0" w:color="0F6FC6"/>
            </w:tcBorders>
            <w:shd w:val="clear" w:color="auto" w:fill="DBEFF9"/>
            <w:noWrap/>
          </w:tcPr>
          <w:p w14:paraId="311EFAD2"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1</w:t>
            </w:r>
          </w:p>
        </w:tc>
        <w:tc>
          <w:tcPr>
            <w:tcW w:w="1929" w:type="pct"/>
            <w:tcBorders>
              <w:top w:val="nil"/>
              <w:left w:val="dotted" w:sz="4" w:space="0" w:color="0F6FC6"/>
              <w:right w:val="dotted" w:sz="4" w:space="0" w:color="0F6FC6"/>
            </w:tcBorders>
            <w:shd w:val="clear" w:color="auto" w:fill="DBEFF9"/>
            <w:noWrap/>
          </w:tcPr>
          <w:p w14:paraId="0C892508"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Ministria e Ekonomisë dhe Inovacionit</w:t>
            </w:r>
          </w:p>
        </w:tc>
        <w:tc>
          <w:tcPr>
            <w:tcW w:w="670" w:type="pct"/>
            <w:tcBorders>
              <w:top w:val="nil"/>
              <w:left w:val="dotted" w:sz="4" w:space="0" w:color="0F6FC6"/>
              <w:right w:val="dotted" w:sz="4" w:space="0" w:color="0F6FC6"/>
            </w:tcBorders>
            <w:shd w:val="clear" w:color="auto" w:fill="DBEFF9"/>
            <w:noWrap/>
          </w:tcPr>
          <w:p w14:paraId="045E561D"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125</w:t>
            </w:r>
          </w:p>
        </w:tc>
        <w:tc>
          <w:tcPr>
            <w:tcW w:w="670" w:type="pct"/>
            <w:tcBorders>
              <w:top w:val="nil"/>
              <w:left w:val="dotted" w:sz="4" w:space="0" w:color="0F6FC6"/>
              <w:right w:val="dotted" w:sz="4" w:space="0" w:color="0F6FC6"/>
            </w:tcBorders>
            <w:shd w:val="clear" w:color="auto" w:fill="DBEFF9"/>
            <w:noWrap/>
          </w:tcPr>
          <w:p w14:paraId="321A3E79"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86</w:t>
            </w:r>
          </w:p>
        </w:tc>
        <w:tc>
          <w:tcPr>
            <w:tcW w:w="670" w:type="pct"/>
            <w:tcBorders>
              <w:top w:val="nil"/>
              <w:left w:val="dotted" w:sz="4" w:space="0" w:color="0F6FC6"/>
              <w:right w:val="dotted" w:sz="4" w:space="0" w:color="0F6FC6"/>
            </w:tcBorders>
            <w:shd w:val="clear" w:color="auto" w:fill="DBEFF9"/>
            <w:noWrap/>
          </w:tcPr>
          <w:p w14:paraId="33DB7AAE"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18</w:t>
            </w:r>
          </w:p>
        </w:tc>
        <w:tc>
          <w:tcPr>
            <w:tcW w:w="731" w:type="pct"/>
            <w:tcBorders>
              <w:top w:val="nil"/>
              <w:left w:val="dotted" w:sz="4" w:space="0" w:color="0F6FC6"/>
            </w:tcBorders>
            <w:shd w:val="clear" w:color="auto" w:fill="DBEFF9"/>
            <w:noWrap/>
          </w:tcPr>
          <w:p w14:paraId="05FE2D12"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21</w:t>
            </w:r>
          </w:p>
        </w:tc>
      </w:tr>
      <w:tr w:rsidR="00C156A0" w:rsidRPr="00C156A0" w14:paraId="52733A67" w14:textId="77777777" w:rsidTr="00FC0BCD">
        <w:trPr>
          <w:trHeight w:val="180"/>
          <w:jc w:val="center"/>
        </w:trPr>
        <w:tc>
          <w:tcPr>
            <w:cnfStyle w:val="001000000000" w:firstRow="0" w:lastRow="0" w:firstColumn="1" w:lastColumn="0" w:oddVBand="0" w:evenVBand="0" w:oddHBand="0" w:evenHBand="0" w:firstRowFirstColumn="0" w:firstRowLastColumn="0" w:lastRowFirstColumn="0" w:lastRowLastColumn="0"/>
            <w:tcW w:w="330" w:type="pct"/>
            <w:tcBorders>
              <w:top w:val="nil"/>
              <w:right w:val="dotted" w:sz="4" w:space="0" w:color="0F6FC6"/>
            </w:tcBorders>
            <w:shd w:val="clear" w:color="auto" w:fill="DBEFF9"/>
            <w:noWrap/>
            <w:hideMark/>
          </w:tcPr>
          <w:p w14:paraId="28B06153"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2</w:t>
            </w:r>
          </w:p>
        </w:tc>
        <w:tc>
          <w:tcPr>
            <w:tcW w:w="1929" w:type="pct"/>
            <w:tcBorders>
              <w:top w:val="nil"/>
              <w:left w:val="dotted" w:sz="4" w:space="0" w:color="0F6FC6"/>
              <w:right w:val="dotted" w:sz="4" w:space="0" w:color="0F6FC6"/>
            </w:tcBorders>
            <w:shd w:val="clear" w:color="auto" w:fill="DBEFF9"/>
            <w:noWrap/>
            <w:hideMark/>
          </w:tcPr>
          <w:p w14:paraId="11926E32"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 xml:space="preserve">Ministria e Bujqësise dhe Zhvillimit Rural </w:t>
            </w:r>
          </w:p>
        </w:tc>
        <w:tc>
          <w:tcPr>
            <w:tcW w:w="670" w:type="pct"/>
            <w:tcBorders>
              <w:top w:val="nil"/>
              <w:left w:val="dotted" w:sz="4" w:space="0" w:color="0F6FC6"/>
              <w:right w:val="dotted" w:sz="4" w:space="0" w:color="0F6FC6"/>
            </w:tcBorders>
            <w:shd w:val="clear" w:color="auto" w:fill="DBEFF9"/>
            <w:noWrap/>
          </w:tcPr>
          <w:p w14:paraId="399A31C1"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128</w:t>
            </w:r>
          </w:p>
        </w:tc>
        <w:tc>
          <w:tcPr>
            <w:tcW w:w="670" w:type="pct"/>
            <w:tcBorders>
              <w:top w:val="nil"/>
              <w:left w:val="dotted" w:sz="4" w:space="0" w:color="0F6FC6"/>
              <w:right w:val="dotted" w:sz="4" w:space="0" w:color="0F6FC6"/>
            </w:tcBorders>
            <w:shd w:val="clear" w:color="auto" w:fill="DBEFF9"/>
            <w:noWrap/>
          </w:tcPr>
          <w:p w14:paraId="6B739ECA"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83</w:t>
            </w:r>
          </w:p>
        </w:tc>
        <w:tc>
          <w:tcPr>
            <w:tcW w:w="670" w:type="pct"/>
            <w:tcBorders>
              <w:top w:val="nil"/>
              <w:left w:val="dotted" w:sz="4" w:space="0" w:color="0F6FC6"/>
              <w:right w:val="dotted" w:sz="4" w:space="0" w:color="0F6FC6"/>
            </w:tcBorders>
            <w:shd w:val="clear" w:color="auto" w:fill="DBEFF9"/>
            <w:noWrap/>
          </w:tcPr>
          <w:p w14:paraId="4D9F97E1"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22</w:t>
            </w:r>
          </w:p>
        </w:tc>
        <w:tc>
          <w:tcPr>
            <w:tcW w:w="731" w:type="pct"/>
            <w:tcBorders>
              <w:top w:val="nil"/>
              <w:left w:val="dotted" w:sz="4" w:space="0" w:color="0F6FC6"/>
            </w:tcBorders>
            <w:shd w:val="clear" w:color="auto" w:fill="DBEFF9"/>
            <w:noWrap/>
          </w:tcPr>
          <w:p w14:paraId="7E926D2C"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23</w:t>
            </w:r>
          </w:p>
        </w:tc>
      </w:tr>
      <w:tr w:rsidR="00C156A0" w:rsidRPr="00C156A0" w14:paraId="78429C31" w14:textId="77777777" w:rsidTr="00FC0BC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2994605B"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3</w:t>
            </w:r>
          </w:p>
        </w:tc>
        <w:tc>
          <w:tcPr>
            <w:tcW w:w="1929" w:type="pct"/>
            <w:tcBorders>
              <w:left w:val="dotted" w:sz="4" w:space="0" w:color="0F6FC6"/>
              <w:right w:val="dotted" w:sz="4" w:space="0" w:color="0F6FC6"/>
            </w:tcBorders>
            <w:shd w:val="clear" w:color="auto" w:fill="DBEFF9"/>
            <w:hideMark/>
          </w:tcPr>
          <w:p w14:paraId="3C413BDB"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Ministria e Infrastrukturës dhe Energjisë</w:t>
            </w:r>
          </w:p>
        </w:tc>
        <w:tc>
          <w:tcPr>
            <w:tcW w:w="670" w:type="pct"/>
            <w:tcBorders>
              <w:left w:val="dotted" w:sz="4" w:space="0" w:color="0F6FC6"/>
              <w:right w:val="dotted" w:sz="4" w:space="0" w:color="0F6FC6"/>
            </w:tcBorders>
            <w:shd w:val="clear" w:color="auto" w:fill="DBEFF9"/>
            <w:noWrap/>
          </w:tcPr>
          <w:p w14:paraId="2DA20E43"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434</w:t>
            </w:r>
          </w:p>
        </w:tc>
        <w:tc>
          <w:tcPr>
            <w:tcW w:w="670" w:type="pct"/>
            <w:tcBorders>
              <w:left w:val="dotted" w:sz="4" w:space="0" w:color="0F6FC6"/>
              <w:right w:val="dotted" w:sz="4" w:space="0" w:color="0F6FC6"/>
            </w:tcBorders>
            <w:shd w:val="clear" w:color="auto" w:fill="DBEFF9"/>
            <w:noWrap/>
          </w:tcPr>
          <w:p w14:paraId="3D09E1AE"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358</w:t>
            </w:r>
          </w:p>
        </w:tc>
        <w:tc>
          <w:tcPr>
            <w:tcW w:w="670" w:type="pct"/>
            <w:tcBorders>
              <w:left w:val="dotted" w:sz="4" w:space="0" w:color="0F6FC6"/>
              <w:right w:val="dotted" w:sz="4" w:space="0" w:color="0F6FC6"/>
            </w:tcBorders>
            <w:shd w:val="clear" w:color="auto" w:fill="DBEFF9"/>
            <w:noWrap/>
          </w:tcPr>
          <w:p w14:paraId="3F2392AC"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18</w:t>
            </w:r>
          </w:p>
        </w:tc>
        <w:tc>
          <w:tcPr>
            <w:tcW w:w="731" w:type="pct"/>
            <w:tcBorders>
              <w:left w:val="dotted" w:sz="4" w:space="0" w:color="0F6FC6"/>
            </w:tcBorders>
            <w:shd w:val="clear" w:color="auto" w:fill="DBEFF9"/>
            <w:noWrap/>
          </w:tcPr>
          <w:p w14:paraId="52BEAEBE"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58</w:t>
            </w:r>
          </w:p>
        </w:tc>
      </w:tr>
      <w:tr w:rsidR="00C156A0" w:rsidRPr="00C156A0" w14:paraId="3F86811A" w14:textId="77777777" w:rsidTr="00FC0BCD">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2E6EF698"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4</w:t>
            </w:r>
          </w:p>
        </w:tc>
        <w:tc>
          <w:tcPr>
            <w:tcW w:w="1929" w:type="pct"/>
            <w:tcBorders>
              <w:left w:val="dotted" w:sz="4" w:space="0" w:color="0F6FC6"/>
              <w:right w:val="dotted" w:sz="4" w:space="0" w:color="0F6FC6"/>
            </w:tcBorders>
            <w:shd w:val="clear" w:color="auto" w:fill="DBEFF9"/>
            <w:hideMark/>
          </w:tcPr>
          <w:p w14:paraId="71F6E32F"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 xml:space="preserve">Ministria e Financave </w:t>
            </w:r>
          </w:p>
        </w:tc>
        <w:tc>
          <w:tcPr>
            <w:tcW w:w="670" w:type="pct"/>
            <w:tcBorders>
              <w:left w:val="dotted" w:sz="4" w:space="0" w:color="0F6FC6"/>
              <w:right w:val="dotted" w:sz="4" w:space="0" w:color="0F6FC6"/>
            </w:tcBorders>
            <w:shd w:val="clear" w:color="auto" w:fill="DBEFF9"/>
            <w:noWrap/>
          </w:tcPr>
          <w:p w14:paraId="2776643B"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53</w:t>
            </w:r>
          </w:p>
        </w:tc>
        <w:tc>
          <w:tcPr>
            <w:tcW w:w="670" w:type="pct"/>
            <w:tcBorders>
              <w:left w:val="dotted" w:sz="4" w:space="0" w:color="0F6FC6"/>
              <w:right w:val="dotted" w:sz="4" w:space="0" w:color="0F6FC6"/>
            </w:tcBorders>
            <w:shd w:val="clear" w:color="auto" w:fill="DBEFF9"/>
            <w:noWrap/>
          </w:tcPr>
          <w:p w14:paraId="03F0037A"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21</w:t>
            </w:r>
          </w:p>
        </w:tc>
        <w:tc>
          <w:tcPr>
            <w:tcW w:w="670" w:type="pct"/>
            <w:tcBorders>
              <w:left w:val="dotted" w:sz="4" w:space="0" w:color="0F6FC6"/>
              <w:right w:val="dotted" w:sz="4" w:space="0" w:color="0F6FC6"/>
            </w:tcBorders>
            <w:shd w:val="clear" w:color="auto" w:fill="DBEFF9"/>
            <w:noWrap/>
          </w:tcPr>
          <w:p w14:paraId="29C22335"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16</w:t>
            </w:r>
          </w:p>
        </w:tc>
        <w:tc>
          <w:tcPr>
            <w:tcW w:w="731" w:type="pct"/>
            <w:tcBorders>
              <w:left w:val="dotted" w:sz="4" w:space="0" w:color="0F6FC6"/>
            </w:tcBorders>
            <w:shd w:val="clear" w:color="auto" w:fill="DBEFF9"/>
            <w:noWrap/>
          </w:tcPr>
          <w:p w14:paraId="17CD7176"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16</w:t>
            </w:r>
          </w:p>
        </w:tc>
      </w:tr>
      <w:tr w:rsidR="00C156A0" w:rsidRPr="00C156A0" w14:paraId="4DD68E8D" w14:textId="77777777" w:rsidTr="00FC0BC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261395FE"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5</w:t>
            </w:r>
          </w:p>
        </w:tc>
        <w:tc>
          <w:tcPr>
            <w:tcW w:w="1929" w:type="pct"/>
            <w:tcBorders>
              <w:left w:val="dotted" w:sz="4" w:space="0" w:color="0F6FC6"/>
              <w:right w:val="dotted" w:sz="4" w:space="0" w:color="0F6FC6"/>
            </w:tcBorders>
            <w:shd w:val="clear" w:color="auto" w:fill="DBEFF9"/>
            <w:hideMark/>
          </w:tcPr>
          <w:p w14:paraId="586DF90E"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Ministria e Arsimit</w:t>
            </w:r>
            <w:r w:rsidRPr="00C156A0">
              <w:rPr>
                <w:rFonts w:cs="Calibri"/>
                <w:noProof/>
                <w:sz w:val="18"/>
                <w:lang w:val="sq-AL"/>
              </w:rPr>
              <w:t xml:space="preserve"> </w:t>
            </w:r>
          </w:p>
        </w:tc>
        <w:tc>
          <w:tcPr>
            <w:tcW w:w="670" w:type="pct"/>
            <w:tcBorders>
              <w:left w:val="dotted" w:sz="4" w:space="0" w:color="0F6FC6"/>
              <w:right w:val="dotted" w:sz="4" w:space="0" w:color="0F6FC6"/>
            </w:tcBorders>
            <w:shd w:val="clear" w:color="auto" w:fill="DBEFF9"/>
            <w:noWrap/>
          </w:tcPr>
          <w:p w14:paraId="0DF86861"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151</w:t>
            </w:r>
          </w:p>
        </w:tc>
        <w:tc>
          <w:tcPr>
            <w:tcW w:w="670" w:type="pct"/>
            <w:tcBorders>
              <w:left w:val="dotted" w:sz="4" w:space="0" w:color="0F6FC6"/>
              <w:right w:val="dotted" w:sz="4" w:space="0" w:color="0F6FC6"/>
            </w:tcBorders>
            <w:shd w:val="clear" w:color="auto" w:fill="DBEFF9"/>
            <w:noWrap/>
          </w:tcPr>
          <w:p w14:paraId="0DC8FFFF"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88</w:t>
            </w:r>
          </w:p>
        </w:tc>
        <w:tc>
          <w:tcPr>
            <w:tcW w:w="670" w:type="pct"/>
            <w:tcBorders>
              <w:left w:val="dotted" w:sz="4" w:space="0" w:color="0F6FC6"/>
              <w:right w:val="dotted" w:sz="4" w:space="0" w:color="0F6FC6"/>
            </w:tcBorders>
            <w:shd w:val="clear" w:color="auto" w:fill="DBEFF9"/>
            <w:noWrap/>
          </w:tcPr>
          <w:p w14:paraId="73119A4C"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62</w:t>
            </w:r>
          </w:p>
        </w:tc>
        <w:tc>
          <w:tcPr>
            <w:tcW w:w="731" w:type="pct"/>
            <w:tcBorders>
              <w:left w:val="dotted" w:sz="4" w:space="0" w:color="0F6FC6"/>
            </w:tcBorders>
            <w:shd w:val="clear" w:color="auto" w:fill="DBEFF9"/>
            <w:noWrap/>
          </w:tcPr>
          <w:p w14:paraId="05594C73"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w:t>
            </w:r>
          </w:p>
        </w:tc>
      </w:tr>
      <w:tr w:rsidR="00C156A0" w:rsidRPr="00C156A0" w14:paraId="61B4615A" w14:textId="77777777" w:rsidTr="00FC0BCD">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3B278898"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6</w:t>
            </w:r>
          </w:p>
        </w:tc>
        <w:tc>
          <w:tcPr>
            <w:tcW w:w="1929" w:type="pct"/>
            <w:tcBorders>
              <w:left w:val="dotted" w:sz="4" w:space="0" w:color="0F6FC6"/>
              <w:right w:val="dotted" w:sz="4" w:space="0" w:color="0F6FC6"/>
            </w:tcBorders>
            <w:shd w:val="clear" w:color="auto" w:fill="DBEFF9"/>
            <w:hideMark/>
          </w:tcPr>
          <w:p w14:paraId="76B01318"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Ministria e Kulturës Turizmit dhe Sportit</w:t>
            </w:r>
          </w:p>
        </w:tc>
        <w:tc>
          <w:tcPr>
            <w:tcW w:w="670" w:type="pct"/>
            <w:tcBorders>
              <w:left w:val="dotted" w:sz="4" w:space="0" w:color="0F6FC6"/>
              <w:right w:val="dotted" w:sz="4" w:space="0" w:color="0F6FC6"/>
            </w:tcBorders>
            <w:shd w:val="clear" w:color="auto" w:fill="DBEFF9"/>
            <w:noWrap/>
          </w:tcPr>
          <w:p w14:paraId="5BD984CA"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91</w:t>
            </w:r>
          </w:p>
        </w:tc>
        <w:tc>
          <w:tcPr>
            <w:tcW w:w="670" w:type="pct"/>
            <w:tcBorders>
              <w:left w:val="dotted" w:sz="4" w:space="0" w:color="0F6FC6"/>
              <w:right w:val="dotted" w:sz="4" w:space="0" w:color="0F6FC6"/>
            </w:tcBorders>
            <w:shd w:val="clear" w:color="auto" w:fill="DBEFF9"/>
            <w:noWrap/>
          </w:tcPr>
          <w:p w14:paraId="42C82A00"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38</w:t>
            </w:r>
          </w:p>
        </w:tc>
        <w:tc>
          <w:tcPr>
            <w:tcW w:w="670" w:type="pct"/>
            <w:tcBorders>
              <w:left w:val="dotted" w:sz="4" w:space="0" w:color="0F6FC6"/>
              <w:right w:val="dotted" w:sz="4" w:space="0" w:color="0F6FC6"/>
            </w:tcBorders>
            <w:shd w:val="clear" w:color="auto" w:fill="DBEFF9"/>
            <w:noWrap/>
          </w:tcPr>
          <w:p w14:paraId="14001C11"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45</w:t>
            </w:r>
          </w:p>
        </w:tc>
        <w:tc>
          <w:tcPr>
            <w:tcW w:w="731" w:type="pct"/>
            <w:tcBorders>
              <w:left w:val="dotted" w:sz="4" w:space="0" w:color="0F6FC6"/>
            </w:tcBorders>
            <w:shd w:val="clear" w:color="auto" w:fill="DBEFF9"/>
            <w:noWrap/>
          </w:tcPr>
          <w:p w14:paraId="63417863"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w:t>
            </w:r>
          </w:p>
        </w:tc>
      </w:tr>
      <w:tr w:rsidR="00C156A0" w:rsidRPr="00C156A0" w14:paraId="47A43FEE" w14:textId="77777777" w:rsidTr="00FC0BCD">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6007AF68"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7</w:t>
            </w:r>
          </w:p>
        </w:tc>
        <w:tc>
          <w:tcPr>
            <w:tcW w:w="1929" w:type="pct"/>
            <w:tcBorders>
              <w:left w:val="dotted" w:sz="4" w:space="0" w:color="0F6FC6"/>
              <w:right w:val="dotted" w:sz="4" w:space="0" w:color="0F6FC6"/>
            </w:tcBorders>
            <w:shd w:val="clear" w:color="auto" w:fill="DBEFF9"/>
            <w:hideMark/>
          </w:tcPr>
          <w:p w14:paraId="21E11056"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Ministria e Shëndetësisë dhe Mirëqënies</w:t>
            </w:r>
          </w:p>
          <w:p w14:paraId="523C67C4"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 xml:space="preserve"> Sociale</w:t>
            </w:r>
          </w:p>
        </w:tc>
        <w:tc>
          <w:tcPr>
            <w:tcW w:w="670" w:type="pct"/>
            <w:tcBorders>
              <w:left w:val="dotted" w:sz="4" w:space="0" w:color="0F6FC6"/>
              <w:right w:val="dotted" w:sz="4" w:space="0" w:color="0F6FC6"/>
            </w:tcBorders>
            <w:shd w:val="clear" w:color="auto" w:fill="DBEFF9"/>
            <w:noWrap/>
          </w:tcPr>
          <w:p w14:paraId="7265B0B4"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138</w:t>
            </w:r>
          </w:p>
        </w:tc>
        <w:tc>
          <w:tcPr>
            <w:tcW w:w="670" w:type="pct"/>
            <w:tcBorders>
              <w:left w:val="dotted" w:sz="4" w:space="0" w:color="0F6FC6"/>
              <w:right w:val="dotted" w:sz="4" w:space="0" w:color="0F6FC6"/>
            </w:tcBorders>
            <w:shd w:val="clear" w:color="auto" w:fill="DBEFF9"/>
            <w:noWrap/>
          </w:tcPr>
          <w:p w14:paraId="4238D5D0"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84</w:t>
            </w:r>
          </w:p>
        </w:tc>
        <w:tc>
          <w:tcPr>
            <w:tcW w:w="670" w:type="pct"/>
            <w:tcBorders>
              <w:left w:val="dotted" w:sz="4" w:space="0" w:color="0F6FC6"/>
              <w:right w:val="dotted" w:sz="4" w:space="0" w:color="0F6FC6"/>
            </w:tcBorders>
            <w:shd w:val="clear" w:color="auto" w:fill="DBEFF9"/>
            <w:noWrap/>
          </w:tcPr>
          <w:p w14:paraId="196F601C"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24</w:t>
            </w:r>
          </w:p>
        </w:tc>
        <w:tc>
          <w:tcPr>
            <w:tcW w:w="731" w:type="pct"/>
            <w:tcBorders>
              <w:left w:val="dotted" w:sz="4" w:space="0" w:color="0F6FC6"/>
            </w:tcBorders>
            <w:shd w:val="clear" w:color="auto" w:fill="DBEFF9"/>
            <w:noWrap/>
          </w:tcPr>
          <w:p w14:paraId="60C6D9F4"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30</w:t>
            </w:r>
          </w:p>
        </w:tc>
      </w:tr>
      <w:tr w:rsidR="00C156A0" w:rsidRPr="00C156A0" w14:paraId="11629349" w14:textId="77777777" w:rsidTr="00FC0BCD">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03356295"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8</w:t>
            </w:r>
          </w:p>
        </w:tc>
        <w:tc>
          <w:tcPr>
            <w:tcW w:w="1929" w:type="pct"/>
            <w:tcBorders>
              <w:left w:val="dotted" w:sz="4" w:space="0" w:color="0F6FC6"/>
              <w:right w:val="dotted" w:sz="4" w:space="0" w:color="0F6FC6"/>
            </w:tcBorders>
            <w:shd w:val="clear" w:color="auto" w:fill="DBEFF9"/>
            <w:hideMark/>
          </w:tcPr>
          <w:p w14:paraId="3213AECB"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Ministria e Drejtësise</w:t>
            </w:r>
          </w:p>
        </w:tc>
        <w:tc>
          <w:tcPr>
            <w:tcW w:w="670" w:type="pct"/>
            <w:tcBorders>
              <w:left w:val="dotted" w:sz="4" w:space="0" w:color="0F6FC6"/>
              <w:right w:val="dotted" w:sz="4" w:space="0" w:color="0F6FC6"/>
            </w:tcBorders>
            <w:shd w:val="clear" w:color="auto" w:fill="DBEFF9"/>
            <w:noWrap/>
          </w:tcPr>
          <w:p w14:paraId="38257239"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61</w:t>
            </w:r>
          </w:p>
        </w:tc>
        <w:tc>
          <w:tcPr>
            <w:tcW w:w="670" w:type="pct"/>
            <w:tcBorders>
              <w:left w:val="dotted" w:sz="4" w:space="0" w:color="0F6FC6"/>
              <w:right w:val="dotted" w:sz="4" w:space="0" w:color="0F6FC6"/>
            </w:tcBorders>
            <w:shd w:val="clear" w:color="auto" w:fill="DBEFF9"/>
            <w:noWrap/>
          </w:tcPr>
          <w:p w14:paraId="0F9BC256"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34</w:t>
            </w:r>
          </w:p>
        </w:tc>
        <w:tc>
          <w:tcPr>
            <w:tcW w:w="670" w:type="pct"/>
            <w:tcBorders>
              <w:left w:val="dotted" w:sz="4" w:space="0" w:color="0F6FC6"/>
              <w:right w:val="dotted" w:sz="4" w:space="0" w:color="0F6FC6"/>
            </w:tcBorders>
            <w:shd w:val="clear" w:color="auto" w:fill="DBEFF9"/>
            <w:noWrap/>
          </w:tcPr>
          <w:p w14:paraId="657B179C"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18</w:t>
            </w:r>
          </w:p>
        </w:tc>
        <w:tc>
          <w:tcPr>
            <w:tcW w:w="731" w:type="pct"/>
            <w:tcBorders>
              <w:left w:val="dotted" w:sz="4" w:space="0" w:color="0F6FC6"/>
            </w:tcBorders>
            <w:shd w:val="clear" w:color="auto" w:fill="DBEFF9"/>
            <w:noWrap/>
          </w:tcPr>
          <w:p w14:paraId="3E45A89E" w14:textId="77777777" w:rsidR="00C156A0" w:rsidRPr="00C156A0" w:rsidRDefault="00C156A0" w:rsidP="00C156A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9</w:t>
            </w:r>
          </w:p>
        </w:tc>
      </w:tr>
      <w:tr w:rsidR="00C156A0" w:rsidRPr="00C156A0" w14:paraId="6A083A54" w14:textId="77777777" w:rsidTr="00FC0BC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0DB921DA"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9</w:t>
            </w:r>
          </w:p>
        </w:tc>
        <w:tc>
          <w:tcPr>
            <w:tcW w:w="1929" w:type="pct"/>
            <w:tcBorders>
              <w:left w:val="dotted" w:sz="4" w:space="0" w:color="0F6FC6"/>
              <w:right w:val="dotted" w:sz="4" w:space="0" w:color="0F6FC6"/>
            </w:tcBorders>
            <w:shd w:val="clear" w:color="auto" w:fill="DBEFF9"/>
            <w:hideMark/>
          </w:tcPr>
          <w:p w14:paraId="125462DE"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Ministria për Evropën dhe Punët e Jashtme</w:t>
            </w:r>
          </w:p>
        </w:tc>
        <w:tc>
          <w:tcPr>
            <w:tcW w:w="670" w:type="pct"/>
            <w:tcBorders>
              <w:left w:val="dotted" w:sz="4" w:space="0" w:color="0F6FC6"/>
              <w:right w:val="dotted" w:sz="4" w:space="0" w:color="0F6FC6"/>
            </w:tcBorders>
            <w:shd w:val="clear" w:color="auto" w:fill="DBEFF9"/>
            <w:noWrap/>
          </w:tcPr>
          <w:p w14:paraId="4A619ABE"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24</w:t>
            </w:r>
          </w:p>
        </w:tc>
        <w:tc>
          <w:tcPr>
            <w:tcW w:w="670" w:type="pct"/>
            <w:tcBorders>
              <w:left w:val="dotted" w:sz="4" w:space="0" w:color="0F6FC6"/>
              <w:right w:val="dotted" w:sz="4" w:space="0" w:color="0F6FC6"/>
            </w:tcBorders>
            <w:shd w:val="clear" w:color="auto" w:fill="DBEFF9"/>
            <w:noWrap/>
          </w:tcPr>
          <w:p w14:paraId="1D7A386D"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22</w:t>
            </w:r>
          </w:p>
        </w:tc>
        <w:tc>
          <w:tcPr>
            <w:tcW w:w="670" w:type="pct"/>
            <w:tcBorders>
              <w:left w:val="dotted" w:sz="4" w:space="0" w:color="0F6FC6"/>
              <w:right w:val="dotted" w:sz="4" w:space="0" w:color="0F6FC6"/>
            </w:tcBorders>
            <w:shd w:val="clear" w:color="auto" w:fill="DBEFF9"/>
            <w:noWrap/>
          </w:tcPr>
          <w:p w14:paraId="74D3796C"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2</w:t>
            </w:r>
          </w:p>
        </w:tc>
        <w:tc>
          <w:tcPr>
            <w:tcW w:w="731" w:type="pct"/>
            <w:tcBorders>
              <w:left w:val="dotted" w:sz="4" w:space="0" w:color="0F6FC6"/>
            </w:tcBorders>
            <w:shd w:val="clear" w:color="auto" w:fill="DBEFF9"/>
            <w:noWrap/>
          </w:tcPr>
          <w:p w14:paraId="6FE61D8A"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sz w:val="18"/>
                <w:lang w:val="sq-AL"/>
              </w:rPr>
              <w:t>0</w:t>
            </w:r>
          </w:p>
        </w:tc>
      </w:tr>
      <w:tr w:rsidR="00C156A0" w:rsidRPr="00C156A0" w14:paraId="3C38068A" w14:textId="77777777" w:rsidTr="00FC0BCD">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58B2AAD1"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10</w:t>
            </w:r>
          </w:p>
        </w:tc>
        <w:tc>
          <w:tcPr>
            <w:tcW w:w="1929" w:type="pct"/>
            <w:tcBorders>
              <w:left w:val="dotted" w:sz="4" w:space="0" w:color="0F6FC6"/>
              <w:right w:val="dotted" w:sz="4" w:space="0" w:color="0F6FC6"/>
            </w:tcBorders>
            <w:shd w:val="clear" w:color="auto" w:fill="DBEFF9"/>
            <w:hideMark/>
          </w:tcPr>
          <w:p w14:paraId="594FE8E5"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Ministria e Brendshme</w:t>
            </w:r>
          </w:p>
        </w:tc>
        <w:tc>
          <w:tcPr>
            <w:tcW w:w="670" w:type="pct"/>
            <w:tcBorders>
              <w:left w:val="dotted" w:sz="4" w:space="0" w:color="0F6FC6"/>
              <w:right w:val="dotted" w:sz="4" w:space="0" w:color="0F6FC6"/>
            </w:tcBorders>
            <w:shd w:val="clear" w:color="auto" w:fill="DBEFF9"/>
            <w:noWrap/>
          </w:tcPr>
          <w:p w14:paraId="69A67247"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88</w:t>
            </w:r>
          </w:p>
        </w:tc>
        <w:tc>
          <w:tcPr>
            <w:tcW w:w="670" w:type="pct"/>
            <w:tcBorders>
              <w:left w:val="dotted" w:sz="4" w:space="0" w:color="0F6FC6"/>
              <w:right w:val="dotted" w:sz="4" w:space="0" w:color="0F6FC6"/>
            </w:tcBorders>
            <w:shd w:val="clear" w:color="auto" w:fill="DBEFF9"/>
            <w:noWrap/>
          </w:tcPr>
          <w:p w14:paraId="317B0CDF"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77</w:t>
            </w:r>
          </w:p>
        </w:tc>
        <w:tc>
          <w:tcPr>
            <w:tcW w:w="670" w:type="pct"/>
            <w:tcBorders>
              <w:left w:val="dotted" w:sz="4" w:space="0" w:color="0F6FC6"/>
              <w:right w:val="dotted" w:sz="4" w:space="0" w:color="0F6FC6"/>
            </w:tcBorders>
            <w:shd w:val="clear" w:color="auto" w:fill="DBEFF9"/>
            <w:noWrap/>
          </w:tcPr>
          <w:p w14:paraId="58A9A33F"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w:t>
            </w:r>
          </w:p>
        </w:tc>
        <w:tc>
          <w:tcPr>
            <w:tcW w:w="731" w:type="pct"/>
            <w:tcBorders>
              <w:left w:val="dotted" w:sz="4" w:space="0" w:color="0F6FC6"/>
            </w:tcBorders>
            <w:shd w:val="clear" w:color="auto" w:fill="DBEFF9"/>
            <w:noWrap/>
          </w:tcPr>
          <w:p w14:paraId="7EE898BA"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3</w:t>
            </w:r>
          </w:p>
        </w:tc>
      </w:tr>
      <w:tr w:rsidR="00C156A0" w:rsidRPr="00C156A0" w14:paraId="3DDF9E7D" w14:textId="77777777" w:rsidTr="00FC0BC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4C5FB66C"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11</w:t>
            </w:r>
          </w:p>
        </w:tc>
        <w:tc>
          <w:tcPr>
            <w:tcW w:w="1929" w:type="pct"/>
            <w:tcBorders>
              <w:left w:val="dotted" w:sz="4" w:space="0" w:color="0F6FC6"/>
              <w:right w:val="dotted" w:sz="4" w:space="0" w:color="0F6FC6"/>
            </w:tcBorders>
            <w:shd w:val="clear" w:color="auto" w:fill="DBEFF9"/>
            <w:hideMark/>
          </w:tcPr>
          <w:p w14:paraId="0EE6225B" w14:textId="77777777" w:rsidR="00C156A0" w:rsidRPr="00C156A0" w:rsidRDefault="00C156A0" w:rsidP="00C156A0">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Ministria e Mbrojtjes</w:t>
            </w:r>
          </w:p>
        </w:tc>
        <w:tc>
          <w:tcPr>
            <w:tcW w:w="670" w:type="pct"/>
            <w:tcBorders>
              <w:left w:val="dotted" w:sz="4" w:space="0" w:color="0F6FC6"/>
              <w:right w:val="dotted" w:sz="4" w:space="0" w:color="0F6FC6"/>
            </w:tcBorders>
            <w:shd w:val="clear" w:color="auto" w:fill="DBEFF9"/>
            <w:noWrap/>
          </w:tcPr>
          <w:p w14:paraId="2DC0BDB9"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129</w:t>
            </w:r>
          </w:p>
        </w:tc>
        <w:tc>
          <w:tcPr>
            <w:tcW w:w="670" w:type="pct"/>
            <w:tcBorders>
              <w:left w:val="dotted" w:sz="4" w:space="0" w:color="0F6FC6"/>
              <w:right w:val="dotted" w:sz="4" w:space="0" w:color="0F6FC6"/>
            </w:tcBorders>
            <w:shd w:val="clear" w:color="auto" w:fill="DBEFF9"/>
            <w:noWrap/>
          </w:tcPr>
          <w:p w14:paraId="563B32AE"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82</w:t>
            </w:r>
          </w:p>
        </w:tc>
        <w:tc>
          <w:tcPr>
            <w:tcW w:w="670" w:type="pct"/>
            <w:tcBorders>
              <w:left w:val="dotted" w:sz="4" w:space="0" w:color="0F6FC6"/>
              <w:right w:val="dotted" w:sz="4" w:space="0" w:color="0F6FC6"/>
            </w:tcBorders>
            <w:shd w:val="clear" w:color="auto" w:fill="DBEFF9"/>
            <w:noWrap/>
          </w:tcPr>
          <w:p w14:paraId="38141A33"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10</w:t>
            </w:r>
          </w:p>
        </w:tc>
        <w:tc>
          <w:tcPr>
            <w:tcW w:w="731" w:type="pct"/>
            <w:tcBorders>
              <w:left w:val="dotted" w:sz="4" w:space="0" w:color="0F6FC6"/>
            </w:tcBorders>
            <w:shd w:val="clear" w:color="auto" w:fill="DBEFF9"/>
            <w:noWrap/>
          </w:tcPr>
          <w:p w14:paraId="763DD9F6"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37</w:t>
            </w:r>
          </w:p>
        </w:tc>
      </w:tr>
      <w:tr w:rsidR="00C156A0" w:rsidRPr="00C156A0" w14:paraId="0710B127" w14:textId="77777777" w:rsidTr="00FC0BCD">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46CFFF72"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12</w:t>
            </w:r>
          </w:p>
        </w:tc>
        <w:tc>
          <w:tcPr>
            <w:tcW w:w="1929" w:type="pct"/>
            <w:tcBorders>
              <w:left w:val="dotted" w:sz="4" w:space="0" w:color="0F6FC6"/>
              <w:right w:val="dotted" w:sz="4" w:space="0" w:color="0F6FC6"/>
            </w:tcBorders>
            <w:shd w:val="clear" w:color="auto" w:fill="DBEFF9"/>
            <w:noWrap/>
            <w:hideMark/>
          </w:tcPr>
          <w:p w14:paraId="348790AE" w14:textId="77777777" w:rsidR="00C156A0" w:rsidRPr="00C156A0" w:rsidRDefault="00C156A0" w:rsidP="00C156A0">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cs="Calibri"/>
                <w:b/>
                <w:bCs/>
                <w:noProof/>
                <w:sz w:val="18"/>
                <w:lang w:val="sq-AL"/>
              </w:rPr>
              <w:t>Ministria e Mjedisit</w:t>
            </w:r>
          </w:p>
        </w:tc>
        <w:tc>
          <w:tcPr>
            <w:tcW w:w="670" w:type="pct"/>
            <w:tcBorders>
              <w:left w:val="dotted" w:sz="4" w:space="0" w:color="0F6FC6"/>
              <w:right w:val="dotted" w:sz="4" w:space="0" w:color="0F6FC6"/>
            </w:tcBorders>
            <w:shd w:val="clear" w:color="auto" w:fill="DBEFF9"/>
            <w:noWrap/>
          </w:tcPr>
          <w:p w14:paraId="4FC63C00"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52</w:t>
            </w:r>
          </w:p>
        </w:tc>
        <w:tc>
          <w:tcPr>
            <w:tcW w:w="670" w:type="pct"/>
            <w:tcBorders>
              <w:left w:val="dotted" w:sz="4" w:space="0" w:color="0F6FC6"/>
              <w:right w:val="dotted" w:sz="4" w:space="0" w:color="0F6FC6"/>
            </w:tcBorders>
            <w:shd w:val="clear" w:color="auto" w:fill="DBEFF9"/>
            <w:noWrap/>
          </w:tcPr>
          <w:p w14:paraId="02F8AF36"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27</w:t>
            </w:r>
          </w:p>
        </w:tc>
        <w:tc>
          <w:tcPr>
            <w:tcW w:w="670" w:type="pct"/>
            <w:tcBorders>
              <w:left w:val="dotted" w:sz="4" w:space="0" w:color="0F6FC6"/>
              <w:right w:val="dotted" w:sz="4" w:space="0" w:color="0F6FC6"/>
            </w:tcBorders>
            <w:shd w:val="clear" w:color="auto" w:fill="DBEFF9"/>
            <w:noWrap/>
          </w:tcPr>
          <w:p w14:paraId="19664A9D"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15</w:t>
            </w:r>
          </w:p>
        </w:tc>
        <w:tc>
          <w:tcPr>
            <w:tcW w:w="731" w:type="pct"/>
            <w:tcBorders>
              <w:left w:val="dotted" w:sz="4" w:space="0" w:color="0F6FC6"/>
            </w:tcBorders>
            <w:shd w:val="clear" w:color="auto" w:fill="DBEFF9"/>
            <w:noWrap/>
          </w:tcPr>
          <w:p w14:paraId="04493206" w14:textId="77777777" w:rsidR="00C156A0" w:rsidRPr="00C156A0" w:rsidRDefault="00C156A0" w:rsidP="00C156A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C156A0">
              <w:rPr>
                <w:rFonts w:ascii="Aptos" w:eastAsia="MS Mincho" w:hAnsi="Aptos" w:cs="Calibri"/>
                <w:noProof/>
                <w:sz w:val="18"/>
                <w:lang w:val="sq-AL"/>
              </w:rPr>
              <w:t>10</w:t>
            </w:r>
          </w:p>
        </w:tc>
      </w:tr>
      <w:tr w:rsidR="00C156A0" w:rsidRPr="00C156A0" w14:paraId="6A913A2E" w14:textId="77777777" w:rsidTr="00FC0BC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2668D5A6" w14:textId="77777777" w:rsidR="00C156A0" w:rsidRPr="00C156A0" w:rsidRDefault="00C156A0" w:rsidP="00C156A0">
            <w:pPr>
              <w:spacing w:before="0" w:line="240" w:lineRule="auto"/>
              <w:jc w:val="center"/>
              <w:rPr>
                <w:rFonts w:cs="Calibri"/>
                <w:noProof/>
                <w:sz w:val="18"/>
                <w:lang w:val="sq-AL"/>
              </w:rPr>
            </w:pPr>
            <w:r w:rsidRPr="00C156A0">
              <w:rPr>
                <w:rFonts w:cs="Calibri"/>
                <w:noProof/>
                <w:sz w:val="18"/>
                <w:lang w:val="sq-AL"/>
              </w:rPr>
              <w:t> </w:t>
            </w:r>
          </w:p>
        </w:tc>
        <w:tc>
          <w:tcPr>
            <w:tcW w:w="1929" w:type="pct"/>
            <w:tcBorders>
              <w:left w:val="dotted" w:sz="4" w:space="0" w:color="0F6FC6"/>
              <w:right w:val="dotted" w:sz="4" w:space="0" w:color="0F6FC6"/>
            </w:tcBorders>
            <w:shd w:val="clear" w:color="auto" w:fill="DBEFF9"/>
            <w:noWrap/>
            <w:hideMark/>
          </w:tcPr>
          <w:p w14:paraId="1ED908CA" w14:textId="77777777" w:rsidR="00C156A0" w:rsidRPr="00C156A0" w:rsidRDefault="00C156A0" w:rsidP="00C156A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C156A0">
              <w:rPr>
                <w:rFonts w:cs="Calibri"/>
                <w:b/>
                <w:bCs/>
                <w:noProof/>
                <w:sz w:val="18"/>
                <w:lang w:val="sq-AL"/>
              </w:rPr>
              <w:t>TOTALI</w:t>
            </w:r>
          </w:p>
        </w:tc>
        <w:tc>
          <w:tcPr>
            <w:tcW w:w="670" w:type="pct"/>
            <w:tcBorders>
              <w:left w:val="dotted" w:sz="4" w:space="0" w:color="0F6FC6"/>
              <w:right w:val="dotted" w:sz="4" w:space="0" w:color="0F6FC6"/>
            </w:tcBorders>
            <w:shd w:val="clear" w:color="auto" w:fill="DBEFF9"/>
            <w:noWrap/>
          </w:tcPr>
          <w:p w14:paraId="0732EBCD"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1 474</w:t>
            </w:r>
          </w:p>
        </w:tc>
        <w:tc>
          <w:tcPr>
            <w:tcW w:w="670" w:type="pct"/>
            <w:tcBorders>
              <w:left w:val="dotted" w:sz="4" w:space="0" w:color="0F6FC6"/>
              <w:right w:val="dotted" w:sz="4" w:space="0" w:color="0F6FC6"/>
            </w:tcBorders>
            <w:shd w:val="clear" w:color="auto" w:fill="DBEFF9"/>
            <w:noWrap/>
          </w:tcPr>
          <w:p w14:paraId="478CD6B6"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1 000</w:t>
            </w:r>
          </w:p>
        </w:tc>
        <w:tc>
          <w:tcPr>
            <w:tcW w:w="670" w:type="pct"/>
            <w:tcBorders>
              <w:left w:val="dotted" w:sz="4" w:space="0" w:color="0F6FC6"/>
              <w:right w:val="dotted" w:sz="4" w:space="0" w:color="0F6FC6"/>
            </w:tcBorders>
            <w:shd w:val="clear" w:color="auto" w:fill="DBEFF9"/>
            <w:noWrap/>
          </w:tcPr>
          <w:p w14:paraId="0115E9A6" w14:textId="77777777" w:rsidR="00C156A0" w:rsidRPr="00C156A0" w:rsidRDefault="00C156A0" w:rsidP="00C156A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258</w:t>
            </w:r>
          </w:p>
        </w:tc>
        <w:tc>
          <w:tcPr>
            <w:tcW w:w="731" w:type="pct"/>
            <w:tcBorders>
              <w:left w:val="dotted" w:sz="4" w:space="0" w:color="0F6FC6"/>
            </w:tcBorders>
            <w:shd w:val="clear" w:color="auto" w:fill="DBEFF9"/>
            <w:noWrap/>
          </w:tcPr>
          <w:p w14:paraId="40B13D80" w14:textId="77777777" w:rsidR="00C156A0" w:rsidRPr="00C156A0" w:rsidRDefault="00C156A0" w:rsidP="00C156A0">
            <w:pPr>
              <w:keepNext/>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C156A0">
              <w:rPr>
                <w:rFonts w:cs="Calibri"/>
                <w:b/>
                <w:bCs/>
                <w:noProof/>
                <w:sz w:val="18"/>
                <w:lang w:val="sq-AL"/>
              </w:rPr>
              <w:t>216</w:t>
            </w:r>
          </w:p>
        </w:tc>
      </w:tr>
    </w:tbl>
    <w:p w14:paraId="6071E47B" w14:textId="77777777" w:rsidR="00C156A0" w:rsidRPr="00C156A0" w:rsidRDefault="00C156A0" w:rsidP="00C156A0">
      <w:pPr>
        <w:rPr>
          <w:rFonts w:cs="Calibri"/>
          <w:i/>
          <w:iCs/>
          <w:noProof/>
          <w:color w:val="17406D"/>
          <w:sz w:val="4"/>
          <w:szCs w:val="18"/>
          <w:lang w:val="sq-AL"/>
        </w:rPr>
      </w:pPr>
    </w:p>
    <w:p w14:paraId="0C57207F" w14:textId="06CDCEBF" w:rsidR="00C156A0" w:rsidRPr="00C156A0" w:rsidRDefault="00C156A0" w:rsidP="00C156A0">
      <w:pPr>
        <w:rPr>
          <w:i/>
          <w:iCs/>
          <w:noProof/>
          <w:color w:val="17406D"/>
          <w:sz w:val="18"/>
          <w:szCs w:val="18"/>
          <w:lang w:val="sq-AL"/>
        </w:rPr>
      </w:pPr>
      <w:bookmarkStart w:id="240" w:name="_Toc229130004"/>
      <w:r w:rsidRPr="00C156A0">
        <w:rPr>
          <w:i/>
          <w:iCs/>
          <w:noProof/>
          <w:color w:val="17406D"/>
          <w:sz w:val="18"/>
          <w:szCs w:val="18"/>
          <w:lang w:val="sq-AL"/>
        </w:rPr>
        <w:lastRenderedPageBreak/>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30</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ministritë dhe institucionet qendrore (në 000/LEK)</w:t>
      </w:r>
      <w:bookmarkEnd w:id="240"/>
    </w:p>
    <w:p w14:paraId="10D6CC4B" w14:textId="567072D7" w:rsidR="00C156A0" w:rsidRPr="00C156A0" w:rsidRDefault="00C156A0" w:rsidP="00BB7DD5">
      <w:pPr>
        <w:rPr>
          <w:i/>
          <w:iCs/>
          <w:noProof/>
          <w:color w:val="17406D"/>
          <w:sz w:val="18"/>
          <w:szCs w:val="18"/>
          <w:lang w:val="sq-AL"/>
        </w:rPr>
      </w:pPr>
      <w:r w:rsidRPr="00C156A0">
        <w:rPr>
          <w:rFonts w:ascii="Aptos" w:eastAsia="MS Mincho" w:hAnsi="Aptos"/>
          <w:noProof/>
          <w:kern w:val="2"/>
          <w:sz w:val="24"/>
          <w14:ligatures w14:val="standardContextual"/>
        </w:rPr>
        <w:drawing>
          <wp:inline distT="0" distB="0" distL="0" distR="0" wp14:anchorId="78824EF2" wp14:editId="3A1B7F98">
            <wp:extent cx="6286500" cy="8072120"/>
            <wp:effectExtent l="0" t="0" r="0" b="5080"/>
            <wp:docPr id="69606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6500" cy="8072120"/>
                    </a:xfrm>
                    <a:prstGeom prst="rect">
                      <a:avLst/>
                    </a:prstGeom>
                    <a:noFill/>
                    <a:ln>
                      <a:noFill/>
                    </a:ln>
                  </pic:spPr>
                </pic:pic>
              </a:graphicData>
            </a:graphic>
          </wp:inline>
        </w:drawing>
      </w:r>
      <w:r w:rsidRPr="00C156A0">
        <w:rPr>
          <w:i/>
          <w:iCs/>
          <w:noProof/>
          <w:color w:val="17406D"/>
          <w:sz w:val="18"/>
          <w:szCs w:val="18"/>
          <w:lang w:val="sq-AL"/>
        </w:rPr>
        <w:t>* Për këto ministri krahasimi i treguesve t</w:t>
      </w:r>
      <w:r w:rsidRPr="00C156A0">
        <w:rPr>
          <w:rFonts w:ascii="Segoe UI Symbol" w:hAnsi="Segoe UI Symbol"/>
          <w:i/>
          <w:iCs/>
          <w:noProof/>
          <w:color w:val="17406D"/>
          <w:sz w:val="18"/>
          <w:szCs w:val="18"/>
          <w:lang w:val="sq-AL" w:eastAsia="ja-JP"/>
        </w:rPr>
        <w:t>ë</w:t>
      </w:r>
      <w:r w:rsidRPr="00C156A0">
        <w:rPr>
          <w:i/>
          <w:iCs/>
          <w:noProof/>
          <w:color w:val="17406D"/>
          <w:sz w:val="18"/>
          <w:szCs w:val="18"/>
          <w:lang w:val="sq-AL"/>
        </w:rPr>
        <w:t xml:space="preserve"> vitit 2025 me ato të vitit 2024 nuk mund të bëhet pasi ka ndryshuar struktura programore e tyre, ndërsa MEI është një ministri e re e krijuar në vitin 2025.</w:t>
      </w:r>
    </w:p>
    <w:p w14:paraId="1B6814F7" w14:textId="77777777" w:rsidR="00C156A0" w:rsidRPr="00C156A0" w:rsidRDefault="00C156A0" w:rsidP="00C156A0">
      <w:pPr>
        <w:jc w:val="center"/>
        <w:rPr>
          <w:lang w:val="sq-AL"/>
        </w:rPr>
      </w:pPr>
    </w:p>
    <w:p w14:paraId="02F918A8" w14:textId="3CBB8BE4" w:rsidR="00C156A0" w:rsidRPr="00B14F86" w:rsidRDefault="00F00AB8" w:rsidP="009C7207">
      <w:pPr>
        <w:pStyle w:val="Heading3"/>
        <w:rPr>
          <w:b/>
          <w:bCs/>
        </w:rPr>
      </w:pPr>
      <w:bookmarkStart w:id="241" w:name="_Toc10033295"/>
      <w:bookmarkStart w:id="242" w:name="_Toc10721431"/>
      <w:r w:rsidRPr="00B14F86">
        <w:rPr>
          <w:b/>
          <w:bCs/>
        </w:rPr>
        <w:lastRenderedPageBreak/>
        <w:t xml:space="preserve"> </w:t>
      </w:r>
      <w:bookmarkStart w:id="243" w:name="_Toc229390838"/>
      <w:proofErr w:type="spellStart"/>
      <w:r w:rsidR="00C156A0" w:rsidRPr="00B14F86">
        <w:rPr>
          <w:b/>
          <w:bCs/>
        </w:rPr>
        <w:t>Shëndetësia</w:t>
      </w:r>
      <w:proofErr w:type="spellEnd"/>
      <w:r w:rsidR="00C156A0" w:rsidRPr="00B14F86">
        <w:rPr>
          <w:b/>
          <w:bCs/>
        </w:rPr>
        <w:t xml:space="preserve"> </w:t>
      </w:r>
      <w:proofErr w:type="spellStart"/>
      <w:r w:rsidR="00C156A0" w:rsidRPr="00B14F86">
        <w:rPr>
          <w:b/>
          <w:bCs/>
        </w:rPr>
        <w:t>dhe</w:t>
      </w:r>
      <w:proofErr w:type="spellEnd"/>
      <w:r w:rsidR="00C156A0" w:rsidRPr="00B14F86">
        <w:rPr>
          <w:b/>
          <w:bCs/>
        </w:rPr>
        <w:t xml:space="preserve"> </w:t>
      </w:r>
      <w:proofErr w:type="spellStart"/>
      <w:r w:rsidR="00C156A0" w:rsidRPr="00B14F86">
        <w:rPr>
          <w:b/>
          <w:bCs/>
        </w:rPr>
        <w:t>Mbrojtja</w:t>
      </w:r>
      <w:proofErr w:type="spellEnd"/>
      <w:r w:rsidR="00C156A0" w:rsidRPr="00B14F86">
        <w:rPr>
          <w:b/>
          <w:bCs/>
        </w:rPr>
        <w:t xml:space="preserve"> Sociale</w:t>
      </w:r>
      <w:bookmarkEnd w:id="241"/>
      <w:bookmarkEnd w:id="242"/>
      <w:bookmarkEnd w:id="243"/>
    </w:p>
    <w:p w14:paraId="29339F1A" w14:textId="77777777" w:rsidR="00C156A0" w:rsidRPr="00C156A0" w:rsidRDefault="00C156A0" w:rsidP="00C156A0">
      <w:pPr>
        <w:spacing w:line="240" w:lineRule="auto"/>
        <w:rPr>
          <w:rFonts w:cs="Calibri"/>
          <w:noProof/>
          <w:color w:val="000000"/>
          <w:lang w:val="sq-AL"/>
        </w:rPr>
      </w:pPr>
      <w:r w:rsidRPr="00C156A0">
        <w:rPr>
          <w:rFonts w:cs="Calibri"/>
          <w:noProof/>
          <w:color w:val="000000"/>
          <w:lang w:val="sq-AL"/>
        </w:rPr>
        <w:t>Në përputhje me drejtimet kryesore të politikës së përgjithshme shtetërore, me fondet buxhetore të miratuara për vitin 2025, performanca e treguesve buxhetorë për programet kryesore në Ministrinë e Shëndetësisë dhe Mirëqenies Sociale, paraqitet si më poshtë:</w:t>
      </w:r>
    </w:p>
    <w:p w14:paraId="3C6B7985" w14:textId="250D53AC" w:rsidR="00C156A0" w:rsidRPr="00C156A0" w:rsidRDefault="00C156A0" w:rsidP="00C156A0">
      <w:pPr>
        <w:spacing w:line="240" w:lineRule="auto"/>
        <w:rPr>
          <w:i/>
          <w:iCs/>
          <w:noProof/>
          <w:color w:val="17406D"/>
          <w:sz w:val="18"/>
          <w:szCs w:val="18"/>
          <w:lang w:val="sq-AL"/>
        </w:rPr>
      </w:pPr>
      <w:bookmarkStart w:id="244" w:name="_Toc229130005"/>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31</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Shëndetësisë dhe Mirëqenies Sociale (në mijë LEK)</w:t>
      </w:r>
      <w:bookmarkEnd w:id="244"/>
    </w:p>
    <w:p w14:paraId="0221C254" w14:textId="77777777" w:rsidR="00C156A0" w:rsidRPr="00C156A0" w:rsidRDefault="00C156A0" w:rsidP="00C156A0">
      <w:pPr>
        <w:spacing w:before="0" w:line="240" w:lineRule="auto"/>
        <w:rPr>
          <w:rFonts w:cs="Calibri"/>
          <w:noProof/>
          <w:color w:val="000000"/>
          <w:sz w:val="12"/>
          <w:szCs w:val="14"/>
          <w:lang w:val="sq-AL"/>
        </w:rPr>
      </w:pPr>
    </w:p>
    <w:tbl>
      <w:tblPr>
        <w:tblW w:w="0" w:type="auto"/>
        <w:jc w:val="center"/>
        <w:tblLook w:val="04A0" w:firstRow="1" w:lastRow="0" w:firstColumn="1" w:lastColumn="0" w:noHBand="0" w:noVBand="1"/>
      </w:tblPr>
      <w:tblGrid>
        <w:gridCol w:w="1990"/>
        <w:gridCol w:w="948"/>
        <w:gridCol w:w="871"/>
        <w:gridCol w:w="948"/>
        <w:gridCol w:w="871"/>
        <w:gridCol w:w="948"/>
        <w:gridCol w:w="871"/>
        <w:gridCol w:w="608"/>
        <w:gridCol w:w="605"/>
        <w:gridCol w:w="610"/>
        <w:gridCol w:w="610"/>
      </w:tblGrid>
      <w:tr w:rsidR="00C156A0" w:rsidRPr="00F409F4" w14:paraId="1A2FEBAA" w14:textId="77777777" w:rsidTr="00BB7DD5">
        <w:trPr>
          <w:trHeight w:val="450"/>
          <w:jc w:val="center"/>
        </w:trPr>
        <w:tc>
          <w:tcPr>
            <w:tcW w:w="1989" w:type="dxa"/>
            <w:vMerge w:val="restart"/>
            <w:tcBorders>
              <w:top w:val="single" w:sz="8" w:space="0" w:color="90C5F6"/>
              <w:left w:val="single" w:sz="8" w:space="0" w:color="90C5F6"/>
              <w:bottom w:val="single" w:sz="4" w:space="0" w:color="90C5F6"/>
              <w:right w:val="single" w:sz="4" w:space="0" w:color="90C5F6"/>
            </w:tcBorders>
            <w:shd w:val="clear" w:color="000000" w:fill="366092"/>
            <w:vAlign w:val="center"/>
            <w:hideMark/>
          </w:tcPr>
          <w:p w14:paraId="6428D047" w14:textId="77777777" w:rsidR="00C156A0" w:rsidRPr="00C156A0" w:rsidRDefault="00C156A0" w:rsidP="00C156A0">
            <w:pPr>
              <w:spacing w:before="0" w:line="240" w:lineRule="auto"/>
              <w:jc w:val="center"/>
              <w:rPr>
                <w:rFonts w:cs="Calibri"/>
                <w:b/>
                <w:bCs/>
                <w:color w:val="FFFFFF"/>
                <w:sz w:val="16"/>
                <w:szCs w:val="16"/>
              </w:rPr>
            </w:pPr>
            <w:proofErr w:type="spellStart"/>
            <w:r w:rsidRPr="00C156A0">
              <w:rPr>
                <w:rFonts w:cs="Calibri"/>
                <w:b/>
                <w:bCs/>
                <w:color w:val="FFFFFF"/>
                <w:sz w:val="16"/>
                <w:szCs w:val="16"/>
              </w:rPr>
              <w:t>Programi</w:t>
            </w:r>
            <w:proofErr w:type="spellEnd"/>
            <w:r w:rsidRPr="00C156A0">
              <w:rPr>
                <w:rFonts w:cs="Calibri"/>
                <w:b/>
                <w:bCs/>
                <w:color w:val="FFFFFF"/>
                <w:sz w:val="16"/>
                <w:szCs w:val="16"/>
              </w:rPr>
              <w:t xml:space="preserve"> </w:t>
            </w:r>
            <w:proofErr w:type="spellStart"/>
            <w:r w:rsidRPr="00C156A0">
              <w:rPr>
                <w:rFonts w:cs="Calibri"/>
                <w:b/>
                <w:bCs/>
                <w:color w:val="FFFFFF"/>
                <w:sz w:val="16"/>
                <w:szCs w:val="16"/>
              </w:rPr>
              <w:t>buxhetor</w:t>
            </w:r>
            <w:proofErr w:type="spellEnd"/>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0CCB23BE" w14:textId="77777777" w:rsidR="00C156A0" w:rsidRPr="00C156A0" w:rsidRDefault="00C156A0" w:rsidP="00C156A0">
            <w:pPr>
              <w:spacing w:before="0" w:line="240" w:lineRule="auto"/>
              <w:jc w:val="center"/>
              <w:rPr>
                <w:rFonts w:cs="Calibri"/>
                <w:b/>
                <w:bCs/>
                <w:color w:val="FFFFFF"/>
                <w:sz w:val="16"/>
                <w:szCs w:val="16"/>
              </w:rPr>
            </w:pPr>
            <w:proofErr w:type="spellStart"/>
            <w:r w:rsidRPr="00C156A0">
              <w:rPr>
                <w:rFonts w:cs="Calibri"/>
                <w:b/>
                <w:bCs/>
                <w:color w:val="FFFFFF"/>
                <w:sz w:val="16"/>
                <w:szCs w:val="16"/>
              </w:rPr>
              <w:t>Plani</w:t>
            </w:r>
            <w:proofErr w:type="spellEnd"/>
            <w:r w:rsidRPr="00C156A0">
              <w:rPr>
                <w:rFonts w:cs="Calibri"/>
                <w:b/>
                <w:bCs/>
                <w:color w:val="FFFFFF"/>
                <w:sz w:val="16"/>
                <w:szCs w:val="16"/>
              </w:rPr>
              <w:t xml:space="preserve"> </w:t>
            </w:r>
            <w:proofErr w:type="spellStart"/>
            <w:r w:rsidRPr="00C156A0">
              <w:rPr>
                <w:rFonts w:cs="Calibri"/>
                <w:b/>
                <w:bCs/>
                <w:color w:val="FFFFFF"/>
                <w:sz w:val="16"/>
                <w:szCs w:val="16"/>
              </w:rPr>
              <w:t>fillestar</w:t>
            </w:r>
            <w:proofErr w:type="spellEnd"/>
            <w:r w:rsidRPr="00C156A0">
              <w:rPr>
                <w:rFonts w:cs="Calibri"/>
                <w:b/>
                <w:bCs/>
                <w:color w:val="FFFFFF"/>
                <w:sz w:val="16"/>
                <w:szCs w:val="16"/>
              </w:rPr>
              <w:t xml:space="preserve"> 2025</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6826E260" w14:textId="77777777" w:rsidR="00C156A0" w:rsidRPr="00C156A0" w:rsidRDefault="00C156A0" w:rsidP="00C156A0">
            <w:pPr>
              <w:spacing w:before="0" w:line="240" w:lineRule="auto"/>
              <w:jc w:val="center"/>
              <w:rPr>
                <w:rFonts w:cs="Calibri"/>
                <w:b/>
                <w:bCs/>
                <w:color w:val="FFFFFF"/>
                <w:sz w:val="16"/>
                <w:szCs w:val="16"/>
              </w:rPr>
            </w:pPr>
            <w:proofErr w:type="spellStart"/>
            <w:r w:rsidRPr="00C156A0">
              <w:rPr>
                <w:rFonts w:cs="Calibri"/>
                <w:b/>
                <w:bCs/>
                <w:color w:val="FFFFFF"/>
                <w:sz w:val="16"/>
                <w:szCs w:val="16"/>
              </w:rPr>
              <w:t>Plani</w:t>
            </w:r>
            <w:proofErr w:type="spellEnd"/>
            <w:r w:rsidRPr="00C156A0">
              <w:rPr>
                <w:rFonts w:cs="Calibri"/>
                <w:b/>
                <w:bCs/>
                <w:color w:val="FFFFFF"/>
                <w:sz w:val="16"/>
                <w:szCs w:val="16"/>
              </w:rPr>
              <w:t xml:space="preserve"> i </w:t>
            </w:r>
            <w:proofErr w:type="spellStart"/>
            <w:r w:rsidRPr="00C156A0">
              <w:rPr>
                <w:rFonts w:cs="Calibri"/>
                <w:b/>
                <w:bCs/>
                <w:color w:val="FFFFFF"/>
                <w:sz w:val="16"/>
                <w:szCs w:val="16"/>
              </w:rPr>
              <w:t>rishikuar</w:t>
            </w:r>
            <w:proofErr w:type="spellEnd"/>
            <w:r w:rsidRPr="00C156A0">
              <w:rPr>
                <w:rFonts w:cs="Calibri"/>
                <w:b/>
                <w:bCs/>
                <w:color w:val="FFFFFF"/>
                <w:sz w:val="16"/>
                <w:szCs w:val="16"/>
              </w:rPr>
              <w:t xml:space="preserve"> 2025</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36C7591D" w14:textId="77777777" w:rsidR="00C156A0" w:rsidRPr="00C156A0" w:rsidRDefault="00C156A0" w:rsidP="00C156A0">
            <w:pPr>
              <w:spacing w:before="0" w:line="240" w:lineRule="auto"/>
              <w:jc w:val="center"/>
              <w:rPr>
                <w:rFonts w:cs="Calibri"/>
                <w:b/>
                <w:bCs/>
                <w:color w:val="FFFFFF"/>
                <w:sz w:val="16"/>
                <w:szCs w:val="16"/>
              </w:rPr>
            </w:pPr>
            <w:proofErr w:type="spellStart"/>
            <w:r w:rsidRPr="00C156A0">
              <w:rPr>
                <w:rFonts w:cs="Calibri"/>
                <w:b/>
                <w:bCs/>
                <w:color w:val="FFFFFF"/>
                <w:sz w:val="16"/>
                <w:szCs w:val="16"/>
              </w:rPr>
              <w:t>Fakti</w:t>
            </w:r>
            <w:proofErr w:type="spellEnd"/>
            <w:r w:rsidRPr="00C156A0">
              <w:rPr>
                <w:rFonts w:cs="Calibri"/>
                <w:b/>
                <w:bCs/>
                <w:color w:val="FFFFFF"/>
                <w:sz w:val="16"/>
                <w:szCs w:val="16"/>
              </w:rPr>
              <w:t xml:space="preserve"> 2025</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18B27804" w14:textId="77777777" w:rsidR="00C156A0" w:rsidRPr="00C156A0" w:rsidRDefault="00C156A0" w:rsidP="00C156A0">
            <w:pPr>
              <w:spacing w:before="0" w:line="240" w:lineRule="auto"/>
              <w:jc w:val="center"/>
              <w:rPr>
                <w:rFonts w:cs="Calibri"/>
                <w:b/>
                <w:bCs/>
                <w:color w:val="FFFFFF"/>
                <w:sz w:val="16"/>
                <w:szCs w:val="16"/>
              </w:rPr>
            </w:pPr>
            <w:proofErr w:type="spellStart"/>
            <w:r w:rsidRPr="00C156A0">
              <w:rPr>
                <w:rFonts w:cs="Calibri"/>
                <w:b/>
                <w:bCs/>
                <w:color w:val="FFFFFF"/>
                <w:sz w:val="16"/>
                <w:szCs w:val="16"/>
              </w:rPr>
              <w:t>Realizimi</w:t>
            </w:r>
            <w:proofErr w:type="spellEnd"/>
            <w:r w:rsidRPr="00C156A0">
              <w:rPr>
                <w:rFonts w:cs="Calibri"/>
                <w:b/>
                <w:bCs/>
                <w:color w:val="FFFFFF"/>
                <w:sz w:val="16"/>
                <w:szCs w:val="16"/>
              </w:rPr>
              <w:t xml:space="preserve"> </w:t>
            </w:r>
            <w:proofErr w:type="spellStart"/>
            <w:r w:rsidRPr="00C156A0">
              <w:rPr>
                <w:rFonts w:cs="Calibri"/>
                <w:b/>
                <w:bCs/>
                <w:color w:val="FFFFFF"/>
                <w:sz w:val="16"/>
                <w:szCs w:val="16"/>
              </w:rPr>
              <w:t>në</w:t>
            </w:r>
            <w:proofErr w:type="spellEnd"/>
            <w:r w:rsidRPr="00C156A0">
              <w:rPr>
                <w:rFonts w:cs="Calibri"/>
                <w:b/>
                <w:bCs/>
                <w:color w:val="FFFFFF"/>
                <w:sz w:val="16"/>
                <w:szCs w:val="16"/>
              </w:rPr>
              <w:t xml:space="preserve"> % me </w:t>
            </w:r>
            <w:proofErr w:type="spellStart"/>
            <w:r w:rsidRPr="00C156A0">
              <w:rPr>
                <w:rFonts w:cs="Calibri"/>
                <w:b/>
                <w:bCs/>
                <w:color w:val="FFFFFF"/>
                <w:sz w:val="16"/>
                <w:szCs w:val="16"/>
              </w:rPr>
              <w:t>planin</w:t>
            </w:r>
            <w:proofErr w:type="spellEnd"/>
            <w:r w:rsidRPr="00C156A0">
              <w:rPr>
                <w:rFonts w:cs="Calibri"/>
                <w:b/>
                <w:bCs/>
                <w:color w:val="FFFFFF"/>
                <w:sz w:val="16"/>
                <w:szCs w:val="16"/>
              </w:rPr>
              <w:t xml:space="preserve"> </w:t>
            </w:r>
            <w:proofErr w:type="spellStart"/>
            <w:r w:rsidRPr="00C156A0">
              <w:rPr>
                <w:rFonts w:cs="Calibri"/>
                <w:b/>
                <w:bCs/>
                <w:color w:val="FFFFFF"/>
                <w:sz w:val="16"/>
                <w:szCs w:val="16"/>
              </w:rPr>
              <w:t>fillestar</w:t>
            </w:r>
            <w:proofErr w:type="spellEnd"/>
          </w:p>
        </w:tc>
        <w:tc>
          <w:tcPr>
            <w:tcW w:w="0" w:type="auto"/>
            <w:gridSpan w:val="2"/>
            <w:tcBorders>
              <w:top w:val="single" w:sz="8" w:space="0" w:color="90C5F6"/>
              <w:left w:val="nil"/>
              <w:bottom w:val="single" w:sz="4" w:space="0" w:color="90C5F6"/>
              <w:right w:val="single" w:sz="8" w:space="0" w:color="90C5F6"/>
            </w:tcBorders>
            <w:shd w:val="clear" w:color="000000" w:fill="365F91"/>
            <w:vAlign w:val="center"/>
            <w:hideMark/>
          </w:tcPr>
          <w:p w14:paraId="11B2FA10" w14:textId="77777777" w:rsidR="00C156A0" w:rsidRPr="00C156A0" w:rsidRDefault="00C156A0" w:rsidP="00C156A0">
            <w:pPr>
              <w:spacing w:before="0" w:line="240" w:lineRule="auto"/>
              <w:jc w:val="center"/>
              <w:rPr>
                <w:rFonts w:cs="Calibri"/>
                <w:b/>
                <w:bCs/>
                <w:color w:val="FFFFFF"/>
                <w:sz w:val="16"/>
                <w:szCs w:val="16"/>
                <w:lang w:val="pt-PT"/>
              </w:rPr>
            </w:pPr>
            <w:r w:rsidRPr="00C156A0">
              <w:rPr>
                <w:rFonts w:cs="Calibri"/>
                <w:b/>
                <w:bCs/>
                <w:color w:val="FFFFFF"/>
                <w:sz w:val="16"/>
                <w:szCs w:val="16"/>
                <w:lang w:val="pt-PT"/>
              </w:rPr>
              <w:t>Realizimi në % me planin e rishikuar</w:t>
            </w:r>
          </w:p>
        </w:tc>
      </w:tr>
      <w:tr w:rsidR="00C156A0" w:rsidRPr="00C156A0" w14:paraId="56FD09C0" w14:textId="77777777" w:rsidTr="00BB7DD5">
        <w:trPr>
          <w:trHeight w:val="300"/>
          <w:jc w:val="center"/>
        </w:trPr>
        <w:tc>
          <w:tcPr>
            <w:tcW w:w="1989" w:type="dxa"/>
            <w:vMerge/>
            <w:tcBorders>
              <w:top w:val="single" w:sz="8" w:space="0" w:color="90C5F6"/>
              <w:left w:val="single" w:sz="8" w:space="0" w:color="90C5F6"/>
              <w:bottom w:val="single" w:sz="4" w:space="0" w:color="90C5F6"/>
              <w:right w:val="single" w:sz="4" w:space="0" w:color="90C5F6"/>
            </w:tcBorders>
            <w:vAlign w:val="center"/>
            <w:hideMark/>
          </w:tcPr>
          <w:p w14:paraId="3B70A6E9" w14:textId="77777777" w:rsidR="00C156A0" w:rsidRPr="00C156A0" w:rsidRDefault="00C156A0" w:rsidP="00C156A0">
            <w:pPr>
              <w:spacing w:before="0" w:line="240" w:lineRule="auto"/>
              <w:jc w:val="left"/>
              <w:rPr>
                <w:rFonts w:cs="Calibri"/>
                <w:b/>
                <w:bCs/>
                <w:color w:val="FFFFFF"/>
                <w:sz w:val="16"/>
                <w:szCs w:val="16"/>
                <w:lang w:val="pt-PT"/>
              </w:rPr>
            </w:pPr>
          </w:p>
        </w:tc>
        <w:tc>
          <w:tcPr>
            <w:tcW w:w="0" w:type="auto"/>
            <w:tcBorders>
              <w:top w:val="nil"/>
              <w:left w:val="nil"/>
              <w:bottom w:val="single" w:sz="4" w:space="0" w:color="90C5F6"/>
              <w:right w:val="single" w:sz="4" w:space="0" w:color="90C5F6"/>
            </w:tcBorders>
            <w:shd w:val="clear" w:color="000000" w:fill="365F91"/>
            <w:vAlign w:val="center"/>
            <w:hideMark/>
          </w:tcPr>
          <w:p w14:paraId="6BBFFD6D" w14:textId="100FD1BF" w:rsidR="00C156A0" w:rsidRPr="00C156A0" w:rsidRDefault="0056260B" w:rsidP="00C156A0">
            <w:pPr>
              <w:spacing w:before="0" w:line="240" w:lineRule="auto"/>
              <w:jc w:val="center"/>
              <w:rPr>
                <w:rFonts w:cs="Calibri"/>
                <w:b/>
                <w:bCs/>
                <w:color w:val="FFFFFF"/>
                <w:sz w:val="16"/>
                <w:szCs w:val="16"/>
              </w:rPr>
            </w:pPr>
            <w:proofErr w:type="spellStart"/>
            <w:r>
              <w:rPr>
                <w:rFonts w:cs="Calibri"/>
                <w:b/>
                <w:bCs/>
                <w:color w:val="FFFFFF"/>
                <w:sz w:val="16"/>
                <w:szCs w:val="16"/>
              </w:rPr>
              <w:t>Korente</w:t>
            </w:r>
            <w:proofErr w:type="spellEnd"/>
          </w:p>
        </w:tc>
        <w:tc>
          <w:tcPr>
            <w:tcW w:w="0" w:type="auto"/>
            <w:tcBorders>
              <w:top w:val="nil"/>
              <w:left w:val="nil"/>
              <w:bottom w:val="single" w:sz="4" w:space="0" w:color="90C5F6"/>
              <w:right w:val="single" w:sz="4" w:space="0" w:color="90C5F6"/>
            </w:tcBorders>
            <w:shd w:val="clear" w:color="000000" w:fill="365F91"/>
            <w:vAlign w:val="center"/>
            <w:hideMark/>
          </w:tcPr>
          <w:p w14:paraId="3F6A350F"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68826108" w14:textId="55E0BE44" w:rsidR="00C156A0" w:rsidRPr="00C156A0" w:rsidRDefault="0056260B" w:rsidP="00C156A0">
            <w:pPr>
              <w:spacing w:before="0" w:line="240" w:lineRule="auto"/>
              <w:jc w:val="center"/>
              <w:rPr>
                <w:rFonts w:cs="Calibri"/>
                <w:b/>
                <w:bCs/>
                <w:color w:val="FFFFFF"/>
                <w:sz w:val="16"/>
                <w:szCs w:val="16"/>
              </w:rPr>
            </w:pPr>
            <w:proofErr w:type="spellStart"/>
            <w:r>
              <w:rPr>
                <w:rFonts w:cs="Calibri"/>
                <w:b/>
                <w:bCs/>
                <w:color w:val="FFFFFF"/>
                <w:sz w:val="16"/>
                <w:szCs w:val="16"/>
              </w:rPr>
              <w:t>Korente</w:t>
            </w:r>
            <w:proofErr w:type="spellEnd"/>
          </w:p>
        </w:tc>
        <w:tc>
          <w:tcPr>
            <w:tcW w:w="0" w:type="auto"/>
            <w:tcBorders>
              <w:top w:val="nil"/>
              <w:left w:val="nil"/>
              <w:bottom w:val="single" w:sz="4" w:space="0" w:color="90C5F6"/>
              <w:right w:val="single" w:sz="4" w:space="0" w:color="90C5F6"/>
            </w:tcBorders>
            <w:shd w:val="clear" w:color="000000" w:fill="365F91"/>
            <w:vAlign w:val="center"/>
            <w:hideMark/>
          </w:tcPr>
          <w:p w14:paraId="6CD14EEA"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34CD4D23" w14:textId="7892435B" w:rsidR="00C156A0" w:rsidRPr="00C156A0" w:rsidRDefault="0056260B" w:rsidP="00C156A0">
            <w:pPr>
              <w:spacing w:before="0" w:line="240" w:lineRule="auto"/>
              <w:jc w:val="center"/>
              <w:rPr>
                <w:rFonts w:cs="Calibri"/>
                <w:b/>
                <w:bCs/>
                <w:color w:val="FFFFFF"/>
                <w:sz w:val="16"/>
                <w:szCs w:val="16"/>
              </w:rPr>
            </w:pPr>
            <w:proofErr w:type="spellStart"/>
            <w:r>
              <w:rPr>
                <w:rFonts w:cs="Calibri"/>
                <w:b/>
                <w:bCs/>
                <w:color w:val="FFFFFF"/>
                <w:sz w:val="16"/>
                <w:szCs w:val="16"/>
              </w:rPr>
              <w:t>Korente</w:t>
            </w:r>
            <w:proofErr w:type="spellEnd"/>
          </w:p>
        </w:tc>
        <w:tc>
          <w:tcPr>
            <w:tcW w:w="0" w:type="auto"/>
            <w:tcBorders>
              <w:top w:val="nil"/>
              <w:left w:val="nil"/>
              <w:bottom w:val="single" w:sz="4" w:space="0" w:color="90C5F6"/>
              <w:right w:val="single" w:sz="4" w:space="0" w:color="90C5F6"/>
            </w:tcBorders>
            <w:shd w:val="clear" w:color="000000" w:fill="365F91"/>
            <w:vAlign w:val="center"/>
            <w:hideMark/>
          </w:tcPr>
          <w:p w14:paraId="4315015F"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17E26232"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Korr.</w:t>
            </w:r>
          </w:p>
        </w:tc>
        <w:tc>
          <w:tcPr>
            <w:tcW w:w="0" w:type="auto"/>
            <w:tcBorders>
              <w:top w:val="nil"/>
              <w:left w:val="nil"/>
              <w:bottom w:val="single" w:sz="4" w:space="0" w:color="90C5F6"/>
              <w:right w:val="single" w:sz="4" w:space="0" w:color="90C5F6"/>
            </w:tcBorders>
            <w:shd w:val="clear" w:color="000000" w:fill="365F91"/>
            <w:vAlign w:val="center"/>
            <w:hideMark/>
          </w:tcPr>
          <w:p w14:paraId="62DDD2FB" w14:textId="77777777" w:rsidR="00C156A0" w:rsidRPr="00C156A0" w:rsidRDefault="00C156A0" w:rsidP="00C156A0">
            <w:pPr>
              <w:spacing w:before="0" w:line="240" w:lineRule="auto"/>
              <w:jc w:val="center"/>
              <w:rPr>
                <w:rFonts w:cs="Calibri"/>
                <w:color w:val="FFFFFF"/>
                <w:sz w:val="16"/>
                <w:szCs w:val="16"/>
              </w:rPr>
            </w:pPr>
            <w:r w:rsidRPr="00C156A0">
              <w:rPr>
                <w:rFonts w:cs="Calibri"/>
                <w:color w:val="FFFFFF"/>
                <w:sz w:val="16"/>
                <w:szCs w:val="16"/>
              </w:rPr>
              <w:t>Inv.</w:t>
            </w:r>
          </w:p>
        </w:tc>
        <w:tc>
          <w:tcPr>
            <w:tcW w:w="0" w:type="auto"/>
            <w:tcBorders>
              <w:top w:val="nil"/>
              <w:left w:val="nil"/>
              <w:bottom w:val="single" w:sz="4" w:space="0" w:color="90C5F6"/>
              <w:right w:val="single" w:sz="4" w:space="0" w:color="90C5F6"/>
            </w:tcBorders>
            <w:shd w:val="clear" w:color="000000" w:fill="365F91"/>
            <w:vAlign w:val="center"/>
            <w:hideMark/>
          </w:tcPr>
          <w:p w14:paraId="72F3D793"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Korr.</w:t>
            </w:r>
          </w:p>
        </w:tc>
        <w:tc>
          <w:tcPr>
            <w:tcW w:w="0" w:type="auto"/>
            <w:tcBorders>
              <w:top w:val="nil"/>
              <w:left w:val="nil"/>
              <w:bottom w:val="single" w:sz="4" w:space="0" w:color="90C5F6"/>
              <w:right w:val="single" w:sz="8" w:space="0" w:color="90C5F6"/>
            </w:tcBorders>
            <w:shd w:val="clear" w:color="000000" w:fill="365F91"/>
            <w:vAlign w:val="center"/>
            <w:hideMark/>
          </w:tcPr>
          <w:p w14:paraId="0FA20DED"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Inv.</w:t>
            </w:r>
          </w:p>
        </w:tc>
      </w:tr>
      <w:tr w:rsidR="00C156A0" w:rsidRPr="00C156A0" w14:paraId="666987D7" w14:textId="77777777" w:rsidTr="00BB7DD5">
        <w:trPr>
          <w:trHeight w:val="302"/>
          <w:jc w:val="center"/>
        </w:trPr>
        <w:tc>
          <w:tcPr>
            <w:tcW w:w="1989" w:type="dxa"/>
            <w:tcBorders>
              <w:top w:val="nil"/>
              <w:left w:val="single" w:sz="8" w:space="0" w:color="90C5F6"/>
              <w:bottom w:val="single" w:sz="4" w:space="0" w:color="90C5F6"/>
              <w:right w:val="single" w:sz="4" w:space="0" w:color="90C5F6"/>
            </w:tcBorders>
            <w:vAlign w:val="center"/>
            <w:hideMark/>
          </w:tcPr>
          <w:p w14:paraId="446BDD9F"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Planifikimi, Menaxhimi dhe Administrimi</w:t>
            </w:r>
          </w:p>
        </w:tc>
        <w:tc>
          <w:tcPr>
            <w:tcW w:w="0" w:type="auto"/>
            <w:tcBorders>
              <w:top w:val="nil"/>
              <w:left w:val="nil"/>
              <w:bottom w:val="single" w:sz="4" w:space="0" w:color="90C5F6"/>
              <w:right w:val="single" w:sz="4" w:space="0" w:color="90C5F6"/>
            </w:tcBorders>
            <w:vAlign w:val="center"/>
            <w:hideMark/>
          </w:tcPr>
          <w:p w14:paraId="7921F28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445,013</w:t>
            </w:r>
          </w:p>
        </w:tc>
        <w:tc>
          <w:tcPr>
            <w:tcW w:w="0" w:type="auto"/>
            <w:tcBorders>
              <w:top w:val="nil"/>
              <w:left w:val="nil"/>
              <w:bottom w:val="single" w:sz="4" w:space="0" w:color="90C5F6"/>
              <w:right w:val="single" w:sz="4" w:space="0" w:color="90C5F6"/>
            </w:tcBorders>
            <w:vAlign w:val="center"/>
            <w:hideMark/>
          </w:tcPr>
          <w:p w14:paraId="26630A9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22,300</w:t>
            </w:r>
          </w:p>
        </w:tc>
        <w:tc>
          <w:tcPr>
            <w:tcW w:w="0" w:type="auto"/>
            <w:tcBorders>
              <w:top w:val="nil"/>
              <w:left w:val="nil"/>
              <w:bottom w:val="single" w:sz="4" w:space="0" w:color="90C5F6"/>
              <w:right w:val="single" w:sz="4" w:space="0" w:color="90C5F6"/>
            </w:tcBorders>
            <w:vAlign w:val="center"/>
            <w:hideMark/>
          </w:tcPr>
          <w:p w14:paraId="409A87B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400,953</w:t>
            </w:r>
          </w:p>
        </w:tc>
        <w:tc>
          <w:tcPr>
            <w:tcW w:w="0" w:type="auto"/>
            <w:tcBorders>
              <w:top w:val="nil"/>
              <w:left w:val="nil"/>
              <w:bottom w:val="single" w:sz="4" w:space="0" w:color="90C5F6"/>
              <w:right w:val="single" w:sz="4" w:space="0" w:color="90C5F6"/>
            </w:tcBorders>
            <w:vAlign w:val="center"/>
            <w:hideMark/>
          </w:tcPr>
          <w:p w14:paraId="035471A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18,614</w:t>
            </w:r>
          </w:p>
        </w:tc>
        <w:tc>
          <w:tcPr>
            <w:tcW w:w="0" w:type="auto"/>
            <w:tcBorders>
              <w:top w:val="nil"/>
              <w:left w:val="nil"/>
              <w:bottom w:val="single" w:sz="4" w:space="0" w:color="90C5F6"/>
              <w:right w:val="single" w:sz="4" w:space="0" w:color="90C5F6"/>
            </w:tcBorders>
            <w:vAlign w:val="center"/>
            <w:hideMark/>
          </w:tcPr>
          <w:p w14:paraId="59992A7F"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396,053</w:t>
            </w:r>
          </w:p>
        </w:tc>
        <w:tc>
          <w:tcPr>
            <w:tcW w:w="0" w:type="auto"/>
            <w:tcBorders>
              <w:top w:val="nil"/>
              <w:left w:val="nil"/>
              <w:bottom w:val="single" w:sz="4" w:space="0" w:color="90C5F6"/>
              <w:right w:val="single" w:sz="4" w:space="0" w:color="90C5F6"/>
            </w:tcBorders>
            <w:vAlign w:val="center"/>
            <w:hideMark/>
          </w:tcPr>
          <w:p w14:paraId="64003CA1"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18,161</w:t>
            </w:r>
          </w:p>
        </w:tc>
        <w:tc>
          <w:tcPr>
            <w:tcW w:w="0" w:type="auto"/>
            <w:tcBorders>
              <w:top w:val="nil"/>
              <w:left w:val="nil"/>
              <w:bottom w:val="single" w:sz="4" w:space="0" w:color="90C5F6"/>
              <w:right w:val="single" w:sz="4" w:space="0" w:color="90C5F6"/>
            </w:tcBorders>
            <w:vAlign w:val="center"/>
            <w:hideMark/>
          </w:tcPr>
          <w:p w14:paraId="7822CBF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89%</w:t>
            </w:r>
          </w:p>
        </w:tc>
        <w:tc>
          <w:tcPr>
            <w:tcW w:w="0" w:type="auto"/>
            <w:tcBorders>
              <w:top w:val="nil"/>
              <w:left w:val="nil"/>
              <w:bottom w:val="single" w:sz="4" w:space="0" w:color="90C5F6"/>
              <w:right w:val="single" w:sz="4" w:space="0" w:color="90C5F6"/>
            </w:tcBorders>
            <w:vAlign w:val="center"/>
            <w:hideMark/>
          </w:tcPr>
          <w:p w14:paraId="69F6EC7C"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81%</w:t>
            </w:r>
          </w:p>
        </w:tc>
        <w:tc>
          <w:tcPr>
            <w:tcW w:w="0" w:type="auto"/>
            <w:tcBorders>
              <w:top w:val="nil"/>
              <w:left w:val="nil"/>
              <w:bottom w:val="single" w:sz="4" w:space="0" w:color="90C5F6"/>
              <w:right w:val="single" w:sz="4" w:space="0" w:color="90C5F6"/>
            </w:tcBorders>
            <w:vAlign w:val="center"/>
            <w:hideMark/>
          </w:tcPr>
          <w:p w14:paraId="40DB4EB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99%</w:t>
            </w:r>
          </w:p>
        </w:tc>
        <w:tc>
          <w:tcPr>
            <w:tcW w:w="0" w:type="auto"/>
            <w:tcBorders>
              <w:top w:val="nil"/>
              <w:left w:val="nil"/>
              <w:bottom w:val="single" w:sz="4" w:space="0" w:color="90C5F6"/>
              <w:right w:val="single" w:sz="8" w:space="0" w:color="90C5F6"/>
            </w:tcBorders>
            <w:vAlign w:val="center"/>
            <w:hideMark/>
          </w:tcPr>
          <w:p w14:paraId="38671A5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98%</w:t>
            </w:r>
          </w:p>
        </w:tc>
      </w:tr>
      <w:tr w:rsidR="00C156A0" w:rsidRPr="00C156A0" w14:paraId="7CA0C790" w14:textId="77777777" w:rsidTr="00BB7DD5">
        <w:trPr>
          <w:trHeight w:val="347"/>
          <w:jc w:val="center"/>
        </w:trPr>
        <w:tc>
          <w:tcPr>
            <w:tcW w:w="1989" w:type="dxa"/>
            <w:tcBorders>
              <w:top w:val="nil"/>
              <w:left w:val="single" w:sz="8" w:space="0" w:color="90C5F6"/>
              <w:bottom w:val="single" w:sz="4" w:space="0" w:color="90C5F6"/>
              <w:right w:val="single" w:sz="4" w:space="0" w:color="90C5F6"/>
            </w:tcBorders>
            <w:vAlign w:val="center"/>
            <w:hideMark/>
          </w:tcPr>
          <w:p w14:paraId="798D2AF4"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Rehabilitimi i të Përndjekurve Politikë</w:t>
            </w:r>
          </w:p>
        </w:tc>
        <w:tc>
          <w:tcPr>
            <w:tcW w:w="0" w:type="auto"/>
            <w:tcBorders>
              <w:top w:val="nil"/>
              <w:left w:val="nil"/>
              <w:bottom w:val="single" w:sz="4" w:space="0" w:color="90C5F6"/>
              <w:right w:val="single" w:sz="4" w:space="0" w:color="90C5F6"/>
            </w:tcBorders>
            <w:vAlign w:val="center"/>
            <w:hideMark/>
          </w:tcPr>
          <w:p w14:paraId="37B5C96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1,448,051</w:t>
            </w:r>
          </w:p>
        </w:tc>
        <w:tc>
          <w:tcPr>
            <w:tcW w:w="0" w:type="auto"/>
            <w:tcBorders>
              <w:top w:val="nil"/>
              <w:left w:val="nil"/>
              <w:bottom w:val="single" w:sz="4" w:space="0" w:color="90C5F6"/>
              <w:right w:val="single" w:sz="4" w:space="0" w:color="90C5F6"/>
            </w:tcBorders>
            <w:vAlign w:val="center"/>
            <w:hideMark/>
          </w:tcPr>
          <w:p w14:paraId="53FC4A8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10C3521E"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1,444,451</w:t>
            </w:r>
          </w:p>
        </w:tc>
        <w:tc>
          <w:tcPr>
            <w:tcW w:w="0" w:type="auto"/>
            <w:tcBorders>
              <w:top w:val="nil"/>
              <w:left w:val="nil"/>
              <w:bottom w:val="single" w:sz="4" w:space="0" w:color="90C5F6"/>
              <w:right w:val="single" w:sz="4" w:space="0" w:color="90C5F6"/>
            </w:tcBorders>
            <w:vAlign w:val="center"/>
            <w:hideMark/>
          </w:tcPr>
          <w:p w14:paraId="30320A2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0ABCA8C1"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1,440,659</w:t>
            </w:r>
          </w:p>
        </w:tc>
        <w:tc>
          <w:tcPr>
            <w:tcW w:w="0" w:type="auto"/>
            <w:tcBorders>
              <w:top w:val="nil"/>
              <w:left w:val="nil"/>
              <w:bottom w:val="single" w:sz="4" w:space="0" w:color="90C5F6"/>
              <w:right w:val="single" w:sz="4" w:space="0" w:color="90C5F6"/>
            </w:tcBorders>
            <w:vAlign w:val="center"/>
            <w:hideMark/>
          </w:tcPr>
          <w:p w14:paraId="02A2B023"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w:t>
            </w:r>
          </w:p>
        </w:tc>
        <w:tc>
          <w:tcPr>
            <w:tcW w:w="0" w:type="auto"/>
            <w:tcBorders>
              <w:top w:val="nil"/>
              <w:left w:val="nil"/>
              <w:bottom w:val="single" w:sz="4" w:space="0" w:color="90C5F6"/>
              <w:right w:val="single" w:sz="4" w:space="0" w:color="90C5F6"/>
            </w:tcBorders>
            <w:vAlign w:val="center"/>
            <w:hideMark/>
          </w:tcPr>
          <w:p w14:paraId="364BCEC9"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99%</w:t>
            </w:r>
          </w:p>
        </w:tc>
        <w:tc>
          <w:tcPr>
            <w:tcW w:w="0" w:type="auto"/>
            <w:tcBorders>
              <w:top w:val="nil"/>
              <w:left w:val="nil"/>
              <w:bottom w:val="single" w:sz="4" w:space="0" w:color="90C5F6"/>
              <w:right w:val="single" w:sz="4" w:space="0" w:color="90C5F6"/>
            </w:tcBorders>
            <w:vAlign w:val="center"/>
            <w:hideMark/>
          </w:tcPr>
          <w:p w14:paraId="1548C4F9"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3B947AB"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100%</w:t>
            </w:r>
          </w:p>
        </w:tc>
        <w:tc>
          <w:tcPr>
            <w:tcW w:w="0" w:type="auto"/>
            <w:tcBorders>
              <w:top w:val="nil"/>
              <w:left w:val="nil"/>
              <w:bottom w:val="single" w:sz="4" w:space="0" w:color="90C5F6"/>
              <w:right w:val="single" w:sz="8" w:space="0" w:color="90C5F6"/>
            </w:tcBorders>
            <w:vAlign w:val="center"/>
            <w:hideMark/>
          </w:tcPr>
          <w:p w14:paraId="15FF425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r>
      <w:tr w:rsidR="00C156A0" w:rsidRPr="00C156A0" w14:paraId="625DF1BA" w14:textId="77777777" w:rsidTr="00BB7DD5">
        <w:trPr>
          <w:trHeight w:val="311"/>
          <w:jc w:val="center"/>
        </w:trPr>
        <w:tc>
          <w:tcPr>
            <w:tcW w:w="1989" w:type="dxa"/>
            <w:tcBorders>
              <w:top w:val="nil"/>
              <w:left w:val="single" w:sz="8" w:space="0" w:color="90C5F6"/>
              <w:bottom w:val="single" w:sz="4" w:space="0" w:color="90C5F6"/>
              <w:right w:val="single" w:sz="4" w:space="0" w:color="90C5F6"/>
            </w:tcBorders>
            <w:vAlign w:val="center"/>
            <w:hideMark/>
          </w:tcPr>
          <w:p w14:paraId="3F14D5D9"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Shërbime të Kujdesit Shëndetësor Parësor</w:t>
            </w:r>
          </w:p>
        </w:tc>
        <w:tc>
          <w:tcPr>
            <w:tcW w:w="0" w:type="auto"/>
            <w:tcBorders>
              <w:top w:val="nil"/>
              <w:left w:val="nil"/>
              <w:bottom w:val="single" w:sz="4" w:space="0" w:color="90C5F6"/>
              <w:right w:val="single" w:sz="4" w:space="0" w:color="90C5F6"/>
            </w:tcBorders>
            <w:vAlign w:val="center"/>
            <w:hideMark/>
          </w:tcPr>
          <w:p w14:paraId="1D5CCD7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6,362,045</w:t>
            </w:r>
          </w:p>
        </w:tc>
        <w:tc>
          <w:tcPr>
            <w:tcW w:w="0" w:type="auto"/>
            <w:tcBorders>
              <w:top w:val="nil"/>
              <w:left w:val="nil"/>
              <w:bottom w:val="single" w:sz="4" w:space="0" w:color="90C5F6"/>
              <w:right w:val="single" w:sz="4" w:space="0" w:color="90C5F6"/>
            </w:tcBorders>
            <w:vAlign w:val="center"/>
            <w:hideMark/>
          </w:tcPr>
          <w:p w14:paraId="0C42E35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316,754</w:t>
            </w:r>
          </w:p>
        </w:tc>
        <w:tc>
          <w:tcPr>
            <w:tcW w:w="0" w:type="auto"/>
            <w:tcBorders>
              <w:top w:val="nil"/>
              <w:left w:val="nil"/>
              <w:bottom w:val="single" w:sz="4" w:space="0" w:color="90C5F6"/>
              <w:right w:val="single" w:sz="4" w:space="0" w:color="90C5F6"/>
            </w:tcBorders>
            <w:vAlign w:val="center"/>
            <w:hideMark/>
          </w:tcPr>
          <w:p w14:paraId="7D1922C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4,762,685</w:t>
            </w:r>
          </w:p>
        </w:tc>
        <w:tc>
          <w:tcPr>
            <w:tcW w:w="0" w:type="auto"/>
            <w:tcBorders>
              <w:top w:val="nil"/>
              <w:left w:val="nil"/>
              <w:bottom w:val="single" w:sz="4" w:space="0" w:color="90C5F6"/>
              <w:right w:val="single" w:sz="4" w:space="0" w:color="90C5F6"/>
            </w:tcBorders>
            <w:vAlign w:val="center"/>
            <w:hideMark/>
          </w:tcPr>
          <w:p w14:paraId="4858FF45"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68,123</w:t>
            </w:r>
          </w:p>
        </w:tc>
        <w:tc>
          <w:tcPr>
            <w:tcW w:w="0" w:type="auto"/>
            <w:tcBorders>
              <w:top w:val="nil"/>
              <w:left w:val="nil"/>
              <w:bottom w:val="single" w:sz="4" w:space="0" w:color="90C5F6"/>
              <w:right w:val="single" w:sz="4" w:space="0" w:color="90C5F6"/>
            </w:tcBorders>
            <w:vAlign w:val="center"/>
            <w:hideMark/>
          </w:tcPr>
          <w:p w14:paraId="1945CA05"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4,758,056</w:t>
            </w:r>
          </w:p>
        </w:tc>
        <w:tc>
          <w:tcPr>
            <w:tcW w:w="0" w:type="auto"/>
            <w:tcBorders>
              <w:top w:val="nil"/>
              <w:left w:val="nil"/>
              <w:bottom w:val="single" w:sz="4" w:space="0" w:color="90C5F6"/>
              <w:right w:val="single" w:sz="4" w:space="0" w:color="90C5F6"/>
            </w:tcBorders>
            <w:vAlign w:val="center"/>
            <w:hideMark/>
          </w:tcPr>
          <w:p w14:paraId="2563CE07"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48,784</w:t>
            </w:r>
          </w:p>
        </w:tc>
        <w:tc>
          <w:tcPr>
            <w:tcW w:w="0" w:type="auto"/>
            <w:tcBorders>
              <w:top w:val="nil"/>
              <w:left w:val="nil"/>
              <w:bottom w:val="single" w:sz="4" w:space="0" w:color="90C5F6"/>
              <w:right w:val="single" w:sz="4" w:space="0" w:color="90C5F6"/>
            </w:tcBorders>
            <w:vAlign w:val="center"/>
            <w:hideMark/>
          </w:tcPr>
          <w:p w14:paraId="00E39C7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75%</w:t>
            </w:r>
          </w:p>
        </w:tc>
        <w:tc>
          <w:tcPr>
            <w:tcW w:w="0" w:type="auto"/>
            <w:tcBorders>
              <w:top w:val="nil"/>
              <w:left w:val="nil"/>
              <w:bottom w:val="single" w:sz="4" w:space="0" w:color="90C5F6"/>
              <w:right w:val="single" w:sz="4" w:space="0" w:color="90C5F6"/>
            </w:tcBorders>
            <w:vAlign w:val="center"/>
            <w:hideMark/>
          </w:tcPr>
          <w:p w14:paraId="36F6445E"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15%</w:t>
            </w:r>
          </w:p>
        </w:tc>
        <w:tc>
          <w:tcPr>
            <w:tcW w:w="0" w:type="auto"/>
            <w:tcBorders>
              <w:top w:val="nil"/>
              <w:left w:val="nil"/>
              <w:bottom w:val="single" w:sz="4" w:space="0" w:color="90C5F6"/>
              <w:right w:val="single" w:sz="4" w:space="0" w:color="90C5F6"/>
            </w:tcBorders>
            <w:vAlign w:val="center"/>
            <w:hideMark/>
          </w:tcPr>
          <w:p w14:paraId="20A99A6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100%</w:t>
            </w:r>
          </w:p>
        </w:tc>
        <w:tc>
          <w:tcPr>
            <w:tcW w:w="0" w:type="auto"/>
            <w:tcBorders>
              <w:top w:val="nil"/>
              <w:left w:val="nil"/>
              <w:bottom w:val="single" w:sz="4" w:space="0" w:color="90C5F6"/>
              <w:right w:val="single" w:sz="8" w:space="0" w:color="90C5F6"/>
            </w:tcBorders>
            <w:vAlign w:val="center"/>
            <w:hideMark/>
          </w:tcPr>
          <w:p w14:paraId="25950E9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72%</w:t>
            </w:r>
          </w:p>
        </w:tc>
      </w:tr>
      <w:tr w:rsidR="00C156A0" w:rsidRPr="00C156A0" w14:paraId="3B577ACD" w14:textId="77777777" w:rsidTr="00BB7DD5">
        <w:trPr>
          <w:trHeight w:val="300"/>
          <w:jc w:val="center"/>
        </w:trPr>
        <w:tc>
          <w:tcPr>
            <w:tcW w:w="1989" w:type="dxa"/>
            <w:tcBorders>
              <w:top w:val="nil"/>
              <w:left w:val="single" w:sz="8" w:space="0" w:color="90C5F6"/>
              <w:bottom w:val="single" w:sz="4" w:space="0" w:color="90C5F6"/>
              <w:right w:val="single" w:sz="4" w:space="0" w:color="90C5F6"/>
            </w:tcBorders>
            <w:vAlign w:val="center"/>
            <w:hideMark/>
          </w:tcPr>
          <w:p w14:paraId="490F46DC" w14:textId="77777777" w:rsidR="00C156A0" w:rsidRPr="00C156A0" w:rsidRDefault="00C156A0" w:rsidP="00327853">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90C5F6"/>
              <w:right w:val="single" w:sz="4" w:space="0" w:color="90C5F6"/>
            </w:tcBorders>
            <w:vAlign w:val="center"/>
            <w:hideMark/>
          </w:tcPr>
          <w:p w14:paraId="6A1E3B0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4CBD5A9"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158,000</w:t>
            </w:r>
          </w:p>
        </w:tc>
        <w:tc>
          <w:tcPr>
            <w:tcW w:w="0" w:type="auto"/>
            <w:tcBorders>
              <w:top w:val="nil"/>
              <w:left w:val="nil"/>
              <w:bottom w:val="single" w:sz="4" w:space="0" w:color="90C5F6"/>
              <w:right w:val="single" w:sz="4" w:space="0" w:color="90C5F6"/>
            </w:tcBorders>
            <w:vAlign w:val="center"/>
            <w:hideMark/>
          </w:tcPr>
          <w:p w14:paraId="3AD084DE"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6C8615A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108,000</w:t>
            </w:r>
          </w:p>
        </w:tc>
        <w:tc>
          <w:tcPr>
            <w:tcW w:w="0" w:type="auto"/>
            <w:tcBorders>
              <w:top w:val="nil"/>
              <w:left w:val="nil"/>
              <w:bottom w:val="single" w:sz="4" w:space="0" w:color="90C5F6"/>
              <w:right w:val="single" w:sz="4" w:space="0" w:color="90C5F6"/>
            </w:tcBorders>
            <w:vAlign w:val="center"/>
            <w:hideMark/>
          </w:tcPr>
          <w:p w14:paraId="6EF8D1A6"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w:t>
            </w:r>
          </w:p>
        </w:tc>
        <w:tc>
          <w:tcPr>
            <w:tcW w:w="0" w:type="auto"/>
            <w:tcBorders>
              <w:top w:val="nil"/>
              <w:left w:val="nil"/>
              <w:bottom w:val="single" w:sz="4" w:space="0" w:color="90C5F6"/>
              <w:right w:val="single" w:sz="4" w:space="0" w:color="90C5F6"/>
            </w:tcBorders>
            <w:vAlign w:val="center"/>
            <w:hideMark/>
          </w:tcPr>
          <w:p w14:paraId="5A8FB96D"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124,718</w:t>
            </w:r>
          </w:p>
        </w:tc>
        <w:tc>
          <w:tcPr>
            <w:tcW w:w="0" w:type="auto"/>
            <w:tcBorders>
              <w:top w:val="nil"/>
              <w:left w:val="nil"/>
              <w:bottom w:val="single" w:sz="4" w:space="0" w:color="90C5F6"/>
              <w:right w:val="single" w:sz="4" w:space="0" w:color="90C5F6"/>
            </w:tcBorders>
            <w:vAlign w:val="center"/>
            <w:hideMark/>
          </w:tcPr>
          <w:p w14:paraId="56C968A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07BFE71F"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79%</w:t>
            </w:r>
          </w:p>
        </w:tc>
        <w:tc>
          <w:tcPr>
            <w:tcW w:w="0" w:type="auto"/>
            <w:tcBorders>
              <w:top w:val="nil"/>
              <w:left w:val="nil"/>
              <w:bottom w:val="single" w:sz="4" w:space="0" w:color="90C5F6"/>
              <w:right w:val="single" w:sz="4" w:space="0" w:color="90C5F6"/>
            </w:tcBorders>
            <w:vAlign w:val="center"/>
            <w:hideMark/>
          </w:tcPr>
          <w:p w14:paraId="681242B0"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8" w:space="0" w:color="90C5F6"/>
            </w:tcBorders>
            <w:vAlign w:val="center"/>
            <w:hideMark/>
          </w:tcPr>
          <w:p w14:paraId="1F953D25"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115%</w:t>
            </w:r>
          </w:p>
        </w:tc>
      </w:tr>
      <w:tr w:rsidR="00C156A0" w:rsidRPr="00C156A0" w14:paraId="2D320A87" w14:textId="77777777" w:rsidTr="00BB7DD5">
        <w:trPr>
          <w:trHeight w:val="401"/>
          <w:jc w:val="center"/>
        </w:trPr>
        <w:tc>
          <w:tcPr>
            <w:tcW w:w="1989" w:type="dxa"/>
            <w:tcBorders>
              <w:top w:val="nil"/>
              <w:left w:val="single" w:sz="8" w:space="0" w:color="90C5F6"/>
              <w:bottom w:val="single" w:sz="4" w:space="0" w:color="90C5F6"/>
              <w:right w:val="single" w:sz="4" w:space="0" w:color="90C5F6"/>
            </w:tcBorders>
            <w:vAlign w:val="center"/>
            <w:hideMark/>
          </w:tcPr>
          <w:p w14:paraId="260ED374"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Shërbime të Kujdesit Shëndetësor Dytësor</w:t>
            </w:r>
          </w:p>
        </w:tc>
        <w:tc>
          <w:tcPr>
            <w:tcW w:w="0" w:type="auto"/>
            <w:tcBorders>
              <w:top w:val="nil"/>
              <w:left w:val="nil"/>
              <w:bottom w:val="single" w:sz="4" w:space="0" w:color="90C5F6"/>
              <w:right w:val="single" w:sz="4" w:space="0" w:color="90C5F6"/>
            </w:tcBorders>
            <w:vAlign w:val="center"/>
            <w:hideMark/>
          </w:tcPr>
          <w:p w14:paraId="21D2DFD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36,654,465</w:t>
            </w:r>
          </w:p>
        </w:tc>
        <w:tc>
          <w:tcPr>
            <w:tcW w:w="0" w:type="auto"/>
            <w:tcBorders>
              <w:top w:val="nil"/>
              <w:left w:val="nil"/>
              <w:bottom w:val="single" w:sz="4" w:space="0" w:color="90C5F6"/>
              <w:right w:val="single" w:sz="4" w:space="0" w:color="90C5F6"/>
            </w:tcBorders>
            <w:vAlign w:val="center"/>
            <w:hideMark/>
          </w:tcPr>
          <w:p w14:paraId="31E1CE4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1,949,708</w:t>
            </w:r>
          </w:p>
        </w:tc>
        <w:tc>
          <w:tcPr>
            <w:tcW w:w="0" w:type="auto"/>
            <w:tcBorders>
              <w:top w:val="nil"/>
              <w:left w:val="nil"/>
              <w:bottom w:val="single" w:sz="4" w:space="0" w:color="90C5F6"/>
              <w:right w:val="single" w:sz="4" w:space="0" w:color="90C5F6"/>
            </w:tcBorders>
            <w:vAlign w:val="center"/>
            <w:hideMark/>
          </w:tcPr>
          <w:p w14:paraId="3EB3B38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39,168,119</w:t>
            </w:r>
          </w:p>
        </w:tc>
        <w:tc>
          <w:tcPr>
            <w:tcW w:w="0" w:type="auto"/>
            <w:tcBorders>
              <w:top w:val="nil"/>
              <w:left w:val="nil"/>
              <w:bottom w:val="single" w:sz="4" w:space="0" w:color="90C5F6"/>
              <w:right w:val="single" w:sz="4" w:space="0" w:color="90C5F6"/>
            </w:tcBorders>
            <w:vAlign w:val="center"/>
            <w:hideMark/>
          </w:tcPr>
          <w:p w14:paraId="0EFB99F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1,206,690</w:t>
            </w:r>
          </w:p>
        </w:tc>
        <w:tc>
          <w:tcPr>
            <w:tcW w:w="0" w:type="auto"/>
            <w:tcBorders>
              <w:top w:val="nil"/>
              <w:left w:val="nil"/>
              <w:bottom w:val="single" w:sz="4" w:space="0" w:color="90C5F6"/>
              <w:right w:val="single" w:sz="4" w:space="0" w:color="90C5F6"/>
            </w:tcBorders>
            <w:vAlign w:val="center"/>
            <w:hideMark/>
          </w:tcPr>
          <w:p w14:paraId="654F451E"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38,990,579</w:t>
            </w:r>
          </w:p>
        </w:tc>
        <w:tc>
          <w:tcPr>
            <w:tcW w:w="0" w:type="auto"/>
            <w:tcBorders>
              <w:top w:val="nil"/>
              <w:left w:val="nil"/>
              <w:bottom w:val="single" w:sz="4" w:space="0" w:color="90C5F6"/>
              <w:right w:val="single" w:sz="4" w:space="0" w:color="90C5F6"/>
            </w:tcBorders>
            <w:vAlign w:val="center"/>
            <w:hideMark/>
          </w:tcPr>
          <w:p w14:paraId="2D1B714F"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965,890</w:t>
            </w:r>
          </w:p>
        </w:tc>
        <w:tc>
          <w:tcPr>
            <w:tcW w:w="0" w:type="auto"/>
            <w:tcBorders>
              <w:top w:val="nil"/>
              <w:left w:val="nil"/>
              <w:bottom w:val="single" w:sz="4" w:space="0" w:color="90C5F6"/>
              <w:right w:val="single" w:sz="4" w:space="0" w:color="90C5F6"/>
            </w:tcBorders>
            <w:vAlign w:val="center"/>
            <w:hideMark/>
          </w:tcPr>
          <w:p w14:paraId="10D69C4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106%</w:t>
            </w:r>
          </w:p>
        </w:tc>
        <w:tc>
          <w:tcPr>
            <w:tcW w:w="0" w:type="auto"/>
            <w:tcBorders>
              <w:top w:val="nil"/>
              <w:left w:val="nil"/>
              <w:bottom w:val="single" w:sz="4" w:space="0" w:color="90C5F6"/>
              <w:right w:val="single" w:sz="4" w:space="0" w:color="90C5F6"/>
            </w:tcBorders>
            <w:vAlign w:val="center"/>
            <w:hideMark/>
          </w:tcPr>
          <w:p w14:paraId="1435E23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50%</w:t>
            </w:r>
          </w:p>
        </w:tc>
        <w:tc>
          <w:tcPr>
            <w:tcW w:w="0" w:type="auto"/>
            <w:tcBorders>
              <w:top w:val="nil"/>
              <w:left w:val="nil"/>
              <w:bottom w:val="single" w:sz="4" w:space="0" w:color="90C5F6"/>
              <w:right w:val="single" w:sz="4" w:space="0" w:color="90C5F6"/>
            </w:tcBorders>
            <w:vAlign w:val="center"/>
            <w:hideMark/>
          </w:tcPr>
          <w:p w14:paraId="723498C5"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100%</w:t>
            </w:r>
          </w:p>
        </w:tc>
        <w:tc>
          <w:tcPr>
            <w:tcW w:w="0" w:type="auto"/>
            <w:tcBorders>
              <w:top w:val="nil"/>
              <w:left w:val="nil"/>
              <w:bottom w:val="single" w:sz="4" w:space="0" w:color="90C5F6"/>
              <w:right w:val="single" w:sz="8" w:space="0" w:color="90C5F6"/>
            </w:tcBorders>
            <w:vAlign w:val="center"/>
            <w:hideMark/>
          </w:tcPr>
          <w:p w14:paraId="66D5A54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80%</w:t>
            </w:r>
          </w:p>
        </w:tc>
      </w:tr>
      <w:tr w:rsidR="00C156A0" w:rsidRPr="00C156A0" w14:paraId="5BFC3248" w14:textId="77777777" w:rsidTr="00BB7DD5">
        <w:trPr>
          <w:trHeight w:val="300"/>
          <w:jc w:val="center"/>
        </w:trPr>
        <w:tc>
          <w:tcPr>
            <w:tcW w:w="1989" w:type="dxa"/>
            <w:tcBorders>
              <w:top w:val="nil"/>
              <w:left w:val="single" w:sz="8" w:space="0" w:color="90C5F6"/>
              <w:bottom w:val="single" w:sz="4" w:space="0" w:color="90C5F6"/>
              <w:right w:val="single" w:sz="4" w:space="0" w:color="90C5F6"/>
            </w:tcBorders>
            <w:vAlign w:val="center"/>
            <w:hideMark/>
          </w:tcPr>
          <w:p w14:paraId="73CABB4D" w14:textId="77777777" w:rsidR="00C156A0" w:rsidRPr="00C156A0" w:rsidRDefault="00C156A0" w:rsidP="00327853">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90C5F6"/>
              <w:right w:val="single" w:sz="4" w:space="0" w:color="90C5F6"/>
            </w:tcBorders>
            <w:vAlign w:val="center"/>
            <w:hideMark/>
          </w:tcPr>
          <w:p w14:paraId="43806625"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FDB65F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852,000</w:t>
            </w:r>
          </w:p>
        </w:tc>
        <w:tc>
          <w:tcPr>
            <w:tcW w:w="0" w:type="auto"/>
            <w:tcBorders>
              <w:top w:val="nil"/>
              <w:left w:val="nil"/>
              <w:bottom w:val="single" w:sz="4" w:space="0" w:color="90C5F6"/>
              <w:right w:val="single" w:sz="4" w:space="0" w:color="90C5F6"/>
            </w:tcBorders>
            <w:vAlign w:val="center"/>
            <w:hideMark/>
          </w:tcPr>
          <w:p w14:paraId="0EE2B9D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B0097DE"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2,002,600</w:t>
            </w:r>
          </w:p>
        </w:tc>
        <w:tc>
          <w:tcPr>
            <w:tcW w:w="0" w:type="auto"/>
            <w:tcBorders>
              <w:top w:val="nil"/>
              <w:left w:val="nil"/>
              <w:bottom w:val="single" w:sz="4" w:space="0" w:color="90C5F6"/>
              <w:right w:val="single" w:sz="4" w:space="0" w:color="90C5F6"/>
            </w:tcBorders>
            <w:vAlign w:val="center"/>
            <w:hideMark/>
          </w:tcPr>
          <w:p w14:paraId="50CEF7EA"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w:t>
            </w:r>
          </w:p>
        </w:tc>
        <w:tc>
          <w:tcPr>
            <w:tcW w:w="0" w:type="auto"/>
            <w:tcBorders>
              <w:top w:val="nil"/>
              <w:left w:val="nil"/>
              <w:bottom w:val="single" w:sz="4" w:space="0" w:color="90C5F6"/>
              <w:right w:val="single" w:sz="4" w:space="0" w:color="90C5F6"/>
            </w:tcBorders>
            <w:vAlign w:val="center"/>
            <w:hideMark/>
          </w:tcPr>
          <w:p w14:paraId="2F09A4CD"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2,295,076</w:t>
            </w:r>
          </w:p>
        </w:tc>
        <w:tc>
          <w:tcPr>
            <w:tcW w:w="0" w:type="auto"/>
            <w:tcBorders>
              <w:top w:val="nil"/>
              <w:left w:val="nil"/>
              <w:bottom w:val="single" w:sz="4" w:space="0" w:color="90C5F6"/>
              <w:right w:val="single" w:sz="4" w:space="0" w:color="90C5F6"/>
            </w:tcBorders>
            <w:vAlign w:val="center"/>
            <w:hideMark/>
          </w:tcPr>
          <w:p w14:paraId="2004095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55E62EC8"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269%</w:t>
            </w:r>
          </w:p>
        </w:tc>
        <w:tc>
          <w:tcPr>
            <w:tcW w:w="0" w:type="auto"/>
            <w:tcBorders>
              <w:top w:val="nil"/>
              <w:left w:val="nil"/>
              <w:bottom w:val="single" w:sz="4" w:space="0" w:color="90C5F6"/>
              <w:right w:val="single" w:sz="4" w:space="0" w:color="90C5F6"/>
            </w:tcBorders>
            <w:vAlign w:val="center"/>
            <w:hideMark/>
          </w:tcPr>
          <w:p w14:paraId="7A9D9DFF"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8" w:space="0" w:color="90C5F6"/>
            </w:tcBorders>
            <w:vAlign w:val="center"/>
            <w:hideMark/>
          </w:tcPr>
          <w:p w14:paraId="0BC33CB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115%</w:t>
            </w:r>
          </w:p>
        </w:tc>
      </w:tr>
      <w:tr w:rsidR="00C156A0" w:rsidRPr="00C156A0" w14:paraId="66007E68" w14:textId="77777777" w:rsidTr="00BB7DD5">
        <w:trPr>
          <w:trHeight w:val="230"/>
          <w:jc w:val="center"/>
        </w:trPr>
        <w:tc>
          <w:tcPr>
            <w:tcW w:w="1989" w:type="dxa"/>
            <w:tcBorders>
              <w:top w:val="nil"/>
              <w:left w:val="single" w:sz="8" w:space="0" w:color="90C5F6"/>
              <w:bottom w:val="single" w:sz="4" w:space="0" w:color="90C5F6"/>
              <w:right w:val="single" w:sz="4" w:space="0" w:color="90C5F6"/>
            </w:tcBorders>
            <w:vAlign w:val="center"/>
            <w:hideMark/>
          </w:tcPr>
          <w:p w14:paraId="7521E824"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Shërbime të Shëndetit Publik</w:t>
            </w:r>
          </w:p>
        </w:tc>
        <w:tc>
          <w:tcPr>
            <w:tcW w:w="0" w:type="auto"/>
            <w:tcBorders>
              <w:top w:val="nil"/>
              <w:left w:val="nil"/>
              <w:bottom w:val="single" w:sz="4" w:space="0" w:color="90C5F6"/>
              <w:right w:val="single" w:sz="4" w:space="0" w:color="90C5F6"/>
            </w:tcBorders>
            <w:vAlign w:val="center"/>
            <w:hideMark/>
          </w:tcPr>
          <w:p w14:paraId="30D3B42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4,637,287</w:t>
            </w:r>
          </w:p>
        </w:tc>
        <w:tc>
          <w:tcPr>
            <w:tcW w:w="0" w:type="auto"/>
            <w:tcBorders>
              <w:top w:val="nil"/>
              <w:left w:val="nil"/>
              <w:bottom w:val="single" w:sz="4" w:space="0" w:color="90C5F6"/>
              <w:right w:val="single" w:sz="4" w:space="0" w:color="90C5F6"/>
            </w:tcBorders>
            <w:vAlign w:val="center"/>
            <w:hideMark/>
          </w:tcPr>
          <w:p w14:paraId="44B3E90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382,000</w:t>
            </w:r>
          </w:p>
        </w:tc>
        <w:tc>
          <w:tcPr>
            <w:tcW w:w="0" w:type="auto"/>
            <w:tcBorders>
              <w:top w:val="nil"/>
              <w:left w:val="nil"/>
              <w:bottom w:val="single" w:sz="4" w:space="0" w:color="90C5F6"/>
              <w:right w:val="single" w:sz="4" w:space="0" w:color="90C5F6"/>
            </w:tcBorders>
            <w:vAlign w:val="center"/>
            <w:hideMark/>
          </w:tcPr>
          <w:p w14:paraId="44FEB03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4,237,583</w:t>
            </w:r>
          </w:p>
        </w:tc>
        <w:tc>
          <w:tcPr>
            <w:tcW w:w="0" w:type="auto"/>
            <w:tcBorders>
              <w:top w:val="nil"/>
              <w:left w:val="nil"/>
              <w:bottom w:val="single" w:sz="4" w:space="0" w:color="90C5F6"/>
              <w:right w:val="single" w:sz="4" w:space="0" w:color="90C5F6"/>
            </w:tcBorders>
            <w:vAlign w:val="center"/>
            <w:hideMark/>
          </w:tcPr>
          <w:p w14:paraId="79BB1A8C"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284,308</w:t>
            </w:r>
          </w:p>
        </w:tc>
        <w:tc>
          <w:tcPr>
            <w:tcW w:w="0" w:type="auto"/>
            <w:tcBorders>
              <w:top w:val="nil"/>
              <w:left w:val="nil"/>
              <w:bottom w:val="single" w:sz="4" w:space="0" w:color="90C5F6"/>
              <w:right w:val="single" w:sz="4" w:space="0" w:color="90C5F6"/>
            </w:tcBorders>
            <w:vAlign w:val="center"/>
            <w:hideMark/>
          </w:tcPr>
          <w:p w14:paraId="19F674A2"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4,192,606</w:t>
            </w:r>
          </w:p>
        </w:tc>
        <w:tc>
          <w:tcPr>
            <w:tcW w:w="0" w:type="auto"/>
            <w:tcBorders>
              <w:top w:val="nil"/>
              <w:left w:val="nil"/>
              <w:bottom w:val="single" w:sz="4" w:space="0" w:color="90C5F6"/>
              <w:right w:val="single" w:sz="4" w:space="0" w:color="90C5F6"/>
            </w:tcBorders>
            <w:vAlign w:val="center"/>
            <w:hideMark/>
          </w:tcPr>
          <w:p w14:paraId="1EE5236D"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241,158</w:t>
            </w:r>
          </w:p>
        </w:tc>
        <w:tc>
          <w:tcPr>
            <w:tcW w:w="0" w:type="auto"/>
            <w:tcBorders>
              <w:top w:val="nil"/>
              <w:left w:val="nil"/>
              <w:bottom w:val="single" w:sz="4" w:space="0" w:color="90C5F6"/>
              <w:right w:val="single" w:sz="4" w:space="0" w:color="90C5F6"/>
            </w:tcBorders>
            <w:vAlign w:val="center"/>
            <w:hideMark/>
          </w:tcPr>
          <w:p w14:paraId="578CC56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90%</w:t>
            </w:r>
          </w:p>
        </w:tc>
        <w:tc>
          <w:tcPr>
            <w:tcW w:w="0" w:type="auto"/>
            <w:tcBorders>
              <w:top w:val="nil"/>
              <w:left w:val="nil"/>
              <w:bottom w:val="single" w:sz="4" w:space="0" w:color="90C5F6"/>
              <w:right w:val="single" w:sz="4" w:space="0" w:color="90C5F6"/>
            </w:tcBorders>
            <w:vAlign w:val="center"/>
            <w:hideMark/>
          </w:tcPr>
          <w:p w14:paraId="4E7D816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63%</w:t>
            </w:r>
          </w:p>
        </w:tc>
        <w:tc>
          <w:tcPr>
            <w:tcW w:w="0" w:type="auto"/>
            <w:tcBorders>
              <w:top w:val="nil"/>
              <w:left w:val="nil"/>
              <w:bottom w:val="single" w:sz="4" w:space="0" w:color="90C5F6"/>
              <w:right w:val="single" w:sz="4" w:space="0" w:color="90C5F6"/>
            </w:tcBorders>
            <w:vAlign w:val="center"/>
            <w:hideMark/>
          </w:tcPr>
          <w:p w14:paraId="3FD9C10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99%</w:t>
            </w:r>
          </w:p>
        </w:tc>
        <w:tc>
          <w:tcPr>
            <w:tcW w:w="0" w:type="auto"/>
            <w:tcBorders>
              <w:top w:val="nil"/>
              <w:left w:val="nil"/>
              <w:bottom w:val="single" w:sz="4" w:space="0" w:color="90C5F6"/>
              <w:right w:val="single" w:sz="8" w:space="0" w:color="90C5F6"/>
            </w:tcBorders>
            <w:vAlign w:val="center"/>
            <w:hideMark/>
          </w:tcPr>
          <w:p w14:paraId="1FCF125F"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85%</w:t>
            </w:r>
          </w:p>
        </w:tc>
      </w:tr>
      <w:tr w:rsidR="00C156A0" w:rsidRPr="00C156A0" w14:paraId="5FB3E442" w14:textId="77777777" w:rsidTr="00BB7DD5">
        <w:trPr>
          <w:trHeight w:val="300"/>
          <w:jc w:val="center"/>
        </w:trPr>
        <w:tc>
          <w:tcPr>
            <w:tcW w:w="1989" w:type="dxa"/>
            <w:tcBorders>
              <w:top w:val="nil"/>
              <w:left w:val="single" w:sz="8" w:space="0" w:color="90C5F6"/>
              <w:bottom w:val="single" w:sz="4" w:space="0" w:color="90C5F6"/>
              <w:right w:val="single" w:sz="4" w:space="0" w:color="90C5F6"/>
            </w:tcBorders>
            <w:vAlign w:val="center"/>
            <w:hideMark/>
          </w:tcPr>
          <w:p w14:paraId="3BFE48F4" w14:textId="77777777" w:rsidR="00C156A0" w:rsidRPr="00C156A0" w:rsidRDefault="00C156A0" w:rsidP="00D24A0F">
            <w:pPr>
              <w:spacing w:before="0" w:line="240" w:lineRule="auto"/>
              <w:jc w:val="left"/>
              <w:rPr>
                <w:rFonts w:cs="Calibri"/>
                <w:b/>
                <w:bCs/>
                <w:color w:val="000000"/>
                <w:sz w:val="16"/>
                <w:szCs w:val="16"/>
                <w:lang w:val="sq-AL"/>
              </w:rPr>
            </w:pPr>
            <w:r w:rsidRPr="00C156A0">
              <w:rPr>
                <w:rFonts w:cs="Calibri"/>
                <w:b/>
                <w:bCs/>
                <w:color w:val="000000"/>
                <w:sz w:val="16"/>
                <w:szCs w:val="16"/>
                <w:lang w:val="sq-AL"/>
              </w:rPr>
              <w:t>Përkujdesja Sociale</w:t>
            </w:r>
          </w:p>
        </w:tc>
        <w:tc>
          <w:tcPr>
            <w:tcW w:w="0" w:type="auto"/>
            <w:tcBorders>
              <w:top w:val="nil"/>
              <w:left w:val="nil"/>
              <w:bottom w:val="single" w:sz="4" w:space="0" w:color="90C5F6"/>
              <w:right w:val="single" w:sz="4" w:space="0" w:color="90C5F6"/>
            </w:tcBorders>
            <w:vAlign w:val="center"/>
            <w:hideMark/>
          </w:tcPr>
          <w:p w14:paraId="2541851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27,246,590</w:t>
            </w:r>
          </w:p>
        </w:tc>
        <w:tc>
          <w:tcPr>
            <w:tcW w:w="0" w:type="auto"/>
            <w:tcBorders>
              <w:top w:val="nil"/>
              <w:left w:val="nil"/>
              <w:bottom w:val="single" w:sz="4" w:space="0" w:color="90C5F6"/>
              <w:right w:val="single" w:sz="4" w:space="0" w:color="90C5F6"/>
            </w:tcBorders>
            <w:vAlign w:val="center"/>
            <w:hideMark/>
          </w:tcPr>
          <w:p w14:paraId="5D9AC18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205,938</w:t>
            </w:r>
          </w:p>
        </w:tc>
        <w:tc>
          <w:tcPr>
            <w:tcW w:w="0" w:type="auto"/>
            <w:tcBorders>
              <w:top w:val="nil"/>
              <w:left w:val="nil"/>
              <w:bottom w:val="single" w:sz="4" w:space="0" w:color="90C5F6"/>
              <w:right w:val="single" w:sz="4" w:space="0" w:color="90C5F6"/>
            </w:tcBorders>
            <w:vAlign w:val="center"/>
            <w:hideMark/>
          </w:tcPr>
          <w:p w14:paraId="14FE540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28,540,171</w:t>
            </w:r>
          </w:p>
        </w:tc>
        <w:tc>
          <w:tcPr>
            <w:tcW w:w="0" w:type="auto"/>
            <w:tcBorders>
              <w:top w:val="nil"/>
              <w:left w:val="nil"/>
              <w:bottom w:val="single" w:sz="4" w:space="0" w:color="90C5F6"/>
              <w:right w:val="single" w:sz="4" w:space="0" w:color="90C5F6"/>
            </w:tcBorders>
            <w:vAlign w:val="center"/>
            <w:hideMark/>
          </w:tcPr>
          <w:p w14:paraId="7BEA1BB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140,398</w:t>
            </w:r>
          </w:p>
        </w:tc>
        <w:tc>
          <w:tcPr>
            <w:tcW w:w="0" w:type="auto"/>
            <w:tcBorders>
              <w:top w:val="nil"/>
              <w:left w:val="nil"/>
              <w:bottom w:val="single" w:sz="4" w:space="0" w:color="90C5F6"/>
              <w:right w:val="single" w:sz="4" w:space="0" w:color="90C5F6"/>
            </w:tcBorders>
            <w:vAlign w:val="center"/>
            <w:hideMark/>
          </w:tcPr>
          <w:p w14:paraId="5F35CB10"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28,327,375</w:t>
            </w:r>
          </w:p>
        </w:tc>
        <w:tc>
          <w:tcPr>
            <w:tcW w:w="0" w:type="auto"/>
            <w:tcBorders>
              <w:top w:val="nil"/>
              <w:left w:val="nil"/>
              <w:bottom w:val="single" w:sz="4" w:space="0" w:color="90C5F6"/>
              <w:right w:val="single" w:sz="4" w:space="0" w:color="90C5F6"/>
            </w:tcBorders>
            <w:vAlign w:val="center"/>
            <w:hideMark/>
          </w:tcPr>
          <w:p w14:paraId="2DBC1CA0"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101,506</w:t>
            </w:r>
          </w:p>
        </w:tc>
        <w:tc>
          <w:tcPr>
            <w:tcW w:w="0" w:type="auto"/>
            <w:tcBorders>
              <w:top w:val="nil"/>
              <w:left w:val="nil"/>
              <w:bottom w:val="single" w:sz="4" w:space="0" w:color="90C5F6"/>
              <w:right w:val="single" w:sz="4" w:space="0" w:color="90C5F6"/>
            </w:tcBorders>
            <w:vAlign w:val="center"/>
            <w:hideMark/>
          </w:tcPr>
          <w:p w14:paraId="24A2EA9D"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104%</w:t>
            </w:r>
          </w:p>
        </w:tc>
        <w:tc>
          <w:tcPr>
            <w:tcW w:w="0" w:type="auto"/>
            <w:tcBorders>
              <w:top w:val="nil"/>
              <w:left w:val="nil"/>
              <w:bottom w:val="single" w:sz="4" w:space="0" w:color="90C5F6"/>
              <w:right w:val="single" w:sz="4" w:space="0" w:color="90C5F6"/>
            </w:tcBorders>
            <w:vAlign w:val="center"/>
            <w:hideMark/>
          </w:tcPr>
          <w:p w14:paraId="190F3D43"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49%</w:t>
            </w:r>
          </w:p>
        </w:tc>
        <w:tc>
          <w:tcPr>
            <w:tcW w:w="0" w:type="auto"/>
            <w:tcBorders>
              <w:top w:val="nil"/>
              <w:left w:val="nil"/>
              <w:bottom w:val="single" w:sz="4" w:space="0" w:color="90C5F6"/>
              <w:right w:val="single" w:sz="4" w:space="0" w:color="90C5F6"/>
            </w:tcBorders>
            <w:vAlign w:val="center"/>
            <w:hideMark/>
          </w:tcPr>
          <w:p w14:paraId="78ADFDF7"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99%</w:t>
            </w:r>
          </w:p>
        </w:tc>
        <w:tc>
          <w:tcPr>
            <w:tcW w:w="0" w:type="auto"/>
            <w:tcBorders>
              <w:top w:val="nil"/>
              <w:left w:val="nil"/>
              <w:bottom w:val="single" w:sz="4" w:space="0" w:color="90C5F6"/>
              <w:right w:val="single" w:sz="8" w:space="0" w:color="90C5F6"/>
            </w:tcBorders>
            <w:vAlign w:val="center"/>
            <w:hideMark/>
          </w:tcPr>
          <w:p w14:paraId="45F4E9A3"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72%</w:t>
            </w:r>
          </w:p>
        </w:tc>
      </w:tr>
      <w:tr w:rsidR="00C156A0" w:rsidRPr="00C156A0" w14:paraId="02153111" w14:textId="77777777" w:rsidTr="00BB7DD5">
        <w:trPr>
          <w:trHeight w:val="300"/>
          <w:jc w:val="center"/>
        </w:trPr>
        <w:tc>
          <w:tcPr>
            <w:tcW w:w="1989" w:type="dxa"/>
            <w:tcBorders>
              <w:top w:val="nil"/>
              <w:left w:val="single" w:sz="8" w:space="0" w:color="90C5F6"/>
              <w:bottom w:val="single" w:sz="4" w:space="0" w:color="90C5F6"/>
              <w:right w:val="single" w:sz="4" w:space="0" w:color="90C5F6"/>
            </w:tcBorders>
            <w:vAlign w:val="center"/>
            <w:hideMark/>
          </w:tcPr>
          <w:p w14:paraId="1348B436" w14:textId="77777777" w:rsidR="00C156A0" w:rsidRPr="00C156A0" w:rsidRDefault="00C156A0" w:rsidP="00327853">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90C5F6"/>
              <w:right w:val="single" w:sz="4" w:space="0" w:color="90C5F6"/>
            </w:tcBorders>
            <w:vAlign w:val="center"/>
            <w:hideMark/>
          </w:tcPr>
          <w:p w14:paraId="6736353C"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5A532CA"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50,000</w:t>
            </w:r>
          </w:p>
        </w:tc>
        <w:tc>
          <w:tcPr>
            <w:tcW w:w="0" w:type="auto"/>
            <w:tcBorders>
              <w:top w:val="nil"/>
              <w:left w:val="nil"/>
              <w:bottom w:val="single" w:sz="4" w:space="0" w:color="90C5F6"/>
              <w:right w:val="single" w:sz="4" w:space="0" w:color="90C5F6"/>
            </w:tcBorders>
            <w:vAlign w:val="center"/>
            <w:hideMark/>
          </w:tcPr>
          <w:p w14:paraId="4D9A29C0"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2E4097B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w:t>
            </w:r>
          </w:p>
        </w:tc>
        <w:tc>
          <w:tcPr>
            <w:tcW w:w="0" w:type="auto"/>
            <w:tcBorders>
              <w:top w:val="nil"/>
              <w:left w:val="nil"/>
              <w:bottom w:val="single" w:sz="4" w:space="0" w:color="90C5F6"/>
              <w:right w:val="single" w:sz="4" w:space="0" w:color="90C5F6"/>
            </w:tcBorders>
            <w:vAlign w:val="center"/>
            <w:hideMark/>
          </w:tcPr>
          <w:p w14:paraId="7F08658C"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w:t>
            </w:r>
          </w:p>
        </w:tc>
        <w:tc>
          <w:tcPr>
            <w:tcW w:w="0" w:type="auto"/>
            <w:tcBorders>
              <w:top w:val="nil"/>
              <w:left w:val="nil"/>
              <w:bottom w:val="single" w:sz="4" w:space="0" w:color="90C5F6"/>
              <w:right w:val="single" w:sz="4" w:space="0" w:color="90C5F6"/>
            </w:tcBorders>
            <w:vAlign w:val="center"/>
            <w:hideMark/>
          </w:tcPr>
          <w:p w14:paraId="002C9C8E" w14:textId="77777777" w:rsidR="00C156A0" w:rsidRPr="00C156A0" w:rsidRDefault="00C156A0" w:rsidP="00C156A0">
            <w:pPr>
              <w:spacing w:before="0" w:line="240" w:lineRule="auto"/>
              <w:jc w:val="center"/>
              <w:rPr>
                <w:rFonts w:cs="Calibri"/>
                <w:sz w:val="16"/>
                <w:szCs w:val="16"/>
              </w:rPr>
            </w:pPr>
            <w:r w:rsidRPr="00C156A0">
              <w:rPr>
                <w:rFonts w:cs="Calibri"/>
                <w:sz w:val="16"/>
                <w:szCs w:val="16"/>
              </w:rPr>
              <w:t>-</w:t>
            </w:r>
          </w:p>
        </w:tc>
        <w:tc>
          <w:tcPr>
            <w:tcW w:w="0" w:type="auto"/>
            <w:tcBorders>
              <w:top w:val="nil"/>
              <w:left w:val="nil"/>
              <w:bottom w:val="single" w:sz="4" w:space="0" w:color="90C5F6"/>
              <w:right w:val="single" w:sz="4" w:space="0" w:color="90C5F6"/>
            </w:tcBorders>
            <w:vAlign w:val="center"/>
            <w:hideMark/>
          </w:tcPr>
          <w:p w14:paraId="4A7EAE4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 </w:t>
            </w:r>
          </w:p>
        </w:tc>
        <w:tc>
          <w:tcPr>
            <w:tcW w:w="0" w:type="auto"/>
            <w:tcBorders>
              <w:top w:val="nil"/>
              <w:left w:val="nil"/>
              <w:bottom w:val="single" w:sz="4" w:space="0" w:color="90C5F6"/>
              <w:right w:val="single" w:sz="4" w:space="0" w:color="90C5F6"/>
            </w:tcBorders>
            <w:vAlign w:val="center"/>
            <w:hideMark/>
          </w:tcPr>
          <w:p w14:paraId="78EFD611"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 </w:t>
            </w:r>
          </w:p>
        </w:tc>
        <w:tc>
          <w:tcPr>
            <w:tcW w:w="0" w:type="auto"/>
            <w:tcBorders>
              <w:top w:val="nil"/>
              <w:left w:val="nil"/>
              <w:bottom w:val="single" w:sz="4" w:space="0" w:color="90C5F6"/>
              <w:right w:val="single" w:sz="4" w:space="0" w:color="90C5F6"/>
            </w:tcBorders>
            <w:vAlign w:val="center"/>
            <w:hideMark/>
          </w:tcPr>
          <w:p w14:paraId="23F44C5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 </w:t>
            </w:r>
          </w:p>
        </w:tc>
        <w:tc>
          <w:tcPr>
            <w:tcW w:w="0" w:type="auto"/>
            <w:tcBorders>
              <w:top w:val="nil"/>
              <w:left w:val="nil"/>
              <w:bottom w:val="single" w:sz="4" w:space="0" w:color="90C5F6"/>
              <w:right w:val="single" w:sz="8" w:space="0" w:color="90C5F6"/>
            </w:tcBorders>
            <w:vAlign w:val="center"/>
            <w:hideMark/>
          </w:tcPr>
          <w:p w14:paraId="6E20F99F"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 </w:t>
            </w:r>
          </w:p>
        </w:tc>
      </w:tr>
      <w:tr w:rsidR="00C156A0" w:rsidRPr="00C156A0" w14:paraId="18C58F69" w14:textId="77777777" w:rsidTr="00BB7DD5">
        <w:trPr>
          <w:trHeight w:val="275"/>
          <w:jc w:val="center"/>
        </w:trPr>
        <w:tc>
          <w:tcPr>
            <w:tcW w:w="1989" w:type="dxa"/>
            <w:tcBorders>
              <w:top w:val="nil"/>
              <w:left w:val="single" w:sz="8" w:space="0" w:color="90C5F6"/>
              <w:bottom w:val="single" w:sz="4" w:space="0" w:color="90C5F6"/>
              <w:right w:val="single" w:sz="4" w:space="0" w:color="90C5F6"/>
            </w:tcBorders>
            <w:shd w:val="clear" w:color="000000" w:fill="366092"/>
            <w:vAlign w:val="center"/>
            <w:hideMark/>
          </w:tcPr>
          <w:p w14:paraId="020806A9"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w:t>
            </w:r>
          </w:p>
        </w:tc>
        <w:tc>
          <w:tcPr>
            <w:tcW w:w="0" w:type="auto"/>
            <w:tcBorders>
              <w:top w:val="nil"/>
              <w:left w:val="nil"/>
              <w:bottom w:val="single" w:sz="4" w:space="0" w:color="90C5F6"/>
              <w:right w:val="single" w:sz="4" w:space="0" w:color="90C5F6"/>
            </w:tcBorders>
            <w:shd w:val="clear" w:color="000000" w:fill="366092"/>
            <w:vAlign w:val="center"/>
            <w:hideMark/>
          </w:tcPr>
          <w:p w14:paraId="08F43EB1"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76,793,451</w:t>
            </w:r>
          </w:p>
        </w:tc>
        <w:tc>
          <w:tcPr>
            <w:tcW w:w="0" w:type="auto"/>
            <w:tcBorders>
              <w:top w:val="nil"/>
              <w:left w:val="nil"/>
              <w:bottom w:val="single" w:sz="4" w:space="0" w:color="90C5F6"/>
              <w:right w:val="single" w:sz="4" w:space="0" w:color="90C5F6"/>
            </w:tcBorders>
            <w:shd w:val="clear" w:color="000000" w:fill="366092"/>
            <w:vAlign w:val="center"/>
            <w:hideMark/>
          </w:tcPr>
          <w:p w14:paraId="1D15C6BE"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3,936,700</w:t>
            </w:r>
          </w:p>
        </w:tc>
        <w:tc>
          <w:tcPr>
            <w:tcW w:w="0" w:type="auto"/>
            <w:tcBorders>
              <w:top w:val="nil"/>
              <w:left w:val="nil"/>
              <w:bottom w:val="single" w:sz="4" w:space="0" w:color="90C5F6"/>
              <w:right w:val="single" w:sz="4" w:space="0" w:color="90C5F6"/>
            </w:tcBorders>
            <w:shd w:val="clear" w:color="000000" w:fill="366092"/>
            <w:vAlign w:val="center"/>
            <w:hideMark/>
          </w:tcPr>
          <w:p w14:paraId="67762CF3"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78,553,962</w:t>
            </w:r>
          </w:p>
        </w:tc>
        <w:tc>
          <w:tcPr>
            <w:tcW w:w="0" w:type="auto"/>
            <w:tcBorders>
              <w:top w:val="nil"/>
              <w:left w:val="nil"/>
              <w:bottom w:val="single" w:sz="4" w:space="0" w:color="90C5F6"/>
              <w:right w:val="single" w:sz="4" w:space="0" w:color="90C5F6"/>
            </w:tcBorders>
            <w:shd w:val="clear" w:color="000000" w:fill="366092"/>
            <w:vAlign w:val="center"/>
            <w:hideMark/>
          </w:tcPr>
          <w:p w14:paraId="3BA74A4F"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3,828,733</w:t>
            </w:r>
          </w:p>
        </w:tc>
        <w:tc>
          <w:tcPr>
            <w:tcW w:w="0" w:type="auto"/>
            <w:tcBorders>
              <w:top w:val="nil"/>
              <w:left w:val="nil"/>
              <w:bottom w:val="single" w:sz="4" w:space="0" w:color="90C5F6"/>
              <w:right w:val="single" w:sz="4" w:space="0" w:color="90C5F6"/>
            </w:tcBorders>
            <w:shd w:val="clear" w:color="000000" w:fill="366092"/>
            <w:vAlign w:val="center"/>
            <w:hideMark/>
          </w:tcPr>
          <w:p w14:paraId="1BDA7EFC"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78,105,328</w:t>
            </w:r>
          </w:p>
        </w:tc>
        <w:tc>
          <w:tcPr>
            <w:tcW w:w="0" w:type="auto"/>
            <w:tcBorders>
              <w:top w:val="nil"/>
              <w:left w:val="nil"/>
              <w:bottom w:val="single" w:sz="4" w:space="0" w:color="90C5F6"/>
              <w:right w:val="single" w:sz="4" w:space="0" w:color="90C5F6"/>
            </w:tcBorders>
            <w:shd w:val="clear" w:color="000000" w:fill="366092"/>
            <w:vAlign w:val="center"/>
            <w:hideMark/>
          </w:tcPr>
          <w:p w14:paraId="28464B8F"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3,795,292</w:t>
            </w:r>
          </w:p>
        </w:tc>
        <w:tc>
          <w:tcPr>
            <w:tcW w:w="0" w:type="auto"/>
            <w:tcBorders>
              <w:top w:val="nil"/>
              <w:left w:val="nil"/>
              <w:bottom w:val="single" w:sz="4" w:space="0" w:color="90C5F6"/>
              <w:right w:val="single" w:sz="4" w:space="0" w:color="90C5F6"/>
            </w:tcBorders>
            <w:shd w:val="clear" w:color="000000" w:fill="366092"/>
            <w:vAlign w:val="center"/>
            <w:hideMark/>
          </w:tcPr>
          <w:p w14:paraId="2BCD87C4"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102%</w:t>
            </w:r>
          </w:p>
        </w:tc>
        <w:tc>
          <w:tcPr>
            <w:tcW w:w="0" w:type="auto"/>
            <w:tcBorders>
              <w:top w:val="nil"/>
              <w:left w:val="nil"/>
              <w:bottom w:val="single" w:sz="4" w:space="0" w:color="90C5F6"/>
              <w:right w:val="single" w:sz="4" w:space="0" w:color="90C5F6"/>
            </w:tcBorders>
            <w:shd w:val="clear" w:color="000000" w:fill="366092"/>
            <w:vAlign w:val="center"/>
            <w:hideMark/>
          </w:tcPr>
          <w:p w14:paraId="06DE2361"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96%</w:t>
            </w:r>
          </w:p>
        </w:tc>
        <w:tc>
          <w:tcPr>
            <w:tcW w:w="0" w:type="auto"/>
            <w:tcBorders>
              <w:top w:val="nil"/>
              <w:left w:val="nil"/>
              <w:bottom w:val="single" w:sz="4" w:space="0" w:color="90C5F6"/>
              <w:right w:val="single" w:sz="4" w:space="0" w:color="90C5F6"/>
            </w:tcBorders>
            <w:shd w:val="clear" w:color="000000" w:fill="366092"/>
            <w:vAlign w:val="center"/>
            <w:hideMark/>
          </w:tcPr>
          <w:p w14:paraId="12FFE40F"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99%</w:t>
            </w:r>
          </w:p>
        </w:tc>
        <w:tc>
          <w:tcPr>
            <w:tcW w:w="0" w:type="auto"/>
            <w:tcBorders>
              <w:top w:val="nil"/>
              <w:left w:val="nil"/>
              <w:bottom w:val="single" w:sz="4" w:space="0" w:color="90C5F6"/>
              <w:right w:val="single" w:sz="8" w:space="0" w:color="90C5F6"/>
            </w:tcBorders>
            <w:shd w:val="clear" w:color="000000" w:fill="366092"/>
            <w:vAlign w:val="center"/>
            <w:hideMark/>
          </w:tcPr>
          <w:p w14:paraId="7DDCC02E"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99%</w:t>
            </w:r>
          </w:p>
        </w:tc>
      </w:tr>
      <w:tr w:rsidR="00C156A0" w:rsidRPr="00C156A0" w14:paraId="12497010" w14:textId="77777777" w:rsidTr="00BB7DD5">
        <w:trPr>
          <w:trHeight w:val="248"/>
          <w:jc w:val="center"/>
        </w:trPr>
        <w:tc>
          <w:tcPr>
            <w:tcW w:w="1989" w:type="dxa"/>
            <w:tcBorders>
              <w:top w:val="nil"/>
              <w:left w:val="single" w:sz="8" w:space="0" w:color="90C5F6"/>
              <w:bottom w:val="single" w:sz="8" w:space="0" w:color="90C5F6"/>
              <w:right w:val="single" w:sz="4" w:space="0" w:color="90C5F6"/>
            </w:tcBorders>
            <w:shd w:val="clear" w:color="000000" w:fill="365F91"/>
            <w:vAlign w:val="center"/>
            <w:hideMark/>
          </w:tcPr>
          <w:p w14:paraId="6E1B7BC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2F6913FB"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80,730,151</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6D305A20"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82,382,695</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72FE6493"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81,900,621</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24654B6C"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100%</w:t>
            </w:r>
          </w:p>
        </w:tc>
        <w:tc>
          <w:tcPr>
            <w:tcW w:w="0" w:type="auto"/>
            <w:gridSpan w:val="2"/>
            <w:tcBorders>
              <w:top w:val="single" w:sz="4" w:space="0" w:color="90C5F6"/>
              <w:left w:val="nil"/>
              <w:bottom w:val="single" w:sz="8" w:space="0" w:color="90C5F6"/>
              <w:right w:val="single" w:sz="8" w:space="0" w:color="90C5F6"/>
            </w:tcBorders>
            <w:shd w:val="clear" w:color="000000" w:fill="365F91"/>
            <w:vAlign w:val="center"/>
            <w:hideMark/>
          </w:tcPr>
          <w:p w14:paraId="5D0B36FD"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99%</w:t>
            </w:r>
          </w:p>
        </w:tc>
      </w:tr>
    </w:tbl>
    <w:p w14:paraId="265CDBB9" w14:textId="02B5A349" w:rsidR="00C156A0" w:rsidRPr="00C156A0" w:rsidRDefault="00C156A0" w:rsidP="00C156A0">
      <w:pPr>
        <w:spacing w:before="0" w:line="240" w:lineRule="auto"/>
        <w:rPr>
          <w:rFonts w:ascii="Cambria" w:eastAsia="MS Mincho" w:hAnsi="Cambria"/>
          <w:sz w:val="24"/>
        </w:rPr>
      </w:pPr>
      <w:r w:rsidRPr="00C156A0">
        <w:rPr>
          <w:noProof/>
          <w:lang w:val="sq-AL"/>
        </w:rPr>
        <w:fldChar w:fldCharType="begin"/>
      </w:r>
      <w:r w:rsidRPr="00C156A0">
        <w:rPr>
          <w:noProof/>
          <w:lang w:val="sq-AL"/>
        </w:rPr>
        <w:instrText xml:space="preserve"> LINK </w:instrText>
      </w:r>
      <w:r w:rsidR="00C147C4">
        <w:rPr>
          <w:noProof/>
          <w:lang w:val="sq-AL"/>
        </w:rPr>
        <w:instrText xml:space="preserve">Excel.Sheet.12 "C:\\Users\\ledjana.gjoni\\Desktop\\B.Faktik 2025\\Tabelat per gr. 04, 13 dhe 17.xlsx" Sheet1!R3C1:R15C11 </w:instrText>
      </w:r>
      <w:r w:rsidRPr="00C156A0">
        <w:rPr>
          <w:noProof/>
          <w:lang w:val="sq-AL"/>
        </w:rPr>
        <w:instrText xml:space="preserve">\a \f 4 \h  \* MERGEFORMAT </w:instrText>
      </w:r>
      <w:r w:rsidRPr="00C156A0">
        <w:rPr>
          <w:noProof/>
          <w:lang w:val="sq-AL"/>
        </w:rPr>
        <w:fldChar w:fldCharType="separate"/>
      </w:r>
      <w:r w:rsidRPr="00C156A0">
        <w:rPr>
          <w:rFonts w:cs="Calibri"/>
          <w:noProof/>
          <w:color w:val="000000"/>
          <w:sz w:val="12"/>
          <w:szCs w:val="14"/>
          <w:lang w:val="sq-AL"/>
        </w:rPr>
        <w:fldChar w:fldCharType="end"/>
      </w:r>
    </w:p>
    <w:p w14:paraId="53660DBD" w14:textId="3A23A6A3" w:rsidR="00C156A0" w:rsidRPr="00C156A0" w:rsidRDefault="00C156A0" w:rsidP="00C156A0">
      <w:pPr>
        <w:spacing w:before="0" w:line="240" w:lineRule="auto"/>
        <w:rPr>
          <w:rFonts w:cs="Calibri"/>
          <w:noProof/>
          <w:color w:val="000000"/>
          <w:lang w:val="sq-AL"/>
        </w:rPr>
      </w:pPr>
      <w:r w:rsidRPr="00C156A0">
        <w:rPr>
          <w:rFonts w:cs="Calibri"/>
          <w:noProof/>
          <w:color w:val="000000"/>
          <w:lang w:val="sq-AL"/>
        </w:rPr>
        <w:t xml:space="preserve">Buxheti i Ministrisë së Shëndetësisë dhe Mirëqenies Sociale u rishikua në rritje për shpenzimet korente gjatë vitit 2025 me rreth 2.3%, duke u rritur nga 76.8 </w:t>
      </w:r>
      <w:r w:rsidR="0056260B">
        <w:rPr>
          <w:rFonts w:cs="Calibri"/>
          <w:noProof/>
          <w:color w:val="000000"/>
          <w:lang w:val="sq-AL"/>
        </w:rPr>
        <w:t>miliardë</w:t>
      </w:r>
      <w:r w:rsidRPr="00C156A0">
        <w:rPr>
          <w:rFonts w:cs="Calibri"/>
          <w:noProof/>
          <w:color w:val="000000"/>
          <w:lang w:val="sq-AL"/>
        </w:rPr>
        <w:t xml:space="preserve"> </w:t>
      </w:r>
      <w:r w:rsidR="00F67E09">
        <w:rPr>
          <w:rFonts w:cs="Calibri"/>
          <w:noProof/>
          <w:color w:val="000000"/>
          <w:lang w:val="sq-AL"/>
        </w:rPr>
        <w:t>LEK</w:t>
      </w:r>
      <w:r w:rsidRPr="00C156A0">
        <w:rPr>
          <w:rFonts w:cs="Calibri"/>
          <w:noProof/>
          <w:color w:val="000000"/>
          <w:lang w:val="sq-AL"/>
        </w:rPr>
        <w:t xml:space="preserve"> në planin fillestar, në 78.6 </w:t>
      </w:r>
      <w:r w:rsidR="0056260B">
        <w:rPr>
          <w:rFonts w:cs="Calibri"/>
          <w:noProof/>
          <w:color w:val="000000"/>
          <w:lang w:val="sq-AL"/>
        </w:rPr>
        <w:t>miliardë</w:t>
      </w:r>
      <w:r w:rsidRPr="00C156A0">
        <w:rPr>
          <w:rFonts w:cs="Calibri"/>
          <w:noProof/>
          <w:color w:val="000000"/>
          <w:lang w:val="sq-AL"/>
        </w:rPr>
        <w:t xml:space="preserve"> </w:t>
      </w:r>
      <w:r w:rsidR="00F67E09">
        <w:rPr>
          <w:rFonts w:cs="Calibri"/>
          <w:noProof/>
          <w:color w:val="000000"/>
          <w:lang w:val="sq-AL"/>
        </w:rPr>
        <w:t>LEK</w:t>
      </w:r>
      <w:r w:rsidRPr="00C156A0">
        <w:rPr>
          <w:rFonts w:cs="Calibri"/>
          <w:noProof/>
          <w:color w:val="000000"/>
          <w:lang w:val="sq-AL"/>
        </w:rPr>
        <w:t xml:space="preserve"> në planin e rishikuar. Ndërkohë, shpenzimet kapitale u rishikuan në ulje me rreth 2.7%, duke zbritur nga 3.94 </w:t>
      </w:r>
      <w:r w:rsidR="0056260B">
        <w:rPr>
          <w:rFonts w:cs="Calibri"/>
          <w:noProof/>
          <w:color w:val="000000"/>
          <w:lang w:val="sq-AL"/>
        </w:rPr>
        <w:t>miliardë</w:t>
      </w:r>
      <w:r w:rsidRPr="00C156A0">
        <w:rPr>
          <w:rFonts w:cs="Calibri"/>
          <w:noProof/>
          <w:color w:val="000000"/>
          <w:lang w:val="sq-AL"/>
        </w:rPr>
        <w:t xml:space="preserve"> </w:t>
      </w:r>
      <w:r w:rsidR="00F67E09">
        <w:rPr>
          <w:rFonts w:cs="Calibri"/>
          <w:noProof/>
          <w:color w:val="000000"/>
          <w:lang w:val="sq-AL"/>
        </w:rPr>
        <w:t>LEK</w:t>
      </w:r>
      <w:r w:rsidRPr="00C156A0">
        <w:rPr>
          <w:rFonts w:cs="Calibri"/>
          <w:noProof/>
          <w:color w:val="000000"/>
          <w:lang w:val="sq-AL"/>
        </w:rPr>
        <w:t xml:space="preserve"> në planin fillestar në 3.83 </w:t>
      </w:r>
      <w:r w:rsidR="0056260B">
        <w:rPr>
          <w:rFonts w:cs="Calibri"/>
          <w:noProof/>
          <w:color w:val="000000"/>
          <w:lang w:val="sq-AL"/>
        </w:rPr>
        <w:t>miliardë</w:t>
      </w:r>
      <w:r w:rsidRPr="00C156A0">
        <w:rPr>
          <w:rFonts w:cs="Calibri"/>
          <w:noProof/>
          <w:color w:val="000000"/>
          <w:lang w:val="sq-AL"/>
        </w:rPr>
        <w:t xml:space="preserve"> </w:t>
      </w:r>
      <w:r w:rsidR="00F67E09">
        <w:rPr>
          <w:rFonts w:cs="Calibri"/>
          <w:noProof/>
          <w:color w:val="000000"/>
          <w:lang w:val="sq-AL"/>
        </w:rPr>
        <w:t>LEK</w:t>
      </w:r>
      <w:r w:rsidRPr="00C156A0">
        <w:rPr>
          <w:rFonts w:cs="Calibri"/>
          <w:noProof/>
          <w:color w:val="000000"/>
          <w:lang w:val="sq-AL"/>
        </w:rPr>
        <w:t xml:space="preserve"> në planin e rishikuar për vitin 2025. Më konkretisht, për vitin 2025:   </w:t>
      </w:r>
    </w:p>
    <w:p w14:paraId="0D29FB15" w14:textId="77777777" w:rsidR="00C156A0" w:rsidRPr="00C156A0" w:rsidRDefault="00C156A0" w:rsidP="00C156A0">
      <w:pPr>
        <w:spacing w:line="240" w:lineRule="auto"/>
        <w:rPr>
          <w:rFonts w:cs="Calibri"/>
          <w:noProof/>
          <w:color w:val="000000"/>
          <w:lang w:val="sq-AL"/>
        </w:rPr>
      </w:pPr>
      <w:bookmarkStart w:id="245" w:name="_Hlk149840908"/>
      <w:r w:rsidRPr="00C156A0">
        <w:rPr>
          <w:rFonts w:cs="Calibri"/>
          <w:noProof/>
          <w:color w:val="000000"/>
          <w:lang w:val="sq-AL"/>
        </w:rPr>
        <w:t xml:space="preserve">Programi </w:t>
      </w:r>
      <w:r w:rsidRPr="00C156A0">
        <w:rPr>
          <w:rFonts w:cs="Calibri"/>
          <w:b/>
          <w:noProof/>
          <w:color w:val="000000"/>
          <w:lang w:val="sq-AL"/>
        </w:rPr>
        <w:t xml:space="preserve">“Shërbime të Kujdesit Shëndetësor Parësor” </w:t>
      </w:r>
      <w:r w:rsidRPr="00C156A0">
        <w:rPr>
          <w:rFonts w:cs="Calibri"/>
          <w:noProof/>
          <w:color w:val="000000"/>
          <w:lang w:val="sq-AL"/>
        </w:rPr>
        <w:t>ka realizuar qëllimin, i cili synon mbulim universal të nevojave të popullatës për kujdes mjekësor parësor</w:t>
      </w:r>
      <w:r w:rsidRPr="00C156A0">
        <w:rPr>
          <w:rFonts w:cs="Calibri"/>
          <w:i/>
          <w:noProof/>
          <w:color w:val="000000"/>
          <w:lang w:val="sq-AL"/>
        </w:rPr>
        <w:t xml:space="preserve">. </w:t>
      </w:r>
      <w:r w:rsidRPr="00C156A0">
        <w:rPr>
          <w:rFonts w:cs="Calibri"/>
          <w:noProof/>
          <w:color w:val="000000"/>
          <w:lang w:val="sq-AL"/>
        </w:rPr>
        <w:t xml:space="preserve">Personeli shëndetësor u angazhua maksimalisht nëpërmjet vizitave në qendra shëndetësore. Qëllimi i programit u realizua nëpërmjet objektivit, sa mëposhtë: </w:t>
      </w:r>
    </w:p>
    <w:p w14:paraId="1E920BEE" w14:textId="77777777" w:rsidR="00C156A0" w:rsidRPr="00C156A0" w:rsidRDefault="00C156A0">
      <w:pPr>
        <w:numPr>
          <w:ilvl w:val="0"/>
          <w:numId w:val="6"/>
        </w:numPr>
        <w:spacing w:before="0" w:after="160" w:line="240" w:lineRule="auto"/>
        <w:jc w:val="left"/>
        <w:rPr>
          <w:rFonts w:cs="Calibri"/>
          <w:i/>
          <w:noProof/>
          <w:color w:val="000000"/>
          <w:lang w:val="sq-AL"/>
        </w:rPr>
      </w:pPr>
      <w:r w:rsidRPr="00C156A0">
        <w:rPr>
          <w:rFonts w:cs="Calibri"/>
          <w:i/>
          <w:noProof/>
          <w:color w:val="000000"/>
          <w:lang w:val="sq-AL"/>
        </w:rPr>
        <w:t>Përmirësimi i shërbimeve parandaluese dhe të diagnostikimit të hershëm të sëmundjeve.</w:t>
      </w:r>
    </w:p>
    <w:p w14:paraId="63E05EE2" w14:textId="77777777" w:rsidR="00C156A0" w:rsidRPr="00C156A0" w:rsidRDefault="00C156A0" w:rsidP="00EE5EF3">
      <w:pPr>
        <w:spacing w:line="240" w:lineRule="auto"/>
        <w:rPr>
          <w:noProof/>
          <w:lang w:val="sq-AL"/>
        </w:rPr>
      </w:pPr>
      <w:r w:rsidRPr="00C156A0">
        <w:rPr>
          <w:noProof/>
          <w:lang w:val="sq-AL"/>
        </w:rPr>
        <w:t>Ky objektiv u realizua nëpërmjet produkteve, performanca e të cilave për vitin 2025, është si mëposhtë:</w:t>
      </w:r>
    </w:p>
    <w:p w14:paraId="69F5A0FE" w14:textId="4A325C86" w:rsidR="00DB1A32" w:rsidRDefault="00DB1A32" w:rsidP="00EE5EF3">
      <w:pPr>
        <w:numPr>
          <w:ilvl w:val="0"/>
          <w:numId w:val="7"/>
        </w:numPr>
        <w:spacing w:before="0" w:line="240" w:lineRule="auto"/>
        <w:rPr>
          <w:rFonts w:cs="Calibri"/>
          <w:i/>
          <w:noProof/>
          <w:color w:val="000000"/>
          <w:sz w:val="20"/>
          <w:szCs w:val="22"/>
          <w:lang w:val="sq-AL"/>
        </w:rPr>
      </w:pPr>
      <w:r w:rsidRPr="00DB1A32">
        <w:rPr>
          <w:rFonts w:cs="Calibri"/>
          <w:i/>
          <w:noProof/>
          <w:color w:val="000000"/>
          <w:sz w:val="20"/>
          <w:szCs w:val="22"/>
          <w:lang w:val="sq-AL"/>
        </w:rPr>
        <w:t xml:space="preserve">378,480 “Pacientë të trajtuar me recetë me rimbursim nga mjeku i familjes”, me kosto faktike 2.9 </w:t>
      </w:r>
      <w:r w:rsidR="0056260B">
        <w:rPr>
          <w:rFonts w:cs="Calibri"/>
          <w:i/>
          <w:noProof/>
          <w:color w:val="000000"/>
          <w:sz w:val="20"/>
          <w:szCs w:val="22"/>
          <w:lang w:val="sq-AL"/>
        </w:rPr>
        <w:t>miliardë</w:t>
      </w:r>
      <w:r w:rsidRPr="00DB1A32">
        <w:rPr>
          <w:rFonts w:cs="Calibri"/>
          <w:i/>
          <w:noProof/>
          <w:color w:val="000000"/>
          <w:sz w:val="20"/>
          <w:szCs w:val="22"/>
          <w:lang w:val="sq-AL"/>
        </w:rPr>
        <w:t xml:space="preserve"> LEK</w:t>
      </w:r>
      <w:r w:rsidR="00EE5EF3">
        <w:rPr>
          <w:rFonts w:cs="Calibri"/>
          <w:i/>
          <w:noProof/>
          <w:color w:val="000000"/>
          <w:sz w:val="20"/>
          <w:szCs w:val="22"/>
          <w:lang w:val="sq-AL"/>
        </w:rPr>
        <w:t>;</w:t>
      </w:r>
    </w:p>
    <w:p w14:paraId="31A4F180" w14:textId="4261C2A5"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7.3 </w:t>
      </w:r>
      <w:r w:rsidR="0056260B">
        <w:rPr>
          <w:rFonts w:cs="Calibri"/>
          <w:i/>
          <w:noProof/>
          <w:color w:val="000000"/>
          <w:sz w:val="20"/>
          <w:szCs w:val="22"/>
          <w:lang w:val="sq-AL"/>
        </w:rPr>
        <w:t>milionë</w:t>
      </w:r>
      <w:r w:rsidRPr="00C156A0">
        <w:rPr>
          <w:rFonts w:cs="Calibri"/>
          <w:i/>
          <w:noProof/>
          <w:color w:val="000000"/>
          <w:sz w:val="20"/>
          <w:szCs w:val="22"/>
          <w:lang w:val="sq-AL"/>
        </w:rPr>
        <w:t xml:space="preserve"> vizita në kuadër të “Mbulimit me kujdesin parësor”, me kosto faktike 942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EE5EF3">
        <w:rPr>
          <w:rFonts w:cs="Calibri"/>
          <w:i/>
          <w:noProof/>
          <w:color w:val="000000"/>
          <w:sz w:val="20"/>
          <w:szCs w:val="22"/>
          <w:lang w:val="sq-AL"/>
        </w:rPr>
        <w:t>;</w:t>
      </w:r>
    </w:p>
    <w:p w14:paraId="41BAB18F" w14:textId="128ABB42" w:rsidR="00C156A0" w:rsidRPr="00DB1A32"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455,849 individë të moshës 35 - 70 vjeç, kanë kryer kontrollin bazë (Chek-up), me kosto faktike 876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Pr="00DB1A32">
        <w:rPr>
          <w:rFonts w:cs="Calibri"/>
          <w:i/>
          <w:noProof/>
          <w:color w:val="000000"/>
          <w:sz w:val="20"/>
          <w:szCs w:val="22"/>
          <w:lang w:val="sq-AL"/>
        </w:rPr>
        <w:t>.</w:t>
      </w:r>
    </w:p>
    <w:bookmarkEnd w:id="245"/>
    <w:p w14:paraId="323A9E3B" w14:textId="77777777" w:rsidR="00C156A0" w:rsidRPr="00C156A0" w:rsidRDefault="00C156A0" w:rsidP="00EE5EF3">
      <w:pPr>
        <w:spacing w:line="240" w:lineRule="auto"/>
        <w:rPr>
          <w:bCs/>
          <w:iCs/>
          <w:noProof/>
          <w:lang w:val="sq-AL"/>
        </w:rPr>
      </w:pPr>
      <w:r w:rsidRPr="00C156A0">
        <w:rPr>
          <w:noProof/>
          <w:lang w:val="sq-AL"/>
        </w:rPr>
        <w:t xml:space="preserve">Programi </w:t>
      </w:r>
      <w:r w:rsidRPr="00C156A0">
        <w:rPr>
          <w:b/>
          <w:noProof/>
          <w:lang w:val="sq-AL"/>
        </w:rPr>
        <w:t>“Shërbime të Kujdesit Shëndetësor Dytësor”</w:t>
      </w:r>
      <w:r w:rsidRPr="00C156A0">
        <w:rPr>
          <w:noProof/>
          <w:lang w:val="sq-AL"/>
        </w:rPr>
        <w:t xml:space="preserve">, synon mbulim universal të nevojave të popullatës për kujdes mjekësor të specializuar. Gjatë vitit 2025 </w:t>
      </w:r>
      <w:r w:rsidRPr="00C156A0">
        <w:rPr>
          <w:bCs/>
          <w:iCs/>
          <w:noProof/>
          <w:lang w:val="sq-AL"/>
        </w:rPr>
        <w:t xml:space="preserve">janë trajtuar në shërbimet me shtretër rreth 331,256 pacientë (rreth 9.2 mijë më shumë nga e njëjta periudhë e një viti më parë). </w:t>
      </w:r>
    </w:p>
    <w:p w14:paraId="0DD50AC3" w14:textId="77777777" w:rsidR="00C156A0" w:rsidRPr="00C156A0" w:rsidRDefault="00C156A0" w:rsidP="00C156A0">
      <w:pPr>
        <w:spacing w:line="240" w:lineRule="auto"/>
        <w:rPr>
          <w:rFonts w:cs="Calibri"/>
          <w:noProof/>
          <w:color w:val="000000"/>
          <w:lang w:val="sq-AL"/>
        </w:rPr>
      </w:pPr>
      <w:r w:rsidRPr="00C156A0">
        <w:rPr>
          <w:rFonts w:cs="Calibri"/>
          <w:noProof/>
          <w:color w:val="000000"/>
          <w:lang w:val="sq-AL"/>
        </w:rPr>
        <w:t>Qëllimi i programit u realizua nëpërmjet objektivave, sa mëposhtë:</w:t>
      </w:r>
    </w:p>
    <w:p w14:paraId="410A9FB3" w14:textId="77777777" w:rsidR="00C156A0" w:rsidRPr="00C156A0" w:rsidRDefault="00C156A0">
      <w:pPr>
        <w:numPr>
          <w:ilvl w:val="0"/>
          <w:numId w:val="6"/>
        </w:numPr>
        <w:spacing w:before="0" w:line="240" w:lineRule="auto"/>
        <w:jc w:val="left"/>
        <w:rPr>
          <w:rFonts w:cs="Calibri"/>
          <w:i/>
          <w:noProof/>
          <w:color w:val="000000"/>
          <w:lang w:val="sq-AL"/>
        </w:rPr>
      </w:pPr>
      <w:r w:rsidRPr="00C156A0">
        <w:rPr>
          <w:rFonts w:cs="Calibri"/>
          <w:i/>
          <w:noProof/>
          <w:color w:val="000000"/>
          <w:lang w:val="sq-AL"/>
        </w:rPr>
        <w:t xml:space="preserve">Ofrimi cilësor dhe gjithëpërfshirës i shërbimeve të kujdesit shëndetësor dytësor. </w:t>
      </w:r>
    </w:p>
    <w:p w14:paraId="4F9D6D18" w14:textId="77777777" w:rsidR="00C156A0" w:rsidRPr="00C156A0" w:rsidRDefault="00C156A0">
      <w:pPr>
        <w:numPr>
          <w:ilvl w:val="0"/>
          <w:numId w:val="6"/>
        </w:numPr>
        <w:spacing w:before="0" w:line="240" w:lineRule="auto"/>
        <w:jc w:val="left"/>
        <w:rPr>
          <w:rFonts w:cs="Calibri"/>
          <w:noProof/>
          <w:color w:val="000000"/>
          <w:lang w:val="sq-AL"/>
        </w:rPr>
      </w:pPr>
      <w:r w:rsidRPr="00C156A0">
        <w:rPr>
          <w:rFonts w:cs="Calibri"/>
          <w:i/>
          <w:noProof/>
          <w:color w:val="000000"/>
          <w:lang w:val="sq-AL"/>
        </w:rPr>
        <w:t>Adresimi</w:t>
      </w:r>
      <w:r w:rsidRPr="00C156A0">
        <w:rPr>
          <w:rFonts w:cs="Calibri"/>
          <w:noProof/>
          <w:color w:val="000000"/>
          <w:lang w:val="sq-AL"/>
        </w:rPr>
        <w:t xml:space="preserve"> </w:t>
      </w:r>
      <w:r w:rsidRPr="00C156A0">
        <w:rPr>
          <w:rFonts w:cs="Calibri"/>
          <w:i/>
          <w:iCs/>
          <w:noProof/>
          <w:color w:val="000000"/>
          <w:lang w:val="sq-AL"/>
        </w:rPr>
        <w:t>me efektivitet i thirrjeve për urgjenca mjekësore në nivel qendror.</w:t>
      </w:r>
    </w:p>
    <w:p w14:paraId="656F0E1A" w14:textId="77777777" w:rsidR="00C156A0" w:rsidRPr="00C156A0" w:rsidRDefault="00C156A0" w:rsidP="00C156A0">
      <w:pPr>
        <w:spacing w:line="240" w:lineRule="auto"/>
        <w:rPr>
          <w:bCs/>
          <w:iCs/>
          <w:noProof/>
          <w:color w:val="000000"/>
          <w:lang w:val="sq-AL"/>
        </w:rPr>
      </w:pPr>
      <w:r w:rsidRPr="00C156A0">
        <w:rPr>
          <w:noProof/>
          <w:color w:val="000000"/>
          <w:lang w:val="sq-AL"/>
        </w:rPr>
        <w:t>Përgjatë vitit 2025, u kryen normalisht këto shërbime:</w:t>
      </w:r>
    </w:p>
    <w:p w14:paraId="707CFA39" w14:textId="035C2192"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331,256 pacientë të shtruar në spitale, me kosto faktike rreth 31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r w:rsidRPr="00C156A0">
        <w:rPr>
          <w:rFonts w:cs="Calibri"/>
          <w:i/>
          <w:noProof/>
          <w:color w:val="000000"/>
          <w:sz w:val="20"/>
          <w:szCs w:val="22"/>
          <w:lang w:val="sq-AL"/>
        </w:rPr>
        <w:t xml:space="preserve"> </w:t>
      </w:r>
    </w:p>
    <w:p w14:paraId="05984370" w14:textId="602FFD0E" w:rsid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212,151 seanca për trajtimin e pacientëve me dializë, me kosto faktike rreth 2.7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p>
    <w:p w14:paraId="2AC36A2F" w14:textId="5E3A6DA5" w:rsidR="005C5D00" w:rsidRPr="005C5D00" w:rsidRDefault="005C5D0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5,011,819 ekzaminime laboratorike, shoqëruar me kosto </w:t>
      </w:r>
      <w:r w:rsidRPr="00C156A0">
        <w:rPr>
          <w:rFonts w:cs="Calibri"/>
          <w:bCs/>
          <w:i/>
          <w:sz w:val="20"/>
          <w:szCs w:val="20"/>
          <w:lang w:val="sq-AL" w:eastAsia="en-GB"/>
        </w:rPr>
        <w:t>faktike</w:t>
      </w:r>
      <w:r w:rsidRPr="00C156A0">
        <w:rPr>
          <w:rFonts w:cs="Calibri"/>
          <w:i/>
          <w:noProof/>
          <w:color w:val="000000"/>
          <w:sz w:val="20"/>
          <w:szCs w:val="22"/>
          <w:lang w:val="sq-AL"/>
        </w:rPr>
        <w:t xml:space="preserve"> 1.89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p>
    <w:p w14:paraId="7D270373" w14:textId="736CA695" w:rsidR="005C5D00" w:rsidRPr="00C156A0" w:rsidRDefault="005C5D00" w:rsidP="00EE5EF3">
      <w:pPr>
        <w:numPr>
          <w:ilvl w:val="0"/>
          <w:numId w:val="7"/>
        </w:numPr>
        <w:spacing w:before="0" w:line="240" w:lineRule="auto"/>
        <w:rPr>
          <w:rFonts w:cs="Calibri"/>
          <w:i/>
          <w:noProof/>
          <w:color w:val="000000"/>
          <w:sz w:val="20"/>
          <w:szCs w:val="22"/>
          <w:lang w:val="sq-AL"/>
        </w:rPr>
      </w:pPr>
      <w:r w:rsidRPr="005C5D00">
        <w:rPr>
          <w:rFonts w:cs="Calibri"/>
          <w:i/>
          <w:noProof/>
          <w:color w:val="000000"/>
          <w:sz w:val="20"/>
          <w:szCs w:val="22"/>
          <w:lang w:val="sq-AL"/>
        </w:rPr>
        <w:t>11,628 pacientë të trajtuar nga paketat spitalore të kardiologjisë dhe kardiokirurgjisë, kosto faktike 1.37</w:t>
      </w:r>
      <w:r w:rsidR="00C57ACD">
        <w:rPr>
          <w:rFonts w:cs="Calibri"/>
          <w:i/>
          <w:noProof/>
          <w:color w:val="000000"/>
          <w:sz w:val="20"/>
          <w:szCs w:val="22"/>
          <w:lang w:val="sq-AL"/>
        </w:rPr>
        <w:t>mld</w:t>
      </w:r>
      <w:r w:rsidRPr="005C5D00">
        <w:rPr>
          <w:rFonts w:cs="Calibri"/>
          <w:i/>
          <w:noProof/>
          <w:color w:val="000000"/>
          <w:sz w:val="20"/>
          <w:szCs w:val="22"/>
          <w:lang w:val="sq-AL"/>
        </w:rPr>
        <w:t xml:space="preserve"> LEK</w:t>
      </w:r>
      <w:r w:rsidR="00F67E09">
        <w:rPr>
          <w:rFonts w:cs="Calibri"/>
          <w:i/>
          <w:noProof/>
          <w:color w:val="000000"/>
          <w:sz w:val="20"/>
          <w:szCs w:val="22"/>
          <w:lang w:val="sq-AL"/>
        </w:rPr>
        <w:t>;</w:t>
      </w:r>
    </w:p>
    <w:p w14:paraId="2062C1DD" w14:textId="25499B54" w:rsid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1,444 pacientë të trajtuar në spitalet psikiatrike, me kosto </w:t>
      </w:r>
      <w:r w:rsidRPr="00C156A0">
        <w:rPr>
          <w:rFonts w:cs="Calibri"/>
          <w:bCs/>
          <w:i/>
          <w:sz w:val="20"/>
          <w:szCs w:val="20"/>
          <w:lang w:val="sq-AL" w:eastAsia="en-GB"/>
        </w:rPr>
        <w:t xml:space="preserve">faktike </w:t>
      </w:r>
      <w:r w:rsidRPr="00C156A0">
        <w:rPr>
          <w:rFonts w:cs="Calibri"/>
          <w:i/>
          <w:noProof/>
          <w:color w:val="000000"/>
          <w:sz w:val="20"/>
          <w:szCs w:val="22"/>
          <w:lang w:val="sq-AL"/>
        </w:rPr>
        <w:t xml:space="preserve">1.14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r w:rsidR="005C5D00">
        <w:rPr>
          <w:rFonts w:cs="Calibri"/>
          <w:i/>
          <w:noProof/>
          <w:color w:val="000000"/>
          <w:sz w:val="20"/>
          <w:szCs w:val="22"/>
          <w:lang w:val="sq-AL"/>
        </w:rPr>
        <w:t xml:space="preserve"> </w:t>
      </w:r>
    </w:p>
    <w:p w14:paraId="4B95563C" w14:textId="07447B70" w:rsidR="005C5D00" w:rsidRDefault="005C5D0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143,437 raste të trajtuara nga njesite e urgjences mjekesore, me kosto faktike </w:t>
      </w:r>
      <w:r w:rsidRPr="00C156A0">
        <w:rPr>
          <w:rFonts w:cs="Calibri"/>
          <w:i/>
          <w:noProof/>
          <w:sz w:val="20"/>
          <w:szCs w:val="22"/>
          <w:lang w:val="sq-AL"/>
        </w:rPr>
        <w:t xml:space="preserve">294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p>
    <w:p w14:paraId="25B2061B" w14:textId="60C15987" w:rsidR="005C5D00" w:rsidRDefault="005C5D0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27,586 pacientë me radioterapi, me kosto faktike 136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p>
    <w:p w14:paraId="2FC4DB23" w14:textId="7F10395A" w:rsidR="005C5D00" w:rsidRPr="005C5D00" w:rsidRDefault="005C5D0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3,794 pacientë me katarakte, shoqëruar me kosto </w:t>
      </w:r>
      <w:r w:rsidRPr="00C156A0">
        <w:rPr>
          <w:rFonts w:cs="Calibri"/>
          <w:bCs/>
          <w:i/>
          <w:sz w:val="20"/>
          <w:szCs w:val="20"/>
          <w:lang w:val="sq-AL" w:eastAsia="en-GB"/>
        </w:rPr>
        <w:t xml:space="preserve">faktike </w:t>
      </w:r>
      <w:r w:rsidRPr="00C156A0">
        <w:rPr>
          <w:rFonts w:cs="Calibri"/>
          <w:i/>
          <w:noProof/>
          <w:color w:val="000000"/>
          <w:sz w:val="20"/>
          <w:szCs w:val="22"/>
          <w:lang w:val="sq-AL"/>
        </w:rPr>
        <w:t xml:space="preserve">90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r w:rsidRPr="00C156A0">
        <w:rPr>
          <w:rFonts w:cs="Calibri"/>
          <w:i/>
          <w:noProof/>
          <w:color w:val="000000"/>
          <w:sz w:val="20"/>
          <w:szCs w:val="22"/>
          <w:lang w:val="sq-AL"/>
        </w:rPr>
        <w:t xml:space="preserve"> </w:t>
      </w:r>
    </w:p>
    <w:p w14:paraId="07B3F91B" w14:textId="284A07D2"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lastRenderedPageBreak/>
        <w:t xml:space="preserve">15 pacientë nga paketat e transplanteve renale, me kosto faktike 26.7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F67E09">
        <w:rPr>
          <w:rFonts w:cs="Calibri"/>
          <w:i/>
          <w:noProof/>
          <w:color w:val="000000"/>
          <w:sz w:val="20"/>
          <w:szCs w:val="22"/>
          <w:lang w:val="sq-AL"/>
        </w:rPr>
        <w:t>;</w:t>
      </w:r>
    </w:p>
    <w:p w14:paraId="63DEC9D1" w14:textId="0BAE65B2"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127 çifte u trajuan për procesin e riprodhimit mjekësor të asistuar në institucionet shëndetësore publike me kosto </w:t>
      </w:r>
      <w:r w:rsidRPr="00C156A0">
        <w:rPr>
          <w:rFonts w:cs="Calibri"/>
          <w:bCs/>
          <w:i/>
          <w:sz w:val="20"/>
          <w:szCs w:val="20"/>
          <w:lang w:val="sq-AL" w:eastAsia="en-GB"/>
        </w:rPr>
        <w:t>faktike</w:t>
      </w:r>
      <w:r w:rsidRPr="00C156A0">
        <w:rPr>
          <w:rFonts w:cs="Calibri"/>
          <w:i/>
          <w:noProof/>
          <w:color w:val="000000"/>
          <w:sz w:val="20"/>
          <w:szCs w:val="22"/>
          <w:lang w:val="sq-AL"/>
        </w:rPr>
        <w:t xml:space="preserve"> totale 21.9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p>
    <w:p w14:paraId="66E25E9A" w14:textId="77777777" w:rsidR="00C156A0" w:rsidRPr="00C156A0" w:rsidRDefault="00C156A0" w:rsidP="00C156A0">
      <w:pPr>
        <w:spacing w:line="240" w:lineRule="auto"/>
        <w:rPr>
          <w:rFonts w:cs="Calibri"/>
          <w:noProof/>
          <w:lang w:val="sq-AL"/>
        </w:rPr>
      </w:pPr>
      <w:r w:rsidRPr="00C156A0">
        <w:rPr>
          <w:rFonts w:cs="Calibri"/>
          <w:noProof/>
          <w:lang w:val="sq-AL"/>
        </w:rPr>
        <w:t xml:space="preserve">Programi </w:t>
      </w:r>
      <w:r w:rsidRPr="00C156A0">
        <w:rPr>
          <w:rFonts w:cs="Calibri"/>
          <w:b/>
          <w:noProof/>
          <w:lang w:val="sq-AL"/>
        </w:rPr>
        <w:t xml:space="preserve">“Shërbime të Shëndetit Publik” </w:t>
      </w:r>
      <w:r w:rsidRPr="00C156A0">
        <w:rPr>
          <w:noProof/>
          <w:lang w:val="sq-AL"/>
        </w:rPr>
        <w:t>ofrohet nëpërmjet programeve kombëtare të imunizimit, TBC, HIV/AIDS dhe IST, të survejancës epidemiologjike dhe ndjekjes së sëmundshmërisë infektive (sëmundshmërisë kronike me pasoja në shëndet publik të ndikuara nga kushtet e mjedisit) si dhe të programeve të sigurisë ushqimore, kontrollit të ujit të pijshëm dhe shëndetit riprodhues.</w:t>
      </w:r>
      <w:r w:rsidRPr="00C156A0">
        <w:rPr>
          <w:rFonts w:cs="Calibri"/>
          <w:noProof/>
          <w:lang w:val="sq-AL"/>
        </w:rPr>
        <w:t xml:space="preserve"> Gjatë vitit 2025: </w:t>
      </w:r>
    </w:p>
    <w:p w14:paraId="30E29E20" w14:textId="009C3C8F" w:rsidR="00AF4241" w:rsidRPr="00AF4241" w:rsidRDefault="00AF4241"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3,006 monitorime të situatave epidemilogjike, me kosto faktike rreth 2.9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123BF2CD" w14:textId="1A322BD4" w:rsidR="00975151" w:rsidRPr="00C156A0" w:rsidRDefault="00975151"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24,513 kontrolle dhe inspektime, shoqëruar me kosto </w:t>
      </w:r>
      <w:r w:rsidRPr="00C156A0">
        <w:rPr>
          <w:rFonts w:cs="Calibri"/>
          <w:bCs/>
          <w:i/>
          <w:sz w:val="20"/>
          <w:szCs w:val="20"/>
          <w:lang w:val="sq-AL" w:eastAsia="en-GB"/>
        </w:rPr>
        <w:t>faktike 509</w:t>
      </w:r>
      <w:r w:rsidRPr="00C156A0">
        <w:rPr>
          <w:rFonts w:cs="Calibri"/>
          <w:i/>
          <w:noProof/>
          <w:color w:val="000000"/>
          <w:sz w:val="20"/>
          <w:szCs w:val="22"/>
          <w:lang w:val="sq-AL"/>
        </w:rPr>
        <w:t xml:space="preserve">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r w:rsidRPr="00C156A0">
        <w:rPr>
          <w:rFonts w:cs="Calibri"/>
          <w:i/>
          <w:noProof/>
          <w:color w:val="000000"/>
          <w:sz w:val="20"/>
          <w:szCs w:val="22"/>
          <w:lang w:val="sq-AL"/>
        </w:rPr>
        <w:t xml:space="preserve"> </w:t>
      </w:r>
    </w:p>
    <w:p w14:paraId="233DBB02" w14:textId="44E3A6D1" w:rsidR="00975151" w:rsidRPr="00975151" w:rsidRDefault="00975151"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476 inspektime të kryera nga Operatori i Kujdesit Shëndetësor në Spitale, Njësi Vendore të Kujdesit Shëndetësor dhe Qendra Shëndetësore, me kosto faktike 310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155427DE" w14:textId="08E09D07"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200,000 mijë fëmijë të vaksinuar të moshës 0-18 vjeç, me kosto faktike 191.7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588A3508" w14:textId="6A128800"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224,545 persona të vaksinuar me vaksinen e gripit sezonal, me kosto faktike 109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1ED59CDF" w14:textId="4B832768"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4,736 gra të depistuara për kancerin e gjirit dhe 11,920 gra për kancerin e qafës së mitrës, me kosto faktike 28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p>
    <w:p w14:paraId="5E427044" w14:textId="77777777" w:rsidR="00C156A0" w:rsidRPr="00C156A0" w:rsidRDefault="00C156A0" w:rsidP="00C156A0">
      <w:pPr>
        <w:spacing w:line="240" w:lineRule="auto"/>
        <w:rPr>
          <w:rFonts w:cs="Calibri"/>
          <w:noProof/>
          <w:color w:val="000000"/>
          <w:lang w:val="sq-AL"/>
        </w:rPr>
      </w:pPr>
      <w:r w:rsidRPr="00C156A0">
        <w:rPr>
          <w:rFonts w:cs="Calibri"/>
          <w:noProof/>
          <w:color w:val="000000"/>
          <w:lang w:val="sq-AL"/>
        </w:rPr>
        <w:t xml:space="preserve">Programi </w:t>
      </w:r>
      <w:r w:rsidRPr="00C156A0">
        <w:rPr>
          <w:rFonts w:cs="Calibri"/>
          <w:b/>
          <w:noProof/>
          <w:color w:val="000000"/>
          <w:lang w:val="sq-AL"/>
        </w:rPr>
        <w:t xml:space="preserve">“Përkujdesi Social” </w:t>
      </w:r>
      <w:r w:rsidRPr="00C156A0">
        <w:rPr>
          <w:noProof/>
          <w:color w:val="000000"/>
          <w:lang w:val="sq-AL"/>
        </w:rPr>
        <w:t xml:space="preserve">mbështet nëpërmjet pagesave në cash dhe shërbimeve sociale, familjet në nevojë dhe individët me aftësi të kufizuara, të cilët nuk mund të sigurojnë plotësimin e nevojave bazë jetike, zhvillimin e aftësive dhe mundësive personale, për shkak të aftësive dhe mundësive të kufizuara social ekonomike. </w:t>
      </w:r>
      <w:r w:rsidRPr="00C156A0">
        <w:rPr>
          <w:noProof/>
          <w:lang w:val="sq-AL"/>
        </w:rPr>
        <w:t xml:space="preserve">Gjatë vitit 2025, programi i përkujdesit social u rishikua në rritje duke mundësuar akordimin e një mbështetje financiare të menjehershme në fund të vitit për familjet që ishin përfituese. Më hollësisht, </w:t>
      </w:r>
      <w:r w:rsidRPr="00C156A0">
        <w:rPr>
          <w:rFonts w:cs="Calibri"/>
          <w:noProof/>
          <w:color w:val="000000"/>
          <w:lang w:val="sq-AL"/>
        </w:rPr>
        <w:t xml:space="preserve">produktet e financuara nga programi  përfshijnë: </w:t>
      </w:r>
    </w:p>
    <w:p w14:paraId="35D9DB49" w14:textId="200CA400" w:rsid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95,784 “Persona me aftësi të kufizuar nga programi i aftësisë së kufizuar”, me kosto faktike 18.6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24C5CDC7" w14:textId="3AABE608" w:rsidR="001523E9" w:rsidRPr="001523E9" w:rsidRDefault="001523E9"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50,631 “Familje dhe individë në nevojë përfitues nga skema e Ndihmës Ekonomike”, me kosto faktike 5.3</w:t>
      </w:r>
      <w:r w:rsidR="00C57ACD">
        <w:rPr>
          <w:rFonts w:cs="Calibri"/>
          <w:i/>
          <w:noProof/>
          <w:color w:val="000000"/>
          <w:sz w:val="20"/>
          <w:szCs w:val="22"/>
          <w:lang w:val="sq-AL"/>
        </w:rPr>
        <w:t>mld</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10389254" w14:textId="2DBB3C9F" w:rsidR="001523E9" w:rsidRDefault="001523E9"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 xml:space="preserve">23,225 bebe kanë përfituar nga “Shpërblimi i lindjes”, me një kosto faktike totale rreth 1.4 </w:t>
      </w:r>
      <w:r w:rsidR="0056260B">
        <w:rPr>
          <w:rFonts w:cs="Calibri"/>
          <w:i/>
          <w:noProof/>
          <w:color w:val="000000"/>
          <w:sz w:val="20"/>
          <w:szCs w:val="22"/>
          <w:lang w:val="sq-AL"/>
        </w:rPr>
        <w:t>miliardë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7C4CFD3A" w14:textId="65BD0027" w:rsidR="001523E9" w:rsidRPr="001523E9" w:rsidRDefault="001523E9"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7,848 gra të papunësuara</w:t>
      </w:r>
      <w:r w:rsidRPr="00C156A0">
        <w:rPr>
          <w:rFonts w:eastAsia="MS Mincho"/>
          <w:sz w:val="20"/>
          <w:szCs w:val="22"/>
          <w:lang w:val="sq-AL"/>
        </w:rPr>
        <w:t xml:space="preserve"> </w:t>
      </w:r>
      <w:r w:rsidRPr="00C156A0">
        <w:rPr>
          <w:rFonts w:cs="Calibri"/>
          <w:i/>
          <w:noProof/>
          <w:color w:val="000000"/>
          <w:sz w:val="20"/>
          <w:szCs w:val="22"/>
          <w:lang w:val="sq-AL"/>
        </w:rPr>
        <w:t xml:space="preserve">me tre apo më shumë fëmijë të moshës deri në 18 vjeç kanë përfituar mbrojtje të veçantë nga shteti, me një kosto faktike prej 829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r w:rsidRPr="00C156A0">
        <w:rPr>
          <w:rFonts w:cs="Calibri"/>
          <w:i/>
          <w:noProof/>
          <w:color w:val="000000"/>
          <w:sz w:val="20"/>
          <w:szCs w:val="22"/>
          <w:lang w:val="sq-AL"/>
        </w:rPr>
        <w:t xml:space="preserve">  </w:t>
      </w:r>
    </w:p>
    <w:p w14:paraId="7F68653A" w14:textId="2568E8AB"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242 persona “Përfitues të shërbimeve të përkujdesit social të ofruara në qëndrat rezidenciale publike”,</w:t>
      </w:r>
      <w:r w:rsidR="006A7A4A">
        <w:rPr>
          <w:rFonts w:cs="Calibri"/>
          <w:i/>
          <w:noProof/>
          <w:color w:val="000000"/>
          <w:sz w:val="20"/>
          <w:szCs w:val="22"/>
          <w:lang w:val="sq-AL"/>
        </w:rPr>
        <w:t xml:space="preserve"> </w:t>
      </w:r>
      <w:r w:rsidRPr="00C156A0">
        <w:rPr>
          <w:rFonts w:cs="Calibri"/>
          <w:i/>
          <w:noProof/>
          <w:color w:val="000000"/>
          <w:sz w:val="20"/>
          <w:szCs w:val="22"/>
          <w:lang w:val="sq-AL"/>
        </w:rPr>
        <w:t>është realizuar  me një kosto faktike prej rreth</w:t>
      </w:r>
      <w:r w:rsidRPr="00C156A0">
        <w:rPr>
          <w:rFonts w:cs="Calibri"/>
          <w:i/>
          <w:noProof/>
          <w:color w:val="C00000"/>
          <w:sz w:val="20"/>
          <w:szCs w:val="22"/>
          <w:lang w:val="sq-AL"/>
        </w:rPr>
        <w:t xml:space="preserve"> </w:t>
      </w:r>
      <w:r w:rsidRPr="00C156A0">
        <w:rPr>
          <w:rFonts w:cs="Calibri"/>
          <w:i/>
          <w:noProof/>
          <w:sz w:val="20"/>
          <w:szCs w:val="22"/>
          <w:lang w:val="sq-AL"/>
        </w:rPr>
        <w:t xml:space="preserve">478 </w:t>
      </w:r>
      <w:r w:rsidR="0056260B">
        <w:rPr>
          <w:rFonts w:cs="Calibri"/>
          <w:i/>
          <w:noProof/>
          <w:color w:val="000000"/>
          <w:sz w:val="20"/>
          <w:szCs w:val="22"/>
          <w:lang w:val="sq-AL"/>
        </w:rPr>
        <w:t>milionë</w:t>
      </w:r>
      <w:r w:rsidRPr="00C156A0">
        <w:rPr>
          <w:rFonts w:cs="Calibri"/>
          <w:i/>
          <w:noProof/>
          <w:color w:val="000000"/>
          <w:sz w:val="20"/>
          <w:szCs w:val="22"/>
          <w:lang w:val="sq-AL"/>
        </w:rPr>
        <w:t xml:space="preserve"> LEK</w:t>
      </w:r>
      <w:r w:rsidR="004C7506">
        <w:rPr>
          <w:rFonts w:cs="Calibri"/>
          <w:i/>
          <w:noProof/>
          <w:color w:val="000000"/>
          <w:sz w:val="20"/>
          <w:szCs w:val="22"/>
          <w:lang w:val="sq-AL"/>
        </w:rPr>
        <w:t>;</w:t>
      </w:r>
    </w:p>
    <w:p w14:paraId="630060ED" w14:textId="319FE2CB" w:rsidR="00C156A0" w:rsidRPr="00C156A0" w:rsidRDefault="00C156A0" w:rsidP="00EE5EF3">
      <w:pPr>
        <w:numPr>
          <w:ilvl w:val="0"/>
          <w:numId w:val="7"/>
        </w:numPr>
        <w:spacing w:before="0" w:line="240" w:lineRule="auto"/>
        <w:rPr>
          <w:rFonts w:cs="Calibri"/>
          <w:i/>
          <w:noProof/>
          <w:color w:val="000000"/>
          <w:sz w:val="20"/>
          <w:szCs w:val="22"/>
          <w:lang w:val="sq-AL"/>
        </w:rPr>
      </w:pPr>
      <w:r w:rsidRPr="00C156A0">
        <w:rPr>
          <w:rFonts w:cs="Calibri"/>
          <w:i/>
          <w:noProof/>
          <w:color w:val="000000"/>
          <w:sz w:val="20"/>
          <w:szCs w:val="22"/>
          <w:lang w:val="sq-AL"/>
        </w:rPr>
        <w:t>154 foshnje dhe fëmijë që përfitojnë shërbime në institucionet e përkujdesit social, me kosto faktike 310</w:t>
      </w:r>
      <w:r w:rsidR="00C57ACD">
        <w:rPr>
          <w:rFonts w:cs="Calibri"/>
          <w:i/>
          <w:noProof/>
          <w:color w:val="000000"/>
          <w:sz w:val="20"/>
          <w:szCs w:val="22"/>
          <w:lang w:val="sq-AL"/>
        </w:rPr>
        <w:t>mln</w:t>
      </w:r>
      <w:r w:rsidRPr="00C156A0">
        <w:rPr>
          <w:rFonts w:cs="Calibri"/>
          <w:i/>
          <w:noProof/>
          <w:color w:val="000000"/>
          <w:sz w:val="20"/>
          <w:szCs w:val="22"/>
          <w:lang w:val="sq-AL"/>
        </w:rPr>
        <w:t xml:space="preserve"> LEK.</w:t>
      </w:r>
    </w:p>
    <w:p w14:paraId="52116F3D" w14:textId="279DA630" w:rsidR="008B22A8" w:rsidRPr="008B22A8" w:rsidRDefault="00C156A0" w:rsidP="008B22A8">
      <w:pPr>
        <w:spacing w:line="240" w:lineRule="auto"/>
        <w:rPr>
          <w:rFonts w:asciiTheme="majorHAnsi" w:hAnsiTheme="majorHAnsi" w:cs="Calibri Light"/>
          <w:noProof/>
          <w:szCs w:val="22"/>
          <w:lang w:val="sq-AL"/>
        </w:rPr>
      </w:pPr>
      <w:r w:rsidRPr="008B22A8">
        <w:rPr>
          <w:rFonts w:cs="Calibri"/>
          <w:noProof/>
          <w:lang w:val="sq-AL"/>
        </w:rPr>
        <w:t xml:space="preserve">Për sa u përket </w:t>
      </w:r>
      <w:r w:rsidRPr="008B22A8">
        <w:rPr>
          <w:rFonts w:cs="Calibri"/>
          <w:b/>
          <w:noProof/>
          <w:lang w:val="sq-AL"/>
        </w:rPr>
        <w:t xml:space="preserve">investimeve publike, </w:t>
      </w:r>
      <w:r w:rsidR="008B22A8" w:rsidRPr="008B22A8">
        <w:rPr>
          <w:rFonts w:cs="Calibri"/>
          <w:noProof/>
          <w:lang w:val="sq-AL"/>
        </w:rPr>
        <w:t>realizimi në vitin 2025 ishte 47.8% e buxhetit fillestar për projektet me financim të brendshëm (1.4 milard LEK)</w:t>
      </w:r>
      <w:r w:rsidR="008B22A8" w:rsidRPr="008B22A8">
        <w:rPr>
          <w:rFonts w:cs="Calibri"/>
          <w:bCs/>
          <w:iCs/>
          <w:noProof/>
          <w:lang w:val="sq-AL"/>
        </w:rPr>
        <w:t xml:space="preserve"> ose 80.1% e planit vjetor të ndryshuar me AN nr.11/2025</w:t>
      </w:r>
      <w:r w:rsidR="008B22A8" w:rsidRPr="008B22A8">
        <w:rPr>
          <w:rFonts w:cs="Calibri"/>
          <w:noProof/>
          <w:lang w:val="sq-AL"/>
        </w:rPr>
        <w:t xml:space="preserve"> dhe 228.3% e buxhetit fillestar për projektet me financim të huaj (2.4 </w:t>
      </w:r>
      <w:r w:rsidR="0056260B">
        <w:rPr>
          <w:rFonts w:cs="Calibri"/>
          <w:noProof/>
          <w:lang w:val="sq-AL"/>
        </w:rPr>
        <w:t>miliardë</w:t>
      </w:r>
      <w:r w:rsidR="008B22A8" w:rsidRPr="008B22A8">
        <w:rPr>
          <w:rFonts w:cs="Calibri"/>
          <w:noProof/>
          <w:lang w:val="sq-AL"/>
        </w:rPr>
        <w:t xml:space="preserve"> LEK) </w:t>
      </w:r>
      <w:r w:rsidR="008B22A8" w:rsidRPr="008B22A8">
        <w:rPr>
          <w:rFonts w:cs="Calibri"/>
          <w:bCs/>
          <w:iCs/>
          <w:noProof/>
          <w:lang w:val="sq-AL"/>
        </w:rPr>
        <w:t>ose 114.6% e planit vjetor të ndryshuar me AN nr.11/2025.</w:t>
      </w:r>
      <w:r w:rsidR="008B22A8" w:rsidRPr="008B22A8">
        <w:rPr>
          <w:rFonts w:cs="Calibri"/>
          <w:noProof/>
          <w:lang w:val="sq-AL"/>
        </w:rPr>
        <w:t xml:space="preserve"> Buxheti i shpenzimeve kapitale pësoi disa ndryshime duke pakësuar fonde për projekte që nuk mund të realizoheshin gjatë vitit me financim të brendshëm dhe një rritje të rëndësishme për fondet me financim të huaj, përfshirë edhe disa rialokime. J</w:t>
      </w:r>
      <w:r w:rsidR="008B22A8" w:rsidRPr="008B22A8">
        <w:rPr>
          <w:rFonts w:asciiTheme="majorHAnsi" w:hAnsiTheme="majorHAnsi" w:cs="Calibri Light"/>
          <w:noProof/>
          <w:szCs w:val="22"/>
          <w:lang w:val="sq-AL"/>
        </w:rPr>
        <w:t xml:space="preserve">anë mbyllur 8 </w:t>
      </w:r>
      <w:r w:rsidR="008B22A8" w:rsidRPr="008B22A8">
        <w:rPr>
          <w:rFonts w:asciiTheme="majorHAnsi" w:eastAsia="SimSun" w:hAnsiTheme="majorHAnsi" w:cs="Calibri Light"/>
          <w:noProof/>
          <w:szCs w:val="22"/>
          <w:lang w:val="sq-AL"/>
        </w:rPr>
        <w:t>projekte</w:t>
      </w:r>
      <w:r w:rsidR="008B22A8" w:rsidRPr="008B22A8">
        <w:rPr>
          <w:rFonts w:asciiTheme="majorHAnsi" w:hAnsiTheme="majorHAnsi" w:cs="Calibri Light"/>
          <w:noProof/>
          <w:szCs w:val="22"/>
          <w:lang w:val="sq-AL"/>
        </w:rPr>
        <w:t xml:space="preserve"> investimi në vlerën e </w:t>
      </w:r>
      <w:r w:rsidR="008B22A8" w:rsidRPr="008B22A8">
        <w:rPr>
          <w:rFonts w:cs="Calibri"/>
          <w:noProof/>
          <w:lang w:val="sq-AL"/>
        </w:rPr>
        <w:t xml:space="preserve">2.3 </w:t>
      </w:r>
      <w:r w:rsidR="0056260B">
        <w:rPr>
          <w:rFonts w:cs="Calibri"/>
          <w:noProof/>
          <w:lang w:val="sq-AL"/>
        </w:rPr>
        <w:t>miliardë</w:t>
      </w:r>
      <w:r w:rsidR="008B22A8" w:rsidRPr="008B22A8">
        <w:rPr>
          <w:rFonts w:cs="Calibri"/>
          <w:noProof/>
          <w:lang w:val="sq-AL"/>
        </w:rPr>
        <w:t xml:space="preserve"> LEK</w:t>
      </w:r>
      <w:r w:rsidR="008B22A8" w:rsidRPr="008B22A8">
        <w:rPr>
          <w:rFonts w:asciiTheme="majorHAnsi" w:hAnsiTheme="majorHAnsi" w:cs="Calibri Light"/>
          <w:noProof/>
          <w:szCs w:val="22"/>
          <w:lang w:val="sq-AL"/>
        </w:rPr>
        <w:t>, si më poshtë:</w:t>
      </w:r>
    </w:p>
    <w:p w14:paraId="01E56862" w14:textId="183532A3" w:rsidR="008B22A8" w:rsidRPr="008B22A8" w:rsidRDefault="008B22A8" w:rsidP="008B22A8">
      <w:pPr>
        <w:numPr>
          <w:ilvl w:val="0"/>
          <w:numId w:val="7"/>
        </w:numPr>
        <w:spacing w:before="0" w:line="240" w:lineRule="auto"/>
        <w:rPr>
          <w:rFonts w:cs="Calibri"/>
          <w:i/>
          <w:noProof/>
          <w:color w:val="000000"/>
          <w:lang w:val="sq-AL"/>
        </w:rPr>
      </w:pPr>
      <w:r w:rsidRPr="008B22A8">
        <w:rPr>
          <w:rFonts w:cs="Calibri"/>
          <w:i/>
          <w:noProof/>
          <w:color w:val="000000"/>
          <w:lang w:val="sq-AL"/>
        </w:rPr>
        <w:t>Rikonstruksion i godinës së vjetër t</w:t>
      </w:r>
      <w:r w:rsidR="002A1A05">
        <w:rPr>
          <w:rFonts w:cs="Calibri"/>
          <w:i/>
          <w:noProof/>
          <w:color w:val="000000"/>
          <w:lang w:val="sq-AL"/>
        </w:rPr>
        <w:t>ë</w:t>
      </w:r>
      <w:r w:rsidRPr="008B22A8">
        <w:rPr>
          <w:rFonts w:cs="Calibri"/>
          <w:i/>
          <w:noProof/>
          <w:color w:val="000000"/>
          <w:lang w:val="sq-AL"/>
        </w:rPr>
        <w:t xml:space="preserve"> Neonatologjisë dhe Obstetrikës dhe ndërtimin e dy godinave të reja në SUOGJ "Mbretëresha Geraldinë", me vlerë kontrate 559.7 </w:t>
      </w:r>
      <w:r w:rsidR="0056260B">
        <w:rPr>
          <w:rFonts w:cs="Calibri"/>
          <w:i/>
          <w:noProof/>
          <w:color w:val="000000"/>
          <w:lang w:val="sq-AL"/>
        </w:rPr>
        <w:t>milionë</w:t>
      </w:r>
      <w:r w:rsidRPr="008B22A8">
        <w:rPr>
          <w:rFonts w:cs="Calibri"/>
          <w:i/>
          <w:noProof/>
          <w:color w:val="000000"/>
          <w:lang w:val="sq-AL"/>
        </w:rPr>
        <w:t xml:space="preserve"> LEK;</w:t>
      </w:r>
    </w:p>
    <w:p w14:paraId="58E21652" w14:textId="12C13B11" w:rsidR="008B22A8" w:rsidRPr="008B22A8" w:rsidRDefault="008B22A8" w:rsidP="008B22A8">
      <w:pPr>
        <w:numPr>
          <w:ilvl w:val="0"/>
          <w:numId w:val="7"/>
        </w:numPr>
        <w:spacing w:before="0" w:line="240" w:lineRule="auto"/>
        <w:rPr>
          <w:rFonts w:cs="Calibri"/>
          <w:i/>
          <w:noProof/>
          <w:color w:val="000000"/>
          <w:lang w:val="sq-AL"/>
        </w:rPr>
      </w:pPr>
      <w:r w:rsidRPr="008B22A8">
        <w:rPr>
          <w:rFonts w:cs="Calibri"/>
          <w:i/>
          <w:noProof/>
          <w:color w:val="000000"/>
          <w:lang w:val="sq-AL"/>
        </w:rPr>
        <w:t xml:space="preserve">Rikonstruksioni i shtëpizave të mbështetura në </w:t>
      </w:r>
      <w:r w:rsidR="002A1A05">
        <w:rPr>
          <w:rFonts w:cs="Calibri"/>
          <w:i/>
          <w:noProof/>
          <w:color w:val="000000"/>
          <w:lang w:val="sq-AL"/>
        </w:rPr>
        <w:t>S</w:t>
      </w:r>
      <w:r w:rsidRPr="008B22A8">
        <w:rPr>
          <w:rFonts w:cs="Calibri"/>
          <w:i/>
          <w:noProof/>
          <w:color w:val="000000"/>
          <w:lang w:val="sq-AL"/>
        </w:rPr>
        <w:t>p</w:t>
      </w:r>
      <w:r w:rsidR="002A1A05">
        <w:rPr>
          <w:rFonts w:cs="Calibri"/>
          <w:i/>
          <w:noProof/>
          <w:color w:val="000000"/>
          <w:lang w:val="sq-AL"/>
        </w:rPr>
        <w:t xml:space="preserve">italin </w:t>
      </w:r>
      <w:r w:rsidRPr="008B22A8">
        <w:rPr>
          <w:rFonts w:cs="Calibri"/>
          <w:i/>
          <w:noProof/>
          <w:color w:val="000000"/>
          <w:lang w:val="sq-AL"/>
        </w:rPr>
        <w:t xml:space="preserve">Psikiatrik Vlorë, me vlerë 252.6 </w:t>
      </w:r>
      <w:r w:rsidR="0056260B">
        <w:rPr>
          <w:rFonts w:cs="Calibri"/>
          <w:i/>
          <w:noProof/>
          <w:color w:val="000000"/>
          <w:lang w:val="sq-AL"/>
        </w:rPr>
        <w:t>milionë</w:t>
      </w:r>
      <w:r w:rsidRPr="008B22A8">
        <w:rPr>
          <w:rFonts w:cs="Calibri"/>
          <w:i/>
          <w:noProof/>
          <w:color w:val="000000"/>
          <w:lang w:val="sq-AL"/>
        </w:rPr>
        <w:t xml:space="preserve"> LEK;</w:t>
      </w:r>
    </w:p>
    <w:p w14:paraId="747F33C3" w14:textId="77777777" w:rsidR="008B22A8" w:rsidRPr="008B22A8" w:rsidRDefault="008B22A8" w:rsidP="008B22A8">
      <w:pPr>
        <w:numPr>
          <w:ilvl w:val="0"/>
          <w:numId w:val="7"/>
        </w:numPr>
        <w:spacing w:before="0" w:line="240" w:lineRule="auto"/>
        <w:rPr>
          <w:rFonts w:cs="Calibri"/>
          <w:i/>
          <w:noProof/>
          <w:color w:val="000000"/>
          <w:lang w:val="sq-AL"/>
        </w:rPr>
      </w:pPr>
      <w:r w:rsidRPr="008B22A8">
        <w:rPr>
          <w:rFonts w:cs="Calibri"/>
          <w:i/>
          <w:noProof/>
          <w:color w:val="000000"/>
          <w:lang w:val="sq-AL"/>
        </w:rPr>
        <w:t>Projekt i Bankës Botërore “Përmirësimi i sistemit të shëndetësisë’’, në të cilën janë mbyllur projektet si më poshtë:</w:t>
      </w:r>
    </w:p>
    <w:p w14:paraId="4EF1A6DE" w14:textId="1C1ED985" w:rsidR="008B22A8" w:rsidRPr="00C57ACD" w:rsidRDefault="008B22A8">
      <w:pPr>
        <w:pStyle w:val="ListParagraph"/>
        <w:numPr>
          <w:ilvl w:val="0"/>
          <w:numId w:val="53"/>
        </w:numPr>
        <w:spacing w:before="0" w:line="240" w:lineRule="auto"/>
        <w:ind w:left="1260"/>
        <w:rPr>
          <w:rFonts w:cs="Calibri"/>
          <w:i/>
          <w:noProof/>
          <w:color w:val="000000"/>
          <w:sz w:val="20"/>
          <w:szCs w:val="22"/>
          <w:lang w:val="sq-AL"/>
        </w:rPr>
      </w:pPr>
      <w:r w:rsidRPr="00C57ACD">
        <w:rPr>
          <w:rFonts w:cs="Calibri"/>
          <w:i/>
          <w:noProof/>
          <w:color w:val="000000"/>
          <w:sz w:val="20"/>
          <w:szCs w:val="22"/>
          <w:lang w:val="sq-AL"/>
        </w:rPr>
        <w:t xml:space="preserve">Spitali i Krujës i cili konsiston në “Rikonstruksion i plotë i ndërtesës, ndërtimi i strukturës dhe instalimi i një ashensori të ri për pacientët”, me vlerë 371 </w:t>
      </w:r>
      <w:r w:rsidR="0056260B" w:rsidRPr="00C57ACD">
        <w:rPr>
          <w:rFonts w:cs="Calibri"/>
          <w:i/>
          <w:noProof/>
          <w:color w:val="000000"/>
          <w:sz w:val="20"/>
          <w:szCs w:val="22"/>
          <w:lang w:val="sq-AL"/>
        </w:rPr>
        <w:t>milionë</w:t>
      </w:r>
      <w:r w:rsidRPr="00C57ACD">
        <w:rPr>
          <w:rFonts w:cs="Calibri"/>
          <w:i/>
          <w:noProof/>
          <w:color w:val="000000"/>
          <w:sz w:val="20"/>
          <w:szCs w:val="22"/>
          <w:lang w:val="sq-AL"/>
        </w:rPr>
        <w:t xml:space="preserve"> LEK;</w:t>
      </w:r>
    </w:p>
    <w:p w14:paraId="279B6333" w14:textId="13558D83" w:rsidR="008B22A8" w:rsidRPr="00C57ACD" w:rsidRDefault="008B22A8">
      <w:pPr>
        <w:pStyle w:val="ListParagraph"/>
        <w:numPr>
          <w:ilvl w:val="0"/>
          <w:numId w:val="53"/>
        </w:numPr>
        <w:spacing w:before="0" w:line="240" w:lineRule="auto"/>
        <w:ind w:left="1260"/>
        <w:rPr>
          <w:rFonts w:cs="Calibri"/>
          <w:i/>
          <w:noProof/>
          <w:color w:val="000000"/>
          <w:sz w:val="20"/>
          <w:szCs w:val="22"/>
          <w:lang w:val="sq-AL"/>
        </w:rPr>
      </w:pPr>
      <w:r w:rsidRPr="00C57ACD">
        <w:rPr>
          <w:rFonts w:cs="Calibri"/>
          <w:i/>
          <w:noProof/>
          <w:color w:val="000000"/>
          <w:sz w:val="20"/>
          <w:szCs w:val="22"/>
          <w:lang w:val="sq-AL"/>
        </w:rPr>
        <w:t xml:space="preserve">Spitali Rajonal Lezhë i cili konsiston në “Rikonstruksion i plotë i ndërtesës”, me vlerë 321 </w:t>
      </w:r>
      <w:r w:rsidR="0056260B" w:rsidRPr="00C57ACD">
        <w:rPr>
          <w:rFonts w:cs="Calibri"/>
          <w:i/>
          <w:noProof/>
          <w:color w:val="000000"/>
          <w:sz w:val="20"/>
          <w:szCs w:val="22"/>
          <w:lang w:val="sq-AL"/>
        </w:rPr>
        <w:t>milionë</w:t>
      </w:r>
      <w:r w:rsidRPr="00C57ACD">
        <w:rPr>
          <w:rFonts w:cs="Calibri"/>
          <w:i/>
          <w:noProof/>
          <w:color w:val="000000"/>
          <w:sz w:val="20"/>
          <w:szCs w:val="22"/>
          <w:lang w:val="sq-AL"/>
        </w:rPr>
        <w:t xml:space="preserve"> LEK;</w:t>
      </w:r>
    </w:p>
    <w:p w14:paraId="0F39591F" w14:textId="1EC06B5F" w:rsidR="008B22A8" w:rsidRPr="00C57ACD" w:rsidRDefault="008B22A8">
      <w:pPr>
        <w:pStyle w:val="ListParagraph"/>
        <w:numPr>
          <w:ilvl w:val="0"/>
          <w:numId w:val="53"/>
        </w:numPr>
        <w:spacing w:before="0" w:line="240" w:lineRule="auto"/>
        <w:ind w:left="1260"/>
        <w:rPr>
          <w:rFonts w:cs="Calibri"/>
          <w:i/>
          <w:noProof/>
          <w:color w:val="000000"/>
          <w:sz w:val="20"/>
          <w:szCs w:val="22"/>
          <w:lang w:val="sq-AL"/>
        </w:rPr>
      </w:pPr>
      <w:r w:rsidRPr="00C57ACD">
        <w:rPr>
          <w:rFonts w:cs="Calibri"/>
          <w:i/>
          <w:noProof/>
          <w:color w:val="000000"/>
          <w:sz w:val="20"/>
          <w:szCs w:val="22"/>
          <w:lang w:val="sq-AL"/>
        </w:rPr>
        <w:t>Spitali Kardiokirurgjisë në QSUT</w:t>
      </w:r>
      <w:r w:rsidR="00C57ACD">
        <w:rPr>
          <w:rFonts w:cs="Calibri"/>
          <w:i/>
          <w:noProof/>
          <w:color w:val="000000"/>
          <w:sz w:val="20"/>
          <w:szCs w:val="22"/>
          <w:lang w:val="sq-AL"/>
        </w:rPr>
        <w:t xml:space="preserve">, </w:t>
      </w:r>
      <w:r w:rsidRPr="00C57ACD">
        <w:rPr>
          <w:rFonts w:cs="Calibri"/>
          <w:i/>
          <w:noProof/>
          <w:color w:val="000000"/>
          <w:sz w:val="20"/>
          <w:szCs w:val="22"/>
          <w:lang w:val="sq-AL"/>
        </w:rPr>
        <w:t>“Rikonstruksion i plotë i ndërtesës”, me vlerë 584.3</w:t>
      </w:r>
      <w:r w:rsidR="00C57ACD">
        <w:rPr>
          <w:rFonts w:cs="Calibri"/>
          <w:i/>
          <w:noProof/>
          <w:color w:val="000000"/>
          <w:sz w:val="20"/>
          <w:szCs w:val="22"/>
          <w:lang w:val="sq-AL"/>
        </w:rPr>
        <w:t>mln</w:t>
      </w:r>
      <w:r w:rsidRPr="00C57ACD">
        <w:rPr>
          <w:rFonts w:cs="Calibri"/>
          <w:i/>
          <w:noProof/>
          <w:color w:val="000000"/>
          <w:sz w:val="20"/>
          <w:szCs w:val="22"/>
          <w:lang w:val="sq-AL"/>
        </w:rPr>
        <w:t xml:space="preserve"> LEK;</w:t>
      </w:r>
    </w:p>
    <w:p w14:paraId="261CB994" w14:textId="667ECAB9" w:rsidR="008B22A8" w:rsidRPr="00C57ACD" w:rsidRDefault="008B22A8">
      <w:pPr>
        <w:pStyle w:val="ListParagraph"/>
        <w:numPr>
          <w:ilvl w:val="0"/>
          <w:numId w:val="53"/>
        </w:numPr>
        <w:spacing w:before="0" w:line="240" w:lineRule="auto"/>
        <w:ind w:left="1260"/>
        <w:rPr>
          <w:rFonts w:cs="Calibri"/>
          <w:i/>
          <w:noProof/>
          <w:color w:val="000000"/>
          <w:sz w:val="20"/>
          <w:szCs w:val="22"/>
          <w:lang w:val="sq-AL"/>
        </w:rPr>
      </w:pPr>
      <w:r w:rsidRPr="00C57ACD">
        <w:rPr>
          <w:rFonts w:cs="Calibri"/>
          <w:i/>
          <w:noProof/>
          <w:color w:val="000000"/>
          <w:sz w:val="20"/>
          <w:szCs w:val="22"/>
          <w:lang w:val="sq-AL"/>
        </w:rPr>
        <w:t xml:space="preserve">Spitali Psikiatrisë në QSUT i cili konsiston në “Rikonstruksion i plotë i ndërtesës së Fëmijëve dhe shtesë kati për Godinën e pranimit dhe alkologjisë”, me vlerë 140.6 </w:t>
      </w:r>
      <w:r w:rsidR="0056260B" w:rsidRPr="00C57ACD">
        <w:rPr>
          <w:rFonts w:cs="Calibri"/>
          <w:i/>
          <w:noProof/>
          <w:color w:val="000000"/>
          <w:sz w:val="20"/>
          <w:szCs w:val="22"/>
          <w:lang w:val="sq-AL"/>
        </w:rPr>
        <w:t>milionë</w:t>
      </w:r>
      <w:r w:rsidRPr="00C57ACD">
        <w:rPr>
          <w:rFonts w:cs="Calibri"/>
          <w:i/>
          <w:noProof/>
          <w:color w:val="000000"/>
          <w:sz w:val="20"/>
          <w:szCs w:val="22"/>
          <w:lang w:val="sq-AL"/>
        </w:rPr>
        <w:t xml:space="preserve"> LEK;</w:t>
      </w:r>
    </w:p>
    <w:p w14:paraId="370828E6" w14:textId="4C493CA1" w:rsidR="008B22A8" w:rsidRPr="008B22A8" w:rsidRDefault="008B22A8">
      <w:pPr>
        <w:pStyle w:val="ListParagraph"/>
        <w:numPr>
          <w:ilvl w:val="0"/>
          <w:numId w:val="52"/>
        </w:numPr>
        <w:spacing w:before="0" w:line="240" w:lineRule="auto"/>
        <w:rPr>
          <w:rFonts w:cs="Calibri"/>
          <w:i/>
          <w:noProof/>
          <w:color w:val="000000"/>
          <w:lang w:val="sq-AL"/>
        </w:rPr>
      </w:pPr>
      <w:r w:rsidRPr="008B22A8">
        <w:rPr>
          <w:rFonts w:cs="Calibri"/>
          <w:i/>
          <w:noProof/>
          <w:color w:val="000000"/>
          <w:lang w:val="sq-AL"/>
        </w:rPr>
        <w:t xml:space="preserve">Furnizim Vendosje platforma automatike për gjenotipizimin e grupeve të gjakut për QKTGJ Tiranë, me vlerë 25 </w:t>
      </w:r>
      <w:r w:rsidR="0056260B">
        <w:rPr>
          <w:rFonts w:cs="Calibri"/>
          <w:i/>
          <w:noProof/>
          <w:color w:val="000000"/>
          <w:lang w:val="sq-AL"/>
        </w:rPr>
        <w:t>milionë</w:t>
      </w:r>
      <w:r w:rsidRPr="008B22A8">
        <w:rPr>
          <w:rFonts w:cs="Calibri"/>
          <w:i/>
          <w:noProof/>
          <w:color w:val="000000"/>
          <w:lang w:val="sq-AL"/>
        </w:rPr>
        <w:t xml:space="preserve"> LEK;</w:t>
      </w:r>
    </w:p>
    <w:p w14:paraId="4F15D9FE" w14:textId="31D1BAC6" w:rsidR="008B22A8" w:rsidRPr="008B22A8" w:rsidRDefault="008B22A8">
      <w:pPr>
        <w:pStyle w:val="ListParagraph"/>
        <w:numPr>
          <w:ilvl w:val="0"/>
          <w:numId w:val="51"/>
        </w:numPr>
        <w:spacing w:before="0" w:line="240" w:lineRule="auto"/>
        <w:rPr>
          <w:rFonts w:cs="Calibri"/>
          <w:i/>
          <w:noProof/>
          <w:color w:val="000000"/>
          <w:lang w:val="sq-AL"/>
        </w:rPr>
      </w:pPr>
      <w:r w:rsidRPr="008B22A8">
        <w:rPr>
          <w:rFonts w:cs="Calibri"/>
          <w:i/>
          <w:noProof/>
          <w:color w:val="000000"/>
          <w:lang w:val="sq-AL"/>
        </w:rPr>
        <w:t xml:space="preserve">Aparature Fibrogastroskpi komplet për shërbimin e patologjisë Sp Korçë, me vlerë 6.2 </w:t>
      </w:r>
      <w:r w:rsidR="0056260B">
        <w:rPr>
          <w:rFonts w:cs="Calibri"/>
          <w:i/>
          <w:noProof/>
          <w:color w:val="000000"/>
          <w:lang w:val="sq-AL"/>
        </w:rPr>
        <w:t>milionë</w:t>
      </w:r>
      <w:r w:rsidRPr="008B22A8">
        <w:rPr>
          <w:rFonts w:cs="Calibri"/>
          <w:i/>
          <w:noProof/>
          <w:color w:val="000000"/>
          <w:lang w:val="sq-AL"/>
        </w:rPr>
        <w:t xml:space="preserve"> LEK.</w:t>
      </w:r>
    </w:p>
    <w:p w14:paraId="5CBB2FC0" w14:textId="1458C855" w:rsidR="00C156A0" w:rsidRPr="00C156A0" w:rsidRDefault="00C156A0" w:rsidP="00C156A0">
      <w:pPr>
        <w:spacing w:line="240" w:lineRule="auto"/>
        <w:rPr>
          <w:rFonts w:cs="Calibri"/>
          <w:i/>
          <w:noProof/>
          <w:color w:val="000000"/>
          <w:sz w:val="20"/>
          <w:szCs w:val="22"/>
          <w:lang w:val="sq-AL"/>
        </w:rPr>
      </w:pPr>
    </w:p>
    <w:p w14:paraId="1423BD75" w14:textId="77777777" w:rsidR="00C156A0" w:rsidRPr="00C156A0" w:rsidRDefault="00C156A0" w:rsidP="00C156A0">
      <w:pPr>
        <w:spacing w:before="0" w:line="240" w:lineRule="auto"/>
        <w:ind w:left="720"/>
        <w:rPr>
          <w:rFonts w:cs="Calibri"/>
          <w:i/>
          <w:noProof/>
          <w:color w:val="000000"/>
          <w:sz w:val="20"/>
          <w:szCs w:val="22"/>
          <w:lang w:val="sq-AL"/>
        </w:rPr>
      </w:pPr>
    </w:p>
    <w:p w14:paraId="43141DF3" w14:textId="77777777" w:rsidR="00C156A0" w:rsidRPr="00B14F86" w:rsidRDefault="00C156A0" w:rsidP="009C7207">
      <w:pPr>
        <w:pStyle w:val="Heading3"/>
        <w:rPr>
          <w:b/>
          <w:bCs/>
        </w:rPr>
      </w:pPr>
      <w:bookmarkStart w:id="246" w:name="_Toc10721441"/>
      <w:bookmarkStart w:id="247" w:name="_Toc229390839"/>
      <w:bookmarkStart w:id="248" w:name="_Toc10033296"/>
      <w:bookmarkStart w:id="249" w:name="_Toc10721432"/>
      <w:proofErr w:type="spellStart"/>
      <w:r w:rsidRPr="00B14F86">
        <w:rPr>
          <w:b/>
          <w:bCs/>
        </w:rPr>
        <w:lastRenderedPageBreak/>
        <w:t>Arsimi</w:t>
      </w:r>
      <w:bookmarkEnd w:id="246"/>
      <w:bookmarkEnd w:id="247"/>
      <w:proofErr w:type="spellEnd"/>
    </w:p>
    <w:p w14:paraId="75CDD97A" w14:textId="203C5997" w:rsidR="00C156A0" w:rsidRPr="00C156A0" w:rsidRDefault="00C156A0" w:rsidP="006A7A4A">
      <w:pPr>
        <w:spacing w:line="240" w:lineRule="auto"/>
        <w:rPr>
          <w:rFonts w:cs="Calibri"/>
          <w:noProof/>
          <w:color w:val="000000"/>
          <w:szCs w:val="22"/>
          <w:lang w:val="sq-AL"/>
        </w:rPr>
      </w:pPr>
      <w:r w:rsidRPr="00C156A0">
        <w:rPr>
          <w:rFonts w:cs="Calibri"/>
          <w:noProof/>
          <w:color w:val="000000"/>
          <w:szCs w:val="22"/>
          <w:lang w:val="sq-AL"/>
        </w:rPr>
        <w:t>Në përputhje me drejtimet kryesore të politikës së përgjithshme shtetërore, me fondet buxhetore të miratuara për vitin 2025, performanca e treguesve buxhetorë për programet kryesore në Ministrinë e Arsimit paraqitet si më poshtë:</w:t>
      </w:r>
    </w:p>
    <w:p w14:paraId="751D143B" w14:textId="1359FFBA" w:rsidR="00C156A0" w:rsidRPr="00C156A0" w:rsidRDefault="00C156A0" w:rsidP="00C156A0">
      <w:pPr>
        <w:rPr>
          <w:i/>
          <w:iCs/>
          <w:noProof/>
          <w:color w:val="17406D"/>
          <w:sz w:val="18"/>
          <w:szCs w:val="18"/>
          <w:lang w:val="sq-AL"/>
        </w:rPr>
      </w:pPr>
      <w:bookmarkStart w:id="250" w:name="_Toc229130006"/>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32</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Arsimit (në mijë LEK)</w:t>
      </w:r>
      <w:bookmarkEnd w:id="250"/>
    </w:p>
    <w:tbl>
      <w:tblPr>
        <w:tblW w:w="10166" w:type="dxa"/>
        <w:jc w:val="center"/>
        <w:tblLook w:val="04A0" w:firstRow="1" w:lastRow="0" w:firstColumn="1" w:lastColumn="0" w:noHBand="0" w:noVBand="1"/>
      </w:tblPr>
      <w:tblGrid>
        <w:gridCol w:w="1812"/>
        <w:gridCol w:w="949"/>
        <w:gridCol w:w="871"/>
        <w:gridCol w:w="949"/>
        <w:gridCol w:w="871"/>
        <w:gridCol w:w="949"/>
        <w:gridCol w:w="871"/>
        <w:gridCol w:w="687"/>
        <w:gridCol w:w="742"/>
        <w:gridCol w:w="723"/>
        <w:gridCol w:w="742"/>
      </w:tblGrid>
      <w:tr w:rsidR="00C156A0" w:rsidRPr="00F409F4" w14:paraId="18F40B5E" w14:textId="77777777" w:rsidTr="004E75E2">
        <w:trPr>
          <w:trHeight w:val="228"/>
          <w:jc w:val="center"/>
        </w:trPr>
        <w:tc>
          <w:tcPr>
            <w:tcW w:w="1812" w:type="dxa"/>
            <w:vMerge w:val="restart"/>
            <w:tcBorders>
              <w:top w:val="nil"/>
              <w:left w:val="nil"/>
              <w:bottom w:val="nil"/>
              <w:right w:val="nil"/>
            </w:tcBorders>
            <w:shd w:val="clear" w:color="000000" w:fill="366092"/>
            <w:vAlign w:val="center"/>
            <w:hideMark/>
          </w:tcPr>
          <w:p w14:paraId="779DFF76"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Programi buxhetor</w:t>
            </w:r>
          </w:p>
        </w:tc>
        <w:tc>
          <w:tcPr>
            <w:tcW w:w="1820"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035E3E98"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Plani fillestar 2025</w:t>
            </w:r>
          </w:p>
        </w:tc>
        <w:tc>
          <w:tcPr>
            <w:tcW w:w="182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193EFE9"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Plani i rishikuar 2025</w:t>
            </w:r>
          </w:p>
        </w:tc>
        <w:tc>
          <w:tcPr>
            <w:tcW w:w="182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3679B4E"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Fakti 2025</w:t>
            </w:r>
          </w:p>
        </w:tc>
        <w:tc>
          <w:tcPr>
            <w:tcW w:w="142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8BDDB20" w14:textId="77777777" w:rsidR="00C156A0" w:rsidRPr="00104106" w:rsidRDefault="00C156A0" w:rsidP="00C156A0">
            <w:pPr>
              <w:spacing w:line="240" w:lineRule="auto"/>
              <w:jc w:val="center"/>
              <w:rPr>
                <w:rFonts w:cs="Calibri"/>
                <w:color w:val="FFFFFF"/>
                <w:sz w:val="16"/>
                <w:szCs w:val="16"/>
              </w:rPr>
            </w:pPr>
            <w:r w:rsidRPr="00104106">
              <w:rPr>
                <w:rFonts w:cs="Calibri"/>
                <w:color w:val="FFFFFF"/>
                <w:sz w:val="16"/>
                <w:szCs w:val="16"/>
                <w:lang w:val="sq-AL"/>
              </w:rPr>
              <w:t>Realizimi në % me planin fillestar</w:t>
            </w:r>
          </w:p>
        </w:tc>
        <w:tc>
          <w:tcPr>
            <w:tcW w:w="1465"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68C21A9" w14:textId="77777777" w:rsidR="00C156A0" w:rsidRPr="00104106" w:rsidRDefault="00C156A0" w:rsidP="00C156A0">
            <w:pPr>
              <w:spacing w:line="240" w:lineRule="auto"/>
              <w:jc w:val="center"/>
              <w:rPr>
                <w:rFonts w:cs="Calibri"/>
                <w:color w:val="FFFFFF"/>
                <w:sz w:val="16"/>
                <w:szCs w:val="16"/>
                <w:lang w:val="pt-PT"/>
              </w:rPr>
            </w:pPr>
            <w:r w:rsidRPr="00104106">
              <w:rPr>
                <w:rFonts w:cs="Calibri"/>
                <w:color w:val="FFFFFF"/>
                <w:sz w:val="16"/>
                <w:szCs w:val="16"/>
                <w:lang w:val="sq-AL"/>
              </w:rPr>
              <w:t>Realizimi në % me planin e rishikuar</w:t>
            </w:r>
          </w:p>
        </w:tc>
      </w:tr>
      <w:tr w:rsidR="00C156A0" w:rsidRPr="00104106" w14:paraId="0305616B" w14:textId="77777777" w:rsidTr="004E75E2">
        <w:trPr>
          <w:trHeight w:val="167"/>
          <w:jc w:val="center"/>
        </w:trPr>
        <w:tc>
          <w:tcPr>
            <w:tcW w:w="1812" w:type="dxa"/>
            <w:vMerge/>
            <w:tcBorders>
              <w:top w:val="nil"/>
              <w:left w:val="nil"/>
              <w:bottom w:val="nil"/>
              <w:right w:val="nil"/>
            </w:tcBorders>
            <w:vAlign w:val="center"/>
            <w:hideMark/>
          </w:tcPr>
          <w:p w14:paraId="6564C6C0" w14:textId="77777777" w:rsidR="00C156A0" w:rsidRPr="00104106" w:rsidRDefault="00C156A0" w:rsidP="00C156A0">
            <w:pPr>
              <w:spacing w:line="240" w:lineRule="auto"/>
              <w:rPr>
                <w:rFonts w:cs="Calibri"/>
                <w:b/>
                <w:bCs/>
                <w:color w:val="FFFFFF"/>
                <w:sz w:val="16"/>
                <w:szCs w:val="16"/>
                <w:lang w:val="pt-PT"/>
              </w:rPr>
            </w:pPr>
          </w:p>
        </w:tc>
        <w:tc>
          <w:tcPr>
            <w:tcW w:w="949" w:type="dxa"/>
            <w:tcBorders>
              <w:top w:val="nil"/>
              <w:left w:val="nil"/>
              <w:bottom w:val="single" w:sz="8" w:space="0" w:color="B8CCE4"/>
              <w:right w:val="single" w:sz="8" w:space="0" w:color="B8CCE4"/>
            </w:tcBorders>
            <w:shd w:val="clear" w:color="000000" w:fill="365F91"/>
            <w:vAlign w:val="center"/>
            <w:hideMark/>
          </w:tcPr>
          <w:p w14:paraId="66299707" w14:textId="0AF331B6" w:rsidR="00C156A0" w:rsidRPr="00104106" w:rsidRDefault="0056260B" w:rsidP="00C156A0">
            <w:pPr>
              <w:spacing w:line="240" w:lineRule="auto"/>
              <w:jc w:val="center"/>
              <w:rPr>
                <w:rFonts w:cs="Calibri"/>
                <w:b/>
                <w:bCs/>
                <w:color w:val="FFFFFF"/>
                <w:sz w:val="16"/>
                <w:szCs w:val="16"/>
              </w:rPr>
            </w:pPr>
            <w:r>
              <w:rPr>
                <w:rFonts w:cs="Calibri"/>
                <w:b/>
                <w:bCs/>
                <w:color w:val="FFFFFF"/>
                <w:sz w:val="16"/>
                <w:szCs w:val="16"/>
                <w:lang w:val="sq-AL"/>
              </w:rPr>
              <w:t>Korente</w:t>
            </w:r>
          </w:p>
        </w:tc>
        <w:tc>
          <w:tcPr>
            <w:tcW w:w="871" w:type="dxa"/>
            <w:tcBorders>
              <w:top w:val="nil"/>
              <w:left w:val="nil"/>
              <w:bottom w:val="single" w:sz="8" w:space="0" w:color="B8CCE4"/>
              <w:right w:val="single" w:sz="8" w:space="0" w:color="B8CCE4"/>
            </w:tcBorders>
            <w:shd w:val="clear" w:color="000000" w:fill="365F91"/>
            <w:vAlign w:val="center"/>
            <w:hideMark/>
          </w:tcPr>
          <w:p w14:paraId="6493DB3B"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Investime</w:t>
            </w:r>
          </w:p>
        </w:tc>
        <w:tc>
          <w:tcPr>
            <w:tcW w:w="949" w:type="dxa"/>
            <w:tcBorders>
              <w:top w:val="nil"/>
              <w:left w:val="nil"/>
              <w:bottom w:val="single" w:sz="8" w:space="0" w:color="B8CCE4"/>
              <w:right w:val="single" w:sz="8" w:space="0" w:color="B8CCE4"/>
            </w:tcBorders>
            <w:shd w:val="clear" w:color="000000" w:fill="365F91"/>
            <w:vAlign w:val="center"/>
            <w:hideMark/>
          </w:tcPr>
          <w:p w14:paraId="174E51A9" w14:textId="1BC31B20" w:rsidR="00C156A0" w:rsidRPr="00104106" w:rsidRDefault="0056260B" w:rsidP="00C156A0">
            <w:pPr>
              <w:spacing w:line="240" w:lineRule="auto"/>
              <w:jc w:val="center"/>
              <w:rPr>
                <w:rFonts w:cs="Calibri"/>
                <w:b/>
                <w:bCs/>
                <w:color w:val="FFFFFF"/>
                <w:sz w:val="16"/>
                <w:szCs w:val="16"/>
              </w:rPr>
            </w:pPr>
            <w:r>
              <w:rPr>
                <w:rFonts w:cs="Calibri"/>
                <w:b/>
                <w:bCs/>
                <w:color w:val="FFFFFF"/>
                <w:sz w:val="16"/>
                <w:szCs w:val="16"/>
                <w:lang w:val="sq-AL"/>
              </w:rPr>
              <w:t>Korente</w:t>
            </w:r>
          </w:p>
        </w:tc>
        <w:tc>
          <w:tcPr>
            <w:tcW w:w="871" w:type="dxa"/>
            <w:tcBorders>
              <w:top w:val="nil"/>
              <w:left w:val="nil"/>
              <w:bottom w:val="single" w:sz="8" w:space="0" w:color="B8CCE4"/>
              <w:right w:val="single" w:sz="8" w:space="0" w:color="B8CCE4"/>
            </w:tcBorders>
            <w:shd w:val="clear" w:color="000000" w:fill="365F91"/>
            <w:vAlign w:val="center"/>
            <w:hideMark/>
          </w:tcPr>
          <w:p w14:paraId="329F7119"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Investime</w:t>
            </w:r>
          </w:p>
        </w:tc>
        <w:tc>
          <w:tcPr>
            <w:tcW w:w="949" w:type="dxa"/>
            <w:tcBorders>
              <w:top w:val="nil"/>
              <w:left w:val="nil"/>
              <w:bottom w:val="single" w:sz="8" w:space="0" w:color="B8CCE4"/>
              <w:right w:val="single" w:sz="8" w:space="0" w:color="B8CCE4"/>
            </w:tcBorders>
            <w:shd w:val="clear" w:color="000000" w:fill="365F91"/>
            <w:vAlign w:val="center"/>
            <w:hideMark/>
          </w:tcPr>
          <w:p w14:paraId="29C2A878" w14:textId="069E5F06" w:rsidR="00C156A0" w:rsidRPr="00104106" w:rsidRDefault="0056260B" w:rsidP="00C156A0">
            <w:pPr>
              <w:spacing w:line="240" w:lineRule="auto"/>
              <w:jc w:val="center"/>
              <w:rPr>
                <w:rFonts w:cs="Calibri"/>
                <w:b/>
                <w:bCs/>
                <w:color w:val="FFFFFF"/>
                <w:sz w:val="16"/>
                <w:szCs w:val="16"/>
              </w:rPr>
            </w:pPr>
            <w:r>
              <w:rPr>
                <w:rFonts w:cs="Calibri"/>
                <w:b/>
                <w:bCs/>
                <w:color w:val="FFFFFF"/>
                <w:sz w:val="16"/>
                <w:szCs w:val="16"/>
                <w:lang w:val="sq-AL"/>
              </w:rPr>
              <w:t>Korente</w:t>
            </w:r>
          </w:p>
        </w:tc>
        <w:tc>
          <w:tcPr>
            <w:tcW w:w="871" w:type="dxa"/>
            <w:tcBorders>
              <w:top w:val="nil"/>
              <w:left w:val="nil"/>
              <w:bottom w:val="single" w:sz="8" w:space="0" w:color="B8CCE4"/>
              <w:right w:val="single" w:sz="8" w:space="0" w:color="B8CCE4"/>
            </w:tcBorders>
            <w:shd w:val="clear" w:color="000000" w:fill="365F91"/>
            <w:vAlign w:val="center"/>
            <w:hideMark/>
          </w:tcPr>
          <w:p w14:paraId="2BC5DC03"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Investime</w:t>
            </w:r>
          </w:p>
        </w:tc>
        <w:tc>
          <w:tcPr>
            <w:tcW w:w="687" w:type="dxa"/>
            <w:tcBorders>
              <w:top w:val="nil"/>
              <w:left w:val="nil"/>
              <w:bottom w:val="single" w:sz="8" w:space="0" w:color="B8CCE4"/>
              <w:right w:val="single" w:sz="8" w:space="0" w:color="B8CCE4"/>
            </w:tcBorders>
            <w:shd w:val="clear" w:color="000000" w:fill="365F91"/>
            <w:vAlign w:val="center"/>
            <w:hideMark/>
          </w:tcPr>
          <w:p w14:paraId="60961F74"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Korr.</w:t>
            </w:r>
          </w:p>
        </w:tc>
        <w:tc>
          <w:tcPr>
            <w:tcW w:w="742" w:type="dxa"/>
            <w:tcBorders>
              <w:top w:val="nil"/>
              <w:left w:val="nil"/>
              <w:bottom w:val="single" w:sz="8" w:space="0" w:color="B8CCE4"/>
              <w:right w:val="single" w:sz="8" w:space="0" w:color="B8CCE4"/>
            </w:tcBorders>
            <w:shd w:val="clear" w:color="000000" w:fill="365F91"/>
            <w:vAlign w:val="center"/>
            <w:hideMark/>
          </w:tcPr>
          <w:p w14:paraId="7A41801A" w14:textId="77777777" w:rsidR="00C156A0" w:rsidRPr="00104106" w:rsidRDefault="00C156A0" w:rsidP="00C156A0">
            <w:pPr>
              <w:spacing w:line="240" w:lineRule="auto"/>
              <w:jc w:val="center"/>
              <w:rPr>
                <w:rFonts w:cs="Calibri"/>
                <w:color w:val="FFFFFF"/>
                <w:sz w:val="16"/>
                <w:szCs w:val="16"/>
              </w:rPr>
            </w:pPr>
            <w:r w:rsidRPr="00104106">
              <w:rPr>
                <w:rFonts w:cs="Calibri"/>
                <w:color w:val="FFFFFF"/>
                <w:sz w:val="16"/>
                <w:szCs w:val="16"/>
                <w:lang w:val="sq-AL"/>
              </w:rPr>
              <w:t>Inv.</w:t>
            </w:r>
          </w:p>
        </w:tc>
        <w:tc>
          <w:tcPr>
            <w:tcW w:w="723" w:type="dxa"/>
            <w:tcBorders>
              <w:top w:val="nil"/>
              <w:left w:val="nil"/>
              <w:bottom w:val="single" w:sz="8" w:space="0" w:color="B8CCE4"/>
              <w:right w:val="single" w:sz="8" w:space="0" w:color="B8CCE4"/>
            </w:tcBorders>
            <w:shd w:val="clear" w:color="000000" w:fill="365F91"/>
            <w:vAlign w:val="center"/>
            <w:hideMark/>
          </w:tcPr>
          <w:p w14:paraId="3DDC52EA"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Korr.</w:t>
            </w:r>
          </w:p>
        </w:tc>
        <w:tc>
          <w:tcPr>
            <w:tcW w:w="742" w:type="dxa"/>
            <w:tcBorders>
              <w:top w:val="nil"/>
              <w:left w:val="nil"/>
              <w:bottom w:val="single" w:sz="8" w:space="0" w:color="B8CCE4"/>
              <w:right w:val="single" w:sz="8" w:space="0" w:color="B8CCE4"/>
            </w:tcBorders>
            <w:shd w:val="clear" w:color="000000" w:fill="365F91"/>
            <w:vAlign w:val="center"/>
            <w:hideMark/>
          </w:tcPr>
          <w:p w14:paraId="4865C362" w14:textId="77777777" w:rsidR="00C156A0" w:rsidRPr="00104106" w:rsidRDefault="00C156A0" w:rsidP="00C156A0">
            <w:pPr>
              <w:spacing w:line="240" w:lineRule="auto"/>
              <w:jc w:val="center"/>
              <w:rPr>
                <w:rFonts w:cs="Calibri"/>
                <w:b/>
                <w:bCs/>
                <w:color w:val="FFFFFF"/>
                <w:sz w:val="16"/>
                <w:szCs w:val="16"/>
              </w:rPr>
            </w:pPr>
            <w:r w:rsidRPr="00104106">
              <w:rPr>
                <w:rFonts w:cs="Calibri"/>
                <w:b/>
                <w:bCs/>
                <w:color w:val="FFFFFF"/>
                <w:sz w:val="16"/>
                <w:szCs w:val="16"/>
                <w:lang w:val="sq-AL"/>
              </w:rPr>
              <w:t>Inv.</w:t>
            </w:r>
          </w:p>
        </w:tc>
      </w:tr>
      <w:tr w:rsidR="00C156A0" w:rsidRPr="00104106" w14:paraId="7B2CF96A" w14:textId="77777777" w:rsidTr="004E75E2">
        <w:trPr>
          <w:trHeight w:val="289"/>
          <w:jc w:val="center"/>
        </w:trPr>
        <w:tc>
          <w:tcPr>
            <w:tcW w:w="1812" w:type="dxa"/>
            <w:tcBorders>
              <w:top w:val="nil"/>
              <w:left w:val="single" w:sz="8" w:space="0" w:color="B8CCE4"/>
              <w:bottom w:val="single" w:sz="8" w:space="0" w:color="B8CCE4"/>
              <w:right w:val="single" w:sz="8" w:space="0" w:color="B8CCE4"/>
            </w:tcBorders>
            <w:vAlign w:val="center"/>
            <w:hideMark/>
          </w:tcPr>
          <w:p w14:paraId="0076FF0C" w14:textId="77777777" w:rsidR="00C156A0" w:rsidRPr="00104106" w:rsidRDefault="00C156A0" w:rsidP="004E75E2">
            <w:pPr>
              <w:spacing w:line="240" w:lineRule="auto"/>
              <w:jc w:val="center"/>
              <w:rPr>
                <w:rFonts w:cs="Calibri"/>
                <w:b/>
                <w:bCs/>
                <w:color w:val="000000"/>
                <w:sz w:val="16"/>
                <w:szCs w:val="16"/>
              </w:rPr>
            </w:pPr>
            <w:r w:rsidRPr="00104106">
              <w:rPr>
                <w:rFonts w:cs="Calibri"/>
                <w:b/>
                <w:bCs/>
                <w:color w:val="000000"/>
                <w:sz w:val="16"/>
                <w:szCs w:val="16"/>
                <w:lang w:val="sq-AL"/>
              </w:rPr>
              <w:t>Planifikimi, Menaxhimi dhe Administrimi</w:t>
            </w:r>
          </w:p>
        </w:tc>
        <w:tc>
          <w:tcPr>
            <w:tcW w:w="949" w:type="dxa"/>
            <w:tcBorders>
              <w:top w:val="nil"/>
              <w:left w:val="nil"/>
              <w:bottom w:val="single" w:sz="8" w:space="0" w:color="B8CCE4"/>
              <w:right w:val="single" w:sz="8" w:space="0" w:color="B8CCE4"/>
            </w:tcBorders>
            <w:vAlign w:val="center"/>
          </w:tcPr>
          <w:p w14:paraId="7023132D"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1,095,200</w:t>
            </w:r>
          </w:p>
        </w:tc>
        <w:tc>
          <w:tcPr>
            <w:tcW w:w="871" w:type="dxa"/>
            <w:tcBorders>
              <w:top w:val="nil"/>
              <w:left w:val="nil"/>
              <w:bottom w:val="single" w:sz="8" w:space="0" w:color="B8CCE4"/>
              <w:right w:val="single" w:sz="8" w:space="0" w:color="B8CCE4"/>
            </w:tcBorders>
            <w:vAlign w:val="center"/>
          </w:tcPr>
          <w:p w14:paraId="0CA38F72"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55,000</w:t>
            </w:r>
          </w:p>
        </w:tc>
        <w:tc>
          <w:tcPr>
            <w:tcW w:w="949" w:type="dxa"/>
            <w:tcBorders>
              <w:top w:val="nil"/>
              <w:left w:val="nil"/>
              <w:bottom w:val="single" w:sz="8" w:space="0" w:color="B8CCE4"/>
              <w:right w:val="single" w:sz="8" w:space="0" w:color="B8CCE4"/>
            </w:tcBorders>
            <w:vAlign w:val="center"/>
          </w:tcPr>
          <w:p w14:paraId="79C2B0A6"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1,057,194</w:t>
            </w:r>
          </w:p>
        </w:tc>
        <w:tc>
          <w:tcPr>
            <w:tcW w:w="871" w:type="dxa"/>
            <w:tcBorders>
              <w:top w:val="nil"/>
              <w:left w:val="nil"/>
              <w:bottom w:val="single" w:sz="8" w:space="0" w:color="B8CCE4"/>
              <w:right w:val="single" w:sz="8" w:space="0" w:color="B8CCE4"/>
            </w:tcBorders>
            <w:vAlign w:val="center"/>
          </w:tcPr>
          <w:p w14:paraId="3CFFBEE6"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0</w:t>
            </w:r>
          </w:p>
        </w:tc>
        <w:tc>
          <w:tcPr>
            <w:tcW w:w="949" w:type="dxa"/>
            <w:tcBorders>
              <w:top w:val="nil"/>
              <w:left w:val="nil"/>
              <w:bottom w:val="single" w:sz="8" w:space="0" w:color="B8CCE4"/>
              <w:right w:val="single" w:sz="8" w:space="0" w:color="B8CCE4"/>
            </w:tcBorders>
            <w:vAlign w:val="center"/>
          </w:tcPr>
          <w:p w14:paraId="3A4B5B4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1,043,695</w:t>
            </w:r>
          </w:p>
        </w:tc>
        <w:tc>
          <w:tcPr>
            <w:tcW w:w="871" w:type="dxa"/>
            <w:tcBorders>
              <w:top w:val="nil"/>
              <w:left w:val="nil"/>
              <w:bottom w:val="single" w:sz="8" w:space="0" w:color="B8CCE4"/>
              <w:right w:val="single" w:sz="8" w:space="0" w:color="B8CCE4"/>
            </w:tcBorders>
            <w:vAlign w:val="center"/>
          </w:tcPr>
          <w:p w14:paraId="77FA08A3"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0</w:t>
            </w:r>
          </w:p>
        </w:tc>
        <w:tc>
          <w:tcPr>
            <w:tcW w:w="687" w:type="dxa"/>
            <w:tcBorders>
              <w:top w:val="nil"/>
              <w:left w:val="nil"/>
              <w:bottom w:val="single" w:sz="8" w:space="0" w:color="B8CCE4"/>
              <w:right w:val="single" w:sz="8" w:space="0" w:color="B8CCE4"/>
            </w:tcBorders>
            <w:vAlign w:val="center"/>
          </w:tcPr>
          <w:p w14:paraId="4E2A3E7D"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95%</w:t>
            </w:r>
          </w:p>
        </w:tc>
        <w:tc>
          <w:tcPr>
            <w:tcW w:w="742" w:type="dxa"/>
            <w:tcBorders>
              <w:top w:val="nil"/>
              <w:left w:val="nil"/>
              <w:bottom w:val="single" w:sz="8" w:space="0" w:color="B8CCE4"/>
              <w:right w:val="single" w:sz="8" w:space="0" w:color="B8CCE4"/>
            </w:tcBorders>
            <w:vAlign w:val="center"/>
          </w:tcPr>
          <w:p w14:paraId="45AC2331"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0%</w:t>
            </w:r>
          </w:p>
        </w:tc>
        <w:tc>
          <w:tcPr>
            <w:tcW w:w="723" w:type="dxa"/>
            <w:tcBorders>
              <w:top w:val="nil"/>
              <w:left w:val="nil"/>
              <w:bottom w:val="single" w:sz="8" w:space="0" w:color="B8CCE4"/>
              <w:right w:val="single" w:sz="8" w:space="0" w:color="B8CCE4"/>
            </w:tcBorders>
            <w:vAlign w:val="center"/>
          </w:tcPr>
          <w:p w14:paraId="77CEEA36"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99%</w:t>
            </w:r>
          </w:p>
        </w:tc>
        <w:tc>
          <w:tcPr>
            <w:tcW w:w="742" w:type="dxa"/>
            <w:tcBorders>
              <w:top w:val="nil"/>
              <w:left w:val="nil"/>
              <w:bottom w:val="single" w:sz="8" w:space="0" w:color="B8CCE4"/>
              <w:right w:val="single" w:sz="8" w:space="0" w:color="B8CCE4"/>
            </w:tcBorders>
            <w:vAlign w:val="center"/>
          </w:tcPr>
          <w:p w14:paraId="57FC0A8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w:t>
            </w:r>
          </w:p>
        </w:tc>
      </w:tr>
      <w:tr w:rsidR="00C156A0" w:rsidRPr="00104106" w14:paraId="38500D33" w14:textId="77777777" w:rsidTr="004E75E2">
        <w:trPr>
          <w:trHeight w:val="235"/>
          <w:jc w:val="center"/>
        </w:trPr>
        <w:tc>
          <w:tcPr>
            <w:tcW w:w="1812" w:type="dxa"/>
            <w:tcBorders>
              <w:top w:val="nil"/>
              <w:left w:val="single" w:sz="8" w:space="0" w:color="B8CCE4"/>
              <w:bottom w:val="single" w:sz="8" w:space="0" w:color="B8CCE4"/>
              <w:right w:val="single" w:sz="8" w:space="0" w:color="B8CCE4"/>
            </w:tcBorders>
            <w:vAlign w:val="center"/>
            <w:hideMark/>
          </w:tcPr>
          <w:p w14:paraId="07695AF0" w14:textId="77777777" w:rsidR="00C156A0" w:rsidRPr="00104106" w:rsidRDefault="00C156A0" w:rsidP="004E75E2">
            <w:pPr>
              <w:spacing w:line="240" w:lineRule="auto"/>
              <w:jc w:val="center"/>
              <w:rPr>
                <w:rFonts w:cs="Calibri"/>
                <w:b/>
                <w:bCs/>
                <w:color w:val="000000"/>
                <w:sz w:val="16"/>
                <w:szCs w:val="16"/>
              </w:rPr>
            </w:pPr>
            <w:r w:rsidRPr="00104106">
              <w:rPr>
                <w:rFonts w:cs="Calibri"/>
                <w:b/>
                <w:bCs/>
                <w:color w:val="000000"/>
                <w:sz w:val="16"/>
                <w:szCs w:val="16"/>
                <w:lang w:val="sq-AL"/>
              </w:rPr>
              <w:t>Arsimi Baze (perfshire parashkollorin)</w:t>
            </w:r>
          </w:p>
        </w:tc>
        <w:tc>
          <w:tcPr>
            <w:tcW w:w="949" w:type="dxa"/>
            <w:tcBorders>
              <w:top w:val="nil"/>
              <w:left w:val="nil"/>
              <w:bottom w:val="single" w:sz="8" w:space="0" w:color="B8CCE4"/>
              <w:right w:val="single" w:sz="8" w:space="0" w:color="B8CCE4"/>
            </w:tcBorders>
            <w:vAlign w:val="center"/>
          </w:tcPr>
          <w:p w14:paraId="6FD24D6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32,735,397</w:t>
            </w:r>
          </w:p>
        </w:tc>
        <w:tc>
          <w:tcPr>
            <w:tcW w:w="871" w:type="dxa"/>
            <w:tcBorders>
              <w:top w:val="nil"/>
              <w:left w:val="nil"/>
              <w:bottom w:val="single" w:sz="8" w:space="0" w:color="B8CCE4"/>
              <w:right w:val="single" w:sz="8" w:space="0" w:color="B8CCE4"/>
            </w:tcBorders>
            <w:vAlign w:val="center"/>
          </w:tcPr>
          <w:p w14:paraId="71EF51CF"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1,537,000</w:t>
            </w:r>
          </w:p>
        </w:tc>
        <w:tc>
          <w:tcPr>
            <w:tcW w:w="949" w:type="dxa"/>
            <w:tcBorders>
              <w:top w:val="nil"/>
              <w:left w:val="nil"/>
              <w:bottom w:val="single" w:sz="8" w:space="0" w:color="B8CCE4"/>
              <w:right w:val="single" w:sz="8" w:space="0" w:color="B8CCE4"/>
            </w:tcBorders>
            <w:vAlign w:val="center"/>
          </w:tcPr>
          <w:p w14:paraId="05226ECF"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33,556,739</w:t>
            </w:r>
          </w:p>
        </w:tc>
        <w:tc>
          <w:tcPr>
            <w:tcW w:w="871" w:type="dxa"/>
            <w:tcBorders>
              <w:top w:val="nil"/>
              <w:left w:val="nil"/>
              <w:bottom w:val="single" w:sz="8" w:space="0" w:color="B8CCE4"/>
              <w:right w:val="single" w:sz="8" w:space="0" w:color="B8CCE4"/>
            </w:tcBorders>
            <w:vAlign w:val="center"/>
          </w:tcPr>
          <w:p w14:paraId="1501B16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1,440,231</w:t>
            </w:r>
          </w:p>
        </w:tc>
        <w:tc>
          <w:tcPr>
            <w:tcW w:w="949" w:type="dxa"/>
            <w:tcBorders>
              <w:top w:val="nil"/>
              <w:left w:val="nil"/>
              <w:bottom w:val="single" w:sz="8" w:space="0" w:color="B8CCE4"/>
              <w:right w:val="single" w:sz="8" w:space="0" w:color="B8CCE4"/>
            </w:tcBorders>
            <w:vAlign w:val="center"/>
          </w:tcPr>
          <w:p w14:paraId="7CFE6FDC"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33,431,522</w:t>
            </w:r>
          </w:p>
        </w:tc>
        <w:tc>
          <w:tcPr>
            <w:tcW w:w="871" w:type="dxa"/>
            <w:tcBorders>
              <w:top w:val="nil"/>
              <w:left w:val="nil"/>
              <w:bottom w:val="single" w:sz="8" w:space="0" w:color="B8CCE4"/>
              <w:right w:val="single" w:sz="8" w:space="0" w:color="B8CCE4"/>
            </w:tcBorders>
            <w:vAlign w:val="center"/>
          </w:tcPr>
          <w:p w14:paraId="48164FC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1,357,382</w:t>
            </w:r>
          </w:p>
        </w:tc>
        <w:tc>
          <w:tcPr>
            <w:tcW w:w="687" w:type="dxa"/>
            <w:tcBorders>
              <w:top w:val="nil"/>
              <w:left w:val="nil"/>
              <w:bottom w:val="single" w:sz="8" w:space="0" w:color="B8CCE4"/>
              <w:right w:val="single" w:sz="8" w:space="0" w:color="B8CCE4"/>
            </w:tcBorders>
            <w:vAlign w:val="center"/>
          </w:tcPr>
          <w:p w14:paraId="1AFF145B"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102%</w:t>
            </w:r>
          </w:p>
        </w:tc>
        <w:tc>
          <w:tcPr>
            <w:tcW w:w="742" w:type="dxa"/>
            <w:tcBorders>
              <w:top w:val="nil"/>
              <w:left w:val="nil"/>
              <w:bottom w:val="single" w:sz="8" w:space="0" w:color="B8CCE4"/>
              <w:right w:val="single" w:sz="8" w:space="0" w:color="B8CCE4"/>
            </w:tcBorders>
            <w:vAlign w:val="center"/>
          </w:tcPr>
          <w:p w14:paraId="46BCAE17"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88%</w:t>
            </w:r>
          </w:p>
        </w:tc>
        <w:tc>
          <w:tcPr>
            <w:tcW w:w="723" w:type="dxa"/>
            <w:tcBorders>
              <w:top w:val="nil"/>
              <w:left w:val="nil"/>
              <w:bottom w:val="single" w:sz="8" w:space="0" w:color="B8CCE4"/>
              <w:right w:val="single" w:sz="8" w:space="0" w:color="B8CCE4"/>
            </w:tcBorders>
            <w:vAlign w:val="center"/>
          </w:tcPr>
          <w:p w14:paraId="4F6F89B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100%</w:t>
            </w:r>
          </w:p>
        </w:tc>
        <w:tc>
          <w:tcPr>
            <w:tcW w:w="742" w:type="dxa"/>
            <w:tcBorders>
              <w:top w:val="nil"/>
              <w:left w:val="nil"/>
              <w:bottom w:val="single" w:sz="8" w:space="0" w:color="B8CCE4"/>
              <w:right w:val="single" w:sz="8" w:space="0" w:color="B8CCE4"/>
            </w:tcBorders>
            <w:vAlign w:val="center"/>
          </w:tcPr>
          <w:p w14:paraId="0501FCE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94%</w:t>
            </w:r>
          </w:p>
        </w:tc>
      </w:tr>
      <w:tr w:rsidR="00C156A0" w:rsidRPr="00104106" w14:paraId="3A13A802" w14:textId="77777777" w:rsidTr="004E75E2">
        <w:trPr>
          <w:trHeight w:val="445"/>
          <w:jc w:val="center"/>
        </w:trPr>
        <w:tc>
          <w:tcPr>
            <w:tcW w:w="1812" w:type="dxa"/>
            <w:tcBorders>
              <w:top w:val="nil"/>
              <w:left w:val="single" w:sz="8" w:space="0" w:color="B8CCE4"/>
              <w:bottom w:val="single" w:sz="8" w:space="0" w:color="B8CCE4"/>
              <w:right w:val="single" w:sz="8" w:space="0" w:color="B8CCE4"/>
            </w:tcBorders>
            <w:vAlign w:val="center"/>
            <w:hideMark/>
          </w:tcPr>
          <w:p w14:paraId="72172ADA" w14:textId="4B46267D" w:rsidR="00C156A0" w:rsidRPr="00104106" w:rsidRDefault="00C156A0" w:rsidP="004E75E2">
            <w:pPr>
              <w:spacing w:line="240" w:lineRule="auto"/>
              <w:jc w:val="center"/>
              <w:rPr>
                <w:rFonts w:cs="Calibri"/>
                <w:b/>
                <w:bCs/>
                <w:color w:val="000000"/>
                <w:sz w:val="16"/>
                <w:szCs w:val="16"/>
                <w:lang w:val="pt-PT"/>
              </w:rPr>
            </w:pPr>
            <w:r w:rsidRPr="004D5227">
              <w:rPr>
                <w:rFonts w:cs="Calibri"/>
                <w:b/>
                <w:bCs/>
                <w:color w:val="000000"/>
                <w:sz w:val="16"/>
                <w:szCs w:val="16"/>
                <w:lang w:val="sq-AL"/>
              </w:rPr>
              <w:t>Arsimi i Mesem</w:t>
            </w:r>
            <w:r w:rsidR="004D5227" w:rsidRPr="004D5227">
              <w:rPr>
                <w:rFonts w:cs="Calibri"/>
                <w:b/>
                <w:bCs/>
                <w:color w:val="000000"/>
                <w:sz w:val="16"/>
                <w:szCs w:val="16"/>
                <w:lang w:val="sq-AL"/>
              </w:rPr>
              <w:t xml:space="preserve">              </w:t>
            </w:r>
            <w:r w:rsidRPr="004D5227">
              <w:rPr>
                <w:rFonts w:cs="Calibri"/>
                <w:b/>
                <w:bCs/>
                <w:color w:val="000000"/>
                <w:sz w:val="16"/>
                <w:szCs w:val="16"/>
                <w:lang w:val="sq-AL"/>
              </w:rPr>
              <w:t xml:space="preserve"> </w:t>
            </w:r>
            <w:r w:rsidR="004D5227" w:rsidRPr="004D5227">
              <w:rPr>
                <w:rFonts w:cs="Calibri"/>
                <w:b/>
                <w:bCs/>
                <w:color w:val="000000"/>
                <w:sz w:val="16"/>
                <w:szCs w:val="16"/>
                <w:lang w:val="sq-AL"/>
              </w:rPr>
              <w:t xml:space="preserve"> (</w:t>
            </w:r>
            <w:r w:rsidR="004E75E2">
              <w:rPr>
                <w:rFonts w:cs="Calibri"/>
                <w:b/>
                <w:bCs/>
                <w:color w:val="000000"/>
                <w:sz w:val="16"/>
                <w:szCs w:val="16"/>
                <w:lang w:val="sq-AL"/>
              </w:rPr>
              <w:t>i</w:t>
            </w:r>
            <w:r w:rsidR="004D5227" w:rsidRPr="004D5227">
              <w:rPr>
                <w:rFonts w:cs="Calibri"/>
                <w:b/>
                <w:bCs/>
                <w:color w:val="000000"/>
                <w:sz w:val="16"/>
                <w:szCs w:val="16"/>
                <w:lang w:val="sq-AL"/>
              </w:rPr>
              <w:t xml:space="preserve"> Përgjithshëm</w:t>
            </w:r>
            <w:r w:rsidRPr="004D5227">
              <w:rPr>
                <w:rFonts w:cs="Calibri"/>
                <w:b/>
                <w:bCs/>
                <w:color w:val="000000"/>
                <w:sz w:val="16"/>
                <w:szCs w:val="16"/>
                <w:lang w:val="sq-AL"/>
              </w:rPr>
              <w:t>)</w:t>
            </w:r>
          </w:p>
        </w:tc>
        <w:tc>
          <w:tcPr>
            <w:tcW w:w="949" w:type="dxa"/>
            <w:tcBorders>
              <w:top w:val="nil"/>
              <w:left w:val="nil"/>
              <w:bottom w:val="single" w:sz="8" w:space="0" w:color="B8CCE4"/>
              <w:right w:val="single" w:sz="8" w:space="0" w:color="B8CCE4"/>
            </w:tcBorders>
            <w:vAlign w:val="center"/>
          </w:tcPr>
          <w:p w14:paraId="7DD3D86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10,082,000</w:t>
            </w:r>
          </w:p>
        </w:tc>
        <w:tc>
          <w:tcPr>
            <w:tcW w:w="871" w:type="dxa"/>
            <w:tcBorders>
              <w:top w:val="nil"/>
              <w:left w:val="nil"/>
              <w:bottom w:val="single" w:sz="8" w:space="0" w:color="B8CCE4"/>
              <w:right w:val="single" w:sz="8" w:space="0" w:color="B8CCE4"/>
            </w:tcBorders>
            <w:vAlign w:val="center"/>
          </w:tcPr>
          <w:p w14:paraId="43225803"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1,362,000</w:t>
            </w:r>
          </w:p>
        </w:tc>
        <w:tc>
          <w:tcPr>
            <w:tcW w:w="949" w:type="dxa"/>
            <w:tcBorders>
              <w:top w:val="nil"/>
              <w:left w:val="nil"/>
              <w:bottom w:val="single" w:sz="8" w:space="0" w:color="B8CCE4"/>
              <w:right w:val="single" w:sz="8" w:space="0" w:color="B8CCE4"/>
            </w:tcBorders>
            <w:vAlign w:val="center"/>
          </w:tcPr>
          <w:p w14:paraId="17974E86"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8,687,348</w:t>
            </w:r>
          </w:p>
        </w:tc>
        <w:tc>
          <w:tcPr>
            <w:tcW w:w="871" w:type="dxa"/>
            <w:tcBorders>
              <w:top w:val="nil"/>
              <w:left w:val="nil"/>
              <w:bottom w:val="single" w:sz="8" w:space="0" w:color="B8CCE4"/>
              <w:right w:val="single" w:sz="8" w:space="0" w:color="B8CCE4"/>
            </w:tcBorders>
            <w:vAlign w:val="center"/>
          </w:tcPr>
          <w:p w14:paraId="22AC1F9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1,495,590</w:t>
            </w:r>
          </w:p>
        </w:tc>
        <w:tc>
          <w:tcPr>
            <w:tcW w:w="949" w:type="dxa"/>
            <w:tcBorders>
              <w:top w:val="nil"/>
              <w:left w:val="nil"/>
              <w:bottom w:val="single" w:sz="8" w:space="0" w:color="B8CCE4"/>
              <w:right w:val="single" w:sz="8" w:space="0" w:color="B8CCE4"/>
            </w:tcBorders>
            <w:vAlign w:val="center"/>
          </w:tcPr>
          <w:p w14:paraId="404453BF"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8,621,589</w:t>
            </w:r>
          </w:p>
        </w:tc>
        <w:tc>
          <w:tcPr>
            <w:tcW w:w="871" w:type="dxa"/>
            <w:tcBorders>
              <w:top w:val="nil"/>
              <w:left w:val="nil"/>
              <w:bottom w:val="single" w:sz="8" w:space="0" w:color="B8CCE4"/>
              <w:right w:val="single" w:sz="8" w:space="0" w:color="B8CCE4"/>
            </w:tcBorders>
            <w:vAlign w:val="center"/>
          </w:tcPr>
          <w:p w14:paraId="184D9E3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1,397,937</w:t>
            </w:r>
          </w:p>
        </w:tc>
        <w:tc>
          <w:tcPr>
            <w:tcW w:w="687" w:type="dxa"/>
            <w:tcBorders>
              <w:top w:val="nil"/>
              <w:left w:val="nil"/>
              <w:bottom w:val="single" w:sz="8" w:space="0" w:color="B8CCE4"/>
              <w:right w:val="single" w:sz="8" w:space="0" w:color="B8CCE4"/>
            </w:tcBorders>
            <w:vAlign w:val="center"/>
          </w:tcPr>
          <w:p w14:paraId="74BB063B"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86%</w:t>
            </w:r>
          </w:p>
        </w:tc>
        <w:tc>
          <w:tcPr>
            <w:tcW w:w="742" w:type="dxa"/>
            <w:tcBorders>
              <w:top w:val="nil"/>
              <w:left w:val="nil"/>
              <w:bottom w:val="single" w:sz="8" w:space="0" w:color="B8CCE4"/>
              <w:right w:val="single" w:sz="8" w:space="0" w:color="B8CCE4"/>
            </w:tcBorders>
            <w:vAlign w:val="center"/>
          </w:tcPr>
          <w:p w14:paraId="45EB015D"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103%</w:t>
            </w:r>
          </w:p>
        </w:tc>
        <w:tc>
          <w:tcPr>
            <w:tcW w:w="723" w:type="dxa"/>
            <w:tcBorders>
              <w:top w:val="nil"/>
              <w:left w:val="nil"/>
              <w:bottom w:val="single" w:sz="8" w:space="0" w:color="B8CCE4"/>
              <w:right w:val="single" w:sz="8" w:space="0" w:color="B8CCE4"/>
            </w:tcBorders>
            <w:vAlign w:val="center"/>
          </w:tcPr>
          <w:p w14:paraId="63A0376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99%</w:t>
            </w:r>
          </w:p>
        </w:tc>
        <w:tc>
          <w:tcPr>
            <w:tcW w:w="742" w:type="dxa"/>
            <w:tcBorders>
              <w:top w:val="nil"/>
              <w:left w:val="nil"/>
              <w:bottom w:val="single" w:sz="8" w:space="0" w:color="B8CCE4"/>
              <w:right w:val="single" w:sz="8" w:space="0" w:color="B8CCE4"/>
            </w:tcBorders>
            <w:vAlign w:val="center"/>
          </w:tcPr>
          <w:p w14:paraId="147A7CD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93%</w:t>
            </w:r>
          </w:p>
        </w:tc>
      </w:tr>
      <w:tr w:rsidR="00C156A0" w:rsidRPr="00104106" w14:paraId="743C10EA" w14:textId="77777777" w:rsidTr="004E75E2">
        <w:trPr>
          <w:trHeight w:val="159"/>
          <w:jc w:val="center"/>
        </w:trPr>
        <w:tc>
          <w:tcPr>
            <w:tcW w:w="1812" w:type="dxa"/>
            <w:tcBorders>
              <w:top w:val="nil"/>
              <w:left w:val="single" w:sz="8" w:space="0" w:color="B8CCE4"/>
              <w:bottom w:val="single" w:sz="8" w:space="0" w:color="B8CCE4"/>
              <w:right w:val="single" w:sz="8" w:space="0" w:color="B8CCE4"/>
            </w:tcBorders>
            <w:vAlign w:val="center"/>
            <w:hideMark/>
          </w:tcPr>
          <w:p w14:paraId="1F212A26" w14:textId="77777777" w:rsidR="00C156A0" w:rsidRPr="00104106" w:rsidRDefault="00C156A0" w:rsidP="004E75E2">
            <w:pPr>
              <w:spacing w:line="240" w:lineRule="auto"/>
              <w:jc w:val="center"/>
              <w:rPr>
                <w:rFonts w:cs="Calibri"/>
                <w:b/>
                <w:bCs/>
                <w:color w:val="000000"/>
                <w:sz w:val="16"/>
                <w:szCs w:val="16"/>
              </w:rPr>
            </w:pPr>
            <w:r w:rsidRPr="004D5227">
              <w:rPr>
                <w:rFonts w:cs="Calibri"/>
                <w:b/>
                <w:bCs/>
                <w:color w:val="000000"/>
                <w:sz w:val="16"/>
                <w:szCs w:val="16"/>
                <w:lang w:val="sq-AL"/>
              </w:rPr>
              <w:t>Arsimi Universitar</w:t>
            </w:r>
          </w:p>
        </w:tc>
        <w:tc>
          <w:tcPr>
            <w:tcW w:w="949" w:type="dxa"/>
            <w:tcBorders>
              <w:top w:val="nil"/>
              <w:left w:val="nil"/>
              <w:bottom w:val="single" w:sz="8" w:space="0" w:color="B8CCE4"/>
              <w:right w:val="single" w:sz="8" w:space="0" w:color="B8CCE4"/>
            </w:tcBorders>
            <w:vAlign w:val="center"/>
          </w:tcPr>
          <w:p w14:paraId="565AA9F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11,550,000</w:t>
            </w:r>
          </w:p>
        </w:tc>
        <w:tc>
          <w:tcPr>
            <w:tcW w:w="871" w:type="dxa"/>
            <w:tcBorders>
              <w:top w:val="nil"/>
              <w:left w:val="nil"/>
              <w:bottom w:val="single" w:sz="8" w:space="0" w:color="B8CCE4"/>
              <w:right w:val="single" w:sz="8" w:space="0" w:color="B8CCE4"/>
            </w:tcBorders>
            <w:vAlign w:val="center"/>
          </w:tcPr>
          <w:p w14:paraId="6F37C22B"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1,180,000</w:t>
            </w:r>
          </w:p>
        </w:tc>
        <w:tc>
          <w:tcPr>
            <w:tcW w:w="949" w:type="dxa"/>
            <w:tcBorders>
              <w:top w:val="nil"/>
              <w:left w:val="nil"/>
              <w:bottom w:val="single" w:sz="8" w:space="0" w:color="B8CCE4"/>
              <w:right w:val="single" w:sz="8" w:space="0" w:color="B8CCE4"/>
            </w:tcBorders>
            <w:vAlign w:val="center"/>
          </w:tcPr>
          <w:p w14:paraId="4920F07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13,486,192</w:t>
            </w:r>
          </w:p>
        </w:tc>
        <w:tc>
          <w:tcPr>
            <w:tcW w:w="871" w:type="dxa"/>
            <w:tcBorders>
              <w:top w:val="nil"/>
              <w:left w:val="nil"/>
              <w:bottom w:val="single" w:sz="8" w:space="0" w:color="B8CCE4"/>
              <w:right w:val="single" w:sz="8" w:space="0" w:color="B8CCE4"/>
            </w:tcBorders>
            <w:vAlign w:val="center"/>
          </w:tcPr>
          <w:p w14:paraId="0FB60762"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1,131,000</w:t>
            </w:r>
          </w:p>
        </w:tc>
        <w:tc>
          <w:tcPr>
            <w:tcW w:w="949" w:type="dxa"/>
            <w:tcBorders>
              <w:top w:val="nil"/>
              <w:left w:val="nil"/>
              <w:bottom w:val="single" w:sz="8" w:space="0" w:color="B8CCE4"/>
              <w:right w:val="single" w:sz="8" w:space="0" w:color="B8CCE4"/>
            </w:tcBorders>
            <w:vAlign w:val="center"/>
          </w:tcPr>
          <w:p w14:paraId="554601A2"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11,478,222</w:t>
            </w:r>
          </w:p>
        </w:tc>
        <w:tc>
          <w:tcPr>
            <w:tcW w:w="871" w:type="dxa"/>
            <w:tcBorders>
              <w:top w:val="nil"/>
              <w:left w:val="nil"/>
              <w:bottom w:val="single" w:sz="8" w:space="0" w:color="B8CCE4"/>
              <w:right w:val="single" w:sz="8" w:space="0" w:color="B8CCE4"/>
            </w:tcBorders>
            <w:vAlign w:val="center"/>
          </w:tcPr>
          <w:p w14:paraId="79B9852E"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1,013,524</w:t>
            </w:r>
          </w:p>
        </w:tc>
        <w:tc>
          <w:tcPr>
            <w:tcW w:w="687" w:type="dxa"/>
            <w:tcBorders>
              <w:top w:val="nil"/>
              <w:left w:val="nil"/>
              <w:bottom w:val="single" w:sz="8" w:space="0" w:color="B8CCE4"/>
              <w:right w:val="single" w:sz="8" w:space="0" w:color="B8CCE4"/>
            </w:tcBorders>
            <w:vAlign w:val="center"/>
          </w:tcPr>
          <w:p w14:paraId="5D37340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99%</w:t>
            </w:r>
          </w:p>
        </w:tc>
        <w:tc>
          <w:tcPr>
            <w:tcW w:w="742" w:type="dxa"/>
            <w:tcBorders>
              <w:top w:val="nil"/>
              <w:left w:val="nil"/>
              <w:bottom w:val="single" w:sz="8" w:space="0" w:color="B8CCE4"/>
              <w:right w:val="single" w:sz="8" w:space="0" w:color="B8CCE4"/>
            </w:tcBorders>
            <w:vAlign w:val="center"/>
          </w:tcPr>
          <w:p w14:paraId="29D4471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86%</w:t>
            </w:r>
          </w:p>
        </w:tc>
        <w:tc>
          <w:tcPr>
            <w:tcW w:w="723" w:type="dxa"/>
            <w:tcBorders>
              <w:top w:val="nil"/>
              <w:left w:val="nil"/>
              <w:bottom w:val="single" w:sz="8" w:space="0" w:color="B8CCE4"/>
              <w:right w:val="single" w:sz="8" w:space="0" w:color="B8CCE4"/>
            </w:tcBorders>
            <w:vAlign w:val="center"/>
          </w:tcPr>
          <w:p w14:paraId="4FB70C13"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85%</w:t>
            </w:r>
          </w:p>
        </w:tc>
        <w:tc>
          <w:tcPr>
            <w:tcW w:w="742" w:type="dxa"/>
            <w:tcBorders>
              <w:top w:val="nil"/>
              <w:left w:val="nil"/>
              <w:bottom w:val="single" w:sz="8" w:space="0" w:color="B8CCE4"/>
              <w:right w:val="single" w:sz="8" w:space="0" w:color="B8CCE4"/>
            </w:tcBorders>
            <w:vAlign w:val="center"/>
          </w:tcPr>
          <w:p w14:paraId="3C5717E2"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90%</w:t>
            </w:r>
          </w:p>
        </w:tc>
      </w:tr>
      <w:tr w:rsidR="00C156A0" w:rsidRPr="00104106" w14:paraId="4D154C20" w14:textId="77777777" w:rsidTr="004E75E2">
        <w:trPr>
          <w:trHeight w:val="159"/>
          <w:jc w:val="center"/>
        </w:trPr>
        <w:tc>
          <w:tcPr>
            <w:tcW w:w="1812" w:type="dxa"/>
            <w:tcBorders>
              <w:top w:val="nil"/>
              <w:left w:val="single" w:sz="8" w:space="0" w:color="B8CCE4"/>
              <w:bottom w:val="single" w:sz="8" w:space="0" w:color="B8CCE4"/>
              <w:right w:val="single" w:sz="8" w:space="0" w:color="B8CCE4"/>
            </w:tcBorders>
            <w:vAlign w:val="center"/>
          </w:tcPr>
          <w:p w14:paraId="3F61DCB7" w14:textId="77777777" w:rsidR="00C156A0" w:rsidRPr="00104106" w:rsidRDefault="00C156A0" w:rsidP="004E75E2">
            <w:pPr>
              <w:spacing w:line="240" w:lineRule="auto"/>
              <w:jc w:val="center"/>
              <w:rPr>
                <w:rFonts w:cs="Calibri"/>
                <w:b/>
                <w:bCs/>
                <w:color w:val="000000"/>
                <w:sz w:val="16"/>
                <w:szCs w:val="16"/>
                <w:lang w:val="sq-AL"/>
              </w:rPr>
            </w:pPr>
            <w:r w:rsidRPr="00104106">
              <w:rPr>
                <w:rFonts w:cs="Calibri"/>
                <w:b/>
                <w:bCs/>
                <w:color w:val="000000"/>
                <w:sz w:val="16"/>
                <w:szCs w:val="16"/>
                <w:lang w:val="sq-AL"/>
              </w:rPr>
              <w:t>Financim i huaj</w:t>
            </w:r>
          </w:p>
        </w:tc>
        <w:tc>
          <w:tcPr>
            <w:tcW w:w="949" w:type="dxa"/>
            <w:tcBorders>
              <w:top w:val="nil"/>
              <w:left w:val="nil"/>
              <w:bottom w:val="single" w:sz="8" w:space="0" w:color="B8CCE4"/>
              <w:right w:val="single" w:sz="8" w:space="0" w:color="B8CCE4"/>
            </w:tcBorders>
            <w:vAlign w:val="center"/>
          </w:tcPr>
          <w:p w14:paraId="285D2E20"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19BF4CB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300,000</w:t>
            </w:r>
          </w:p>
        </w:tc>
        <w:tc>
          <w:tcPr>
            <w:tcW w:w="949" w:type="dxa"/>
            <w:tcBorders>
              <w:top w:val="nil"/>
              <w:left w:val="nil"/>
              <w:bottom w:val="single" w:sz="8" w:space="0" w:color="B8CCE4"/>
              <w:right w:val="single" w:sz="8" w:space="0" w:color="B8CCE4"/>
            </w:tcBorders>
            <w:vAlign w:val="center"/>
          </w:tcPr>
          <w:p w14:paraId="5AEE6F61"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0833BBD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100,000</w:t>
            </w:r>
          </w:p>
        </w:tc>
        <w:tc>
          <w:tcPr>
            <w:tcW w:w="949" w:type="dxa"/>
            <w:tcBorders>
              <w:top w:val="nil"/>
              <w:left w:val="nil"/>
              <w:bottom w:val="single" w:sz="8" w:space="0" w:color="B8CCE4"/>
              <w:right w:val="single" w:sz="8" w:space="0" w:color="B8CCE4"/>
            </w:tcBorders>
            <w:vAlign w:val="center"/>
          </w:tcPr>
          <w:p w14:paraId="43BA44FB"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5BF5202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72,256</w:t>
            </w:r>
          </w:p>
        </w:tc>
        <w:tc>
          <w:tcPr>
            <w:tcW w:w="687" w:type="dxa"/>
            <w:tcBorders>
              <w:top w:val="nil"/>
              <w:left w:val="nil"/>
              <w:bottom w:val="single" w:sz="8" w:space="0" w:color="B8CCE4"/>
              <w:right w:val="single" w:sz="8" w:space="0" w:color="B8CCE4"/>
            </w:tcBorders>
            <w:vAlign w:val="center"/>
          </w:tcPr>
          <w:p w14:paraId="65DF899A" w14:textId="77777777" w:rsidR="00C156A0" w:rsidRPr="00104106" w:rsidRDefault="00C156A0" w:rsidP="004E75E2">
            <w:pPr>
              <w:spacing w:before="0" w:line="240" w:lineRule="auto"/>
              <w:jc w:val="center"/>
              <w:rPr>
                <w:rFonts w:cs="Calibri"/>
                <w:color w:val="000000"/>
                <w:sz w:val="16"/>
                <w:szCs w:val="16"/>
                <w:lang w:val="sq-AL" w:eastAsia="sq-AL"/>
              </w:rPr>
            </w:pPr>
          </w:p>
        </w:tc>
        <w:tc>
          <w:tcPr>
            <w:tcW w:w="742" w:type="dxa"/>
            <w:tcBorders>
              <w:top w:val="nil"/>
              <w:left w:val="nil"/>
              <w:bottom w:val="single" w:sz="8" w:space="0" w:color="B8CCE4"/>
              <w:right w:val="single" w:sz="8" w:space="0" w:color="B8CCE4"/>
            </w:tcBorders>
            <w:vAlign w:val="center"/>
          </w:tcPr>
          <w:p w14:paraId="4BAEC87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24%</w:t>
            </w:r>
          </w:p>
        </w:tc>
        <w:tc>
          <w:tcPr>
            <w:tcW w:w="723" w:type="dxa"/>
            <w:tcBorders>
              <w:top w:val="nil"/>
              <w:left w:val="nil"/>
              <w:bottom w:val="single" w:sz="8" w:space="0" w:color="B8CCE4"/>
              <w:right w:val="single" w:sz="8" w:space="0" w:color="B8CCE4"/>
            </w:tcBorders>
            <w:vAlign w:val="center"/>
          </w:tcPr>
          <w:p w14:paraId="0B4C5552" w14:textId="77777777" w:rsidR="00C156A0" w:rsidRPr="00104106" w:rsidRDefault="00C156A0" w:rsidP="004E75E2">
            <w:pPr>
              <w:spacing w:before="0" w:line="240" w:lineRule="auto"/>
              <w:jc w:val="center"/>
              <w:rPr>
                <w:rFonts w:cs="Calibri"/>
                <w:color w:val="000000"/>
                <w:sz w:val="16"/>
                <w:szCs w:val="16"/>
                <w:lang w:val="sq-AL" w:eastAsia="sq-AL"/>
              </w:rPr>
            </w:pPr>
          </w:p>
        </w:tc>
        <w:tc>
          <w:tcPr>
            <w:tcW w:w="742" w:type="dxa"/>
            <w:tcBorders>
              <w:top w:val="nil"/>
              <w:left w:val="nil"/>
              <w:bottom w:val="single" w:sz="8" w:space="0" w:color="B8CCE4"/>
              <w:right w:val="single" w:sz="8" w:space="0" w:color="B8CCE4"/>
            </w:tcBorders>
            <w:vAlign w:val="center"/>
          </w:tcPr>
          <w:p w14:paraId="0A71DC1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72%</w:t>
            </w:r>
          </w:p>
        </w:tc>
      </w:tr>
      <w:tr w:rsidR="00C156A0" w:rsidRPr="00104106" w14:paraId="371B44EC" w14:textId="77777777" w:rsidTr="004E75E2">
        <w:trPr>
          <w:trHeight w:val="159"/>
          <w:jc w:val="center"/>
        </w:trPr>
        <w:tc>
          <w:tcPr>
            <w:tcW w:w="1812" w:type="dxa"/>
            <w:tcBorders>
              <w:top w:val="nil"/>
              <w:left w:val="single" w:sz="8" w:space="0" w:color="B8CCE4"/>
              <w:bottom w:val="single" w:sz="8" w:space="0" w:color="B8CCE4"/>
              <w:right w:val="single" w:sz="8" w:space="0" w:color="B8CCE4"/>
            </w:tcBorders>
            <w:vAlign w:val="center"/>
            <w:hideMark/>
          </w:tcPr>
          <w:p w14:paraId="4516456F" w14:textId="77777777" w:rsidR="00C156A0" w:rsidRPr="00104106" w:rsidRDefault="00C156A0" w:rsidP="004E75E2">
            <w:pPr>
              <w:spacing w:line="240" w:lineRule="auto"/>
              <w:jc w:val="center"/>
              <w:rPr>
                <w:rFonts w:cs="Calibri"/>
                <w:b/>
                <w:bCs/>
                <w:color w:val="000000"/>
                <w:sz w:val="16"/>
                <w:szCs w:val="16"/>
              </w:rPr>
            </w:pPr>
            <w:r w:rsidRPr="00104106">
              <w:rPr>
                <w:rFonts w:cs="Calibri"/>
                <w:b/>
                <w:bCs/>
                <w:color w:val="000000"/>
                <w:sz w:val="16"/>
                <w:szCs w:val="16"/>
                <w:lang w:val="sq-AL"/>
              </w:rPr>
              <w:t>Fonde per Shkencen</w:t>
            </w:r>
          </w:p>
        </w:tc>
        <w:tc>
          <w:tcPr>
            <w:tcW w:w="949" w:type="dxa"/>
            <w:tcBorders>
              <w:top w:val="nil"/>
              <w:left w:val="nil"/>
              <w:bottom w:val="single" w:sz="8" w:space="0" w:color="B8CCE4"/>
              <w:right w:val="single" w:sz="8" w:space="0" w:color="B8CCE4"/>
            </w:tcBorders>
            <w:vAlign w:val="center"/>
          </w:tcPr>
          <w:p w14:paraId="02729D0D"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841,400</w:t>
            </w:r>
          </w:p>
        </w:tc>
        <w:tc>
          <w:tcPr>
            <w:tcW w:w="871" w:type="dxa"/>
            <w:tcBorders>
              <w:top w:val="nil"/>
              <w:left w:val="nil"/>
              <w:bottom w:val="single" w:sz="8" w:space="0" w:color="B8CCE4"/>
              <w:right w:val="single" w:sz="8" w:space="0" w:color="B8CCE4"/>
            </w:tcBorders>
            <w:vAlign w:val="center"/>
          </w:tcPr>
          <w:p w14:paraId="01FFBA84"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350,000</w:t>
            </w:r>
          </w:p>
        </w:tc>
        <w:tc>
          <w:tcPr>
            <w:tcW w:w="949" w:type="dxa"/>
            <w:tcBorders>
              <w:top w:val="nil"/>
              <w:left w:val="nil"/>
              <w:bottom w:val="single" w:sz="8" w:space="0" w:color="B8CCE4"/>
              <w:right w:val="single" w:sz="8" w:space="0" w:color="B8CCE4"/>
            </w:tcBorders>
            <w:vAlign w:val="center"/>
          </w:tcPr>
          <w:p w14:paraId="4AA315AC"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1,168,153</w:t>
            </w:r>
          </w:p>
        </w:tc>
        <w:tc>
          <w:tcPr>
            <w:tcW w:w="871" w:type="dxa"/>
            <w:tcBorders>
              <w:top w:val="nil"/>
              <w:left w:val="nil"/>
              <w:bottom w:val="single" w:sz="8" w:space="0" w:color="B8CCE4"/>
              <w:right w:val="single" w:sz="8" w:space="0" w:color="B8CCE4"/>
            </w:tcBorders>
            <w:vAlign w:val="center"/>
          </w:tcPr>
          <w:p w14:paraId="6D834F67"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252,336</w:t>
            </w:r>
          </w:p>
        </w:tc>
        <w:tc>
          <w:tcPr>
            <w:tcW w:w="949" w:type="dxa"/>
            <w:tcBorders>
              <w:top w:val="nil"/>
              <w:left w:val="nil"/>
              <w:bottom w:val="single" w:sz="8" w:space="0" w:color="B8CCE4"/>
              <w:right w:val="single" w:sz="8" w:space="0" w:color="B8CCE4"/>
            </w:tcBorders>
            <w:vAlign w:val="center"/>
          </w:tcPr>
          <w:p w14:paraId="618A1881"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602,715</w:t>
            </w:r>
          </w:p>
        </w:tc>
        <w:tc>
          <w:tcPr>
            <w:tcW w:w="871" w:type="dxa"/>
            <w:tcBorders>
              <w:top w:val="nil"/>
              <w:left w:val="nil"/>
              <w:bottom w:val="single" w:sz="8" w:space="0" w:color="B8CCE4"/>
              <w:right w:val="single" w:sz="8" w:space="0" w:color="B8CCE4"/>
            </w:tcBorders>
            <w:vAlign w:val="center"/>
          </w:tcPr>
          <w:p w14:paraId="09DAF0E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227,654</w:t>
            </w:r>
          </w:p>
        </w:tc>
        <w:tc>
          <w:tcPr>
            <w:tcW w:w="687" w:type="dxa"/>
            <w:tcBorders>
              <w:top w:val="nil"/>
              <w:left w:val="nil"/>
              <w:bottom w:val="single" w:sz="8" w:space="0" w:color="B8CCE4"/>
              <w:right w:val="single" w:sz="8" w:space="0" w:color="B8CCE4"/>
            </w:tcBorders>
            <w:vAlign w:val="center"/>
          </w:tcPr>
          <w:p w14:paraId="2F58477A"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72%</w:t>
            </w:r>
          </w:p>
        </w:tc>
        <w:tc>
          <w:tcPr>
            <w:tcW w:w="742" w:type="dxa"/>
            <w:tcBorders>
              <w:top w:val="nil"/>
              <w:left w:val="nil"/>
              <w:bottom w:val="single" w:sz="8" w:space="0" w:color="B8CCE4"/>
              <w:right w:val="single" w:sz="8" w:space="0" w:color="B8CCE4"/>
            </w:tcBorders>
            <w:vAlign w:val="center"/>
          </w:tcPr>
          <w:p w14:paraId="68BAD554"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65%</w:t>
            </w:r>
          </w:p>
        </w:tc>
        <w:tc>
          <w:tcPr>
            <w:tcW w:w="723" w:type="dxa"/>
            <w:tcBorders>
              <w:top w:val="nil"/>
              <w:left w:val="nil"/>
              <w:bottom w:val="single" w:sz="8" w:space="0" w:color="B8CCE4"/>
              <w:right w:val="single" w:sz="8" w:space="0" w:color="B8CCE4"/>
            </w:tcBorders>
            <w:vAlign w:val="center"/>
          </w:tcPr>
          <w:p w14:paraId="6296F8B1"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52%</w:t>
            </w:r>
          </w:p>
        </w:tc>
        <w:tc>
          <w:tcPr>
            <w:tcW w:w="742" w:type="dxa"/>
            <w:tcBorders>
              <w:top w:val="nil"/>
              <w:left w:val="nil"/>
              <w:bottom w:val="single" w:sz="8" w:space="0" w:color="B8CCE4"/>
              <w:right w:val="single" w:sz="8" w:space="0" w:color="B8CCE4"/>
            </w:tcBorders>
            <w:vAlign w:val="center"/>
          </w:tcPr>
          <w:p w14:paraId="54CF7DD5"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90%</w:t>
            </w:r>
          </w:p>
        </w:tc>
      </w:tr>
      <w:tr w:rsidR="00C156A0" w:rsidRPr="00104106" w14:paraId="311C596A" w14:textId="77777777" w:rsidTr="004E75E2">
        <w:trPr>
          <w:trHeight w:val="159"/>
          <w:jc w:val="center"/>
        </w:trPr>
        <w:tc>
          <w:tcPr>
            <w:tcW w:w="1812" w:type="dxa"/>
            <w:tcBorders>
              <w:top w:val="nil"/>
              <w:left w:val="single" w:sz="8" w:space="0" w:color="B8CCE4"/>
              <w:bottom w:val="single" w:sz="8" w:space="0" w:color="B8CCE4"/>
              <w:right w:val="single" w:sz="8" w:space="0" w:color="B8CCE4"/>
            </w:tcBorders>
            <w:vAlign w:val="center"/>
          </w:tcPr>
          <w:p w14:paraId="2C2FE4D5" w14:textId="77777777" w:rsidR="00C156A0" w:rsidRPr="00104106" w:rsidRDefault="00C156A0" w:rsidP="004E75E2">
            <w:pPr>
              <w:spacing w:line="240" w:lineRule="auto"/>
              <w:jc w:val="center"/>
              <w:rPr>
                <w:rFonts w:cs="Calibri"/>
                <w:b/>
                <w:bCs/>
                <w:color w:val="000000"/>
                <w:sz w:val="16"/>
                <w:szCs w:val="16"/>
                <w:lang w:val="sq-AL"/>
              </w:rPr>
            </w:pPr>
            <w:r w:rsidRPr="00104106">
              <w:rPr>
                <w:rFonts w:cs="Calibri"/>
                <w:b/>
                <w:bCs/>
                <w:color w:val="000000"/>
                <w:sz w:val="16"/>
                <w:szCs w:val="16"/>
                <w:lang w:val="sq-AL"/>
              </w:rPr>
              <w:t>Financim i huaj</w:t>
            </w:r>
          </w:p>
        </w:tc>
        <w:tc>
          <w:tcPr>
            <w:tcW w:w="949" w:type="dxa"/>
            <w:tcBorders>
              <w:top w:val="nil"/>
              <w:left w:val="nil"/>
              <w:bottom w:val="single" w:sz="8" w:space="0" w:color="B8CCE4"/>
              <w:right w:val="single" w:sz="8" w:space="0" w:color="B8CCE4"/>
            </w:tcBorders>
            <w:vAlign w:val="center"/>
          </w:tcPr>
          <w:p w14:paraId="446A83B7"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454BD022"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300,000</w:t>
            </w:r>
          </w:p>
        </w:tc>
        <w:tc>
          <w:tcPr>
            <w:tcW w:w="949" w:type="dxa"/>
            <w:tcBorders>
              <w:top w:val="nil"/>
              <w:left w:val="nil"/>
              <w:bottom w:val="single" w:sz="8" w:space="0" w:color="B8CCE4"/>
              <w:right w:val="single" w:sz="8" w:space="0" w:color="B8CCE4"/>
            </w:tcBorders>
            <w:vAlign w:val="center"/>
          </w:tcPr>
          <w:p w14:paraId="087C7B3A"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2A900F8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300,000</w:t>
            </w:r>
          </w:p>
        </w:tc>
        <w:tc>
          <w:tcPr>
            <w:tcW w:w="949" w:type="dxa"/>
            <w:tcBorders>
              <w:top w:val="nil"/>
              <w:left w:val="nil"/>
              <w:bottom w:val="single" w:sz="8" w:space="0" w:color="B8CCE4"/>
              <w:right w:val="single" w:sz="8" w:space="0" w:color="B8CCE4"/>
            </w:tcBorders>
            <w:vAlign w:val="center"/>
          </w:tcPr>
          <w:p w14:paraId="73AF7A83" w14:textId="77777777" w:rsidR="00C156A0" w:rsidRPr="00104106" w:rsidRDefault="00C156A0" w:rsidP="004E75E2">
            <w:pPr>
              <w:spacing w:before="0" w:line="240" w:lineRule="auto"/>
              <w:jc w:val="center"/>
              <w:rPr>
                <w:rFonts w:cs="Calibri"/>
                <w:color w:val="000000"/>
                <w:sz w:val="16"/>
                <w:szCs w:val="16"/>
                <w:lang w:val="sq-AL" w:eastAsia="sq-AL"/>
              </w:rPr>
            </w:pPr>
          </w:p>
        </w:tc>
        <w:tc>
          <w:tcPr>
            <w:tcW w:w="871" w:type="dxa"/>
            <w:tcBorders>
              <w:top w:val="nil"/>
              <w:left w:val="nil"/>
              <w:bottom w:val="single" w:sz="8" w:space="0" w:color="B8CCE4"/>
              <w:right w:val="single" w:sz="8" w:space="0" w:color="B8CCE4"/>
            </w:tcBorders>
            <w:vAlign w:val="center"/>
          </w:tcPr>
          <w:p w14:paraId="2DFBEBB4"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186,716</w:t>
            </w:r>
          </w:p>
        </w:tc>
        <w:tc>
          <w:tcPr>
            <w:tcW w:w="687" w:type="dxa"/>
            <w:tcBorders>
              <w:top w:val="nil"/>
              <w:left w:val="nil"/>
              <w:bottom w:val="single" w:sz="8" w:space="0" w:color="B8CCE4"/>
              <w:right w:val="single" w:sz="8" w:space="0" w:color="B8CCE4"/>
            </w:tcBorders>
            <w:vAlign w:val="center"/>
          </w:tcPr>
          <w:p w14:paraId="348E1276" w14:textId="77777777" w:rsidR="00C156A0" w:rsidRPr="00104106" w:rsidRDefault="00C156A0" w:rsidP="004E75E2">
            <w:pPr>
              <w:spacing w:before="0" w:line="240" w:lineRule="auto"/>
              <w:jc w:val="center"/>
              <w:rPr>
                <w:rFonts w:cs="Calibri"/>
                <w:color w:val="000000"/>
                <w:sz w:val="16"/>
                <w:szCs w:val="16"/>
                <w:lang w:val="sq-AL" w:eastAsia="sq-AL"/>
              </w:rPr>
            </w:pPr>
          </w:p>
        </w:tc>
        <w:tc>
          <w:tcPr>
            <w:tcW w:w="742" w:type="dxa"/>
            <w:tcBorders>
              <w:top w:val="nil"/>
              <w:left w:val="nil"/>
              <w:bottom w:val="single" w:sz="8" w:space="0" w:color="B8CCE4"/>
              <w:right w:val="single" w:sz="8" w:space="0" w:color="B8CCE4"/>
            </w:tcBorders>
            <w:vAlign w:val="center"/>
          </w:tcPr>
          <w:p w14:paraId="496709F0"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62%</w:t>
            </w:r>
          </w:p>
        </w:tc>
        <w:tc>
          <w:tcPr>
            <w:tcW w:w="723" w:type="dxa"/>
            <w:tcBorders>
              <w:top w:val="nil"/>
              <w:left w:val="nil"/>
              <w:bottom w:val="single" w:sz="8" w:space="0" w:color="B8CCE4"/>
              <w:right w:val="single" w:sz="8" w:space="0" w:color="B8CCE4"/>
            </w:tcBorders>
            <w:vAlign w:val="center"/>
          </w:tcPr>
          <w:p w14:paraId="10F52A8F" w14:textId="77777777" w:rsidR="00C156A0" w:rsidRPr="00104106" w:rsidRDefault="00C156A0" w:rsidP="004E75E2">
            <w:pPr>
              <w:spacing w:before="0" w:line="240" w:lineRule="auto"/>
              <w:jc w:val="center"/>
              <w:rPr>
                <w:rFonts w:cs="Calibri"/>
                <w:color w:val="000000"/>
                <w:sz w:val="16"/>
                <w:szCs w:val="16"/>
                <w:lang w:val="sq-AL" w:eastAsia="sq-AL"/>
              </w:rPr>
            </w:pPr>
          </w:p>
        </w:tc>
        <w:tc>
          <w:tcPr>
            <w:tcW w:w="742" w:type="dxa"/>
            <w:tcBorders>
              <w:top w:val="nil"/>
              <w:left w:val="nil"/>
              <w:bottom w:val="single" w:sz="8" w:space="0" w:color="B8CCE4"/>
              <w:right w:val="single" w:sz="8" w:space="0" w:color="B8CCE4"/>
            </w:tcBorders>
            <w:vAlign w:val="center"/>
          </w:tcPr>
          <w:p w14:paraId="286E78C8" w14:textId="77777777" w:rsidR="00C156A0" w:rsidRPr="00104106" w:rsidRDefault="00C156A0" w:rsidP="004E75E2">
            <w:pPr>
              <w:spacing w:before="0" w:line="240" w:lineRule="auto"/>
              <w:jc w:val="center"/>
              <w:rPr>
                <w:rFonts w:cs="Calibri"/>
                <w:color w:val="000000"/>
                <w:sz w:val="16"/>
                <w:szCs w:val="16"/>
                <w:lang w:val="sq-AL" w:eastAsia="sq-AL"/>
              </w:rPr>
            </w:pPr>
            <w:r w:rsidRPr="00104106">
              <w:rPr>
                <w:rFonts w:cs="Calibri"/>
                <w:color w:val="000000"/>
                <w:sz w:val="16"/>
                <w:szCs w:val="16"/>
                <w:lang w:val="sq-AL" w:eastAsia="sq-AL"/>
              </w:rPr>
              <w:t>62%</w:t>
            </w:r>
          </w:p>
        </w:tc>
      </w:tr>
      <w:tr w:rsidR="00C156A0" w:rsidRPr="00104106" w14:paraId="0747FD28" w14:textId="77777777" w:rsidTr="004E75E2">
        <w:trPr>
          <w:trHeight w:val="159"/>
          <w:jc w:val="center"/>
        </w:trPr>
        <w:tc>
          <w:tcPr>
            <w:tcW w:w="1812" w:type="dxa"/>
            <w:tcBorders>
              <w:top w:val="nil"/>
              <w:left w:val="nil"/>
              <w:bottom w:val="single" w:sz="8" w:space="0" w:color="B8CCE4"/>
              <w:right w:val="single" w:sz="8" w:space="0" w:color="B8CCE4"/>
            </w:tcBorders>
            <w:shd w:val="clear" w:color="000000" w:fill="366092"/>
            <w:vAlign w:val="center"/>
            <w:hideMark/>
          </w:tcPr>
          <w:p w14:paraId="279EF94C" w14:textId="77777777" w:rsidR="00C156A0" w:rsidRPr="00104106" w:rsidRDefault="00C156A0" w:rsidP="004E75E2">
            <w:pPr>
              <w:spacing w:line="240" w:lineRule="auto"/>
              <w:jc w:val="center"/>
              <w:rPr>
                <w:rFonts w:cs="Calibri"/>
                <w:b/>
                <w:bCs/>
                <w:color w:val="FFFFFF"/>
                <w:sz w:val="16"/>
                <w:szCs w:val="16"/>
              </w:rPr>
            </w:pPr>
            <w:r w:rsidRPr="00104106">
              <w:rPr>
                <w:rFonts w:cs="Calibri"/>
                <w:b/>
                <w:bCs/>
                <w:color w:val="FFFFFF"/>
                <w:sz w:val="16"/>
                <w:szCs w:val="16"/>
                <w:lang w:val="sq-AL"/>
              </w:rPr>
              <w:t>Gjithsej sipas natyrës</w:t>
            </w:r>
          </w:p>
        </w:tc>
        <w:tc>
          <w:tcPr>
            <w:tcW w:w="949" w:type="dxa"/>
            <w:tcBorders>
              <w:top w:val="nil"/>
              <w:left w:val="nil"/>
              <w:bottom w:val="single" w:sz="8" w:space="0" w:color="B8CCE4"/>
              <w:right w:val="single" w:sz="8" w:space="0" w:color="B8CCE4"/>
            </w:tcBorders>
            <w:shd w:val="clear" w:color="000000" w:fill="366092"/>
            <w:vAlign w:val="center"/>
          </w:tcPr>
          <w:p w14:paraId="18CE9E85"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56,303,997</w:t>
            </w:r>
          </w:p>
        </w:tc>
        <w:tc>
          <w:tcPr>
            <w:tcW w:w="871" w:type="dxa"/>
            <w:tcBorders>
              <w:top w:val="nil"/>
              <w:left w:val="nil"/>
              <w:bottom w:val="single" w:sz="8" w:space="0" w:color="B8CCE4"/>
              <w:right w:val="single" w:sz="8" w:space="0" w:color="B8CCE4"/>
            </w:tcBorders>
            <w:shd w:val="clear" w:color="000000" w:fill="366092"/>
            <w:vAlign w:val="center"/>
          </w:tcPr>
          <w:p w14:paraId="49A419D9"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5,084,000</w:t>
            </w:r>
          </w:p>
        </w:tc>
        <w:tc>
          <w:tcPr>
            <w:tcW w:w="949" w:type="dxa"/>
            <w:tcBorders>
              <w:top w:val="nil"/>
              <w:left w:val="nil"/>
              <w:bottom w:val="nil"/>
              <w:right w:val="single" w:sz="8" w:space="0" w:color="B8CCE4"/>
            </w:tcBorders>
            <w:shd w:val="clear" w:color="000000" w:fill="366092"/>
            <w:vAlign w:val="center"/>
          </w:tcPr>
          <w:p w14:paraId="37808940"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57,955,626</w:t>
            </w:r>
          </w:p>
        </w:tc>
        <w:tc>
          <w:tcPr>
            <w:tcW w:w="871" w:type="dxa"/>
            <w:tcBorders>
              <w:top w:val="nil"/>
              <w:left w:val="nil"/>
              <w:bottom w:val="nil"/>
              <w:right w:val="single" w:sz="8" w:space="0" w:color="B8CCE4"/>
            </w:tcBorders>
            <w:shd w:val="clear" w:color="000000" w:fill="366092"/>
            <w:vAlign w:val="center"/>
          </w:tcPr>
          <w:p w14:paraId="591E39E9"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4,719,157</w:t>
            </w:r>
          </w:p>
        </w:tc>
        <w:tc>
          <w:tcPr>
            <w:tcW w:w="949" w:type="dxa"/>
            <w:tcBorders>
              <w:top w:val="nil"/>
              <w:left w:val="nil"/>
              <w:bottom w:val="nil"/>
              <w:right w:val="single" w:sz="8" w:space="0" w:color="B8CCE4"/>
            </w:tcBorders>
            <w:shd w:val="clear" w:color="000000" w:fill="366092"/>
            <w:vAlign w:val="center"/>
          </w:tcPr>
          <w:p w14:paraId="77A07B6E"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55,177,744</w:t>
            </w:r>
          </w:p>
        </w:tc>
        <w:tc>
          <w:tcPr>
            <w:tcW w:w="871" w:type="dxa"/>
            <w:tcBorders>
              <w:top w:val="nil"/>
              <w:left w:val="nil"/>
              <w:bottom w:val="nil"/>
              <w:right w:val="single" w:sz="8" w:space="0" w:color="B8CCE4"/>
            </w:tcBorders>
            <w:shd w:val="clear" w:color="000000" w:fill="366092"/>
            <w:vAlign w:val="center"/>
          </w:tcPr>
          <w:p w14:paraId="62AC185B"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4,255,468</w:t>
            </w:r>
          </w:p>
        </w:tc>
        <w:tc>
          <w:tcPr>
            <w:tcW w:w="687" w:type="dxa"/>
            <w:tcBorders>
              <w:top w:val="nil"/>
              <w:left w:val="nil"/>
              <w:bottom w:val="single" w:sz="8" w:space="0" w:color="B8CCE4"/>
              <w:right w:val="single" w:sz="8" w:space="0" w:color="B8CCE4"/>
            </w:tcBorders>
            <w:shd w:val="clear" w:color="000000" w:fill="366092"/>
            <w:vAlign w:val="center"/>
          </w:tcPr>
          <w:p w14:paraId="7F2F3C63"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98%</w:t>
            </w:r>
          </w:p>
        </w:tc>
        <w:tc>
          <w:tcPr>
            <w:tcW w:w="742" w:type="dxa"/>
            <w:tcBorders>
              <w:top w:val="nil"/>
              <w:left w:val="nil"/>
              <w:bottom w:val="single" w:sz="8" w:space="0" w:color="B8CCE4"/>
              <w:right w:val="single" w:sz="8" w:space="0" w:color="B8CCE4"/>
            </w:tcBorders>
            <w:shd w:val="clear" w:color="000000" w:fill="366092"/>
            <w:vAlign w:val="center"/>
          </w:tcPr>
          <w:p w14:paraId="522CA04B"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83%</w:t>
            </w:r>
          </w:p>
        </w:tc>
        <w:tc>
          <w:tcPr>
            <w:tcW w:w="723" w:type="dxa"/>
            <w:tcBorders>
              <w:top w:val="nil"/>
              <w:left w:val="nil"/>
              <w:bottom w:val="single" w:sz="8" w:space="0" w:color="B8CCE4"/>
              <w:right w:val="single" w:sz="8" w:space="0" w:color="B8CCE4"/>
            </w:tcBorders>
            <w:shd w:val="clear" w:color="000000" w:fill="366092"/>
            <w:vAlign w:val="center"/>
          </w:tcPr>
          <w:p w14:paraId="150E40AE"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95%</w:t>
            </w:r>
          </w:p>
        </w:tc>
        <w:tc>
          <w:tcPr>
            <w:tcW w:w="742" w:type="dxa"/>
            <w:tcBorders>
              <w:top w:val="nil"/>
              <w:left w:val="nil"/>
              <w:bottom w:val="single" w:sz="8" w:space="0" w:color="B8CCE4"/>
              <w:right w:val="single" w:sz="8" w:space="0" w:color="B8CCE4"/>
            </w:tcBorders>
            <w:shd w:val="clear" w:color="000000" w:fill="366092"/>
            <w:vAlign w:val="center"/>
          </w:tcPr>
          <w:p w14:paraId="5ED4081C"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89%</w:t>
            </w:r>
          </w:p>
        </w:tc>
      </w:tr>
      <w:tr w:rsidR="00C156A0" w:rsidRPr="00104106" w14:paraId="6FC03E95" w14:textId="77777777" w:rsidTr="004E75E2">
        <w:trPr>
          <w:trHeight w:val="159"/>
          <w:jc w:val="center"/>
        </w:trPr>
        <w:tc>
          <w:tcPr>
            <w:tcW w:w="1812" w:type="dxa"/>
            <w:tcBorders>
              <w:top w:val="nil"/>
              <w:left w:val="single" w:sz="8" w:space="0" w:color="B8CCE4"/>
              <w:bottom w:val="single" w:sz="8" w:space="0" w:color="B8CCE4"/>
              <w:right w:val="single" w:sz="8" w:space="0" w:color="B8CCE4"/>
            </w:tcBorders>
            <w:shd w:val="clear" w:color="000000" w:fill="365F91"/>
            <w:vAlign w:val="center"/>
            <w:hideMark/>
          </w:tcPr>
          <w:p w14:paraId="6FC798FB" w14:textId="77777777" w:rsidR="00C156A0" w:rsidRPr="00104106" w:rsidRDefault="00C156A0" w:rsidP="004E75E2">
            <w:pPr>
              <w:spacing w:line="240" w:lineRule="auto"/>
              <w:jc w:val="center"/>
              <w:rPr>
                <w:rFonts w:cs="Calibri"/>
                <w:b/>
                <w:bCs/>
                <w:color w:val="FFFFFF"/>
                <w:sz w:val="16"/>
                <w:szCs w:val="16"/>
              </w:rPr>
            </w:pPr>
            <w:r w:rsidRPr="00104106">
              <w:rPr>
                <w:rFonts w:cs="Calibri"/>
                <w:b/>
                <w:bCs/>
                <w:color w:val="FFFFFF"/>
                <w:sz w:val="16"/>
                <w:szCs w:val="16"/>
                <w:lang w:val="sq-AL"/>
              </w:rPr>
              <w:t>Totali</w:t>
            </w:r>
          </w:p>
        </w:tc>
        <w:tc>
          <w:tcPr>
            <w:tcW w:w="1820" w:type="dxa"/>
            <w:gridSpan w:val="2"/>
            <w:tcBorders>
              <w:top w:val="single" w:sz="8" w:space="0" w:color="B8CCE4"/>
              <w:left w:val="nil"/>
              <w:bottom w:val="single" w:sz="8" w:space="0" w:color="B8CCE4"/>
              <w:right w:val="single" w:sz="8" w:space="0" w:color="B8CCE4"/>
            </w:tcBorders>
            <w:shd w:val="clear" w:color="000000" w:fill="365F91"/>
            <w:vAlign w:val="center"/>
          </w:tcPr>
          <w:p w14:paraId="5744D0E4"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61,387,997</w:t>
            </w:r>
          </w:p>
        </w:tc>
        <w:tc>
          <w:tcPr>
            <w:tcW w:w="1820" w:type="dxa"/>
            <w:gridSpan w:val="2"/>
            <w:tcBorders>
              <w:top w:val="single" w:sz="8" w:space="0" w:color="BFBFBF"/>
              <w:left w:val="nil"/>
              <w:bottom w:val="single" w:sz="8" w:space="0" w:color="B8CCE4"/>
              <w:right w:val="single" w:sz="8" w:space="0" w:color="B8CCE4"/>
            </w:tcBorders>
            <w:shd w:val="clear" w:color="000000" w:fill="365F91"/>
            <w:vAlign w:val="center"/>
          </w:tcPr>
          <w:p w14:paraId="060E907A"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62,674,783</w:t>
            </w:r>
          </w:p>
        </w:tc>
        <w:tc>
          <w:tcPr>
            <w:tcW w:w="1820" w:type="dxa"/>
            <w:gridSpan w:val="2"/>
            <w:tcBorders>
              <w:top w:val="single" w:sz="8" w:space="0" w:color="BFBFBF"/>
              <w:left w:val="nil"/>
              <w:bottom w:val="single" w:sz="8" w:space="0" w:color="B8CCE4"/>
              <w:right w:val="single" w:sz="8" w:space="0" w:color="B8CCE4"/>
            </w:tcBorders>
            <w:shd w:val="clear" w:color="000000" w:fill="365F91"/>
            <w:vAlign w:val="center"/>
          </w:tcPr>
          <w:p w14:paraId="77C93D08"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59,433,212</w:t>
            </w:r>
          </w:p>
        </w:tc>
        <w:tc>
          <w:tcPr>
            <w:tcW w:w="1429" w:type="dxa"/>
            <w:gridSpan w:val="2"/>
            <w:tcBorders>
              <w:top w:val="single" w:sz="8" w:space="0" w:color="B8CCE4"/>
              <w:left w:val="nil"/>
              <w:bottom w:val="single" w:sz="8" w:space="0" w:color="B8CCE4"/>
              <w:right w:val="single" w:sz="8" w:space="0" w:color="B8CCE4"/>
            </w:tcBorders>
            <w:shd w:val="clear" w:color="000000" w:fill="365F91"/>
            <w:vAlign w:val="center"/>
          </w:tcPr>
          <w:p w14:paraId="7E375C41"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97%</w:t>
            </w:r>
          </w:p>
        </w:tc>
        <w:tc>
          <w:tcPr>
            <w:tcW w:w="1465" w:type="dxa"/>
            <w:gridSpan w:val="2"/>
            <w:tcBorders>
              <w:top w:val="single" w:sz="8" w:space="0" w:color="B8CCE4"/>
              <w:left w:val="nil"/>
              <w:bottom w:val="single" w:sz="8" w:space="0" w:color="B8CCE4"/>
              <w:right w:val="single" w:sz="8" w:space="0" w:color="B8CCE4"/>
            </w:tcBorders>
            <w:shd w:val="clear" w:color="000000" w:fill="365F91"/>
            <w:vAlign w:val="center"/>
          </w:tcPr>
          <w:p w14:paraId="2CDB2FA9" w14:textId="77777777" w:rsidR="00C156A0" w:rsidRPr="00104106" w:rsidRDefault="00C156A0" w:rsidP="004E75E2">
            <w:pPr>
              <w:spacing w:line="240" w:lineRule="auto"/>
              <w:jc w:val="center"/>
              <w:rPr>
                <w:rFonts w:cs="Calibri"/>
                <w:b/>
                <w:bCs/>
                <w:color w:val="FFFFFF"/>
                <w:sz w:val="16"/>
                <w:szCs w:val="16"/>
                <w:lang w:val="sq-AL" w:eastAsia="sq-AL"/>
              </w:rPr>
            </w:pPr>
            <w:r w:rsidRPr="00104106">
              <w:rPr>
                <w:rFonts w:cs="Calibri"/>
                <w:b/>
                <w:bCs/>
                <w:color w:val="FFFFFF"/>
                <w:sz w:val="16"/>
                <w:szCs w:val="16"/>
                <w:lang w:val="sq-AL" w:eastAsia="sq-AL"/>
              </w:rPr>
              <w:t>95%</w:t>
            </w:r>
          </w:p>
        </w:tc>
      </w:tr>
    </w:tbl>
    <w:p w14:paraId="3D2DD250" w14:textId="46F9A4AB" w:rsidR="00C156A0" w:rsidRPr="00C156A0" w:rsidRDefault="00C156A0" w:rsidP="00671D4B">
      <w:pPr>
        <w:spacing w:before="0" w:line="240" w:lineRule="auto"/>
        <w:rPr>
          <w:rFonts w:cs="Calibri"/>
          <w:noProof/>
          <w:color w:val="000000"/>
          <w:spacing w:val="11"/>
          <w:szCs w:val="22"/>
          <w:lang w:val="sq-AL"/>
        </w:rPr>
      </w:pPr>
      <w:r w:rsidRPr="00C156A0">
        <w:rPr>
          <w:rFonts w:cs="Calibri"/>
          <w:noProof/>
          <w:spacing w:val="-2"/>
          <w:szCs w:val="22"/>
          <w:lang w:val="sq-AL"/>
        </w:rPr>
        <w:t>B</w:t>
      </w:r>
      <w:r w:rsidRPr="00C156A0">
        <w:rPr>
          <w:rFonts w:cs="Calibri"/>
          <w:noProof/>
          <w:szCs w:val="22"/>
          <w:lang w:val="sq-AL"/>
        </w:rPr>
        <w:t>u</w:t>
      </w:r>
      <w:r w:rsidRPr="00C156A0">
        <w:rPr>
          <w:rFonts w:cs="Calibri"/>
          <w:noProof/>
          <w:spacing w:val="2"/>
          <w:szCs w:val="22"/>
          <w:lang w:val="sq-AL"/>
        </w:rPr>
        <w:t>x</w:t>
      </w:r>
      <w:r w:rsidRPr="00C156A0">
        <w:rPr>
          <w:rFonts w:cs="Calibri"/>
          <w:noProof/>
          <w:szCs w:val="22"/>
          <w:lang w:val="sq-AL"/>
        </w:rPr>
        <w:t>h</w:t>
      </w:r>
      <w:r w:rsidRPr="00C156A0">
        <w:rPr>
          <w:rFonts w:cs="Calibri"/>
          <w:noProof/>
          <w:spacing w:val="-1"/>
          <w:szCs w:val="22"/>
          <w:lang w:val="sq-AL"/>
        </w:rPr>
        <w:t>e</w:t>
      </w:r>
      <w:r w:rsidRPr="00C156A0">
        <w:rPr>
          <w:rFonts w:cs="Calibri"/>
          <w:noProof/>
          <w:szCs w:val="22"/>
          <w:lang w:val="sq-AL"/>
        </w:rPr>
        <w:t xml:space="preserve">ti vjetor fillestar i Ministrisë së Arsimit u rishikua në rritje gjatë vitit 2025 prej rreth 2% nëpërmjet akteve normative për rishikimin e buxhetit, duke arritur në 62.7 </w:t>
      </w:r>
      <w:r w:rsidR="0056260B">
        <w:rPr>
          <w:rFonts w:cs="Calibri"/>
          <w:noProof/>
          <w:szCs w:val="22"/>
          <w:lang w:val="sq-AL"/>
        </w:rPr>
        <w:t>miliardë</w:t>
      </w:r>
      <w:r w:rsidRPr="00C156A0">
        <w:rPr>
          <w:rFonts w:cs="Calibri"/>
          <w:noProof/>
          <w:szCs w:val="22"/>
          <w:lang w:val="sq-AL"/>
        </w:rPr>
        <w:t xml:space="preserve"> LEK, nga të cilat u realizuan 59.4 </w:t>
      </w:r>
      <w:r w:rsidR="0056260B">
        <w:rPr>
          <w:rFonts w:cs="Calibri"/>
          <w:noProof/>
          <w:szCs w:val="22"/>
          <w:lang w:val="sq-AL"/>
        </w:rPr>
        <w:t>miliardë</w:t>
      </w:r>
      <w:r w:rsidRPr="00C156A0">
        <w:rPr>
          <w:rFonts w:cs="Calibri"/>
          <w:noProof/>
          <w:szCs w:val="22"/>
          <w:lang w:val="sq-AL"/>
        </w:rPr>
        <w:t xml:space="preserve"> LEK, ose 95 % e planit të rishikuar.  </w:t>
      </w:r>
    </w:p>
    <w:p w14:paraId="35ED0B08" w14:textId="77777777" w:rsidR="00671D4B" w:rsidRPr="00671D4B" w:rsidRDefault="00671D4B" w:rsidP="00671D4B">
      <w:pPr>
        <w:spacing w:before="0" w:line="240" w:lineRule="auto"/>
        <w:rPr>
          <w:rFonts w:cs="Calibri"/>
          <w:noProof/>
          <w:sz w:val="8"/>
          <w:szCs w:val="8"/>
          <w:lang w:val="sq-AL"/>
        </w:rPr>
      </w:pPr>
      <w:bookmarkStart w:id="251" w:name="_Hlk227833495"/>
    </w:p>
    <w:p w14:paraId="21EA2E64" w14:textId="0F331659" w:rsidR="00C156A0" w:rsidRPr="00C156A0" w:rsidRDefault="00C156A0" w:rsidP="00671D4B">
      <w:pPr>
        <w:spacing w:before="0" w:line="240" w:lineRule="auto"/>
        <w:rPr>
          <w:rFonts w:cs="Calibri"/>
          <w:noProof/>
          <w:szCs w:val="22"/>
          <w:lang w:val="sq-AL"/>
        </w:rPr>
      </w:pPr>
      <w:r w:rsidRPr="00C156A0">
        <w:rPr>
          <w:rFonts w:cs="Calibri"/>
          <w:noProof/>
          <w:szCs w:val="22"/>
          <w:lang w:val="sq-AL"/>
        </w:rPr>
        <w:t xml:space="preserve">Në programin </w:t>
      </w:r>
      <w:r w:rsidRPr="00C156A0">
        <w:rPr>
          <w:rFonts w:cs="Calibri"/>
          <w:b/>
          <w:noProof/>
          <w:szCs w:val="22"/>
          <w:lang w:val="sq-AL"/>
        </w:rPr>
        <w:t xml:space="preserve">“Arsimi Bazë” </w:t>
      </w:r>
      <w:r w:rsidRPr="00C156A0">
        <w:rPr>
          <w:rFonts w:cs="Calibri"/>
          <w:noProof/>
          <w:szCs w:val="22"/>
          <w:lang w:val="sq-AL"/>
        </w:rPr>
        <w:t>është ofruar shërbimi i mësimdhënies për 213,520 fëmijë në sistemin 9</w:t>
      </w:r>
      <w:r w:rsidR="00C57ACD">
        <w:rPr>
          <w:rFonts w:cs="Calibri"/>
          <w:noProof/>
          <w:szCs w:val="22"/>
          <w:lang w:val="sq-AL"/>
        </w:rPr>
        <w:t>vj</w:t>
      </w:r>
      <w:r w:rsidRPr="00C156A0">
        <w:rPr>
          <w:rFonts w:cs="Calibri"/>
          <w:noProof/>
          <w:szCs w:val="22"/>
          <w:lang w:val="sq-AL"/>
        </w:rPr>
        <w:t xml:space="preserve"> publik dhe rreth 56,928 fëmijë të grupmoshës 3-6 vjec që ndjekin arsimin parashkollor publik apo përkatësisht 88% e fëmijëve në sistemin 9</w:t>
      </w:r>
      <w:r w:rsidR="00C57ACD">
        <w:rPr>
          <w:rFonts w:cs="Calibri"/>
          <w:noProof/>
          <w:szCs w:val="22"/>
          <w:lang w:val="sq-AL"/>
        </w:rPr>
        <w:t>vj</w:t>
      </w:r>
      <w:r w:rsidRPr="00C156A0">
        <w:rPr>
          <w:rFonts w:cs="Calibri"/>
          <w:noProof/>
          <w:szCs w:val="22"/>
          <w:lang w:val="sq-AL"/>
        </w:rPr>
        <w:t xml:space="preserve"> dhe 86% e fëmijëve të grupmoshës 3-6 vjec ndjekin arsimin në institucionet publike.</w:t>
      </w:r>
    </w:p>
    <w:p w14:paraId="30027850" w14:textId="77777777" w:rsidR="00C156A0" w:rsidRPr="00C156A0" w:rsidRDefault="00C156A0" w:rsidP="00671D4B">
      <w:pPr>
        <w:spacing w:before="0" w:line="240" w:lineRule="auto"/>
        <w:rPr>
          <w:rFonts w:cs="Calibri"/>
          <w:noProof/>
          <w:szCs w:val="22"/>
          <w:lang w:val="sq-AL"/>
        </w:rPr>
      </w:pPr>
      <w:r w:rsidRPr="00C156A0">
        <w:rPr>
          <w:rFonts w:cs="Calibri"/>
          <w:noProof/>
          <w:szCs w:val="22"/>
          <w:lang w:val="sq-AL"/>
        </w:rPr>
        <w:t>Vëmendje e veçantë i është kushtuar uljes së braktisjes shkollore; tërheqjes së fëmijëve romë/egjiptianë dhe fëmijëve me aftësi të kufizuara. Përgjatë vitit 2025, për arritjen e qëllimit kanë kontribuar produktet, performanca e të cilave është realizuar, si më poshtë:</w:t>
      </w:r>
    </w:p>
    <w:p w14:paraId="69CE6190" w14:textId="7A367687"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35 000 nxënës që kanë vendbanimi mbi 2km nga shkolla si dhe 12,000 mësues që punojnë mbi 5 km nga vendbanimi/qendra e përhershme e punës, iu ofrua shërbimi i transportit me kosto faktike 1.2 </w:t>
      </w:r>
      <w:r w:rsidR="0056260B">
        <w:rPr>
          <w:rFonts w:cs="Calibri"/>
          <w:i/>
          <w:noProof/>
          <w:sz w:val="20"/>
          <w:szCs w:val="20"/>
          <w:lang w:val="sq-AL"/>
        </w:rPr>
        <w:t>miliardë</w:t>
      </w:r>
      <w:r w:rsidRPr="005C3555">
        <w:rPr>
          <w:rFonts w:cs="Calibri"/>
          <w:i/>
          <w:noProof/>
          <w:sz w:val="20"/>
          <w:szCs w:val="20"/>
          <w:lang w:val="sq-AL"/>
        </w:rPr>
        <w:t xml:space="preserve"> </w:t>
      </w:r>
      <w:r w:rsidR="0056260B">
        <w:rPr>
          <w:rFonts w:cs="Calibri"/>
          <w:i/>
          <w:noProof/>
          <w:sz w:val="20"/>
          <w:szCs w:val="20"/>
          <w:lang w:val="sq-AL"/>
        </w:rPr>
        <w:t>LEK</w:t>
      </w:r>
      <w:r w:rsidRPr="005C3555">
        <w:rPr>
          <w:rFonts w:cs="Calibri"/>
          <w:i/>
          <w:noProof/>
          <w:sz w:val="20"/>
          <w:szCs w:val="20"/>
          <w:lang w:val="sq-AL"/>
        </w:rPr>
        <w:t xml:space="preserve"> ose 96.5% e fondeve të miratuara për vitin 2025.</w:t>
      </w:r>
    </w:p>
    <w:p w14:paraId="2D81BC9C" w14:textId="45E6CF28"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Përfituan tekste shkollore falas për përdorim, të gjithë nxënësit nga klasa e parë në klasën e nëntë me efekt financiar rreth 1.2 </w:t>
      </w:r>
      <w:r w:rsidR="0056260B">
        <w:rPr>
          <w:rFonts w:cs="Calibri"/>
          <w:i/>
          <w:noProof/>
          <w:sz w:val="20"/>
          <w:szCs w:val="20"/>
          <w:lang w:val="sq-AL"/>
        </w:rPr>
        <w:t>miliardë</w:t>
      </w:r>
      <w:r w:rsidRPr="005C3555">
        <w:rPr>
          <w:rFonts w:cs="Calibri"/>
          <w:i/>
          <w:noProof/>
          <w:sz w:val="20"/>
          <w:szCs w:val="20"/>
          <w:lang w:val="sq-AL"/>
        </w:rPr>
        <w:t xml:space="preserve"> LEK e fondeve të miratuara për vitin 2025.</w:t>
      </w:r>
    </w:p>
    <w:p w14:paraId="652D8AB4" w14:textId="6D7AF098" w:rsidR="00C156A0" w:rsidRPr="005C3555" w:rsidRDefault="00C156A0" w:rsidP="00671D4B">
      <w:pPr>
        <w:numPr>
          <w:ilvl w:val="0"/>
          <w:numId w:val="8"/>
        </w:numPr>
        <w:shd w:val="clear" w:color="auto" w:fill="FFFFFF"/>
        <w:spacing w:before="0" w:line="240" w:lineRule="auto"/>
        <w:contextualSpacing/>
        <w:rPr>
          <w:rFonts w:cs="Calibri"/>
          <w:i/>
          <w:noProof/>
          <w:sz w:val="20"/>
          <w:szCs w:val="20"/>
          <w:lang w:val="sq-AL"/>
        </w:rPr>
      </w:pPr>
      <w:r w:rsidRPr="005C3555">
        <w:rPr>
          <w:rFonts w:cs="Calibri"/>
          <w:i/>
          <w:noProof/>
          <w:sz w:val="20"/>
          <w:szCs w:val="20"/>
          <w:lang w:val="sq-AL"/>
        </w:rPr>
        <w:t xml:space="preserve">Nxënës me aftësi të veçanta janë mbështetur për mbulimin e shpenzimeve për bursa dhe kuotë ushqimore më një kosto prej 230.1 </w:t>
      </w:r>
      <w:r w:rsidR="0056260B">
        <w:rPr>
          <w:rFonts w:cs="Calibri"/>
          <w:i/>
          <w:noProof/>
          <w:sz w:val="20"/>
          <w:szCs w:val="20"/>
          <w:lang w:val="sq-AL"/>
        </w:rPr>
        <w:t>milionë</w:t>
      </w:r>
      <w:r w:rsidRPr="005C3555">
        <w:rPr>
          <w:rFonts w:cs="Calibri"/>
          <w:i/>
          <w:noProof/>
          <w:sz w:val="20"/>
          <w:szCs w:val="20"/>
          <w:lang w:val="sq-AL"/>
        </w:rPr>
        <w:t xml:space="preserve"> LEK ose 86.7% e fondeve të miratuara për vitin 2025 si dhe janë mbështetur për të mbuluar shpenzimet për shërbimin arsimor me efekt financiar 26.6 </w:t>
      </w:r>
      <w:r w:rsidR="0056260B">
        <w:rPr>
          <w:rFonts w:cs="Calibri"/>
          <w:i/>
          <w:noProof/>
          <w:sz w:val="20"/>
          <w:szCs w:val="20"/>
          <w:lang w:val="sq-AL"/>
        </w:rPr>
        <w:t>milionë</w:t>
      </w:r>
      <w:r w:rsidRPr="005C3555">
        <w:rPr>
          <w:rFonts w:cs="Calibri"/>
          <w:i/>
          <w:noProof/>
          <w:sz w:val="20"/>
          <w:szCs w:val="20"/>
          <w:lang w:val="sq-AL"/>
        </w:rPr>
        <w:t xml:space="preserve"> LEK ose 93.6% e fondeve të miratuara për 2025. </w:t>
      </w:r>
    </w:p>
    <w:p w14:paraId="0FF84AB4" w14:textId="77777777" w:rsidR="00671D4B" w:rsidRPr="00671D4B" w:rsidRDefault="00671D4B" w:rsidP="00671D4B">
      <w:pPr>
        <w:spacing w:before="0" w:line="240" w:lineRule="auto"/>
        <w:rPr>
          <w:rFonts w:cs="Calibri"/>
          <w:noProof/>
          <w:sz w:val="8"/>
          <w:szCs w:val="8"/>
          <w:lang w:val="sq-AL"/>
        </w:rPr>
      </w:pPr>
      <w:bookmarkStart w:id="252" w:name="_Hlk227833576"/>
      <w:bookmarkEnd w:id="251"/>
    </w:p>
    <w:p w14:paraId="6D060A9B" w14:textId="61CCFC4F" w:rsidR="00C156A0" w:rsidRPr="00C156A0" w:rsidRDefault="00C156A0" w:rsidP="00671D4B">
      <w:pPr>
        <w:spacing w:before="0" w:line="240" w:lineRule="auto"/>
        <w:rPr>
          <w:rFonts w:cs="Calibri"/>
          <w:noProof/>
          <w:szCs w:val="22"/>
          <w:lang w:val="sq-AL"/>
        </w:rPr>
      </w:pPr>
      <w:r w:rsidRPr="00C156A0">
        <w:rPr>
          <w:rFonts w:cs="Calibri"/>
          <w:noProof/>
          <w:szCs w:val="22"/>
          <w:lang w:val="sq-AL"/>
        </w:rPr>
        <w:t xml:space="preserve">Në programin </w:t>
      </w:r>
      <w:r w:rsidRPr="00C156A0">
        <w:rPr>
          <w:rFonts w:cs="Calibri"/>
          <w:b/>
          <w:noProof/>
          <w:szCs w:val="22"/>
          <w:lang w:val="sq-AL"/>
        </w:rPr>
        <w:t>“</w:t>
      </w:r>
      <w:r w:rsidRPr="004D5227">
        <w:rPr>
          <w:rFonts w:cs="Calibri"/>
          <w:b/>
          <w:noProof/>
          <w:szCs w:val="22"/>
          <w:lang w:val="sq-AL"/>
        </w:rPr>
        <w:t>Arsimi Mesëm i Përgjithshëm”</w:t>
      </w:r>
      <w:r w:rsidRPr="004D5227">
        <w:rPr>
          <w:rFonts w:cs="Calibri"/>
          <w:noProof/>
          <w:szCs w:val="22"/>
          <w:lang w:val="sq-AL"/>
        </w:rPr>
        <w:t>, janë 60,027 nxënës që u regjistruan dhe ndjekin arsimin e mesëm në institucionet arsimore publike apo 83</w:t>
      </w:r>
      <w:r w:rsidRPr="00C156A0">
        <w:rPr>
          <w:rFonts w:cs="Calibri"/>
          <w:noProof/>
          <w:szCs w:val="22"/>
          <w:lang w:val="sq-AL"/>
        </w:rPr>
        <w:t xml:space="preserve">% e nxënësve ndjekin arsimin e mesëm në institucionet publike. </w:t>
      </w:r>
      <w:r w:rsidR="00C64978">
        <w:rPr>
          <w:rFonts w:cs="Calibri"/>
          <w:noProof/>
          <w:szCs w:val="22"/>
          <w:lang w:val="sq-AL"/>
        </w:rPr>
        <w:t>G</w:t>
      </w:r>
      <w:r w:rsidRPr="00C156A0">
        <w:rPr>
          <w:rFonts w:cs="Calibri"/>
          <w:noProof/>
          <w:szCs w:val="22"/>
          <w:lang w:val="sq-AL"/>
        </w:rPr>
        <w:t>jatë</w:t>
      </w:r>
      <w:r w:rsidR="00C64978">
        <w:rPr>
          <w:rFonts w:cs="Calibri"/>
          <w:noProof/>
          <w:szCs w:val="22"/>
          <w:lang w:val="sq-AL"/>
        </w:rPr>
        <w:t xml:space="preserve"> 2025</w:t>
      </w:r>
      <w:r w:rsidRPr="00C156A0">
        <w:rPr>
          <w:rFonts w:cs="Calibri"/>
          <w:noProof/>
          <w:szCs w:val="22"/>
          <w:lang w:val="sq-AL"/>
        </w:rPr>
        <w:t xml:space="preserve">, për arritjen e qëllimit kanë kontribuar produktet, performanca e të cilave është realizuar si </w:t>
      </w:r>
      <w:r w:rsidR="00C64978">
        <w:rPr>
          <w:rFonts w:cs="Calibri"/>
          <w:noProof/>
          <w:szCs w:val="22"/>
          <w:lang w:val="sq-AL"/>
        </w:rPr>
        <w:t>vijon</w:t>
      </w:r>
      <w:r w:rsidRPr="00C156A0">
        <w:rPr>
          <w:rFonts w:cs="Calibri"/>
          <w:noProof/>
          <w:szCs w:val="22"/>
          <w:lang w:val="sq-AL"/>
        </w:rPr>
        <w:t>:</w:t>
      </w:r>
    </w:p>
    <w:p w14:paraId="38CD1BF7" w14:textId="7ED42639" w:rsidR="000F0D9E" w:rsidRPr="005C3555" w:rsidRDefault="000F0D9E"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Rreth 13 000 nxënës të grupeve sociale në nevojë kanë përfituar tekste mësimore falas, për vitin 2025, shoqëruar me kosto faktike  119.4 </w:t>
      </w:r>
      <w:r w:rsidR="0056260B">
        <w:rPr>
          <w:rFonts w:cs="Calibri"/>
          <w:i/>
          <w:noProof/>
          <w:sz w:val="20"/>
          <w:szCs w:val="20"/>
          <w:lang w:val="sq-AL"/>
        </w:rPr>
        <w:t>milionë</w:t>
      </w:r>
      <w:r w:rsidRPr="005C3555">
        <w:rPr>
          <w:rFonts w:cs="Calibri"/>
          <w:i/>
          <w:noProof/>
          <w:sz w:val="20"/>
          <w:szCs w:val="20"/>
          <w:lang w:val="sq-AL"/>
        </w:rPr>
        <w:t xml:space="preserve"> LEK.</w:t>
      </w:r>
    </w:p>
    <w:p w14:paraId="1BD1BF84" w14:textId="341BA903"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2 641 mësuesve të AML ju ofrua shërbimi i transportit me fonde të buxhetit, për të mbuluar shpenzimet për transportin për vitin 2025, shoqëruar me kosto faktike  74.6 </w:t>
      </w:r>
      <w:r w:rsidR="0056260B">
        <w:rPr>
          <w:rFonts w:cs="Calibri"/>
          <w:i/>
          <w:noProof/>
          <w:sz w:val="20"/>
          <w:szCs w:val="20"/>
          <w:lang w:val="sq-AL"/>
        </w:rPr>
        <w:t>milionë</w:t>
      </w:r>
      <w:r w:rsidRPr="005C3555">
        <w:rPr>
          <w:rFonts w:cs="Calibri"/>
          <w:i/>
          <w:noProof/>
          <w:sz w:val="20"/>
          <w:szCs w:val="20"/>
          <w:lang w:val="sq-AL"/>
        </w:rPr>
        <w:t xml:space="preserve"> LEK.</w:t>
      </w:r>
    </w:p>
    <w:p w14:paraId="7DB2530A" w14:textId="5328FBE2"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Realizimi i veprimtarisë së maturës shtetërore, provimet e shtetit, si dhe testime kombëtare dhe ndërkombëtare për 26,774 nxënës me kosto faktike 24.99 </w:t>
      </w:r>
      <w:r w:rsidR="0056260B">
        <w:rPr>
          <w:rFonts w:cs="Calibri"/>
          <w:i/>
          <w:noProof/>
          <w:sz w:val="20"/>
          <w:szCs w:val="20"/>
          <w:lang w:val="sq-AL"/>
        </w:rPr>
        <w:t>milionë</w:t>
      </w:r>
      <w:r w:rsidRPr="005C3555">
        <w:rPr>
          <w:rFonts w:cs="Calibri"/>
          <w:i/>
          <w:noProof/>
          <w:sz w:val="20"/>
          <w:szCs w:val="20"/>
          <w:lang w:val="sq-AL"/>
        </w:rPr>
        <w:t xml:space="preserve"> LEK.</w:t>
      </w:r>
    </w:p>
    <w:p w14:paraId="28FA0F22" w14:textId="77777777" w:rsidR="00134139" w:rsidRPr="00C64978" w:rsidRDefault="00134139" w:rsidP="00671D4B">
      <w:pPr>
        <w:spacing w:before="0" w:line="240" w:lineRule="auto"/>
        <w:rPr>
          <w:rFonts w:eastAsia="Batang" w:cs="Calibri"/>
          <w:noProof/>
          <w:sz w:val="4"/>
          <w:szCs w:val="4"/>
          <w:lang w:val="sq-AL" w:eastAsia="ko-KR"/>
        </w:rPr>
      </w:pPr>
      <w:bookmarkStart w:id="253" w:name="_Hlk227833600"/>
      <w:bookmarkEnd w:id="252"/>
    </w:p>
    <w:p w14:paraId="6B60248F" w14:textId="77777777" w:rsidR="00671D4B" w:rsidRPr="00671D4B" w:rsidRDefault="00671D4B" w:rsidP="00671D4B">
      <w:pPr>
        <w:spacing w:before="0" w:line="240" w:lineRule="auto"/>
        <w:rPr>
          <w:rFonts w:eastAsia="Batang" w:cs="Calibri"/>
          <w:noProof/>
          <w:sz w:val="8"/>
          <w:szCs w:val="8"/>
          <w:lang w:val="sq-AL" w:eastAsia="ko-KR"/>
        </w:rPr>
      </w:pPr>
    </w:p>
    <w:p w14:paraId="5B1C76EB" w14:textId="6B3A60A6" w:rsidR="00C156A0" w:rsidRPr="00C156A0" w:rsidRDefault="00C156A0" w:rsidP="00671D4B">
      <w:pPr>
        <w:spacing w:before="0" w:line="240" w:lineRule="auto"/>
        <w:rPr>
          <w:rFonts w:cs="Calibri"/>
          <w:noProof/>
          <w:szCs w:val="22"/>
          <w:lang w:val="sq-AL"/>
        </w:rPr>
      </w:pPr>
      <w:r w:rsidRPr="00C156A0">
        <w:rPr>
          <w:rFonts w:eastAsia="Batang" w:cs="Calibri"/>
          <w:noProof/>
          <w:szCs w:val="22"/>
          <w:lang w:val="sq-AL" w:eastAsia="ko-KR"/>
        </w:rPr>
        <w:t xml:space="preserve">Në programin </w:t>
      </w:r>
      <w:r w:rsidRPr="00C156A0">
        <w:rPr>
          <w:rFonts w:eastAsia="Batang" w:cs="Calibri"/>
          <w:b/>
          <w:noProof/>
          <w:szCs w:val="22"/>
          <w:lang w:val="sq-AL" w:eastAsia="ko-KR"/>
        </w:rPr>
        <w:t>“</w:t>
      </w:r>
      <w:r w:rsidRPr="004D5227">
        <w:rPr>
          <w:rFonts w:eastAsia="Batang" w:cs="Calibri"/>
          <w:b/>
          <w:noProof/>
          <w:szCs w:val="22"/>
          <w:lang w:val="sq-AL" w:eastAsia="ko-KR"/>
        </w:rPr>
        <w:t xml:space="preserve">Arsimi </w:t>
      </w:r>
      <w:r w:rsidR="004D5227">
        <w:rPr>
          <w:rFonts w:eastAsia="Batang" w:cs="Calibri"/>
          <w:b/>
          <w:noProof/>
          <w:szCs w:val="22"/>
          <w:lang w:val="sq-AL" w:eastAsia="ko-KR"/>
        </w:rPr>
        <w:t>Universitar</w:t>
      </w:r>
      <w:r w:rsidRPr="00C156A0">
        <w:rPr>
          <w:rFonts w:eastAsia="Batang" w:cs="Calibri"/>
          <w:b/>
          <w:noProof/>
          <w:szCs w:val="22"/>
          <w:lang w:val="sq-AL" w:eastAsia="ko-KR"/>
        </w:rPr>
        <w:t>”,</w:t>
      </w:r>
      <w:r w:rsidRPr="00C156A0">
        <w:rPr>
          <w:rFonts w:eastAsia="Batang" w:cs="Calibri"/>
          <w:noProof/>
          <w:szCs w:val="22"/>
          <w:lang w:val="sq-AL" w:eastAsia="ko-KR"/>
        </w:rPr>
        <w:t xml:space="preserve"> gjatë vitit 2025, tashmë me një reformë tërësore të sistemit të arsimit të lartë, që synon rritjen e cilësisë në të gjithë sistemin, pa cënuar aspak mundësitë e të rinjve për t’u arsimuar,</w:t>
      </w:r>
      <w:r w:rsidRPr="00C156A0">
        <w:rPr>
          <w:rFonts w:cs="Calibri"/>
          <w:noProof/>
          <w:szCs w:val="22"/>
          <w:lang w:val="sq-AL"/>
        </w:rPr>
        <w:t xml:space="preserve"> numri i studentëve në ciklin e parë të studimeve në IAL publike është rreth 59,260 dhe rreth 21,738 studentë që ndjekin ciklin e dytë dhe të tretë të studimeve në IAL publike.Përgjatë vitit 2025, për arritjen e qëllimit kanë kontribuar produktet, performanca e të cilave është realizuar, si më poshtë:</w:t>
      </w:r>
    </w:p>
    <w:p w14:paraId="6E0B095C" w14:textId="3F0E37D9"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lastRenderedPageBreak/>
        <w:t xml:space="preserve">11 000 studentë kanë përfituar bursa dhe mbështetje financiare për akomodim në shtëpitë e studentëve me një kosto vjetore </w:t>
      </w:r>
      <w:r w:rsidR="000F0D9E" w:rsidRPr="005C3555">
        <w:rPr>
          <w:rFonts w:cs="Calibri"/>
          <w:i/>
          <w:noProof/>
          <w:sz w:val="20"/>
          <w:szCs w:val="20"/>
          <w:lang w:val="sq-AL"/>
        </w:rPr>
        <w:t xml:space="preserve">794 </w:t>
      </w:r>
      <w:r w:rsidRPr="005C3555">
        <w:rPr>
          <w:rFonts w:cs="Calibri"/>
          <w:i/>
          <w:noProof/>
          <w:sz w:val="20"/>
          <w:szCs w:val="20"/>
          <w:lang w:val="sq-AL"/>
        </w:rPr>
        <w:t xml:space="preserve"> </w:t>
      </w:r>
      <w:r w:rsidR="0056260B">
        <w:rPr>
          <w:rFonts w:cs="Calibri"/>
          <w:i/>
          <w:noProof/>
          <w:sz w:val="20"/>
          <w:szCs w:val="20"/>
          <w:lang w:val="sq-AL"/>
        </w:rPr>
        <w:t>milionë</w:t>
      </w:r>
      <w:r w:rsidRPr="005C3555">
        <w:rPr>
          <w:rFonts w:cs="Calibri"/>
          <w:i/>
          <w:noProof/>
          <w:sz w:val="20"/>
          <w:szCs w:val="20"/>
          <w:lang w:val="sq-AL"/>
        </w:rPr>
        <w:t xml:space="preserve"> LEK.</w:t>
      </w:r>
    </w:p>
    <w:p w14:paraId="3872EF28" w14:textId="400690E8" w:rsidR="00C156A0" w:rsidRPr="005C3555" w:rsidRDefault="00C156A0" w:rsidP="00671D4B">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7 000 studentë kanë përfituar akomodim në një nga tetë “Shoqërite e Trajtimit të Studentëve në Tiranë dhe në Rrethe” me efekt financiar për vitin 2025 prej 285 </w:t>
      </w:r>
      <w:r w:rsidR="0056260B">
        <w:rPr>
          <w:rFonts w:cs="Calibri"/>
          <w:i/>
          <w:noProof/>
          <w:sz w:val="20"/>
          <w:szCs w:val="20"/>
          <w:lang w:val="sq-AL"/>
        </w:rPr>
        <w:t>milionë</w:t>
      </w:r>
      <w:r w:rsidRPr="005C3555">
        <w:rPr>
          <w:rFonts w:cs="Calibri"/>
          <w:i/>
          <w:noProof/>
          <w:sz w:val="20"/>
          <w:szCs w:val="20"/>
          <w:lang w:val="sq-AL"/>
        </w:rPr>
        <w:t xml:space="preserve"> LEK.</w:t>
      </w:r>
    </w:p>
    <w:p w14:paraId="37D44E4B" w14:textId="03D0136B" w:rsidR="00C156A0" w:rsidRPr="005C3555" w:rsidRDefault="00C156A0" w:rsidP="00671D4B">
      <w:pPr>
        <w:numPr>
          <w:ilvl w:val="0"/>
          <w:numId w:val="8"/>
        </w:numPr>
        <w:shd w:val="clear" w:color="auto" w:fill="FFFFFF"/>
        <w:spacing w:before="0" w:line="240" w:lineRule="auto"/>
        <w:contextualSpacing/>
        <w:rPr>
          <w:rFonts w:cs="Calibri"/>
          <w:i/>
          <w:noProof/>
          <w:sz w:val="20"/>
          <w:szCs w:val="20"/>
          <w:lang w:val="sq-AL"/>
        </w:rPr>
      </w:pPr>
      <w:r w:rsidRPr="005C3555">
        <w:rPr>
          <w:rFonts w:cs="Calibri"/>
          <w:i/>
          <w:noProof/>
          <w:sz w:val="20"/>
          <w:szCs w:val="20"/>
          <w:lang w:val="sq-AL"/>
        </w:rPr>
        <w:t>350 studentë të shkëlqyer që studiojnë në programet prioritare me efekt financiar për vitin 2025 prej 150</w:t>
      </w:r>
      <w:r w:rsidR="00134139">
        <w:rPr>
          <w:rFonts w:cs="Calibri"/>
          <w:i/>
          <w:noProof/>
          <w:sz w:val="20"/>
          <w:szCs w:val="20"/>
          <w:lang w:val="sq-AL"/>
        </w:rPr>
        <w:t>mln</w:t>
      </w:r>
      <w:r w:rsidRPr="005C3555">
        <w:rPr>
          <w:rFonts w:cs="Calibri"/>
          <w:i/>
          <w:noProof/>
          <w:sz w:val="20"/>
          <w:szCs w:val="20"/>
          <w:lang w:val="sq-AL"/>
        </w:rPr>
        <w:t xml:space="preserve"> LEK.</w:t>
      </w:r>
      <w:bookmarkEnd w:id="253"/>
    </w:p>
    <w:p w14:paraId="66CC5974" w14:textId="77777777" w:rsidR="00C156A0" w:rsidRPr="00C156A0" w:rsidRDefault="00C156A0" w:rsidP="008D3175">
      <w:pPr>
        <w:spacing w:line="240" w:lineRule="auto"/>
        <w:rPr>
          <w:rFonts w:cs="Calibri"/>
          <w:noProof/>
          <w:szCs w:val="22"/>
          <w:lang w:val="sq-AL"/>
        </w:rPr>
      </w:pPr>
      <w:r w:rsidRPr="00C156A0">
        <w:rPr>
          <w:rFonts w:cs="Calibri"/>
          <w:color w:val="000000"/>
          <w:szCs w:val="22"/>
          <w:lang w:val="sq-AL"/>
        </w:rPr>
        <w:t xml:space="preserve">Në programin </w:t>
      </w:r>
      <w:r w:rsidRPr="00C156A0">
        <w:rPr>
          <w:rFonts w:cs="Calibri"/>
          <w:b/>
          <w:color w:val="000000"/>
          <w:szCs w:val="22"/>
          <w:lang w:val="sq-AL"/>
        </w:rPr>
        <w:t>“Kërkimi Shkencor”</w:t>
      </w:r>
      <w:r w:rsidRPr="00C156A0">
        <w:rPr>
          <w:rFonts w:cs="Calibri"/>
          <w:bCs/>
          <w:color w:val="000000"/>
          <w:szCs w:val="22"/>
          <w:lang w:val="sq-AL"/>
        </w:rPr>
        <w:t xml:space="preserve"> synohet integrimi i kërkimit shkencor shqiptar në hapësirën Evropiane të Kërkimit (ERA). </w:t>
      </w:r>
      <w:r w:rsidRPr="00C156A0">
        <w:rPr>
          <w:rFonts w:cs="Calibri"/>
          <w:color w:val="000000"/>
          <w:szCs w:val="22"/>
          <w:lang w:val="sq-AL"/>
        </w:rPr>
        <w:t xml:space="preserve">Në këtë kuadër, </w:t>
      </w:r>
      <w:r w:rsidRPr="00C156A0">
        <w:rPr>
          <w:rFonts w:cs="Calibri"/>
          <w:noProof/>
          <w:szCs w:val="22"/>
          <w:lang w:val="sq-AL"/>
        </w:rPr>
        <w:t>përgjatë vitit 2025, për arritjen e qëllimit kanë kontribuar produktet, performanca e të cilave është realizuar, si më poshtë:</w:t>
      </w:r>
    </w:p>
    <w:p w14:paraId="4890988C" w14:textId="48FC997F" w:rsidR="00C156A0" w:rsidRPr="005C3555" w:rsidRDefault="00C156A0" w:rsidP="008D3175">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U financuan rreth 3 500 kërkues për kërkime fondamentale në masën 146 </w:t>
      </w:r>
      <w:r w:rsidR="0056260B">
        <w:rPr>
          <w:rFonts w:cs="Calibri"/>
          <w:i/>
          <w:noProof/>
          <w:sz w:val="20"/>
          <w:szCs w:val="20"/>
          <w:lang w:val="sq-AL"/>
        </w:rPr>
        <w:t>milionë</w:t>
      </w:r>
      <w:r w:rsidRPr="005C3555">
        <w:rPr>
          <w:rFonts w:cs="Calibri"/>
          <w:i/>
          <w:noProof/>
          <w:sz w:val="20"/>
          <w:szCs w:val="20"/>
          <w:lang w:val="sq-AL"/>
        </w:rPr>
        <w:t xml:space="preserve"> LEK për vitin 2025.</w:t>
      </w:r>
    </w:p>
    <w:p w14:paraId="26752E83" w14:textId="3B7205BF" w:rsidR="00104106" w:rsidRDefault="00C156A0" w:rsidP="008D3175">
      <w:pPr>
        <w:numPr>
          <w:ilvl w:val="0"/>
          <w:numId w:val="8"/>
        </w:numPr>
        <w:shd w:val="clear" w:color="auto" w:fill="FFFFFF"/>
        <w:spacing w:before="0" w:after="160" w:line="240" w:lineRule="auto"/>
        <w:contextualSpacing/>
        <w:rPr>
          <w:rFonts w:cs="Calibri"/>
          <w:i/>
          <w:noProof/>
          <w:sz w:val="20"/>
          <w:szCs w:val="20"/>
          <w:lang w:val="sq-AL"/>
        </w:rPr>
      </w:pPr>
      <w:r w:rsidRPr="005C3555">
        <w:rPr>
          <w:rFonts w:cs="Calibri"/>
          <w:i/>
          <w:noProof/>
          <w:sz w:val="20"/>
          <w:szCs w:val="20"/>
          <w:lang w:val="sq-AL"/>
        </w:rPr>
        <w:t xml:space="preserve">U zhvilluan 10-15% më shumë projekte bashkëpunimi të Universiteteve me biznesin privat në Programet Kombëtare të Kërkimit dhe Zhvillimit, programet Kombëtare dhe Ndërkombëtare në krahasim me një vit më parë me kosto </w:t>
      </w:r>
      <w:r w:rsidRPr="00461F83">
        <w:rPr>
          <w:rFonts w:cs="Calibri"/>
          <w:i/>
          <w:noProof/>
          <w:sz w:val="20"/>
          <w:szCs w:val="20"/>
          <w:lang w:val="sq-AL"/>
        </w:rPr>
        <w:t xml:space="preserve">faktike </w:t>
      </w:r>
      <w:r w:rsidRPr="005C3555">
        <w:rPr>
          <w:rFonts w:cs="Calibri"/>
          <w:i/>
          <w:noProof/>
          <w:sz w:val="20"/>
          <w:szCs w:val="20"/>
          <w:lang w:val="sq-AL"/>
        </w:rPr>
        <w:t xml:space="preserve">rreth 29 </w:t>
      </w:r>
      <w:r w:rsidR="0056260B">
        <w:rPr>
          <w:rFonts w:cs="Calibri"/>
          <w:i/>
          <w:noProof/>
          <w:sz w:val="20"/>
          <w:szCs w:val="20"/>
          <w:lang w:val="sq-AL"/>
        </w:rPr>
        <w:t>milionë</w:t>
      </w:r>
      <w:r w:rsidRPr="005C3555">
        <w:rPr>
          <w:rFonts w:cs="Calibri"/>
          <w:i/>
          <w:noProof/>
          <w:sz w:val="20"/>
          <w:szCs w:val="20"/>
          <w:lang w:val="sq-AL"/>
        </w:rPr>
        <w:t xml:space="preserve"> LEK.</w:t>
      </w:r>
    </w:p>
    <w:p w14:paraId="567610A0" w14:textId="77777777" w:rsidR="008D3175" w:rsidRPr="008D3175" w:rsidRDefault="008D3175" w:rsidP="008D3175">
      <w:pPr>
        <w:shd w:val="clear" w:color="auto" w:fill="FFFFFF"/>
        <w:spacing w:before="0" w:after="160" w:line="240" w:lineRule="auto"/>
        <w:ind w:left="720"/>
        <w:contextualSpacing/>
        <w:rPr>
          <w:rFonts w:cs="Calibri"/>
          <w:i/>
          <w:noProof/>
          <w:sz w:val="8"/>
          <w:szCs w:val="8"/>
          <w:lang w:val="sq-AL"/>
        </w:rPr>
      </w:pPr>
    </w:p>
    <w:p w14:paraId="3B4C6988" w14:textId="13F7BB18" w:rsidR="00104106" w:rsidRPr="00104106" w:rsidRDefault="00C156A0" w:rsidP="008D3175">
      <w:pPr>
        <w:shd w:val="clear" w:color="auto" w:fill="FFFFFF" w:themeFill="background1"/>
        <w:spacing w:line="240" w:lineRule="auto"/>
        <w:rPr>
          <w:rFonts w:asciiTheme="majorHAnsi" w:hAnsiTheme="majorHAnsi" w:cs="Calibri Light"/>
          <w:noProof/>
          <w:szCs w:val="22"/>
          <w:lang w:val="sq-AL"/>
        </w:rPr>
      </w:pPr>
      <w:r w:rsidRPr="00104106">
        <w:rPr>
          <w:rFonts w:eastAsia="Cambria" w:cs="Calibri"/>
          <w:noProof/>
          <w:lang w:val="sq-AL"/>
        </w:rPr>
        <w:t xml:space="preserve">Sa u përket </w:t>
      </w:r>
      <w:r w:rsidRPr="00104106">
        <w:rPr>
          <w:rFonts w:eastAsia="Cambria" w:cs="Calibri"/>
          <w:b/>
          <w:bCs/>
          <w:noProof/>
          <w:lang w:val="sq-AL"/>
        </w:rPr>
        <w:t xml:space="preserve">investimeve publike, </w:t>
      </w:r>
      <w:r w:rsidR="00104106" w:rsidRPr="00104106">
        <w:rPr>
          <w:rFonts w:cs="Calibri"/>
          <w:noProof/>
          <w:lang w:val="sq-AL"/>
        </w:rPr>
        <w:t>realizimi në vitin 2025 ishte 85.4% e buxhetit fillestar për projektet me financim të brendshëm (4 milard LEK)</w:t>
      </w:r>
      <w:r w:rsidR="00104106" w:rsidRPr="00104106">
        <w:rPr>
          <w:rFonts w:cs="Calibri"/>
          <w:bCs/>
          <w:iCs/>
          <w:noProof/>
          <w:lang w:val="sq-AL"/>
        </w:rPr>
        <w:t xml:space="preserve"> (92.5% të planit vjetor të ndryshuar me AN nr.11/2025)</w:t>
      </w:r>
      <w:r w:rsidR="00104106" w:rsidRPr="00104106">
        <w:rPr>
          <w:rFonts w:cs="Calibri"/>
          <w:noProof/>
          <w:lang w:val="sq-AL"/>
        </w:rPr>
        <w:t xml:space="preserve"> dhe 36.1% e buxhetit fillestar për projektet me financim të huaj (0.22 </w:t>
      </w:r>
      <w:r w:rsidR="0056260B">
        <w:rPr>
          <w:rFonts w:cs="Calibri"/>
          <w:noProof/>
          <w:lang w:val="sq-AL"/>
        </w:rPr>
        <w:t>miliardë</w:t>
      </w:r>
      <w:r w:rsidR="00104106" w:rsidRPr="00104106">
        <w:rPr>
          <w:rFonts w:cs="Calibri"/>
          <w:noProof/>
          <w:lang w:val="sq-AL"/>
        </w:rPr>
        <w:t xml:space="preserve"> LEK) </w:t>
      </w:r>
      <w:r w:rsidR="00104106" w:rsidRPr="00104106">
        <w:rPr>
          <w:rFonts w:cs="Calibri"/>
          <w:bCs/>
          <w:iCs/>
          <w:noProof/>
          <w:lang w:val="sq-AL"/>
        </w:rPr>
        <w:t>(55.9% të planit vjetor të ndryshuar me AN nr.11/2025).</w:t>
      </w:r>
      <w:r w:rsidR="00104106" w:rsidRPr="00104106">
        <w:rPr>
          <w:rFonts w:cs="Calibri"/>
          <w:noProof/>
          <w:lang w:val="sq-AL"/>
        </w:rPr>
        <w:t xml:space="preserve"> Buxheti i shpenzimeve kapitale pësoi disa ndryshime, duke shkurtuar fonde për projekte të cilat nuk mund të realizoheshin gjatë vitit.</w:t>
      </w:r>
      <w:r w:rsidR="00104106" w:rsidRPr="00104106">
        <w:rPr>
          <w:rFonts w:eastAsiaTheme="minorHAnsi" w:cs="Calibri"/>
          <w:b/>
          <w:bCs/>
          <w:noProof/>
          <w:lang w:val="sq-AL"/>
        </w:rPr>
        <w:t xml:space="preserve"> </w:t>
      </w:r>
      <w:r w:rsidR="00104106" w:rsidRPr="00104106">
        <w:rPr>
          <w:rFonts w:cs="Calibri"/>
          <w:noProof/>
          <w:lang w:val="sq-AL"/>
        </w:rPr>
        <w:t>J</w:t>
      </w:r>
      <w:r w:rsidR="00104106" w:rsidRPr="00104106">
        <w:rPr>
          <w:rFonts w:asciiTheme="majorHAnsi" w:hAnsiTheme="majorHAnsi" w:cs="Calibri Light"/>
          <w:noProof/>
          <w:szCs w:val="22"/>
          <w:lang w:val="sq-AL"/>
        </w:rPr>
        <w:t xml:space="preserve">anë mbyllur 73 </w:t>
      </w:r>
      <w:r w:rsidR="00104106" w:rsidRPr="00104106">
        <w:rPr>
          <w:rFonts w:asciiTheme="majorHAnsi" w:eastAsia="SimSun" w:hAnsiTheme="majorHAnsi" w:cs="Calibri Light"/>
          <w:noProof/>
          <w:szCs w:val="22"/>
          <w:lang w:val="sq-AL"/>
        </w:rPr>
        <w:t>projekte</w:t>
      </w:r>
      <w:r w:rsidR="00104106" w:rsidRPr="00104106">
        <w:rPr>
          <w:rFonts w:asciiTheme="majorHAnsi" w:hAnsiTheme="majorHAnsi" w:cs="Calibri Light"/>
          <w:noProof/>
          <w:szCs w:val="22"/>
          <w:lang w:val="sq-AL"/>
        </w:rPr>
        <w:t xml:space="preserve"> investimi në vlerën e rreth 4 </w:t>
      </w:r>
      <w:r w:rsidR="0056260B">
        <w:rPr>
          <w:rFonts w:asciiTheme="majorHAnsi" w:hAnsiTheme="majorHAnsi" w:cs="Calibri Light"/>
          <w:noProof/>
          <w:szCs w:val="22"/>
          <w:lang w:val="sq-AL"/>
        </w:rPr>
        <w:t>miliardë</w:t>
      </w:r>
      <w:r w:rsidR="00104106" w:rsidRPr="00104106">
        <w:rPr>
          <w:rFonts w:asciiTheme="majorHAnsi" w:hAnsiTheme="majorHAnsi" w:cs="Calibri Light"/>
          <w:noProof/>
          <w:szCs w:val="22"/>
          <w:lang w:val="sq-AL"/>
        </w:rPr>
        <w:t xml:space="preserve"> LEK, ku ndër më kryesoret veçojmë:</w:t>
      </w:r>
    </w:p>
    <w:p w14:paraId="7D795D78" w14:textId="5F51E2F5"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Ndërtim i shkollës "22 Tetori", Bashkia Berat, me vlerë rreth 355.2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3403C758" w14:textId="4217621B"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Rikonstruksion i gjimnazit "Sali Nivica" dhe ambientet sportive në B.Memaliaj me vlerë 175.1</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10035376" w14:textId="36142AF6"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Ndërtimi i shkollës "Jonuz Sali Çarçiu", Bashkia Elbasan, me vlerë rreth 139.3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6AA59D32" w14:textId="0D952760"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Rikonstruksion i shkollës "Meleq Gostnishti", Bashkia Përmet, me vlerë rreth 117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6E8C845E" w14:textId="5B7A9B97"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Rikonstruksion i gjimnazit "Skënderbeu", Bashkia Has, me vlerë rreth 113.4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1FBEF7FF" w14:textId="372D0B19"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Rehabilitim i shkollës "Avni Rustemi", Bashkia Kukës, me vlerë rreth 107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7C3CB033" w14:textId="2C026FEA"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Rikonstruksion e shtesë objekti për shkollën "Kajo Karafili", Bashkia Pogradec, me vlerë 107</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3F408811" w14:textId="3E3CB868"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Rikonstruksion i shkollës 9-vjeçare "Rilindja", Bashkia Gramsh, me vlerë rreth 105.5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29B0D19D" w14:textId="54A90D7E"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Rehabilitimi dhe zgjerimi i kapaciteteve të shkollës 9-vjeçare Bashkia Finiq, me vlerë rreth 100</w:t>
      </w:r>
      <w:r w:rsidR="00134139" w:rsidRPr="00134139">
        <w:rPr>
          <w:rFonts w:cs="Calibri"/>
          <w:i/>
          <w:noProof/>
          <w:sz w:val="20"/>
          <w:szCs w:val="20"/>
          <w:lang w:val="sq-AL"/>
        </w:rPr>
        <w:t>mln</w:t>
      </w:r>
      <w:r w:rsidRPr="00134139">
        <w:rPr>
          <w:rFonts w:cs="Calibri"/>
          <w:i/>
          <w:noProof/>
          <w:sz w:val="20"/>
          <w:szCs w:val="20"/>
          <w:lang w:val="sq-AL"/>
        </w:rPr>
        <w:t xml:space="preserve"> LEK;</w:t>
      </w:r>
    </w:p>
    <w:p w14:paraId="7F663AEA" w14:textId="79F03478"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Pajisje mobileri arsimi bazë, me vlerë rreth 100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0FEF1CC5" w14:textId="6BE286ED"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Pajisje laboratorike,Fizike-Kimi-Bilogji, arsimi i mesëm i përgjithshëm, me vlerë rreth 95.5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632F6B7C" w14:textId="37D6DD82" w:rsidR="00104106"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Rikonstruksion i shkollës 9 vjeçare  "Besëlidhja e Malësisë", Bashkia Tropojë, me vlerë rreth 85.2</w:t>
      </w:r>
      <w:r w:rsidR="00134139" w:rsidRPr="00134139">
        <w:rPr>
          <w:rFonts w:cs="Calibri"/>
          <w:i/>
          <w:noProof/>
          <w:sz w:val="20"/>
          <w:szCs w:val="20"/>
          <w:lang w:val="sq-AL"/>
        </w:rPr>
        <w:t>mln</w:t>
      </w:r>
      <w:r w:rsidRPr="00134139">
        <w:rPr>
          <w:rFonts w:cs="Calibri"/>
          <w:i/>
          <w:noProof/>
          <w:sz w:val="20"/>
          <w:szCs w:val="20"/>
          <w:lang w:val="sq-AL"/>
        </w:rPr>
        <w:t xml:space="preserve"> LEK;</w:t>
      </w:r>
    </w:p>
    <w:p w14:paraId="457A6EF8" w14:textId="0171AF18" w:rsidR="00C156A0" w:rsidRPr="00134139" w:rsidRDefault="00104106" w:rsidP="008D3175">
      <w:pPr>
        <w:numPr>
          <w:ilvl w:val="0"/>
          <w:numId w:val="8"/>
        </w:numPr>
        <w:shd w:val="clear" w:color="auto" w:fill="FFFFFF"/>
        <w:spacing w:before="0" w:after="160" w:line="240" w:lineRule="auto"/>
        <w:contextualSpacing/>
        <w:rPr>
          <w:rFonts w:cs="Calibri"/>
          <w:i/>
          <w:noProof/>
          <w:sz w:val="20"/>
          <w:szCs w:val="20"/>
          <w:lang w:val="sq-AL"/>
        </w:rPr>
      </w:pPr>
      <w:r w:rsidRPr="00134139">
        <w:rPr>
          <w:rFonts w:cs="Calibri"/>
          <w:i/>
          <w:noProof/>
          <w:sz w:val="20"/>
          <w:szCs w:val="20"/>
          <w:lang w:val="sq-AL"/>
        </w:rPr>
        <w:t xml:space="preserve">Pajisje mobilerie arsimi i mesëm i përgjithshëm, me vlerë rreth 65.8 </w:t>
      </w:r>
      <w:r w:rsidR="0056260B" w:rsidRPr="00134139">
        <w:rPr>
          <w:rFonts w:cs="Calibri"/>
          <w:i/>
          <w:noProof/>
          <w:sz w:val="20"/>
          <w:szCs w:val="20"/>
          <w:lang w:val="sq-AL"/>
        </w:rPr>
        <w:t>milionë</w:t>
      </w:r>
      <w:r w:rsidRPr="00134139">
        <w:rPr>
          <w:rFonts w:cs="Calibri"/>
          <w:i/>
          <w:noProof/>
          <w:sz w:val="20"/>
          <w:szCs w:val="20"/>
          <w:lang w:val="sq-AL"/>
        </w:rPr>
        <w:t xml:space="preserve"> LEK.</w:t>
      </w:r>
    </w:p>
    <w:p w14:paraId="04FFE9AD" w14:textId="77777777" w:rsidR="00C156A0" w:rsidRDefault="00C156A0" w:rsidP="008D3175">
      <w:pPr>
        <w:shd w:val="clear" w:color="auto" w:fill="FFFFFF"/>
        <w:spacing w:before="0" w:line="240" w:lineRule="auto"/>
        <w:ind w:left="720"/>
        <w:contextualSpacing/>
        <w:rPr>
          <w:rFonts w:cs="Calibri Light"/>
          <w:i/>
          <w:noProof/>
          <w:sz w:val="20"/>
          <w:szCs w:val="20"/>
          <w:lang w:val="sq-AL"/>
        </w:rPr>
      </w:pPr>
    </w:p>
    <w:p w14:paraId="0ED893C2" w14:textId="77777777" w:rsidR="00671D4B" w:rsidRDefault="00671D4B" w:rsidP="008D3175">
      <w:pPr>
        <w:shd w:val="clear" w:color="auto" w:fill="FFFFFF"/>
        <w:spacing w:before="0" w:line="240" w:lineRule="auto"/>
        <w:ind w:left="720"/>
        <w:contextualSpacing/>
        <w:rPr>
          <w:rFonts w:cs="Calibri Light"/>
          <w:i/>
          <w:noProof/>
          <w:sz w:val="20"/>
          <w:szCs w:val="20"/>
          <w:lang w:val="sq-AL"/>
        </w:rPr>
      </w:pPr>
    </w:p>
    <w:p w14:paraId="331682F9" w14:textId="77777777" w:rsidR="00671D4B" w:rsidRPr="00C156A0" w:rsidRDefault="00671D4B" w:rsidP="008D3175">
      <w:pPr>
        <w:shd w:val="clear" w:color="auto" w:fill="FFFFFF"/>
        <w:spacing w:before="0" w:line="240" w:lineRule="auto"/>
        <w:ind w:left="720"/>
        <w:contextualSpacing/>
        <w:rPr>
          <w:rFonts w:cs="Calibri Light"/>
          <w:i/>
          <w:noProof/>
          <w:sz w:val="20"/>
          <w:szCs w:val="20"/>
          <w:lang w:val="sq-AL"/>
        </w:rPr>
      </w:pPr>
    </w:p>
    <w:p w14:paraId="68B4538F" w14:textId="77777777" w:rsidR="00C156A0" w:rsidRPr="00B14F86" w:rsidRDefault="00C156A0" w:rsidP="009C7207">
      <w:pPr>
        <w:pStyle w:val="Heading3"/>
        <w:rPr>
          <w:b/>
          <w:bCs/>
        </w:rPr>
      </w:pPr>
      <w:bookmarkStart w:id="254" w:name="_Toc229390840"/>
      <w:proofErr w:type="spellStart"/>
      <w:r w:rsidRPr="00B14F86">
        <w:rPr>
          <w:b/>
          <w:bCs/>
        </w:rPr>
        <w:t>Bujqësia</w:t>
      </w:r>
      <w:proofErr w:type="spellEnd"/>
      <w:r w:rsidRPr="00B14F86">
        <w:rPr>
          <w:b/>
          <w:bCs/>
        </w:rPr>
        <w:t xml:space="preserve"> </w:t>
      </w:r>
      <w:proofErr w:type="spellStart"/>
      <w:r w:rsidRPr="00B14F86">
        <w:rPr>
          <w:b/>
          <w:bCs/>
        </w:rPr>
        <w:t>dhe</w:t>
      </w:r>
      <w:proofErr w:type="spellEnd"/>
      <w:r w:rsidRPr="00B14F86">
        <w:rPr>
          <w:b/>
          <w:bCs/>
        </w:rPr>
        <w:t xml:space="preserve"> </w:t>
      </w:r>
      <w:proofErr w:type="spellStart"/>
      <w:r w:rsidRPr="00B14F86">
        <w:rPr>
          <w:b/>
          <w:bCs/>
        </w:rPr>
        <w:t>Zhvillimi</w:t>
      </w:r>
      <w:proofErr w:type="spellEnd"/>
      <w:r w:rsidRPr="00B14F86">
        <w:rPr>
          <w:b/>
          <w:bCs/>
        </w:rPr>
        <w:t xml:space="preserve"> Rural</w:t>
      </w:r>
      <w:bookmarkEnd w:id="248"/>
      <w:bookmarkEnd w:id="249"/>
      <w:bookmarkEnd w:id="254"/>
    </w:p>
    <w:p w14:paraId="68F67A40" w14:textId="316DC660" w:rsidR="00C156A0" w:rsidRPr="00C156A0" w:rsidRDefault="00C156A0" w:rsidP="00C156A0">
      <w:pPr>
        <w:spacing w:line="240" w:lineRule="auto"/>
        <w:rPr>
          <w:rFonts w:cs="Calibri"/>
          <w:lang w:val="sq-AL"/>
        </w:rPr>
      </w:pPr>
      <w:r w:rsidRPr="00C156A0">
        <w:rPr>
          <w:rFonts w:cs="Calibri"/>
          <w:lang w:val="sq-AL"/>
        </w:rPr>
        <w:t xml:space="preserve">Performanca e treguesve buxhetorë për shtatë programet e </w:t>
      </w:r>
      <w:r w:rsidR="00671D4B">
        <w:rPr>
          <w:rFonts w:cs="Calibri"/>
          <w:lang w:val="sq-AL"/>
        </w:rPr>
        <w:t>MBZHR</w:t>
      </w:r>
      <w:r w:rsidRPr="00C156A0">
        <w:rPr>
          <w:rFonts w:cs="Calibri"/>
          <w:lang w:val="sq-AL"/>
        </w:rPr>
        <w:t>, paraqitet si mëposhtë:</w:t>
      </w:r>
    </w:p>
    <w:p w14:paraId="31E7F4BF" w14:textId="6E9B5978" w:rsidR="00C156A0" w:rsidRPr="00104106" w:rsidRDefault="00C156A0" w:rsidP="00C156A0">
      <w:pPr>
        <w:rPr>
          <w:i/>
          <w:iCs/>
          <w:color w:val="17406D"/>
          <w:sz w:val="18"/>
          <w:szCs w:val="18"/>
          <w:lang w:val="sq-AL"/>
        </w:rPr>
      </w:pPr>
      <w:bookmarkStart w:id="255" w:name="_Toc229130007"/>
      <w:r w:rsidRPr="00C156A0">
        <w:rPr>
          <w:i/>
          <w:iCs/>
          <w:color w:val="17406D"/>
          <w:sz w:val="18"/>
          <w:szCs w:val="18"/>
          <w:lang w:val="sq-AL"/>
        </w:rPr>
        <w:t xml:space="preserve">Tabela </w:t>
      </w:r>
      <w:r w:rsidRPr="00C156A0">
        <w:rPr>
          <w:i/>
          <w:iCs/>
          <w:color w:val="17406D"/>
          <w:sz w:val="18"/>
          <w:szCs w:val="18"/>
          <w:lang w:val="sq-AL"/>
        </w:rPr>
        <w:fldChar w:fldCharType="begin"/>
      </w:r>
      <w:r w:rsidRPr="00C156A0">
        <w:rPr>
          <w:i/>
          <w:iCs/>
          <w:color w:val="17406D"/>
          <w:sz w:val="18"/>
          <w:szCs w:val="18"/>
          <w:lang w:val="sq-AL"/>
        </w:rPr>
        <w:instrText xml:space="preserve"> SEQ Tabela \* ARABIC </w:instrText>
      </w:r>
      <w:r w:rsidRPr="00C156A0">
        <w:rPr>
          <w:i/>
          <w:iCs/>
          <w:color w:val="17406D"/>
          <w:sz w:val="18"/>
          <w:szCs w:val="18"/>
          <w:lang w:val="sq-AL"/>
        </w:rPr>
        <w:fldChar w:fldCharType="separate"/>
      </w:r>
      <w:r w:rsidR="00CB4DE6">
        <w:rPr>
          <w:i/>
          <w:iCs/>
          <w:noProof/>
          <w:color w:val="17406D"/>
          <w:sz w:val="18"/>
          <w:szCs w:val="18"/>
          <w:lang w:val="sq-AL"/>
        </w:rPr>
        <w:t>33</w:t>
      </w:r>
      <w:r w:rsidRPr="00C156A0">
        <w:rPr>
          <w:i/>
          <w:iCs/>
          <w:color w:val="17406D"/>
          <w:sz w:val="18"/>
          <w:szCs w:val="18"/>
          <w:lang w:val="sq-AL"/>
        </w:rPr>
        <w:fldChar w:fldCharType="end"/>
      </w:r>
      <w:r w:rsidRPr="00C156A0">
        <w:rPr>
          <w:i/>
          <w:iCs/>
          <w:color w:val="17406D"/>
          <w:sz w:val="18"/>
          <w:szCs w:val="18"/>
          <w:lang w:val="sq-AL"/>
        </w:rPr>
        <w:t xml:space="preserve"> Realizimi i buxhetit 2025 për Ministrinë e Bujqësisë dhe Zhvillimit Rural (në mijë LEK)</w:t>
      </w:r>
      <w:bookmarkEnd w:id="255"/>
    </w:p>
    <w:tbl>
      <w:tblPr>
        <w:tblW w:w="10647" w:type="dxa"/>
        <w:jc w:val="center"/>
        <w:tblLook w:val="04A0" w:firstRow="1" w:lastRow="0" w:firstColumn="1" w:lastColumn="0" w:noHBand="0" w:noVBand="1"/>
      </w:tblPr>
      <w:tblGrid>
        <w:gridCol w:w="2657"/>
        <w:gridCol w:w="879"/>
        <w:gridCol w:w="939"/>
        <w:gridCol w:w="948"/>
        <w:gridCol w:w="920"/>
        <w:gridCol w:w="948"/>
        <w:gridCol w:w="880"/>
        <w:gridCol w:w="655"/>
        <w:gridCol w:w="675"/>
        <w:gridCol w:w="546"/>
        <w:gridCol w:w="600"/>
      </w:tblGrid>
      <w:tr w:rsidR="00C156A0" w:rsidRPr="00F409F4" w14:paraId="02C5920D" w14:textId="77777777" w:rsidTr="008D3175">
        <w:trPr>
          <w:trHeight w:val="290"/>
          <w:jc w:val="center"/>
        </w:trPr>
        <w:tc>
          <w:tcPr>
            <w:tcW w:w="2657"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2AA52492" w14:textId="77777777" w:rsidR="00C156A0" w:rsidRPr="00C156A0" w:rsidRDefault="00C156A0" w:rsidP="00C156A0">
            <w:pPr>
              <w:spacing w:before="0" w:line="240" w:lineRule="auto"/>
              <w:jc w:val="center"/>
              <w:rPr>
                <w:rFonts w:cs="Calibri"/>
                <w:color w:val="FFFFFF"/>
                <w:sz w:val="16"/>
                <w:szCs w:val="16"/>
                <w:lang w:val="sq-AL" w:eastAsia="en-GB"/>
              </w:rPr>
            </w:pPr>
            <w:r w:rsidRPr="00C156A0">
              <w:rPr>
                <w:rFonts w:cs="Calibri"/>
                <w:color w:val="FFFFFF"/>
                <w:sz w:val="16"/>
                <w:szCs w:val="16"/>
                <w:lang w:val="sq-AL" w:eastAsia="en-GB"/>
              </w:rPr>
              <w:t>Programi buxhetor</w:t>
            </w:r>
          </w:p>
        </w:tc>
        <w:tc>
          <w:tcPr>
            <w:tcW w:w="181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C78BF1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Plani fillestar 2025</w:t>
            </w:r>
          </w:p>
        </w:tc>
        <w:tc>
          <w:tcPr>
            <w:tcW w:w="186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F46DAB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Plani i rishikuar 2025</w:t>
            </w:r>
          </w:p>
        </w:tc>
        <w:tc>
          <w:tcPr>
            <w:tcW w:w="182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C40D19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Fakti 2025</w:t>
            </w:r>
          </w:p>
        </w:tc>
        <w:tc>
          <w:tcPr>
            <w:tcW w:w="133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DB5F337" w14:textId="77777777" w:rsidR="00C156A0" w:rsidRPr="00C156A0" w:rsidRDefault="00C156A0" w:rsidP="00C156A0">
            <w:pPr>
              <w:spacing w:before="0" w:line="240" w:lineRule="auto"/>
              <w:jc w:val="center"/>
              <w:rPr>
                <w:rFonts w:cs="Calibri"/>
                <w:color w:val="FFFFFF"/>
                <w:sz w:val="16"/>
                <w:szCs w:val="16"/>
                <w:lang w:val="sq-AL" w:eastAsia="en-GB"/>
              </w:rPr>
            </w:pPr>
            <w:r w:rsidRPr="00C156A0">
              <w:rPr>
                <w:rFonts w:cs="Calibri"/>
                <w:color w:val="FFFFFF"/>
                <w:sz w:val="16"/>
                <w:szCs w:val="16"/>
                <w:lang w:val="sq-AL" w:eastAsia="en-GB"/>
              </w:rPr>
              <w:t>Realizimi në % me planin fillestar</w:t>
            </w:r>
          </w:p>
        </w:tc>
        <w:tc>
          <w:tcPr>
            <w:tcW w:w="114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8403887" w14:textId="77777777" w:rsidR="00C156A0" w:rsidRPr="00C156A0" w:rsidRDefault="00C156A0" w:rsidP="00C156A0">
            <w:pPr>
              <w:spacing w:before="0" w:line="240" w:lineRule="auto"/>
              <w:jc w:val="center"/>
              <w:rPr>
                <w:rFonts w:cs="Calibri"/>
                <w:color w:val="FFFFFF"/>
                <w:sz w:val="16"/>
                <w:szCs w:val="16"/>
                <w:lang w:val="sq-AL" w:eastAsia="en-GB"/>
              </w:rPr>
            </w:pPr>
            <w:r w:rsidRPr="00C156A0">
              <w:rPr>
                <w:rFonts w:cs="Calibri"/>
                <w:color w:val="FFFFFF"/>
                <w:sz w:val="16"/>
                <w:szCs w:val="16"/>
                <w:lang w:val="sq-AL" w:eastAsia="en-GB"/>
              </w:rPr>
              <w:t>Realizimi në % me planin e rishikuar</w:t>
            </w:r>
          </w:p>
        </w:tc>
      </w:tr>
      <w:tr w:rsidR="00D0642E" w:rsidRPr="00C156A0" w14:paraId="5C96046A" w14:textId="77777777" w:rsidTr="008D3175">
        <w:trPr>
          <w:trHeight w:val="426"/>
          <w:jc w:val="center"/>
        </w:trPr>
        <w:tc>
          <w:tcPr>
            <w:tcW w:w="2657" w:type="dxa"/>
            <w:vMerge/>
            <w:tcBorders>
              <w:top w:val="single" w:sz="8" w:space="0" w:color="BFBFBF"/>
              <w:left w:val="single" w:sz="8" w:space="0" w:color="BFBFBF"/>
              <w:bottom w:val="single" w:sz="8" w:space="0" w:color="BFBFBF"/>
              <w:right w:val="single" w:sz="8" w:space="0" w:color="BFBFBF"/>
            </w:tcBorders>
            <w:vAlign w:val="center"/>
            <w:hideMark/>
          </w:tcPr>
          <w:p w14:paraId="7080ABA0" w14:textId="77777777" w:rsidR="00C156A0" w:rsidRPr="00C156A0" w:rsidRDefault="00C156A0" w:rsidP="00C156A0">
            <w:pPr>
              <w:spacing w:before="0" w:line="240" w:lineRule="auto"/>
              <w:jc w:val="left"/>
              <w:rPr>
                <w:rFonts w:cs="Calibri"/>
                <w:color w:val="FFFFFF"/>
                <w:sz w:val="16"/>
                <w:szCs w:val="16"/>
                <w:lang w:val="sq-AL" w:eastAsia="en-GB"/>
              </w:rPr>
            </w:pPr>
          </w:p>
        </w:tc>
        <w:tc>
          <w:tcPr>
            <w:tcW w:w="879" w:type="dxa"/>
            <w:tcBorders>
              <w:top w:val="nil"/>
              <w:left w:val="nil"/>
              <w:bottom w:val="single" w:sz="8" w:space="0" w:color="B8CCE4"/>
              <w:right w:val="single" w:sz="8" w:space="0" w:color="B8CCE4"/>
            </w:tcBorders>
            <w:shd w:val="clear" w:color="000000" w:fill="365F91"/>
            <w:vAlign w:val="center"/>
            <w:hideMark/>
          </w:tcPr>
          <w:p w14:paraId="13450E18" w14:textId="6DAFF140"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938" w:type="dxa"/>
            <w:tcBorders>
              <w:top w:val="nil"/>
              <w:left w:val="nil"/>
              <w:bottom w:val="single" w:sz="8" w:space="0" w:color="B8CCE4"/>
              <w:right w:val="single" w:sz="8" w:space="0" w:color="B8CCE4"/>
            </w:tcBorders>
            <w:shd w:val="clear" w:color="000000" w:fill="365F91"/>
            <w:vAlign w:val="center"/>
            <w:hideMark/>
          </w:tcPr>
          <w:p w14:paraId="5B3A679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6AA4E086" w14:textId="1FCB6818"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919" w:type="dxa"/>
            <w:tcBorders>
              <w:top w:val="nil"/>
              <w:left w:val="nil"/>
              <w:bottom w:val="single" w:sz="8" w:space="0" w:color="B8CCE4"/>
              <w:right w:val="single" w:sz="8" w:space="0" w:color="B8CCE4"/>
            </w:tcBorders>
            <w:shd w:val="clear" w:color="000000" w:fill="365F91"/>
            <w:vAlign w:val="center"/>
            <w:hideMark/>
          </w:tcPr>
          <w:p w14:paraId="5246584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6FB4C52C" w14:textId="18681572"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879" w:type="dxa"/>
            <w:tcBorders>
              <w:top w:val="nil"/>
              <w:left w:val="nil"/>
              <w:bottom w:val="single" w:sz="8" w:space="0" w:color="B8CCE4"/>
              <w:right w:val="single" w:sz="8" w:space="0" w:color="B8CCE4"/>
            </w:tcBorders>
            <w:shd w:val="clear" w:color="000000" w:fill="365F91"/>
            <w:vAlign w:val="center"/>
            <w:hideMark/>
          </w:tcPr>
          <w:p w14:paraId="04FD2A1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655" w:type="dxa"/>
            <w:tcBorders>
              <w:top w:val="nil"/>
              <w:left w:val="nil"/>
              <w:bottom w:val="single" w:sz="8" w:space="0" w:color="B8CCE4"/>
              <w:right w:val="single" w:sz="8" w:space="0" w:color="B8CCE4"/>
            </w:tcBorders>
            <w:shd w:val="clear" w:color="000000" w:fill="365F91"/>
            <w:vAlign w:val="center"/>
            <w:hideMark/>
          </w:tcPr>
          <w:p w14:paraId="7F4466A1"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Korr.</w:t>
            </w:r>
          </w:p>
        </w:tc>
        <w:tc>
          <w:tcPr>
            <w:tcW w:w="674" w:type="dxa"/>
            <w:tcBorders>
              <w:top w:val="nil"/>
              <w:left w:val="nil"/>
              <w:bottom w:val="single" w:sz="8" w:space="0" w:color="B8CCE4"/>
              <w:right w:val="single" w:sz="8" w:space="0" w:color="B8CCE4"/>
            </w:tcBorders>
            <w:shd w:val="clear" w:color="000000" w:fill="365F91"/>
            <w:vAlign w:val="center"/>
            <w:hideMark/>
          </w:tcPr>
          <w:p w14:paraId="7E222A1E" w14:textId="77777777" w:rsidR="00C156A0" w:rsidRPr="00C156A0" w:rsidRDefault="00C156A0" w:rsidP="00C156A0">
            <w:pPr>
              <w:spacing w:before="0" w:line="240" w:lineRule="auto"/>
              <w:jc w:val="center"/>
              <w:rPr>
                <w:rFonts w:cs="Calibri"/>
                <w:color w:val="FFFFFF"/>
                <w:sz w:val="16"/>
                <w:szCs w:val="16"/>
                <w:lang w:val="sq-AL" w:eastAsia="en-GB"/>
              </w:rPr>
            </w:pPr>
            <w:r w:rsidRPr="00C156A0">
              <w:rPr>
                <w:rFonts w:cs="Calibri"/>
                <w:color w:val="FFFFFF"/>
                <w:sz w:val="16"/>
                <w:szCs w:val="16"/>
                <w:lang w:val="sq-AL" w:eastAsia="en-GB"/>
              </w:rPr>
              <w:t>Inv.</w:t>
            </w:r>
          </w:p>
        </w:tc>
        <w:tc>
          <w:tcPr>
            <w:tcW w:w="546" w:type="dxa"/>
            <w:tcBorders>
              <w:top w:val="nil"/>
              <w:left w:val="nil"/>
              <w:bottom w:val="single" w:sz="8" w:space="0" w:color="B8CCE4"/>
              <w:right w:val="single" w:sz="8" w:space="0" w:color="B8CCE4"/>
            </w:tcBorders>
            <w:shd w:val="clear" w:color="000000" w:fill="365F91"/>
            <w:vAlign w:val="center"/>
            <w:hideMark/>
          </w:tcPr>
          <w:p w14:paraId="7FB6B60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Korr.</w:t>
            </w:r>
          </w:p>
        </w:tc>
        <w:tc>
          <w:tcPr>
            <w:tcW w:w="599" w:type="dxa"/>
            <w:tcBorders>
              <w:top w:val="nil"/>
              <w:left w:val="nil"/>
              <w:bottom w:val="single" w:sz="8" w:space="0" w:color="B8CCE4"/>
              <w:right w:val="single" w:sz="8" w:space="0" w:color="B8CCE4"/>
            </w:tcBorders>
            <w:shd w:val="clear" w:color="000000" w:fill="365F91"/>
            <w:vAlign w:val="center"/>
            <w:hideMark/>
          </w:tcPr>
          <w:p w14:paraId="1F716756"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w:t>
            </w:r>
          </w:p>
        </w:tc>
      </w:tr>
      <w:tr w:rsidR="00C156A0" w:rsidRPr="00C156A0" w14:paraId="3BB0A506"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02343CDD"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Planifikim menaxhim administrimi</w:t>
            </w:r>
          </w:p>
        </w:tc>
        <w:tc>
          <w:tcPr>
            <w:tcW w:w="879" w:type="dxa"/>
            <w:tcBorders>
              <w:top w:val="nil"/>
              <w:left w:val="nil"/>
              <w:bottom w:val="single" w:sz="8" w:space="0" w:color="B8CCE4"/>
              <w:right w:val="single" w:sz="8" w:space="0" w:color="B8CCE4"/>
            </w:tcBorders>
            <w:vAlign w:val="center"/>
            <w:hideMark/>
          </w:tcPr>
          <w:p w14:paraId="290FA268"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521,516</w:t>
            </w:r>
          </w:p>
        </w:tc>
        <w:tc>
          <w:tcPr>
            <w:tcW w:w="938" w:type="dxa"/>
            <w:tcBorders>
              <w:top w:val="nil"/>
              <w:left w:val="nil"/>
              <w:bottom w:val="single" w:sz="8" w:space="0" w:color="B8CCE4"/>
              <w:right w:val="single" w:sz="8" w:space="0" w:color="B8CCE4"/>
            </w:tcBorders>
            <w:vAlign w:val="center"/>
            <w:hideMark/>
          </w:tcPr>
          <w:p w14:paraId="57D64B7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55,000</w:t>
            </w:r>
          </w:p>
        </w:tc>
        <w:tc>
          <w:tcPr>
            <w:tcW w:w="948" w:type="dxa"/>
            <w:tcBorders>
              <w:top w:val="nil"/>
              <w:left w:val="nil"/>
              <w:bottom w:val="single" w:sz="8" w:space="0" w:color="B8CCE4"/>
              <w:right w:val="single" w:sz="8" w:space="0" w:color="B8CCE4"/>
            </w:tcBorders>
            <w:vAlign w:val="center"/>
            <w:hideMark/>
          </w:tcPr>
          <w:p w14:paraId="531B1E3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506,816</w:t>
            </w:r>
          </w:p>
        </w:tc>
        <w:tc>
          <w:tcPr>
            <w:tcW w:w="919" w:type="dxa"/>
            <w:tcBorders>
              <w:top w:val="nil"/>
              <w:left w:val="nil"/>
              <w:bottom w:val="single" w:sz="8" w:space="0" w:color="B8CCE4"/>
              <w:right w:val="single" w:sz="8" w:space="0" w:color="B8CCE4"/>
            </w:tcBorders>
            <w:vAlign w:val="center"/>
            <w:hideMark/>
          </w:tcPr>
          <w:p w14:paraId="52628D47"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7,000</w:t>
            </w:r>
          </w:p>
        </w:tc>
        <w:tc>
          <w:tcPr>
            <w:tcW w:w="948" w:type="dxa"/>
            <w:tcBorders>
              <w:top w:val="nil"/>
              <w:left w:val="nil"/>
              <w:bottom w:val="single" w:sz="8" w:space="0" w:color="B8CCE4"/>
              <w:right w:val="single" w:sz="8" w:space="0" w:color="B8CCE4"/>
            </w:tcBorders>
            <w:vAlign w:val="center"/>
            <w:hideMark/>
          </w:tcPr>
          <w:p w14:paraId="29D2B536"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489,412</w:t>
            </w:r>
          </w:p>
        </w:tc>
        <w:tc>
          <w:tcPr>
            <w:tcW w:w="879" w:type="dxa"/>
            <w:tcBorders>
              <w:top w:val="nil"/>
              <w:left w:val="nil"/>
              <w:bottom w:val="single" w:sz="8" w:space="0" w:color="B8CCE4"/>
              <w:right w:val="single" w:sz="8" w:space="0" w:color="B8CCE4"/>
            </w:tcBorders>
            <w:vAlign w:val="center"/>
            <w:hideMark/>
          </w:tcPr>
          <w:p w14:paraId="137E98FC"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5,711</w:t>
            </w:r>
          </w:p>
        </w:tc>
        <w:tc>
          <w:tcPr>
            <w:tcW w:w="655" w:type="dxa"/>
            <w:tcBorders>
              <w:top w:val="nil"/>
              <w:left w:val="nil"/>
              <w:bottom w:val="single" w:sz="8" w:space="0" w:color="B8CCE4"/>
              <w:right w:val="single" w:sz="8" w:space="0" w:color="B8CCE4"/>
            </w:tcBorders>
            <w:vAlign w:val="center"/>
            <w:hideMark/>
          </w:tcPr>
          <w:p w14:paraId="7ABFB02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94%</w:t>
            </w:r>
          </w:p>
        </w:tc>
        <w:tc>
          <w:tcPr>
            <w:tcW w:w="674" w:type="dxa"/>
            <w:tcBorders>
              <w:top w:val="nil"/>
              <w:left w:val="nil"/>
              <w:bottom w:val="single" w:sz="8" w:space="0" w:color="B8CCE4"/>
              <w:right w:val="single" w:sz="8" w:space="0" w:color="B8CCE4"/>
            </w:tcBorders>
            <w:vAlign w:val="center"/>
            <w:hideMark/>
          </w:tcPr>
          <w:p w14:paraId="26D568E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w:t>
            </w:r>
          </w:p>
        </w:tc>
        <w:tc>
          <w:tcPr>
            <w:tcW w:w="546" w:type="dxa"/>
            <w:tcBorders>
              <w:top w:val="nil"/>
              <w:left w:val="nil"/>
              <w:bottom w:val="single" w:sz="8" w:space="0" w:color="B8CCE4"/>
              <w:right w:val="single" w:sz="8" w:space="0" w:color="B8CCE4"/>
            </w:tcBorders>
            <w:vAlign w:val="center"/>
            <w:hideMark/>
          </w:tcPr>
          <w:p w14:paraId="64269B0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599" w:type="dxa"/>
            <w:tcBorders>
              <w:top w:val="nil"/>
              <w:left w:val="nil"/>
              <w:bottom w:val="single" w:sz="8" w:space="0" w:color="B8CCE4"/>
              <w:right w:val="single" w:sz="8" w:space="0" w:color="B8CCE4"/>
            </w:tcBorders>
            <w:vAlign w:val="center"/>
            <w:hideMark/>
          </w:tcPr>
          <w:p w14:paraId="3815E9A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82%</w:t>
            </w:r>
          </w:p>
        </w:tc>
      </w:tr>
      <w:tr w:rsidR="00C156A0" w:rsidRPr="00C156A0" w14:paraId="767DB4C4" w14:textId="77777777" w:rsidTr="008D3175">
        <w:trPr>
          <w:trHeight w:val="300"/>
          <w:jc w:val="center"/>
        </w:trPr>
        <w:tc>
          <w:tcPr>
            <w:tcW w:w="2657" w:type="dxa"/>
            <w:tcBorders>
              <w:top w:val="nil"/>
              <w:left w:val="single" w:sz="8" w:space="0" w:color="B8CCE4"/>
              <w:bottom w:val="single" w:sz="8" w:space="0" w:color="B8CCE4"/>
              <w:right w:val="single" w:sz="8" w:space="0" w:color="B8CCE4"/>
            </w:tcBorders>
            <w:vAlign w:val="center"/>
            <w:hideMark/>
          </w:tcPr>
          <w:p w14:paraId="02B7A15D"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Siguria ushqimore dhe mbrojtja e konsumatorit</w:t>
            </w:r>
          </w:p>
        </w:tc>
        <w:tc>
          <w:tcPr>
            <w:tcW w:w="879" w:type="dxa"/>
            <w:tcBorders>
              <w:top w:val="nil"/>
              <w:left w:val="nil"/>
              <w:bottom w:val="single" w:sz="8" w:space="0" w:color="B8CCE4"/>
              <w:right w:val="single" w:sz="8" w:space="0" w:color="B8CCE4"/>
            </w:tcBorders>
            <w:vAlign w:val="center"/>
            <w:hideMark/>
          </w:tcPr>
          <w:p w14:paraId="59B6198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2,224,540</w:t>
            </w:r>
          </w:p>
        </w:tc>
        <w:tc>
          <w:tcPr>
            <w:tcW w:w="938" w:type="dxa"/>
            <w:tcBorders>
              <w:top w:val="nil"/>
              <w:left w:val="nil"/>
              <w:bottom w:val="single" w:sz="8" w:space="0" w:color="B8CCE4"/>
              <w:right w:val="single" w:sz="8" w:space="0" w:color="B8CCE4"/>
            </w:tcBorders>
            <w:vAlign w:val="center"/>
            <w:hideMark/>
          </w:tcPr>
          <w:p w14:paraId="39FDC7A7"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200,000</w:t>
            </w:r>
          </w:p>
        </w:tc>
        <w:tc>
          <w:tcPr>
            <w:tcW w:w="948" w:type="dxa"/>
            <w:tcBorders>
              <w:top w:val="nil"/>
              <w:left w:val="nil"/>
              <w:bottom w:val="single" w:sz="8" w:space="0" w:color="B8CCE4"/>
              <w:right w:val="single" w:sz="8" w:space="0" w:color="B8CCE4"/>
            </w:tcBorders>
            <w:vAlign w:val="center"/>
            <w:hideMark/>
          </w:tcPr>
          <w:p w14:paraId="57E13552"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2,666,144</w:t>
            </w:r>
          </w:p>
        </w:tc>
        <w:tc>
          <w:tcPr>
            <w:tcW w:w="919" w:type="dxa"/>
            <w:tcBorders>
              <w:top w:val="nil"/>
              <w:left w:val="nil"/>
              <w:bottom w:val="single" w:sz="8" w:space="0" w:color="B8CCE4"/>
              <w:right w:val="single" w:sz="8" w:space="0" w:color="B8CCE4"/>
            </w:tcBorders>
            <w:vAlign w:val="center"/>
            <w:hideMark/>
          </w:tcPr>
          <w:p w14:paraId="75C77AF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182,675</w:t>
            </w:r>
          </w:p>
        </w:tc>
        <w:tc>
          <w:tcPr>
            <w:tcW w:w="948" w:type="dxa"/>
            <w:tcBorders>
              <w:top w:val="nil"/>
              <w:left w:val="nil"/>
              <w:bottom w:val="single" w:sz="8" w:space="0" w:color="B8CCE4"/>
              <w:right w:val="single" w:sz="8" w:space="0" w:color="B8CCE4"/>
            </w:tcBorders>
            <w:vAlign w:val="center"/>
            <w:hideMark/>
          </w:tcPr>
          <w:p w14:paraId="00C4DFA0"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2,632,577</w:t>
            </w:r>
          </w:p>
        </w:tc>
        <w:tc>
          <w:tcPr>
            <w:tcW w:w="879" w:type="dxa"/>
            <w:tcBorders>
              <w:top w:val="nil"/>
              <w:left w:val="nil"/>
              <w:bottom w:val="single" w:sz="8" w:space="0" w:color="B8CCE4"/>
              <w:right w:val="single" w:sz="8" w:space="0" w:color="B8CCE4"/>
            </w:tcBorders>
            <w:vAlign w:val="center"/>
            <w:hideMark/>
          </w:tcPr>
          <w:p w14:paraId="1BC3AFB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178,890</w:t>
            </w:r>
          </w:p>
        </w:tc>
        <w:tc>
          <w:tcPr>
            <w:tcW w:w="655" w:type="dxa"/>
            <w:tcBorders>
              <w:top w:val="nil"/>
              <w:left w:val="nil"/>
              <w:bottom w:val="single" w:sz="8" w:space="0" w:color="B8CCE4"/>
              <w:right w:val="single" w:sz="8" w:space="0" w:color="B8CCE4"/>
            </w:tcBorders>
            <w:vAlign w:val="center"/>
            <w:hideMark/>
          </w:tcPr>
          <w:p w14:paraId="3D38572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118%</w:t>
            </w:r>
          </w:p>
        </w:tc>
        <w:tc>
          <w:tcPr>
            <w:tcW w:w="674" w:type="dxa"/>
            <w:tcBorders>
              <w:top w:val="nil"/>
              <w:left w:val="nil"/>
              <w:bottom w:val="single" w:sz="8" w:space="0" w:color="B8CCE4"/>
              <w:right w:val="single" w:sz="8" w:space="0" w:color="B8CCE4"/>
            </w:tcBorders>
            <w:vAlign w:val="center"/>
            <w:hideMark/>
          </w:tcPr>
          <w:p w14:paraId="3574FC9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89%</w:t>
            </w:r>
          </w:p>
        </w:tc>
        <w:tc>
          <w:tcPr>
            <w:tcW w:w="546" w:type="dxa"/>
            <w:tcBorders>
              <w:top w:val="nil"/>
              <w:left w:val="nil"/>
              <w:bottom w:val="single" w:sz="8" w:space="0" w:color="B8CCE4"/>
              <w:right w:val="single" w:sz="8" w:space="0" w:color="B8CCE4"/>
            </w:tcBorders>
            <w:vAlign w:val="center"/>
            <w:hideMark/>
          </w:tcPr>
          <w:p w14:paraId="640B785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99%</w:t>
            </w:r>
          </w:p>
        </w:tc>
        <w:tc>
          <w:tcPr>
            <w:tcW w:w="599" w:type="dxa"/>
            <w:tcBorders>
              <w:top w:val="nil"/>
              <w:left w:val="nil"/>
              <w:bottom w:val="single" w:sz="8" w:space="0" w:color="B8CCE4"/>
              <w:right w:val="single" w:sz="8" w:space="0" w:color="B8CCE4"/>
            </w:tcBorders>
            <w:vAlign w:val="center"/>
            <w:hideMark/>
          </w:tcPr>
          <w:p w14:paraId="2715482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r>
      <w:tr w:rsidR="00C156A0" w:rsidRPr="00C156A0" w14:paraId="56E242E5"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4F8CB0AC" w14:textId="77777777" w:rsidR="00C156A0" w:rsidRPr="00C156A0" w:rsidRDefault="00C156A0" w:rsidP="00327853">
            <w:pPr>
              <w:spacing w:before="0" w:line="240" w:lineRule="auto"/>
              <w:jc w:val="right"/>
              <w:rPr>
                <w:rFonts w:cs="Calibri"/>
                <w:b/>
                <w:bCs/>
                <w:color w:val="000000"/>
                <w:sz w:val="16"/>
                <w:szCs w:val="16"/>
                <w:lang w:val="sq-AL" w:eastAsia="en-GB"/>
              </w:rPr>
            </w:pPr>
            <w:r w:rsidRPr="00C156A0">
              <w:rPr>
                <w:rFonts w:cs="Calibri"/>
                <w:b/>
                <w:bCs/>
                <w:color w:val="000000"/>
                <w:sz w:val="16"/>
                <w:szCs w:val="16"/>
                <w:lang w:val="sq-AL" w:eastAsia="en-GB"/>
              </w:rPr>
              <w:t>Financim i huaj</w:t>
            </w:r>
          </w:p>
        </w:tc>
        <w:tc>
          <w:tcPr>
            <w:tcW w:w="879" w:type="dxa"/>
            <w:tcBorders>
              <w:top w:val="nil"/>
              <w:left w:val="nil"/>
              <w:bottom w:val="single" w:sz="8" w:space="0" w:color="B8CCE4"/>
              <w:right w:val="single" w:sz="8" w:space="0" w:color="B8CCE4"/>
            </w:tcBorders>
            <w:vAlign w:val="center"/>
            <w:hideMark/>
          </w:tcPr>
          <w:p w14:paraId="63629EDC"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38" w:type="dxa"/>
            <w:tcBorders>
              <w:top w:val="nil"/>
              <w:left w:val="nil"/>
              <w:bottom w:val="single" w:sz="8" w:space="0" w:color="B8CCE4"/>
              <w:right w:val="single" w:sz="8" w:space="0" w:color="B8CCE4"/>
            </w:tcBorders>
            <w:vAlign w:val="center"/>
            <w:hideMark/>
          </w:tcPr>
          <w:p w14:paraId="597538BC" w14:textId="77777777" w:rsidR="00C156A0" w:rsidRPr="00C156A0" w:rsidRDefault="00C156A0" w:rsidP="00C156A0">
            <w:pPr>
              <w:spacing w:before="0" w:line="240" w:lineRule="auto"/>
              <w:ind w:firstLineChars="100" w:firstLine="160"/>
              <w:jc w:val="right"/>
              <w:rPr>
                <w:rFonts w:cs="Calibri"/>
                <w:color w:val="000000"/>
                <w:sz w:val="16"/>
                <w:szCs w:val="16"/>
                <w:lang w:val="sq-AL" w:eastAsia="en-GB"/>
              </w:rPr>
            </w:pPr>
            <w:r w:rsidRPr="00C156A0">
              <w:rPr>
                <w:rFonts w:cs="Calibri"/>
                <w:color w:val="000000"/>
                <w:sz w:val="16"/>
                <w:szCs w:val="16"/>
                <w:lang w:val="sq-AL" w:eastAsia="en-GB"/>
              </w:rPr>
              <w:t>158,000</w:t>
            </w:r>
          </w:p>
        </w:tc>
        <w:tc>
          <w:tcPr>
            <w:tcW w:w="948" w:type="dxa"/>
            <w:tcBorders>
              <w:top w:val="nil"/>
              <w:left w:val="nil"/>
              <w:bottom w:val="single" w:sz="8" w:space="0" w:color="B8CCE4"/>
              <w:right w:val="single" w:sz="8" w:space="0" w:color="B8CCE4"/>
            </w:tcBorders>
            <w:vAlign w:val="center"/>
            <w:hideMark/>
          </w:tcPr>
          <w:p w14:paraId="010E63D6"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19" w:type="dxa"/>
            <w:tcBorders>
              <w:top w:val="nil"/>
              <w:left w:val="nil"/>
              <w:bottom w:val="single" w:sz="8" w:space="0" w:color="B8CCE4"/>
              <w:right w:val="single" w:sz="8" w:space="0" w:color="B8CCE4"/>
            </w:tcBorders>
            <w:vAlign w:val="center"/>
            <w:hideMark/>
          </w:tcPr>
          <w:p w14:paraId="2018AC8F" w14:textId="77777777" w:rsidR="00C156A0" w:rsidRPr="00C156A0" w:rsidRDefault="00C156A0" w:rsidP="00C156A0">
            <w:pPr>
              <w:spacing w:before="0" w:line="240" w:lineRule="auto"/>
              <w:ind w:firstLineChars="100" w:firstLine="160"/>
              <w:jc w:val="right"/>
              <w:rPr>
                <w:rFonts w:cs="Calibri"/>
                <w:color w:val="000000"/>
                <w:sz w:val="16"/>
                <w:szCs w:val="16"/>
                <w:lang w:val="sq-AL" w:eastAsia="en-GB"/>
              </w:rPr>
            </w:pPr>
            <w:r w:rsidRPr="00C156A0">
              <w:rPr>
                <w:rFonts w:cs="Calibri"/>
                <w:color w:val="000000"/>
                <w:sz w:val="16"/>
                <w:szCs w:val="16"/>
                <w:lang w:val="sq-AL" w:eastAsia="en-GB"/>
              </w:rPr>
              <w:t>106,123</w:t>
            </w:r>
          </w:p>
        </w:tc>
        <w:tc>
          <w:tcPr>
            <w:tcW w:w="948" w:type="dxa"/>
            <w:tcBorders>
              <w:top w:val="nil"/>
              <w:left w:val="nil"/>
              <w:bottom w:val="single" w:sz="8" w:space="0" w:color="B8CCE4"/>
              <w:right w:val="single" w:sz="8" w:space="0" w:color="B8CCE4"/>
            </w:tcBorders>
            <w:vAlign w:val="center"/>
            <w:hideMark/>
          </w:tcPr>
          <w:p w14:paraId="6DA0BD0B"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879" w:type="dxa"/>
            <w:tcBorders>
              <w:top w:val="nil"/>
              <w:left w:val="nil"/>
              <w:bottom w:val="single" w:sz="8" w:space="0" w:color="B8CCE4"/>
              <w:right w:val="single" w:sz="8" w:space="0" w:color="B8CCE4"/>
            </w:tcBorders>
            <w:vAlign w:val="center"/>
            <w:hideMark/>
          </w:tcPr>
          <w:p w14:paraId="4A814532"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105,777</w:t>
            </w:r>
          </w:p>
        </w:tc>
        <w:tc>
          <w:tcPr>
            <w:tcW w:w="655" w:type="dxa"/>
            <w:tcBorders>
              <w:top w:val="nil"/>
              <w:left w:val="nil"/>
              <w:bottom w:val="single" w:sz="8" w:space="0" w:color="B8CCE4"/>
              <w:right w:val="single" w:sz="8" w:space="0" w:color="B8CCE4"/>
            </w:tcBorders>
            <w:vAlign w:val="center"/>
            <w:hideMark/>
          </w:tcPr>
          <w:p w14:paraId="5C486A8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674" w:type="dxa"/>
            <w:tcBorders>
              <w:top w:val="nil"/>
              <w:left w:val="nil"/>
              <w:bottom w:val="single" w:sz="8" w:space="0" w:color="B8CCE4"/>
              <w:right w:val="single" w:sz="8" w:space="0" w:color="B8CCE4"/>
            </w:tcBorders>
            <w:vAlign w:val="center"/>
            <w:hideMark/>
          </w:tcPr>
          <w:p w14:paraId="612A9A7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67%</w:t>
            </w:r>
          </w:p>
        </w:tc>
        <w:tc>
          <w:tcPr>
            <w:tcW w:w="546" w:type="dxa"/>
            <w:tcBorders>
              <w:top w:val="nil"/>
              <w:left w:val="nil"/>
              <w:bottom w:val="single" w:sz="8" w:space="0" w:color="B8CCE4"/>
              <w:right w:val="single" w:sz="8" w:space="0" w:color="B8CCE4"/>
            </w:tcBorders>
            <w:vAlign w:val="center"/>
            <w:hideMark/>
          </w:tcPr>
          <w:p w14:paraId="3A74017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99" w:type="dxa"/>
            <w:tcBorders>
              <w:top w:val="nil"/>
              <w:left w:val="nil"/>
              <w:bottom w:val="single" w:sz="8" w:space="0" w:color="B8CCE4"/>
              <w:right w:val="single" w:sz="8" w:space="0" w:color="B8CCE4"/>
            </w:tcBorders>
            <w:vAlign w:val="center"/>
            <w:hideMark/>
          </w:tcPr>
          <w:p w14:paraId="0F6954A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100%</w:t>
            </w:r>
          </w:p>
        </w:tc>
      </w:tr>
      <w:tr w:rsidR="00C156A0" w:rsidRPr="00C156A0" w14:paraId="28212FB2"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412D210F"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Mbështetje për peshkimin</w:t>
            </w:r>
          </w:p>
        </w:tc>
        <w:tc>
          <w:tcPr>
            <w:tcW w:w="879" w:type="dxa"/>
            <w:tcBorders>
              <w:top w:val="nil"/>
              <w:left w:val="nil"/>
              <w:bottom w:val="single" w:sz="8" w:space="0" w:color="B8CCE4"/>
              <w:right w:val="single" w:sz="8" w:space="0" w:color="B8CCE4"/>
            </w:tcBorders>
            <w:vAlign w:val="center"/>
            <w:hideMark/>
          </w:tcPr>
          <w:p w14:paraId="7B5A1C6E"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215,664</w:t>
            </w:r>
          </w:p>
        </w:tc>
        <w:tc>
          <w:tcPr>
            <w:tcW w:w="938" w:type="dxa"/>
            <w:tcBorders>
              <w:top w:val="nil"/>
              <w:left w:val="nil"/>
              <w:bottom w:val="single" w:sz="8" w:space="0" w:color="B8CCE4"/>
              <w:right w:val="single" w:sz="8" w:space="0" w:color="B8CCE4"/>
            </w:tcBorders>
            <w:vAlign w:val="center"/>
            <w:hideMark/>
          </w:tcPr>
          <w:p w14:paraId="4B019BF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100,000</w:t>
            </w:r>
          </w:p>
        </w:tc>
        <w:tc>
          <w:tcPr>
            <w:tcW w:w="948" w:type="dxa"/>
            <w:tcBorders>
              <w:top w:val="nil"/>
              <w:left w:val="nil"/>
              <w:bottom w:val="single" w:sz="8" w:space="0" w:color="B8CCE4"/>
              <w:right w:val="single" w:sz="8" w:space="0" w:color="B8CCE4"/>
            </w:tcBorders>
            <w:vAlign w:val="center"/>
            <w:hideMark/>
          </w:tcPr>
          <w:p w14:paraId="17C89A0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179,864</w:t>
            </w:r>
          </w:p>
        </w:tc>
        <w:tc>
          <w:tcPr>
            <w:tcW w:w="919" w:type="dxa"/>
            <w:tcBorders>
              <w:top w:val="nil"/>
              <w:left w:val="nil"/>
              <w:bottom w:val="single" w:sz="8" w:space="0" w:color="B8CCE4"/>
              <w:right w:val="single" w:sz="8" w:space="0" w:color="B8CCE4"/>
            </w:tcBorders>
            <w:vAlign w:val="center"/>
            <w:hideMark/>
          </w:tcPr>
          <w:p w14:paraId="05C92BAD"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89,546</w:t>
            </w:r>
          </w:p>
        </w:tc>
        <w:tc>
          <w:tcPr>
            <w:tcW w:w="948" w:type="dxa"/>
            <w:tcBorders>
              <w:top w:val="nil"/>
              <w:left w:val="nil"/>
              <w:bottom w:val="single" w:sz="8" w:space="0" w:color="B8CCE4"/>
              <w:right w:val="single" w:sz="8" w:space="0" w:color="B8CCE4"/>
            </w:tcBorders>
            <w:vAlign w:val="center"/>
            <w:hideMark/>
          </w:tcPr>
          <w:p w14:paraId="119D435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175,304</w:t>
            </w:r>
          </w:p>
        </w:tc>
        <w:tc>
          <w:tcPr>
            <w:tcW w:w="879" w:type="dxa"/>
            <w:tcBorders>
              <w:top w:val="nil"/>
              <w:left w:val="nil"/>
              <w:bottom w:val="single" w:sz="8" w:space="0" w:color="B8CCE4"/>
              <w:right w:val="single" w:sz="8" w:space="0" w:color="B8CCE4"/>
            </w:tcBorders>
            <w:vAlign w:val="center"/>
            <w:hideMark/>
          </w:tcPr>
          <w:p w14:paraId="592E5DD7"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88,034</w:t>
            </w:r>
          </w:p>
        </w:tc>
        <w:tc>
          <w:tcPr>
            <w:tcW w:w="655" w:type="dxa"/>
            <w:tcBorders>
              <w:top w:val="nil"/>
              <w:left w:val="nil"/>
              <w:bottom w:val="single" w:sz="8" w:space="0" w:color="B8CCE4"/>
              <w:right w:val="single" w:sz="8" w:space="0" w:color="B8CCE4"/>
            </w:tcBorders>
            <w:vAlign w:val="center"/>
            <w:hideMark/>
          </w:tcPr>
          <w:p w14:paraId="62D2E22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81%</w:t>
            </w:r>
          </w:p>
        </w:tc>
        <w:tc>
          <w:tcPr>
            <w:tcW w:w="674" w:type="dxa"/>
            <w:tcBorders>
              <w:top w:val="nil"/>
              <w:left w:val="nil"/>
              <w:bottom w:val="single" w:sz="8" w:space="0" w:color="B8CCE4"/>
              <w:right w:val="single" w:sz="8" w:space="0" w:color="B8CCE4"/>
            </w:tcBorders>
            <w:vAlign w:val="center"/>
            <w:hideMark/>
          </w:tcPr>
          <w:p w14:paraId="4F3A3B2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88%</w:t>
            </w:r>
          </w:p>
        </w:tc>
        <w:tc>
          <w:tcPr>
            <w:tcW w:w="546" w:type="dxa"/>
            <w:tcBorders>
              <w:top w:val="nil"/>
              <w:left w:val="nil"/>
              <w:bottom w:val="single" w:sz="8" w:space="0" w:color="B8CCE4"/>
              <w:right w:val="single" w:sz="8" w:space="0" w:color="B8CCE4"/>
            </w:tcBorders>
            <w:vAlign w:val="center"/>
            <w:hideMark/>
          </w:tcPr>
          <w:p w14:paraId="07FCD46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599" w:type="dxa"/>
            <w:tcBorders>
              <w:top w:val="nil"/>
              <w:left w:val="nil"/>
              <w:bottom w:val="single" w:sz="8" w:space="0" w:color="B8CCE4"/>
              <w:right w:val="single" w:sz="8" w:space="0" w:color="B8CCE4"/>
            </w:tcBorders>
            <w:vAlign w:val="center"/>
            <w:hideMark/>
          </w:tcPr>
          <w:p w14:paraId="096CA5C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r>
      <w:tr w:rsidR="00C156A0" w:rsidRPr="00C156A0" w14:paraId="2D7906EE"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1C2F7611" w14:textId="77777777" w:rsidR="00C156A0" w:rsidRPr="00C156A0" w:rsidRDefault="00C156A0" w:rsidP="00327853">
            <w:pPr>
              <w:spacing w:before="0" w:line="240" w:lineRule="auto"/>
              <w:jc w:val="right"/>
              <w:rPr>
                <w:rFonts w:cs="Calibri"/>
                <w:b/>
                <w:bCs/>
                <w:color w:val="000000"/>
                <w:sz w:val="16"/>
                <w:szCs w:val="16"/>
                <w:lang w:val="sq-AL" w:eastAsia="en-GB"/>
              </w:rPr>
            </w:pPr>
            <w:r w:rsidRPr="00C156A0">
              <w:rPr>
                <w:rFonts w:cs="Calibri"/>
                <w:b/>
                <w:bCs/>
                <w:color w:val="000000"/>
                <w:sz w:val="16"/>
                <w:szCs w:val="16"/>
                <w:lang w:val="sq-AL" w:eastAsia="en-GB"/>
              </w:rPr>
              <w:t>Financim i huaj</w:t>
            </w:r>
          </w:p>
        </w:tc>
        <w:tc>
          <w:tcPr>
            <w:tcW w:w="879" w:type="dxa"/>
            <w:tcBorders>
              <w:top w:val="nil"/>
              <w:left w:val="nil"/>
              <w:bottom w:val="single" w:sz="8" w:space="0" w:color="B8CCE4"/>
              <w:right w:val="single" w:sz="8" w:space="0" w:color="B8CCE4"/>
            </w:tcBorders>
            <w:vAlign w:val="center"/>
            <w:hideMark/>
          </w:tcPr>
          <w:p w14:paraId="63D118B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38" w:type="dxa"/>
            <w:tcBorders>
              <w:top w:val="nil"/>
              <w:left w:val="nil"/>
              <w:bottom w:val="single" w:sz="8" w:space="0" w:color="B8CCE4"/>
              <w:right w:val="single" w:sz="8" w:space="0" w:color="B8CCE4"/>
            </w:tcBorders>
            <w:vAlign w:val="center"/>
            <w:hideMark/>
          </w:tcPr>
          <w:p w14:paraId="67ADA9E0"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211,423</w:t>
            </w:r>
          </w:p>
        </w:tc>
        <w:tc>
          <w:tcPr>
            <w:tcW w:w="948" w:type="dxa"/>
            <w:tcBorders>
              <w:top w:val="nil"/>
              <w:left w:val="nil"/>
              <w:bottom w:val="single" w:sz="8" w:space="0" w:color="B8CCE4"/>
              <w:right w:val="single" w:sz="8" w:space="0" w:color="B8CCE4"/>
            </w:tcBorders>
            <w:vAlign w:val="center"/>
            <w:hideMark/>
          </w:tcPr>
          <w:p w14:paraId="0C5AD337"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19" w:type="dxa"/>
            <w:tcBorders>
              <w:top w:val="nil"/>
              <w:left w:val="nil"/>
              <w:bottom w:val="single" w:sz="8" w:space="0" w:color="B8CCE4"/>
              <w:right w:val="single" w:sz="8" w:space="0" w:color="B8CCE4"/>
            </w:tcBorders>
            <w:vAlign w:val="center"/>
            <w:hideMark/>
          </w:tcPr>
          <w:p w14:paraId="13659A7B"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7,108</w:t>
            </w:r>
          </w:p>
        </w:tc>
        <w:tc>
          <w:tcPr>
            <w:tcW w:w="948" w:type="dxa"/>
            <w:tcBorders>
              <w:top w:val="nil"/>
              <w:left w:val="nil"/>
              <w:bottom w:val="single" w:sz="8" w:space="0" w:color="B8CCE4"/>
              <w:right w:val="single" w:sz="8" w:space="0" w:color="B8CCE4"/>
            </w:tcBorders>
            <w:vAlign w:val="center"/>
            <w:hideMark/>
          </w:tcPr>
          <w:p w14:paraId="3BE42EA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879" w:type="dxa"/>
            <w:tcBorders>
              <w:top w:val="nil"/>
              <w:left w:val="nil"/>
              <w:bottom w:val="single" w:sz="8" w:space="0" w:color="B8CCE4"/>
              <w:right w:val="single" w:sz="8" w:space="0" w:color="B8CCE4"/>
            </w:tcBorders>
            <w:vAlign w:val="center"/>
            <w:hideMark/>
          </w:tcPr>
          <w:p w14:paraId="3BDFCCC9"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99</w:t>
            </w:r>
          </w:p>
        </w:tc>
        <w:tc>
          <w:tcPr>
            <w:tcW w:w="655" w:type="dxa"/>
            <w:tcBorders>
              <w:top w:val="nil"/>
              <w:left w:val="nil"/>
              <w:bottom w:val="single" w:sz="8" w:space="0" w:color="B8CCE4"/>
              <w:right w:val="single" w:sz="8" w:space="0" w:color="B8CCE4"/>
            </w:tcBorders>
            <w:vAlign w:val="center"/>
            <w:hideMark/>
          </w:tcPr>
          <w:p w14:paraId="13C0135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674" w:type="dxa"/>
            <w:tcBorders>
              <w:top w:val="nil"/>
              <w:left w:val="nil"/>
              <w:bottom w:val="single" w:sz="8" w:space="0" w:color="B8CCE4"/>
              <w:right w:val="single" w:sz="8" w:space="0" w:color="B8CCE4"/>
            </w:tcBorders>
            <w:vAlign w:val="center"/>
            <w:hideMark/>
          </w:tcPr>
          <w:p w14:paraId="4AB3902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0%</w:t>
            </w:r>
          </w:p>
        </w:tc>
        <w:tc>
          <w:tcPr>
            <w:tcW w:w="546" w:type="dxa"/>
            <w:tcBorders>
              <w:top w:val="nil"/>
              <w:left w:val="nil"/>
              <w:bottom w:val="single" w:sz="8" w:space="0" w:color="B8CCE4"/>
              <w:right w:val="single" w:sz="8" w:space="0" w:color="B8CCE4"/>
            </w:tcBorders>
            <w:vAlign w:val="center"/>
            <w:hideMark/>
          </w:tcPr>
          <w:p w14:paraId="65AF13C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99" w:type="dxa"/>
            <w:tcBorders>
              <w:top w:val="nil"/>
              <w:left w:val="nil"/>
              <w:bottom w:val="single" w:sz="8" w:space="0" w:color="B8CCE4"/>
              <w:right w:val="single" w:sz="8" w:space="0" w:color="B8CCE4"/>
            </w:tcBorders>
            <w:vAlign w:val="center"/>
            <w:hideMark/>
          </w:tcPr>
          <w:p w14:paraId="08973FD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w:t>
            </w:r>
          </w:p>
        </w:tc>
      </w:tr>
      <w:tr w:rsidR="00C156A0" w:rsidRPr="00C156A0" w14:paraId="5EE08A57" w14:textId="77777777" w:rsidTr="008D3175">
        <w:trPr>
          <w:trHeight w:val="300"/>
          <w:jc w:val="center"/>
        </w:trPr>
        <w:tc>
          <w:tcPr>
            <w:tcW w:w="2657" w:type="dxa"/>
            <w:tcBorders>
              <w:top w:val="nil"/>
              <w:left w:val="single" w:sz="8" w:space="0" w:color="B8CCE4"/>
              <w:bottom w:val="single" w:sz="8" w:space="0" w:color="B8CCE4"/>
              <w:right w:val="single" w:sz="8" w:space="0" w:color="B8CCE4"/>
            </w:tcBorders>
            <w:vAlign w:val="center"/>
            <w:hideMark/>
          </w:tcPr>
          <w:p w14:paraId="170B9A8D"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Menaxhimi i infrastrukturës se kullimit dhe ujitjes</w:t>
            </w:r>
          </w:p>
        </w:tc>
        <w:tc>
          <w:tcPr>
            <w:tcW w:w="879" w:type="dxa"/>
            <w:tcBorders>
              <w:top w:val="nil"/>
              <w:left w:val="nil"/>
              <w:bottom w:val="single" w:sz="8" w:space="0" w:color="B8CCE4"/>
              <w:right w:val="single" w:sz="8" w:space="0" w:color="B8CCE4"/>
            </w:tcBorders>
            <w:vAlign w:val="center"/>
            <w:hideMark/>
          </w:tcPr>
          <w:p w14:paraId="3334CEA4"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991,476</w:t>
            </w:r>
          </w:p>
        </w:tc>
        <w:tc>
          <w:tcPr>
            <w:tcW w:w="938" w:type="dxa"/>
            <w:tcBorders>
              <w:top w:val="nil"/>
              <w:left w:val="nil"/>
              <w:bottom w:val="single" w:sz="8" w:space="0" w:color="B8CCE4"/>
              <w:right w:val="single" w:sz="8" w:space="0" w:color="B8CCE4"/>
            </w:tcBorders>
            <w:vAlign w:val="center"/>
            <w:hideMark/>
          </w:tcPr>
          <w:p w14:paraId="0BE844F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1,890,000</w:t>
            </w:r>
          </w:p>
        </w:tc>
        <w:tc>
          <w:tcPr>
            <w:tcW w:w="948" w:type="dxa"/>
            <w:tcBorders>
              <w:top w:val="nil"/>
              <w:left w:val="nil"/>
              <w:bottom w:val="single" w:sz="8" w:space="0" w:color="B8CCE4"/>
              <w:right w:val="single" w:sz="8" w:space="0" w:color="B8CCE4"/>
            </w:tcBorders>
            <w:vAlign w:val="center"/>
            <w:hideMark/>
          </w:tcPr>
          <w:p w14:paraId="68AB8ED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1,076,518</w:t>
            </w:r>
          </w:p>
        </w:tc>
        <w:tc>
          <w:tcPr>
            <w:tcW w:w="919" w:type="dxa"/>
            <w:tcBorders>
              <w:top w:val="nil"/>
              <w:left w:val="nil"/>
              <w:bottom w:val="single" w:sz="8" w:space="0" w:color="B8CCE4"/>
              <w:right w:val="single" w:sz="8" w:space="0" w:color="B8CCE4"/>
            </w:tcBorders>
            <w:vAlign w:val="center"/>
            <w:hideMark/>
          </w:tcPr>
          <w:p w14:paraId="18932A98"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2,355,045</w:t>
            </w:r>
          </w:p>
        </w:tc>
        <w:tc>
          <w:tcPr>
            <w:tcW w:w="948" w:type="dxa"/>
            <w:tcBorders>
              <w:top w:val="nil"/>
              <w:left w:val="nil"/>
              <w:bottom w:val="single" w:sz="8" w:space="0" w:color="B8CCE4"/>
              <w:right w:val="single" w:sz="8" w:space="0" w:color="B8CCE4"/>
            </w:tcBorders>
            <w:vAlign w:val="center"/>
            <w:hideMark/>
          </w:tcPr>
          <w:p w14:paraId="60D5B8F2"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1,044,828</w:t>
            </w:r>
          </w:p>
        </w:tc>
        <w:tc>
          <w:tcPr>
            <w:tcW w:w="879" w:type="dxa"/>
            <w:tcBorders>
              <w:top w:val="nil"/>
              <w:left w:val="nil"/>
              <w:bottom w:val="single" w:sz="8" w:space="0" w:color="B8CCE4"/>
              <w:right w:val="single" w:sz="8" w:space="0" w:color="B8CCE4"/>
            </w:tcBorders>
            <w:vAlign w:val="center"/>
            <w:hideMark/>
          </w:tcPr>
          <w:p w14:paraId="022510CE"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2,285,452</w:t>
            </w:r>
          </w:p>
        </w:tc>
        <w:tc>
          <w:tcPr>
            <w:tcW w:w="655" w:type="dxa"/>
            <w:tcBorders>
              <w:top w:val="nil"/>
              <w:left w:val="nil"/>
              <w:bottom w:val="single" w:sz="8" w:space="0" w:color="B8CCE4"/>
              <w:right w:val="single" w:sz="8" w:space="0" w:color="B8CCE4"/>
            </w:tcBorders>
            <w:vAlign w:val="center"/>
            <w:hideMark/>
          </w:tcPr>
          <w:p w14:paraId="6302701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105%</w:t>
            </w:r>
          </w:p>
        </w:tc>
        <w:tc>
          <w:tcPr>
            <w:tcW w:w="674" w:type="dxa"/>
            <w:tcBorders>
              <w:top w:val="nil"/>
              <w:left w:val="nil"/>
              <w:bottom w:val="single" w:sz="8" w:space="0" w:color="B8CCE4"/>
              <w:right w:val="single" w:sz="8" w:space="0" w:color="B8CCE4"/>
            </w:tcBorders>
            <w:vAlign w:val="center"/>
            <w:hideMark/>
          </w:tcPr>
          <w:p w14:paraId="6F9350F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121%</w:t>
            </w:r>
          </w:p>
        </w:tc>
        <w:tc>
          <w:tcPr>
            <w:tcW w:w="546" w:type="dxa"/>
            <w:tcBorders>
              <w:top w:val="nil"/>
              <w:left w:val="nil"/>
              <w:bottom w:val="single" w:sz="8" w:space="0" w:color="B8CCE4"/>
              <w:right w:val="single" w:sz="8" w:space="0" w:color="B8CCE4"/>
            </w:tcBorders>
            <w:vAlign w:val="center"/>
            <w:hideMark/>
          </w:tcPr>
          <w:p w14:paraId="0195009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599" w:type="dxa"/>
            <w:tcBorders>
              <w:top w:val="nil"/>
              <w:left w:val="nil"/>
              <w:bottom w:val="single" w:sz="8" w:space="0" w:color="B8CCE4"/>
              <w:right w:val="single" w:sz="8" w:space="0" w:color="B8CCE4"/>
            </w:tcBorders>
            <w:vAlign w:val="center"/>
            <w:hideMark/>
          </w:tcPr>
          <w:p w14:paraId="4C43C4C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r>
      <w:tr w:rsidR="00C156A0" w:rsidRPr="00C156A0" w14:paraId="583C256C" w14:textId="77777777" w:rsidTr="008D3175">
        <w:trPr>
          <w:trHeight w:val="300"/>
          <w:jc w:val="center"/>
        </w:trPr>
        <w:tc>
          <w:tcPr>
            <w:tcW w:w="2657" w:type="dxa"/>
            <w:tcBorders>
              <w:top w:val="nil"/>
              <w:left w:val="single" w:sz="8" w:space="0" w:color="B8CCE4"/>
              <w:bottom w:val="single" w:sz="8" w:space="0" w:color="B8CCE4"/>
              <w:right w:val="single" w:sz="8" w:space="0" w:color="B8CCE4"/>
            </w:tcBorders>
            <w:vAlign w:val="center"/>
            <w:hideMark/>
          </w:tcPr>
          <w:p w14:paraId="67280990"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 xml:space="preserve">Zhvillimi rural duke mbështetur bujqësinë, </w:t>
            </w:r>
          </w:p>
        </w:tc>
        <w:tc>
          <w:tcPr>
            <w:tcW w:w="879" w:type="dxa"/>
            <w:tcBorders>
              <w:top w:val="nil"/>
              <w:left w:val="nil"/>
              <w:bottom w:val="single" w:sz="8" w:space="0" w:color="B8CCE4"/>
              <w:right w:val="single" w:sz="8" w:space="0" w:color="B8CCE4"/>
            </w:tcBorders>
            <w:vAlign w:val="center"/>
            <w:hideMark/>
          </w:tcPr>
          <w:p w14:paraId="0603D0FA"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5,031,409</w:t>
            </w:r>
          </w:p>
        </w:tc>
        <w:tc>
          <w:tcPr>
            <w:tcW w:w="938" w:type="dxa"/>
            <w:tcBorders>
              <w:top w:val="nil"/>
              <w:left w:val="nil"/>
              <w:bottom w:val="single" w:sz="8" w:space="0" w:color="B8CCE4"/>
              <w:right w:val="single" w:sz="8" w:space="0" w:color="B8CCE4"/>
            </w:tcBorders>
            <w:vAlign w:val="center"/>
            <w:hideMark/>
          </w:tcPr>
          <w:p w14:paraId="5B74BD5E"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643,363</w:t>
            </w:r>
          </w:p>
        </w:tc>
        <w:tc>
          <w:tcPr>
            <w:tcW w:w="948" w:type="dxa"/>
            <w:tcBorders>
              <w:top w:val="nil"/>
              <w:left w:val="nil"/>
              <w:bottom w:val="single" w:sz="8" w:space="0" w:color="B8CCE4"/>
              <w:right w:val="single" w:sz="8" w:space="0" w:color="B8CCE4"/>
            </w:tcBorders>
            <w:vAlign w:val="center"/>
            <w:hideMark/>
          </w:tcPr>
          <w:p w14:paraId="2891A1FB"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6,954,325</w:t>
            </w:r>
          </w:p>
        </w:tc>
        <w:tc>
          <w:tcPr>
            <w:tcW w:w="919" w:type="dxa"/>
            <w:tcBorders>
              <w:top w:val="nil"/>
              <w:left w:val="nil"/>
              <w:bottom w:val="single" w:sz="8" w:space="0" w:color="B8CCE4"/>
              <w:right w:val="single" w:sz="8" w:space="0" w:color="B8CCE4"/>
            </w:tcBorders>
            <w:vAlign w:val="center"/>
            <w:hideMark/>
          </w:tcPr>
          <w:p w14:paraId="75FFE40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489,047</w:t>
            </w:r>
          </w:p>
        </w:tc>
        <w:tc>
          <w:tcPr>
            <w:tcW w:w="948" w:type="dxa"/>
            <w:tcBorders>
              <w:top w:val="nil"/>
              <w:left w:val="nil"/>
              <w:bottom w:val="single" w:sz="8" w:space="0" w:color="B8CCE4"/>
              <w:right w:val="single" w:sz="8" w:space="0" w:color="B8CCE4"/>
            </w:tcBorders>
            <w:vAlign w:val="center"/>
            <w:hideMark/>
          </w:tcPr>
          <w:p w14:paraId="74DD1765"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6,112,334</w:t>
            </w:r>
          </w:p>
        </w:tc>
        <w:tc>
          <w:tcPr>
            <w:tcW w:w="879" w:type="dxa"/>
            <w:tcBorders>
              <w:top w:val="nil"/>
              <w:left w:val="nil"/>
              <w:bottom w:val="single" w:sz="8" w:space="0" w:color="B8CCE4"/>
              <w:right w:val="single" w:sz="8" w:space="0" w:color="B8CCE4"/>
            </w:tcBorders>
            <w:vAlign w:val="center"/>
            <w:hideMark/>
          </w:tcPr>
          <w:p w14:paraId="60D778F2"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468,262</w:t>
            </w:r>
          </w:p>
        </w:tc>
        <w:tc>
          <w:tcPr>
            <w:tcW w:w="655" w:type="dxa"/>
            <w:tcBorders>
              <w:top w:val="nil"/>
              <w:left w:val="nil"/>
              <w:bottom w:val="single" w:sz="8" w:space="0" w:color="B8CCE4"/>
              <w:right w:val="single" w:sz="8" w:space="0" w:color="B8CCE4"/>
            </w:tcBorders>
            <w:vAlign w:val="center"/>
            <w:hideMark/>
          </w:tcPr>
          <w:p w14:paraId="4547D47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121%</w:t>
            </w:r>
          </w:p>
        </w:tc>
        <w:tc>
          <w:tcPr>
            <w:tcW w:w="674" w:type="dxa"/>
            <w:tcBorders>
              <w:top w:val="nil"/>
              <w:left w:val="nil"/>
              <w:bottom w:val="single" w:sz="8" w:space="0" w:color="B8CCE4"/>
              <w:right w:val="single" w:sz="8" w:space="0" w:color="B8CCE4"/>
            </w:tcBorders>
            <w:vAlign w:val="center"/>
            <w:hideMark/>
          </w:tcPr>
          <w:p w14:paraId="6FAF09C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73%</w:t>
            </w:r>
          </w:p>
        </w:tc>
        <w:tc>
          <w:tcPr>
            <w:tcW w:w="546" w:type="dxa"/>
            <w:tcBorders>
              <w:top w:val="nil"/>
              <w:left w:val="nil"/>
              <w:bottom w:val="single" w:sz="8" w:space="0" w:color="B8CCE4"/>
              <w:right w:val="single" w:sz="8" w:space="0" w:color="B8CCE4"/>
            </w:tcBorders>
            <w:vAlign w:val="center"/>
            <w:hideMark/>
          </w:tcPr>
          <w:p w14:paraId="2916559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88%</w:t>
            </w:r>
          </w:p>
        </w:tc>
        <w:tc>
          <w:tcPr>
            <w:tcW w:w="599" w:type="dxa"/>
            <w:tcBorders>
              <w:top w:val="nil"/>
              <w:left w:val="nil"/>
              <w:bottom w:val="single" w:sz="8" w:space="0" w:color="B8CCE4"/>
              <w:right w:val="single" w:sz="8" w:space="0" w:color="B8CCE4"/>
            </w:tcBorders>
            <w:vAlign w:val="center"/>
            <w:hideMark/>
          </w:tcPr>
          <w:p w14:paraId="58DE039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96%</w:t>
            </w:r>
          </w:p>
        </w:tc>
      </w:tr>
      <w:tr w:rsidR="00C156A0" w:rsidRPr="00C156A0" w14:paraId="59C906A4"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16748637" w14:textId="77777777" w:rsidR="00C156A0" w:rsidRPr="00C156A0" w:rsidRDefault="00C156A0" w:rsidP="00327853">
            <w:pPr>
              <w:spacing w:before="0" w:line="240" w:lineRule="auto"/>
              <w:jc w:val="right"/>
              <w:rPr>
                <w:rFonts w:cs="Calibri"/>
                <w:b/>
                <w:bCs/>
                <w:color w:val="000000"/>
                <w:sz w:val="16"/>
                <w:szCs w:val="16"/>
                <w:lang w:val="sq-AL" w:eastAsia="en-GB"/>
              </w:rPr>
            </w:pPr>
            <w:r w:rsidRPr="00C156A0">
              <w:rPr>
                <w:rFonts w:cs="Calibri"/>
                <w:b/>
                <w:bCs/>
                <w:color w:val="000000"/>
                <w:sz w:val="16"/>
                <w:szCs w:val="16"/>
                <w:lang w:val="sq-AL" w:eastAsia="en-GB"/>
              </w:rPr>
              <w:t>Financim i huaj</w:t>
            </w:r>
          </w:p>
        </w:tc>
        <w:tc>
          <w:tcPr>
            <w:tcW w:w="879" w:type="dxa"/>
            <w:tcBorders>
              <w:top w:val="nil"/>
              <w:left w:val="nil"/>
              <w:bottom w:val="single" w:sz="8" w:space="0" w:color="B8CCE4"/>
              <w:right w:val="single" w:sz="8" w:space="0" w:color="B8CCE4"/>
            </w:tcBorders>
            <w:vAlign w:val="center"/>
            <w:hideMark/>
          </w:tcPr>
          <w:p w14:paraId="0F4DA7A0"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38" w:type="dxa"/>
            <w:tcBorders>
              <w:top w:val="nil"/>
              <w:left w:val="nil"/>
              <w:bottom w:val="single" w:sz="8" w:space="0" w:color="B8CCE4"/>
              <w:right w:val="single" w:sz="8" w:space="0" w:color="B8CCE4"/>
            </w:tcBorders>
            <w:vAlign w:val="center"/>
            <w:hideMark/>
          </w:tcPr>
          <w:p w14:paraId="31246F15"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1,569,408</w:t>
            </w:r>
          </w:p>
        </w:tc>
        <w:tc>
          <w:tcPr>
            <w:tcW w:w="948" w:type="dxa"/>
            <w:tcBorders>
              <w:top w:val="nil"/>
              <w:left w:val="nil"/>
              <w:bottom w:val="single" w:sz="8" w:space="0" w:color="B8CCE4"/>
              <w:right w:val="single" w:sz="8" w:space="0" w:color="B8CCE4"/>
            </w:tcBorders>
            <w:vAlign w:val="center"/>
            <w:hideMark/>
          </w:tcPr>
          <w:p w14:paraId="5DC636D1"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919" w:type="dxa"/>
            <w:tcBorders>
              <w:top w:val="nil"/>
              <w:left w:val="nil"/>
              <w:bottom w:val="single" w:sz="8" w:space="0" w:color="B8CCE4"/>
              <w:right w:val="single" w:sz="8" w:space="0" w:color="B8CCE4"/>
            </w:tcBorders>
            <w:vAlign w:val="center"/>
            <w:hideMark/>
          </w:tcPr>
          <w:p w14:paraId="1831E6FD"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597,408</w:t>
            </w:r>
          </w:p>
        </w:tc>
        <w:tc>
          <w:tcPr>
            <w:tcW w:w="948" w:type="dxa"/>
            <w:tcBorders>
              <w:top w:val="nil"/>
              <w:left w:val="nil"/>
              <w:bottom w:val="single" w:sz="8" w:space="0" w:color="B8CCE4"/>
              <w:right w:val="single" w:sz="8" w:space="0" w:color="B8CCE4"/>
            </w:tcBorders>
            <w:vAlign w:val="center"/>
            <w:hideMark/>
          </w:tcPr>
          <w:p w14:paraId="4D774370"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w:t>
            </w:r>
          </w:p>
        </w:tc>
        <w:tc>
          <w:tcPr>
            <w:tcW w:w="879" w:type="dxa"/>
            <w:tcBorders>
              <w:top w:val="nil"/>
              <w:left w:val="nil"/>
              <w:bottom w:val="single" w:sz="8" w:space="0" w:color="B8CCE4"/>
              <w:right w:val="single" w:sz="8" w:space="0" w:color="B8CCE4"/>
            </w:tcBorders>
            <w:vAlign w:val="center"/>
            <w:hideMark/>
          </w:tcPr>
          <w:p w14:paraId="7362FD1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513,527</w:t>
            </w:r>
          </w:p>
        </w:tc>
        <w:tc>
          <w:tcPr>
            <w:tcW w:w="655" w:type="dxa"/>
            <w:tcBorders>
              <w:top w:val="nil"/>
              <w:left w:val="nil"/>
              <w:bottom w:val="single" w:sz="8" w:space="0" w:color="B8CCE4"/>
              <w:right w:val="single" w:sz="8" w:space="0" w:color="B8CCE4"/>
            </w:tcBorders>
            <w:vAlign w:val="center"/>
            <w:hideMark/>
          </w:tcPr>
          <w:p w14:paraId="37957B8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674" w:type="dxa"/>
            <w:tcBorders>
              <w:top w:val="nil"/>
              <w:left w:val="nil"/>
              <w:bottom w:val="single" w:sz="8" w:space="0" w:color="B8CCE4"/>
              <w:right w:val="single" w:sz="8" w:space="0" w:color="B8CCE4"/>
            </w:tcBorders>
            <w:vAlign w:val="center"/>
            <w:hideMark/>
          </w:tcPr>
          <w:p w14:paraId="7CAFFDC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33%</w:t>
            </w:r>
          </w:p>
        </w:tc>
        <w:tc>
          <w:tcPr>
            <w:tcW w:w="546" w:type="dxa"/>
            <w:tcBorders>
              <w:top w:val="nil"/>
              <w:left w:val="nil"/>
              <w:bottom w:val="single" w:sz="8" w:space="0" w:color="B8CCE4"/>
              <w:right w:val="single" w:sz="8" w:space="0" w:color="B8CCE4"/>
            </w:tcBorders>
            <w:vAlign w:val="center"/>
            <w:hideMark/>
          </w:tcPr>
          <w:p w14:paraId="06A75CB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99" w:type="dxa"/>
            <w:tcBorders>
              <w:top w:val="nil"/>
              <w:left w:val="nil"/>
              <w:bottom w:val="single" w:sz="8" w:space="0" w:color="B8CCE4"/>
              <w:right w:val="single" w:sz="8" w:space="0" w:color="B8CCE4"/>
            </w:tcBorders>
            <w:vAlign w:val="center"/>
            <w:hideMark/>
          </w:tcPr>
          <w:p w14:paraId="5D9C8C8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86%</w:t>
            </w:r>
          </w:p>
        </w:tc>
      </w:tr>
      <w:tr w:rsidR="00C156A0" w:rsidRPr="00C156A0" w14:paraId="1C180C0E" w14:textId="77777777" w:rsidTr="008D3175">
        <w:trPr>
          <w:trHeight w:val="193"/>
          <w:jc w:val="center"/>
        </w:trPr>
        <w:tc>
          <w:tcPr>
            <w:tcW w:w="2657" w:type="dxa"/>
            <w:tcBorders>
              <w:top w:val="nil"/>
              <w:left w:val="single" w:sz="8" w:space="0" w:color="B8CCE4"/>
              <w:bottom w:val="single" w:sz="8" w:space="0" w:color="B8CCE4"/>
              <w:right w:val="single" w:sz="8" w:space="0" w:color="B8CCE4"/>
            </w:tcBorders>
            <w:vAlign w:val="center"/>
            <w:hideMark/>
          </w:tcPr>
          <w:p w14:paraId="1010A05E"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Këshillimi dhe informacioni bujqësor</w:t>
            </w:r>
          </w:p>
        </w:tc>
        <w:tc>
          <w:tcPr>
            <w:tcW w:w="879" w:type="dxa"/>
            <w:tcBorders>
              <w:top w:val="nil"/>
              <w:left w:val="nil"/>
              <w:bottom w:val="single" w:sz="8" w:space="0" w:color="B8CCE4"/>
              <w:right w:val="single" w:sz="8" w:space="0" w:color="B8CCE4"/>
            </w:tcBorders>
            <w:vAlign w:val="center"/>
            <w:hideMark/>
          </w:tcPr>
          <w:p w14:paraId="68E4E101"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707,049</w:t>
            </w:r>
          </w:p>
        </w:tc>
        <w:tc>
          <w:tcPr>
            <w:tcW w:w="938" w:type="dxa"/>
            <w:tcBorders>
              <w:top w:val="nil"/>
              <w:left w:val="nil"/>
              <w:bottom w:val="single" w:sz="8" w:space="0" w:color="B8CCE4"/>
              <w:right w:val="single" w:sz="8" w:space="0" w:color="B8CCE4"/>
            </w:tcBorders>
            <w:vAlign w:val="center"/>
            <w:hideMark/>
          </w:tcPr>
          <w:p w14:paraId="2F98DFAC"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50,000</w:t>
            </w:r>
          </w:p>
        </w:tc>
        <w:tc>
          <w:tcPr>
            <w:tcW w:w="948" w:type="dxa"/>
            <w:tcBorders>
              <w:top w:val="nil"/>
              <w:left w:val="nil"/>
              <w:bottom w:val="single" w:sz="8" w:space="0" w:color="B8CCE4"/>
              <w:right w:val="single" w:sz="8" w:space="0" w:color="B8CCE4"/>
            </w:tcBorders>
            <w:vAlign w:val="center"/>
            <w:hideMark/>
          </w:tcPr>
          <w:p w14:paraId="16C98A1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722,710</w:t>
            </w:r>
          </w:p>
        </w:tc>
        <w:tc>
          <w:tcPr>
            <w:tcW w:w="919" w:type="dxa"/>
            <w:tcBorders>
              <w:top w:val="nil"/>
              <w:left w:val="nil"/>
              <w:bottom w:val="single" w:sz="8" w:space="0" w:color="B8CCE4"/>
              <w:right w:val="single" w:sz="8" w:space="0" w:color="B8CCE4"/>
            </w:tcBorders>
            <w:vAlign w:val="center"/>
            <w:hideMark/>
          </w:tcPr>
          <w:p w14:paraId="4CC2C468"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42,155</w:t>
            </w:r>
          </w:p>
        </w:tc>
        <w:tc>
          <w:tcPr>
            <w:tcW w:w="948" w:type="dxa"/>
            <w:tcBorders>
              <w:top w:val="nil"/>
              <w:left w:val="nil"/>
              <w:bottom w:val="single" w:sz="8" w:space="0" w:color="B8CCE4"/>
              <w:right w:val="single" w:sz="8" w:space="0" w:color="B8CCE4"/>
            </w:tcBorders>
            <w:vAlign w:val="center"/>
            <w:hideMark/>
          </w:tcPr>
          <w:p w14:paraId="66F5AAE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700,107</w:t>
            </w:r>
          </w:p>
        </w:tc>
        <w:tc>
          <w:tcPr>
            <w:tcW w:w="879" w:type="dxa"/>
            <w:tcBorders>
              <w:top w:val="nil"/>
              <w:left w:val="nil"/>
              <w:bottom w:val="single" w:sz="8" w:space="0" w:color="B8CCE4"/>
              <w:right w:val="single" w:sz="8" w:space="0" w:color="B8CCE4"/>
            </w:tcBorders>
            <w:vAlign w:val="center"/>
            <w:hideMark/>
          </w:tcPr>
          <w:p w14:paraId="79A9AFE3"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17,039</w:t>
            </w:r>
          </w:p>
        </w:tc>
        <w:tc>
          <w:tcPr>
            <w:tcW w:w="655" w:type="dxa"/>
            <w:tcBorders>
              <w:top w:val="nil"/>
              <w:left w:val="nil"/>
              <w:bottom w:val="single" w:sz="8" w:space="0" w:color="B8CCE4"/>
              <w:right w:val="single" w:sz="8" w:space="0" w:color="B8CCE4"/>
            </w:tcBorders>
            <w:vAlign w:val="center"/>
            <w:hideMark/>
          </w:tcPr>
          <w:p w14:paraId="7DCD871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99%</w:t>
            </w:r>
          </w:p>
        </w:tc>
        <w:tc>
          <w:tcPr>
            <w:tcW w:w="674" w:type="dxa"/>
            <w:tcBorders>
              <w:top w:val="nil"/>
              <w:left w:val="nil"/>
              <w:bottom w:val="single" w:sz="8" w:space="0" w:color="B8CCE4"/>
              <w:right w:val="single" w:sz="8" w:space="0" w:color="B8CCE4"/>
            </w:tcBorders>
            <w:vAlign w:val="center"/>
            <w:hideMark/>
          </w:tcPr>
          <w:p w14:paraId="50C5098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34%</w:t>
            </w:r>
          </w:p>
        </w:tc>
        <w:tc>
          <w:tcPr>
            <w:tcW w:w="546" w:type="dxa"/>
            <w:tcBorders>
              <w:top w:val="nil"/>
              <w:left w:val="nil"/>
              <w:bottom w:val="single" w:sz="8" w:space="0" w:color="B8CCE4"/>
              <w:right w:val="single" w:sz="8" w:space="0" w:color="B8CCE4"/>
            </w:tcBorders>
            <w:vAlign w:val="center"/>
            <w:hideMark/>
          </w:tcPr>
          <w:p w14:paraId="320B371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599" w:type="dxa"/>
            <w:tcBorders>
              <w:top w:val="nil"/>
              <w:left w:val="nil"/>
              <w:bottom w:val="single" w:sz="8" w:space="0" w:color="B8CCE4"/>
              <w:right w:val="single" w:sz="8" w:space="0" w:color="B8CCE4"/>
            </w:tcBorders>
            <w:vAlign w:val="center"/>
            <w:hideMark/>
          </w:tcPr>
          <w:p w14:paraId="734E40C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40%</w:t>
            </w:r>
          </w:p>
        </w:tc>
      </w:tr>
      <w:tr w:rsidR="00C156A0" w:rsidRPr="00C156A0" w14:paraId="26396D82" w14:textId="77777777" w:rsidTr="008D3175">
        <w:trPr>
          <w:trHeight w:val="300"/>
          <w:jc w:val="center"/>
        </w:trPr>
        <w:tc>
          <w:tcPr>
            <w:tcW w:w="2657" w:type="dxa"/>
            <w:tcBorders>
              <w:top w:val="nil"/>
              <w:left w:val="single" w:sz="8" w:space="0" w:color="B8CCE4"/>
              <w:bottom w:val="single" w:sz="8" w:space="0" w:color="B8CCE4"/>
              <w:right w:val="single" w:sz="8" w:space="0" w:color="B8CCE4"/>
            </w:tcBorders>
            <w:vAlign w:val="center"/>
            <w:hideMark/>
          </w:tcPr>
          <w:p w14:paraId="61932F01" w14:textId="77777777" w:rsidR="00C156A0" w:rsidRPr="00C156A0" w:rsidRDefault="00C156A0" w:rsidP="00327853">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Menaxhimi i qëndrueshëm i tokës bujqësore</w:t>
            </w:r>
          </w:p>
        </w:tc>
        <w:tc>
          <w:tcPr>
            <w:tcW w:w="879" w:type="dxa"/>
            <w:tcBorders>
              <w:top w:val="nil"/>
              <w:left w:val="nil"/>
              <w:bottom w:val="single" w:sz="8" w:space="0" w:color="B8CCE4"/>
              <w:right w:val="single" w:sz="8" w:space="0" w:color="B8CCE4"/>
            </w:tcBorders>
            <w:vAlign w:val="center"/>
            <w:hideMark/>
          </w:tcPr>
          <w:p w14:paraId="667F22DC"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25,000</w:t>
            </w:r>
          </w:p>
        </w:tc>
        <w:tc>
          <w:tcPr>
            <w:tcW w:w="938" w:type="dxa"/>
            <w:tcBorders>
              <w:top w:val="nil"/>
              <w:left w:val="nil"/>
              <w:bottom w:val="single" w:sz="8" w:space="0" w:color="B8CCE4"/>
              <w:right w:val="single" w:sz="8" w:space="0" w:color="B8CCE4"/>
            </w:tcBorders>
            <w:vAlign w:val="center"/>
            <w:hideMark/>
          </w:tcPr>
          <w:p w14:paraId="36694889"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10,000</w:t>
            </w:r>
          </w:p>
        </w:tc>
        <w:tc>
          <w:tcPr>
            <w:tcW w:w="948" w:type="dxa"/>
            <w:tcBorders>
              <w:top w:val="nil"/>
              <w:left w:val="nil"/>
              <w:bottom w:val="single" w:sz="8" w:space="0" w:color="B8CCE4"/>
              <w:right w:val="single" w:sz="8" w:space="0" w:color="B8CCE4"/>
            </w:tcBorders>
            <w:vAlign w:val="center"/>
            <w:hideMark/>
          </w:tcPr>
          <w:p w14:paraId="001077DB"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18,000</w:t>
            </w:r>
          </w:p>
        </w:tc>
        <w:tc>
          <w:tcPr>
            <w:tcW w:w="919" w:type="dxa"/>
            <w:tcBorders>
              <w:top w:val="nil"/>
              <w:left w:val="nil"/>
              <w:bottom w:val="single" w:sz="8" w:space="0" w:color="B8CCE4"/>
              <w:right w:val="single" w:sz="8" w:space="0" w:color="B8CCE4"/>
            </w:tcBorders>
            <w:vAlign w:val="center"/>
            <w:hideMark/>
          </w:tcPr>
          <w:p w14:paraId="12D2B5F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7,270</w:t>
            </w:r>
          </w:p>
        </w:tc>
        <w:tc>
          <w:tcPr>
            <w:tcW w:w="948" w:type="dxa"/>
            <w:tcBorders>
              <w:top w:val="nil"/>
              <w:left w:val="nil"/>
              <w:bottom w:val="single" w:sz="8" w:space="0" w:color="B8CCE4"/>
              <w:right w:val="single" w:sz="8" w:space="0" w:color="B8CCE4"/>
            </w:tcBorders>
            <w:vAlign w:val="center"/>
            <w:hideMark/>
          </w:tcPr>
          <w:p w14:paraId="389CBC46"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17,715</w:t>
            </w:r>
          </w:p>
        </w:tc>
        <w:tc>
          <w:tcPr>
            <w:tcW w:w="879" w:type="dxa"/>
            <w:tcBorders>
              <w:top w:val="nil"/>
              <w:left w:val="nil"/>
              <w:bottom w:val="single" w:sz="8" w:space="0" w:color="B8CCE4"/>
              <w:right w:val="single" w:sz="8" w:space="0" w:color="B8CCE4"/>
            </w:tcBorders>
            <w:vAlign w:val="center"/>
            <w:hideMark/>
          </w:tcPr>
          <w:p w14:paraId="6FEF993F" w14:textId="77777777" w:rsidR="00C156A0" w:rsidRPr="00C156A0" w:rsidRDefault="00C156A0" w:rsidP="00C156A0">
            <w:pPr>
              <w:spacing w:before="0" w:line="240" w:lineRule="auto"/>
              <w:jc w:val="right"/>
              <w:rPr>
                <w:rFonts w:cs="Calibri"/>
                <w:color w:val="000000"/>
                <w:sz w:val="16"/>
                <w:szCs w:val="16"/>
                <w:lang w:val="sq-AL" w:eastAsia="en-GB"/>
              </w:rPr>
            </w:pPr>
            <w:r w:rsidRPr="00C156A0">
              <w:rPr>
                <w:rFonts w:cs="Calibri"/>
                <w:color w:val="000000"/>
                <w:sz w:val="16"/>
                <w:szCs w:val="16"/>
                <w:lang w:val="sq-AL" w:eastAsia="en-GB"/>
              </w:rPr>
              <w:t>0</w:t>
            </w:r>
          </w:p>
        </w:tc>
        <w:tc>
          <w:tcPr>
            <w:tcW w:w="655" w:type="dxa"/>
            <w:tcBorders>
              <w:top w:val="nil"/>
              <w:left w:val="nil"/>
              <w:bottom w:val="single" w:sz="8" w:space="0" w:color="B8CCE4"/>
              <w:right w:val="single" w:sz="8" w:space="0" w:color="B8CCE4"/>
            </w:tcBorders>
            <w:vAlign w:val="center"/>
            <w:hideMark/>
          </w:tcPr>
          <w:p w14:paraId="55D6E90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71%</w:t>
            </w:r>
          </w:p>
        </w:tc>
        <w:tc>
          <w:tcPr>
            <w:tcW w:w="674" w:type="dxa"/>
            <w:tcBorders>
              <w:top w:val="nil"/>
              <w:left w:val="nil"/>
              <w:bottom w:val="single" w:sz="8" w:space="0" w:color="B8CCE4"/>
              <w:right w:val="single" w:sz="8" w:space="0" w:color="B8CCE4"/>
            </w:tcBorders>
            <w:vAlign w:val="center"/>
            <w:hideMark/>
          </w:tcPr>
          <w:p w14:paraId="30B6244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46" w:type="dxa"/>
            <w:tcBorders>
              <w:top w:val="nil"/>
              <w:left w:val="nil"/>
              <w:bottom w:val="single" w:sz="8" w:space="0" w:color="B8CCE4"/>
              <w:right w:val="single" w:sz="8" w:space="0" w:color="B8CCE4"/>
            </w:tcBorders>
            <w:vAlign w:val="center"/>
            <w:hideMark/>
          </w:tcPr>
          <w:p w14:paraId="569AB23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c>
          <w:tcPr>
            <w:tcW w:w="599" w:type="dxa"/>
            <w:tcBorders>
              <w:top w:val="nil"/>
              <w:left w:val="nil"/>
              <w:bottom w:val="single" w:sz="8" w:space="0" w:color="B8CCE4"/>
              <w:right w:val="single" w:sz="8" w:space="0" w:color="B8CCE4"/>
            </w:tcBorders>
            <w:vAlign w:val="center"/>
            <w:hideMark/>
          </w:tcPr>
          <w:p w14:paraId="07B42D4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0%</w:t>
            </w:r>
          </w:p>
        </w:tc>
      </w:tr>
      <w:tr w:rsidR="00D0642E" w:rsidRPr="00C156A0" w14:paraId="20D2B2A1" w14:textId="77777777" w:rsidTr="008D3175">
        <w:trPr>
          <w:trHeight w:val="193"/>
          <w:jc w:val="center"/>
        </w:trPr>
        <w:tc>
          <w:tcPr>
            <w:tcW w:w="2657" w:type="dxa"/>
            <w:tcBorders>
              <w:top w:val="nil"/>
              <w:left w:val="nil"/>
              <w:bottom w:val="single" w:sz="8" w:space="0" w:color="B8CCE4"/>
              <w:right w:val="single" w:sz="8" w:space="0" w:color="B8CCE4"/>
            </w:tcBorders>
            <w:shd w:val="clear" w:color="000000" w:fill="366092"/>
            <w:vAlign w:val="center"/>
            <w:hideMark/>
          </w:tcPr>
          <w:p w14:paraId="042AEBF9"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Gjithsej sipas natyrës</w:t>
            </w:r>
          </w:p>
        </w:tc>
        <w:tc>
          <w:tcPr>
            <w:tcW w:w="879" w:type="dxa"/>
            <w:tcBorders>
              <w:top w:val="nil"/>
              <w:left w:val="nil"/>
              <w:bottom w:val="single" w:sz="8" w:space="0" w:color="B8CCE4"/>
              <w:right w:val="single" w:sz="8" w:space="0" w:color="B8CCE4"/>
            </w:tcBorders>
            <w:shd w:val="clear" w:color="000000" w:fill="366092"/>
            <w:vAlign w:val="center"/>
            <w:hideMark/>
          </w:tcPr>
          <w:p w14:paraId="7DAB577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9,716,654</w:t>
            </w:r>
          </w:p>
        </w:tc>
        <w:tc>
          <w:tcPr>
            <w:tcW w:w="938" w:type="dxa"/>
            <w:tcBorders>
              <w:top w:val="nil"/>
              <w:left w:val="nil"/>
              <w:bottom w:val="single" w:sz="8" w:space="0" w:color="B8CCE4"/>
              <w:right w:val="single" w:sz="8" w:space="0" w:color="B8CCE4"/>
            </w:tcBorders>
            <w:shd w:val="clear" w:color="000000" w:fill="366092"/>
            <w:vAlign w:val="center"/>
            <w:hideMark/>
          </w:tcPr>
          <w:p w14:paraId="31477049"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4,887,194</w:t>
            </w:r>
          </w:p>
        </w:tc>
        <w:tc>
          <w:tcPr>
            <w:tcW w:w="948" w:type="dxa"/>
            <w:tcBorders>
              <w:top w:val="nil"/>
              <w:left w:val="nil"/>
              <w:bottom w:val="nil"/>
              <w:right w:val="single" w:sz="8" w:space="0" w:color="B8CCE4"/>
            </w:tcBorders>
            <w:shd w:val="clear" w:color="000000" w:fill="366092"/>
            <w:vAlign w:val="center"/>
            <w:hideMark/>
          </w:tcPr>
          <w:p w14:paraId="1CAB6455"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12,124,377</w:t>
            </w:r>
          </w:p>
        </w:tc>
        <w:tc>
          <w:tcPr>
            <w:tcW w:w="919" w:type="dxa"/>
            <w:tcBorders>
              <w:top w:val="nil"/>
              <w:left w:val="nil"/>
              <w:bottom w:val="nil"/>
              <w:right w:val="single" w:sz="8" w:space="0" w:color="B8CCE4"/>
            </w:tcBorders>
            <w:shd w:val="clear" w:color="000000" w:fill="366092"/>
            <w:vAlign w:val="center"/>
            <w:hideMark/>
          </w:tcPr>
          <w:p w14:paraId="7634D31D"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3,883,377</w:t>
            </w:r>
          </w:p>
        </w:tc>
        <w:tc>
          <w:tcPr>
            <w:tcW w:w="948" w:type="dxa"/>
            <w:tcBorders>
              <w:top w:val="nil"/>
              <w:left w:val="nil"/>
              <w:bottom w:val="nil"/>
              <w:right w:val="single" w:sz="8" w:space="0" w:color="B8CCE4"/>
            </w:tcBorders>
            <w:shd w:val="clear" w:color="000000" w:fill="366092"/>
            <w:vAlign w:val="center"/>
            <w:hideMark/>
          </w:tcPr>
          <w:p w14:paraId="6393EF40"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11,172,277</w:t>
            </w:r>
          </w:p>
        </w:tc>
        <w:tc>
          <w:tcPr>
            <w:tcW w:w="879" w:type="dxa"/>
            <w:tcBorders>
              <w:top w:val="nil"/>
              <w:left w:val="nil"/>
              <w:bottom w:val="nil"/>
              <w:right w:val="single" w:sz="8" w:space="0" w:color="B8CCE4"/>
            </w:tcBorders>
            <w:shd w:val="clear" w:color="000000" w:fill="366092"/>
            <w:vAlign w:val="center"/>
            <w:hideMark/>
          </w:tcPr>
          <w:p w14:paraId="3D4E63DC"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3,662,790</w:t>
            </w:r>
          </w:p>
        </w:tc>
        <w:tc>
          <w:tcPr>
            <w:tcW w:w="655" w:type="dxa"/>
            <w:tcBorders>
              <w:top w:val="nil"/>
              <w:left w:val="nil"/>
              <w:bottom w:val="single" w:sz="8" w:space="0" w:color="B8CCE4"/>
              <w:right w:val="single" w:sz="8" w:space="0" w:color="B8CCE4"/>
            </w:tcBorders>
            <w:shd w:val="clear" w:color="000000" w:fill="366092"/>
            <w:vAlign w:val="center"/>
            <w:hideMark/>
          </w:tcPr>
          <w:p w14:paraId="0359C13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115%</w:t>
            </w:r>
          </w:p>
        </w:tc>
        <w:tc>
          <w:tcPr>
            <w:tcW w:w="674" w:type="dxa"/>
            <w:tcBorders>
              <w:top w:val="nil"/>
              <w:left w:val="nil"/>
              <w:bottom w:val="single" w:sz="8" w:space="0" w:color="B8CCE4"/>
              <w:right w:val="single" w:sz="8" w:space="0" w:color="B8CCE4"/>
            </w:tcBorders>
            <w:shd w:val="clear" w:color="000000" w:fill="366092"/>
            <w:vAlign w:val="center"/>
            <w:hideMark/>
          </w:tcPr>
          <w:p w14:paraId="25555F93"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75%</w:t>
            </w:r>
          </w:p>
        </w:tc>
        <w:tc>
          <w:tcPr>
            <w:tcW w:w="546" w:type="dxa"/>
            <w:tcBorders>
              <w:top w:val="nil"/>
              <w:left w:val="nil"/>
              <w:bottom w:val="single" w:sz="8" w:space="0" w:color="B8CCE4"/>
              <w:right w:val="single" w:sz="8" w:space="0" w:color="B8CCE4"/>
            </w:tcBorders>
            <w:shd w:val="clear" w:color="000000" w:fill="366092"/>
            <w:vAlign w:val="center"/>
            <w:hideMark/>
          </w:tcPr>
          <w:p w14:paraId="57405E05"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92%</w:t>
            </w:r>
          </w:p>
        </w:tc>
        <w:tc>
          <w:tcPr>
            <w:tcW w:w="599" w:type="dxa"/>
            <w:tcBorders>
              <w:top w:val="nil"/>
              <w:left w:val="nil"/>
              <w:bottom w:val="single" w:sz="8" w:space="0" w:color="B8CCE4"/>
              <w:right w:val="single" w:sz="8" w:space="0" w:color="B8CCE4"/>
            </w:tcBorders>
            <w:shd w:val="clear" w:color="000000" w:fill="366092"/>
            <w:vAlign w:val="center"/>
            <w:hideMark/>
          </w:tcPr>
          <w:p w14:paraId="5B63DAEE"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94%</w:t>
            </w:r>
          </w:p>
        </w:tc>
      </w:tr>
      <w:tr w:rsidR="00C156A0" w:rsidRPr="00C156A0" w14:paraId="2EFACB7E" w14:textId="77777777" w:rsidTr="008D3175">
        <w:trPr>
          <w:trHeight w:val="193"/>
          <w:jc w:val="center"/>
        </w:trPr>
        <w:tc>
          <w:tcPr>
            <w:tcW w:w="2657" w:type="dxa"/>
            <w:tcBorders>
              <w:top w:val="nil"/>
              <w:left w:val="single" w:sz="8" w:space="0" w:color="B8CCE4"/>
              <w:bottom w:val="single" w:sz="8" w:space="0" w:color="B8CCE4"/>
              <w:right w:val="single" w:sz="8" w:space="0" w:color="B8CCE4"/>
            </w:tcBorders>
            <w:shd w:val="clear" w:color="000000" w:fill="365F91"/>
            <w:vAlign w:val="center"/>
            <w:hideMark/>
          </w:tcPr>
          <w:p w14:paraId="4E1B9FF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Totali</w:t>
            </w:r>
          </w:p>
        </w:tc>
        <w:tc>
          <w:tcPr>
            <w:tcW w:w="1818"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14D543B1"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14,603,848</w:t>
            </w:r>
          </w:p>
        </w:tc>
        <w:tc>
          <w:tcPr>
            <w:tcW w:w="1868"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492992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16,007,754</w:t>
            </w:r>
          </w:p>
        </w:tc>
        <w:tc>
          <w:tcPr>
            <w:tcW w:w="1828"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70AE57C"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14,835,067</w:t>
            </w:r>
          </w:p>
        </w:tc>
        <w:tc>
          <w:tcPr>
            <w:tcW w:w="133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181277E1"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102%</w:t>
            </w:r>
          </w:p>
        </w:tc>
        <w:tc>
          <w:tcPr>
            <w:tcW w:w="1146"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178D9E33"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93%</w:t>
            </w:r>
          </w:p>
        </w:tc>
      </w:tr>
    </w:tbl>
    <w:p w14:paraId="283BECFB" w14:textId="488D9D2F" w:rsidR="00C156A0" w:rsidRPr="00C156A0" w:rsidRDefault="00C156A0" w:rsidP="004C7506">
      <w:pPr>
        <w:spacing w:line="240" w:lineRule="auto"/>
        <w:rPr>
          <w:color w:val="000000"/>
          <w:spacing w:val="1"/>
          <w:lang w:val="sq-AL"/>
        </w:rPr>
      </w:pPr>
      <w:r w:rsidRPr="00C156A0">
        <w:rPr>
          <w:spacing w:val="-2"/>
          <w:lang w:val="sq-AL"/>
        </w:rPr>
        <w:lastRenderedPageBreak/>
        <w:t>B</w:t>
      </w:r>
      <w:r w:rsidRPr="00C156A0">
        <w:rPr>
          <w:lang w:val="sq-AL"/>
        </w:rPr>
        <w:t>u</w:t>
      </w:r>
      <w:r w:rsidRPr="00C156A0">
        <w:rPr>
          <w:spacing w:val="2"/>
          <w:lang w:val="sq-AL"/>
        </w:rPr>
        <w:t>x</w:t>
      </w:r>
      <w:r w:rsidRPr="00C156A0">
        <w:rPr>
          <w:lang w:val="sq-AL"/>
        </w:rPr>
        <w:t>h</w:t>
      </w:r>
      <w:r w:rsidRPr="00C156A0">
        <w:rPr>
          <w:spacing w:val="-1"/>
          <w:lang w:val="sq-AL"/>
        </w:rPr>
        <w:t>e</w:t>
      </w:r>
      <w:r w:rsidRPr="00C156A0">
        <w:rPr>
          <w:lang w:val="sq-AL"/>
        </w:rPr>
        <w:t>ti vjetor fillestar i Ministrisë së Bujqësisë dhe Zhvillimit Rural u rishikua me rritje (prej 9.6%) gjatë vitit 2025. Nëpërmjet rishikim</w:t>
      </w:r>
      <w:r w:rsidR="00D0642E">
        <w:rPr>
          <w:lang w:val="sq-AL"/>
        </w:rPr>
        <w:t>eve</w:t>
      </w:r>
      <w:r w:rsidRPr="00C156A0">
        <w:rPr>
          <w:lang w:val="sq-AL"/>
        </w:rPr>
        <w:t xml:space="preserve"> </w:t>
      </w:r>
      <w:r w:rsidR="00D0642E">
        <w:rPr>
          <w:lang w:val="sq-AL"/>
        </w:rPr>
        <w:t>të</w:t>
      </w:r>
      <w:r w:rsidRPr="00C156A0">
        <w:rPr>
          <w:lang w:val="sq-AL"/>
        </w:rPr>
        <w:t xml:space="preserve"> buxhetit janë reduktuar shpenzimet kapitale (-20.5%) dhe janë </w:t>
      </w:r>
      <w:r w:rsidR="00D0642E">
        <w:rPr>
          <w:lang w:val="sq-AL"/>
        </w:rPr>
        <w:t>rritur</w:t>
      </w:r>
      <w:r w:rsidRPr="00C156A0">
        <w:rPr>
          <w:lang w:val="sq-AL"/>
        </w:rPr>
        <w:t xml:space="preserve"> shpenzimet korente (+20.7%). Realizimi faktik ishte </w:t>
      </w:r>
      <w:r w:rsidRPr="00C156A0">
        <w:rPr>
          <w:color w:val="000000"/>
          <w:lang w:val="sq-AL"/>
        </w:rPr>
        <w:t xml:space="preserve">14.8 </w:t>
      </w:r>
      <w:r w:rsidR="0056260B">
        <w:rPr>
          <w:color w:val="000000"/>
          <w:lang w:val="sq-AL"/>
        </w:rPr>
        <w:t>miliardë</w:t>
      </w:r>
      <w:r w:rsidRPr="00C156A0">
        <w:rPr>
          <w:color w:val="000000"/>
          <w:lang w:val="sq-AL"/>
        </w:rPr>
        <w:t xml:space="preserve"> </w:t>
      </w:r>
      <w:r w:rsidRPr="00C156A0">
        <w:rPr>
          <w:lang w:val="sq-AL"/>
        </w:rPr>
        <w:t xml:space="preserve">LEK ose 102% e buxhetit fillestar dhe 93% e buxhetit të rishikuar. </w:t>
      </w:r>
      <w:r w:rsidRPr="00C156A0">
        <w:rPr>
          <w:spacing w:val="-2"/>
          <w:lang w:val="sq-AL"/>
        </w:rPr>
        <w:t>Real</w:t>
      </w:r>
      <w:r w:rsidRPr="00C156A0">
        <w:rPr>
          <w:spacing w:val="1"/>
          <w:lang w:val="sq-AL"/>
        </w:rPr>
        <w:t>iz</w:t>
      </w:r>
      <w:r w:rsidRPr="00C156A0">
        <w:rPr>
          <w:lang w:val="sq-AL"/>
        </w:rPr>
        <w:t>i</w:t>
      </w:r>
      <w:r w:rsidRPr="00C156A0">
        <w:rPr>
          <w:spacing w:val="1"/>
          <w:lang w:val="sq-AL"/>
        </w:rPr>
        <w:t>m</w:t>
      </w:r>
      <w:r w:rsidRPr="00C156A0">
        <w:rPr>
          <w:spacing w:val="-1"/>
          <w:lang w:val="sq-AL"/>
        </w:rPr>
        <w:t xml:space="preserve">i </w:t>
      </w:r>
      <w:r w:rsidRPr="00C156A0">
        <w:rPr>
          <w:spacing w:val="2"/>
          <w:lang w:val="sq-AL"/>
        </w:rPr>
        <w:t xml:space="preserve">i </w:t>
      </w:r>
      <w:r w:rsidRPr="00C156A0">
        <w:rPr>
          <w:lang w:val="sq-AL"/>
        </w:rPr>
        <w:t>shpe</w:t>
      </w:r>
      <w:r w:rsidRPr="00C156A0">
        <w:rPr>
          <w:spacing w:val="-1"/>
          <w:lang w:val="sq-AL"/>
        </w:rPr>
        <w:t>n</w:t>
      </w:r>
      <w:r w:rsidRPr="00C156A0">
        <w:rPr>
          <w:spacing w:val="1"/>
          <w:lang w:val="sq-AL"/>
        </w:rPr>
        <w:t>z</w:t>
      </w:r>
      <w:r w:rsidRPr="00C156A0">
        <w:rPr>
          <w:lang w:val="sq-AL"/>
        </w:rPr>
        <w:t>i</w:t>
      </w:r>
      <w:r w:rsidRPr="00C156A0">
        <w:rPr>
          <w:spacing w:val="1"/>
          <w:lang w:val="sq-AL"/>
        </w:rPr>
        <w:t>m</w:t>
      </w:r>
      <w:r w:rsidRPr="00C156A0">
        <w:rPr>
          <w:lang w:val="sq-AL"/>
        </w:rPr>
        <w:t>eve kor</w:t>
      </w:r>
      <w:r w:rsidRPr="00C156A0">
        <w:rPr>
          <w:spacing w:val="-1"/>
          <w:lang w:val="sq-AL"/>
        </w:rPr>
        <w:t>e</w:t>
      </w:r>
      <w:r w:rsidRPr="00C156A0">
        <w:rPr>
          <w:lang w:val="sq-AL"/>
        </w:rPr>
        <w:t xml:space="preserve">nte ishte </w:t>
      </w:r>
      <w:r w:rsidRPr="00C156A0">
        <w:rPr>
          <w:spacing w:val="11"/>
          <w:lang w:val="sq-AL"/>
        </w:rPr>
        <w:t>92% dhe</w:t>
      </w:r>
      <w:r w:rsidRPr="00C156A0">
        <w:rPr>
          <w:color w:val="000000"/>
          <w:spacing w:val="-1"/>
          <w:lang w:val="sq-AL"/>
        </w:rPr>
        <w:t xml:space="preserve"> </w:t>
      </w:r>
      <w:r w:rsidRPr="00C156A0">
        <w:rPr>
          <w:color w:val="000000"/>
          <w:lang w:val="sq-AL"/>
        </w:rPr>
        <w:t>investim</w:t>
      </w:r>
      <w:r w:rsidRPr="00C156A0">
        <w:rPr>
          <w:color w:val="000000"/>
          <w:spacing w:val="-3"/>
          <w:lang w:val="sq-AL"/>
        </w:rPr>
        <w:t>e</w:t>
      </w:r>
      <w:r w:rsidRPr="00C156A0">
        <w:rPr>
          <w:color w:val="000000"/>
          <w:lang w:val="sq-AL"/>
        </w:rPr>
        <w:t xml:space="preserve">ve </w:t>
      </w:r>
      <w:r w:rsidRPr="00C156A0">
        <w:rPr>
          <w:color w:val="000000"/>
          <w:spacing w:val="1"/>
          <w:lang w:val="sq-AL"/>
        </w:rPr>
        <w:t>94% e planit të rishikuar.</w:t>
      </w:r>
    </w:p>
    <w:p w14:paraId="1DFF1E1F" w14:textId="0E57C4CB" w:rsidR="00C156A0" w:rsidRPr="00C156A0" w:rsidRDefault="00C156A0" w:rsidP="00C156A0">
      <w:pPr>
        <w:spacing w:line="240" w:lineRule="auto"/>
        <w:rPr>
          <w:rFonts w:eastAsia="Calibri" w:cs="Calibri"/>
          <w:szCs w:val="22"/>
          <w:lang w:val="sq-AL"/>
        </w:rPr>
      </w:pPr>
      <w:r w:rsidRPr="00C156A0">
        <w:rPr>
          <w:rFonts w:cs="Calibri"/>
          <w:szCs w:val="22"/>
          <w:lang w:val="sq-AL"/>
        </w:rPr>
        <w:t xml:space="preserve">Në programin </w:t>
      </w:r>
      <w:r w:rsidRPr="00C156A0">
        <w:rPr>
          <w:rFonts w:cs="Calibri"/>
          <w:b/>
          <w:szCs w:val="22"/>
          <w:lang w:val="sq-AL"/>
        </w:rPr>
        <w:t>“Zhvillimi Rural duke mbështetur bujqësinë, blegtorinë dhe agroindustrinë”,</w:t>
      </w:r>
      <w:r w:rsidRPr="00C156A0">
        <w:rPr>
          <w:rFonts w:cs="Calibri"/>
          <w:szCs w:val="22"/>
          <w:lang w:val="sq-AL"/>
        </w:rPr>
        <w:t xml:space="preserve"> </w:t>
      </w:r>
      <w:r w:rsidRPr="00C156A0">
        <w:rPr>
          <w:rFonts w:eastAsia="Calibri" w:cs="Calibri"/>
          <w:szCs w:val="22"/>
          <w:lang w:val="sq-AL"/>
        </w:rPr>
        <w:t xml:space="preserve">me kosto faktike 6.1 </w:t>
      </w:r>
      <w:r w:rsidR="0056260B">
        <w:rPr>
          <w:rFonts w:eastAsia="Calibri" w:cs="Calibri"/>
          <w:szCs w:val="22"/>
          <w:lang w:val="sq-AL"/>
        </w:rPr>
        <w:t>miliardë</w:t>
      </w:r>
      <w:r w:rsidRPr="00C156A0">
        <w:rPr>
          <w:rFonts w:eastAsia="Calibri" w:cs="Calibri"/>
          <w:szCs w:val="22"/>
          <w:lang w:val="sq-AL"/>
        </w:rPr>
        <w:t xml:space="preserve"> LEK (ose 121% e planit fillestar të programit dhe 88% e të rishikuarit), është mundësuar:</w:t>
      </w:r>
    </w:p>
    <w:p w14:paraId="5F3342EF" w14:textId="77777777" w:rsidR="00C156A0" w:rsidRPr="00C156A0" w:rsidRDefault="00C156A0" w:rsidP="00D353D8">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17,050 aplikantë kanë aplikuar në skemat kombëtare, 52,828 aplikantë kanë aplikuar në skemën mbështetëse me naftë për bujqësinë si dhe 403 aplikime për skemën e investimeve;</w:t>
      </w:r>
    </w:p>
    <w:p w14:paraId="4C9BA317" w14:textId="5453A148" w:rsidR="00C156A0" w:rsidRPr="00C156A0" w:rsidRDefault="00C156A0" w:rsidP="00D353D8">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Fondi për masat mbështetëse për vitin 2025, arriti në rreth 6.3 </w:t>
      </w:r>
      <w:r w:rsidR="0056260B">
        <w:rPr>
          <w:rFonts w:eastAsia="Cambria" w:cs="Calibri"/>
          <w:i/>
          <w:sz w:val="20"/>
          <w:szCs w:val="20"/>
          <w:lang w:val="sq-AL"/>
        </w:rPr>
        <w:t>miliardë</w:t>
      </w:r>
      <w:r w:rsidRPr="00C156A0">
        <w:rPr>
          <w:rFonts w:eastAsia="Cambria" w:cs="Calibri"/>
          <w:i/>
          <w:sz w:val="20"/>
          <w:szCs w:val="20"/>
          <w:lang w:val="sq-AL"/>
        </w:rPr>
        <w:t xml:space="preserve"> LEK në total, (nga 4.4 </w:t>
      </w:r>
      <w:r w:rsidR="0056260B">
        <w:rPr>
          <w:rFonts w:eastAsia="Cambria" w:cs="Calibri"/>
          <w:i/>
          <w:sz w:val="20"/>
          <w:szCs w:val="20"/>
          <w:lang w:val="sq-AL"/>
        </w:rPr>
        <w:t>miliardë</w:t>
      </w:r>
      <w:r w:rsidRPr="00C156A0">
        <w:rPr>
          <w:rFonts w:eastAsia="Cambria" w:cs="Calibri"/>
          <w:i/>
          <w:sz w:val="20"/>
          <w:szCs w:val="20"/>
          <w:lang w:val="sq-AL"/>
        </w:rPr>
        <w:t xml:space="preserve"> LEK të planifikuar në fillim të vitit), pra pati një rritje të ndjeshme</w:t>
      </w:r>
      <w:r w:rsidR="00CE6E44">
        <w:rPr>
          <w:rFonts w:eastAsia="Cambria" w:cs="Calibri"/>
          <w:i/>
          <w:sz w:val="20"/>
          <w:szCs w:val="20"/>
          <w:lang w:val="sq-AL"/>
        </w:rPr>
        <w:t>;</w:t>
      </w:r>
    </w:p>
    <w:p w14:paraId="09CC8226" w14:textId="77777777" w:rsidR="00C156A0" w:rsidRDefault="00C156A0" w:rsidP="00D353D8">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15,373 përfitues rezultuan nga skema kombëtare, 50,062 përfitues rezultuan nga skema e subvencionimit të naftës për bujqësinë si dhe 200 përfitues rezultuan nga skema e investimeve; </w:t>
      </w:r>
    </w:p>
    <w:p w14:paraId="2A3917C6" w14:textId="49272A36" w:rsidR="00D353D8" w:rsidRPr="00D353D8" w:rsidRDefault="00D353D8" w:rsidP="00D353D8">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106 mostra të duhanit janë degustuar dhe janë analizuar 164 puro/duhan i grirë dhe cigare të gjeneratës së re, me kosto faktike 35.4 </w:t>
      </w:r>
      <w:r w:rsidR="0056260B">
        <w:rPr>
          <w:rFonts w:eastAsia="Cambria" w:cs="Calibri"/>
          <w:i/>
          <w:sz w:val="20"/>
          <w:szCs w:val="20"/>
          <w:lang w:val="sq-AL"/>
        </w:rPr>
        <w:t>milionë</w:t>
      </w:r>
      <w:r w:rsidRPr="00C156A0">
        <w:rPr>
          <w:rFonts w:eastAsia="Cambria" w:cs="Calibri"/>
          <w:i/>
          <w:sz w:val="20"/>
          <w:szCs w:val="20"/>
          <w:lang w:val="sq-AL"/>
        </w:rPr>
        <w:t xml:space="preserve"> LEK;</w:t>
      </w:r>
    </w:p>
    <w:p w14:paraId="05A9A8A6" w14:textId="3F1F0BB5" w:rsidR="00C156A0" w:rsidRPr="00C156A0" w:rsidRDefault="00C156A0" w:rsidP="00D353D8">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302 njësi vreshti të reja dhe 12,551 njësi ulliri janë regjistruar, me kosto faktike 27.1 </w:t>
      </w:r>
      <w:r w:rsidR="0056260B">
        <w:rPr>
          <w:rFonts w:eastAsia="Cambria" w:cs="Calibri"/>
          <w:i/>
          <w:sz w:val="20"/>
          <w:szCs w:val="20"/>
          <w:lang w:val="sq-AL"/>
        </w:rPr>
        <w:t>milionë</w:t>
      </w:r>
      <w:r w:rsidRPr="00C156A0">
        <w:rPr>
          <w:rFonts w:eastAsia="Cambria" w:cs="Calibri"/>
          <w:i/>
          <w:sz w:val="20"/>
          <w:szCs w:val="20"/>
          <w:lang w:val="sq-AL"/>
        </w:rPr>
        <w:t xml:space="preserve"> LEK;</w:t>
      </w:r>
    </w:p>
    <w:p w14:paraId="589C4E65" w14:textId="1803A68C" w:rsidR="0057488D" w:rsidRPr="0057488D" w:rsidRDefault="00C156A0" w:rsidP="00C156A0">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Janë promovuar bizneset dhe produktet shqiptare në 11 aktivitete kombëtare dhe ndërkombëtare, me kosto faktike 13.4 </w:t>
      </w:r>
      <w:r w:rsidR="0056260B">
        <w:rPr>
          <w:rFonts w:eastAsia="Cambria" w:cs="Calibri"/>
          <w:i/>
          <w:sz w:val="20"/>
          <w:szCs w:val="20"/>
          <w:lang w:val="sq-AL"/>
        </w:rPr>
        <w:t>milionë</w:t>
      </w:r>
      <w:r w:rsidRPr="00C156A0">
        <w:rPr>
          <w:rFonts w:eastAsia="Cambria" w:cs="Calibri"/>
          <w:i/>
          <w:sz w:val="20"/>
          <w:szCs w:val="20"/>
          <w:lang w:val="sq-AL"/>
        </w:rPr>
        <w:t xml:space="preserve"> LEK.</w:t>
      </w:r>
    </w:p>
    <w:p w14:paraId="3B88C15A" w14:textId="05FAB9E7" w:rsidR="00C156A0" w:rsidRPr="00C156A0" w:rsidRDefault="00C156A0" w:rsidP="00C156A0">
      <w:pPr>
        <w:shd w:val="clear" w:color="auto" w:fill="FFFFFF"/>
        <w:spacing w:line="240" w:lineRule="auto"/>
        <w:rPr>
          <w:rFonts w:cs="Calibri"/>
          <w:szCs w:val="22"/>
          <w:lang w:val="sq-AL"/>
        </w:rPr>
      </w:pPr>
      <w:r w:rsidRPr="00C156A0">
        <w:rPr>
          <w:rFonts w:cs="Calibri"/>
          <w:szCs w:val="22"/>
          <w:lang w:val="sq-AL"/>
        </w:rPr>
        <w:t xml:space="preserve">Në programin </w:t>
      </w:r>
      <w:r w:rsidRPr="00C156A0">
        <w:rPr>
          <w:rFonts w:cs="Calibri"/>
          <w:b/>
          <w:szCs w:val="22"/>
          <w:lang w:val="sq-AL"/>
        </w:rPr>
        <w:t>“Siguria ushqimore dhe mbrojtja e konsumatorit”,</w:t>
      </w:r>
      <w:r w:rsidRPr="00C156A0">
        <w:rPr>
          <w:rFonts w:cs="Calibri"/>
          <w:szCs w:val="22"/>
          <w:lang w:val="sq-AL"/>
        </w:rPr>
        <w:t xml:space="preserve"> janë realizuar produkte me kosto faktike 2.6 </w:t>
      </w:r>
      <w:r w:rsidR="0056260B">
        <w:rPr>
          <w:rFonts w:cs="Calibri"/>
          <w:szCs w:val="22"/>
          <w:lang w:val="sq-AL"/>
        </w:rPr>
        <w:t>miliardë</w:t>
      </w:r>
      <w:r w:rsidRPr="00C156A0">
        <w:rPr>
          <w:rFonts w:cs="Calibri"/>
          <w:szCs w:val="22"/>
          <w:lang w:val="sq-AL"/>
        </w:rPr>
        <w:t xml:space="preserve"> LEK (ose 118% e planit fillestar të programit dhe 99% e të rishikuarit), ndër to janë përfshirë: </w:t>
      </w:r>
    </w:p>
    <w:p w14:paraId="07D6E18F" w14:textId="52727D01" w:rsidR="00283A0A" w:rsidRPr="00283A0A" w:rsidRDefault="00283A0A" w:rsidP="00283A0A">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178,814 krerë gjedhë janë gjurmuar për Tuberkulozin dhe Brucelozën, me kosto faktike 1.2 </w:t>
      </w:r>
      <w:r w:rsidR="0056260B">
        <w:rPr>
          <w:rFonts w:eastAsia="Cambria" w:cs="Calibri"/>
          <w:i/>
          <w:sz w:val="20"/>
          <w:szCs w:val="20"/>
          <w:lang w:val="sq-AL"/>
        </w:rPr>
        <w:t>miliardë</w:t>
      </w:r>
      <w:r w:rsidRPr="00C156A0">
        <w:rPr>
          <w:rFonts w:eastAsia="Cambria" w:cs="Calibri"/>
          <w:i/>
          <w:sz w:val="20"/>
          <w:szCs w:val="20"/>
          <w:lang w:val="sq-AL"/>
        </w:rPr>
        <w:t xml:space="preserve"> LEK; </w:t>
      </w:r>
    </w:p>
    <w:p w14:paraId="086E799B" w14:textId="5ED9E6CA" w:rsidR="00C156A0" w:rsidRDefault="00C156A0" w:rsidP="00CE6E44">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105,769 inspektime të zhvilluara në kuadër të menaxhimit të riskut në fushën e sigurisë ushqimore, me kosto faktike 778.2 </w:t>
      </w:r>
      <w:r w:rsidR="0056260B">
        <w:rPr>
          <w:rFonts w:eastAsia="Cambria" w:cs="Calibri"/>
          <w:i/>
          <w:sz w:val="20"/>
          <w:szCs w:val="20"/>
          <w:lang w:val="sq-AL"/>
        </w:rPr>
        <w:t>milionë</w:t>
      </w:r>
      <w:r w:rsidRPr="00C156A0">
        <w:rPr>
          <w:rFonts w:eastAsia="Cambria" w:cs="Calibri"/>
          <w:i/>
          <w:sz w:val="20"/>
          <w:szCs w:val="20"/>
          <w:lang w:val="sq-AL"/>
        </w:rPr>
        <w:t xml:space="preserve"> LEK</w:t>
      </w:r>
      <w:r w:rsidR="00CE6E44">
        <w:rPr>
          <w:rFonts w:eastAsia="Cambria" w:cs="Calibri"/>
          <w:i/>
          <w:sz w:val="20"/>
          <w:szCs w:val="20"/>
          <w:lang w:val="sq-AL"/>
        </w:rPr>
        <w:t>;</w:t>
      </w:r>
    </w:p>
    <w:p w14:paraId="574384A2" w14:textId="53E6A23D" w:rsidR="00283A0A" w:rsidRDefault="00283A0A" w:rsidP="00283A0A">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373,370 kampione janë analizuar nga ISUV, kampione të dërguara nga veterinerët zyrtar, inspektorët e AKU dhe operatorët e biznesit të cilët eksportojnë drejt vendeve të BE-së dhe më gjerë, me kosto faktike 325.3 </w:t>
      </w:r>
      <w:r w:rsidR="0056260B">
        <w:rPr>
          <w:rFonts w:eastAsia="Cambria" w:cs="Calibri"/>
          <w:i/>
          <w:sz w:val="20"/>
          <w:szCs w:val="20"/>
          <w:lang w:val="sq-AL"/>
        </w:rPr>
        <w:t>milionë</w:t>
      </w:r>
      <w:r w:rsidRPr="00C156A0">
        <w:rPr>
          <w:rFonts w:eastAsia="Cambria" w:cs="Calibri"/>
          <w:i/>
          <w:sz w:val="20"/>
          <w:szCs w:val="20"/>
          <w:lang w:val="sq-AL"/>
        </w:rPr>
        <w:t xml:space="preserve"> LEK;</w:t>
      </w:r>
    </w:p>
    <w:p w14:paraId="6FDF5E91" w14:textId="39F183B9" w:rsidR="00283A0A" w:rsidRDefault="00283A0A" w:rsidP="00283A0A">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630,443 krerë kafshë janë vaksinuar, nga të cilat 503,507 krerë janë vaksinuar kundër sëmundjes të Brucelozës dhe 126,936 krerë janë vaksinuar kundër sëmundjes të Plasjes, me kosto faktike 102.3 </w:t>
      </w:r>
      <w:r w:rsidR="0056260B">
        <w:rPr>
          <w:rFonts w:eastAsia="Cambria" w:cs="Calibri"/>
          <w:i/>
          <w:sz w:val="20"/>
          <w:szCs w:val="20"/>
          <w:lang w:val="sq-AL"/>
        </w:rPr>
        <w:t>milionë</w:t>
      </w:r>
      <w:r w:rsidRPr="00C156A0">
        <w:rPr>
          <w:rFonts w:eastAsia="Cambria" w:cs="Calibri"/>
          <w:i/>
          <w:sz w:val="20"/>
          <w:szCs w:val="20"/>
          <w:lang w:val="sq-AL"/>
        </w:rPr>
        <w:t xml:space="preserve"> LEK; </w:t>
      </w:r>
    </w:p>
    <w:p w14:paraId="74814BA4" w14:textId="7CC5FE33" w:rsidR="00283A0A" w:rsidRPr="00283A0A" w:rsidRDefault="00283A0A" w:rsidP="00283A0A">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Rreth 67 </w:t>
      </w:r>
      <w:r w:rsidR="0056260B">
        <w:rPr>
          <w:rFonts w:eastAsia="Cambria" w:cs="Calibri"/>
          <w:i/>
          <w:sz w:val="20"/>
          <w:szCs w:val="20"/>
          <w:lang w:val="sq-AL"/>
        </w:rPr>
        <w:t>milionë</w:t>
      </w:r>
      <w:r w:rsidRPr="00C156A0">
        <w:rPr>
          <w:rFonts w:eastAsia="Cambria" w:cs="Calibri"/>
          <w:i/>
          <w:sz w:val="20"/>
          <w:szCs w:val="20"/>
          <w:lang w:val="sq-AL"/>
        </w:rPr>
        <w:t xml:space="preserve"> fidanë perimor, frutorë, dekorativ dhe fara patate, foragjerë e misër janë testuar dhe certifikuar, me kosto faktike 35.5 </w:t>
      </w:r>
      <w:r w:rsidR="0056260B">
        <w:rPr>
          <w:rFonts w:eastAsia="Cambria" w:cs="Calibri"/>
          <w:i/>
          <w:sz w:val="20"/>
          <w:szCs w:val="20"/>
          <w:lang w:val="sq-AL"/>
        </w:rPr>
        <w:t>milionë</w:t>
      </w:r>
      <w:r w:rsidRPr="00C156A0">
        <w:rPr>
          <w:rFonts w:eastAsia="Cambria" w:cs="Calibri"/>
          <w:i/>
          <w:sz w:val="20"/>
          <w:szCs w:val="20"/>
          <w:lang w:val="sq-AL"/>
        </w:rPr>
        <w:t xml:space="preserve"> LEK</w:t>
      </w:r>
      <w:r>
        <w:rPr>
          <w:rFonts w:eastAsia="Cambria" w:cs="Calibri"/>
          <w:i/>
          <w:sz w:val="20"/>
          <w:szCs w:val="20"/>
          <w:lang w:val="sq-AL"/>
        </w:rPr>
        <w:t>;</w:t>
      </w:r>
    </w:p>
    <w:p w14:paraId="113BF5F8" w14:textId="26E57633" w:rsidR="00C156A0" w:rsidRPr="00C156A0" w:rsidRDefault="00C156A0" w:rsidP="00CE6E44">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 xml:space="preserve">1,384 inspektime dhe mbikëqyrje në terren nga Drejtoria e Mbrojtjes të Bimëve dhe Drejtoria e Veterinarisë, me kosto faktike 24 </w:t>
      </w:r>
      <w:r w:rsidR="0056260B">
        <w:rPr>
          <w:rFonts w:eastAsia="Cambria" w:cs="Calibri"/>
          <w:i/>
          <w:sz w:val="20"/>
          <w:szCs w:val="20"/>
          <w:lang w:val="sq-AL"/>
        </w:rPr>
        <w:t>milionë</w:t>
      </w:r>
      <w:r w:rsidRPr="00C156A0">
        <w:rPr>
          <w:rFonts w:eastAsia="Cambria" w:cs="Calibri"/>
          <w:i/>
          <w:sz w:val="20"/>
          <w:szCs w:val="20"/>
          <w:lang w:val="sq-AL"/>
        </w:rPr>
        <w:t xml:space="preserve"> LEK</w:t>
      </w:r>
      <w:r w:rsidR="00CE6E44">
        <w:rPr>
          <w:rFonts w:eastAsia="Cambria" w:cs="Calibri"/>
          <w:i/>
          <w:sz w:val="20"/>
          <w:szCs w:val="20"/>
          <w:lang w:val="sq-AL"/>
        </w:rPr>
        <w:t>;</w:t>
      </w:r>
    </w:p>
    <w:p w14:paraId="5D21BCB2" w14:textId="6EE8B0FF" w:rsidR="0057488D" w:rsidRPr="0057488D" w:rsidRDefault="00C156A0" w:rsidP="00C156A0">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C156A0">
        <w:rPr>
          <w:rFonts w:eastAsia="Cambria" w:cs="Calibri"/>
          <w:i/>
          <w:sz w:val="20"/>
          <w:szCs w:val="20"/>
          <w:lang w:val="sq-AL"/>
        </w:rPr>
        <w:t>286 analiza të cilat kanë qenë për të përcaktuar fuqinë mbirëse, testin e pastërtisë, testin e lagështirës si dhe analiza në kuadër të vetëkontrollit</w:t>
      </w:r>
      <w:r w:rsidR="00283A0A">
        <w:rPr>
          <w:rFonts w:eastAsia="Cambria" w:cs="Calibri"/>
          <w:i/>
          <w:sz w:val="20"/>
          <w:szCs w:val="20"/>
          <w:lang w:val="sq-AL"/>
        </w:rPr>
        <w:t>.</w:t>
      </w:r>
    </w:p>
    <w:p w14:paraId="6402C6AC" w14:textId="62A739CD" w:rsidR="00C156A0" w:rsidRPr="00C156A0" w:rsidRDefault="00C156A0" w:rsidP="00C156A0">
      <w:pPr>
        <w:shd w:val="clear" w:color="auto" w:fill="FFFFFF"/>
        <w:spacing w:line="240" w:lineRule="auto"/>
        <w:rPr>
          <w:rFonts w:cs="Calibri"/>
          <w:szCs w:val="22"/>
          <w:lang w:val="sq-AL"/>
        </w:rPr>
      </w:pPr>
      <w:r w:rsidRPr="00C156A0">
        <w:rPr>
          <w:rFonts w:cs="Calibri"/>
          <w:szCs w:val="22"/>
          <w:lang w:val="sq-AL"/>
        </w:rPr>
        <w:t>Në programin “</w:t>
      </w:r>
      <w:r w:rsidRPr="00C156A0">
        <w:rPr>
          <w:rFonts w:cs="Calibri"/>
          <w:b/>
          <w:szCs w:val="22"/>
          <w:lang w:val="sq-AL"/>
        </w:rPr>
        <w:t>Infrastruktura e ujitjes dhe kullimit</w:t>
      </w:r>
      <w:r w:rsidRPr="00C156A0">
        <w:rPr>
          <w:rFonts w:cs="Calibri"/>
          <w:szCs w:val="22"/>
          <w:lang w:val="sq-AL"/>
        </w:rPr>
        <w:t xml:space="preserve">”, janë realizuar produkte me kosto faktike 1 </w:t>
      </w:r>
      <w:r w:rsidR="0056260B">
        <w:rPr>
          <w:rFonts w:cs="Calibri"/>
          <w:szCs w:val="22"/>
          <w:lang w:val="sq-AL"/>
        </w:rPr>
        <w:t>miliardë</w:t>
      </w:r>
      <w:r w:rsidRPr="00C156A0">
        <w:rPr>
          <w:rFonts w:cs="Calibri"/>
          <w:szCs w:val="22"/>
          <w:lang w:val="sq-AL"/>
        </w:rPr>
        <w:t xml:space="preserve"> LEK (ose 105% e planit fillestar të programit dhe 97% e të rishikuarit), përfshirë:</w:t>
      </w:r>
    </w:p>
    <w:p w14:paraId="329A8A05" w14:textId="76634C85" w:rsidR="00B52B0B" w:rsidRPr="00B52B0B" w:rsidRDefault="00B52B0B" w:rsidP="00B52B0B">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B52B0B">
        <w:rPr>
          <w:rFonts w:eastAsia="Cambria" w:cs="Calibri"/>
          <w:i/>
          <w:sz w:val="20"/>
          <w:szCs w:val="20"/>
          <w:lang w:val="sq-AL"/>
        </w:rPr>
        <w:t xml:space="preserve">70,000 ha “Përmirësim i kullimit me ngritje mekanike (hidrovore) dhe rritja e sigurisë nga përmbytjet, me kosto faktike 281.8 </w:t>
      </w:r>
      <w:r w:rsidR="0056260B">
        <w:rPr>
          <w:rFonts w:eastAsia="Cambria" w:cs="Calibri"/>
          <w:i/>
          <w:sz w:val="20"/>
          <w:szCs w:val="20"/>
          <w:lang w:val="sq-AL"/>
        </w:rPr>
        <w:t>milionë</w:t>
      </w:r>
      <w:r w:rsidRPr="00B52B0B">
        <w:rPr>
          <w:rFonts w:eastAsia="Cambria" w:cs="Calibri"/>
          <w:i/>
          <w:sz w:val="20"/>
          <w:szCs w:val="20"/>
          <w:lang w:val="sq-AL"/>
        </w:rPr>
        <w:t xml:space="preserve"> </w:t>
      </w:r>
      <w:r w:rsidR="00234E3A">
        <w:rPr>
          <w:rFonts w:eastAsia="Cambria" w:cs="Calibri"/>
          <w:i/>
          <w:sz w:val="20"/>
          <w:szCs w:val="20"/>
          <w:lang w:val="sq-AL"/>
        </w:rPr>
        <w:t>LEK</w:t>
      </w:r>
      <w:r>
        <w:rPr>
          <w:rFonts w:eastAsia="Cambria" w:cs="Calibri"/>
          <w:i/>
          <w:sz w:val="20"/>
          <w:szCs w:val="20"/>
          <w:lang w:val="sq-AL"/>
        </w:rPr>
        <w:t>;</w:t>
      </w:r>
    </w:p>
    <w:p w14:paraId="01482BCD" w14:textId="4DA6A2DB" w:rsidR="00C156A0" w:rsidRPr="00B52B0B" w:rsidRDefault="00C156A0" w:rsidP="00D0642E">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B52B0B">
        <w:rPr>
          <w:rFonts w:eastAsia="Cambria" w:cs="Calibri"/>
          <w:i/>
          <w:sz w:val="20"/>
          <w:szCs w:val="20"/>
          <w:lang w:val="sq-AL"/>
        </w:rPr>
        <w:t xml:space="preserve">65,000 ha “Pastrim i infrastrukturës kryesore kulluese”, me kosto faktike 268.4 </w:t>
      </w:r>
      <w:r w:rsidR="0056260B">
        <w:rPr>
          <w:rFonts w:eastAsia="Cambria" w:cs="Calibri"/>
          <w:i/>
          <w:sz w:val="20"/>
          <w:szCs w:val="20"/>
          <w:lang w:val="sq-AL"/>
        </w:rPr>
        <w:t>milionë</w:t>
      </w:r>
      <w:r w:rsidRPr="00B52B0B">
        <w:rPr>
          <w:rFonts w:eastAsia="Cambria" w:cs="Calibri"/>
          <w:i/>
          <w:sz w:val="20"/>
          <w:szCs w:val="20"/>
          <w:lang w:val="sq-AL"/>
        </w:rPr>
        <w:t xml:space="preserve"> </w:t>
      </w:r>
      <w:r w:rsidR="00234E3A">
        <w:rPr>
          <w:rFonts w:eastAsia="Cambria" w:cs="Calibri"/>
          <w:i/>
          <w:sz w:val="20"/>
          <w:szCs w:val="20"/>
          <w:lang w:val="sq-AL"/>
        </w:rPr>
        <w:t>LEK</w:t>
      </w:r>
      <w:r w:rsidRPr="00B52B0B">
        <w:rPr>
          <w:rFonts w:eastAsia="Cambria" w:cs="Calibri"/>
          <w:i/>
          <w:sz w:val="20"/>
          <w:szCs w:val="20"/>
          <w:lang w:val="sq-AL"/>
        </w:rPr>
        <w:t>;</w:t>
      </w:r>
    </w:p>
    <w:p w14:paraId="6501287C" w14:textId="208F68AE" w:rsidR="0051644E" w:rsidRPr="0051644E" w:rsidRDefault="00B52B0B" w:rsidP="0051644E">
      <w:pPr>
        <w:numPr>
          <w:ilvl w:val="0"/>
          <w:numId w:val="9"/>
        </w:numPr>
        <w:shd w:val="clear" w:color="auto" w:fill="FFFFFF"/>
        <w:spacing w:before="0" w:after="160" w:line="240" w:lineRule="auto"/>
        <w:ind w:left="630" w:hanging="270"/>
        <w:contextualSpacing/>
        <w:rPr>
          <w:rFonts w:eastAsia="Cambria" w:cs="Calibri"/>
          <w:i/>
          <w:sz w:val="20"/>
          <w:szCs w:val="20"/>
          <w:lang w:val="sq-AL"/>
        </w:rPr>
      </w:pPr>
      <w:r w:rsidRPr="00B52B0B">
        <w:rPr>
          <w:rFonts w:eastAsia="Cambria" w:cs="Calibri"/>
          <w:i/>
          <w:sz w:val="20"/>
          <w:szCs w:val="20"/>
          <w:lang w:val="sq-AL"/>
        </w:rPr>
        <w:t xml:space="preserve">21 kanale kryersore ujitëse janë mirëmbajtur dhe kanë furnizuar me ujë rrjetin sekondar që ujit rreth 100,000 ha kryesisht në zonat Peqin, Kavajë, Lushnje, Fier, Divjakë dhe Shkodër, me kosto faktike 79.5 </w:t>
      </w:r>
      <w:r w:rsidR="0056260B">
        <w:rPr>
          <w:rFonts w:eastAsia="Cambria" w:cs="Calibri"/>
          <w:i/>
          <w:sz w:val="20"/>
          <w:szCs w:val="20"/>
          <w:lang w:val="sq-AL"/>
        </w:rPr>
        <w:t>milionë</w:t>
      </w:r>
      <w:r w:rsidRPr="00B52B0B">
        <w:rPr>
          <w:rFonts w:eastAsia="Cambria" w:cs="Calibri"/>
          <w:i/>
          <w:sz w:val="20"/>
          <w:szCs w:val="20"/>
          <w:lang w:val="sq-AL"/>
        </w:rPr>
        <w:t xml:space="preserve"> LEK</w:t>
      </w:r>
      <w:r>
        <w:rPr>
          <w:rFonts w:eastAsia="Cambria" w:cs="Calibri"/>
          <w:i/>
          <w:sz w:val="20"/>
          <w:szCs w:val="20"/>
          <w:lang w:val="sq-AL"/>
        </w:rPr>
        <w:t>.</w:t>
      </w:r>
    </w:p>
    <w:p w14:paraId="646F34FB" w14:textId="77777777" w:rsidR="00671D4B" w:rsidRPr="00671D4B" w:rsidRDefault="00671D4B" w:rsidP="0051644E">
      <w:pPr>
        <w:spacing w:line="240" w:lineRule="auto"/>
        <w:rPr>
          <w:rFonts w:eastAsia="Cambria"/>
          <w:sz w:val="2"/>
          <w:szCs w:val="2"/>
          <w:lang w:val="sq-AL"/>
        </w:rPr>
      </w:pPr>
    </w:p>
    <w:p w14:paraId="30DFD161" w14:textId="25631025" w:rsidR="00104106" w:rsidRPr="00104106" w:rsidRDefault="00C156A0" w:rsidP="0051644E">
      <w:pPr>
        <w:spacing w:line="240" w:lineRule="auto"/>
        <w:rPr>
          <w:rFonts w:asciiTheme="majorHAnsi" w:eastAsiaTheme="minorHAnsi" w:hAnsiTheme="majorHAnsi" w:cs="Calibri Light"/>
          <w:noProof/>
          <w:szCs w:val="22"/>
          <w:lang w:val="sq-AL"/>
        </w:rPr>
      </w:pPr>
      <w:r w:rsidRPr="00104106">
        <w:rPr>
          <w:rFonts w:eastAsia="Cambria"/>
          <w:szCs w:val="22"/>
          <w:lang w:val="sq-AL"/>
        </w:rPr>
        <w:t xml:space="preserve">Për sa u përket </w:t>
      </w:r>
      <w:r w:rsidRPr="00104106">
        <w:rPr>
          <w:rFonts w:eastAsia="Cambria"/>
          <w:b/>
          <w:bCs/>
          <w:szCs w:val="22"/>
          <w:lang w:val="sq-AL"/>
        </w:rPr>
        <w:t>investimeve publike</w:t>
      </w:r>
      <w:r w:rsidRPr="00104106">
        <w:rPr>
          <w:rFonts w:eastAsia="Cambria"/>
          <w:szCs w:val="22"/>
          <w:lang w:val="sq-AL"/>
        </w:rPr>
        <w:t xml:space="preserve"> </w:t>
      </w:r>
      <w:r w:rsidR="00104106" w:rsidRPr="00104106">
        <w:rPr>
          <w:noProof/>
          <w:lang w:val="sq-AL"/>
        </w:rPr>
        <w:t>realizimi në vitin 2025 ishte 103.2% e buxhetit fillestar për projektet me financim të brendshëm (3 milard LEK)</w:t>
      </w:r>
      <w:r w:rsidR="00104106" w:rsidRPr="00104106">
        <w:rPr>
          <w:bCs/>
          <w:iCs/>
          <w:noProof/>
          <w:lang w:val="sq-AL"/>
        </w:rPr>
        <w:t xml:space="preserve"> ose 95.9% të planit vjetor të ndryshuar me AN nr.11/2025, si dhe</w:t>
      </w:r>
      <w:r w:rsidR="00104106" w:rsidRPr="00104106">
        <w:rPr>
          <w:noProof/>
          <w:lang w:val="sq-AL"/>
        </w:rPr>
        <w:t xml:space="preserve"> 31.9% e buxhetit fillestar për projektet me financim të huaj (0.62 </w:t>
      </w:r>
      <w:r w:rsidR="0056260B">
        <w:rPr>
          <w:noProof/>
          <w:lang w:val="sq-AL"/>
        </w:rPr>
        <w:t>miliardë</w:t>
      </w:r>
      <w:r w:rsidR="00104106" w:rsidRPr="00104106">
        <w:rPr>
          <w:noProof/>
          <w:lang w:val="sq-AL"/>
        </w:rPr>
        <w:t xml:space="preserve"> LEK) ose </w:t>
      </w:r>
      <w:r w:rsidR="00104106" w:rsidRPr="00104106">
        <w:rPr>
          <w:bCs/>
          <w:iCs/>
          <w:noProof/>
          <w:lang w:val="sq-AL"/>
        </w:rPr>
        <w:t>87.2 % të planit vjetor të ndryshuar me AN nr.11/2025.</w:t>
      </w:r>
      <w:r w:rsidR="00104106" w:rsidRPr="00104106">
        <w:rPr>
          <w:noProof/>
          <w:lang w:val="sq-AL"/>
        </w:rPr>
        <w:t xml:space="preserve"> Buxheti i shpenzimeve kapitale pësoi disa ndryshime gjatë vitit duke rritur fondet për projekte me financim të brendshëm dhe pakësuar fondet me financim të huaj. </w:t>
      </w:r>
      <w:bookmarkStart w:id="256" w:name="_Hlk228809343"/>
      <w:r w:rsidR="00104106" w:rsidRPr="00104106">
        <w:rPr>
          <w:rFonts w:asciiTheme="majorHAnsi" w:eastAsiaTheme="minorHAnsi" w:hAnsiTheme="majorHAnsi" w:cs="Calibri Light"/>
          <w:noProof/>
          <w:szCs w:val="22"/>
          <w:lang w:val="sq-AL"/>
        </w:rPr>
        <w:t xml:space="preserve">Janë mbyllur 45 </w:t>
      </w:r>
      <w:r w:rsidR="00104106" w:rsidRPr="00104106">
        <w:rPr>
          <w:rFonts w:asciiTheme="majorHAnsi" w:eastAsia="SimSun" w:hAnsiTheme="majorHAnsi" w:cs="Calibri Light"/>
          <w:noProof/>
          <w:szCs w:val="22"/>
          <w:lang w:val="sq-AL"/>
        </w:rPr>
        <w:t>projekte</w:t>
      </w:r>
      <w:r w:rsidR="00104106" w:rsidRPr="00104106">
        <w:rPr>
          <w:rFonts w:asciiTheme="majorHAnsi" w:eastAsiaTheme="minorHAnsi" w:hAnsiTheme="majorHAnsi" w:cs="Calibri Light"/>
          <w:noProof/>
          <w:szCs w:val="22"/>
          <w:lang w:val="sq-AL"/>
        </w:rPr>
        <w:t xml:space="preserve"> investimi në vlerën e rreth 1.9 </w:t>
      </w:r>
      <w:r w:rsidR="0056260B">
        <w:rPr>
          <w:rFonts w:asciiTheme="majorHAnsi" w:eastAsiaTheme="minorHAnsi" w:hAnsiTheme="majorHAnsi" w:cs="Calibri Light"/>
          <w:noProof/>
          <w:szCs w:val="22"/>
          <w:lang w:val="sq-AL"/>
        </w:rPr>
        <w:t>miliardë</w:t>
      </w:r>
      <w:r w:rsidR="00104106" w:rsidRPr="00104106">
        <w:rPr>
          <w:rFonts w:asciiTheme="majorHAnsi" w:eastAsiaTheme="minorHAnsi" w:hAnsiTheme="majorHAnsi" w:cs="Calibri Light"/>
          <w:noProof/>
          <w:szCs w:val="22"/>
          <w:lang w:val="sq-AL"/>
        </w:rPr>
        <w:t xml:space="preserve"> LEK, ku ndër më kryesoret veçojmë:</w:t>
      </w:r>
      <w:bookmarkEnd w:id="256"/>
    </w:p>
    <w:p w14:paraId="157050C1" w14:textId="470C6D8B" w:rsidR="00104106" w:rsidRPr="00D0642E" w:rsidRDefault="00104106">
      <w:pPr>
        <w:pStyle w:val="ListParagraph"/>
        <w:numPr>
          <w:ilvl w:val="0"/>
          <w:numId w:val="54"/>
        </w:numPr>
        <w:shd w:val="clear" w:color="auto" w:fill="FFFFFF" w:themeFill="background1"/>
        <w:spacing w:before="0" w:line="240" w:lineRule="auto"/>
        <w:rPr>
          <w:rFonts w:asciiTheme="majorHAnsi" w:hAnsiTheme="majorHAnsi" w:cs="Calibri Light"/>
          <w:bCs/>
          <w:noProof/>
          <w:szCs w:val="22"/>
          <w:lang w:val="sq-AL" w:eastAsia="en-GB"/>
        </w:rPr>
      </w:pPr>
      <w:r w:rsidRPr="00D0642E">
        <w:rPr>
          <w:rFonts w:asciiTheme="majorHAnsi" w:hAnsiTheme="majorHAnsi" w:cs="Calibri Light"/>
          <w:bCs/>
          <w:noProof/>
          <w:szCs w:val="22"/>
          <w:lang w:val="sq-AL" w:eastAsia="en-GB"/>
        </w:rPr>
        <w:t>Në programin “</w:t>
      </w:r>
      <w:bookmarkStart w:id="257" w:name="_Hlk198047823"/>
      <w:r w:rsidRPr="00D0642E">
        <w:rPr>
          <w:rFonts w:asciiTheme="majorHAnsi" w:hAnsiTheme="majorHAnsi" w:cs="Calibri Light"/>
          <w:b/>
          <w:bCs/>
          <w:noProof/>
          <w:szCs w:val="22"/>
          <w:lang w:val="sq-AL" w:eastAsia="en-GB"/>
        </w:rPr>
        <w:t>Siguria Ushqimore dhe Mbrojtja e Konsumatorit</w:t>
      </w:r>
      <w:bookmarkEnd w:id="257"/>
      <w:r w:rsidRPr="00D0642E">
        <w:rPr>
          <w:rFonts w:asciiTheme="majorHAnsi" w:hAnsiTheme="majorHAnsi" w:cs="Calibri Light"/>
          <w:b/>
          <w:bCs/>
          <w:noProof/>
          <w:szCs w:val="22"/>
          <w:lang w:val="sq-AL" w:eastAsia="en-GB"/>
        </w:rPr>
        <w:t xml:space="preserve">” </w:t>
      </w:r>
      <w:r w:rsidRPr="00D0642E">
        <w:rPr>
          <w:rFonts w:asciiTheme="majorHAnsi" w:hAnsiTheme="majorHAnsi" w:cs="Calibri Light"/>
          <w:bCs/>
          <w:noProof/>
          <w:szCs w:val="22"/>
          <w:lang w:val="sq-AL" w:eastAsia="en-GB"/>
        </w:rPr>
        <w:t xml:space="preserve">kanë përfunduar 2 kontrata me vlerë 86.3 </w:t>
      </w:r>
      <w:r w:rsidR="0056260B">
        <w:rPr>
          <w:rFonts w:asciiTheme="majorHAnsi" w:hAnsiTheme="majorHAnsi" w:cs="Calibri Light"/>
          <w:bCs/>
          <w:noProof/>
          <w:szCs w:val="22"/>
          <w:lang w:val="sq-AL" w:eastAsia="en-GB"/>
        </w:rPr>
        <w:t>milionë</w:t>
      </w:r>
      <w:r w:rsidRPr="00D0642E">
        <w:rPr>
          <w:rFonts w:asciiTheme="majorHAnsi" w:hAnsiTheme="majorHAnsi" w:cs="Calibri Light"/>
          <w:bCs/>
          <w:noProof/>
          <w:szCs w:val="22"/>
          <w:lang w:val="sq-AL" w:eastAsia="en-GB"/>
        </w:rPr>
        <w:t xml:space="preserve"> LEK si më poshte:</w:t>
      </w:r>
    </w:p>
    <w:p w14:paraId="10D6BFC7" w14:textId="3CFD3015"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Fuqizim i kapaciteve laboratorike të ISUV në të tre fushat ku ushtron aktivitetin e tij analitik, siguri ushqimore, shëndet kafshësh dhe bimësh, në vlerën e 81.3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1987E998" w14:textId="6BA7A6EF"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Rikonstruksion i zyrave të DRVMB Vlorë, në vlerën e rreth 5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0E193DD2" w14:textId="1F2F472C" w:rsidR="00104106" w:rsidRPr="00D0642E" w:rsidRDefault="00104106">
      <w:pPr>
        <w:pStyle w:val="ListParagraph"/>
        <w:numPr>
          <w:ilvl w:val="0"/>
          <w:numId w:val="54"/>
        </w:numPr>
        <w:shd w:val="clear" w:color="auto" w:fill="FFFFFF" w:themeFill="background1"/>
        <w:spacing w:before="0" w:line="240" w:lineRule="auto"/>
        <w:rPr>
          <w:rFonts w:asciiTheme="majorHAnsi" w:hAnsiTheme="majorHAnsi" w:cs="Calibri Light"/>
          <w:bCs/>
          <w:noProof/>
          <w:szCs w:val="22"/>
          <w:lang w:val="sq-AL" w:eastAsia="en-GB"/>
        </w:rPr>
      </w:pPr>
      <w:r w:rsidRPr="00D0642E">
        <w:rPr>
          <w:rFonts w:asciiTheme="majorHAnsi" w:hAnsiTheme="majorHAnsi" w:cs="Calibri Light"/>
          <w:bCs/>
          <w:noProof/>
          <w:szCs w:val="22"/>
          <w:lang w:val="sq-AL" w:eastAsia="en-GB"/>
        </w:rPr>
        <w:t xml:space="preserve">Në programin e </w:t>
      </w:r>
      <w:r w:rsidRPr="00D0642E">
        <w:rPr>
          <w:rFonts w:asciiTheme="majorHAnsi" w:hAnsiTheme="majorHAnsi" w:cs="Calibri Light"/>
          <w:b/>
          <w:bCs/>
          <w:i/>
          <w:noProof/>
          <w:szCs w:val="22"/>
          <w:lang w:val="sq-AL" w:eastAsia="en-GB"/>
        </w:rPr>
        <w:t xml:space="preserve">Menaxhimi i Infrastrukturës së kullimit dhe Ujitjes </w:t>
      </w:r>
      <w:r w:rsidRPr="00D0642E">
        <w:rPr>
          <w:rFonts w:asciiTheme="majorHAnsi" w:hAnsiTheme="majorHAnsi" w:cs="Calibri Light"/>
          <w:bCs/>
          <w:noProof/>
          <w:szCs w:val="22"/>
          <w:lang w:val="sq-AL" w:eastAsia="en-GB"/>
        </w:rPr>
        <w:t xml:space="preserve"> kanë përfunduar 28 </w:t>
      </w:r>
      <w:r w:rsidRPr="00D0642E">
        <w:rPr>
          <w:rFonts w:asciiTheme="majorHAnsi" w:eastAsia="SimSun" w:hAnsiTheme="majorHAnsi" w:cs="Calibri Light"/>
          <w:noProof/>
          <w:szCs w:val="22"/>
          <w:lang w:val="sq-AL"/>
        </w:rPr>
        <w:t>projekte</w:t>
      </w:r>
      <w:r w:rsidRPr="00D0642E">
        <w:rPr>
          <w:rFonts w:asciiTheme="majorHAnsi" w:hAnsiTheme="majorHAnsi" w:cs="Calibri Light"/>
          <w:bCs/>
          <w:noProof/>
          <w:szCs w:val="22"/>
          <w:lang w:val="sq-AL" w:eastAsia="en-GB"/>
        </w:rPr>
        <w:t xml:space="preserve"> me vlerë të plotë investimi prej rreth 1.4 </w:t>
      </w:r>
      <w:r w:rsidR="0056260B">
        <w:rPr>
          <w:rFonts w:asciiTheme="majorHAnsi" w:hAnsiTheme="majorHAnsi" w:cs="Calibri Light"/>
          <w:bCs/>
          <w:noProof/>
          <w:szCs w:val="22"/>
          <w:lang w:val="sq-AL" w:eastAsia="en-GB"/>
        </w:rPr>
        <w:t>miliardë</w:t>
      </w:r>
      <w:r w:rsidRPr="00D0642E">
        <w:rPr>
          <w:rFonts w:asciiTheme="majorHAnsi" w:hAnsiTheme="majorHAnsi" w:cs="Calibri Light"/>
          <w:bCs/>
          <w:noProof/>
          <w:szCs w:val="22"/>
          <w:lang w:val="sq-AL" w:eastAsia="en-GB"/>
        </w:rPr>
        <w:t xml:space="preserve"> LEK, ku veçojmë kontratat e mëposhtme:</w:t>
      </w:r>
    </w:p>
    <w:p w14:paraId="79654D58" w14:textId="61CB5E0A"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Rehabilitimi i ushqyesit te rezervu</w:t>
      </w:r>
      <w:r w:rsidR="00BD6F71">
        <w:rPr>
          <w:rFonts w:asciiTheme="majorHAnsi" w:hAnsiTheme="majorHAnsi" w:cs="Calibri Light"/>
          <w:bCs/>
          <w:i/>
          <w:noProof/>
          <w:szCs w:val="22"/>
          <w:lang w:val="sq-AL" w:eastAsia="en-GB"/>
        </w:rPr>
        <w:t>a</w:t>
      </w:r>
      <w:r w:rsidRPr="00D0642E">
        <w:rPr>
          <w:rFonts w:asciiTheme="majorHAnsi" w:hAnsiTheme="majorHAnsi" w:cs="Calibri Light"/>
          <w:bCs/>
          <w:i/>
          <w:noProof/>
          <w:szCs w:val="22"/>
          <w:lang w:val="sq-AL" w:eastAsia="en-GB"/>
        </w:rPr>
        <w:t xml:space="preserve">rit të Bllacës dhe rehabilitimi i rezervuarit të Bllaces (burimi ujor), në vlerë 257.3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3E5521AE" w14:textId="0F9D130C"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Blerje eskavatorë, në vlerë 161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62F9DBA9" w14:textId="7E5DBDA0"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Riparim i argjinaturës Mbrojtëse të Kolektorit K17 Butrint, në vlerë 105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266CDF3A" w14:textId="61345CF4"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lastRenderedPageBreak/>
        <w:t xml:space="preserve">Rehabilitimi i Kanalit Kryesor Ujitës Llakatund,Vlorë, në vlerë 94.3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39BC7F13" w14:textId="6F920175"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Rikonstruksion hidrovori Grethe, në vlerë 90.3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0F63CEED" w14:textId="1E50FF37"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Argjinatura Mbrojtëse nga lumi Shkumbin në Fatisht, Bashkia Peqin, në vlerë 89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03061778" w14:textId="6874FD02"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Mbrojtje nga permbytja e lumit Osum në Havales , Bashkia Berat, në vlerë 64.5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1BBF0101" w14:textId="0E105BB7"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Ndërtimi i shkarkuesve të rinj në Kanalin Kryesor Ujitës Peqin-Kavajë, në vlerë 59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r w:rsidR="0051644E">
        <w:rPr>
          <w:rFonts w:asciiTheme="majorHAnsi" w:hAnsiTheme="majorHAnsi" w:cs="Calibri Light"/>
          <w:bCs/>
          <w:i/>
          <w:noProof/>
          <w:szCs w:val="22"/>
          <w:lang w:val="sq-AL" w:eastAsia="en-GB"/>
        </w:rPr>
        <w:t>;</w:t>
      </w:r>
    </w:p>
    <w:p w14:paraId="099655DE" w14:textId="49AC1AF3"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Rikonstruksion i kanalit vaditës të Allanit, Dorëz-Gizavesh-Librazhd Qendër, në vlerë 56.7</w:t>
      </w:r>
      <w:r w:rsidR="00671D4B">
        <w:rPr>
          <w:rFonts w:asciiTheme="majorHAnsi" w:hAnsiTheme="majorHAnsi" w:cs="Calibri Light"/>
          <w:bCs/>
          <w:i/>
          <w:noProof/>
          <w:szCs w:val="22"/>
          <w:lang w:val="sq-AL" w:eastAsia="en-GB"/>
        </w:rPr>
        <w:t>mln</w:t>
      </w:r>
      <w:r w:rsidRPr="00D0642E">
        <w:rPr>
          <w:rFonts w:asciiTheme="majorHAnsi" w:hAnsiTheme="majorHAnsi" w:cs="Calibri Light"/>
          <w:bCs/>
          <w:i/>
          <w:noProof/>
          <w:szCs w:val="22"/>
          <w:lang w:val="sq-AL" w:eastAsia="en-GB"/>
        </w:rPr>
        <w:t xml:space="preserve"> LEK</w:t>
      </w:r>
      <w:r w:rsidR="0051644E">
        <w:rPr>
          <w:rFonts w:asciiTheme="majorHAnsi" w:hAnsiTheme="majorHAnsi" w:cs="Calibri Light"/>
          <w:bCs/>
          <w:i/>
          <w:noProof/>
          <w:szCs w:val="22"/>
          <w:lang w:val="sq-AL" w:eastAsia="en-GB"/>
        </w:rPr>
        <w:t>;</w:t>
      </w:r>
    </w:p>
    <w:p w14:paraId="6768C93D" w14:textId="471413FA" w:rsidR="00104106"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Mbrojtja lumore nga gërryerjet në lumin Erzen, Ibe e Poshtme (fshati Shkallë), në vlerë 55.7</w:t>
      </w:r>
      <w:r w:rsidR="00671D4B">
        <w:rPr>
          <w:rFonts w:asciiTheme="majorHAnsi" w:hAnsiTheme="majorHAnsi" w:cs="Calibri Light"/>
          <w:bCs/>
          <w:i/>
          <w:noProof/>
          <w:szCs w:val="22"/>
          <w:lang w:val="sq-AL" w:eastAsia="en-GB"/>
        </w:rPr>
        <w:t>mln</w:t>
      </w:r>
      <w:r w:rsidRPr="00D0642E">
        <w:rPr>
          <w:rFonts w:asciiTheme="majorHAnsi" w:hAnsiTheme="majorHAnsi" w:cs="Calibri Light"/>
          <w:bCs/>
          <w:i/>
          <w:noProof/>
          <w:szCs w:val="22"/>
          <w:lang w:val="sq-AL" w:eastAsia="en-GB"/>
        </w:rPr>
        <w:t xml:space="preserve"> LEK</w:t>
      </w:r>
      <w:r w:rsidR="0051644E">
        <w:rPr>
          <w:rFonts w:asciiTheme="majorHAnsi" w:hAnsiTheme="majorHAnsi" w:cs="Calibri Light"/>
          <w:bCs/>
          <w:i/>
          <w:noProof/>
          <w:szCs w:val="22"/>
          <w:lang w:val="sq-AL" w:eastAsia="en-GB"/>
        </w:rPr>
        <w:t>.</w:t>
      </w:r>
    </w:p>
    <w:p w14:paraId="405C73FC" w14:textId="77777777" w:rsidR="00671D4B" w:rsidRPr="00671D4B" w:rsidRDefault="00671D4B" w:rsidP="00671D4B">
      <w:pPr>
        <w:pStyle w:val="ListParagraph"/>
        <w:shd w:val="clear" w:color="auto" w:fill="FFFFFF" w:themeFill="background1"/>
        <w:spacing w:before="0" w:line="240" w:lineRule="auto"/>
        <w:ind w:left="1080"/>
        <w:rPr>
          <w:rFonts w:asciiTheme="majorHAnsi" w:hAnsiTheme="majorHAnsi" w:cs="Calibri Light"/>
          <w:bCs/>
          <w:i/>
          <w:noProof/>
          <w:sz w:val="8"/>
          <w:szCs w:val="8"/>
          <w:lang w:val="sq-AL" w:eastAsia="en-GB"/>
        </w:rPr>
      </w:pPr>
    </w:p>
    <w:p w14:paraId="2E6D92F6" w14:textId="2CCD6EEB" w:rsidR="00104106" w:rsidRPr="00D0642E" w:rsidRDefault="00104106">
      <w:pPr>
        <w:pStyle w:val="ListParagraph"/>
        <w:numPr>
          <w:ilvl w:val="0"/>
          <w:numId w:val="54"/>
        </w:numPr>
        <w:shd w:val="clear" w:color="auto" w:fill="FFFFFF" w:themeFill="background1"/>
        <w:spacing w:before="0" w:line="240" w:lineRule="auto"/>
        <w:rPr>
          <w:rFonts w:cs="Calibri"/>
          <w:bCs/>
          <w:noProof/>
          <w:szCs w:val="22"/>
          <w:lang w:val="sq-AL" w:eastAsia="en-GB"/>
        </w:rPr>
      </w:pPr>
      <w:r w:rsidRPr="00D0642E">
        <w:rPr>
          <w:rFonts w:asciiTheme="majorHAnsi" w:eastAsiaTheme="minorHAnsi" w:hAnsiTheme="majorHAnsi" w:cs="Calibri Light"/>
          <w:noProof/>
          <w:szCs w:val="22"/>
          <w:lang w:val="sq-AL"/>
        </w:rPr>
        <w:t>Në programin “</w:t>
      </w:r>
      <w:r w:rsidRPr="00D0642E">
        <w:rPr>
          <w:rFonts w:asciiTheme="majorHAnsi" w:eastAsiaTheme="minorHAnsi" w:hAnsiTheme="majorHAnsi" w:cs="Calibri Light"/>
          <w:b/>
          <w:noProof/>
          <w:szCs w:val="22"/>
          <w:lang w:val="sq-AL"/>
        </w:rPr>
        <w:t>Këshillimi i Informacionit Bujqësor</w:t>
      </w:r>
      <w:r w:rsidRPr="00D0642E">
        <w:rPr>
          <w:rFonts w:asciiTheme="majorHAnsi" w:eastAsiaTheme="minorHAnsi" w:hAnsiTheme="majorHAnsi" w:cs="Calibri Light"/>
          <w:noProof/>
          <w:szCs w:val="22"/>
          <w:lang w:val="sq-AL"/>
        </w:rPr>
        <w:t>” kanë përfunduar 14 projekte</w:t>
      </w:r>
      <w:r w:rsidRPr="00D0642E">
        <w:rPr>
          <w:rFonts w:asciiTheme="majorHAnsi" w:hAnsiTheme="majorHAnsi" w:cs="Calibri Light"/>
          <w:bCs/>
          <w:noProof/>
          <w:szCs w:val="22"/>
          <w:lang w:val="sq-AL" w:eastAsia="en-GB"/>
        </w:rPr>
        <w:t xml:space="preserve"> me vlerë</w:t>
      </w:r>
      <w:r w:rsidRPr="00D0642E">
        <w:rPr>
          <w:rFonts w:asciiTheme="majorHAnsi" w:eastAsiaTheme="minorHAnsi" w:hAnsiTheme="majorHAnsi" w:cs="Calibri Light"/>
          <w:noProof/>
          <w:szCs w:val="22"/>
          <w:lang w:val="sq-AL"/>
        </w:rPr>
        <w:t xml:space="preserve"> 11.1</w:t>
      </w:r>
      <w:r w:rsidR="00671D4B">
        <w:rPr>
          <w:rFonts w:asciiTheme="majorHAnsi" w:eastAsiaTheme="minorHAnsi" w:hAnsiTheme="majorHAnsi" w:cs="Calibri Light"/>
          <w:noProof/>
          <w:szCs w:val="22"/>
          <w:lang w:val="sq-AL"/>
        </w:rPr>
        <w:t>mln</w:t>
      </w:r>
      <w:r w:rsidR="00D0642E">
        <w:rPr>
          <w:rFonts w:asciiTheme="majorHAnsi" w:eastAsiaTheme="minorHAnsi" w:hAnsiTheme="majorHAnsi" w:cs="Calibri Light"/>
          <w:noProof/>
          <w:szCs w:val="22"/>
          <w:lang w:val="sq-AL"/>
        </w:rPr>
        <w:t xml:space="preserve"> </w:t>
      </w:r>
      <w:r w:rsidRPr="00D0642E">
        <w:rPr>
          <w:rFonts w:asciiTheme="majorHAnsi" w:eastAsiaTheme="minorHAnsi" w:hAnsiTheme="majorHAnsi" w:cs="Calibri Light"/>
          <w:noProof/>
          <w:szCs w:val="22"/>
          <w:lang w:val="sq-AL"/>
        </w:rPr>
        <w:t>LEK.</w:t>
      </w:r>
    </w:p>
    <w:p w14:paraId="3CABAF60" w14:textId="5BDD7C77"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Rikonstruksion çatie nga QTTB Fushë-Krujë, në vlerë 2.6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2173BEB5" w14:textId="40494769"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Ndërtimi i linjës për furnizimin me energji elektrike</w:t>
      </w:r>
      <w:r w:rsidR="00D0642E">
        <w:rPr>
          <w:rFonts w:asciiTheme="majorHAnsi" w:hAnsiTheme="majorHAnsi" w:cs="Calibri Light"/>
          <w:bCs/>
          <w:i/>
          <w:noProof/>
          <w:szCs w:val="22"/>
          <w:lang w:val="sq-AL" w:eastAsia="en-GB"/>
        </w:rPr>
        <w:t xml:space="preserve">, </w:t>
      </w:r>
      <w:r w:rsidRPr="00D0642E">
        <w:rPr>
          <w:rFonts w:asciiTheme="majorHAnsi" w:hAnsiTheme="majorHAnsi" w:cs="Calibri Light"/>
          <w:bCs/>
          <w:i/>
          <w:noProof/>
          <w:szCs w:val="22"/>
          <w:lang w:val="sq-AL" w:eastAsia="en-GB"/>
        </w:rPr>
        <w:t>stacioni i pompave të ujitjes</w:t>
      </w:r>
      <w:r w:rsidR="00D0642E">
        <w:rPr>
          <w:rFonts w:asciiTheme="majorHAnsi" w:hAnsiTheme="majorHAnsi" w:cs="Calibri Light"/>
          <w:bCs/>
          <w:i/>
          <w:noProof/>
          <w:szCs w:val="22"/>
          <w:lang w:val="sq-AL" w:eastAsia="en-GB"/>
        </w:rPr>
        <w:t xml:space="preserve"> p</w:t>
      </w:r>
      <w:r w:rsidRPr="00D0642E">
        <w:rPr>
          <w:rFonts w:asciiTheme="majorHAnsi" w:hAnsiTheme="majorHAnsi" w:cs="Calibri Light"/>
          <w:bCs/>
          <w:i/>
          <w:noProof/>
          <w:szCs w:val="22"/>
          <w:lang w:val="sq-AL" w:eastAsia="en-GB"/>
        </w:rPr>
        <w:t>ë</w:t>
      </w:r>
      <w:r w:rsidR="00D0642E">
        <w:rPr>
          <w:rFonts w:asciiTheme="majorHAnsi" w:hAnsiTheme="majorHAnsi" w:cs="Calibri Light"/>
          <w:bCs/>
          <w:i/>
          <w:noProof/>
          <w:szCs w:val="22"/>
          <w:lang w:val="sq-AL" w:eastAsia="en-GB"/>
        </w:rPr>
        <w:t>r</w:t>
      </w:r>
      <w:r w:rsidRPr="00D0642E">
        <w:rPr>
          <w:rFonts w:asciiTheme="majorHAnsi" w:hAnsiTheme="majorHAnsi" w:cs="Calibri Light"/>
          <w:bCs/>
          <w:i/>
          <w:noProof/>
          <w:szCs w:val="22"/>
          <w:lang w:val="sq-AL" w:eastAsia="en-GB"/>
        </w:rPr>
        <w:t xml:space="preserve"> 1.9</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 </w:t>
      </w:r>
    </w:p>
    <w:p w14:paraId="7067EE82" w14:textId="2F2DF5DB"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Agregatë bujqësorë të blera nga QTTB Lushnjë, në vlerë 1.4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5E35D960" w14:textId="74420F54" w:rsidR="00104106"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Studim Projektim për projekti "Rrethim i Bazës Eksperimentale në QTTB Vlore", në vlerë 1</w:t>
      </w:r>
      <w:r w:rsidR="00671D4B">
        <w:rPr>
          <w:rFonts w:asciiTheme="majorHAnsi" w:hAnsiTheme="majorHAnsi" w:cs="Calibri Light"/>
          <w:bCs/>
          <w:i/>
          <w:noProof/>
          <w:szCs w:val="22"/>
          <w:lang w:val="sq-AL" w:eastAsia="en-GB"/>
        </w:rPr>
        <w:t>mln</w:t>
      </w:r>
      <w:r w:rsidRPr="00D0642E">
        <w:rPr>
          <w:rFonts w:asciiTheme="majorHAnsi" w:hAnsiTheme="majorHAnsi" w:cs="Calibri Light"/>
          <w:bCs/>
          <w:i/>
          <w:noProof/>
          <w:szCs w:val="22"/>
          <w:lang w:val="sq-AL" w:eastAsia="en-GB"/>
        </w:rPr>
        <w:t xml:space="preserve"> LEK</w:t>
      </w:r>
      <w:r w:rsidR="00671D4B">
        <w:rPr>
          <w:rFonts w:asciiTheme="majorHAnsi" w:hAnsiTheme="majorHAnsi" w:cs="Calibri Light"/>
          <w:bCs/>
          <w:i/>
          <w:noProof/>
          <w:szCs w:val="22"/>
          <w:lang w:val="sq-AL" w:eastAsia="en-GB"/>
        </w:rPr>
        <w:t>.</w:t>
      </w:r>
    </w:p>
    <w:p w14:paraId="7BD13ECC" w14:textId="77777777" w:rsidR="00671D4B" w:rsidRPr="00671D4B" w:rsidRDefault="00671D4B" w:rsidP="00671D4B">
      <w:pPr>
        <w:pStyle w:val="ListParagraph"/>
        <w:shd w:val="clear" w:color="auto" w:fill="FFFFFF" w:themeFill="background1"/>
        <w:spacing w:before="0" w:line="240" w:lineRule="auto"/>
        <w:ind w:left="1080"/>
        <w:rPr>
          <w:rFonts w:asciiTheme="majorHAnsi" w:hAnsiTheme="majorHAnsi" w:cs="Calibri Light"/>
          <w:bCs/>
          <w:i/>
          <w:noProof/>
          <w:sz w:val="8"/>
          <w:szCs w:val="8"/>
          <w:lang w:val="sq-AL" w:eastAsia="en-GB"/>
        </w:rPr>
      </w:pPr>
    </w:p>
    <w:p w14:paraId="52E1244C" w14:textId="77777777" w:rsidR="00104106" w:rsidRPr="00D0642E" w:rsidRDefault="00104106">
      <w:pPr>
        <w:pStyle w:val="ListParagraph"/>
        <w:numPr>
          <w:ilvl w:val="0"/>
          <w:numId w:val="54"/>
        </w:numPr>
        <w:shd w:val="clear" w:color="auto" w:fill="FFFFFF" w:themeFill="background1"/>
        <w:spacing w:before="0" w:line="240" w:lineRule="auto"/>
        <w:rPr>
          <w:rFonts w:cs="Calibri"/>
          <w:bCs/>
          <w:noProof/>
          <w:szCs w:val="22"/>
          <w:lang w:val="sq-AL" w:eastAsia="en-GB"/>
        </w:rPr>
      </w:pPr>
      <w:r w:rsidRPr="00D0642E">
        <w:rPr>
          <w:rFonts w:asciiTheme="majorHAnsi" w:eastAsiaTheme="minorHAnsi" w:hAnsiTheme="majorHAnsi" w:cs="Calibri Light"/>
          <w:noProof/>
          <w:szCs w:val="22"/>
          <w:lang w:val="sq-AL"/>
        </w:rPr>
        <w:t>Në programin “</w:t>
      </w:r>
      <w:r w:rsidRPr="00D0642E">
        <w:rPr>
          <w:rFonts w:asciiTheme="majorHAnsi" w:eastAsiaTheme="minorHAnsi" w:hAnsiTheme="majorHAnsi" w:cs="Calibri Light"/>
          <w:b/>
          <w:noProof/>
          <w:szCs w:val="22"/>
          <w:lang w:val="sq-AL"/>
        </w:rPr>
        <w:t>Mbështetje për Peshkimin</w:t>
      </w:r>
      <w:r w:rsidRPr="00D0642E">
        <w:rPr>
          <w:rFonts w:asciiTheme="majorHAnsi" w:eastAsiaTheme="minorHAnsi" w:hAnsiTheme="majorHAnsi" w:cs="Calibri Light"/>
          <w:noProof/>
          <w:szCs w:val="22"/>
          <w:lang w:val="sq-AL"/>
        </w:rPr>
        <w:t>” ka përfunduar 1 projekt:</w:t>
      </w:r>
      <w:r w:rsidRPr="00D0642E">
        <w:rPr>
          <w:rFonts w:asciiTheme="majorHAnsi" w:hAnsiTheme="majorHAnsi" w:cs="Calibri Light"/>
          <w:bCs/>
          <w:noProof/>
          <w:szCs w:val="22"/>
          <w:lang w:val="sq-AL" w:eastAsia="en-GB"/>
        </w:rPr>
        <w:t xml:space="preserve"> </w:t>
      </w:r>
    </w:p>
    <w:p w14:paraId="223A4B15" w14:textId="03C410FC" w:rsidR="00104106" w:rsidRPr="00D0642E" w:rsidRDefault="00104106">
      <w:pPr>
        <w:pStyle w:val="ListParagraph"/>
        <w:numPr>
          <w:ilvl w:val="0"/>
          <w:numId w:val="55"/>
        </w:numPr>
        <w:shd w:val="clear" w:color="auto" w:fill="FFFFFF" w:themeFill="background1"/>
        <w:spacing w:before="0" w:line="240" w:lineRule="auto"/>
        <w:rPr>
          <w:rFonts w:asciiTheme="majorHAnsi" w:hAnsiTheme="majorHAnsi" w:cs="Calibri Light"/>
          <w:bCs/>
          <w:i/>
          <w:noProof/>
          <w:szCs w:val="22"/>
          <w:lang w:val="sq-AL" w:eastAsia="en-GB"/>
        </w:rPr>
      </w:pPr>
      <w:r w:rsidRPr="00D0642E">
        <w:rPr>
          <w:rFonts w:asciiTheme="majorHAnsi" w:hAnsiTheme="majorHAnsi" w:cs="Calibri Light"/>
          <w:bCs/>
          <w:i/>
          <w:noProof/>
          <w:szCs w:val="22"/>
          <w:lang w:val="sq-AL" w:eastAsia="en-GB"/>
        </w:rPr>
        <w:t xml:space="preserve">Implementimi i sistemit ERS, në vlerë 70 </w:t>
      </w:r>
      <w:r w:rsidR="0056260B">
        <w:rPr>
          <w:rFonts w:asciiTheme="majorHAnsi" w:hAnsiTheme="majorHAnsi" w:cs="Calibri Light"/>
          <w:bCs/>
          <w:i/>
          <w:noProof/>
          <w:szCs w:val="22"/>
          <w:lang w:val="sq-AL" w:eastAsia="en-GB"/>
        </w:rPr>
        <w:t>milionë</w:t>
      </w:r>
      <w:r w:rsidRPr="00D0642E">
        <w:rPr>
          <w:rFonts w:asciiTheme="majorHAnsi" w:hAnsiTheme="majorHAnsi" w:cs="Calibri Light"/>
          <w:bCs/>
          <w:i/>
          <w:noProof/>
          <w:szCs w:val="22"/>
          <w:lang w:val="sq-AL" w:eastAsia="en-GB"/>
        </w:rPr>
        <w:t xml:space="preserve"> LEK.</w:t>
      </w:r>
    </w:p>
    <w:p w14:paraId="6CD75595" w14:textId="77777777" w:rsidR="00461F83" w:rsidRDefault="00461F83" w:rsidP="00C156A0">
      <w:pPr>
        <w:shd w:val="clear" w:color="auto" w:fill="FFFFFF"/>
        <w:spacing w:before="0" w:line="240" w:lineRule="auto"/>
        <w:rPr>
          <w:rFonts w:cs="Calibri"/>
          <w:bCs/>
          <w:noProof/>
          <w:sz w:val="24"/>
          <w:lang w:val="sq-AL" w:eastAsia="en-GB"/>
        </w:rPr>
      </w:pPr>
    </w:p>
    <w:p w14:paraId="24DA668D" w14:textId="77777777" w:rsidR="00DF1ED6" w:rsidRPr="00461F83" w:rsidRDefault="00DF1ED6" w:rsidP="00C156A0">
      <w:pPr>
        <w:shd w:val="clear" w:color="auto" w:fill="FFFFFF"/>
        <w:spacing w:before="0" w:line="240" w:lineRule="auto"/>
        <w:rPr>
          <w:rFonts w:cs="Calibri"/>
          <w:bCs/>
          <w:noProof/>
          <w:sz w:val="24"/>
          <w:lang w:val="sq-AL" w:eastAsia="en-GB"/>
        </w:rPr>
      </w:pPr>
    </w:p>
    <w:p w14:paraId="51EE75FC" w14:textId="77777777" w:rsidR="00C156A0" w:rsidRPr="00B14F86" w:rsidRDefault="00C156A0" w:rsidP="009C7207">
      <w:pPr>
        <w:pStyle w:val="Heading3"/>
        <w:rPr>
          <w:b/>
          <w:bCs/>
        </w:rPr>
      </w:pPr>
      <w:bookmarkStart w:id="258" w:name="_Toc10033297"/>
      <w:bookmarkStart w:id="259" w:name="_Toc10721433"/>
      <w:bookmarkStart w:id="260" w:name="_Toc229390841"/>
      <w:proofErr w:type="spellStart"/>
      <w:r w:rsidRPr="00B14F86">
        <w:rPr>
          <w:b/>
          <w:bCs/>
        </w:rPr>
        <w:t>Infrastruktura</w:t>
      </w:r>
      <w:proofErr w:type="spellEnd"/>
      <w:r w:rsidRPr="00B14F86">
        <w:rPr>
          <w:b/>
          <w:bCs/>
        </w:rPr>
        <w:t xml:space="preserve"> </w:t>
      </w:r>
      <w:proofErr w:type="spellStart"/>
      <w:r w:rsidRPr="00B14F86">
        <w:rPr>
          <w:b/>
          <w:bCs/>
        </w:rPr>
        <w:t>dhe</w:t>
      </w:r>
      <w:proofErr w:type="spellEnd"/>
      <w:r w:rsidRPr="00B14F86">
        <w:rPr>
          <w:b/>
          <w:bCs/>
        </w:rPr>
        <w:t xml:space="preserve"> </w:t>
      </w:r>
      <w:proofErr w:type="spellStart"/>
      <w:r w:rsidRPr="00B14F86">
        <w:rPr>
          <w:b/>
          <w:bCs/>
        </w:rPr>
        <w:t>Energjia</w:t>
      </w:r>
      <w:bookmarkEnd w:id="258"/>
      <w:bookmarkEnd w:id="259"/>
      <w:bookmarkEnd w:id="260"/>
      <w:proofErr w:type="spellEnd"/>
    </w:p>
    <w:p w14:paraId="44313816" w14:textId="500B6901" w:rsidR="00C156A0" w:rsidRPr="00C156A0" w:rsidRDefault="00C156A0" w:rsidP="00C156A0">
      <w:pPr>
        <w:spacing w:line="240" w:lineRule="auto"/>
        <w:rPr>
          <w:rFonts w:cs="Calibri"/>
          <w:noProof/>
          <w:color w:val="000000"/>
          <w:szCs w:val="22"/>
          <w:lang w:val="sq-AL"/>
        </w:rPr>
      </w:pPr>
      <w:r w:rsidRPr="00C156A0">
        <w:rPr>
          <w:rFonts w:cs="Calibri"/>
          <w:noProof/>
          <w:color w:val="000000"/>
          <w:szCs w:val="22"/>
          <w:lang w:val="sq-AL"/>
        </w:rPr>
        <w:t xml:space="preserve">Performanca e treguesve buxhetorë për programet kryesore të </w:t>
      </w:r>
      <w:r w:rsidR="00671D4B">
        <w:rPr>
          <w:rFonts w:cs="Calibri"/>
          <w:noProof/>
          <w:color w:val="000000"/>
          <w:szCs w:val="22"/>
          <w:lang w:val="sq-AL"/>
        </w:rPr>
        <w:t>MIE</w:t>
      </w:r>
      <w:r w:rsidRPr="00C156A0">
        <w:rPr>
          <w:rFonts w:cs="Calibri"/>
          <w:noProof/>
          <w:color w:val="000000"/>
          <w:szCs w:val="22"/>
          <w:lang w:val="sq-AL"/>
        </w:rPr>
        <w:t>, paraqitet si më poshtë:</w:t>
      </w:r>
    </w:p>
    <w:p w14:paraId="2F418147" w14:textId="14F1A9B2" w:rsidR="00C156A0" w:rsidRPr="00C156A0" w:rsidRDefault="00C156A0" w:rsidP="00C156A0">
      <w:pPr>
        <w:rPr>
          <w:i/>
          <w:iCs/>
          <w:noProof/>
          <w:color w:val="17406D"/>
          <w:sz w:val="18"/>
          <w:szCs w:val="18"/>
          <w:lang w:val="sq-AL"/>
        </w:rPr>
      </w:pPr>
      <w:bookmarkStart w:id="261" w:name="_Toc229130008"/>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34</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Infrastrukturës dhe Energjisë (në mijë LEK)</w:t>
      </w:r>
      <w:bookmarkEnd w:id="261"/>
    </w:p>
    <w:tbl>
      <w:tblPr>
        <w:tblW w:w="10166" w:type="dxa"/>
        <w:jc w:val="center"/>
        <w:tblLook w:val="04A0" w:firstRow="1" w:lastRow="0" w:firstColumn="1" w:lastColumn="0" w:noHBand="0" w:noVBand="1"/>
      </w:tblPr>
      <w:tblGrid>
        <w:gridCol w:w="1999"/>
        <w:gridCol w:w="867"/>
        <w:gridCol w:w="948"/>
        <w:gridCol w:w="867"/>
        <w:gridCol w:w="948"/>
        <w:gridCol w:w="867"/>
        <w:gridCol w:w="948"/>
        <w:gridCol w:w="606"/>
        <w:gridCol w:w="860"/>
        <w:gridCol w:w="628"/>
        <w:gridCol w:w="628"/>
      </w:tblGrid>
      <w:tr w:rsidR="00C156A0" w:rsidRPr="00F409F4" w14:paraId="7B1624B5" w14:textId="77777777" w:rsidTr="00D0642E">
        <w:trPr>
          <w:trHeight w:val="251"/>
          <w:jc w:val="center"/>
        </w:trPr>
        <w:tc>
          <w:tcPr>
            <w:tcW w:w="1999"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7F096019"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25B8A116"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Plani fillestar 2025</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3708822A"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Plani i rishikuar 2025</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5C764F6F"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Fakti 2025</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41D24EC8"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3C25395B"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Realizimi në % me planin e rishikuar</w:t>
            </w:r>
          </w:p>
        </w:tc>
      </w:tr>
      <w:tr w:rsidR="00D0642E" w:rsidRPr="00C156A0" w14:paraId="6C781C44" w14:textId="77777777" w:rsidTr="00D0642E">
        <w:trPr>
          <w:trHeight w:val="184"/>
          <w:jc w:val="center"/>
        </w:trPr>
        <w:tc>
          <w:tcPr>
            <w:tcW w:w="1999" w:type="dxa"/>
            <w:vMerge/>
            <w:tcBorders>
              <w:top w:val="single" w:sz="8" w:space="0" w:color="BFBFBF"/>
              <w:left w:val="single" w:sz="8" w:space="0" w:color="BFBFBF"/>
              <w:bottom w:val="single" w:sz="8" w:space="0" w:color="BFBFBF"/>
              <w:right w:val="single" w:sz="8" w:space="0" w:color="BFBFBF"/>
            </w:tcBorders>
            <w:vAlign w:val="center"/>
            <w:hideMark/>
          </w:tcPr>
          <w:p w14:paraId="1B8B2CFE" w14:textId="77777777" w:rsidR="00C156A0" w:rsidRPr="00C156A0" w:rsidRDefault="00C156A0" w:rsidP="00C156A0">
            <w:pPr>
              <w:spacing w:before="0" w:line="240" w:lineRule="auto"/>
              <w:jc w:val="center"/>
              <w:rPr>
                <w:rFonts w:cs="Calibri"/>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4549BBDA" w14:textId="1131503B" w:rsidR="00C156A0" w:rsidRPr="00C156A0" w:rsidRDefault="0056260B" w:rsidP="00C156A0">
            <w:pPr>
              <w:spacing w:before="0" w:line="240" w:lineRule="auto"/>
              <w:jc w:val="center"/>
              <w:rPr>
                <w:rFonts w:cs="Calibri"/>
                <w:noProof/>
                <w:color w:val="FFFFFF"/>
                <w:sz w:val="16"/>
                <w:szCs w:val="16"/>
                <w:lang w:val="sq-AL"/>
              </w:rPr>
            </w:pPr>
            <w:r>
              <w:rPr>
                <w:rFonts w:cs="Calibri"/>
                <w:noProof/>
                <w:color w:val="FFFFFF"/>
                <w:sz w:val="16"/>
                <w:szCs w:val="16"/>
                <w:lang w:val="sq-AL"/>
              </w:rPr>
              <w:t>Korente</w:t>
            </w:r>
          </w:p>
        </w:tc>
        <w:tc>
          <w:tcPr>
            <w:tcW w:w="0" w:type="auto"/>
            <w:tcBorders>
              <w:top w:val="nil"/>
              <w:left w:val="nil"/>
              <w:bottom w:val="single" w:sz="8" w:space="0" w:color="B8CCE4"/>
              <w:right w:val="single" w:sz="8" w:space="0" w:color="B8CCE4"/>
            </w:tcBorders>
            <w:shd w:val="clear" w:color="000000" w:fill="365F91"/>
            <w:vAlign w:val="center"/>
            <w:hideMark/>
          </w:tcPr>
          <w:p w14:paraId="38B88126"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193F5850" w14:textId="3CA2AA2E" w:rsidR="00C156A0" w:rsidRPr="00C156A0" w:rsidRDefault="0056260B" w:rsidP="00C156A0">
            <w:pPr>
              <w:spacing w:before="0" w:line="240" w:lineRule="auto"/>
              <w:jc w:val="center"/>
              <w:rPr>
                <w:rFonts w:cs="Calibri"/>
                <w:noProof/>
                <w:color w:val="FFFFFF"/>
                <w:sz w:val="16"/>
                <w:szCs w:val="16"/>
                <w:lang w:val="sq-AL"/>
              </w:rPr>
            </w:pPr>
            <w:r>
              <w:rPr>
                <w:rFonts w:cs="Calibri"/>
                <w:noProof/>
                <w:color w:val="FFFFFF"/>
                <w:sz w:val="16"/>
                <w:szCs w:val="16"/>
                <w:lang w:val="sq-AL"/>
              </w:rPr>
              <w:t>Korente</w:t>
            </w:r>
          </w:p>
        </w:tc>
        <w:tc>
          <w:tcPr>
            <w:tcW w:w="0" w:type="auto"/>
            <w:tcBorders>
              <w:top w:val="nil"/>
              <w:left w:val="nil"/>
              <w:bottom w:val="single" w:sz="8" w:space="0" w:color="B8CCE4"/>
              <w:right w:val="single" w:sz="8" w:space="0" w:color="B8CCE4"/>
            </w:tcBorders>
            <w:shd w:val="clear" w:color="000000" w:fill="365F91"/>
            <w:vAlign w:val="center"/>
            <w:hideMark/>
          </w:tcPr>
          <w:p w14:paraId="2E2BAFCF"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Investime</w:t>
            </w:r>
          </w:p>
        </w:tc>
        <w:tc>
          <w:tcPr>
            <w:tcW w:w="864" w:type="dxa"/>
            <w:tcBorders>
              <w:top w:val="nil"/>
              <w:left w:val="nil"/>
              <w:bottom w:val="single" w:sz="8" w:space="0" w:color="B8CCE4"/>
              <w:right w:val="single" w:sz="8" w:space="0" w:color="B8CCE4"/>
            </w:tcBorders>
            <w:shd w:val="clear" w:color="000000" w:fill="365F91"/>
            <w:vAlign w:val="center"/>
            <w:hideMark/>
          </w:tcPr>
          <w:p w14:paraId="5D045B42" w14:textId="662650A3" w:rsidR="00C156A0" w:rsidRPr="00C156A0" w:rsidRDefault="0056260B" w:rsidP="00C156A0">
            <w:pPr>
              <w:spacing w:before="0" w:line="240" w:lineRule="auto"/>
              <w:jc w:val="center"/>
              <w:rPr>
                <w:rFonts w:cs="Calibri"/>
                <w:noProof/>
                <w:color w:val="FFFFFF"/>
                <w:sz w:val="16"/>
                <w:szCs w:val="16"/>
                <w:lang w:val="sq-AL"/>
              </w:rPr>
            </w:pPr>
            <w:r>
              <w:rPr>
                <w:rFonts w:cs="Calibri"/>
                <w:noProof/>
                <w:color w:val="FFFFFF"/>
                <w:sz w:val="16"/>
                <w:szCs w:val="16"/>
                <w:lang w:val="sq-AL"/>
              </w:rPr>
              <w:t>Korente</w:t>
            </w:r>
          </w:p>
        </w:tc>
        <w:tc>
          <w:tcPr>
            <w:tcW w:w="944" w:type="dxa"/>
            <w:tcBorders>
              <w:top w:val="nil"/>
              <w:left w:val="nil"/>
              <w:bottom w:val="single" w:sz="8" w:space="0" w:color="B8CCE4"/>
              <w:right w:val="single" w:sz="8" w:space="0" w:color="B8CCE4"/>
            </w:tcBorders>
            <w:shd w:val="clear" w:color="000000" w:fill="365F91"/>
            <w:vAlign w:val="center"/>
            <w:hideMark/>
          </w:tcPr>
          <w:p w14:paraId="0B2DE2A0"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7A5BB9F6"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2BFA0828"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3217AEB0"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51956CB4" w14:textId="77777777" w:rsidR="00C156A0" w:rsidRPr="00C156A0" w:rsidRDefault="00C156A0" w:rsidP="00C156A0">
            <w:pPr>
              <w:spacing w:before="0" w:line="240" w:lineRule="auto"/>
              <w:jc w:val="center"/>
              <w:rPr>
                <w:rFonts w:cs="Calibri"/>
                <w:noProof/>
                <w:color w:val="FFFFFF"/>
                <w:sz w:val="16"/>
                <w:szCs w:val="16"/>
                <w:lang w:val="sq-AL"/>
              </w:rPr>
            </w:pPr>
            <w:r w:rsidRPr="00C156A0">
              <w:rPr>
                <w:rFonts w:cs="Calibri"/>
                <w:noProof/>
                <w:color w:val="FFFFFF"/>
                <w:sz w:val="16"/>
                <w:szCs w:val="16"/>
                <w:lang w:val="sq-AL"/>
              </w:rPr>
              <w:t>Inv.</w:t>
            </w:r>
          </w:p>
        </w:tc>
      </w:tr>
      <w:tr w:rsidR="00C156A0" w:rsidRPr="00C156A0" w14:paraId="20F7FBE2" w14:textId="77777777" w:rsidTr="00D0642E">
        <w:trPr>
          <w:trHeight w:val="259"/>
          <w:jc w:val="center"/>
        </w:trPr>
        <w:tc>
          <w:tcPr>
            <w:tcW w:w="1999" w:type="dxa"/>
            <w:tcBorders>
              <w:top w:val="nil"/>
              <w:left w:val="single" w:sz="8" w:space="0" w:color="BFBFBF"/>
              <w:bottom w:val="single" w:sz="8" w:space="0" w:color="BFBFBF"/>
              <w:right w:val="single" w:sz="8" w:space="0" w:color="BFBFBF"/>
            </w:tcBorders>
            <w:vAlign w:val="center"/>
            <w:hideMark/>
          </w:tcPr>
          <w:p w14:paraId="56E1459A"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Planifikimi, Menaxhimi dhe Administrimi</w:t>
            </w:r>
          </w:p>
        </w:tc>
        <w:tc>
          <w:tcPr>
            <w:tcW w:w="0" w:type="auto"/>
            <w:tcBorders>
              <w:top w:val="nil"/>
              <w:left w:val="nil"/>
              <w:bottom w:val="single" w:sz="8" w:space="0" w:color="B8CCE4"/>
              <w:right w:val="single" w:sz="8" w:space="0" w:color="B8CCE4"/>
            </w:tcBorders>
          </w:tcPr>
          <w:p w14:paraId="1B380A2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740,244</w:t>
            </w:r>
          </w:p>
        </w:tc>
        <w:tc>
          <w:tcPr>
            <w:tcW w:w="0" w:type="auto"/>
            <w:tcBorders>
              <w:top w:val="nil"/>
              <w:left w:val="nil"/>
              <w:bottom w:val="single" w:sz="8" w:space="0" w:color="B8CCE4"/>
              <w:right w:val="single" w:sz="8" w:space="0" w:color="B8CCE4"/>
            </w:tcBorders>
          </w:tcPr>
          <w:p w14:paraId="4FEB230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13,000</w:t>
            </w:r>
          </w:p>
        </w:tc>
        <w:tc>
          <w:tcPr>
            <w:tcW w:w="0" w:type="auto"/>
            <w:tcBorders>
              <w:top w:val="nil"/>
              <w:left w:val="nil"/>
              <w:bottom w:val="single" w:sz="8" w:space="0" w:color="B8CCE4"/>
              <w:right w:val="single" w:sz="8" w:space="0" w:color="B8CCE4"/>
            </w:tcBorders>
          </w:tcPr>
          <w:p w14:paraId="0AABDD1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1,271,191</w:t>
            </w:r>
          </w:p>
        </w:tc>
        <w:tc>
          <w:tcPr>
            <w:tcW w:w="0" w:type="auto"/>
            <w:tcBorders>
              <w:top w:val="nil"/>
              <w:left w:val="nil"/>
              <w:bottom w:val="single" w:sz="8" w:space="0" w:color="B8CCE4"/>
              <w:right w:val="single" w:sz="8" w:space="0" w:color="B8CCE4"/>
            </w:tcBorders>
          </w:tcPr>
          <w:p w14:paraId="7E4CDC5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9,000</w:t>
            </w:r>
          </w:p>
        </w:tc>
        <w:tc>
          <w:tcPr>
            <w:tcW w:w="864" w:type="dxa"/>
            <w:tcBorders>
              <w:top w:val="nil"/>
              <w:left w:val="nil"/>
              <w:bottom w:val="single" w:sz="8" w:space="0" w:color="B8CCE4"/>
              <w:right w:val="single" w:sz="8" w:space="0" w:color="B8CCE4"/>
            </w:tcBorders>
          </w:tcPr>
          <w:p w14:paraId="65AE0FE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1,258,418</w:t>
            </w:r>
          </w:p>
        </w:tc>
        <w:tc>
          <w:tcPr>
            <w:tcW w:w="944" w:type="dxa"/>
            <w:tcBorders>
              <w:top w:val="nil"/>
              <w:left w:val="nil"/>
              <w:bottom w:val="single" w:sz="8" w:space="0" w:color="B8CCE4"/>
              <w:right w:val="single" w:sz="8" w:space="0" w:color="B8CCE4"/>
            </w:tcBorders>
          </w:tcPr>
          <w:p w14:paraId="61A42AF0"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72103138"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170%</w:t>
            </w:r>
          </w:p>
        </w:tc>
        <w:tc>
          <w:tcPr>
            <w:tcW w:w="0" w:type="auto"/>
            <w:tcBorders>
              <w:top w:val="nil"/>
              <w:left w:val="nil"/>
              <w:bottom w:val="single" w:sz="8" w:space="0" w:color="B8CCE4"/>
              <w:right w:val="single" w:sz="8" w:space="0" w:color="B8CCE4"/>
            </w:tcBorders>
          </w:tcPr>
          <w:p w14:paraId="723D3118"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30915A62"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99%</w:t>
            </w:r>
          </w:p>
        </w:tc>
        <w:tc>
          <w:tcPr>
            <w:tcW w:w="0" w:type="auto"/>
            <w:tcBorders>
              <w:top w:val="nil"/>
              <w:left w:val="nil"/>
              <w:bottom w:val="single" w:sz="8" w:space="0" w:color="B8CCE4"/>
              <w:right w:val="single" w:sz="8" w:space="0" w:color="B8CCE4"/>
            </w:tcBorders>
          </w:tcPr>
          <w:p w14:paraId="53453465"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0%</w:t>
            </w:r>
          </w:p>
        </w:tc>
      </w:tr>
      <w:tr w:rsidR="00C156A0" w:rsidRPr="00C156A0" w14:paraId="70335EB3" w14:textId="77777777" w:rsidTr="00D0642E">
        <w:trPr>
          <w:trHeight w:val="183"/>
          <w:jc w:val="center"/>
        </w:trPr>
        <w:tc>
          <w:tcPr>
            <w:tcW w:w="1999" w:type="dxa"/>
            <w:tcBorders>
              <w:top w:val="nil"/>
              <w:left w:val="single" w:sz="8" w:space="0" w:color="BFBFBF"/>
              <w:bottom w:val="single" w:sz="8" w:space="0" w:color="BFBFBF"/>
              <w:right w:val="single" w:sz="8" w:space="0" w:color="BFBFBF"/>
            </w:tcBorders>
            <w:vAlign w:val="center"/>
            <w:hideMark/>
          </w:tcPr>
          <w:p w14:paraId="6486C3DF"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Mbështetje per Energjinë</w:t>
            </w:r>
          </w:p>
        </w:tc>
        <w:tc>
          <w:tcPr>
            <w:tcW w:w="0" w:type="auto"/>
            <w:tcBorders>
              <w:top w:val="nil"/>
              <w:left w:val="nil"/>
              <w:bottom w:val="single" w:sz="8" w:space="0" w:color="B8CCE4"/>
              <w:right w:val="single" w:sz="8" w:space="0" w:color="B8CCE4"/>
            </w:tcBorders>
          </w:tcPr>
          <w:p w14:paraId="211539C0"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120,520</w:t>
            </w:r>
          </w:p>
        </w:tc>
        <w:tc>
          <w:tcPr>
            <w:tcW w:w="0" w:type="auto"/>
            <w:tcBorders>
              <w:top w:val="nil"/>
              <w:left w:val="nil"/>
              <w:bottom w:val="single" w:sz="8" w:space="0" w:color="B8CCE4"/>
              <w:right w:val="single" w:sz="8" w:space="0" w:color="B8CCE4"/>
            </w:tcBorders>
          </w:tcPr>
          <w:p w14:paraId="4655384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250,000</w:t>
            </w:r>
          </w:p>
        </w:tc>
        <w:tc>
          <w:tcPr>
            <w:tcW w:w="0" w:type="auto"/>
            <w:tcBorders>
              <w:top w:val="nil"/>
              <w:left w:val="nil"/>
              <w:bottom w:val="single" w:sz="8" w:space="0" w:color="B8CCE4"/>
              <w:right w:val="single" w:sz="8" w:space="0" w:color="B8CCE4"/>
            </w:tcBorders>
          </w:tcPr>
          <w:p w14:paraId="4E5C6769"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46,134</w:t>
            </w:r>
          </w:p>
        </w:tc>
        <w:tc>
          <w:tcPr>
            <w:tcW w:w="0" w:type="auto"/>
            <w:tcBorders>
              <w:top w:val="nil"/>
              <w:left w:val="nil"/>
              <w:bottom w:val="single" w:sz="8" w:space="0" w:color="B8CCE4"/>
              <w:right w:val="single" w:sz="8" w:space="0" w:color="B8CCE4"/>
            </w:tcBorders>
          </w:tcPr>
          <w:p w14:paraId="49F817C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448,700</w:t>
            </w:r>
          </w:p>
        </w:tc>
        <w:tc>
          <w:tcPr>
            <w:tcW w:w="864" w:type="dxa"/>
            <w:tcBorders>
              <w:top w:val="nil"/>
              <w:left w:val="nil"/>
              <w:bottom w:val="single" w:sz="8" w:space="0" w:color="B8CCE4"/>
              <w:right w:val="single" w:sz="8" w:space="0" w:color="B8CCE4"/>
            </w:tcBorders>
          </w:tcPr>
          <w:p w14:paraId="4DB46DE7"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45,236</w:t>
            </w:r>
          </w:p>
        </w:tc>
        <w:tc>
          <w:tcPr>
            <w:tcW w:w="944" w:type="dxa"/>
            <w:tcBorders>
              <w:top w:val="nil"/>
              <w:left w:val="nil"/>
              <w:bottom w:val="single" w:sz="8" w:space="0" w:color="B8CCE4"/>
              <w:right w:val="single" w:sz="8" w:space="0" w:color="B8CCE4"/>
            </w:tcBorders>
          </w:tcPr>
          <w:p w14:paraId="1DE91D7F"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437,191</w:t>
            </w:r>
          </w:p>
        </w:tc>
        <w:tc>
          <w:tcPr>
            <w:tcW w:w="0" w:type="auto"/>
            <w:tcBorders>
              <w:top w:val="nil"/>
              <w:left w:val="nil"/>
              <w:bottom w:val="single" w:sz="8" w:space="0" w:color="B8CCE4"/>
              <w:right w:val="single" w:sz="8" w:space="0" w:color="B8CCE4"/>
            </w:tcBorders>
          </w:tcPr>
          <w:p w14:paraId="131D5E2B"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38%</w:t>
            </w:r>
          </w:p>
        </w:tc>
        <w:tc>
          <w:tcPr>
            <w:tcW w:w="0" w:type="auto"/>
            <w:tcBorders>
              <w:top w:val="nil"/>
              <w:left w:val="nil"/>
              <w:bottom w:val="single" w:sz="8" w:space="0" w:color="B8CCE4"/>
              <w:right w:val="single" w:sz="8" w:space="0" w:color="B8CCE4"/>
            </w:tcBorders>
          </w:tcPr>
          <w:p w14:paraId="68B2409B"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175%</w:t>
            </w:r>
          </w:p>
        </w:tc>
        <w:tc>
          <w:tcPr>
            <w:tcW w:w="0" w:type="auto"/>
            <w:tcBorders>
              <w:top w:val="nil"/>
              <w:left w:val="nil"/>
              <w:bottom w:val="single" w:sz="8" w:space="0" w:color="B8CCE4"/>
              <w:right w:val="single" w:sz="8" w:space="0" w:color="B8CCE4"/>
            </w:tcBorders>
          </w:tcPr>
          <w:p w14:paraId="196561DD"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98%</w:t>
            </w:r>
          </w:p>
        </w:tc>
        <w:tc>
          <w:tcPr>
            <w:tcW w:w="0" w:type="auto"/>
            <w:tcBorders>
              <w:top w:val="nil"/>
              <w:left w:val="nil"/>
              <w:bottom w:val="single" w:sz="8" w:space="0" w:color="B8CCE4"/>
              <w:right w:val="single" w:sz="8" w:space="0" w:color="B8CCE4"/>
            </w:tcBorders>
          </w:tcPr>
          <w:p w14:paraId="61680FCF"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97%</w:t>
            </w:r>
          </w:p>
        </w:tc>
      </w:tr>
      <w:tr w:rsidR="00C156A0" w:rsidRPr="00C156A0" w14:paraId="4F75D39A" w14:textId="77777777" w:rsidTr="00D0642E">
        <w:trPr>
          <w:trHeight w:val="244"/>
          <w:jc w:val="center"/>
        </w:trPr>
        <w:tc>
          <w:tcPr>
            <w:tcW w:w="1999" w:type="dxa"/>
            <w:tcBorders>
              <w:top w:val="nil"/>
              <w:left w:val="single" w:sz="8" w:space="0" w:color="BFBFBF"/>
              <w:bottom w:val="single" w:sz="8" w:space="0" w:color="BFBFBF"/>
              <w:right w:val="single" w:sz="8" w:space="0" w:color="BFBFBF"/>
            </w:tcBorders>
            <w:vAlign w:val="center"/>
          </w:tcPr>
          <w:p w14:paraId="7DC4E572" w14:textId="77777777" w:rsidR="00C156A0" w:rsidRPr="00C156A0" w:rsidRDefault="00C156A0" w:rsidP="00327853">
            <w:pPr>
              <w:spacing w:before="0" w:line="240" w:lineRule="auto"/>
              <w:jc w:val="right"/>
              <w:rPr>
                <w:rFonts w:cs="Calibri"/>
                <w:b/>
                <w:bCs/>
                <w:noProof/>
                <w:sz w:val="16"/>
                <w:szCs w:val="16"/>
                <w:lang w:val="sq-AL"/>
              </w:rPr>
            </w:pPr>
            <w:r w:rsidRPr="00C156A0">
              <w:rPr>
                <w:rFonts w:cs="Calibri"/>
                <w:b/>
                <w:bCs/>
                <w:noProof/>
                <w:sz w:val="16"/>
                <w:szCs w:val="16"/>
                <w:lang w:val="sq-AL"/>
              </w:rPr>
              <w:t>Financim i Huaj</w:t>
            </w:r>
          </w:p>
        </w:tc>
        <w:tc>
          <w:tcPr>
            <w:tcW w:w="0" w:type="auto"/>
            <w:tcBorders>
              <w:top w:val="nil"/>
              <w:left w:val="nil"/>
              <w:bottom w:val="single" w:sz="8" w:space="0" w:color="B8CCE4"/>
              <w:right w:val="single" w:sz="8" w:space="0" w:color="B8CCE4"/>
            </w:tcBorders>
          </w:tcPr>
          <w:p w14:paraId="05A34054"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62E77802"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3,000,000</w:t>
            </w:r>
          </w:p>
        </w:tc>
        <w:tc>
          <w:tcPr>
            <w:tcW w:w="0" w:type="auto"/>
            <w:tcBorders>
              <w:top w:val="nil"/>
              <w:left w:val="nil"/>
              <w:bottom w:val="single" w:sz="8" w:space="0" w:color="B8CCE4"/>
              <w:right w:val="single" w:sz="8" w:space="0" w:color="B8CCE4"/>
            </w:tcBorders>
          </w:tcPr>
          <w:p w14:paraId="64F3C5FB"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76FF258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1,563,000</w:t>
            </w:r>
          </w:p>
        </w:tc>
        <w:tc>
          <w:tcPr>
            <w:tcW w:w="864" w:type="dxa"/>
            <w:tcBorders>
              <w:top w:val="nil"/>
              <w:left w:val="nil"/>
              <w:bottom w:val="single" w:sz="8" w:space="0" w:color="B8CCE4"/>
              <w:right w:val="single" w:sz="8" w:space="0" w:color="B8CCE4"/>
            </w:tcBorders>
          </w:tcPr>
          <w:p w14:paraId="35502CE6" w14:textId="77777777" w:rsidR="00C156A0" w:rsidRPr="00C156A0" w:rsidRDefault="00C156A0" w:rsidP="00C156A0">
            <w:pPr>
              <w:spacing w:before="0" w:line="240" w:lineRule="auto"/>
              <w:jc w:val="right"/>
              <w:rPr>
                <w:rFonts w:eastAsia="Batang"/>
                <w:noProof/>
                <w:color w:val="000000"/>
                <w:sz w:val="16"/>
                <w:szCs w:val="16"/>
                <w:lang w:val="sq-AL"/>
              </w:rPr>
            </w:pPr>
          </w:p>
        </w:tc>
        <w:tc>
          <w:tcPr>
            <w:tcW w:w="944" w:type="dxa"/>
            <w:tcBorders>
              <w:top w:val="nil"/>
              <w:left w:val="nil"/>
              <w:bottom w:val="single" w:sz="8" w:space="0" w:color="B8CCE4"/>
              <w:right w:val="single" w:sz="8" w:space="0" w:color="B8CCE4"/>
            </w:tcBorders>
          </w:tcPr>
          <w:p w14:paraId="5FD7408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1,248,902</w:t>
            </w:r>
          </w:p>
        </w:tc>
        <w:tc>
          <w:tcPr>
            <w:tcW w:w="0" w:type="auto"/>
            <w:tcBorders>
              <w:top w:val="nil"/>
              <w:left w:val="nil"/>
              <w:bottom w:val="single" w:sz="8" w:space="0" w:color="B8CCE4"/>
              <w:right w:val="single" w:sz="8" w:space="0" w:color="B8CCE4"/>
            </w:tcBorders>
          </w:tcPr>
          <w:p w14:paraId="5FD2839B"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2A0FBCFB"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42%</w:t>
            </w:r>
          </w:p>
        </w:tc>
        <w:tc>
          <w:tcPr>
            <w:tcW w:w="0" w:type="auto"/>
            <w:tcBorders>
              <w:top w:val="nil"/>
              <w:left w:val="nil"/>
              <w:bottom w:val="single" w:sz="8" w:space="0" w:color="B8CCE4"/>
              <w:right w:val="single" w:sz="8" w:space="0" w:color="B8CCE4"/>
            </w:tcBorders>
          </w:tcPr>
          <w:p w14:paraId="38D1C3B3"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624D6DB0"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80%</w:t>
            </w:r>
          </w:p>
        </w:tc>
      </w:tr>
      <w:tr w:rsidR="00C156A0" w:rsidRPr="00C156A0" w14:paraId="048B3E82" w14:textId="77777777" w:rsidTr="00D0642E">
        <w:trPr>
          <w:trHeight w:val="244"/>
          <w:jc w:val="center"/>
        </w:trPr>
        <w:tc>
          <w:tcPr>
            <w:tcW w:w="1999" w:type="dxa"/>
            <w:tcBorders>
              <w:top w:val="nil"/>
              <w:left w:val="single" w:sz="8" w:space="0" w:color="BFBFBF"/>
              <w:bottom w:val="single" w:sz="8" w:space="0" w:color="BFBFBF"/>
              <w:right w:val="single" w:sz="8" w:space="0" w:color="BFBFBF"/>
            </w:tcBorders>
            <w:vAlign w:val="center"/>
            <w:hideMark/>
          </w:tcPr>
          <w:p w14:paraId="76438C8A"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Mbështetje për Burimet Natyrore</w:t>
            </w:r>
          </w:p>
        </w:tc>
        <w:tc>
          <w:tcPr>
            <w:tcW w:w="0" w:type="auto"/>
            <w:tcBorders>
              <w:top w:val="nil"/>
              <w:left w:val="nil"/>
              <w:bottom w:val="single" w:sz="8" w:space="0" w:color="B8CCE4"/>
              <w:right w:val="single" w:sz="8" w:space="0" w:color="B8CCE4"/>
            </w:tcBorders>
          </w:tcPr>
          <w:p w14:paraId="187382EC"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349,605</w:t>
            </w:r>
          </w:p>
        </w:tc>
        <w:tc>
          <w:tcPr>
            <w:tcW w:w="0" w:type="auto"/>
            <w:tcBorders>
              <w:top w:val="nil"/>
              <w:left w:val="nil"/>
              <w:bottom w:val="single" w:sz="8" w:space="0" w:color="B8CCE4"/>
              <w:right w:val="single" w:sz="8" w:space="0" w:color="B8CCE4"/>
            </w:tcBorders>
          </w:tcPr>
          <w:p w14:paraId="227243B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97,000</w:t>
            </w:r>
          </w:p>
        </w:tc>
        <w:tc>
          <w:tcPr>
            <w:tcW w:w="0" w:type="auto"/>
            <w:tcBorders>
              <w:top w:val="nil"/>
              <w:left w:val="nil"/>
              <w:bottom w:val="single" w:sz="8" w:space="0" w:color="B8CCE4"/>
              <w:right w:val="single" w:sz="8" w:space="0" w:color="B8CCE4"/>
            </w:tcBorders>
          </w:tcPr>
          <w:p w14:paraId="149CB539"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306,728</w:t>
            </w:r>
          </w:p>
        </w:tc>
        <w:tc>
          <w:tcPr>
            <w:tcW w:w="0" w:type="auto"/>
            <w:tcBorders>
              <w:top w:val="nil"/>
              <w:left w:val="nil"/>
              <w:bottom w:val="single" w:sz="8" w:space="0" w:color="B8CCE4"/>
              <w:right w:val="single" w:sz="8" w:space="0" w:color="B8CCE4"/>
            </w:tcBorders>
          </w:tcPr>
          <w:p w14:paraId="5AE11B3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139,406</w:t>
            </w:r>
          </w:p>
        </w:tc>
        <w:tc>
          <w:tcPr>
            <w:tcW w:w="864" w:type="dxa"/>
            <w:tcBorders>
              <w:top w:val="nil"/>
              <w:left w:val="nil"/>
              <w:bottom w:val="single" w:sz="8" w:space="0" w:color="B8CCE4"/>
              <w:right w:val="single" w:sz="8" w:space="0" w:color="B8CCE4"/>
            </w:tcBorders>
          </w:tcPr>
          <w:p w14:paraId="08DD8F62"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299,555</w:t>
            </w:r>
          </w:p>
        </w:tc>
        <w:tc>
          <w:tcPr>
            <w:tcW w:w="944" w:type="dxa"/>
            <w:tcBorders>
              <w:top w:val="nil"/>
              <w:left w:val="nil"/>
              <w:bottom w:val="single" w:sz="8" w:space="0" w:color="B8CCE4"/>
              <w:right w:val="single" w:sz="8" w:space="0" w:color="B8CCE4"/>
            </w:tcBorders>
          </w:tcPr>
          <w:p w14:paraId="36D24EE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138,931</w:t>
            </w:r>
          </w:p>
        </w:tc>
        <w:tc>
          <w:tcPr>
            <w:tcW w:w="0" w:type="auto"/>
            <w:tcBorders>
              <w:top w:val="nil"/>
              <w:left w:val="nil"/>
              <w:bottom w:val="single" w:sz="8" w:space="0" w:color="B8CCE4"/>
              <w:right w:val="single" w:sz="8" w:space="0" w:color="B8CCE4"/>
            </w:tcBorders>
          </w:tcPr>
          <w:p w14:paraId="3D291B5A"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86%</w:t>
            </w:r>
          </w:p>
        </w:tc>
        <w:tc>
          <w:tcPr>
            <w:tcW w:w="0" w:type="auto"/>
            <w:tcBorders>
              <w:top w:val="nil"/>
              <w:left w:val="nil"/>
              <w:bottom w:val="single" w:sz="8" w:space="0" w:color="B8CCE4"/>
              <w:right w:val="single" w:sz="8" w:space="0" w:color="B8CCE4"/>
            </w:tcBorders>
          </w:tcPr>
          <w:p w14:paraId="6D0B3112"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143%</w:t>
            </w:r>
          </w:p>
        </w:tc>
        <w:tc>
          <w:tcPr>
            <w:tcW w:w="0" w:type="auto"/>
            <w:tcBorders>
              <w:top w:val="nil"/>
              <w:left w:val="nil"/>
              <w:bottom w:val="single" w:sz="8" w:space="0" w:color="B8CCE4"/>
              <w:right w:val="single" w:sz="8" w:space="0" w:color="B8CCE4"/>
            </w:tcBorders>
          </w:tcPr>
          <w:p w14:paraId="61667686"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98%</w:t>
            </w:r>
          </w:p>
        </w:tc>
        <w:tc>
          <w:tcPr>
            <w:tcW w:w="0" w:type="auto"/>
            <w:tcBorders>
              <w:top w:val="nil"/>
              <w:left w:val="nil"/>
              <w:bottom w:val="single" w:sz="8" w:space="0" w:color="B8CCE4"/>
              <w:right w:val="single" w:sz="8" w:space="0" w:color="B8CCE4"/>
            </w:tcBorders>
          </w:tcPr>
          <w:p w14:paraId="32DDDD9A"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100%</w:t>
            </w:r>
          </w:p>
        </w:tc>
      </w:tr>
      <w:tr w:rsidR="00C156A0" w:rsidRPr="00C156A0" w14:paraId="351AA3CF"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hideMark/>
          </w:tcPr>
          <w:p w14:paraId="6CE9A15E"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Mbështetje për Industrinë</w:t>
            </w:r>
          </w:p>
        </w:tc>
        <w:tc>
          <w:tcPr>
            <w:tcW w:w="0" w:type="auto"/>
            <w:tcBorders>
              <w:top w:val="nil"/>
              <w:left w:val="nil"/>
              <w:bottom w:val="single" w:sz="8" w:space="0" w:color="B8CCE4"/>
              <w:right w:val="single" w:sz="8" w:space="0" w:color="B8CCE4"/>
            </w:tcBorders>
          </w:tcPr>
          <w:p w14:paraId="59E0906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375,733</w:t>
            </w:r>
          </w:p>
        </w:tc>
        <w:tc>
          <w:tcPr>
            <w:tcW w:w="0" w:type="auto"/>
            <w:tcBorders>
              <w:top w:val="nil"/>
              <w:left w:val="nil"/>
              <w:bottom w:val="single" w:sz="8" w:space="0" w:color="B8CCE4"/>
              <w:right w:val="single" w:sz="8" w:space="0" w:color="B8CCE4"/>
            </w:tcBorders>
          </w:tcPr>
          <w:p w14:paraId="17119A6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78,000</w:t>
            </w:r>
          </w:p>
        </w:tc>
        <w:tc>
          <w:tcPr>
            <w:tcW w:w="0" w:type="auto"/>
            <w:tcBorders>
              <w:top w:val="nil"/>
              <w:left w:val="nil"/>
              <w:bottom w:val="single" w:sz="8" w:space="0" w:color="B8CCE4"/>
              <w:right w:val="single" w:sz="8" w:space="0" w:color="B8CCE4"/>
            </w:tcBorders>
          </w:tcPr>
          <w:p w14:paraId="195D8ECE"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385,049</w:t>
            </w:r>
          </w:p>
        </w:tc>
        <w:tc>
          <w:tcPr>
            <w:tcW w:w="0" w:type="auto"/>
            <w:tcBorders>
              <w:top w:val="nil"/>
              <w:left w:val="nil"/>
              <w:bottom w:val="single" w:sz="8" w:space="0" w:color="B8CCE4"/>
              <w:right w:val="single" w:sz="8" w:space="0" w:color="B8CCE4"/>
            </w:tcBorders>
          </w:tcPr>
          <w:p w14:paraId="353C347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18,750</w:t>
            </w:r>
          </w:p>
        </w:tc>
        <w:tc>
          <w:tcPr>
            <w:tcW w:w="864" w:type="dxa"/>
            <w:tcBorders>
              <w:top w:val="nil"/>
              <w:left w:val="nil"/>
              <w:bottom w:val="single" w:sz="8" w:space="0" w:color="B8CCE4"/>
              <w:right w:val="single" w:sz="8" w:space="0" w:color="B8CCE4"/>
            </w:tcBorders>
          </w:tcPr>
          <w:p w14:paraId="61B501C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379,994</w:t>
            </w:r>
          </w:p>
        </w:tc>
        <w:tc>
          <w:tcPr>
            <w:tcW w:w="944" w:type="dxa"/>
            <w:tcBorders>
              <w:top w:val="nil"/>
              <w:left w:val="nil"/>
              <w:bottom w:val="single" w:sz="8" w:space="0" w:color="B8CCE4"/>
              <w:right w:val="single" w:sz="8" w:space="0" w:color="B8CCE4"/>
            </w:tcBorders>
          </w:tcPr>
          <w:p w14:paraId="781245F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18,750</w:t>
            </w:r>
          </w:p>
        </w:tc>
        <w:tc>
          <w:tcPr>
            <w:tcW w:w="0" w:type="auto"/>
            <w:tcBorders>
              <w:top w:val="nil"/>
              <w:left w:val="nil"/>
              <w:bottom w:val="single" w:sz="8" w:space="0" w:color="B8CCE4"/>
              <w:right w:val="single" w:sz="8" w:space="0" w:color="B8CCE4"/>
            </w:tcBorders>
          </w:tcPr>
          <w:p w14:paraId="70134602"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101%</w:t>
            </w:r>
          </w:p>
        </w:tc>
        <w:tc>
          <w:tcPr>
            <w:tcW w:w="0" w:type="auto"/>
            <w:tcBorders>
              <w:top w:val="nil"/>
              <w:left w:val="nil"/>
              <w:bottom w:val="single" w:sz="8" w:space="0" w:color="B8CCE4"/>
              <w:right w:val="single" w:sz="8" w:space="0" w:color="B8CCE4"/>
            </w:tcBorders>
          </w:tcPr>
          <w:p w14:paraId="2E71B1F0"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24%</w:t>
            </w:r>
          </w:p>
        </w:tc>
        <w:tc>
          <w:tcPr>
            <w:tcW w:w="0" w:type="auto"/>
            <w:tcBorders>
              <w:top w:val="nil"/>
              <w:left w:val="nil"/>
              <w:bottom w:val="single" w:sz="8" w:space="0" w:color="B8CCE4"/>
              <w:right w:val="single" w:sz="8" w:space="0" w:color="B8CCE4"/>
            </w:tcBorders>
          </w:tcPr>
          <w:p w14:paraId="5AC41DBA"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99%</w:t>
            </w:r>
          </w:p>
        </w:tc>
        <w:tc>
          <w:tcPr>
            <w:tcW w:w="0" w:type="auto"/>
            <w:tcBorders>
              <w:top w:val="nil"/>
              <w:left w:val="nil"/>
              <w:bottom w:val="single" w:sz="8" w:space="0" w:color="B8CCE4"/>
              <w:right w:val="single" w:sz="8" w:space="0" w:color="B8CCE4"/>
            </w:tcBorders>
          </w:tcPr>
          <w:p w14:paraId="30B544BC"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100%</w:t>
            </w:r>
          </w:p>
        </w:tc>
      </w:tr>
      <w:tr w:rsidR="00C156A0" w:rsidRPr="00C156A0" w14:paraId="739E42CA" w14:textId="77777777" w:rsidTr="00D0642E">
        <w:trPr>
          <w:trHeight w:val="183"/>
          <w:jc w:val="center"/>
        </w:trPr>
        <w:tc>
          <w:tcPr>
            <w:tcW w:w="1999" w:type="dxa"/>
            <w:tcBorders>
              <w:top w:val="nil"/>
              <w:left w:val="single" w:sz="8" w:space="0" w:color="BFBFBF"/>
              <w:bottom w:val="single" w:sz="8" w:space="0" w:color="BFBFBF"/>
              <w:right w:val="single" w:sz="8" w:space="0" w:color="BFBFBF"/>
            </w:tcBorders>
            <w:vAlign w:val="center"/>
            <w:hideMark/>
          </w:tcPr>
          <w:p w14:paraId="5A0B08ED"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Transporti Rrugor</w:t>
            </w:r>
          </w:p>
        </w:tc>
        <w:tc>
          <w:tcPr>
            <w:tcW w:w="0" w:type="auto"/>
            <w:tcBorders>
              <w:top w:val="nil"/>
              <w:left w:val="nil"/>
              <w:bottom w:val="single" w:sz="8" w:space="0" w:color="B8CCE4"/>
              <w:right w:val="single" w:sz="8" w:space="0" w:color="B8CCE4"/>
            </w:tcBorders>
          </w:tcPr>
          <w:p w14:paraId="746245EF"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3,660,122</w:t>
            </w:r>
          </w:p>
        </w:tc>
        <w:tc>
          <w:tcPr>
            <w:tcW w:w="0" w:type="auto"/>
            <w:tcBorders>
              <w:top w:val="nil"/>
              <w:left w:val="nil"/>
              <w:bottom w:val="single" w:sz="8" w:space="0" w:color="B8CCE4"/>
              <w:right w:val="single" w:sz="8" w:space="0" w:color="B8CCE4"/>
            </w:tcBorders>
          </w:tcPr>
          <w:p w14:paraId="7921D9D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26,236,699</w:t>
            </w:r>
          </w:p>
        </w:tc>
        <w:tc>
          <w:tcPr>
            <w:tcW w:w="0" w:type="auto"/>
            <w:tcBorders>
              <w:top w:val="nil"/>
              <w:left w:val="nil"/>
              <w:bottom w:val="single" w:sz="8" w:space="0" w:color="B8CCE4"/>
              <w:right w:val="single" w:sz="8" w:space="0" w:color="B8CCE4"/>
            </w:tcBorders>
          </w:tcPr>
          <w:p w14:paraId="22AFA677"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4,722,736</w:t>
            </w:r>
          </w:p>
        </w:tc>
        <w:tc>
          <w:tcPr>
            <w:tcW w:w="0" w:type="auto"/>
            <w:tcBorders>
              <w:top w:val="nil"/>
              <w:left w:val="nil"/>
              <w:bottom w:val="single" w:sz="8" w:space="0" w:color="B8CCE4"/>
              <w:right w:val="single" w:sz="8" w:space="0" w:color="B8CCE4"/>
            </w:tcBorders>
          </w:tcPr>
          <w:p w14:paraId="4791D91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34,560,900</w:t>
            </w:r>
          </w:p>
        </w:tc>
        <w:tc>
          <w:tcPr>
            <w:tcW w:w="864" w:type="dxa"/>
            <w:tcBorders>
              <w:top w:val="nil"/>
              <w:left w:val="nil"/>
              <w:bottom w:val="single" w:sz="8" w:space="0" w:color="B8CCE4"/>
              <w:right w:val="single" w:sz="8" w:space="0" w:color="B8CCE4"/>
            </w:tcBorders>
          </w:tcPr>
          <w:p w14:paraId="4142AB4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4,602,108</w:t>
            </w:r>
          </w:p>
        </w:tc>
        <w:tc>
          <w:tcPr>
            <w:tcW w:w="944" w:type="dxa"/>
            <w:tcBorders>
              <w:top w:val="nil"/>
              <w:left w:val="nil"/>
              <w:bottom w:val="single" w:sz="8" w:space="0" w:color="B8CCE4"/>
              <w:right w:val="single" w:sz="8" w:space="0" w:color="B8CCE4"/>
            </w:tcBorders>
          </w:tcPr>
          <w:p w14:paraId="35B1FE7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34,355,775</w:t>
            </w:r>
          </w:p>
        </w:tc>
        <w:tc>
          <w:tcPr>
            <w:tcW w:w="0" w:type="auto"/>
            <w:tcBorders>
              <w:top w:val="nil"/>
              <w:left w:val="nil"/>
              <w:bottom w:val="single" w:sz="8" w:space="0" w:color="B8CCE4"/>
              <w:right w:val="single" w:sz="8" w:space="0" w:color="B8CCE4"/>
            </w:tcBorders>
          </w:tcPr>
          <w:p w14:paraId="087CDBA1"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126%</w:t>
            </w:r>
          </w:p>
        </w:tc>
        <w:tc>
          <w:tcPr>
            <w:tcW w:w="0" w:type="auto"/>
            <w:tcBorders>
              <w:top w:val="nil"/>
              <w:left w:val="nil"/>
              <w:bottom w:val="single" w:sz="8" w:space="0" w:color="B8CCE4"/>
              <w:right w:val="single" w:sz="8" w:space="0" w:color="B8CCE4"/>
            </w:tcBorders>
          </w:tcPr>
          <w:p w14:paraId="39025747"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131%</w:t>
            </w:r>
          </w:p>
        </w:tc>
        <w:tc>
          <w:tcPr>
            <w:tcW w:w="0" w:type="auto"/>
            <w:tcBorders>
              <w:top w:val="nil"/>
              <w:left w:val="nil"/>
              <w:bottom w:val="single" w:sz="8" w:space="0" w:color="B8CCE4"/>
              <w:right w:val="single" w:sz="8" w:space="0" w:color="B8CCE4"/>
            </w:tcBorders>
          </w:tcPr>
          <w:p w14:paraId="29DB0394"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97%</w:t>
            </w:r>
          </w:p>
        </w:tc>
        <w:tc>
          <w:tcPr>
            <w:tcW w:w="0" w:type="auto"/>
            <w:tcBorders>
              <w:top w:val="nil"/>
              <w:left w:val="nil"/>
              <w:bottom w:val="single" w:sz="8" w:space="0" w:color="B8CCE4"/>
              <w:right w:val="single" w:sz="8" w:space="0" w:color="B8CCE4"/>
            </w:tcBorders>
          </w:tcPr>
          <w:p w14:paraId="522514DD"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99%</w:t>
            </w:r>
          </w:p>
        </w:tc>
      </w:tr>
      <w:tr w:rsidR="00C156A0" w:rsidRPr="00C156A0" w14:paraId="4009EC80" w14:textId="77777777" w:rsidTr="00D0642E">
        <w:trPr>
          <w:trHeight w:val="183"/>
          <w:jc w:val="center"/>
        </w:trPr>
        <w:tc>
          <w:tcPr>
            <w:tcW w:w="1999" w:type="dxa"/>
            <w:tcBorders>
              <w:top w:val="nil"/>
              <w:left w:val="single" w:sz="8" w:space="0" w:color="BFBFBF"/>
              <w:bottom w:val="single" w:sz="8" w:space="0" w:color="BFBFBF"/>
              <w:right w:val="single" w:sz="8" w:space="0" w:color="BFBFBF"/>
            </w:tcBorders>
            <w:vAlign w:val="center"/>
          </w:tcPr>
          <w:p w14:paraId="19753DCA" w14:textId="77777777" w:rsidR="00C156A0" w:rsidRPr="00C156A0" w:rsidRDefault="00C156A0" w:rsidP="00327853">
            <w:pPr>
              <w:spacing w:before="0" w:line="240" w:lineRule="auto"/>
              <w:jc w:val="right"/>
              <w:rPr>
                <w:rFonts w:cs="Calibri"/>
                <w:b/>
                <w:bCs/>
                <w:noProof/>
                <w:sz w:val="16"/>
                <w:szCs w:val="16"/>
                <w:lang w:val="sq-AL"/>
              </w:rPr>
            </w:pPr>
            <w:r w:rsidRPr="00C156A0">
              <w:rPr>
                <w:rFonts w:cs="Calibri"/>
                <w:b/>
                <w:bCs/>
                <w:noProof/>
                <w:sz w:val="16"/>
                <w:szCs w:val="16"/>
                <w:lang w:val="sq-AL"/>
              </w:rPr>
              <w:t>Financim i Huaj</w:t>
            </w:r>
          </w:p>
        </w:tc>
        <w:tc>
          <w:tcPr>
            <w:tcW w:w="0" w:type="auto"/>
            <w:tcBorders>
              <w:top w:val="nil"/>
              <w:left w:val="nil"/>
              <w:bottom w:val="single" w:sz="8" w:space="0" w:color="B8CCE4"/>
              <w:right w:val="single" w:sz="8" w:space="0" w:color="B8CCE4"/>
            </w:tcBorders>
          </w:tcPr>
          <w:p w14:paraId="41D03258"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6B282A2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3,588,323</w:t>
            </w:r>
          </w:p>
        </w:tc>
        <w:tc>
          <w:tcPr>
            <w:tcW w:w="0" w:type="auto"/>
            <w:tcBorders>
              <w:top w:val="nil"/>
              <w:left w:val="nil"/>
              <w:bottom w:val="single" w:sz="8" w:space="0" w:color="B8CCE4"/>
              <w:right w:val="single" w:sz="8" w:space="0" w:color="B8CCE4"/>
            </w:tcBorders>
          </w:tcPr>
          <w:p w14:paraId="7EE58E8D"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479AB195"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5,037,021</w:t>
            </w:r>
          </w:p>
        </w:tc>
        <w:tc>
          <w:tcPr>
            <w:tcW w:w="864" w:type="dxa"/>
            <w:tcBorders>
              <w:top w:val="nil"/>
              <w:left w:val="nil"/>
              <w:bottom w:val="single" w:sz="8" w:space="0" w:color="B8CCE4"/>
              <w:right w:val="single" w:sz="8" w:space="0" w:color="B8CCE4"/>
            </w:tcBorders>
          </w:tcPr>
          <w:p w14:paraId="149B6C6F" w14:textId="77777777" w:rsidR="00C156A0" w:rsidRPr="00C156A0" w:rsidRDefault="00C156A0" w:rsidP="00C156A0">
            <w:pPr>
              <w:spacing w:before="0" w:line="240" w:lineRule="auto"/>
              <w:jc w:val="right"/>
              <w:rPr>
                <w:rFonts w:eastAsia="Batang"/>
                <w:noProof/>
                <w:color w:val="000000"/>
                <w:sz w:val="16"/>
                <w:szCs w:val="16"/>
                <w:lang w:val="sq-AL"/>
              </w:rPr>
            </w:pPr>
          </w:p>
        </w:tc>
        <w:tc>
          <w:tcPr>
            <w:tcW w:w="944" w:type="dxa"/>
            <w:tcBorders>
              <w:top w:val="nil"/>
              <w:left w:val="nil"/>
              <w:bottom w:val="single" w:sz="8" w:space="0" w:color="B8CCE4"/>
              <w:right w:val="single" w:sz="8" w:space="0" w:color="B8CCE4"/>
            </w:tcBorders>
          </w:tcPr>
          <w:p w14:paraId="299BA6D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2,765,604</w:t>
            </w:r>
          </w:p>
        </w:tc>
        <w:tc>
          <w:tcPr>
            <w:tcW w:w="0" w:type="auto"/>
            <w:tcBorders>
              <w:top w:val="nil"/>
              <w:left w:val="nil"/>
              <w:bottom w:val="single" w:sz="8" w:space="0" w:color="B8CCE4"/>
              <w:right w:val="single" w:sz="8" w:space="0" w:color="B8CCE4"/>
            </w:tcBorders>
          </w:tcPr>
          <w:p w14:paraId="535CF2CE"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2FDB9B1C"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77%</w:t>
            </w:r>
          </w:p>
        </w:tc>
        <w:tc>
          <w:tcPr>
            <w:tcW w:w="0" w:type="auto"/>
            <w:tcBorders>
              <w:top w:val="nil"/>
              <w:left w:val="nil"/>
              <w:bottom w:val="single" w:sz="8" w:space="0" w:color="B8CCE4"/>
              <w:right w:val="single" w:sz="8" w:space="0" w:color="B8CCE4"/>
            </w:tcBorders>
          </w:tcPr>
          <w:p w14:paraId="16DA4596"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4EAC38C0"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55%</w:t>
            </w:r>
          </w:p>
        </w:tc>
      </w:tr>
      <w:tr w:rsidR="00C156A0" w:rsidRPr="00C156A0" w14:paraId="552CE8D6"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hideMark/>
          </w:tcPr>
          <w:p w14:paraId="57C2C0AB"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Transporti Detar</w:t>
            </w:r>
          </w:p>
        </w:tc>
        <w:tc>
          <w:tcPr>
            <w:tcW w:w="0" w:type="auto"/>
            <w:tcBorders>
              <w:top w:val="nil"/>
              <w:left w:val="nil"/>
              <w:bottom w:val="single" w:sz="8" w:space="0" w:color="B8CCE4"/>
              <w:right w:val="single" w:sz="8" w:space="0" w:color="B8CCE4"/>
            </w:tcBorders>
          </w:tcPr>
          <w:p w14:paraId="6566359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178,330</w:t>
            </w:r>
          </w:p>
        </w:tc>
        <w:tc>
          <w:tcPr>
            <w:tcW w:w="0" w:type="auto"/>
            <w:tcBorders>
              <w:top w:val="nil"/>
              <w:left w:val="nil"/>
              <w:bottom w:val="single" w:sz="8" w:space="0" w:color="B8CCE4"/>
              <w:right w:val="single" w:sz="8" w:space="0" w:color="B8CCE4"/>
            </w:tcBorders>
          </w:tcPr>
          <w:p w14:paraId="1D23AB8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14,795,000</w:t>
            </w:r>
          </w:p>
        </w:tc>
        <w:tc>
          <w:tcPr>
            <w:tcW w:w="0" w:type="auto"/>
            <w:tcBorders>
              <w:top w:val="nil"/>
              <w:left w:val="nil"/>
              <w:bottom w:val="single" w:sz="8" w:space="0" w:color="B8CCE4"/>
              <w:right w:val="single" w:sz="8" w:space="0" w:color="B8CCE4"/>
            </w:tcBorders>
          </w:tcPr>
          <w:p w14:paraId="7C78AF5C"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144,154</w:t>
            </w:r>
          </w:p>
        </w:tc>
        <w:tc>
          <w:tcPr>
            <w:tcW w:w="0" w:type="auto"/>
            <w:tcBorders>
              <w:top w:val="nil"/>
              <w:left w:val="nil"/>
              <w:bottom w:val="single" w:sz="8" w:space="0" w:color="B8CCE4"/>
              <w:right w:val="single" w:sz="8" w:space="0" w:color="B8CCE4"/>
            </w:tcBorders>
          </w:tcPr>
          <w:p w14:paraId="3CEC61A5"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27,224</w:t>
            </w:r>
          </w:p>
        </w:tc>
        <w:tc>
          <w:tcPr>
            <w:tcW w:w="864" w:type="dxa"/>
            <w:tcBorders>
              <w:top w:val="nil"/>
              <w:left w:val="nil"/>
              <w:bottom w:val="single" w:sz="8" w:space="0" w:color="B8CCE4"/>
              <w:right w:val="single" w:sz="8" w:space="0" w:color="B8CCE4"/>
            </w:tcBorders>
          </w:tcPr>
          <w:p w14:paraId="536ACF4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142,519</w:t>
            </w:r>
          </w:p>
        </w:tc>
        <w:tc>
          <w:tcPr>
            <w:tcW w:w="944" w:type="dxa"/>
            <w:tcBorders>
              <w:top w:val="nil"/>
              <w:left w:val="nil"/>
              <w:bottom w:val="single" w:sz="8" w:space="0" w:color="B8CCE4"/>
              <w:right w:val="single" w:sz="8" w:space="0" w:color="B8CCE4"/>
            </w:tcBorders>
          </w:tcPr>
          <w:p w14:paraId="439EDCE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15,893</w:t>
            </w:r>
          </w:p>
        </w:tc>
        <w:tc>
          <w:tcPr>
            <w:tcW w:w="0" w:type="auto"/>
            <w:tcBorders>
              <w:top w:val="nil"/>
              <w:left w:val="nil"/>
              <w:bottom w:val="single" w:sz="8" w:space="0" w:color="B8CCE4"/>
              <w:right w:val="single" w:sz="8" w:space="0" w:color="B8CCE4"/>
            </w:tcBorders>
          </w:tcPr>
          <w:p w14:paraId="408DDC18"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80%</w:t>
            </w:r>
          </w:p>
        </w:tc>
        <w:tc>
          <w:tcPr>
            <w:tcW w:w="0" w:type="auto"/>
            <w:tcBorders>
              <w:top w:val="nil"/>
              <w:left w:val="nil"/>
              <w:bottom w:val="single" w:sz="8" w:space="0" w:color="B8CCE4"/>
              <w:right w:val="single" w:sz="8" w:space="0" w:color="B8CCE4"/>
            </w:tcBorders>
          </w:tcPr>
          <w:p w14:paraId="1D414B74"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6CF86699"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99%</w:t>
            </w:r>
          </w:p>
        </w:tc>
        <w:tc>
          <w:tcPr>
            <w:tcW w:w="0" w:type="auto"/>
            <w:tcBorders>
              <w:top w:val="nil"/>
              <w:left w:val="nil"/>
              <w:bottom w:val="single" w:sz="8" w:space="0" w:color="B8CCE4"/>
              <w:right w:val="single" w:sz="8" w:space="0" w:color="B8CCE4"/>
            </w:tcBorders>
          </w:tcPr>
          <w:p w14:paraId="1084E409"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58%</w:t>
            </w:r>
          </w:p>
        </w:tc>
      </w:tr>
      <w:tr w:rsidR="00C156A0" w:rsidRPr="00C156A0" w14:paraId="5286CA8A"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tcPr>
          <w:p w14:paraId="36ED4318" w14:textId="77777777" w:rsidR="00C156A0" w:rsidRPr="00C156A0" w:rsidRDefault="00C156A0" w:rsidP="00327853">
            <w:pPr>
              <w:spacing w:before="0" w:line="240" w:lineRule="auto"/>
              <w:jc w:val="right"/>
              <w:rPr>
                <w:rFonts w:cs="Calibri"/>
                <w:b/>
                <w:bCs/>
                <w:noProof/>
                <w:sz w:val="16"/>
                <w:szCs w:val="16"/>
                <w:lang w:val="sq-AL"/>
              </w:rPr>
            </w:pPr>
            <w:r w:rsidRPr="00C156A0">
              <w:rPr>
                <w:rFonts w:cs="Calibri"/>
                <w:b/>
                <w:bCs/>
                <w:noProof/>
                <w:sz w:val="16"/>
                <w:szCs w:val="16"/>
                <w:lang w:val="sq-AL"/>
              </w:rPr>
              <w:t>Financim i Huaj</w:t>
            </w:r>
          </w:p>
        </w:tc>
        <w:tc>
          <w:tcPr>
            <w:tcW w:w="0" w:type="auto"/>
            <w:tcBorders>
              <w:top w:val="nil"/>
              <w:left w:val="nil"/>
              <w:bottom w:val="single" w:sz="8" w:space="0" w:color="B8CCE4"/>
              <w:right w:val="single" w:sz="8" w:space="0" w:color="B8CCE4"/>
            </w:tcBorders>
          </w:tcPr>
          <w:p w14:paraId="4733B208"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2541AD3B"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10,000</w:t>
            </w:r>
          </w:p>
        </w:tc>
        <w:tc>
          <w:tcPr>
            <w:tcW w:w="0" w:type="auto"/>
            <w:tcBorders>
              <w:top w:val="nil"/>
              <w:left w:val="nil"/>
              <w:bottom w:val="single" w:sz="8" w:space="0" w:color="B8CCE4"/>
              <w:right w:val="single" w:sz="8" w:space="0" w:color="B8CCE4"/>
            </w:tcBorders>
          </w:tcPr>
          <w:p w14:paraId="639F7F7B"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78EA83B9"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5,334</w:t>
            </w:r>
          </w:p>
        </w:tc>
        <w:tc>
          <w:tcPr>
            <w:tcW w:w="864" w:type="dxa"/>
            <w:tcBorders>
              <w:top w:val="nil"/>
              <w:left w:val="nil"/>
              <w:bottom w:val="single" w:sz="8" w:space="0" w:color="B8CCE4"/>
              <w:right w:val="single" w:sz="8" w:space="0" w:color="B8CCE4"/>
            </w:tcBorders>
          </w:tcPr>
          <w:p w14:paraId="57CC3B94" w14:textId="77777777" w:rsidR="00C156A0" w:rsidRPr="00C156A0" w:rsidRDefault="00C156A0" w:rsidP="00C156A0">
            <w:pPr>
              <w:spacing w:before="0" w:line="240" w:lineRule="auto"/>
              <w:jc w:val="right"/>
              <w:rPr>
                <w:rFonts w:eastAsia="Batang"/>
                <w:noProof/>
                <w:color w:val="000000"/>
                <w:sz w:val="16"/>
                <w:szCs w:val="16"/>
                <w:lang w:val="sq-AL"/>
              </w:rPr>
            </w:pPr>
          </w:p>
        </w:tc>
        <w:tc>
          <w:tcPr>
            <w:tcW w:w="944" w:type="dxa"/>
            <w:tcBorders>
              <w:top w:val="nil"/>
              <w:left w:val="nil"/>
              <w:bottom w:val="single" w:sz="8" w:space="0" w:color="B8CCE4"/>
              <w:right w:val="single" w:sz="8" w:space="0" w:color="B8CCE4"/>
            </w:tcBorders>
          </w:tcPr>
          <w:p w14:paraId="511681D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4,148</w:t>
            </w:r>
          </w:p>
        </w:tc>
        <w:tc>
          <w:tcPr>
            <w:tcW w:w="0" w:type="auto"/>
            <w:tcBorders>
              <w:top w:val="nil"/>
              <w:left w:val="nil"/>
              <w:bottom w:val="single" w:sz="8" w:space="0" w:color="B8CCE4"/>
              <w:right w:val="single" w:sz="8" w:space="0" w:color="B8CCE4"/>
            </w:tcBorders>
          </w:tcPr>
          <w:p w14:paraId="67801694"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37EF272C"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41%</w:t>
            </w:r>
          </w:p>
        </w:tc>
        <w:tc>
          <w:tcPr>
            <w:tcW w:w="0" w:type="auto"/>
            <w:tcBorders>
              <w:top w:val="nil"/>
              <w:left w:val="nil"/>
              <w:bottom w:val="single" w:sz="8" w:space="0" w:color="B8CCE4"/>
              <w:right w:val="single" w:sz="8" w:space="0" w:color="B8CCE4"/>
            </w:tcBorders>
          </w:tcPr>
          <w:p w14:paraId="6CBEA30A"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6881B197"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78%</w:t>
            </w:r>
          </w:p>
        </w:tc>
      </w:tr>
      <w:tr w:rsidR="00C156A0" w:rsidRPr="00C156A0" w14:paraId="2BA6D635"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hideMark/>
          </w:tcPr>
          <w:p w14:paraId="1815046D"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Transporti Hekurudhor</w:t>
            </w:r>
          </w:p>
        </w:tc>
        <w:tc>
          <w:tcPr>
            <w:tcW w:w="0" w:type="auto"/>
            <w:tcBorders>
              <w:top w:val="nil"/>
              <w:left w:val="nil"/>
              <w:bottom w:val="single" w:sz="8" w:space="0" w:color="B8CCE4"/>
              <w:right w:val="single" w:sz="8" w:space="0" w:color="B8CCE4"/>
            </w:tcBorders>
          </w:tcPr>
          <w:p w14:paraId="79577979"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537,500</w:t>
            </w:r>
          </w:p>
        </w:tc>
        <w:tc>
          <w:tcPr>
            <w:tcW w:w="0" w:type="auto"/>
            <w:tcBorders>
              <w:top w:val="nil"/>
              <w:left w:val="nil"/>
              <w:bottom w:val="single" w:sz="8" w:space="0" w:color="B8CCE4"/>
              <w:right w:val="single" w:sz="8" w:space="0" w:color="B8CCE4"/>
            </w:tcBorders>
          </w:tcPr>
          <w:p w14:paraId="2BDC19C9"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550,000</w:t>
            </w:r>
          </w:p>
        </w:tc>
        <w:tc>
          <w:tcPr>
            <w:tcW w:w="0" w:type="auto"/>
            <w:tcBorders>
              <w:top w:val="nil"/>
              <w:left w:val="nil"/>
              <w:bottom w:val="single" w:sz="8" w:space="0" w:color="B8CCE4"/>
              <w:right w:val="single" w:sz="8" w:space="0" w:color="B8CCE4"/>
            </w:tcBorders>
          </w:tcPr>
          <w:p w14:paraId="35D5ED3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515,753</w:t>
            </w:r>
          </w:p>
        </w:tc>
        <w:tc>
          <w:tcPr>
            <w:tcW w:w="0" w:type="auto"/>
            <w:tcBorders>
              <w:top w:val="nil"/>
              <w:left w:val="nil"/>
              <w:bottom w:val="single" w:sz="8" w:space="0" w:color="B8CCE4"/>
              <w:right w:val="single" w:sz="8" w:space="0" w:color="B8CCE4"/>
            </w:tcBorders>
          </w:tcPr>
          <w:p w14:paraId="6AF93AF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525,000</w:t>
            </w:r>
          </w:p>
        </w:tc>
        <w:tc>
          <w:tcPr>
            <w:tcW w:w="864" w:type="dxa"/>
            <w:tcBorders>
              <w:top w:val="nil"/>
              <w:left w:val="nil"/>
              <w:bottom w:val="single" w:sz="8" w:space="0" w:color="B8CCE4"/>
              <w:right w:val="single" w:sz="8" w:space="0" w:color="B8CCE4"/>
            </w:tcBorders>
          </w:tcPr>
          <w:p w14:paraId="76588247"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515,610</w:t>
            </w:r>
          </w:p>
        </w:tc>
        <w:tc>
          <w:tcPr>
            <w:tcW w:w="944" w:type="dxa"/>
            <w:tcBorders>
              <w:top w:val="nil"/>
              <w:left w:val="nil"/>
              <w:bottom w:val="single" w:sz="8" w:space="0" w:color="B8CCE4"/>
              <w:right w:val="single" w:sz="8" w:space="0" w:color="B8CCE4"/>
            </w:tcBorders>
          </w:tcPr>
          <w:p w14:paraId="3C8AC89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510,215</w:t>
            </w:r>
          </w:p>
        </w:tc>
        <w:tc>
          <w:tcPr>
            <w:tcW w:w="0" w:type="auto"/>
            <w:tcBorders>
              <w:top w:val="nil"/>
              <w:left w:val="nil"/>
              <w:bottom w:val="single" w:sz="8" w:space="0" w:color="B8CCE4"/>
              <w:right w:val="single" w:sz="8" w:space="0" w:color="B8CCE4"/>
            </w:tcBorders>
          </w:tcPr>
          <w:p w14:paraId="333D365F"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96%</w:t>
            </w:r>
          </w:p>
        </w:tc>
        <w:tc>
          <w:tcPr>
            <w:tcW w:w="0" w:type="auto"/>
            <w:tcBorders>
              <w:top w:val="nil"/>
              <w:left w:val="nil"/>
              <w:bottom w:val="single" w:sz="8" w:space="0" w:color="B8CCE4"/>
              <w:right w:val="single" w:sz="8" w:space="0" w:color="B8CCE4"/>
            </w:tcBorders>
          </w:tcPr>
          <w:p w14:paraId="4E5BB03B"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93%</w:t>
            </w:r>
          </w:p>
        </w:tc>
        <w:tc>
          <w:tcPr>
            <w:tcW w:w="0" w:type="auto"/>
            <w:tcBorders>
              <w:top w:val="nil"/>
              <w:left w:val="nil"/>
              <w:bottom w:val="single" w:sz="8" w:space="0" w:color="B8CCE4"/>
              <w:right w:val="single" w:sz="8" w:space="0" w:color="B8CCE4"/>
            </w:tcBorders>
          </w:tcPr>
          <w:p w14:paraId="2E84997B"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100%</w:t>
            </w:r>
          </w:p>
        </w:tc>
        <w:tc>
          <w:tcPr>
            <w:tcW w:w="0" w:type="auto"/>
            <w:tcBorders>
              <w:top w:val="nil"/>
              <w:left w:val="nil"/>
              <w:bottom w:val="single" w:sz="8" w:space="0" w:color="B8CCE4"/>
              <w:right w:val="single" w:sz="8" w:space="0" w:color="B8CCE4"/>
            </w:tcBorders>
          </w:tcPr>
          <w:p w14:paraId="3000D98D"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97%</w:t>
            </w:r>
          </w:p>
        </w:tc>
      </w:tr>
      <w:tr w:rsidR="00C156A0" w:rsidRPr="00C156A0" w14:paraId="59F0B383"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tcPr>
          <w:p w14:paraId="3A747CE1" w14:textId="77777777" w:rsidR="00C156A0" w:rsidRPr="00C156A0" w:rsidRDefault="00C156A0" w:rsidP="00327853">
            <w:pPr>
              <w:spacing w:before="0" w:line="240" w:lineRule="auto"/>
              <w:jc w:val="right"/>
              <w:rPr>
                <w:rFonts w:cs="Calibri"/>
                <w:b/>
                <w:bCs/>
                <w:noProof/>
                <w:sz w:val="16"/>
                <w:szCs w:val="16"/>
                <w:lang w:val="sq-AL"/>
              </w:rPr>
            </w:pPr>
            <w:r w:rsidRPr="00C156A0">
              <w:rPr>
                <w:rFonts w:cs="Calibri"/>
                <w:b/>
                <w:bCs/>
                <w:noProof/>
                <w:sz w:val="16"/>
                <w:szCs w:val="16"/>
                <w:lang w:val="sq-AL"/>
              </w:rPr>
              <w:t>Financim i Huaj</w:t>
            </w:r>
          </w:p>
        </w:tc>
        <w:tc>
          <w:tcPr>
            <w:tcW w:w="0" w:type="auto"/>
            <w:tcBorders>
              <w:top w:val="nil"/>
              <w:left w:val="nil"/>
              <w:bottom w:val="single" w:sz="8" w:space="0" w:color="B8CCE4"/>
              <w:right w:val="single" w:sz="8" w:space="0" w:color="B8CCE4"/>
            </w:tcBorders>
          </w:tcPr>
          <w:p w14:paraId="21E7A479"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4E9D7C8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4,992,702</w:t>
            </w:r>
          </w:p>
        </w:tc>
        <w:tc>
          <w:tcPr>
            <w:tcW w:w="0" w:type="auto"/>
            <w:tcBorders>
              <w:top w:val="nil"/>
              <w:left w:val="nil"/>
              <w:bottom w:val="single" w:sz="8" w:space="0" w:color="B8CCE4"/>
              <w:right w:val="single" w:sz="8" w:space="0" w:color="B8CCE4"/>
            </w:tcBorders>
          </w:tcPr>
          <w:p w14:paraId="0ABF9806" w14:textId="77777777" w:rsidR="00C156A0" w:rsidRPr="00C156A0" w:rsidRDefault="00C156A0" w:rsidP="00C156A0">
            <w:pPr>
              <w:spacing w:before="0" w:line="240" w:lineRule="auto"/>
              <w:jc w:val="right"/>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7337C22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2,619,704</w:t>
            </w:r>
          </w:p>
        </w:tc>
        <w:tc>
          <w:tcPr>
            <w:tcW w:w="864" w:type="dxa"/>
            <w:tcBorders>
              <w:top w:val="nil"/>
              <w:left w:val="nil"/>
              <w:bottom w:val="single" w:sz="8" w:space="0" w:color="B8CCE4"/>
              <w:right w:val="single" w:sz="8" w:space="0" w:color="B8CCE4"/>
            </w:tcBorders>
          </w:tcPr>
          <w:p w14:paraId="3D1FE679" w14:textId="77777777" w:rsidR="00C156A0" w:rsidRPr="00C156A0" w:rsidRDefault="00C156A0" w:rsidP="00C156A0">
            <w:pPr>
              <w:spacing w:before="0" w:line="240" w:lineRule="auto"/>
              <w:jc w:val="right"/>
              <w:rPr>
                <w:rFonts w:eastAsia="Batang"/>
                <w:noProof/>
                <w:color w:val="000000"/>
                <w:sz w:val="16"/>
                <w:szCs w:val="16"/>
                <w:lang w:val="sq-AL"/>
              </w:rPr>
            </w:pPr>
          </w:p>
        </w:tc>
        <w:tc>
          <w:tcPr>
            <w:tcW w:w="944" w:type="dxa"/>
            <w:tcBorders>
              <w:top w:val="nil"/>
              <w:left w:val="nil"/>
              <w:bottom w:val="single" w:sz="8" w:space="0" w:color="B8CCE4"/>
              <w:right w:val="single" w:sz="8" w:space="0" w:color="B8CCE4"/>
            </w:tcBorders>
          </w:tcPr>
          <w:p w14:paraId="0BD9927E"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2,249,351</w:t>
            </w:r>
          </w:p>
        </w:tc>
        <w:tc>
          <w:tcPr>
            <w:tcW w:w="0" w:type="auto"/>
            <w:tcBorders>
              <w:top w:val="nil"/>
              <w:left w:val="nil"/>
              <w:bottom w:val="single" w:sz="8" w:space="0" w:color="B8CCE4"/>
              <w:right w:val="single" w:sz="8" w:space="0" w:color="B8CCE4"/>
            </w:tcBorders>
          </w:tcPr>
          <w:p w14:paraId="34D599C8"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0179555E"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45%</w:t>
            </w:r>
          </w:p>
        </w:tc>
        <w:tc>
          <w:tcPr>
            <w:tcW w:w="0" w:type="auto"/>
            <w:tcBorders>
              <w:top w:val="nil"/>
              <w:left w:val="nil"/>
              <w:bottom w:val="single" w:sz="8" w:space="0" w:color="B8CCE4"/>
              <w:right w:val="single" w:sz="8" w:space="0" w:color="B8CCE4"/>
            </w:tcBorders>
          </w:tcPr>
          <w:p w14:paraId="26CCA41B"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13C0790D"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86%</w:t>
            </w:r>
          </w:p>
        </w:tc>
      </w:tr>
      <w:tr w:rsidR="00C156A0" w:rsidRPr="00C156A0" w14:paraId="68536A76" w14:textId="77777777" w:rsidTr="00D0642E">
        <w:trPr>
          <w:trHeight w:val="183"/>
          <w:jc w:val="center"/>
        </w:trPr>
        <w:tc>
          <w:tcPr>
            <w:tcW w:w="1999" w:type="dxa"/>
            <w:tcBorders>
              <w:top w:val="nil"/>
              <w:left w:val="single" w:sz="8" w:space="0" w:color="BFBFBF"/>
              <w:bottom w:val="single" w:sz="8" w:space="0" w:color="BFBFBF"/>
              <w:right w:val="single" w:sz="8" w:space="0" w:color="BFBFBF"/>
            </w:tcBorders>
            <w:vAlign w:val="center"/>
            <w:hideMark/>
          </w:tcPr>
          <w:p w14:paraId="02238B3D"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Transporti Ajror</w:t>
            </w:r>
          </w:p>
        </w:tc>
        <w:tc>
          <w:tcPr>
            <w:tcW w:w="0" w:type="auto"/>
            <w:tcBorders>
              <w:top w:val="nil"/>
              <w:left w:val="nil"/>
              <w:bottom w:val="single" w:sz="8" w:space="0" w:color="B8CCE4"/>
              <w:right w:val="single" w:sz="8" w:space="0" w:color="B8CCE4"/>
            </w:tcBorders>
          </w:tcPr>
          <w:p w14:paraId="28A1487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25,550</w:t>
            </w:r>
          </w:p>
        </w:tc>
        <w:tc>
          <w:tcPr>
            <w:tcW w:w="0" w:type="auto"/>
            <w:tcBorders>
              <w:top w:val="nil"/>
              <w:left w:val="nil"/>
              <w:bottom w:val="single" w:sz="8" w:space="0" w:color="B8CCE4"/>
              <w:right w:val="single" w:sz="8" w:space="0" w:color="B8CCE4"/>
            </w:tcBorders>
          </w:tcPr>
          <w:p w14:paraId="4E663555"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2,000</w:t>
            </w:r>
          </w:p>
        </w:tc>
        <w:tc>
          <w:tcPr>
            <w:tcW w:w="0" w:type="auto"/>
            <w:tcBorders>
              <w:top w:val="nil"/>
              <w:left w:val="nil"/>
              <w:bottom w:val="single" w:sz="8" w:space="0" w:color="B8CCE4"/>
              <w:right w:val="single" w:sz="8" w:space="0" w:color="B8CCE4"/>
            </w:tcBorders>
          </w:tcPr>
          <w:p w14:paraId="4218D386"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29,726</w:t>
            </w:r>
          </w:p>
        </w:tc>
        <w:tc>
          <w:tcPr>
            <w:tcW w:w="0" w:type="auto"/>
            <w:tcBorders>
              <w:top w:val="nil"/>
              <w:left w:val="nil"/>
              <w:bottom w:val="single" w:sz="8" w:space="0" w:color="B8CCE4"/>
              <w:right w:val="single" w:sz="8" w:space="0" w:color="B8CCE4"/>
            </w:tcBorders>
          </w:tcPr>
          <w:p w14:paraId="4D7786C2"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7,001,958</w:t>
            </w:r>
          </w:p>
        </w:tc>
        <w:tc>
          <w:tcPr>
            <w:tcW w:w="864" w:type="dxa"/>
            <w:tcBorders>
              <w:top w:val="nil"/>
              <w:left w:val="nil"/>
              <w:bottom w:val="single" w:sz="8" w:space="0" w:color="B8CCE4"/>
              <w:right w:val="single" w:sz="8" w:space="0" w:color="B8CCE4"/>
            </w:tcBorders>
          </w:tcPr>
          <w:p w14:paraId="7D799A76"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29,538</w:t>
            </w:r>
          </w:p>
        </w:tc>
        <w:tc>
          <w:tcPr>
            <w:tcW w:w="944" w:type="dxa"/>
            <w:tcBorders>
              <w:top w:val="nil"/>
              <w:left w:val="nil"/>
              <w:bottom w:val="single" w:sz="8" w:space="0" w:color="B8CCE4"/>
              <w:right w:val="single" w:sz="8" w:space="0" w:color="B8CCE4"/>
            </w:tcBorders>
          </w:tcPr>
          <w:p w14:paraId="3D27A6D7"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7,001,688</w:t>
            </w:r>
          </w:p>
        </w:tc>
        <w:tc>
          <w:tcPr>
            <w:tcW w:w="0" w:type="auto"/>
            <w:tcBorders>
              <w:top w:val="nil"/>
              <w:left w:val="nil"/>
              <w:bottom w:val="single" w:sz="8" w:space="0" w:color="B8CCE4"/>
              <w:right w:val="single" w:sz="8" w:space="0" w:color="B8CCE4"/>
            </w:tcBorders>
          </w:tcPr>
          <w:p w14:paraId="35385741"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116%</w:t>
            </w:r>
          </w:p>
        </w:tc>
        <w:tc>
          <w:tcPr>
            <w:tcW w:w="0" w:type="auto"/>
            <w:tcBorders>
              <w:top w:val="nil"/>
              <w:left w:val="nil"/>
              <w:bottom w:val="single" w:sz="8" w:space="0" w:color="B8CCE4"/>
              <w:right w:val="single" w:sz="8" w:space="0" w:color="B8CCE4"/>
            </w:tcBorders>
          </w:tcPr>
          <w:p w14:paraId="4D782796"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350084%</w:t>
            </w:r>
          </w:p>
        </w:tc>
        <w:tc>
          <w:tcPr>
            <w:tcW w:w="0" w:type="auto"/>
            <w:tcBorders>
              <w:top w:val="nil"/>
              <w:left w:val="nil"/>
              <w:bottom w:val="single" w:sz="8" w:space="0" w:color="B8CCE4"/>
              <w:right w:val="single" w:sz="8" w:space="0" w:color="B8CCE4"/>
            </w:tcBorders>
          </w:tcPr>
          <w:p w14:paraId="15939091"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99%</w:t>
            </w:r>
          </w:p>
        </w:tc>
        <w:tc>
          <w:tcPr>
            <w:tcW w:w="0" w:type="auto"/>
            <w:tcBorders>
              <w:top w:val="nil"/>
              <w:left w:val="nil"/>
              <w:bottom w:val="single" w:sz="8" w:space="0" w:color="B8CCE4"/>
              <w:right w:val="single" w:sz="8" w:space="0" w:color="B8CCE4"/>
            </w:tcBorders>
          </w:tcPr>
          <w:p w14:paraId="591DD3CE"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100%</w:t>
            </w:r>
          </w:p>
        </w:tc>
      </w:tr>
      <w:tr w:rsidR="00C156A0" w:rsidRPr="00C156A0" w14:paraId="1247AAC1" w14:textId="77777777" w:rsidTr="00D0642E">
        <w:trPr>
          <w:trHeight w:val="244"/>
          <w:jc w:val="center"/>
        </w:trPr>
        <w:tc>
          <w:tcPr>
            <w:tcW w:w="1999" w:type="dxa"/>
            <w:tcBorders>
              <w:top w:val="nil"/>
              <w:left w:val="single" w:sz="8" w:space="0" w:color="BFBFBF"/>
              <w:bottom w:val="single" w:sz="8" w:space="0" w:color="BFBFBF"/>
              <w:right w:val="single" w:sz="8" w:space="0" w:color="BFBFBF"/>
            </w:tcBorders>
            <w:vAlign w:val="center"/>
            <w:hideMark/>
          </w:tcPr>
          <w:p w14:paraId="63282EE5"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Mbështetje për rrjetet e komunikacionit</w:t>
            </w:r>
          </w:p>
        </w:tc>
        <w:tc>
          <w:tcPr>
            <w:tcW w:w="0" w:type="auto"/>
            <w:tcBorders>
              <w:top w:val="nil"/>
              <w:left w:val="nil"/>
              <w:bottom w:val="single" w:sz="8" w:space="0" w:color="B8CCE4"/>
              <w:right w:val="single" w:sz="8" w:space="0" w:color="B8CCE4"/>
            </w:tcBorders>
          </w:tcPr>
          <w:p w14:paraId="179BF4F7"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55115F2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70,000</w:t>
            </w:r>
          </w:p>
        </w:tc>
        <w:tc>
          <w:tcPr>
            <w:tcW w:w="0" w:type="auto"/>
            <w:tcBorders>
              <w:top w:val="nil"/>
              <w:left w:val="nil"/>
              <w:bottom w:val="single" w:sz="8" w:space="0" w:color="B8CCE4"/>
              <w:right w:val="single" w:sz="8" w:space="0" w:color="B8CCE4"/>
            </w:tcBorders>
          </w:tcPr>
          <w:p w14:paraId="167D2B1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5AEA36B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864" w:type="dxa"/>
            <w:tcBorders>
              <w:top w:val="nil"/>
              <w:left w:val="nil"/>
              <w:bottom w:val="single" w:sz="8" w:space="0" w:color="B8CCE4"/>
              <w:right w:val="single" w:sz="8" w:space="0" w:color="B8CCE4"/>
            </w:tcBorders>
          </w:tcPr>
          <w:p w14:paraId="66410661"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944" w:type="dxa"/>
            <w:tcBorders>
              <w:top w:val="nil"/>
              <w:left w:val="nil"/>
              <w:bottom w:val="single" w:sz="8" w:space="0" w:color="B8CCE4"/>
              <w:right w:val="single" w:sz="8" w:space="0" w:color="B8CCE4"/>
            </w:tcBorders>
          </w:tcPr>
          <w:p w14:paraId="679EAE86"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4D9A2B1D"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2E74C89C"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0%</w:t>
            </w:r>
          </w:p>
        </w:tc>
        <w:tc>
          <w:tcPr>
            <w:tcW w:w="0" w:type="auto"/>
            <w:tcBorders>
              <w:top w:val="nil"/>
              <w:left w:val="nil"/>
              <w:bottom w:val="single" w:sz="8" w:space="0" w:color="B8CCE4"/>
              <w:right w:val="single" w:sz="8" w:space="0" w:color="B8CCE4"/>
            </w:tcBorders>
          </w:tcPr>
          <w:p w14:paraId="5140D0AD" w14:textId="77777777" w:rsidR="00C156A0" w:rsidRPr="00C156A0" w:rsidRDefault="00C156A0" w:rsidP="00C156A0">
            <w:pPr>
              <w:spacing w:before="0" w:line="240" w:lineRule="auto"/>
              <w:jc w:val="center"/>
              <w:rPr>
                <w:rFonts w:eastAsia="Batang"/>
                <w:noProof/>
                <w:color w:val="000000"/>
                <w:sz w:val="16"/>
                <w:szCs w:val="16"/>
                <w:lang w:val="sq-AL"/>
              </w:rPr>
            </w:pPr>
          </w:p>
        </w:tc>
        <w:tc>
          <w:tcPr>
            <w:tcW w:w="0" w:type="auto"/>
            <w:tcBorders>
              <w:top w:val="nil"/>
              <w:left w:val="nil"/>
              <w:bottom w:val="single" w:sz="8" w:space="0" w:color="B8CCE4"/>
              <w:right w:val="single" w:sz="8" w:space="0" w:color="B8CCE4"/>
            </w:tcBorders>
          </w:tcPr>
          <w:p w14:paraId="3E926C0B" w14:textId="77777777" w:rsidR="00C156A0" w:rsidRPr="00C156A0" w:rsidRDefault="00C156A0" w:rsidP="00C156A0">
            <w:pPr>
              <w:spacing w:before="0" w:line="240" w:lineRule="auto"/>
              <w:jc w:val="center"/>
              <w:rPr>
                <w:rFonts w:eastAsia="Batang"/>
                <w:noProof/>
                <w:color w:val="000000"/>
                <w:sz w:val="16"/>
                <w:szCs w:val="16"/>
                <w:lang w:val="sq-AL"/>
              </w:rPr>
            </w:pPr>
          </w:p>
        </w:tc>
      </w:tr>
      <w:tr w:rsidR="00C156A0" w:rsidRPr="00C156A0" w14:paraId="1170E1FE" w14:textId="77777777" w:rsidTr="00D0642E">
        <w:trPr>
          <w:trHeight w:val="143"/>
          <w:jc w:val="center"/>
        </w:trPr>
        <w:tc>
          <w:tcPr>
            <w:tcW w:w="1999" w:type="dxa"/>
            <w:tcBorders>
              <w:top w:val="nil"/>
              <w:left w:val="single" w:sz="8" w:space="0" w:color="BFBFBF"/>
              <w:bottom w:val="single" w:sz="8" w:space="0" w:color="BFBFBF"/>
              <w:right w:val="single" w:sz="8" w:space="0" w:color="BFBFBF"/>
            </w:tcBorders>
            <w:vAlign w:val="center"/>
            <w:hideMark/>
          </w:tcPr>
          <w:p w14:paraId="626E6FE6"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 xml:space="preserve">Planifikimi Urban </w:t>
            </w:r>
          </w:p>
        </w:tc>
        <w:tc>
          <w:tcPr>
            <w:tcW w:w="0" w:type="auto"/>
            <w:tcBorders>
              <w:top w:val="nil"/>
              <w:left w:val="nil"/>
              <w:bottom w:val="single" w:sz="8" w:space="0" w:color="B8CCE4"/>
              <w:right w:val="single" w:sz="8" w:space="0" w:color="B8CCE4"/>
            </w:tcBorders>
          </w:tcPr>
          <w:p w14:paraId="41C7B6D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97,973</w:t>
            </w:r>
          </w:p>
        </w:tc>
        <w:tc>
          <w:tcPr>
            <w:tcW w:w="0" w:type="auto"/>
            <w:tcBorders>
              <w:top w:val="nil"/>
              <w:left w:val="nil"/>
              <w:bottom w:val="single" w:sz="8" w:space="0" w:color="B8CCE4"/>
              <w:right w:val="single" w:sz="8" w:space="0" w:color="B8CCE4"/>
            </w:tcBorders>
          </w:tcPr>
          <w:p w14:paraId="25BDA88D"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104,000</w:t>
            </w:r>
          </w:p>
        </w:tc>
        <w:tc>
          <w:tcPr>
            <w:tcW w:w="0" w:type="auto"/>
            <w:tcBorders>
              <w:top w:val="nil"/>
              <w:left w:val="nil"/>
              <w:bottom w:val="single" w:sz="8" w:space="0" w:color="B8CCE4"/>
              <w:right w:val="single" w:sz="8" w:space="0" w:color="B8CCE4"/>
            </w:tcBorders>
          </w:tcPr>
          <w:p w14:paraId="77F7F246"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87,094</w:t>
            </w:r>
          </w:p>
        </w:tc>
        <w:tc>
          <w:tcPr>
            <w:tcW w:w="0" w:type="auto"/>
            <w:tcBorders>
              <w:top w:val="nil"/>
              <w:left w:val="nil"/>
              <w:bottom w:val="single" w:sz="8" w:space="0" w:color="B8CCE4"/>
              <w:right w:val="single" w:sz="8" w:space="0" w:color="B8CCE4"/>
            </w:tcBorders>
          </w:tcPr>
          <w:p w14:paraId="7E166B7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52,058</w:t>
            </w:r>
          </w:p>
        </w:tc>
        <w:tc>
          <w:tcPr>
            <w:tcW w:w="864" w:type="dxa"/>
            <w:tcBorders>
              <w:top w:val="nil"/>
              <w:left w:val="nil"/>
              <w:bottom w:val="single" w:sz="8" w:space="0" w:color="B8CCE4"/>
              <w:right w:val="single" w:sz="8" w:space="0" w:color="B8CCE4"/>
            </w:tcBorders>
          </w:tcPr>
          <w:p w14:paraId="3D251D1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82,390</w:t>
            </w:r>
          </w:p>
        </w:tc>
        <w:tc>
          <w:tcPr>
            <w:tcW w:w="944" w:type="dxa"/>
            <w:tcBorders>
              <w:top w:val="nil"/>
              <w:left w:val="nil"/>
              <w:bottom w:val="single" w:sz="8" w:space="0" w:color="B8CCE4"/>
              <w:right w:val="single" w:sz="8" w:space="0" w:color="B8CCE4"/>
            </w:tcBorders>
          </w:tcPr>
          <w:p w14:paraId="53D95D4F"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39,083</w:t>
            </w:r>
          </w:p>
        </w:tc>
        <w:tc>
          <w:tcPr>
            <w:tcW w:w="0" w:type="auto"/>
            <w:tcBorders>
              <w:top w:val="nil"/>
              <w:left w:val="nil"/>
              <w:bottom w:val="single" w:sz="8" w:space="0" w:color="B8CCE4"/>
              <w:right w:val="single" w:sz="8" w:space="0" w:color="B8CCE4"/>
            </w:tcBorders>
          </w:tcPr>
          <w:p w14:paraId="54DD7FC2"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84%</w:t>
            </w:r>
          </w:p>
        </w:tc>
        <w:tc>
          <w:tcPr>
            <w:tcW w:w="0" w:type="auto"/>
            <w:tcBorders>
              <w:top w:val="nil"/>
              <w:left w:val="nil"/>
              <w:bottom w:val="single" w:sz="8" w:space="0" w:color="B8CCE4"/>
              <w:right w:val="single" w:sz="8" w:space="0" w:color="B8CCE4"/>
            </w:tcBorders>
          </w:tcPr>
          <w:p w14:paraId="507B0A12"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38%</w:t>
            </w:r>
          </w:p>
        </w:tc>
        <w:tc>
          <w:tcPr>
            <w:tcW w:w="0" w:type="auto"/>
            <w:tcBorders>
              <w:top w:val="nil"/>
              <w:left w:val="nil"/>
              <w:bottom w:val="single" w:sz="8" w:space="0" w:color="B8CCE4"/>
              <w:right w:val="single" w:sz="8" w:space="0" w:color="B8CCE4"/>
            </w:tcBorders>
          </w:tcPr>
          <w:p w14:paraId="1B3E3127"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95%</w:t>
            </w:r>
          </w:p>
        </w:tc>
        <w:tc>
          <w:tcPr>
            <w:tcW w:w="0" w:type="auto"/>
            <w:tcBorders>
              <w:top w:val="nil"/>
              <w:left w:val="nil"/>
              <w:bottom w:val="single" w:sz="8" w:space="0" w:color="B8CCE4"/>
              <w:right w:val="single" w:sz="8" w:space="0" w:color="B8CCE4"/>
            </w:tcBorders>
          </w:tcPr>
          <w:p w14:paraId="3BF06C20"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75%</w:t>
            </w:r>
          </w:p>
        </w:tc>
      </w:tr>
      <w:tr w:rsidR="00C156A0" w:rsidRPr="00C156A0" w14:paraId="2271EC9F" w14:textId="77777777" w:rsidTr="00D0642E">
        <w:trPr>
          <w:trHeight w:val="193"/>
          <w:jc w:val="center"/>
        </w:trPr>
        <w:tc>
          <w:tcPr>
            <w:tcW w:w="1999" w:type="dxa"/>
            <w:tcBorders>
              <w:top w:val="nil"/>
              <w:left w:val="single" w:sz="8" w:space="0" w:color="BFBFBF"/>
              <w:bottom w:val="single" w:sz="8" w:space="0" w:color="BFBFBF"/>
              <w:right w:val="single" w:sz="8" w:space="0" w:color="BFBFBF"/>
            </w:tcBorders>
            <w:vAlign w:val="center"/>
            <w:hideMark/>
          </w:tcPr>
          <w:p w14:paraId="329A8300" w14:textId="77777777" w:rsidR="00C156A0" w:rsidRPr="00C156A0" w:rsidRDefault="00C156A0" w:rsidP="00327853">
            <w:pPr>
              <w:spacing w:before="0" w:line="240" w:lineRule="auto"/>
              <w:jc w:val="left"/>
              <w:rPr>
                <w:rFonts w:cs="Calibri"/>
                <w:b/>
                <w:bCs/>
                <w:noProof/>
                <w:sz w:val="16"/>
                <w:szCs w:val="16"/>
                <w:lang w:val="sq-AL"/>
              </w:rPr>
            </w:pPr>
            <w:r w:rsidRPr="00C156A0">
              <w:rPr>
                <w:rFonts w:cs="Calibri"/>
                <w:b/>
                <w:bCs/>
                <w:noProof/>
                <w:sz w:val="16"/>
                <w:szCs w:val="16"/>
                <w:lang w:val="sq-AL"/>
              </w:rPr>
              <w:t>Furnizimi me uje dhe kanalizime</w:t>
            </w:r>
          </w:p>
        </w:tc>
        <w:tc>
          <w:tcPr>
            <w:tcW w:w="0" w:type="auto"/>
            <w:tcBorders>
              <w:top w:val="nil"/>
              <w:left w:val="nil"/>
              <w:bottom w:val="single" w:sz="8" w:space="0" w:color="B8CCE4"/>
              <w:right w:val="single" w:sz="8" w:space="0" w:color="B8CCE4"/>
            </w:tcBorders>
          </w:tcPr>
          <w:p w14:paraId="6CA0538A"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620,470</w:t>
            </w:r>
          </w:p>
        </w:tc>
        <w:tc>
          <w:tcPr>
            <w:tcW w:w="0" w:type="auto"/>
            <w:tcBorders>
              <w:top w:val="nil"/>
              <w:left w:val="nil"/>
              <w:bottom w:val="single" w:sz="8" w:space="0" w:color="B8CCE4"/>
              <w:right w:val="single" w:sz="8" w:space="0" w:color="B8CCE4"/>
            </w:tcBorders>
          </w:tcPr>
          <w:p w14:paraId="5DB1CC58"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13,539,610</w:t>
            </w:r>
          </w:p>
        </w:tc>
        <w:tc>
          <w:tcPr>
            <w:tcW w:w="0" w:type="auto"/>
            <w:tcBorders>
              <w:top w:val="nil"/>
              <w:left w:val="nil"/>
              <w:bottom w:val="single" w:sz="8" w:space="0" w:color="B8CCE4"/>
              <w:right w:val="single" w:sz="8" w:space="0" w:color="B8CCE4"/>
            </w:tcBorders>
          </w:tcPr>
          <w:p w14:paraId="08F9258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566,703</w:t>
            </w:r>
          </w:p>
        </w:tc>
        <w:tc>
          <w:tcPr>
            <w:tcW w:w="0" w:type="auto"/>
            <w:tcBorders>
              <w:top w:val="nil"/>
              <w:left w:val="nil"/>
              <w:bottom w:val="single" w:sz="8" w:space="0" w:color="B8CCE4"/>
              <w:right w:val="single" w:sz="8" w:space="0" w:color="B8CCE4"/>
            </w:tcBorders>
          </w:tcPr>
          <w:p w14:paraId="5920C863"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14,463,669</w:t>
            </w:r>
          </w:p>
        </w:tc>
        <w:tc>
          <w:tcPr>
            <w:tcW w:w="864" w:type="dxa"/>
            <w:tcBorders>
              <w:top w:val="nil"/>
              <w:left w:val="nil"/>
              <w:bottom w:val="single" w:sz="8" w:space="0" w:color="B8CCE4"/>
              <w:right w:val="single" w:sz="8" w:space="0" w:color="B8CCE4"/>
            </w:tcBorders>
          </w:tcPr>
          <w:p w14:paraId="59B467D6"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553,211</w:t>
            </w:r>
          </w:p>
        </w:tc>
        <w:tc>
          <w:tcPr>
            <w:tcW w:w="944" w:type="dxa"/>
            <w:tcBorders>
              <w:top w:val="nil"/>
              <w:left w:val="nil"/>
              <w:bottom w:val="single" w:sz="8" w:space="0" w:color="B8CCE4"/>
              <w:right w:val="single" w:sz="8" w:space="0" w:color="B8CCE4"/>
            </w:tcBorders>
          </w:tcPr>
          <w:p w14:paraId="79006FD4" w14:textId="77777777" w:rsidR="00C156A0" w:rsidRPr="00C156A0" w:rsidRDefault="00C156A0" w:rsidP="00C156A0">
            <w:pPr>
              <w:spacing w:before="0" w:line="240" w:lineRule="auto"/>
              <w:jc w:val="right"/>
              <w:rPr>
                <w:rFonts w:eastAsia="Batang"/>
                <w:noProof/>
                <w:color w:val="000000"/>
                <w:sz w:val="16"/>
                <w:szCs w:val="16"/>
                <w:lang w:val="sq-AL"/>
              </w:rPr>
            </w:pPr>
            <w:r w:rsidRPr="00C156A0">
              <w:rPr>
                <w:rFonts w:eastAsia="Batang"/>
                <w:noProof/>
                <w:color w:val="000000"/>
                <w:sz w:val="16"/>
                <w:szCs w:val="16"/>
                <w:lang w:val="sq-AL"/>
              </w:rPr>
              <w:t>14,765,229</w:t>
            </w:r>
          </w:p>
        </w:tc>
        <w:tc>
          <w:tcPr>
            <w:tcW w:w="0" w:type="auto"/>
            <w:tcBorders>
              <w:top w:val="nil"/>
              <w:left w:val="nil"/>
              <w:bottom w:val="single" w:sz="8" w:space="0" w:color="B8CCE4"/>
              <w:right w:val="single" w:sz="8" w:space="0" w:color="B8CCE4"/>
            </w:tcBorders>
          </w:tcPr>
          <w:p w14:paraId="20CF1838"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89%</w:t>
            </w:r>
          </w:p>
        </w:tc>
        <w:tc>
          <w:tcPr>
            <w:tcW w:w="0" w:type="auto"/>
            <w:tcBorders>
              <w:top w:val="nil"/>
              <w:left w:val="nil"/>
              <w:bottom w:val="single" w:sz="8" w:space="0" w:color="B8CCE4"/>
              <w:right w:val="single" w:sz="8" w:space="0" w:color="B8CCE4"/>
            </w:tcBorders>
          </w:tcPr>
          <w:p w14:paraId="43E0EE17"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109%</w:t>
            </w:r>
          </w:p>
        </w:tc>
        <w:tc>
          <w:tcPr>
            <w:tcW w:w="0" w:type="auto"/>
            <w:tcBorders>
              <w:top w:val="nil"/>
              <w:left w:val="nil"/>
              <w:bottom w:val="single" w:sz="8" w:space="0" w:color="B8CCE4"/>
              <w:right w:val="single" w:sz="8" w:space="0" w:color="B8CCE4"/>
            </w:tcBorders>
          </w:tcPr>
          <w:p w14:paraId="271AC8B7"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98%</w:t>
            </w:r>
          </w:p>
        </w:tc>
        <w:tc>
          <w:tcPr>
            <w:tcW w:w="0" w:type="auto"/>
            <w:tcBorders>
              <w:top w:val="nil"/>
              <w:left w:val="nil"/>
              <w:bottom w:val="single" w:sz="8" w:space="0" w:color="B8CCE4"/>
              <w:right w:val="single" w:sz="8" w:space="0" w:color="B8CCE4"/>
            </w:tcBorders>
          </w:tcPr>
          <w:p w14:paraId="4992DE96" w14:textId="77777777" w:rsidR="00C156A0" w:rsidRPr="00C156A0" w:rsidRDefault="00C156A0" w:rsidP="00C156A0">
            <w:pPr>
              <w:spacing w:before="0" w:line="240" w:lineRule="auto"/>
              <w:jc w:val="center"/>
              <w:rPr>
                <w:rFonts w:eastAsia="Batang"/>
                <w:noProof/>
                <w:color w:val="000000"/>
                <w:sz w:val="16"/>
                <w:szCs w:val="16"/>
                <w:lang w:val="sq-AL"/>
              </w:rPr>
            </w:pPr>
            <w:r w:rsidRPr="00C156A0">
              <w:rPr>
                <w:rFonts w:eastAsia="Batang"/>
                <w:noProof/>
                <w:color w:val="000000"/>
                <w:sz w:val="16"/>
                <w:szCs w:val="16"/>
                <w:lang w:val="sq-AL"/>
              </w:rPr>
              <w:t>102%</w:t>
            </w:r>
          </w:p>
        </w:tc>
      </w:tr>
      <w:tr w:rsidR="00D0642E" w:rsidRPr="00C156A0" w14:paraId="51F00CF9" w14:textId="77777777" w:rsidTr="00D0642E">
        <w:trPr>
          <w:trHeight w:val="167"/>
          <w:jc w:val="center"/>
        </w:trPr>
        <w:tc>
          <w:tcPr>
            <w:tcW w:w="1999" w:type="dxa"/>
            <w:tcBorders>
              <w:top w:val="nil"/>
              <w:left w:val="nil"/>
              <w:bottom w:val="single" w:sz="8" w:space="0" w:color="B8CCE4"/>
              <w:right w:val="single" w:sz="8" w:space="0" w:color="B8CCE4"/>
            </w:tcBorders>
            <w:shd w:val="clear" w:color="000000" w:fill="366092"/>
            <w:vAlign w:val="center"/>
            <w:hideMark/>
          </w:tcPr>
          <w:p w14:paraId="078F5839"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tcPr>
          <w:p w14:paraId="2138289F"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6,706,047</w:t>
            </w:r>
          </w:p>
        </w:tc>
        <w:tc>
          <w:tcPr>
            <w:tcW w:w="0" w:type="auto"/>
            <w:tcBorders>
              <w:top w:val="nil"/>
              <w:left w:val="nil"/>
              <w:bottom w:val="single" w:sz="8" w:space="0" w:color="B8CCE4"/>
              <w:right w:val="single" w:sz="8" w:space="0" w:color="B8CCE4"/>
            </w:tcBorders>
            <w:shd w:val="clear" w:color="000000" w:fill="366092"/>
          </w:tcPr>
          <w:p w14:paraId="027B3228"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67,326,334</w:t>
            </w:r>
          </w:p>
        </w:tc>
        <w:tc>
          <w:tcPr>
            <w:tcW w:w="0" w:type="auto"/>
            <w:tcBorders>
              <w:top w:val="nil"/>
              <w:left w:val="nil"/>
              <w:bottom w:val="nil"/>
              <w:right w:val="single" w:sz="8" w:space="0" w:color="B8CCE4"/>
            </w:tcBorders>
            <w:shd w:val="clear" w:color="000000" w:fill="366092"/>
          </w:tcPr>
          <w:p w14:paraId="4B3FEC91"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8,075,268</w:t>
            </w:r>
          </w:p>
        </w:tc>
        <w:tc>
          <w:tcPr>
            <w:tcW w:w="0" w:type="auto"/>
            <w:tcBorders>
              <w:top w:val="nil"/>
              <w:left w:val="nil"/>
              <w:bottom w:val="nil"/>
              <w:right w:val="single" w:sz="8" w:space="0" w:color="B8CCE4"/>
            </w:tcBorders>
            <w:shd w:val="clear" w:color="000000" w:fill="366092"/>
          </w:tcPr>
          <w:p w14:paraId="6E634DD1"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66,471,724</w:t>
            </w:r>
          </w:p>
        </w:tc>
        <w:tc>
          <w:tcPr>
            <w:tcW w:w="864" w:type="dxa"/>
            <w:tcBorders>
              <w:top w:val="nil"/>
              <w:left w:val="nil"/>
              <w:bottom w:val="nil"/>
              <w:right w:val="single" w:sz="8" w:space="0" w:color="B8CCE4"/>
            </w:tcBorders>
            <w:shd w:val="clear" w:color="000000" w:fill="366092"/>
          </w:tcPr>
          <w:p w14:paraId="72AD4548"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7,908,580</w:t>
            </w:r>
          </w:p>
        </w:tc>
        <w:tc>
          <w:tcPr>
            <w:tcW w:w="944" w:type="dxa"/>
            <w:tcBorders>
              <w:top w:val="nil"/>
              <w:left w:val="nil"/>
              <w:bottom w:val="nil"/>
              <w:right w:val="single" w:sz="8" w:space="0" w:color="B8CCE4"/>
            </w:tcBorders>
            <w:shd w:val="clear" w:color="000000" w:fill="366092"/>
          </w:tcPr>
          <w:p w14:paraId="7C47CCD2"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63,550,759</w:t>
            </w:r>
          </w:p>
        </w:tc>
        <w:tc>
          <w:tcPr>
            <w:tcW w:w="0" w:type="auto"/>
            <w:tcBorders>
              <w:top w:val="nil"/>
              <w:left w:val="nil"/>
              <w:bottom w:val="single" w:sz="8" w:space="0" w:color="B8CCE4"/>
              <w:right w:val="single" w:sz="8" w:space="0" w:color="B8CCE4"/>
            </w:tcBorders>
            <w:shd w:val="clear" w:color="000000" w:fill="366092"/>
          </w:tcPr>
          <w:p w14:paraId="69898341"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118%</w:t>
            </w:r>
          </w:p>
        </w:tc>
        <w:tc>
          <w:tcPr>
            <w:tcW w:w="0" w:type="auto"/>
            <w:tcBorders>
              <w:top w:val="nil"/>
              <w:left w:val="nil"/>
              <w:bottom w:val="single" w:sz="8" w:space="0" w:color="B8CCE4"/>
              <w:right w:val="single" w:sz="8" w:space="0" w:color="B8CCE4"/>
            </w:tcBorders>
            <w:shd w:val="clear" w:color="000000" w:fill="366092"/>
          </w:tcPr>
          <w:p w14:paraId="5B7D5544"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94%</w:t>
            </w:r>
          </w:p>
        </w:tc>
        <w:tc>
          <w:tcPr>
            <w:tcW w:w="0" w:type="auto"/>
            <w:tcBorders>
              <w:top w:val="nil"/>
              <w:left w:val="nil"/>
              <w:bottom w:val="single" w:sz="8" w:space="0" w:color="B8CCE4"/>
              <w:right w:val="single" w:sz="8" w:space="0" w:color="B8CCE4"/>
            </w:tcBorders>
            <w:shd w:val="clear" w:color="000000" w:fill="366092"/>
          </w:tcPr>
          <w:p w14:paraId="723CE6D2"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98%</w:t>
            </w:r>
          </w:p>
        </w:tc>
        <w:tc>
          <w:tcPr>
            <w:tcW w:w="0" w:type="auto"/>
            <w:tcBorders>
              <w:top w:val="nil"/>
              <w:left w:val="nil"/>
              <w:bottom w:val="single" w:sz="8" w:space="0" w:color="B8CCE4"/>
              <w:right w:val="single" w:sz="8" w:space="0" w:color="B8CCE4"/>
            </w:tcBorders>
            <w:shd w:val="clear" w:color="000000" w:fill="366092"/>
          </w:tcPr>
          <w:p w14:paraId="256FED51"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96%</w:t>
            </w:r>
          </w:p>
        </w:tc>
      </w:tr>
      <w:tr w:rsidR="00C156A0" w:rsidRPr="00C156A0" w14:paraId="3E17E3A3" w14:textId="77777777" w:rsidTr="00D0642E">
        <w:trPr>
          <w:trHeight w:val="79"/>
          <w:jc w:val="center"/>
        </w:trPr>
        <w:tc>
          <w:tcPr>
            <w:tcW w:w="1999" w:type="dxa"/>
            <w:tcBorders>
              <w:top w:val="nil"/>
              <w:left w:val="single" w:sz="8" w:space="0" w:color="B8CCE4"/>
              <w:bottom w:val="single" w:sz="8" w:space="0" w:color="B8CCE4"/>
              <w:right w:val="single" w:sz="8" w:space="0" w:color="B8CCE4"/>
            </w:tcBorders>
            <w:shd w:val="clear" w:color="000000" w:fill="365F91"/>
            <w:vAlign w:val="center"/>
            <w:hideMark/>
          </w:tcPr>
          <w:p w14:paraId="012E906A"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Totali</w:t>
            </w:r>
          </w:p>
        </w:tc>
        <w:tc>
          <w:tcPr>
            <w:tcW w:w="0" w:type="auto"/>
            <w:gridSpan w:val="2"/>
            <w:tcBorders>
              <w:top w:val="single" w:sz="8" w:space="0" w:color="BFBFBF"/>
              <w:left w:val="nil"/>
              <w:bottom w:val="single" w:sz="8" w:space="0" w:color="B8CCE4"/>
              <w:right w:val="single" w:sz="8" w:space="0" w:color="B8CCE4"/>
            </w:tcBorders>
            <w:shd w:val="clear" w:color="000000" w:fill="365F91"/>
          </w:tcPr>
          <w:p w14:paraId="7266F1D2"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74,032,381</w:t>
            </w:r>
          </w:p>
        </w:tc>
        <w:tc>
          <w:tcPr>
            <w:tcW w:w="0" w:type="auto"/>
            <w:gridSpan w:val="2"/>
            <w:tcBorders>
              <w:top w:val="single" w:sz="8" w:space="0" w:color="BFBFBF"/>
              <w:left w:val="nil"/>
              <w:bottom w:val="single" w:sz="8" w:space="0" w:color="B8CCE4"/>
              <w:right w:val="single" w:sz="8" w:space="0" w:color="B8CCE4"/>
            </w:tcBorders>
            <w:shd w:val="clear" w:color="000000" w:fill="365F91"/>
          </w:tcPr>
          <w:p w14:paraId="7257F1C9"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74,546,992</w:t>
            </w:r>
          </w:p>
        </w:tc>
        <w:tc>
          <w:tcPr>
            <w:tcW w:w="0" w:type="auto"/>
            <w:gridSpan w:val="2"/>
            <w:tcBorders>
              <w:top w:val="single" w:sz="8" w:space="0" w:color="BFBFBF"/>
              <w:left w:val="nil"/>
              <w:bottom w:val="single" w:sz="8" w:space="0" w:color="B8CCE4"/>
              <w:right w:val="single" w:sz="8" w:space="0" w:color="B8CCE4"/>
            </w:tcBorders>
            <w:shd w:val="clear" w:color="000000" w:fill="365F91"/>
          </w:tcPr>
          <w:p w14:paraId="32E39200"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71,459,339</w:t>
            </w:r>
          </w:p>
        </w:tc>
        <w:tc>
          <w:tcPr>
            <w:tcW w:w="0" w:type="auto"/>
            <w:gridSpan w:val="2"/>
            <w:tcBorders>
              <w:top w:val="single" w:sz="8" w:space="0" w:color="BFBFBF"/>
              <w:left w:val="nil"/>
              <w:bottom w:val="single" w:sz="8" w:space="0" w:color="B8CCE4"/>
              <w:right w:val="single" w:sz="8" w:space="0" w:color="B8CCE4"/>
            </w:tcBorders>
            <w:shd w:val="clear" w:color="000000" w:fill="365F91"/>
          </w:tcPr>
          <w:p w14:paraId="5F64C5B7"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97%</w:t>
            </w:r>
          </w:p>
        </w:tc>
        <w:tc>
          <w:tcPr>
            <w:tcW w:w="0" w:type="auto"/>
            <w:gridSpan w:val="2"/>
            <w:tcBorders>
              <w:top w:val="single" w:sz="8" w:space="0" w:color="BFBFBF"/>
              <w:left w:val="nil"/>
              <w:bottom w:val="single" w:sz="8" w:space="0" w:color="B8CCE4"/>
              <w:right w:val="single" w:sz="8" w:space="0" w:color="B8CCE4"/>
            </w:tcBorders>
            <w:shd w:val="clear" w:color="000000" w:fill="365F91"/>
          </w:tcPr>
          <w:p w14:paraId="3801F4C4" w14:textId="77777777" w:rsidR="00C156A0" w:rsidRPr="00C156A0" w:rsidRDefault="00C156A0" w:rsidP="00C156A0">
            <w:pPr>
              <w:spacing w:before="0" w:line="240" w:lineRule="auto"/>
              <w:jc w:val="center"/>
              <w:rPr>
                <w:rFonts w:eastAsia="Batang"/>
                <w:b/>
                <w:bCs/>
                <w:noProof/>
                <w:color w:val="FFFFFF"/>
                <w:sz w:val="16"/>
                <w:szCs w:val="16"/>
                <w:lang w:val="sq-AL"/>
              </w:rPr>
            </w:pPr>
            <w:r w:rsidRPr="00C156A0">
              <w:rPr>
                <w:rFonts w:eastAsia="Batang"/>
                <w:b/>
                <w:bCs/>
                <w:noProof/>
                <w:color w:val="FFFFFF"/>
                <w:sz w:val="16"/>
                <w:szCs w:val="16"/>
                <w:lang w:val="sq-AL"/>
              </w:rPr>
              <w:t>96%</w:t>
            </w:r>
          </w:p>
        </w:tc>
      </w:tr>
    </w:tbl>
    <w:p w14:paraId="3584B54A" w14:textId="77777777" w:rsidR="00C156A0" w:rsidRPr="00C156A0" w:rsidRDefault="00C156A0" w:rsidP="00C156A0">
      <w:pPr>
        <w:rPr>
          <w:rFonts w:cs="Calibri"/>
          <w:b/>
          <w:bCs/>
          <w:i/>
          <w:iCs/>
          <w:noProof/>
          <w:sz w:val="2"/>
          <w:lang w:val="sq-AL"/>
        </w:rPr>
      </w:pPr>
    </w:p>
    <w:p w14:paraId="3F2B9FE4" w14:textId="11161C34" w:rsidR="00C156A0" w:rsidRPr="00C156A0" w:rsidRDefault="00C156A0" w:rsidP="00C156A0">
      <w:pPr>
        <w:spacing w:line="240" w:lineRule="auto"/>
        <w:rPr>
          <w:rFonts w:cs="Calibri"/>
          <w:noProof/>
          <w:color w:val="000000"/>
          <w:spacing w:val="11"/>
          <w:szCs w:val="22"/>
          <w:lang w:val="sq-AL"/>
        </w:rPr>
      </w:pPr>
      <w:r w:rsidRPr="00C156A0">
        <w:rPr>
          <w:rFonts w:cs="Calibri"/>
          <w:noProof/>
          <w:spacing w:val="-2"/>
          <w:szCs w:val="22"/>
          <w:lang w:val="sq-AL"/>
        </w:rPr>
        <w:t>B</w:t>
      </w:r>
      <w:r w:rsidRPr="00C156A0">
        <w:rPr>
          <w:rFonts w:cs="Calibri"/>
          <w:noProof/>
          <w:szCs w:val="22"/>
          <w:lang w:val="sq-AL"/>
        </w:rPr>
        <w:t>u</w:t>
      </w:r>
      <w:r w:rsidRPr="00C156A0">
        <w:rPr>
          <w:rFonts w:cs="Calibri"/>
          <w:noProof/>
          <w:spacing w:val="2"/>
          <w:szCs w:val="22"/>
          <w:lang w:val="sq-AL"/>
        </w:rPr>
        <w:t>x</w:t>
      </w:r>
      <w:r w:rsidRPr="00C156A0">
        <w:rPr>
          <w:rFonts w:cs="Calibri"/>
          <w:noProof/>
          <w:szCs w:val="22"/>
          <w:lang w:val="sq-AL"/>
        </w:rPr>
        <w:t>h</w:t>
      </w:r>
      <w:r w:rsidRPr="00C156A0">
        <w:rPr>
          <w:rFonts w:cs="Calibri"/>
          <w:noProof/>
          <w:spacing w:val="-1"/>
          <w:szCs w:val="22"/>
          <w:lang w:val="sq-AL"/>
        </w:rPr>
        <w:t>e</w:t>
      </w:r>
      <w:r w:rsidRPr="00C156A0">
        <w:rPr>
          <w:rFonts w:cs="Calibri"/>
          <w:noProof/>
          <w:szCs w:val="22"/>
          <w:lang w:val="sq-AL"/>
        </w:rPr>
        <w:t xml:space="preserve">ti vjetor fillestar i Ministrisë së Infrastrukturës dhe Energjisë fillestar u rishikua në rritje gjatë vitit 2025 prej rreth 1% nëpërmjet akteve normative për rishikimin e buxhetit, duke arritur në 74.5 </w:t>
      </w:r>
      <w:r w:rsidR="0056260B">
        <w:rPr>
          <w:rFonts w:cs="Calibri"/>
          <w:noProof/>
          <w:szCs w:val="22"/>
          <w:lang w:val="sq-AL"/>
        </w:rPr>
        <w:t>miliardë</w:t>
      </w:r>
      <w:r w:rsidRPr="00C156A0">
        <w:rPr>
          <w:rFonts w:cs="Calibri"/>
          <w:noProof/>
          <w:szCs w:val="22"/>
          <w:lang w:val="sq-AL"/>
        </w:rPr>
        <w:t xml:space="preserve"> LEK, nga të cilat u realizuan 71.5 </w:t>
      </w:r>
      <w:r w:rsidR="0056260B">
        <w:rPr>
          <w:rFonts w:cs="Calibri"/>
          <w:noProof/>
          <w:szCs w:val="22"/>
          <w:lang w:val="sq-AL"/>
        </w:rPr>
        <w:t>miliardë</w:t>
      </w:r>
      <w:r w:rsidRPr="00C156A0">
        <w:rPr>
          <w:rFonts w:cs="Calibri"/>
          <w:noProof/>
          <w:szCs w:val="22"/>
          <w:lang w:val="sq-AL"/>
        </w:rPr>
        <w:t xml:space="preserve"> LEK, ose 96 % e planit të rishikuar. </w:t>
      </w:r>
    </w:p>
    <w:p w14:paraId="741B5340" w14:textId="77777777" w:rsidR="00DF1ED6" w:rsidRDefault="00C156A0" w:rsidP="00C156A0">
      <w:pPr>
        <w:spacing w:before="240" w:line="240" w:lineRule="auto"/>
        <w:rPr>
          <w:rFonts w:cs="Calibri"/>
          <w:szCs w:val="22"/>
          <w:lang w:val="sq-AL"/>
        </w:rPr>
      </w:pPr>
      <w:r w:rsidRPr="00C156A0">
        <w:rPr>
          <w:rFonts w:cs="Calibri"/>
          <w:b/>
          <w:szCs w:val="22"/>
          <w:lang w:val="sq-AL"/>
        </w:rPr>
        <w:t>Në programin “Transporti Rrugor”</w:t>
      </w:r>
      <w:r w:rsidRPr="00C156A0">
        <w:rPr>
          <w:rFonts w:cs="Calibri"/>
          <w:szCs w:val="22"/>
          <w:lang w:val="sq-AL"/>
        </w:rPr>
        <w:t xml:space="preserve"> sipas objektivave të përgjithshme të Strategjisë Sektoriale të Transportit dhe Planit të Veprimit, ka vijuar puna për zhvillimin më tej të sistemit kombëtar të transportit, përmirësimin e qëndrueshmërisë, ndërlidhjes, ndërveprimit dhe integrimin e tij më gjerë, me sistemin ndërkombëtar dhe evropian të transportit dhe rajonin, mbulimin me financim dhe zgjerimin, rritjen e standarteve dhe mirëmbajtjen e rrjetit kombëtar të rrugëve, me synim krijimin e një transporti të qëndrueshëm si dhe përfundimin e akseve të Koridorit VIII dhe të Koridorit Blu, të cilat janë në listën e Projekteve Strategjike Kombëtare. </w:t>
      </w:r>
    </w:p>
    <w:p w14:paraId="0FBD36C9" w14:textId="77777777" w:rsidR="00DF1ED6" w:rsidRDefault="00DF1ED6" w:rsidP="00C156A0">
      <w:pPr>
        <w:spacing w:before="240" w:line="240" w:lineRule="auto"/>
        <w:rPr>
          <w:rFonts w:cs="Calibri"/>
          <w:szCs w:val="22"/>
          <w:lang w:val="sq-AL"/>
        </w:rPr>
      </w:pPr>
    </w:p>
    <w:p w14:paraId="07A1B6AA" w14:textId="5755C040" w:rsidR="00C156A0" w:rsidRPr="00C156A0" w:rsidRDefault="00C156A0" w:rsidP="00C156A0">
      <w:pPr>
        <w:spacing w:before="240" w:line="240" w:lineRule="auto"/>
        <w:rPr>
          <w:rFonts w:cs="Calibri"/>
          <w:szCs w:val="22"/>
          <w:lang w:val="sq-AL"/>
        </w:rPr>
      </w:pPr>
      <w:r w:rsidRPr="00C156A0">
        <w:rPr>
          <w:rFonts w:cs="Calibri"/>
          <w:szCs w:val="22"/>
          <w:lang w:val="sq-AL"/>
        </w:rPr>
        <w:lastRenderedPageBreak/>
        <w:t>Në këtë kuadër, qëllimi i politikës së programit është:</w:t>
      </w:r>
    </w:p>
    <w:p w14:paraId="61E93A26" w14:textId="77777777" w:rsidR="00C156A0" w:rsidRPr="00461F83" w:rsidRDefault="00C156A0">
      <w:pPr>
        <w:numPr>
          <w:ilvl w:val="0"/>
          <w:numId w:val="67"/>
        </w:numPr>
        <w:shd w:val="clear" w:color="auto" w:fill="FFFFFF"/>
        <w:spacing w:before="0" w:after="160" w:line="240" w:lineRule="auto"/>
        <w:contextualSpacing/>
        <w:jc w:val="left"/>
        <w:rPr>
          <w:rFonts w:eastAsia="Cambria" w:cs="Calibri"/>
          <w:i/>
          <w:szCs w:val="22"/>
          <w:lang w:val="sq-AL"/>
        </w:rPr>
      </w:pPr>
      <w:r w:rsidRPr="00461F83">
        <w:rPr>
          <w:rFonts w:eastAsia="Cambria" w:cs="Calibri"/>
          <w:i/>
          <w:szCs w:val="22"/>
          <w:lang w:val="sq-AL"/>
        </w:rPr>
        <w:t xml:space="preserve">Të krijojë parakushtet për zhvillimin e sektorëve të tjerë të ekonomisë; </w:t>
      </w:r>
    </w:p>
    <w:p w14:paraId="4B68ABF4" w14:textId="77777777" w:rsidR="00C156A0" w:rsidRPr="00461F83" w:rsidRDefault="00C156A0">
      <w:pPr>
        <w:numPr>
          <w:ilvl w:val="0"/>
          <w:numId w:val="67"/>
        </w:numPr>
        <w:shd w:val="clear" w:color="auto" w:fill="FFFFFF"/>
        <w:spacing w:before="0" w:after="160" w:line="240" w:lineRule="auto"/>
        <w:contextualSpacing/>
        <w:jc w:val="left"/>
        <w:rPr>
          <w:rFonts w:eastAsia="Cambria" w:cs="Calibri"/>
          <w:i/>
          <w:szCs w:val="22"/>
          <w:lang w:val="sq-AL"/>
        </w:rPr>
      </w:pPr>
      <w:r w:rsidRPr="00461F83">
        <w:rPr>
          <w:rFonts w:eastAsia="Cambria" w:cs="Calibri"/>
          <w:i/>
          <w:szCs w:val="22"/>
          <w:lang w:val="sq-AL"/>
        </w:rPr>
        <w:t>Të rrisë aksesin e mallrave dhe udhëtarëve në tregti dhe ofrimin e shërbimeve;</w:t>
      </w:r>
    </w:p>
    <w:p w14:paraId="09999BEA" w14:textId="77777777" w:rsidR="00C156A0" w:rsidRPr="00461F83" w:rsidRDefault="00C156A0">
      <w:pPr>
        <w:numPr>
          <w:ilvl w:val="0"/>
          <w:numId w:val="67"/>
        </w:numPr>
        <w:shd w:val="clear" w:color="auto" w:fill="FFFFFF"/>
        <w:spacing w:before="0" w:after="160" w:line="240" w:lineRule="auto"/>
        <w:contextualSpacing/>
        <w:jc w:val="left"/>
        <w:rPr>
          <w:rFonts w:eastAsia="Cambria" w:cs="Calibri"/>
          <w:i/>
          <w:szCs w:val="22"/>
          <w:lang w:val="sq-AL"/>
        </w:rPr>
      </w:pPr>
      <w:r w:rsidRPr="00461F83">
        <w:rPr>
          <w:rFonts w:eastAsia="Cambria" w:cs="Calibri"/>
          <w:i/>
          <w:szCs w:val="22"/>
          <w:lang w:val="sq-AL"/>
        </w:rPr>
        <w:t>Të kontribuojë në mënyrë të konsiderueshme në rritjen e përgjithshme dhe zhvillimin e ekonomisë;</w:t>
      </w:r>
    </w:p>
    <w:p w14:paraId="64FF258A" w14:textId="77777777" w:rsidR="00C156A0" w:rsidRPr="00461F83" w:rsidRDefault="00C156A0">
      <w:pPr>
        <w:numPr>
          <w:ilvl w:val="0"/>
          <w:numId w:val="67"/>
        </w:numPr>
        <w:shd w:val="clear" w:color="auto" w:fill="FFFFFF"/>
        <w:spacing w:before="0" w:line="240" w:lineRule="auto"/>
        <w:contextualSpacing/>
        <w:jc w:val="left"/>
        <w:rPr>
          <w:rFonts w:eastAsia="Cambria" w:cs="Calibri"/>
          <w:i/>
          <w:szCs w:val="22"/>
          <w:lang w:val="sq-AL"/>
        </w:rPr>
      </w:pPr>
      <w:r w:rsidRPr="00461F83">
        <w:rPr>
          <w:rFonts w:eastAsia="Cambria" w:cs="Calibri"/>
          <w:i/>
          <w:szCs w:val="22"/>
          <w:lang w:val="sq-AL"/>
        </w:rPr>
        <w:t>Rehabilitimin dhe mirëmbajtjen, për të ruajtur investimet e realizuara në infrastrukturën rrugore.</w:t>
      </w:r>
    </w:p>
    <w:p w14:paraId="2B500E8E" w14:textId="1DCCE3E0" w:rsidR="00C156A0" w:rsidRPr="00C156A0" w:rsidRDefault="00C156A0" w:rsidP="00461F83">
      <w:pPr>
        <w:spacing w:line="240" w:lineRule="auto"/>
        <w:rPr>
          <w:rFonts w:cs="Calibri"/>
          <w:szCs w:val="22"/>
          <w:lang w:val="sq-AL"/>
        </w:rPr>
      </w:pPr>
      <w:r w:rsidRPr="00C156A0">
        <w:rPr>
          <w:rFonts w:cs="Calibri"/>
          <w:szCs w:val="22"/>
          <w:lang w:val="sq-AL"/>
        </w:rPr>
        <w:t>Ky qëllim është realizuar nëpërmjet treguesit të performancës “</w:t>
      </w:r>
      <w:r w:rsidRPr="00C156A0">
        <w:rPr>
          <w:rFonts w:cs="Calibri"/>
          <w:i/>
          <w:iCs/>
          <w:szCs w:val="22"/>
          <w:lang w:val="sq-AL"/>
        </w:rPr>
        <w:t>Rritja e standarteve dhe mirëmbajtja e rrjetit kombëtar rrugor”</w:t>
      </w:r>
      <w:r w:rsidRPr="00C156A0">
        <w:rPr>
          <w:rFonts w:cs="Calibri"/>
          <w:szCs w:val="22"/>
          <w:lang w:val="sq-AL"/>
        </w:rPr>
        <w:t xml:space="preserve">, ku për vitin 2025 janë administruar dhe mirëmbajtur 3,522 km rrugë nëpërmjet 52 kontratave të mirëmbajtjes, me kosto 3.9 </w:t>
      </w:r>
      <w:r w:rsidR="0056260B">
        <w:rPr>
          <w:rFonts w:cs="Calibri"/>
          <w:szCs w:val="22"/>
          <w:lang w:val="sq-AL"/>
        </w:rPr>
        <w:t>miliardë</w:t>
      </w:r>
      <w:r w:rsidRPr="00C156A0">
        <w:rPr>
          <w:rFonts w:cs="Calibri"/>
          <w:szCs w:val="22"/>
          <w:lang w:val="sq-AL"/>
        </w:rPr>
        <w:t xml:space="preserve"> </w:t>
      </w:r>
      <w:r w:rsidR="0056260B">
        <w:rPr>
          <w:rFonts w:cs="Calibri"/>
          <w:szCs w:val="22"/>
          <w:lang w:val="sq-AL"/>
        </w:rPr>
        <w:t>LEK</w:t>
      </w:r>
      <w:r w:rsidRPr="00C156A0">
        <w:rPr>
          <w:rFonts w:cs="Calibri"/>
          <w:szCs w:val="22"/>
          <w:lang w:val="sq-AL"/>
        </w:rPr>
        <w:t xml:space="preserve"> apo  97% e fondeve të planifikuara.  Përkatësisht u relizuan: </w:t>
      </w:r>
    </w:p>
    <w:p w14:paraId="394B14E2" w14:textId="77777777" w:rsidR="00C156A0" w:rsidRPr="00C156A0" w:rsidRDefault="00C156A0">
      <w:pPr>
        <w:numPr>
          <w:ilvl w:val="0"/>
          <w:numId w:val="10"/>
        </w:numPr>
        <w:shd w:val="clear" w:color="auto" w:fill="FFFFFF"/>
        <w:spacing w:before="0" w:after="160" w:line="240" w:lineRule="auto"/>
        <w:contextualSpacing/>
        <w:jc w:val="left"/>
        <w:rPr>
          <w:rFonts w:cs="Calibri"/>
          <w:bCs/>
          <w:i/>
          <w:sz w:val="20"/>
          <w:szCs w:val="20"/>
          <w:lang w:val="sq-AL" w:eastAsia="en-GB"/>
        </w:rPr>
      </w:pPr>
      <w:r w:rsidRPr="00C156A0">
        <w:rPr>
          <w:rFonts w:cs="Calibri"/>
          <w:bCs/>
          <w:szCs w:val="22"/>
          <w:lang w:val="sq-AL" w:eastAsia="en-GB"/>
        </w:rPr>
        <w:t>1</w:t>
      </w:r>
      <w:r w:rsidRPr="00C156A0">
        <w:rPr>
          <w:rFonts w:cs="Calibri"/>
          <w:bCs/>
          <w:i/>
          <w:sz w:val="20"/>
          <w:szCs w:val="20"/>
          <w:lang w:val="sq-AL" w:eastAsia="en-GB"/>
        </w:rPr>
        <w:t>,400 km rrugë primare që mirëmbahen me 4 kontrata mirëmbajtje,</w:t>
      </w:r>
    </w:p>
    <w:p w14:paraId="76D3B65C" w14:textId="03A69142" w:rsidR="00D0642E" w:rsidRPr="00461F83" w:rsidRDefault="00C156A0" w:rsidP="00461F83">
      <w:pPr>
        <w:numPr>
          <w:ilvl w:val="0"/>
          <w:numId w:val="10"/>
        </w:numPr>
        <w:shd w:val="clear" w:color="auto" w:fill="FFFFFF"/>
        <w:spacing w:before="0" w:after="160" w:line="240" w:lineRule="auto"/>
        <w:contextualSpacing/>
        <w:jc w:val="left"/>
        <w:rPr>
          <w:rFonts w:cs="Calibri"/>
          <w:bCs/>
          <w:i/>
          <w:sz w:val="20"/>
          <w:szCs w:val="20"/>
          <w:lang w:val="sq-AL" w:eastAsia="en-GB"/>
        </w:rPr>
      </w:pPr>
      <w:r w:rsidRPr="00C156A0">
        <w:rPr>
          <w:rFonts w:cs="Calibri"/>
          <w:bCs/>
          <w:i/>
          <w:sz w:val="20"/>
          <w:szCs w:val="20"/>
          <w:lang w:val="sq-AL" w:eastAsia="en-GB"/>
        </w:rPr>
        <w:t>2,122 km rrugë sekondare që mirëmbahen me 48 kontrata mirëmbajtje.</w:t>
      </w:r>
    </w:p>
    <w:p w14:paraId="4EE0D2CE" w14:textId="5FCE68C3" w:rsidR="00D0642E" w:rsidRDefault="00C156A0" w:rsidP="00461F83">
      <w:pPr>
        <w:spacing w:before="240" w:line="240" w:lineRule="auto"/>
        <w:rPr>
          <w:rFonts w:cs="Calibri"/>
          <w:szCs w:val="22"/>
          <w:lang w:val="sq-AL"/>
        </w:rPr>
      </w:pPr>
      <w:r w:rsidRPr="00C156A0">
        <w:rPr>
          <w:rFonts w:cs="Calibri"/>
          <w:b/>
          <w:szCs w:val="22"/>
          <w:lang w:val="sq-AL"/>
        </w:rPr>
        <w:t>Për programin “Furnizimi me Ujë dhe Kanalizime</w:t>
      </w:r>
      <w:r w:rsidRPr="00C156A0">
        <w:rPr>
          <w:rFonts w:cs="Calibri"/>
          <w:szCs w:val="22"/>
          <w:lang w:val="sq-AL"/>
        </w:rPr>
        <w:t xml:space="preserve">”, për të mundësuar ofrimin e shërbimit me furnizim me ujë dhe kanalizime për të gjithë popullsinë me cilësi dhe sipas standarteve ndërkombëtare u realizuan shpenzime në masën 15.3 </w:t>
      </w:r>
      <w:r w:rsidR="0056260B">
        <w:rPr>
          <w:rFonts w:cs="Calibri"/>
          <w:szCs w:val="22"/>
          <w:lang w:val="sq-AL"/>
        </w:rPr>
        <w:t>miliardë</w:t>
      </w:r>
      <w:r w:rsidRPr="00C156A0">
        <w:rPr>
          <w:rFonts w:cs="Calibri"/>
          <w:szCs w:val="22"/>
          <w:lang w:val="sq-AL"/>
        </w:rPr>
        <w:t xml:space="preserve"> LEK apo 98% e planit të rishikuar, ose 17% më shumë se një vit më parë. Qëllimi i politikës së programit është realizuar nëpërmjet përmbushjes së objektivit i cili synon z</w:t>
      </w:r>
      <w:r w:rsidRPr="00C156A0">
        <w:rPr>
          <w:rFonts w:cs="Calibri"/>
          <w:i/>
          <w:szCs w:val="22"/>
          <w:lang w:val="sq-AL"/>
        </w:rPr>
        <w:t>gjerimin dhe përmirësimin e cilësisë së shërbimeve të sektorit të ujësjellës-kanalizimeve</w:t>
      </w:r>
      <w:r w:rsidRPr="00C156A0">
        <w:rPr>
          <w:rFonts w:cs="Calibri"/>
          <w:szCs w:val="22"/>
          <w:lang w:val="sq-AL"/>
        </w:rPr>
        <w:t>, ku, për vitin 2025 është realizuar furnizimi me ujë të pijshëm mestarisht për 18 orë në ditë.</w:t>
      </w:r>
    </w:p>
    <w:p w14:paraId="125D0B42" w14:textId="3307D771" w:rsidR="00C156A0" w:rsidRPr="00C156A0" w:rsidRDefault="00C156A0" w:rsidP="00671D4B">
      <w:pPr>
        <w:spacing w:line="240" w:lineRule="auto"/>
        <w:rPr>
          <w:rFonts w:cs="Calibri"/>
          <w:szCs w:val="22"/>
          <w:lang w:val="sq-AL"/>
        </w:rPr>
      </w:pPr>
      <w:r w:rsidRPr="00C156A0">
        <w:rPr>
          <w:rFonts w:cs="Calibri"/>
          <w:szCs w:val="22"/>
          <w:lang w:val="sq-AL"/>
        </w:rPr>
        <w:t>Produktet që kanë kontribuar në realizimin e objektivit përgjatë vitit 2025, paraqiten të renditura sa më poshtë:</w:t>
      </w:r>
    </w:p>
    <w:p w14:paraId="16859495" w14:textId="73B1150B" w:rsidR="00C156A0" w:rsidRPr="00C156A0"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C156A0">
        <w:rPr>
          <w:rFonts w:cs="Calibri"/>
          <w:bCs/>
          <w:i/>
          <w:sz w:val="20"/>
          <w:szCs w:val="20"/>
          <w:lang w:val="sq-AL" w:eastAsia="en-GB"/>
        </w:rPr>
        <w:t>488,207 ml ndërtim rrjet ujësjellësi dhe rikonstruksion rrjeti apo 95% e sasisë sipas planit të rishikuar</w:t>
      </w:r>
      <w:r w:rsidR="00461F83">
        <w:rPr>
          <w:rFonts w:cs="Calibri"/>
          <w:bCs/>
          <w:i/>
          <w:sz w:val="20"/>
          <w:szCs w:val="20"/>
          <w:lang w:val="sq-AL" w:eastAsia="en-GB"/>
        </w:rPr>
        <w:t>.</w:t>
      </w:r>
    </w:p>
    <w:p w14:paraId="1DA1D50C" w14:textId="750C4B49" w:rsidR="00C156A0" w:rsidRPr="00C156A0"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C156A0">
        <w:rPr>
          <w:rFonts w:cs="Calibri"/>
          <w:bCs/>
          <w:i/>
          <w:sz w:val="20"/>
          <w:szCs w:val="20"/>
          <w:lang w:val="sq-AL" w:eastAsia="en-GB"/>
        </w:rPr>
        <w:t>29,718 ml ndërtim rrjet kanalizimi dhe ITUN  dhe rikonstruksion rrjeti, apo 92% e sasisë sipas planit të rishikuar.</w:t>
      </w:r>
    </w:p>
    <w:p w14:paraId="6476FAAF" w14:textId="77777777" w:rsidR="00C156A0" w:rsidRPr="00C156A0" w:rsidRDefault="00C156A0" w:rsidP="00671D4B">
      <w:pPr>
        <w:shd w:val="clear" w:color="auto" w:fill="FFFFFF"/>
        <w:spacing w:before="240" w:line="240" w:lineRule="auto"/>
        <w:rPr>
          <w:rFonts w:cs="Calibri"/>
          <w:i/>
          <w:sz w:val="20"/>
          <w:szCs w:val="20"/>
          <w:lang w:val="sq-AL"/>
        </w:rPr>
      </w:pPr>
      <w:r w:rsidRPr="00C156A0">
        <w:rPr>
          <w:rFonts w:cs="Calibri"/>
          <w:bCs/>
          <w:szCs w:val="22"/>
          <w:lang w:val="sq-AL" w:eastAsia="en-GB"/>
        </w:rPr>
        <w:t>Për programin</w:t>
      </w:r>
      <w:r w:rsidRPr="00C156A0">
        <w:rPr>
          <w:rFonts w:cs="Calibri"/>
          <w:b/>
          <w:bCs/>
          <w:szCs w:val="22"/>
          <w:lang w:val="sq-AL" w:eastAsia="en-GB"/>
        </w:rPr>
        <w:t xml:space="preserve"> “Mbështetje për Burimet Natyrore”</w:t>
      </w:r>
      <w:r w:rsidRPr="00C156A0">
        <w:rPr>
          <w:rFonts w:cs="Calibri"/>
          <w:bCs/>
          <w:szCs w:val="22"/>
          <w:lang w:val="sq-AL" w:eastAsia="en-GB"/>
        </w:rPr>
        <w:t xml:space="preserve">, </w:t>
      </w:r>
      <w:r w:rsidRPr="00C156A0">
        <w:rPr>
          <w:rFonts w:cs="Calibri"/>
          <w:szCs w:val="22"/>
          <w:lang w:val="sq-AL"/>
        </w:rPr>
        <w:t>është realizuar qëllimi i programit lidhur me realizimin e politikave të promovimit, mbikëqyrjes, monitorimit dhe transparencës në fushën e gjeologjisë, minierave, ambientit dhe ujërave. Në këtë kuadër:</w:t>
      </w:r>
    </w:p>
    <w:p w14:paraId="5FEC25BB" w14:textId="37D22C15" w:rsidR="00461F83" w:rsidRPr="00461F83" w:rsidRDefault="00461F83"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U akorduan 415 leje për shfrytëzimin e burimeve minerare, metalore e jo metalore, me kosto faktike 21.2</w:t>
      </w:r>
      <w:r w:rsidR="00671D4B">
        <w:rPr>
          <w:rFonts w:cs="Calibri"/>
          <w:bCs/>
          <w:i/>
          <w:sz w:val="20"/>
          <w:szCs w:val="20"/>
          <w:lang w:val="sq-AL" w:eastAsia="en-GB"/>
        </w:rPr>
        <w:t>mln</w:t>
      </w:r>
      <w:r w:rsidRPr="00104106">
        <w:rPr>
          <w:rFonts w:cs="Calibri"/>
          <w:bCs/>
          <w:i/>
          <w:sz w:val="20"/>
          <w:szCs w:val="20"/>
          <w:lang w:val="sq-AL" w:eastAsia="en-GB"/>
        </w:rPr>
        <w:t xml:space="preserve"> LEK.</w:t>
      </w:r>
    </w:p>
    <w:p w14:paraId="1AF8879B" w14:textId="0F6EBD6D" w:rsidR="00461F83" w:rsidRPr="00461F83" w:rsidRDefault="00461F83"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U realizua studimi mbi azhornimin gjeohapsinor të hapësirave që krijohen nga shfrytëzimi minerar nëntokësor, me kosto faktike 13</w:t>
      </w:r>
      <w:r w:rsidR="0056260B">
        <w:rPr>
          <w:rFonts w:cs="Calibri"/>
          <w:bCs/>
          <w:i/>
          <w:sz w:val="20"/>
          <w:szCs w:val="20"/>
          <w:lang w:val="sq-AL" w:eastAsia="en-GB"/>
        </w:rPr>
        <w:t>milionë</w:t>
      </w:r>
      <w:r w:rsidRPr="00104106">
        <w:rPr>
          <w:rFonts w:cs="Calibri"/>
          <w:bCs/>
          <w:i/>
          <w:sz w:val="20"/>
          <w:szCs w:val="20"/>
          <w:lang w:val="sq-AL" w:eastAsia="en-GB"/>
        </w:rPr>
        <w:t xml:space="preserve"> LEK.</w:t>
      </w:r>
    </w:p>
    <w:p w14:paraId="037F378A" w14:textId="249E8966" w:rsidR="00461F83" w:rsidRPr="00461F83" w:rsidRDefault="00461F83"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Kryer monitorimi i Fenomeneve të post shfrytezimit në minierat e mbyllura, me kosto faktike 9.9</w:t>
      </w:r>
      <w:r w:rsidR="0056260B">
        <w:rPr>
          <w:rFonts w:cs="Calibri"/>
          <w:bCs/>
          <w:i/>
          <w:sz w:val="20"/>
          <w:szCs w:val="20"/>
          <w:lang w:val="sq-AL" w:eastAsia="en-GB"/>
        </w:rPr>
        <w:t>milionë</w:t>
      </w:r>
      <w:r w:rsidRPr="00104106">
        <w:rPr>
          <w:rFonts w:cs="Calibri"/>
          <w:bCs/>
          <w:i/>
          <w:sz w:val="20"/>
          <w:szCs w:val="20"/>
          <w:lang w:val="sq-AL" w:eastAsia="en-GB"/>
        </w:rPr>
        <w:t xml:space="preserve"> LEK.</w:t>
      </w:r>
    </w:p>
    <w:p w14:paraId="437BF6CC" w14:textId="1C749C75" w:rsidR="00C156A0" w:rsidRPr="00104106"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 xml:space="preserve">Janë përditësuar 568 të dhëna të lejeve minerare gjeohapsinore </w:t>
      </w:r>
      <w:r w:rsidR="00671D4B">
        <w:rPr>
          <w:rFonts w:cs="Calibri"/>
          <w:bCs/>
          <w:i/>
          <w:sz w:val="20"/>
          <w:szCs w:val="20"/>
          <w:lang w:val="sq-AL" w:eastAsia="en-GB"/>
        </w:rPr>
        <w:t>(</w:t>
      </w:r>
      <w:r w:rsidRPr="00104106">
        <w:rPr>
          <w:rFonts w:cs="Calibri"/>
          <w:bCs/>
          <w:i/>
          <w:sz w:val="20"/>
          <w:szCs w:val="20"/>
          <w:lang w:val="sq-AL" w:eastAsia="en-GB"/>
        </w:rPr>
        <w:t>100% e sasisë së planifikuar</w:t>
      </w:r>
      <w:r w:rsidR="00671D4B">
        <w:rPr>
          <w:rFonts w:cs="Calibri"/>
          <w:bCs/>
          <w:i/>
          <w:sz w:val="20"/>
          <w:szCs w:val="20"/>
          <w:lang w:val="sq-AL" w:eastAsia="en-GB"/>
        </w:rPr>
        <w:t>)</w:t>
      </w:r>
      <w:r w:rsidRPr="00104106">
        <w:rPr>
          <w:rFonts w:cs="Calibri"/>
          <w:bCs/>
          <w:i/>
          <w:sz w:val="20"/>
          <w:szCs w:val="20"/>
          <w:lang w:val="sq-AL" w:eastAsia="en-GB"/>
        </w:rPr>
        <w:t xml:space="preserve">, </w:t>
      </w:r>
      <w:r w:rsidR="00671D4B">
        <w:rPr>
          <w:rFonts w:cs="Calibri"/>
          <w:bCs/>
          <w:i/>
          <w:sz w:val="20"/>
          <w:szCs w:val="20"/>
          <w:lang w:val="sq-AL" w:eastAsia="en-GB"/>
        </w:rPr>
        <w:t>për</w:t>
      </w:r>
      <w:r w:rsidRPr="00104106">
        <w:rPr>
          <w:rFonts w:cs="Calibri"/>
          <w:bCs/>
          <w:i/>
          <w:sz w:val="20"/>
          <w:szCs w:val="20"/>
          <w:lang w:val="sq-AL" w:eastAsia="en-GB"/>
        </w:rPr>
        <w:t xml:space="preserve"> 6.5</w:t>
      </w:r>
      <w:r w:rsidR="00671D4B">
        <w:rPr>
          <w:rFonts w:cs="Calibri"/>
          <w:bCs/>
          <w:i/>
          <w:sz w:val="20"/>
          <w:szCs w:val="20"/>
          <w:lang w:val="sq-AL" w:eastAsia="en-GB"/>
        </w:rPr>
        <w:t>mln</w:t>
      </w:r>
      <w:r w:rsidRPr="00104106">
        <w:rPr>
          <w:rFonts w:cs="Calibri"/>
          <w:bCs/>
          <w:i/>
          <w:sz w:val="20"/>
          <w:szCs w:val="20"/>
          <w:lang w:val="sq-AL" w:eastAsia="en-GB"/>
        </w:rPr>
        <w:t xml:space="preserve"> LEK.</w:t>
      </w:r>
    </w:p>
    <w:p w14:paraId="7660E5BB" w14:textId="6082FB79" w:rsidR="00C156A0" w:rsidRPr="00104106"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Realizuar promovimi i minerave të rinj dhe kërkimeve teknologjike e mjedisore, me kosto faktike 6</w:t>
      </w:r>
      <w:r w:rsidR="00671D4B">
        <w:rPr>
          <w:rFonts w:cs="Calibri"/>
          <w:bCs/>
          <w:i/>
          <w:sz w:val="20"/>
          <w:szCs w:val="20"/>
          <w:lang w:val="sq-AL" w:eastAsia="en-GB"/>
        </w:rPr>
        <w:t>mln</w:t>
      </w:r>
      <w:r w:rsidRPr="00104106">
        <w:rPr>
          <w:rFonts w:cs="Calibri"/>
          <w:bCs/>
          <w:i/>
          <w:sz w:val="20"/>
          <w:szCs w:val="20"/>
          <w:lang w:val="sq-AL" w:eastAsia="en-GB"/>
        </w:rPr>
        <w:t xml:space="preserve"> LEK.</w:t>
      </w:r>
    </w:p>
    <w:p w14:paraId="65CB6DD8" w14:textId="0C4BA7FC" w:rsidR="00C156A0" w:rsidRPr="00104106"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Realizuar studimi mbi zonimin minerar dhe hartimit të planit vjetor dhe 3-vjecar minerar, kosto faktike 6</w:t>
      </w:r>
      <w:r w:rsidR="00671D4B">
        <w:rPr>
          <w:rFonts w:cs="Calibri"/>
          <w:bCs/>
          <w:i/>
          <w:sz w:val="20"/>
          <w:szCs w:val="20"/>
          <w:lang w:val="sq-AL" w:eastAsia="en-GB"/>
        </w:rPr>
        <w:t>mln</w:t>
      </w:r>
      <w:r w:rsidRPr="00104106">
        <w:rPr>
          <w:rFonts w:cs="Calibri"/>
          <w:bCs/>
          <w:i/>
          <w:sz w:val="20"/>
          <w:szCs w:val="20"/>
          <w:lang w:val="sq-AL" w:eastAsia="en-GB"/>
        </w:rPr>
        <w:t xml:space="preserve"> LEK.</w:t>
      </w:r>
    </w:p>
    <w:p w14:paraId="4841D282" w14:textId="4EC33B0C" w:rsidR="00C156A0" w:rsidRPr="00104106" w:rsidRDefault="00C156A0" w:rsidP="00671D4B">
      <w:pPr>
        <w:numPr>
          <w:ilvl w:val="0"/>
          <w:numId w:val="10"/>
        </w:numPr>
        <w:shd w:val="clear" w:color="auto" w:fill="FFFFFF"/>
        <w:spacing w:before="0" w:after="160" w:line="240" w:lineRule="auto"/>
        <w:contextualSpacing/>
        <w:rPr>
          <w:rFonts w:cs="Calibri"/>
          <w:bCs/>
          <w:i/>
          <w:sz w:val="20"/>
          <w:szCs w:val="20"/>
          <w:lang w:val="sq-AL" w:eastAsia="en-GB"/>
        </w:rPr>
      </w:pPr>
      <w:r w:rsidRPr="00104106">
        <w:rPr>
          <w:rFonts w:cs="Calibri"/>
          <w:bCs/>
          <w:i/>
          <w:sz w:val="20"/>
          <w:szCs w:val="20"/>
          <w:lang w:val="sq-AL" w:eastAsia="en-GB"/>
        </w:rPr>
        <w:t>U realizua raporti vjetor i gj</w:t>
      </w:r>
      <w:r w:rsidR="00671D4B">
        <w:rPr>
          <w:rFonts w:cs="Calibri"/>
          <w:bCs/>
          <w:i/>
          <w:sz w:val="20"/>
          <w:szCs w:val="20"/>
          <w:lang w:val="sq-AL" w:eastAsia="en-GB"/>
        </w:rPr>
        <w:t>e</w:t>
      </w:r>
      <w:r w:rsidRPr="00104106">
        <w:rPr>
          <w:rFonts w:cs="Calibri"/>
          <w:bCs/>
          <w:i/>
          <w:sz w:val="20"/>
          <w:szCs w:val="20"/>
          <w:lang w:val="sq-AL" w:eastAsia="en-GB"/>
        </w:rPr>
        <w:t>ndjes mjedisore në industrinë minerare dhe metalurgji, me kosto faktike 6</w:t>
      </w:r>
      <w:r w:rsidR="0056260B">
        <w:rPr>
          <w:rFonts w:cs="Calibri"/>
          <w:bCs/>
          <w:i/>
          <w:sz w:val="20"/>
          <w:szCs w:val="20"/>
          <w:lang w:val="sq-AL" w:eastAsia="en-GB"/>
        </w:rPr>
        <w:t>milionë</w:t>
      </w:r>
      <w:r w:rsidRPr="00104106">
        <w:rPr>
          <w:rFonts w:cs="Calibri"/>
          <w:bCs/>
          <w:i/>
          <w:sz w:val="20"/>
          <w:szCs w:val="20"/>
          <w:lang w:val="sq-AL" w:eastAsia="en-GB"/>
        </w:rPr>
        <w:t xml:space="preserve"> LEK.</w:t>
      </w:r>
    </w:p>
    <w:p w14:paraId="17DE0D64" w14:textId="32BD17F9" w:rsidR="00C156A0" w:rsidRPr="00671D4B" w:rsidRDefault="00C156A0" w:rsidP="00671D4B">
      <w:pPr>
        <w:shd w:val="clear" w:color="auto" w:fill="FFFFFF"/>
        <w:spacing w:before="240" w:line="240" w:lineRule="auto"/>
        <w:rPr>
          <w:rFonts w:cs="Calibri"/>
          <w:bCs/>
          <w:szCs w:val="22"/>
          <w:lang w:val="sq-AL" w:eastAsia="en-GB"/>
        </w:rPr>
      </w:pPr>
      <w:r w:rsidRPr="00C156A0">
        <w:rPr>
          <w:rFonts w:cs="Calibri"/>
          <w:bCs/>
          <w:szCs w:val="22"/>
          <w:lang w:val="sq-AL" w:eastAsia="en-GB"/>
        </w:rPr>
        <w:t>Në programin</w:t>
      </w:r>
      <w:r w:rsidRPr="00C156A0">
        <w:rPr>
          <w:rFonts w:cs="Calibri"/>
          <w:b/>
          <w:bCs/>
          <w:szCs w:val="22"/>
          <w:lang w:val="sq-AL" w:eastAsia="en-GB"/>
        </w:rPr>
        <w:t xml:space="preserve"> “Mbështetje për Energjinë” </w:t>
      </w:r>
      <w:r w:rsidRPr="00C156A0">
        <w:rPr>
          <w:rFonts w:cs="Calibri"/>
          <w:szCs w:val="22"/>
          <w:lang w:val="sq-AL"/>
        </w:rPr>
        <w:t xml:space="preserve">u realizuan fonde në masën 1.7 </w:t>
      </w:r>
      <w:r w:rsidR="0056260B">
        <w:rPr>
          <w:rFonts w:cs="Calibri"/>
          <w:szCs w:val="22"/>
          <w:lang w:val="sq-AL"/>
        </w:rPr>
        <w:t>miliardë</w:t>
      </w:r>
      <w:r w:rsidRPr="00C156A0">
        <w:rPr>
          <w:rFonts w:cs="Calibri"/>
          <w:szCs w:val="22"/>
          <w:lang w:val="sq-AL"/>
        </w:rPr>
        <w:t xml:space="preserve"> LEK me qëllim k</w:t>
      </w:r>
      <w:r w:rsidRPr="00C156A0">
        <w:rPr>
          <w:rFonts w:cs="Calibri"/>
          <w:bCs/>
          <w:szCs w:val="22"/>
          <w:lang w:val="sq-AL" w:eastAsia="en-GB"/>
        </w:rPr>
        <w:t xml:space="preserve">rijimin dhe mbështetjen e sektorit energjitik për një zhvillim të qëndrueshëm të ekonomisë nëpërmjet garantimit dhe furnizimit me burime të sigurta energjitike me kosto minimale. Në këtë kuadër, është rritur përdorimi i energjisë së rinovueshme në masën prej 40%. </w:t>
      </w:r>
      <w:r w:rsidRPr="00C156A0">
        <w:rPr>
          <w:rFonts w:cs="Calibri"/>
          <w:szCs w:val="22"/>
          <w:lang w:val="sq-AL"/>
        </w:rPr>
        <w:t>Projektet kyç të realizuara përfshijnë:</w:t>
      </w:r>
    </w:p>
    <w:p w14:paraId="233228AD" w14:textId="1D9FB06F" w:rsidR="00724A4F" w:rsidRPr="00461F83" w:rsidRDefault="00C156A0" w:rsidP="00671D4B">
      <w:pPr>
        <w:numPr>
          <w:ilvl w:val="0"/>
          <w:numId w:val="10"/>
        </w:numPr>
        <w:spacing w:before="0" w:line="240" w:lineRule="auto"/>
        <w:contextualSpacing/>
        <w:jc w:val="left"/>
        <w:rPr>
          <w:rFonts w:cs="Calibri"/>
          <w:bCs/>
          <w:i/>
          <w:sz w:val="20"/>
          <w:szCs w:val="20"/>
          <w:lang w:val="sq-AL" w:eastAsia="en-GB"/>
        </w:rPr>
      </w:pPr>
      <w:r w:rsidRPr="00C156A0">
        <w:rPr>
          <w:rFonts w:cs="Calibri"/>
          <w:bCs/>
          <w:i/>
          <w:sz w:val="20"/>
          <w:szCs w:val="20"/>
          <w:lang w:val="sq-AL" w:eastAsia="en-GB"/>
        </w:rPr>
        <w:t xml:space="preserve">Kryerjen e studimit mbi vlerësimin e efiçencës së përdorimit të burimeve energjitike hidrokarbure në sektorin e transportit referuar zhvillimeve teknologjike, shoqëruar me kosto faktike 2 </w:t>
      </w:r>
      <w:r w:rsidR="0056260B">
        <w:rPr>
          <w:rFonts w:cs="Calibri"/>
          <w:bCs/>
          <w:i/>
          <w:sz w:val="20"/>
          <w:szCs w:val="20"/>
          <w:lang w:val="sq-AL" w:eastAsia="en-GB"/>
        </w:rPr>
        <w:t>milionë</w:t>
      </w:r>
      <w:r w:rsidRPr="00C156A0">
        <w:rPr>
          <w:rFonts w:cs="Calibri"/>
          <w:bCs/>
          <w:i/>
          <w:sz w:val="20"/>
          <w:szCs w:val="20"/>
          <w:lang w:val="sq-AL" w:eastAsia="en-GB"/>
        </w:rPr>
        <w:t xml:space="preserve"> LEK për vitin 2025.</w:t>
      </w:r>
    </w:p>
    <w:p w14:paraId="5313AF16" w14:textId="49493DB9" w:rsidR="00724A4F" w:rsidRPr="00724A4F" w:rsidRDefault="00C156A0" w:rsidP="00461F83">
      <w:pPr>
        <w:shd w:val="clear" w:color="auto" w:fill="FFFFFF" w:themeFill="background1"/>
        <w:spacing w:after="240" w:line="240" w:lineRule="auto"/>
        <w:rPr>
          <w:rFonts w:asciiTheme="majorHAnsi" w:eastAsiaTheme="minorHAnsi" w:hAnsiTheme="majorHAnsi" w:cs="Calibri Light"/>
          <w:noProof/>
          <w:szCs w:val="22"/>
          <w:lang w:val="sq-AL"/>
        </w:rPr>
      </w:pPr>
      <w:r w:rsidRPr="00724A4F">
        <w:rPr>
          <w:rFonts w:eastAsia="Cambria" w:cs="Calibri Light"/>
          <w:noProof/>
          <w:szCs w:val="22"/>
          <w:lang w:val="sq-AL"/>
        </w:rPr>
        <w:t xml:space="preserve">Për sa i përket </w:t>
      </w:r>
      <w:r w:rsidRPr="00724A4F">
        <w:rPr>
          <w:rFonts w:eastAsia="Cambria" w:cs="Calibri Light"/>
          <w:b/>
          <w:bCs/>
          <w:noProof/>
          <w:szCs w:val="22"/>
          <w:lang w:val="sq-AL"/>
        </w:rPr>
        <w:t>investimeve publike</w:t>
      </w:r>
      <w:r w:rsidR="00724A4F" w:rsidRPr="00724A4F">
        <w:rPr>
          <w:rFonts w:eastAsia="Cambria" w:cs="Calibri Light"/>
          <w:b/>
          <w:bCs/>
          <w:noProof/>
          <w:szCs w:val="22"/>
          <w:lang w:val="sq-AL"/>
        </w:rPr>
        <w:t xml:space="preserve"> </w:t>
      </w:r>
      <w:r w:rsidR="00724A4F" w:rsidRPr="00724A4F">
        <w:rPr>
          <w:rFonts w:cs="Calibri"/>
          <w:noProof/>
          <w:lang w:val="sq-AL"/>
        </w:rPr>
        <w:t xml:space="preserve">realizimi në vitin 2025 ishte 101.2% e buxhetit fillestar për projektet me financim të brendshëm (54.2 </w:t>
      </w:r>
      <w:r w:rsidR="0056260B">
        <w:rPr>
          <w:rFonts w:cs="Calibri"/>
          <w:noProof/>
          <w:lang w:val="sq-AL"/>
        </w:rPr>
        <w:t>miliardë</w:t>
      </w:r>
      <w:r w:rsidR="00724A4F" w:rsidRPr="00724A4F">
        <w:rPr>
          <w:rFonts w:cs="Calibri"/>
          <w:noProof/>
          <w:lang w:val="sq-AL"/>
        </w:rPr>
        <w:t xml:space="preserve"> LEK) ose </w:t>
      </w:r>
      <w:r w:rsidR="00724A4F" w:rsidRPr="00724A4F">
        <w:rPr>
          <w:rFonts w:cs="Calibri"/>
          <w:bCs/>
          <w:iCs/>
          <w:noProof/>
          <w:lang w:val="sq-AL"/>
        </w:rPr>
        <w:t xml:space="preserve">99.2% </w:t>
      </w:r>
      <w:r w:rsidR="00724A4F" w:rsidRPr="00724A4F">
        <w:rPr>
          <w:rFonts w:cs="Calibri"/>
          <w:noProof/>
          <w:lang w:val="sq-AL"/>
        </w:rPr>
        <w:t>të planit vjetor të ndryshuar me AN nr.11/202</w:t>
      </w:r>
      <w:r w:rsidR="00724A4F" w:rsidRPr="00724A4F">
        <w:rPr>
          <w:rFonts w:cs="Calibri"/>
          <w:bCs/>
          <w:iCs/>
          <w:noProof/>
          <w:lang w:val="sq-AL"/>
        </w:rPr>
        <w:t xml:space="preserve">5, si dhe 67.8% </w:t>
      </w:r>
      <w:r w:rsidR="00724A4F" w:rsidRPr="00724A4F">
        <w:rPr>
          <w:rFonts w:cs="Calibri"/>
          <w:noProof/>
          <w:lang w:val="sq-AL"/>
        </w:rPr>
        <w:t xml:space="preserve">e buxhetit fillestar për projektet me financim të huaj (9.4 </w:t>
      </w:r>
      <w:r w:rsidR="0056260B">
        <w:rPr>
          <w:rFonts w:cs="Calibri"/>
          <w:noProof/>
          <w:lang w:val="sq-AL"/>
        </w:rPr>
        <w:t>miliardë</w:t>
      </w:r>
      <w:r w:rsidR="00724A4F" w:rsidRPr="00724A4F">
        <w:rPr>
          <w:rFonts w:cs="Calibri"/>
          <w:noProof/>
          <w:lang w:val="sq-AL"/>
        </w:rPr>
        <w:t xml:space="preserve"> LEK) ose 79% </w:t>
      </w:r>
      <w:r w:rsidR="00724A4F" w:rsidRPr="00724A4F">
        <w:rPr>
          <w:rFonts w:cs="Calibri"/>
          <w:bCs/>
          <w:iCs/>
          <w:noProof/>
          <w:lang w:val="sq-AL"/>
        </w:rPr>
        <w:t>e planit vjetor të ndryshuar me AN nr.11/2025.</w:t>
      </w:r>
      <w:r w:rsidR="00724A4F" w:rsidRPr="00724A4F">
        <w:rPr>
          <w:rFonts w:cs="Calibri"/>
          <w:noProof/>
          <w:lang w:val="sq-AL"/>
        </w:rPr>
        <w:t xml:space="preserve"> Buxheti i shpenzimeve kapitale pësoi disa ndryshime gjatë vitit 2025 duke rritur fondet për projekte me financim të brendshëm dhe duke pakësuar fondet për projekte me financim të huaj</w:t>
      </w:r>
      <w:r w:rsidR="00724A4F" w:rsidRPr="00724A4F">
        <w:rPr>
          <w:rFonts w:asciiTheme="majorHAnsi" w:eastAsiaTheme="minorHAnsi" w:hAnsiTheme="majorHAnsi" w:cs="Calibri Light"/>
          <w:noProof/>
          <w:szCs w:val="22"/>
          <w:lang w:val="sq-AL"/>
        </w:rPr>
        <w:t xml:space="preserve">. Janë mbyllur </w:t>
      </w:r>
      <w:r w:rsidR="00724A4F" w:rsidRPr="00724A4F">
        <w:rPr>
          <w:rFonts w:asciiTheme="majorHAnsi" w:eastAsia="SimSun" w:hAnsiTheme="majorHAnsi" w:cs="Calibri Light"/>
          <w:noProof/>
          <w:szCs w:val="22"/>
          <w:lang w:val="sq-AL"/>
        </w:rPr>
        <w:t>projektet</w:t>
      </w:r>
      <w:r w:rsidR="00724A4F" w:rsidRPr="00724A4F">
        <w:rPr>
          <w:rFonts w:asciiTheme="majorHAnsi" w:eastAsiaTheme="minorHAnsi" w:hAnsiTheme="majorHAnsi" w:cs="Calibri Light"/>
          <w:noProof/>
          <w:szCs w:val="22"/>
          <w:lang w:val="sq-AL"/>
        </w:rPr>
        <w:t xml:space="preserve"> e investimit si më poshtë, ku veçojmë:</w:t>
      </w:r>
    </w:p>
    <w:p w14:paraId="3530C7F8" w14:textId="331C7C56" w:rsidR="00724A4F" w:rsidRPr="00461F83" w:rsidRDefault="00724A4F" w:rsidP="00671D4B">
      <w:pPr>
        <w:spacing w:line="240" w:lineRule="auto"/>
        <w:rPr>
          <w:rFonts w:asciiTheme="majorHAnsi" w:hAnsiTheme="majorHAnsi" w:cs="Calibri Light"/>
          <w:noProof/>
          <w:color w:val="000000" w:themeColor="text1"/>
          <w:szCs w:val="22"/>
          <w:lang w:val="sq-AL"/>
        </w:rPr>
      </w:pPr>
      <w:r w:rsidRPr="00461F83">
        <w:rPr>
          <w:rFonts w:asciiTheme="majorHAnsi" w:hAnsiTheme="majorHAnsi" w:cs="Calibri Light"/>
          <w:b/>
          <w:i/>
          <w:noProof/>
          <w:color w:val="000000" w:themeColor="text1"/>
          <w:szCs w:val="22"/>
          <w:lang w:val="sq-AL"/>
        </w:rPr>
        <w:t>Transporti rrugor</w:t>
      </w:r>
      <w:r w:rsidRPr="00461F83">
        <w:rPr>
          <w:rFonts w:asciiTheme="majorHAnsi" w:hAnsiTheme="majorHAnsi" w:cs="Calibri Light"/>
          <w:noProof/>
          <w:color w:val="000000" w:themeColor="text1"/>
          <w:szCs w:val="22"/>
          <w:lang w:val="sq-AL"/>
        </w:rPr>
        <w:t xml:space="preserve"> janë financuar plotësisht 21 </w:t>
      </w:r>
      <w:r w:rsidRPr="00461F83">
        <w:rPr>
          <w:rFonts w:asciiTheme="majorHAnsi" w:eastAsia="SimSun" w:hAnsiTheme="majorHAnsi" w:cs="Calibri Light"/>
          <w:noProof/>
          <w:szCs w:val="22"/>
          <w:lang w:val="sq-AL"/>
        </w:rPr>
        <w:t>projekte</w:t>
      </w:r>
      <w:r w:rsidRPr="00461F83">
        <w:rPr>
          <w:rFonts w:asciiTheme="majorHAnsi" w:hAnsiTheme="majorHAnsi" w:cs="Calibri Light"/>
          <w:noProof/>
          <w:color w:val="000000" w:themeColor="text1"/>
          <w:szCs w:val="22"/>
          <w:lang w:val="sq-AL"/>
        </w:rPr>
        <w:t xml:space="preserve"> investimi me vlerë totale rreth 23.1 </w:t>
      </w:r>
      <w:r w:rsidR="0056260B">
        <w:rPr>
          <w:rFonts w:asciiTheme="majorHAnsi" w:hAnsiTheme="majorHAnsi" w:cs="Calibri Light"/>
          <w:noProof/>
          <w:color w:val="000000" w:themeColor="text1"/>
          <w:szCs w:val="22"/>
          <w:lang w:val="sq-AL"/>
        </w:rPr>
        <w:t>miliardë</w:t>
      </w:r>
      <w:r w:rsidRPr="00461F83">
        <w:rPr>
          <w:rFonts w:asciiTheme="majorHAnsi" w:hAnsiTheme="majorHAnsi" w:cs="Calibri Light"/>
          <w:noProof/>
          <w:color w:val="000000" w:themeColor="text1"/>
          <w:szCs w:val="22"/>
          <w:lang w:val="sq-AL"/>
        </w:rPr>
        <w:t xml:space="preserve"> LEK </w:t>
      </w:r>
      <w:r w:rsidRPr="00461F83">
        <w:rPr>
          <w:rFonts w:asciiTheme="majorHAnsi" w:eastAsia="SimSun" w:hAnsiTheme="majorHAnsi" w:cs="Calibri Light"/>
          <w:noProof/>
          <w:szCs w:val="22"/>
          <w:lang w:val="sq-AL"/>
        </w:rPr>
        <w:t>ku ndër më kryesoret përmendim</w:t>
      </w:r>
      <w:r w:rsidRPr="00461F83">
        <w:rPr>
          <w:rFonts w:asciiTheme="majorHAnsi" w:hAnsiTheme="majorHAnsi" w:cs="Calibri Light"/>
          <w:noProof/>
          <w:color w:val="000000" w:themeColor="text1"/>
          <w:szCs w:val="22"/>
          <w:lang w:val="sq-AL"/>
        </w:rPr>
        <w:t xml:space="preserve">: </w:t>
      </w:r>
    </w:p>
    <w:p w14:paraId="2B743AEE" w14:textId="6F3380E6"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eastAsia="Calibri" w:hAnsiTheme="majorHAnsi" w:cs="Calibri Light"/>
          <w:i/>
          <w:noProof/>
          <w:szCs w:val="22"/>
          <w:lang w:val="sq-AL"/>
        </w:rPr>
        <w:t xml:space="preserve">Ndërtim i Unazës së jashtme Tirane, Loti 7 me vlerë 2.7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25057B07" w14:textId="32D466FC"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Plotësim, </w:t>
      </w:r>
      <w:r w:rsidR="00DF1ED6">
        <w:rPr>
          <w:rFonts w:asciiTheme="majorHAnsi" w:hAnsiTheme="majorHAnsi" w:cs="Calibri Light"/>
          <w:i/>
          <w:noProof/>
          <w:color w:val="000000" w:themeColor="text1"/>
          <w:szCs w:val="22"/>
          <w:lang w:val="sq-AL"/>
        </w:rPr>
        <w:t>r</w:t>
      </w:r>
      <w:r w:rsidRPr="00461F83">
        <w:rPr>
          <w:rFonts w:asciiTheme="majorHAnsi" w:hAnsiTheme="majorHAnsi" w:cs="Calibri Light"/>
          <w:i/>
          <w:noProof/>
          <w:color w:val="000000" w:themeColor="text1"/>
          <w:szCs w:val="22"/>
          <w:lang w:val="sq-AL"/>
        </w:rPr>
        <w:t>akordim e vazhdim punime Sh</w:t>
      </w:r>
      <w:r w:rsidR="00DF1ED6">
        <w:rPr>
          <w:rFonts w:asciiTheme="majorHAnsi" w:hAnsiTheme="majorHAnsi" w:cs="Calibri Light"/>
          <w:i/>
          <w:noProof/>
          <w:color w:val="000000" w:themeColor="text1"/>
          <w:szCs w:val="22"/>
          <w:lang w:val="sq-AL"/>
        </w:rPr>
        <w:t>.</w:t>
      </w:r>
      <w:r w:rsidRPr="00461F83">
        <w:rPr>
          <w:rFonts w:asciiTheme="majorHAnsi" w:hAnsiTheme="majorHAnsi" w:cs="Calibri Light"/>
          <w:i/>
          <w:noProof/>
          <w:color w:val="000000" w:themeColor="text1"/>
          <w:szCs w:val="22"/>
          <w:lang w:val="sq-AL"/>
        </w:rPr>
        <w:t>Shqiponja-Lumi i Tiranës, Loti 1 dhe QMT</w:t>
      </w:r>
      <w:r w:rsidRPr="00461F83">
        <w:rPr>
          <w:rFonts w:asciiTheme="majorHAnsi" w:eastAsia="Calibri" w:hAnsiTheme="majorHAnsi" w:cs="Calibri Light"/>
          <w:i/>
          <w:noProof/>
          <w:szCs w:val="22"/>
          <w:lang w:val="sq-AL"/>
        </w:rPr>
        <w:t xml:space="preserve"> për 2.7</w:t>
      </w:r>
      <w:r w:rsidR="00671D4B">
        <w:rPr>
          <w:rFonts w:asciiTheme="majorHAnsi" w:eastAsia="Calibri" w:hAnsiTheme="majorHAnsi" w:cs="Calibri Light"/>
          <w:i/>
          <w:noProof/>
          <w:szCs w:val="22"/>
          <w:lang w:val="sq-AL"/>
        </w:rPr>
        <w:t>mld</w:t>
      </w:r>
      <w:r w:rsidRPr="00461F83">
        <w:rPr>
          <w:rFonts w:asciiTheme="majorHAnsi" w:eastAsia="Calibri" w:hAnsiTheme="majorHAnsi" w:cs="Calibri Light"/>
          <w:i/>
          <w:noProof/>
          <w:szCs w:val="22"/>
          <w:lang w:val="sq-AL"/>
        </w:rPr>
        <w:t xml:space="preserve"> LEK;</w:t>
      </w:r>
    </w:p>
    <w:p w14:paraId="5E4D88B8" w14:textId="587DE7C7"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Zgjerimi i rrugës Elbasan - Qafë - Thanë (Faza III)</w:t>
      </w:r>
      <w:r w:rsidRPr="00461F83">
        <w:rPr>
          <w:rFonts w:asciiTheme="majorHAnsi" w:eastAsia="Calibri" w:hAnsiTheme="majorHAnsi" w:cs="Calibri Light"/>
          <w:i/>
          <w:noProof/>
          <w:szCs w:val="22"/>
          <w:lang w:val="sq-AL"/>
        </w:rPr>
        <w:t xml:space="preserve"> me vlerë 2.5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5F82D821" w14:textId="165A66B5"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Ndërtim i Unazës së Jashtme Tiranë, Loti 4 me vlerë 2.4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39AA494C" w14:textId="2C0B63B3"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Ndërtim i segmentit Sheshi Shqiponja - Bulevardi i ri -Shkozë, Urat mbi lumin Tirana</w:t>
      </w:r>
      <w:r w:rsidR="00671D4B">
        <w:rPr>
          <w:rFonts w:asciiTheme="majorHAnsi" w:hAnsiTheme="majorHAnsi" w:cs="Calibri Light"/>
          <w:i/>
          <w:noProof/>
          <w:color w:val="000000" w:themeColor="text1"/>
          <w:szCs w:val="22"/>
          <w:lang w:val="sq-AL"/>
        </w:rPr>
        <w:t xml:space="preserve">, </w:t>
      </w:r>
      <w:r w:rsidRPr="00461F83">
        <w:rPr>
          <w:rFonts w:asciiTheme="majorHAnsi" w:hAnsiTheme="majorHAnsi" w:cs="Calibri Light"/>
          <w:i/>
          <w:noProof/>
          <w:color w:val="000000" w:themeColor="text1"/>
          <w:szCs w:val="22"/>
          <w:lang w:val="sq-AL"/>
        </w:rPr>
        <w:t>2.4</w:t>
      </w:r>
      <w:r w:rsidR="00671D4B">
        <w:rPr>
          <w:rFonts w:asciiTheme="majorHAnsi" w:hAnsiTheme="majorHAnsi" w:cs="Calibri Light"/>
          <w:i/>
          <w:noProof/>
          <w:color w:val="000000" w:themeColor="text1"/>
          <w:szCs w:val="22"/>
          <w:lang w:val="sq-AL"/>
        </w:rPr>
        <w:t>mld</w:t>
      </w:r>
      <w:r w:rsidRPr="00461F83">
        <w:rPr>
          <w:rFonts w:asciiTheme="majorHAnsi" w:eastAsia="Calibri" w:hAnsiTheme="majorHAnsi" w:cs="Calibri Light"/>
          <w:i/>
          <w:noProof/>
          <w:szCs w:val="22"/>
          <w:lang w:val="sq-AL"/>
        </w:rPr>
        <w:t xml:space="preserve"> LEK;</w:t>
      </w:r>
      <w:r w:rsidRPr="00461F83">
        <w:rPr>
          <w:rFonts w:asciiTheme="majorHAnsi" w:hAnsiTheme="majorHAnsi" w:cs="Calibri Light"/>
          <w:i/>
          <w:noProof/>
          <w:color w:val="000000" w:themeColor="text1"/>
          <w:szCs w:val="22"/>
          <w:lang w:val="sq-AL"/>
        </w:rPr>
        <w:t>        </w:t>
      </w:r>
    </w:p>
    <w:p w14:paraId="54CAC43F" w14:textId="48608C80"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Ndërtim i Unazës së jashtme Tiranë, Loti 5 me vlerë 2.2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01D78459" w14:textId="4478C1E6"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Ndërtim i Unazës së jashtme Tiranë, Loti 6 me vlerë 2.1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43FD0D8B" w14:textId="6C3F8C19"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Rikonstruksion i aksit rrugor Maliq-Lozhan i Ri Strelce me vlerë 1.4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5DFD64B7" w14:textId="62E928FD"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lastRenderedPageBreak/>
        <w:t>Sistemim asfaltim rruga Ura e Cerenecit - Peshkopi (Peshkopi - Maqellare), Loti 3 me 1.4</w:t>
      </w:r>
      <w:r w:rsidR="00671D4B">
        <w:rPr>
          <w:rFonts w:asciiTheme="majorHAnsi" w:hAnsiTheme="majorHAnsi" w:cs="Calibri Light"/>
          <w:i/>
          <w:noProof/>
          <w:color w:val="000000" w:themeColor="text1"/>
          <w:szCs w:val="22"/>
          <w:lang w:val="sq-AL"/>
        </w:rPr>
        <w:t>mld</w:t>
      </w:r>
      <w:r w:rsidRPr="00461F83">
        <w:rPr>
          <w:rFonts w:asciiTheme="majorHAnsi" w:eastAsia="Calibri" w:hAnsiTheme="majorHAnsi" w:cs="Calibri Light"/>
          <w:i/>
          <w:noProof/>
          <w:szCs w:val="22"/>
          <w:lang w:val="sq-AL"/>
        </w:rPr>
        <w:t xml:space="preserve"> LEK;</w:t>
      </w:r>
    </w:p>
    <w:p w14:paraId="5D0D9B71" w14:textId="6CF0E681"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Sistemim asfaltim rruga Qafa e Buallit - Martanesh me vlerë 1.1 </w:t>
      </w:r>
      <w:r w:rsidR="0056260B">
        <w:rPr>
          <w:rFonts w:asciiTheme="majorHAnsi" w:eastAsia="Calibri" w:hAnsiTheme="majorHAnsi" w:cs="Calibri Light"/>
          <w:i/>
          <w:noProof/>
          <w:szCs w:val="22"/>
          <w:lang w:val="sq-AL"/>
        </w:rPr>
        <w:t>miliardë</w:t>
      </w:r>
      <w:r w:rsidRPr="00461F83">
        <w:rPr>
          <w:rFonts w:asciiTheme="majorHAnsi" w:eastAsia="Calibri" w:hAnsiTheme="majorHAnsi" w:cs="Calibri Light"/>
          <w:i/>
          <w:noProof/>
          <w:szCs w:val="22"/>
          <w:lang w:val="sq-AL"/>
        </w:rPr>
        <w:t xml:space="preserve"> LEK;</w:t>
      </w:r>
    </w:p>
    <w:p w14:paraId="6E112B85" w14:textId="484C696D" w:rsidR="00724A4F" w:rsidRPr="00461F83" w:rsidRDefault="00724A4F">
      <w:pPr>
        <w:pStyle w:val="ListParagraph"/>
        <w:numPr>
          <w:ilvl w:val="0"/>
          <w:numId w:val="56"/>
        </w:numPr>
        <w:spacing w:before="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Plotësimi, rakordimi dhe vazhdimi i punimeve, Rehabilitim i segmentit rrugor, mbikalimi pallati me shigjeta  rrethrrotullimi Shqiponja Loti 3 me vlerë 539.2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23BF759E" w14:textId="4FC4AC62" w:rsidR="00724A4F" w:rsidRPr="00461F83" w:rsidRDefault="00724A4F">
      <w:pPr>
        <w:pStyle w:val="ListParagraph"/>
        <w:numPr>
          <w:ilvl w:val="0"/>
          <w:numId w:val="56"/>
        </w:numPr>
        <w:spacing w:before="0" w:after="24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Plotësim i punimeve në segmentin rrugor Qukës - Qafë - Plloce Loti 0 me vlerë 295.5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1832E82E" w14:textId="332EEDF9" w:rsidR="00724A4F" w:rsidRPr="00461F83" w:rsidRDefault="00724A4F">
      <w:pPr>
        <w:pStyle w:val="ListParagraph"/>
        <w:numPr>
          <w:ilvl w:val="0"/>
          <w:numId w:val="56"/>
        </w:numPr>
        <w:spacing w:before="0" w:after="240" w:line="240" w:lineRule="auto"/>
        <w:ind w:left="990"/>
        <w:rPr>
          <w:rFonts w:asciiTheme="majorHAnsi" w:hAnsiTheme="majorHAnsi" w:cs="Calibri Light"/>
          <w:i/>
          <w:noProof/>
          <w:color w:val="000000" w:themeColor="text1"/>
          <w:szCs w:val="22"/>
          <w:lang w:val="sq-AL"/>
        </w:rPr>
      </w:pPr>
      <w:r w:rsidRPr="00461F83">
        <w:rPr>
          <w:rFonts w:asciiTheme="majorHAnsi" w:hAnsiTheme="majorHAnsi" w:cs="Calibri Light"/>
          <w:i/>
          <w:noProof/>
          <w:color w:val="000000" w:themeColor="text1"/>
          <w:szCs w:val="22"/>
          <w:lang w:val="sq-AL"/>
        </w:rPr>
        <w:t xml:space="preserve">Rikonstruksion i aksit rrugor Maliq-Lozhan i Ri Strelce, modifikim kontrate me vlerë 279.4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7401F684" w14:textId="38138EB8" w:rsidR="00724A4F" w:rsidRPr="00461F83" w:rsidRDefault="00724A4F" w:rsidP="00671D4B">
      <w:pPr>
        <w:spacing w:before="0" w:line="240" w:lineRule="auto"/>
        <w:rPr>
          <w:rFonts w:asciiTheme="majorHAnsi" w:eastAsia="Calibri" w:hAnsiTheme="majorHAnsi" w:cs="Calibri Light"/>
          <w:noProof/>
          <w:color w:val="000000" w:themeColor="text1"/>
          <w:szCs w:val="22"/>
          <w:lang w:val="sq-AL"/>
        </w:rPr>
      </w:pPr>
      <w:r w:rsidRPr="00461F83">
        <w:rPr>
          <w:rFonts w:asciiTheme="majorHAnsi" w:eastAsia="Calibri" w:hAnsiTheme="majorHAnsi" w:cs="Calibri Light"/>
          <w:noProof/>
          <w:color w:val="000000" w:themeColor="text1"/>
          <w:szCs w:val="22"/>
          <w:lang w:val="sq-AL"/>
        </w:rPr>
        <w:t xml:space="preserve">Programi </w:t>
      </w:r>
      <w:r w:rsidRPr="00461F83">
        <w:rPr>
          <w:rFonts w:asciiTheme="majorHAnsi" w:eastAsia="Calibri" w:hAnsiTheme="majorHAnsi" w:cs="Calibri Light"/>
          <w:b/>
          <w:noProof/>
          <w:color w:val="000000" w:themeColor="text1"/>
          <w:szCs w:val="22"/>
          <w:lang w:val="sq-AL"/>
        </w:rPr>
        <w:t>“</w:t>
      </w:r>
      <w:r w:rsidRPr="00461F83">
        <w:rPr>
          <w:rFonts w:asciiTheme="majorHAnsi" w:eastAsia="Calibri" w:hAnsiTheme="majorHAnsi" w:cs="Calibri Light"/>
          <w:b/>
          <w:i/>
          <w:noProof/>
          <w:color w:val="000000" w:themeColor="text1"/>
          <w:szCs w:val="22"/>
          <w:lang w:val="sq-AL"/>
        </w:rPr>
        <w:t>Ujësjellës kanalizime”</w:t>
      </w:r>
      <w:r w:rsidRPr="00461F83">
        <w:rPr>
          <w:rFonts w:asciiTheme="majorHAnsi" w:eastAsia="Calibri" w:hAnsiTheme="majorHAnsi" w:cs="Calibri Light"/>
          <w:noProof/>
          <w:color w:val="000000" w:themeColor="text1"/>
          <w:szCs w:val="22"/>
          <w:lang w:val="sq-AL"/>
        </w:rPr>
        <w:t xml:space="preserve"> janë financuar 81 </w:t>
      </w:r>
      <w:r w:rsidRPr="00461F83">
        <w:rPr>
          <w:rFonts w:asciiTheme="majorHAnsi" w:eastAsia="SimSun" w:hAnsiTheme="majorHAnsi" w:cs="Calibri Light"/>
          <w:noProof/>
          <w:szCs w:val="22"/>
          <w:lang w:val="sq-AL"/>
        </w:rPr>
        <w:t>projekte</w:t>
      </w:r>
      <w:r w:rsidRPr="00461F83">
        <w:rPr>
          <w:rFonts w:asciiTheme="majorHAnsi" w:eastAsia="Calibri" w:hAnsiTheme="majorHAnsi" w:cs="Calibri Light"/>
          <w:noProof/>
          <w:color w:val="000000" w:themeColor="text1"/>
          <w:szCs w:val="22"/>
          <w:lang w:val="sq-AL"/>
        </w:rPr>
        <w:t xml:space="preserve"> investimi me vlerë rreth 16.1</w:t>
      </w:r>
      <w:r w:rsidR="00671D4B">
        <w:rPr>
          <w:rFonts w:asciiTheme="majorHAnsi" w:eastAsia="Calibri" w:hAnsiTheme="majorHAnsi" w:cs="Calibri Light"/>
          <w:noProof/>
          <w:color w:val="000000" w:themeColor="text1"/>
          <w:szCs w:val="22"/>
          <w:lang w:val="sq-AL"/>
        </w:rPr>
        <w:t>mld</w:t>
      </w:r>
      <w:r w:rsidRPr="00461F83">
        <w:rPr>
          <w:rFonts w:asciiTheme="majorHAnsi" w:eastAsia="Calibri" w:hAnsiTheme="majorHAnsi" w:cs="Calibri Light"/>
          <w:noProof/>
          <w:color w:val="000000" w:themeColor="text1"/>
          <w:szCs w:val="22"/>
          <w:lang w:val="sq-AL"/>
        </w:rPr>
        <w:t xml:space="preserve"> LEK, </w:t>
      </w:r>
      <w:r w:rsidR="00671D4B">
        <w:rPr>
          <w:rFonts w:asciiTheme="majorHAnsi" w:eastAsia="Calibri" w:hAnsiTheme="majorHAnsi" w:cs="Calibri Light"/>
          <w:noProof/>
          <w:color w:val="000000" w:themeColor="text1"/>
          <w:szCs w:val="22"/>
          <w:lang w:val="sq-AL"/>
        </w:rPr>
        <w:t>ku</w:t>
      </w:r>
      <w:r w:rsidRPr="00461F83">
        <w:rPr>
          <w:rFonts w:asciiTheme="majorHAnsi" w:eastAsia="Calibri" w:hAnsiTheme="majorHAnsi" w:cs="Calibri Light"/>
          <w:noProof/>
          <w:color w:val="000000" w:themeColor="text1"/>
          <w:szCs w:val="22"/>
          <w:lang w:val="sq-AL"/>
        </w:rPr>
        <w:t xml:space="preserve"> veçojmë:</w:t>
      </w:r>
    </w:p>
    <w:p w14:paraId="0A5B1394" w14:textId="1F1207A6"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Rikonstruksion i ujësjellësit në 15 fshatrat e njësisë Administrative  Novoselë, me vlerë 875</w:t>
      </w:r>
      <w:r w:rsidR="00671D4B">
        <w:rPr>
          <w:rFonts w:asciiTheme="majorHAnsi" w:eastAsia="Calibri" w:hAnsiTheme="majorHAnsi" w:cs="Calibri Light"/>
          <w:i/>
          <w:noProof/>
          <w:szCs w:val="22"/>
          <w:lang w:val="sq-AL"/>
        </w:rPr>
        <w:t>mln</w:t>
      </w:r>
      <w:r w:rsidRPr="00461F83">
        <w:rPr>
          <w:rFonts w:asciiTheme="majorHAnsi" w:eastAsia="Calibri" w:hAnsiTheme="majorHAnsi" w:cs="Calibri Light"/>
          <w:i/>
          <w:noProof/>
          <w:szCs w:val="22"/>
          <w:lang w:val="sq-AL"/>
        </w:rPr>
        <w:t xml:space="preserve"> LEK;</w:t>
      </w:r>
    </w:p>
    <w:p w14:paraId="630ABE59" w14:textId="70218EE7"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Furnizimi me ujë të zonave bregdetare, zonat e investimit strategjik, Draleos, Drimadhes dhe Dhermi.Faza I, me vlerë 816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2E355545" w14:textId="782123A2"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Furnizimi me ujë për zonat bregdetare, nj</w:t>
      </w:r>
      <w:r w:rsidR="00671D4B">
        <w:rPr>
          <w:rFonts w:asciiTheme="majorHAnsi" w:eastAsia="Calibri" w:hAnsiTheme="majorHAnsi" w:cs="Calibri Light"/>
          <w:i/>
          <w:noProof/>
          <w:szCs w:val="22"/>
          <w:lang w:val="sq-AL"/>
        </w:rPr>
        <w:t>.</w:t>
      </w:r>
      <w:r w:rsidRPr="00461F83">
        <w:rPr>
          <w:rFonts w:asciiTheme="majorHAnsi" w:eastAsia="Calibri" w:hAnsiTheme="majorHAnsi" w:cs="Calibri Light"/>
          <w:i/>
          <w:noProof/>
          <w:szCs w:val="22"/>
          <w:lang w:val="sq-AL"/>
        </w:rPr>
        <w:t>administrative Shenkoll, B</w:t>
      </w:r>
      <w:r w:rsidR="00671D4B">
        <w:rPr>
          <w:rFonts w:asciiTheme="majorHAnsi" w:eastAsia="Calibri" w:hAnsiTheme="majorHAnsi" w:cs="Calibri Light"/>
          <w:i/>
          <w:noProof/>
          <w:szCs w:val="22"/>
          <w:lang w:val="sq-AL"/>
        </w:rPr>
        <w:t>.</w:t>
      </w:r>
      <w:r w:rsidRPr="00461F83">
        <w:rPr>
          <w:rFonts w:asciiTheme="majorHAnsi" w:eastAsia="Calibri" w:hAnsiTheme="majorHAnsi" w:cs="Calibri Light"/>
          <w:i/>
          <w:noProof/>
          <w:szCs w:val="22"/>
          <w:lang w:val="sq-AL"/>
        </w:rPr>
        <w:t>Lezhë, me vlerë 786.3</w:t>
      </w:r>
      <w:r w:rsidR="00671D4B">
        <w:rPr>
          <w:rFonts w:asciiTheme="majorHAnsi" w:eastAsia="Calibri" w:hAnsiTheme="majorHAnsi" w:cs="Calibri Light"/>
          <w:i/>
          <w:noProof/>
          <w:szCs w:val="22"/>
          <w:lang w:val="sq-AL"/>
        </w:rPr>
        <w:t>mln</w:t>
      </w:r>
      <w:r w:rsidRPr="00461F83">
        <w:rPr>
          <w:rFonts w:asciiTheme="majorHAnsi" w:eastAsia="Calibri" w:hAnsiTheme="majorHAnsi" w:cs="Calibri Light"/>
          <w:i/>
          <w:noProof/>
          <w:szCs w:val="22"/>
          <w:lang w:val="sq-AL"/>
        </w:rPr>
        <w:t xml:space="preserve"> LEK;</w:t>
      </w:r>
    </w:p>
    <w:p w14:paraId="4F14F1FC" w14:textId="4CB31598"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Rrjeti shpërndarës i furnizimit me ujë dhe të KUZ të zonës së Fruti Kulturës, Valias i Vjetër ,Bashkia Kamëz, me vlerë 595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71943A0B" w14:textId="3CB0F64B"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Ndërtim linje transmetimin rrjeti jashtem ujësjellësi Rajonal (</w:t>
      </w:r>
      <w:r w:rsidR="00671D4B">
        <w:rPr>
          <w:rFonts w:asciiTheme="majorHAnsi" w:eastAsia="Calibri" w:hAnsiTheme="majorHAnsi" w:cs="Calibri Light"/>
          <w:i/>
          <w:noProof/>
          <w:szCs w:val="22"/>
          <w:lang w:val="sq-AL"/>
        </w:rPr>
        <w:t>n</w:t>
      </w:r>
      <w:r w:rsidRPr="00461F83">
        <w:rPr>
          <w:rFonts w:asciiTheme="majorHAnsi" w:eastAsia="Calibri" w:hAnsiTheme="majorHAnsi" w:cs="Calibri Light"/>
          <w:i/>
          <w:noProof/>
          <w:szCs w:val="22"/>
          <w:lang w:val="sq-AL"/>
        </w:rPr>
        <w:t>ga Burimi i Poçemit), me 568.4</w:t>
      </w:r>
      <w:r w:rsidR="00671D4B">
        <w:rPr>
          <w:rFonts w:asciiTheme="majorHAnsi" w:eastAsia="Calibri" w:hAnsiTheme="majorHAnsi" w:cs="Calibri Light"/>
          <w:i/>
          <w:noProof/>
          <w:szCs w:val="22"/>
          <w:lang w:val="sq-AL"/>
        </w:rPr>
        <w:t>mln</w:t>
      </w:r>
      <w:r w:rsidRPr="00461F83">
        <w:rPr>
          <w:rFonts w:asciiTheme="majorHAnsi" w:eastAsia="Calibri" w:hAnsiTheme="majorHAnsi" w:cs="Calibri Light"/>
          <w:i/>
          <w:noProof/>
          <w:szCs w:val="22"/>
          <w:lang w:val="sq-AL"/>
        </w:rPr>
        <w:t xml:space="preserve"> LEK;</w:t>
      </w:r>
    </w:p>
    <w:p w14:paraId="5E83AE9B" w14:textId="5D28126B"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Rikonstruksioni i nyjes hidroteknike në rezervuarin e Maskurisë, ), me vlerë 527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7CCE5ED3" w14:textId="68A7149F"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Rikonstruksion i rrjetit shpërndarës të qytetit Ballsh, me vlerë 498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1418C1C9" w14:textId="5AAA0C05"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Furnizimi me ujë për zonat bregdetare të bashkise Divjakë dhe njësisë administrative Remas Loti I-njësisë administrative Remas, me vlerë 496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14CEFCB0" w14:textId="251D1DD2"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Ndërtimi i linjës së dërgimit Depo Lis, Burrel, Faza II, me vlerë 484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63C0960C" w14:textId="52B65D01"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Furnizimi me ujë të zonave bregdetare, zonat e investimit strategjik, Draleos, Drimadhes dhe Dhërmi të Bashkisë Himarë Faza II, me vlerë 426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6E492758" w14:textId="43F7A1B8"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Ndërtim ujësjellësi i fshatrave Drenoce, Belishovë, Belistan e Visokë, B</w:t>
      </w:r>
      <w:r w:rsidR="00671D4B">
        <w:rPr>
          <w:rFonts w:asciiTheme="majorHAnsi" w:eastAsia="Calibri" w:hAnsiTheme="majorHAnsi" w:cs="Calibri Light"/>
          <w:i/>
          <w:noProof/>
          <w:szCs w:val="22"/>
          <w:lang w:val="sq-AL"/>
        </w:rPr>
        <w:t>.</w:t>
      </w:r>
      <w:r w:rsidRPr="00461F83">
        <w:rPr>
          <w:rFonts w:asciiTheme="majorHAnsi" w:eastAsia="Calibri" w:hAnsiTheme="majorHAnsi" w:cs="Calibri Light"/>
          <w:i/>
          <w:noProof/>
          <w:szCs w:val="22"/>
          <w:lang w:val="sq-AL"/>
        </w:rPr>
        <w:t xml:space="preserve">Mallakaster, </w:t>
      </w:r>
      <w:r w:rsidR="00671D4B">
        <w:rPr>
          <w:rFonts w:asciiTheme="majorHAnsi" w:eastAsia="Calibri" w:hAnsiTheme="majorHAnsi" w:cs="Calibri Light"/>
          <w:i/>
          <w:noProof/>
          <w:szCs w:val="22"/>
          <w:lang w:val="sq-AL"/>
        </w:rPr>
        <w:t>p</w:t>
      </w:r>
      <w:r w:rsidRPr="00461F83">
        <w:rPr>
          <w:rFonts w:asciiTheme="majorHAnsi" w:eastAsia="Calibri" w:hAnsiTheme="majorHAnsi" w:cs="Calibri Light"/>
          <w:i/>
          <w:noProof/>
          <w:szCs w:val="22"/>
          <w:lang w:val="sq-AL"/>
        </w:rPr>
        <w:t>ë</w:t>
      </w:r>
      <w:r w:rsidR="00671D4B">
        <w:rPr>
          <w:rFonts w:asciiTheme="majorHAnsi" w:eastAsia="Calibri" w:hAnsiTheme="majorHAnsi" w:cs="Calibri Light"/>
          <w:i/>
          <w:noProof/>
          <w:szCs w:val="22"/>
          <w:lang w:val="sq-AL"/>
        </w:rPr>
        <w:t>r</w:t>
      </w:r>
      <w:r w:rsidRPr="00461F83">
        <w:rPr>
          <w:rFonts w:asciiTheme="majorHAnsi" w:eastAsia="Calibri" w:hAnsiTheme="majorHAnsi" w:cs="Calibri Light"/>
          <w:i/>
          <w:noProof/>
          <w:szCs w:val="22"/>
          <w:lang w:val="sq-AL"/>
        </w:rPr>
        <w:t xml:space="preserve"> 422</w:t>
      </w:r>
      <w:r w:rsidR="00671D4B">
        <w:rPr>
          <w:rFonts w:asciiTheme="majorHAnsi" w:eastAsia="Calibri" w:hAnsiTheme="majorHAnsi" w:cs="Calibri Light"/>
          <w:i/>
          <w:noProof/>
          <w:szCs w:val="22"/>
          <w:lang w:val="sq-AL"/>
        </w:rPr>
        <w:t>mln</w:t>
      </w:r>
      <w:r w:rsidRPr="00461F83">
        <w:rPr>
          <w:rFonts w:asciiTheme="majorHAnsi" w:eastAsia="Calibri" w:hAnsiTheme="majorHAnsi" w:cs="Calibri Light"/>
          <w:i/>
          <w:noProof/>
          <w:szCs w:val="22"/>
          <w:lang w:val="sq-AL"/>
        </w:rPr>
        <w:t xml:space="preserve"> LEK;</w:t>
      </w:r>
    </w:p>
    <w:p w14:paraId="077744C5" w14:textId="56FE3B06" w:rsidR="00724A4F" w:rsidRPr="00461F83" w:rsidRDefault="00724A4F">
      <w:pPr>
        <w:pStyle w:val="ListParagraph"/>
        <w:numPr>
          <w:ilvl w:val="0"/>
          <w:numId w:val="56"/>
        </w:numPr>
        <w:spacing w:before="0" w:line="240" w:lineRule="auto"/>
        <w:ind w:left="990"/>
        <w:rPr>
          <w:rFonts w:asciiTheme="majorHAnsi" w:eastAsia="Calibri" w:hAnsiTheme="majorHAnsi" w:cs="Calibri Light"/>
          <w:i/>
          <w:noProof/>
          <w:szCs w:val="22"/>
          <w:lang w:val="sq-AL"/>
        </w:rPr>
      </w:pPr>
      <w:r w:rsidRPr="00461F83">
        <w:rPr>
          <w:rFonts w:asciiTheme="majorHAnsi" w:eastAsia="Calibri" w:hAnsiTheme="majorHAnsi" w:cs="Calibri Light"/>
          <w:i/>
          <w:noProof/>
          <w:szCs w:val="22"/>
          <w:lang w:val="sq-AL"/>
        </w:rPr>
        <w:t xml:space="preserve">Impiant i Trajtimi i Ujërave të Ndotura dhe sistemi KUZ, Drimadhe, Dhërmi, me vlerë 400 </w:t>
      </w:r>
      <w:r w:rsidR="0056260B">
        <w:rPr>
          <w:rFonts w:asciiTheme="majorHAnsi" w:eastAsia="Calibri" w:hAnsiTheme="majorHAnsi" w:cs="Calibri Light"/>
          <w:i/>
          <w:noProof/>
          <w:szCs w:val="22"/>
          <w:lang w:val="sq-AL"/>
        </w:rPr>
        <w:t>milionë</w:t>
      </w:r>
      <w:r w:rsidRPr="00461F83">
        <w:rPr>
          <w:rFonts w:asciiTheme="majorHAnsi" w:eastAsia="Calibri" w:hAnsiTheme="majorHAnsi" w:cs="Calibri Light"/>
          <w:i/>
          <w:noProof/>
          <w:szCs w:val="22"/>
          <w:lang w:val="sq-AL"/>
        </w:rPr>
        <w:t xml:space="preserve"> LEK.</w:t>
      </w:r>
    </w:p>
    <w:p w14:paraId="17A7AB6F" w14:textId="77777777" w:rsidR="00C156A0" w:rsidRDefault="00C156A0" w:rsidP="00C156A0">
      <w:pPr>
        <w:spacing w:before="0" w:line="240" w:lineRule="auto"/>
        <w:rPr>
          <w:rFonts w:eastAsia="Calibri" w:cs="Calibri Light"/>
          <w:noProof/>
          <w:color w:val="000000"/>
          <w:szCs w:val="22"/>
          <w:lang w:val="sq-AL"/>
        </w:rPr>
      </w:pPr>
    </w:p>
    <w:p w14:paraId="2F962584" w14:textId="77777777" w:rsidR="00671D4B" w:rsidRDefault="00671D4B" w:rsidP="00C156A0">
      <w:pPr>
        <w:spacing w:before="0" w:line="240" w:lineRule="auto"/>
        <w:rPr>
          <w:rFonts w:eastAsia="Calibri" w:cs="Calibri Light"/>
          <w:noProof/>
          <w:color w:val="000000"/>
          <w:szCs w:val="22"/>
          <w:lang w:val="sq-AL"/>
        </w:rPr>
      </w:pPr>
    </w:p>
    <w:p w14:paraId="77626BB8" w14:textId="77777777" w:rsidR="00671D4B" w:rsidRPr="00C156A0" w:rsidRDefault="00671D4B" w:rsidP="00C156A0">
      <w:pPr>
        <w:spacing w:before="0" w:line="240" w:lineRule="auto"/>
        <w:rPr>
          <w:rFonts w:eastAsia="Calibri" w:cs="Calibri Light"/>
          <w:noProof/>
          <w:color w:val="000000"/>
          <w:szCs w:val="22"/>
          <w:lang w:val="sq-AL"/>
        </w:rPr>
      </w:pPr>
    </w:p>
    <w:p w14:paraId="166888BC" w14:textId="77777777" w:rsidR="00C156A0" w:rsidRPr="00B14F86" w:rsidRDefault="00C156A0" w:rsidP="009C7207">
      <w:pPr>
        <w:pStyle w:val="Heading3"/>
        <w:rPr>
          <w:b/>
          <w:bCs/>
        </w:rPr>
      </w:pPr>
      <w:bookmarkStart w:id="262" w:name="_Toc229390842"/>
      <w:proofErr w:type="spellStart"/>
      <w:r w:rsidRPr="00B14F86">
        <w:rPr>
          <w:b/>
          <w:bCs/>
        </w:rPr>
        <w:t>Kultura</w:t>
      </w:r>
      <w:proofErr w:type="spellEnd"/>
      <w:r w:rsidRPr="00B14F86">
        <w:rPr>
          <w:b/>
          <w:bCs/>
        </w:rPr>
        <w:t xml:space="preserve"> </w:t>
      </w:r>
      <w:proofErr w:type="spellStart"/>
      <w:r w:rsidRPr="00B14F86">
        <w:rPr>
          <w:b/>
          <w:bCs/>
        </w:rPr>
        <w:t>dhe</w:t>
      </w:r>
      <w:proofErr w:type="spellEnd"/>
      <w:r w:rsidRPr="00B14F86">
        <w:rPr>
          <w:b/>
          <w:bCs/>
        </w:rPr>
        <w:t xml:space="preserve"> </w:t>
      </w:r>
      <w:proofErr w:type="spellStart"/>
      <w:r w:rsidRPr="00B14F86">
        <w:rPr>
          <w:b/>
          <w:bCs/>
        </w:rPr>
        <w:t>Turizmi</w:t>
      </w:r>
      <w:bookmarkEnd w:id="262"/>
      <w:proofErr w:type="spellEnd"/>
    </w:p>
    <w:p w14:paraId="43524BBE" w14:textId="77777777" w:rsidR="00C156A0" w:rsidRPr="00C156A0" w:rsidRDefault="00C156A0" w:rsidP="00C156A0">
      <w:pPr>
        <w:spacing w:line="240" w:lineRule="auto"/>
        <w:rPr>
          <w:rFonts w:cs="Calibri"/>
          <w:noProof/>
          <w:lang w:val="sq-AL"/>
        </w:rPr>
      </w:pPr>
      <w:r w:rsidRPr="00C156A0">
        <w:rPr>
          <w:rFonts w:cs="Calibri"/>
          <w:noProof/>
          <w:lang w:val="sq-AL"/>
        </w:rPr>
        <w:t>Shpenzimet e planifikuara dhe ato faktike si dhe realizimi për vitin 2025 për Ministrinë e Turizimit, Kulturës dhe Sportit për të gjithë programet, paraqiten si më poshtë:</w:t>
      </w:r>
    </w:p>
    <w:p w14:paraId="4730A1BF" w14:textId="4A94F1D3" w:rsidR="00C156A0" w:rsidRPr="00C156A0" w:rsidRDefault="00C156A0" w:rsidP="00C156A0">
      <w:pPr>
        <w:rPr>
          <w:rFonts w:cs="Calibri"/>
          <w:noProof/>
          <w:color w:val="000000"/>
          <w:sz w:val="8"/>
          <w:lang w:val="sq-AL"/>
        </w:rPr>
      </w:pPr>
      <w:bookmarkStart w:id="263" w:name="_Toc229130009"/>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35</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Turizmit, Kulturës dhe Sportit</w:t>
      </w:r>
      <w:bookmarkEnd w:id="263"/>
    </w:p>
    <w:tbl>
      <w:tblPr>
        <w:tblW w:w="9782" w:type="dxa"/>
        <w:tblLook w:val="04A0" w:firstRow="1" w:lastRow="0" w:firstColumn="1" w:lastColumn="0" w:noHBand="0" w:noVBand="1"/>
      </w:tblPr>
      <w:tblGrid>
        <w:gridCol w:w="1525"/>
        <w:gridCol w:w="919"/>
        <w:gridCol w:w="923"/>
        <w:gridCol w:w="919"/>
        <w:gridCol w:w="923"/>
        <w:gridCol w:w="919"/>
        <w:gridCol w:w="923"/>
        <w:gridCol w:w="687"/>
        <w:gridCol w:w="687"/>
        <w:gridCol w:w="671"/>
        <w:gridCol w:w="686"/>
      </w:tblGrid>
      <w:tr w:rsidR="00C156A0" w:rsidRPr="00F409F4" w14:paraId="18B0F520" w14:textId="77777777" w:rsidTr="00FC0BCD">
        <w:trPr>
          <w:trHeight w:val="285"/>
        </w:trPr>
        <w:tc>
          <w:tcPr>
            <w:tcW w:w="1525" w:type="dxa"/>
            <w:vMerge w:val="restart"/>
            <w:tcBorders>
              <w:top w:val="single" w:sz="4" w:space="0" w:color="auto"/>
              <w:left w:val="single" w:sz="4" w:space="0" w:color="auto"/>
              <w:bottom w:val="single" w:sz="8" w:space="0" w:color="BFBFBF"/>
              <w:right w:val="single" w:sz="8" w:space="0" w:color="BFBFBF"/>
            </w:tcBorders>
            <w:shd w:val="clear" w:color="000000" w:fill="365F91"/>
            <w:vAlign w:val="bottom"/>
            <w:hideMark/>
          </w:tcPr>
          <w:p w14:paraId="2FBA018B" w14:textId="77777777" w:rsidR="00C156A0" w:rsidRPr="00C156A0" w:rsidRDefault="00C156A0" w:rsidP="00C156A0">
            <w:pPr>
              <w:spacing w:before="0" w:line="240" w:lineRule="auto"/>
              <w:jc w:val="left"/>
              <w:rPr>
                <w:rFonts w:cs="Calibri"/>
                <w:color w:val="FFFFFF"/>
                <w:sz w:val="16"/>
                <w:szCs w:val="16"/>
                <w:lang w:val="sq-AL"/>
              </w:rPr>
            </w:pPr>
            <w:r w:rsidRPr="00C156A0">
              <w:rPr>
                <w:rFonts w:cs="Calibri"/>
                <w:color w:val="FFFFFF"/>
                <w:sz w:val="16"/>
                <w:szCs w:val="16"/>
                <w:lang w:val="sq-AL"/>
              </w:rPr>
              <w:t>Programi buxhetor</w:t>
            </w:r>
          </w:p>
        </w:tc>
        <w:tc>
          <w:tcPr>
            <w:tcW w:w="1842" w:type="dxa"/>
            <w:gridSpan w:val="2"/>
            <w:tcBorders>
              <w:top w:val="single" w:sz="4" w:space="0" w:color="auto"/>
              <w:left w:val="nil"/>
              <w:bottom w:val="single" w:sz="12" w:space="0" w:color="95B3D7"/>
              <w:right w:val="single" w:sz="8" w:space="0" w:color="BFBFBF"/>
            </w:tcBorders>
            <w:shd w:val="clear" w:color="000000" w:fill="365F91"/>
            <w:vAlign w:val="bottom"/>
            <w:hideMark/>
          </w:tcPr>
          <w:p w14:paraId="0DD9ED3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fillestar</w:t>
            </w:r>
          </w:p>
        </w:tc>
        <w:tc>
          <w:tcPr>
            <w:tcW w:w="1842" w:type="dxa"/>
            <w:gridSpan w:val="2"/>
            <w:tcBorders>
              <w:top w:val="single" w:sz="4" w:space="0" w:color="auto"/>
              <w:left w:val="single" w:sz="8" w:space="0" w:color="BFBFBF"/>
              <w:bottom w:val="single" w:sz="12" w:space="0" w:color="95B3D7"/>
              <w:right w:val="single" w:sz="8" w:space="0" w:color="B8CCE4"/>
            </w:tcBorders>
            <w:shd w:val="clear" w:color="000000" w:fill="365F91"/>
            <w:vAlign w:val="bottom"/>
            <w:hideMark/>
          </w:tcPr>
          <w:p w14:paraId="7C6E27E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i rishikuar 2025</w:t>
            </w:r>
          </w:p>
        </w:tc>
        <w:tc>
          <w:tcPr>
            <w:tcW w:w="1842" w:type="dxa"/>
            <w:gridSpan w:val="2"/>
            <w:tcBorders>
              <w:top w:val="single" w:sz="4" w:space="0" w:color="auto"/>
              <w:left w:val="single" w:sz="8" w:space="0" w:color="B8CCE4"/>
              <w:bottom w:val="single" w:sz="12" w:space="0" w:color="95B3D7"/>
              <w:right w:val="single" w:sz="8" w:space="0" w:color="B8CCE4"/>
            </w:tcBorders>
            <w:shd w:val="clear" w:color="000000" w:fill="365F91"/>
            <w:vAlign w:val="bottom"/>
            <w:hideMark/>
          </w:tcPr>
          <w:p w14:paraId="28FDA95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Fakti 12M 2025</w:t>
            </w:r>
          </w:p>
        </w:tc>
        <w:tc>
          <w:tcPr>
            <w:tcW w:w="1374" w:type="dxa"/>
            <w:gridSpan w:val="2"/>
            <w:tcBorders>
              <w:top w:val="single" w:sz="4" w:space="0" w:color="auto"/>
              <w:left w:val="single" w:sz="8" w:space="0" w:color="B8CCE4"/>
              <w:bottom w:val="single" w:sz="12" w:space="0" w:color="95B3D7"/>
              <w:right w:val="single" w:sz="8" w:space="0" w:color="B8CCE4"/>
            </w:tcBorders>
            <w:shd w:val="clear" w:color="000000" w:fill="365F91"/>
            <w:vAlign w:val="bottom"/>
            <w:hideMark/>
          </w:tcPr>
          <w:p w14:paraId="2656B2D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fillestar</w:t>
            </w:r>
          </w:p>
        </w:tc>
        <w:tc>
          <w:tcPr>
            <w:tcW w:w="1357" w:type="dxa"/>
            <w:gridSpan w:val="2"/>
            <w:tcBorders>
              <w:top w:val="single" w:sz="4" w:space="0" w:color="auto"/>
              <w:left w:val="single" w:sz="8" w:space="0" w:color="B8CCE4"/>
              <w:bottom w:val="single" w:sz="12" w:space="0" w:color="95B3D7"/>
              <w:right w:val="single" w:sz="4" w:space="0" w:color="000000"/>
            </w:tcBorders>
            <w:shd w:val="clear" w:color="000000" w:fill="365F91"/>
            <w:vAlign w:val="bottom"/>
            <w:hideMark/>
          </w:tcPr>
          <w:p w14:paraId="6717D77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e ndryshuar</w:t>
            </w:r>
          </w:p>
        </w:tc>
      </w:tr>
      <w:tr w:rsidR="00C156A0" w:rsidRPr="00C156A0" w14:paraId="491AE9BE" w14:textId="77777777" w:rsidTr="00FC0BCD">
        <w:trPr>
          <w:trHeight w:val="209"/>
        </w:trPr>
        <w:tc>
          <w:tcPr>
            <w:tcW w:w="1525" w:type="dxa"/>
            <w:vMerge/>
            <w:tcBorders>
              <w:top w:val="single" w:sz="4" w:space="0" w:color="auto"/>
              <w:left w:val="single" w:sz="4" w:space="0" w:color="auto"/>
              <w:bottom w:val="single" w:sz="8" w:space="0" w:color="BFBFBF"/>
              <w:right w:val="single" w:sz="8" w:space="0" w:color="BFBFBF"/>
            </w:tcBorders>
            <w:vAlign w:val="center"/>
            <w:hideMark/>
          </w:tcPr>
          <w:p w14:paraId="57B895C1" w14:textId="77777777" w:rsidR="00C156A0" w:rsidRPr="00C156A0" w:rsidRDefault="00C156A0" w:rsidP="00C156A0">
            <w:pPr>
              <w:spacing w:before="0" w:line="240" w:lineRule="auto"/>
              <w:jc w:val="left"/>
              <w:rPr>
                <w:rFonts w:cs="Calibri"/>
                <w:color w:val="FFFFFF"/>
                <w:sz w:val="16"/>
                <w:szCs w:val="16"/>
                <w:lang w:val="sq-AL"/>
              </w:rPr>
            </w:pPr>
          </w:p>
        </w:tc>
        <w:tc>
          <w:tcPr>
            <w:tcW w:w="919" w:type="dxa"/>
            <w:tcBorders>
              <w:top w:val="nil"/>
              <w:left w:val="nil"/>
              <w:bottom w:val="single" w:sz="8" w:space="0" w:color="B8CCE4"/>
              <w:right w:val="single" w:sz="8" w:space="0" w:color="B8CCE4"/>
            </w:tcBorders>
            <w:shd w:val="clear" w:color="000000" w:fill="365F91"/>
            <w:vAlign w:val="bottom"/>
            <w:hideMark/>
          </w:tcPr>
          <w:p w14:paraId="5F55F1BE" w14:textId="3147D7B8"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923" w:type="dxa"/>
            <w:tcBorders>
              <w:top w:val="nil"/>
              <w:left w:val="nil"/>
              <w:bottom w:val="single" w:sz="8" w:space="0" w:color="B8CCE4"/>
              <w:right w:val="single" w:sz="8" w:space="0" w:color="B8CCE4"/>
            </w:tcBorders>
            <w:shd w:val="clear" w:color="000000" w:fill="365F91"/>
            <w:vAlign w:val="bottom"/>
            <w:hideMark/>
          </w:tcPr>
          <w:p w14:paraId="7F27DDB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919" w:type="dxa"/>
            <w:tcBorders>
              <w:top w:val="nil"/>
              <w:left w:val="nil"/>
              <w:bottom w:val="single" w:sz="8" w:space="0" w:color="B8CCE4"/>
              <w:right w:val="single" w:sz="8" w:space="0" w:color="B8CCE4"/>
            </w:tcBorders>
            <w:shd w:val="clear" w:color="000000" w:fill="365F91"/>
            <w:vAlign w:val="bottom"/>
            <w:hideMark/>
          </w:tcPr>
          <w:p w14:paraId="377096B5" w14:textId="1B8B6710"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923" w:type="dxa"/>
            <w:tcBorders>
              <w:top w:val="nil"/>
              <w:left w:val="nil"/>
              <w:bottom w:val="single" w:sz="8" w:space="0" w:color="B8CCE4"/>
              <w:right w:val="single" w:sz="8" w:space="0" w:color="B8CCE4"/>
            </w:tcBorders>
            <w:shd w:val="clear" w:color="000000" w:fill="365F91"/>
            <w:vAlign w:val="bottom"/>
            <w:hideMark/>
          </w:tcPr>
          <w:p w14:paraId="75527BA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919" w:type="dxa"/>
            <w:tcBorders>
              <w:top w:val="nil"/>
              <w:left w:val="nil"/>
              <w:bottom w:val="single" w:sz="8" w:space="0" w:color="B8CCE4"/>
              <w:right w:val="single" w:sz="8" w:space="0" w:color="B8CCE4"/>
            </w:tcBorders>
            <w:shd w:val="clear" w:color="000000" w:fill="365F91"/>
            <w:vAlign w:val="bottom"/>
            <w:hideMark/>
          </w:tcPr>
          <w:p w14:paraId="785E0CE7" w14:textId="1183DFA9"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923" w:type="dxa"/>
            <w:tcBorders>
              <w:top w:val="nil"/>
              <w:left w:val="nil"/>
              <w:bottom w:val="single" w:sz="8" w:space="0" w:color="B8CCE4"/>
              <w:right w:val="single" w:sz="8" w:space="0" w:color="B8CCE4"/>
            </w:tcBorders>
            <w:shd w:val="clear" w:color="000000" w:fill="365F91"/>
            <w:vAlign w:val="bottom"/>
            <w:hideMark/>
          </w:tcPr>
          <w:p w14:paraId="4B22015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687" w:type="dxa"/>
            <w:tcBorders>
              <w:top w:val="nil"/>
              <w:left w:val="nil"/>
              <w:bottom w:val="single" w:sz="8" w:space="0" w:color="B8CCE4"/>
              <w:right w:val="single" w:sz="8" w:space="0" w:color="B8CCE4"/>
            </w:tcBorders>
            <w:shd w:val="clear" w:color="000000" w:fill="365F91"/>
            <w:vAlign w:val="bottom"/>
            <w:hideMark/>
          </w:tcPr>
          <w:p w14:paraId="72993C97"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686" w:type="dxa"/>
            <w:tcBorders>
              <w:top w:val="nil"/>
              <w:left w:val="nil"/>
              <w:bottom w:val="single" w:sz="8" w:space="0" w:color="B8CCE4"/>
              <w:right w:val="single" w:sz="8" w:space="0" w:color="B8CCE4"/>
            </w:tcBorders>
            <w:shd w:val="clear" w:color="000000" w:fill="365F91"/>
            <w:vAlign w:val="bottom"/>
            <w:hideMark/>
          </w:tcPr>
          <w:p w14:paraId="7BB6679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w:t>
            </w:r>
          </w:p>
        </w:tc>
        <w:tc>
          <w:tcPr>
            <w:tcW w:w="671" w:type="dxa"/>
            <w:tcBorders>
              <w:top w:val="nil"/>
              <w:left w:val="nil"/>
              <w:bottom w:val="single" w:sz="8" w:space="0" w:color="B8CCE4"/>
              <w:right w:val="single" w:sz="8" w:space="0" w:color="B8CCE4"/>
            </w:tcBorders>
            <w:shd w:val="clear" w:color="000000" w:fill="365F91"/>
            <w:vAlign w:val="bottom"/>
            <w:hideMark/>
          </w:tcPr>
          <w:p w14:paraId="1FB0D3B7"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686" w:type="dxa"/>
            <w:tcBorders>
              <w:top w:val="nil"/>
              <w:left w:val="nil"/>
              <w:bottom w:val="single" w:sz="8" w:space="0" w:color="B8CCE4"/>
              <w:right w:val="single" w:sz="4" w:space="0" w:color="auto"/>
            </w:tcBorders>
            <w:shd w:val="clear" w:color="000000" w:fill="365F91"/>
            <w:vAlign w:val="bottom"/>
            <w:hideMark/>
          </w:tcPr>
          <w:p w14:paraId="5DB6CE73"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Inv.</w:t>
            </w:r>
          </w:p>
        </w:tc>
      </w:tr>
      <w:tr w:rsidR="00C156A0" w:rsidRPr="00C156A0" w14:paraId="7DA559C0" w14:textId="77777777" w:rsidTr="00FC0BCD">
        <w:trPr>
          <w:trHeight w:val="304"/>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2886014E" w14:textId="77777777"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Planifikimi, Menaxhimi dhe Administrimi</w:t>
            </w:r>
          </w:p>
        </w:tc>
        <w:tc>
          <w:tcPr>
            <w:tcW w:w="919" w:type="dxa"/>
            <w:tcBorders>
              <w:top w:val="nil"/>
              <w:left w:val="nil"/>
              <w:bottom w:val="single" w:sz="8" w:space="0" w:color="B8CCE4"/>
              <w:right w:val="single" w:sz="8" w:space="0" w:color="B8CCE4"/>
            </w:tcBorders>
            <w:shd w:val="clear" w:color="000000" w:fill="FFFFFF"/>
            <w:vAlign w:val="bottom"/>
            <w:hideMark/>
          </w:tcPr>
          <w:p w14:paraId="37ECDAA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446,979</w:t>
            </w:r>
          </w:p>
        </w:tc>
        <w:tc>
          <w:tcPr>
            <w:tcW w:w="923" w:type="dxa"/>
            <w:tcBorders>
              <w:top w:val="nil"/>
              <w:left w:val="nil"/>
              <w:bottom w:val="single" w:sz="8" w:space="0" w:color="B8CCE4"/>
              <w:right w:val="single" w:sz="8" w:space="0" w:color="B8CCE4"/>
            </w:tcBorders>
            <w:shd w:val="clear" w:color="000000" w:fill="FFFFFF"/>
            <w:vAlign w:val="bottom"/>
            <w:hideMark/>
          </w:tcPr>
          <w:p w14:paraId="148D709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919" w:type="dxa"/>
            <w:tcBorders>
              <w:top w:val="nil"/>
              <w:left w:val="nil"/>
              <w:bottom w:val="single" w:sz="8" w:space="0" w:color="B8CCE4"/>
              <w:right w:val="single" w:sz="8" w:space="0" w:color="B8CCE4"/>
            </w:tcBorders>
            <w:shd w:val="clear" w:color="000000" w:fill="FFFFFF"/>
            <w:vAlign w:val="bottom"/>
            <w:hideMark/>
          </w:tcPr>
          <w:p w14:paraId="1126347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555,177</w:t>
            </w:r>
          </w:p>
        </w:tc>
        <w:tc>
          <w:tcPr>
            <w:tcW w:w="923" w:type="dxa"/>
            <w:tcBorders>
              <w:top w:val="nil"/>
              <w:left w:val="nil"/>
              <w:bottom w:val="single" w:sz="8" w:space="0" w:color="B8CCE4"/>
              <w:right w:val="single" w:sz="8" w:space="0" w:color="B8CCE4"/>
            </w:tcBorders>
            <w:shd w:val="clear" w:color="000000" w:fill="FFFFFF"/>
            <w:vAlign w:val="bottom"/>
            <w:hideMark/>
          </w:tcPr>
          <w:p w14:paraId="01B7959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919" w:type="dxa"/>
            <w:tcBorders>
              <w:top w:val="nil"/>
              <w:left w:val="nil"/>
              <w:bottom w:val="single" w:sz="8" w:space="0" w:color="B8CCE4"/>
              <w:right w:val="single" w:sz="8" w:space="0" w:color="B8CCE4"/>
            </w:tcBorders>
            <w:shd w:val="clear" w:color="000000" w:fill="FFFFFF"/>
            <w:vAlign w:val="bottom"/>
            <w:hideMark/>
          </w:tcPr>
          <w:p w14:paraId="7AF3A6D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524,495</w:t>
            </w:r>
          </w:p>
        </w:tc>
        <w:tc>
          <w:tcPr>
            <w:tcW w:w="923" w:type="dxa"/>
            <w:tcBorders>
              <w:top w:val="nil"/>
              <w:left w:val="nil"/>
              <w:bottom w:val="single" w:sz="8" w:space="0" w:color="B8CCE4"/>
              <w:right w:val="single" w:sz="8" w:space="0" w:color="B8CCE4"/>
            </w:tcBorders>
            <w:shd w:val="clear" w:color="000000" w:fill="FFFFFF"/>
            <w:vAlign w:val="bottom"/>
            <w:hideMark/>
          </w:tcPr>
          <w:p w14:paraId="7053604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87" w:type="dxa"/>
            <w:tcBorders>
              <w:top w:val="nil"/>
              <w:left w:val="nil"/>
              <w:bottom w:val="single" w:sz="8" w:space="0" w:color="B8CCE4"/>
              <w:right w:val="single" w:sz="8" w:space="0" w:color="B8CCE4"/>
            </w:tcBorders>
            <w:shd w:val="clear" w:color="000000" w:fill="FFFFFF"/>
            <w:vAlign w:val="bottom"/>
            <w:hideMark/>
          </w:tcPr>
          <w:p w14:paraId="49A1E8D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117%</w:t>
            </w:r>
          </w:p>
        </w:tc>
        <w:tc>
          <w:tcPr>
            <w:tcW w:w="686" w:type="dxa"/>
            <w:tcBorders>
              <w:top w:val="nil"/>
              <w:left w:val="nil"/>
              <w:bottom w:val="single" w:sz="8" w:space="0" w:color="B8CCE4"/>
              <w:right w:val="single" w:sz="8" w:space="0" w:color="B8CCE4"/>
            </w:tcBorders>
            <w:shd w:val="clear" w:color="000000" w:fill="FFFFFF"/>
            <w:vAlign w:val="bottom"/>
            <w:hideMark/>
          </w:tcPr>
          <w:p w14:paraId="636EB14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71" w:type="dxa"/>
            <w:tcBorders>
              <w:top w:val="nil"/>
              <w:left w:val="nil"/>
              <w:bottom w:val="single" w:sz="8" w:space="0" w:color="B8CCE4"/>
              <w:right w:val="single" w:sz="8" w:space="0" w:color="B8CCE4"/>
            </w:tcBorders>
            <w:shd w:val="clear" w:color="000000" w:fill="FFFFFF"/>
            <w:vAlign w:val="bottom"/>
            <w:hideMark/>
          </w:tcPr>
          <w:p w14:paraId="289513C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94%</w:t>
            </w:r>
          </w:p>
        </w:tc>
        <w:tc>
          <w:tcPr>
            <w:tcW w:w="686" w:type="dxa"/>
            <w:tcBorders>
              <w:top w:val="nil"/>
              <w:left w:val="nil"/>
              <w:bottom w:val="single" w:sz="8" w:space="0" w:color="B8CCE4"/>
              <w:right w:val="single" w:sz="4" w:space="0" w:color="auto"/>
            </w:tcBorders>
            <w:shd w:val="clear" w:color="000000" w:fill="FFFFFF"/>
            <w:vAlign w:val="bottom"/>
            <w:hideMark/>
          </w:tcPr>
          <w:p w14:paraId="7A25226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0%</w:t>
            </w:r>
          </w:p>
        </w:tc>
      </w:tr>
      <w:tr w:rsidR="00C156A0" w:rsidRPr="00C156A0" w14:paraId="567020E6" w14:textId="77777777" w:rsidTr="00FC0BCD">
        <w:trPr>
          <w:trHeight w:val="304"/>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4B710BAB" w14:textId="77777777"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 xml:space="preserve">Trashegimia Kulturore dhe Muzete </w:t>
            </w:r>
          </w:p>
        </w:tc>
        <w:tc>
          <w:tcPr>
            <w:tcW w:w="919" w:type="dxa"/>
            <w:tcBorders>
              <w:top w:val="nil"/>
              <w:left w:val="nil"/>
              <w:bottom w:val="single" w:sz="8" w:space="0" w:color="B8CCE4"/>
              <w:right w:val="single" w:sz="8" w:space="0" w:color="B8CCE4"/>
            </w:tcBorders>
            <w:shd w:val="clear" w:color="000000" w:fill="FFFFFF"/>
            <w:vAlign w:val="bottom"/>
            <w:hideMark/>
          </w:tcPr>
          <w:p w14:paraId="4AD96EC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846,878</w:t>
            </w:r>
          </w:p>
        </w:tc>
        <w:tc>
          <w:tcPr>
            <w:tcW w:w="923" w:type="dxa"/>
            <w:tcBorders>
              <w:top w:val="nil"/>
              <w:left w:val="nil"/>
              <w:bottom w:val="single" w:sz="8" w:space="0" w:color="B8CCE4"/>
              <w:right w:val="single" w:sz="8" w:space="0" w:color="B8CCE4"/>
            </w:tcBorders>
            <w:shd w:val="clear" w:color="000000" w:fill="FFFFFF"/>
            <w:vAlign w:val="bottom"/>
            <w:hideMark/>
          </w:tcPr>
          <w:p w14:paraId="127B58A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272,500</w:t>
            </w:r>
          </w:p>
        </w:tc>
        <w:tc>
          <w:tcPr>
            <w:tcW w:w="919" w:type="dxa"/>
            <w:tcBorders>
              <w:top w:val="nil"/>
              <w:left w:val="nil"/>
              <w:bottom w:val="single" w:sz="8" w:space="0" w:color="B8CCE4"/>
              <w:right w:val="single" w:sz="8" w:space="0" w:color="B8CCE4"/>
            </w:tcBorders>
            <w:shd w:val="clear" w:color="000000" w:fill="FFFFFF"/>
            <w:vAlign w:val="bottom"/>
            <w:hideMark/>
          </w:tcPr>
          <w:p w14:paraId="2103E2E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847,415</w:t>
            </w:r>
          </w:p>
        </w:tc>
        <w:tc>
          <w:tcPr>
            <w:tcW w:w="923" w:type="dxa"/>
            <w:tcBorders>
              <w:top w:val="nil"/>
              <w:left w:val="nil"/>
              <w:bottom w:val="single" w:sz="8" w:space="0" w:color="B8CCE4"/>
              <w:right w:val="single" w:sz="8" w:space="0" w:color="B8CCE4"/>
            </w:tcBorders>
            <w:shd w:val="clear" w:color="000000" w:fill="FFFFFF"/>
            <w:vAlign w:val="bottom"/>
            <w:hideMark/>
          </w:tcPr>
          <w:p w14:paraId="2D242CD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278,085</w:t>
            </w:r>
          </w:p>
        </w:tc>
        <w:tc>
          <w:tcPr>
            <w:tcW w:w="919" w:type="dxa"/>
            <w:tcBorders>
              <w:top w:val="nil"/>
              <w:left w:val="nil"/>
              <w:bottom w:val="single" w:sz="8" w:space="0" w:color="B8CCE4"/>
              <w:right w:val="single" w:sz="8" w:space="0" w:color="B8CCE4"/>
            </w:tcBorders>
            <w:shd w:val="clear" w:color="000000" w:fill="FFFFFF"/>
            <w:vAlign w:val="bottom"/>
            <w:hideMark/>
          </w:tcPr>
          <w:p w14:paraId="5FD89F5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790,354</w:t>
            </w:r>
          </w:p>
        </w:tc>
        <w:tc>
          <w:tcPr>
            <w:tcW w:w="923" w:type="dxa"/>
            <w:tcBorders>
              <w:top w:val="nil"/>
              <w:left w:val="nil"/>
              <w:bottom w:val="single" w:sz="8" w:space="0" w:color="B8CCE4"/>
              <w:right w:val="single" w:sz="8" w:space="0" w:color="B8CCE4"/>
            </w:tcBorders>
            <w:shd w:val="clear" w:color="000000" w:fill="FFFFFF"/>
            <w:vAlign w:val="bottom"/>
            <w:hideMark/>
          </w:tcPr>
          <w:p w14:paraId="14660D7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175,667</w:t>
            </w:r>
          </w:p>
        </w:tc>
        <w:tc>
          <w:tcPr>
            <w:tcW w:w="687" w:type="dxa"/>
            <w:tcBorders>
              <w:top w:val="nil"/>
              <w:left w:val="nil"/>
              <w:bottom w:val="single" w:sz="8" w:space="0" w:color="B8CCE4"/>
              <w:right w:val="single" w:sz="8" w:space="0" w:color="B8CCE4"/>
            </w:tcBorders>
            <w:shd w:val="clear" w:color="000000" w:fill="FFFFFF"/>
            <w:vAlign w:val="bottom"/>
            <w:hideMark/>
          </w:tcPr>
          <w:p w14:paraId="2A1FA34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93%</w:t>
            </w:r>
          </w:p>
        </w:tc>
        <w:tc>
          <w:tcPr>
            <w:tcW w:w="686" w:type="dxa"/>
            <w:tcBorders>
              <w:top w:val="nil"/>
              <w:left w:val="nil"/>
              <w:bottom w:val="single" w:sz="8" w:space="0" w:color="B8CCE4"/>
              <w:right w:val="single" w:sz="8" w:space="0" w:color="B8CCE4"/>
            </w:tcBorders>
            <w:shd w:val="clear" w:color="000000" w:fill="FFFFFF"/>
            <w:vAlign w:val="bottom"/>
            <w:hideMark/>
          </w:tcPr>
          <w:p w14:paraId="1AC7260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64%</w:t>
            </w:r>
          </w:p>
        </w:tc>
        <w:tc>
          <w:tcPr>
            <w:tcW w:w="671" w:type="dxa"/>
            <w:tcBorders>
              <w:top w:val="nil"/>
              <w:left w:val="nil"/>
              <w:bottom w:val="single" w:sz="8" w:space="0" w:color="B8CCE4"/>
              <w:right w:val="single" w:sz="8" w:space="0" w:color="B8CCE4"/>
            </w:tcBorders>
            <w:shd w:val="clear" w:color="000000" w:fill="FFFFFF"/>
            <w:vAlign w:val="bottom"/>
            <w:hideMark/>
          </w:tcPr>
          <w:p w14:paraId="650B52A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93%</w:t>
            </w:r>
          </w:p>
        </w:tc>
        <w:tc>
          <w:tcPr>
            <w:tcW w:w="686" w:type="dxa"/>
            <w:tcBorders>
              <w:top w:val="nil"/>
              <w:left w:val="nil"/>
              <w:bottom w:val="single" w:sz="8" w:space="0" w:color="B8CCE4"/>
              <w:right w:val="single" w:sz="4" w:space="0" w:color="auto"/>
            </w:tcBorders>
            <w:shd w:val="clear" w:color="000000" w:fill="FFFFFF"/>
            <w:vAlign w:val="bottom"/>
            <w:hideMark/>
          </w:tcPr>
          <w:p w14:paraId="7E6DD422"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63%</w:t>
            </w:r>
          </w:p>
        </w:tc>
      </w:tr>
      <w:tr w:rsidR="00C156A0" w:rsidRPr="00C156A0" w14:paraId="76211A7C"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26AAFDD5" w14:textId="0BB4F458" w:rsidR="00C156A0" w:rsidRPr="00327853" w:rsidRDefault="00C156A0" w:rsidP="00327853">
            <w:pPr>
              <w:spacing w:before="0" w:line="240" w:lineRule="auto"/>
              <w:jc w:val="right"/>
              <w:rPr>
                <w:rFonts w:cs="Calibri"/>
                <w:b/>
                <w:bCs/>
                <w:color w:val="000000"/>
                <w:sz w:val="16"/>
                <w:szCs w:val="16"/>
                <w:lang w:val="sq-AL"/>
              </w:rPr>
            </w:pPr>
            <w:r w:rsidRPr="00327853">
              <w:rPr>
                <w:rFonts w:cs="Calibri"/>
                <w:b/>
                <w:bCs/>
                <w:color w:val="000000"/>
                <w:sz w:val="16"/>
                <w:szCs w:val="16"/>
                <w:lang w:val="sq-AL"/>
              </w:rPr>
              <w:t xml:space="preserve">Financimi </w:t>
            </w:r>
            <w:r w:rsidR="00327853">
              <w:rPr>
                <w:rFonts w:cs="Calibri"/>
                <w:b/>
                <w:bCs/>
                <w:color w:val="000000"/>
                <w:sz w:val="16"/>
                <w:szCs w:val="16"/>
                <w:lang w:val="sq-AL"/>
              </w:rPr>
              <w:t>i</w:t>
            </w:r>
            <w:r w:rsidRPr="00327853">
              <w:rPr>
                <w:rFonts w:cs="Calibri"/>
                <w:b/>
                <w:bCs/>
                <w:color w:val="000000"/>
                <w:sz w:val="16"/>
                <w:szCs w:val="16"/>
                <w:lang w:val="sq-AL"/>
              </w:rPr>
              <w:t xml:space="preserve"> huaj</w:t>
            </w:r>
          </w:p>
        </w:tc>
        <w:tc>
          <w:tcPr>
            <w:tcW w:w="919" w:type="dxa"/>
            <w:tcBorders>
              <w:top w:val="nil"/>
              <w:left w:val="nil"/>
              <w:bottom w:val="single" w:sz="8" w:space="0" w:color="B8CCE4"/>
              <w:right w:val="single" w:sz="8" w:space="0" w:color="B8CCE4"/>
            </w:tcBorders>
            <w:shd w:val="clear" w:color="000000" w:fill="FFFFFF"/>
            <w:vAlign w:val="bottom"/>
            <w:hideMark/>
          </w:tcPr>
          <w:p w14:paraId="08D8ABE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7B47500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20,000</w:t>
            </w:r>
          </w:p>
        </w:tc>
        <w:tc>
          <w:tcPr>
            <w:tcW w:w="919" w:type="dxa"/>
            <w:tcBorders>
              <w:top w:val="nil"/>
              <w:left w:val="nil"/>
              <w:bottom w:val="single" w:sz="8" w:space="0" w:color="B8CCE4"/>
              <w:right w:val="single" w:sz="8" w:space="0" w:color="B8CCE4"/>
            </w:tcBorders>
            <w:shd w:val="clear" w:color="000000" w:fill="FFFFFF"/>
            <w:vAlign w:val="bottom"/>
            <w:hideMark/>
          </w:tcPr>
          <w:p w14:paraId="79D5DC3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1C6EAC8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23,000</w:t>
            </w:r>
          </w:p>
        </w:tc>
        <w:tc>
          <w:tcPr>
            <w:tcW w:w="919" w:type="dxa"/>
            <w:tcBorders>
              <w:top w:val="nil"/>
              <w:left w:val="nil"/>
              <w:bottom w:val="single" w:sz="8" w:space="0" w:color="B8CCE4"/>
              <w:right w:val="single" w:sz="8" w:space="0" w:color="B8CCE4"/>
            </w:tcBorders>
            <w:shd w:val="clear" w:color="000000" w:fill="FFFFFF"/>
            <w:vAlign w:val="bottom"/>
            <w:hideMark/>
          </w:tcPr>
          <w:p w14:paraId="5CDEBDC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6823F86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22,424</w:t>
            </w:r>
          </w:p>
        </w:tc>
        <w:tc>
          <w:tcPr>
            <w:tcW w:w="687" w:type="dxa"/>
            <w:tcBorders>
              <w:top w:val="nil"/>
              <w:left w:val="nil"/>
              <w:bottom w:val="single" w:sz="8" w:space="0" w:color="B8CCE4"/>
              <w:right w:val="single" w:sz="8" w:space="0" w:color="B8CCE4"/>
            </w:tcBorders>
            <w:shd w:val="clear" w:color="000000" w:fill="FFFFFF"/>
            <w:vAlign w:val="bottom"/>
            <w:hideMark/>
          </w:tcPr>
          <w:p w14:paraId="46FD513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8" w:space="0" w:color="B8CCE4"/>
            </w:tcBorders>
            <w:shd w:val="clear" w:color="000000" w:fill="FFFFFF"/>
            <w:vAlign w:val="bottom"/>
            <w:hideMark/>
          </w:tcPr>
          <w:p w14:paraId="7F21CE5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112%</w:t>
            </w:r>
          </w:p>
        </w:tc>
        <w:tc>
          <w:tcPr>
            <w:tcW w:w="671" w:type="dxa"/>
            <w:tcBorders>
              <w:top w:val="nil"/>
              <w:left w:val="nil"/>
              <w:bottom w:val="single" w:sz="8" w:space="0" w:color="B8CCE4"/>
              <w:right w:val="single" w:sz="8" w:space="0" w:color="B8CCE4"/>
            </w:tcBorders>
            <w:shd w:val="clear" w:color="000000" w:fill="FFFFFF"/>
            <w:vAlign w:val="bottom"/>
            <w:hideMark/>
          </w:tcPr>
          <w:p w14:paraId="4EF51F1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4" w:space="0" w:color="auto"/>
            </w:tcBorders>
            <w:shd w:val="clear" w:color="000000" w:fill="FFFFFF"/>
            <w:vAlign w:val="bottom"/>
            <w:hideMark/>
          </w:tcPr>
          <w:p w14:paraId="2CB6A693"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97%</w:t>
            </w:r>
          </w:p>
        </w:tc>
      </w:tr>
      <w:tr w:rsidR="00C156A0" w:rsidRPr="00C156A0" w14:paraId="7EA8A8FD"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6F01F304" w14:textId="77777777"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 xml:space="preserve">Arti dhe Kultura </w:t>
            </w:r>
          </w:p>
        </w:tc>
        <w:tc>
          <w:tcPr>
            <w:tcW w:w="919" w:type="dxa"/>
            <w:tcBorders>
              <w:top w:val="nil"/>
              <w:left w:val="nil"/>
              <w:bottom w:val="single" w:sz="8" w:space="0" w:color="B8CCE4"/>
              <w:right w:val="single" w:sz="8" w:space="0" w:color="B8CCE4"/>
            </w:tcBorders>
            <w:shd w:val="clear" w:color="000000" w:fill="FFFFFF"/>
            <w:vAlign w:val="bottom"/>
            <w:hideMark/>
          </w:tcPr>
          <w:p w14:paraId="38D4D6E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1,521,563</w:t>
            </w:r>
          </w:p>
        </w:tc>
        <w:tc>
          <w:tcPr>
            <w:tcW w:w="923" w:type="dxa"/>
            <w:tcBorders>
              <w:top w:val="nil"/>
              <w:left w:val="nil"/>
              <w:bottom w:val="single" w:sz="8" w:space="0" w:color="B8CCE4"/>
              <w:right w:val="single" w:sz="8" w:space="0" w:color="B8CCE4"/>
            </w:tcBorders>
            <w:shd w:val="clear" w:color="000000" w:fill="FFFFFF"/>
            <w:vAlign w:val="bottom"/>
            <w:hideMark/>
          </w:tcPr>
          <w:p w14:paraId="5845AF9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1,467,500</w:t>
            </w:r>
          </w:p>
        </w:tc>
        <w:tc>
          <w:tcPr>
            <w:tcW w:w="919" w:type="dxa"/>
            <w:tcBorders>
              <w:top w:val="nil"/>
              <w:left w:val="nil"/>
              <w:bottom w:val="single" w:sz="8" w:space="0" w:color="B8CCE4"/>
              <w:right w:val="single" w:sz="8" w:space="0" w:color="B8CCE4"/>
            </w:tcBorders>
            <w:shd w:val="clear" w:color="000000" w:fill="FFFFFF"/>
            <w:vAlign w:val="bottom"/>
            <w:hideMark/>
          </w:tcPr>
          <w:p w14:paraId="046E12D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1,622,628</w:t>
            </w:r>
          </w:p>
        </w:tc>
        <w:tc>
          <w:tcPr>
            <w:tcW w:w="923" w:type="dxa"/>
            <w:tcBorders>
              <w:top w:val="nil"/>
              <w:left w:val="nil"/>
              <w:bottom w:val="single" w:sz="8" w:space="0" w:color="B8CCE4"/>
              <w:right w:val="single" w:sz="8" w:space="0" w:color="B8CCE4"/>
            </w:tcBorders>
            <w:shd w:val="clear" w:color="000000" w:fill="FFFFFF"/>
            <w:vAlign w:val="bottom"/>
            <w:hideMark/>
          </w:tcPr>
          <w:p w14:paraId="0DD68E6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1,430,500</w:t>
            </w:r>
          </w:p>
        </w:tc>
        <w:tc>
          <w:tcPr>
            <w:tcW w:w="919" w:type="dxa"/>
            <w:tcBorders>
              <w:top w:val="nil"/>
              <w:left w:val="nil"/>
              <w:bottom w:val="single" w:sz="8" w:space="0" w:color="B8CCE4"/>
              <w:right w:val="single" w:sz="8" w:space="0" w:color="B8CCE4"/>
            </w:tcBorders>
            <w:shd w:val="clear" w:color="000000" w:fill="FFFFFF"/>
            <w:vAlign w:val="bottom"/>
            <w:hideMark/>
          </w:tcPr>
          <w:p w14:paraId="7B22421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1,590,254</w:t>
            </w:r>
          </w:p>
        </w:tc>
        <w:tc>
          <w:tcPr>
            <w:tcW w:w="923" w:type="dxa"/>
            <w:tcBorders>
              <w:top w:val="nil"/>
              <w:left w:val="nil"/>
              <w:bottom w:val="single" w:sz="8" w:space="0" w:color="B8CCE4"/>
              <w:right w:val="single" w:sz="8" w:space="0" w:color="B8CCE4"/>
            </w:tcBorders>
            <w:shd w:val="clear" w:color="000000" w:fill="FFFFFF"/>
            <w:vAlign w:val="bottom"/>
            <w:hideMark/>
          </w:tcPr>
          <w:p w14:paraId="6C4E2E1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1,283,353</w:t>
            </w:r>
          </w:p>
        </w:tc>
        <w:tc>
          <w:tcPr>
            <w:tcW w:w="687" w:type="dxa"/>
            <w:tcBorders>
              <w:top w:val="nil"/>
              <w:left w:val="nil"/>
              <w:bottom w:val="single" w:sz="8" w:space="0" w:color="B8CCE4"/>
              <w:right w:val="single" w:sz="8" w:space="0" w:color="B8CCE4"/>
            </w:tcBorders>
            <w:shd w:val="clear" w:color="000000" w:fill="FFFFFF"/>
            <w:vAlign w:val="bottom"/>
            <w:hideMark/>
          </w:tcPr>
          <w:p w14:paraId="0E4A278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105%</w:t>
            </w:r>
          </w:p>
        </w:tc>
        <w:tc>
          <w:tcPr>
            <w:tcW w:w="686" w:type="dxa"/>
            <w:tcBorders>
              <w:top w:val="nil"/>
              <w:left w:val="nil"/>
              <w:bottom w:val="single" w:sz="8" w:space="0" w:color="B8CCE4"/>
              <w:right w:val="single" w:sz="8" w:space="0" w:color="B8CCE4"/>
            </w:tcBorders>
            <w:shd w:val="clear" w:color="000000" w:fill="FFFFFF"/>
            <w:vAlign w:val="bottom"/>
            <w:hideMark/>
          </w:tcPr>
          <w:p w14:paraId="4DDC434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87%</w:t>
            </w:r>
          </w:p>
        </w:tc>
        <w:tc>
          <w:tcPr>
            <w:tcW w:w="671" w:type="dxa"/>
            <w:tcBorders>
              <w:top w:val="nil"/>
              <w:left w:val="nil"/>
              <w:bottom w:val="single" w:sz="8" w:space="0" w:color="B8CCE4"/>
              <w:right w:val="single" w:sz="8" w:space="0" w:color="B8CCE4"/>
            </w:tcBorders>
            <w:shd w:val="clear" w:color="000000" w:fill="FFFFFF"/>
            <w:vAlign w:val="bottom"/>
            <w:hideMark/>
          </w:tcPr>
          <w:p w14:paraId="160E130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w:t>
            </w:r>
          </w:p>
        </w:tc>
        <w:tc>
          <w:tcPr>
            <w:tcW w:w="686" w:type="dxa"/>
            <w:tcBorders>
              <w:top w:val="nil"/>
              <w:left w:val="nil"/>
              <w:bottom w:val="single" w:sz="8" w:space="0" w:color="B8CCE4"/>
              <w:right w:val="single" w:sz="4" w:space="0" w:color="auto"/>
            </w:tcBorders>
            <w:shd w:val="clear" w:color="000000" w:fill="FFFFFF"/>
            <w:vAlign w:val="bottom"/>
            <w:hideMark/>
          </w:tcPr>
          <w:p w14:paraId="34FD90CC"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90%</w:t>
            </w:r>
          </w:p>
        </w:tc>
      </w:tr>
      <w:tr w:rsidR="00C156A0" w:rsidRPr="00C156A0" w14:paraId="0CABF32C"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2767EBAC" w14:textId="212409F1" w:rsidR="00C156A0" w:rsidRPr="00327853" w:rsidRDefault="00C156A0" w:rsidP="00327853">
            <w:pPr>
              <w:spacing w:before="0" w:line="240" w:lineRule="auto"/>
              <w:jc w:val="right"/>
              <w:rPr>
                <w:rFonts w:cs="Calibri"/>
                <w:b/>
                <w:bCs/>
                <w:color w:val="000000"/>
                <w:sz w:val="16"/>
                <w:szCs w:val="16"/>
                <w:lang w:val="sq-AL"/>
              </w:rPr>
            </w:pPr>
            <w:r w:rsidRPr="00327853">
              <w:rPr>
                <w:rFonts w:cs="Calibri"/>
                <w:b/>
                <w:bCs/>
                <w:color w:val="000000"/>
                <w:sz w:val="16"/>
                <w:szCs w:val="16"/>
                <w:lang w:val="sq-AL"/>
              </w:rPr>
              <w:t xml:space="preserve">Financimi </w:t>
            </w:r>
            <w:r w:rsidR="00327853">
              <w:rPr>
                <w:rFonts w:cs="Calibri"/>
                <w:b/>
                <w:bCs/>
                <w:color w:val="000000"/>
                <w:sz w:val="16"/>
                <w:szCs w:val="16"/>
                <w:lang w:val="sq-AL"/>
              </w:rPr>
              <w:t>i</w:t>
            </w:r>
            <w:r w:rsidRPr="00327853">
              <w:rPr>
                <w:rFonts w:cs="Calibri"/>
                <w:b/>
                <w:bCs/>
                <w:color w:val="000000"/>
                <w:sz w:val="16"/>
                <w:szCs w:val="16"/>
                <w:lang w:val="sq-AL"/>
              </w:rPr>
              <w:t xml:space="preserve"> huaj</w:t>
            </w:r>
          </w:p>
        </w:tc>
        <w:tc>
          <w:tcPr>
            <w:tcW w:w="919" w:type="dxa"/>
            <w:tcBorders>
              <w:top w:val="nil"/>
              <w:left w:val="nil"/>
              <w:bottom w:val="single" w:sz="8" w:space="0" w:color="B8CCE4"/>
              <w:right w:val="single" w:sz="8" w:space="0" w:color="B8CCE4"/>
            </w:tcBorders>
            <w:shd w:val="clear" w:color="000000" w:fill="FFFFFF"/>
            <w:vAlign w:val="bottom"/>
            <w:hideMark/>
          </w:tcPr>
          <w:p w14:paraId="58C8DF6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2D2F5BE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20,000</w:t>
            </w:r>
          </w:p>
        </w:tc>
        <w:tc>
          <w:tcPr>
            <w:tcW w:w="919" w:type="dxa"/>
            <w:tcBorders>
              <w:top w:val="nil"/>
              <w:left w:val="nil"/>
              <w:bottom w:val="single" w:sz="8" w:space="0" w:color="B8CCE4"/>
              <w:right w:val="single" w:sz="8" w:space="0" w:color="B8CCE4"/>
            </w:tcBorders>
            <w:shd w:val="clear" w:color="000000" w:fill="FFFFFF"/>
            <w:vAlign w:val="bottom"/>
            <w:hideMark/>
          </w:tcPr>
          <w:p w14:paraId="0CE6169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71FE99D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w:t>
            </w:r>
          </w:p>
        </w:tc>
        <w:tc>
          <w:tcPr>
            <w:tcW w:w="919" w:type="dxa"/>
            <w:tcBorders>
              <w:top w:val="nil"/>
              <w:left w:val="nil"/>
              <w:bottom w:val="single" w:sz="8" w:space="0" w:color="B8CCE4"/>
              <w:right w:val="single" w:sz="8" w:space="0" w:color="B8CCE4"/>
            </w:tcBorders>
            <w:shd w:val="clear" w:color="000000" w:fill="FFFFFF"/>
            <w:vAlign w:val="bottom"/>
            <w:hideMark/>
          </w:tcPr>
          <w:p w14:paraId="4F60C34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 </w:t>
            </w:r>
          </w:p>
        </w:tc>
        <w:tc>
          <w:tcPr>
            <w:tcW w:w="923" w:type="dxa"/>
            <w:tcBorders>
              <w:top w:val="nil"/>
              <w:left w:val="nil"/>
              <w:bottom w:val="single" w:sz="8" w:space="0" w:color="B8CCE4"/>
              <w:right w:val="single" w:sz="8" w:space="0" w:color="B8CCE4"/>
            </w:tcBorders>
            <w:shd w:val="clear" w:color="000000" w:fill="FFFFFF"/>
            <w:vAlign w:val="bottom"/>
            <w:hideMark/>
          </w:tcPr>
          <w:p w14:paraId="4E2FF2C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87" w:type="dxa"/>
            <w:tcBorders>
              <w:top w:val="nil"/>
              <w:left w:val="nil"/>
              <w:bottom w:val="single" w:sz="8" w:space="0" w:color="B8CCE4"/>
              <w:right w:val="single" w:sz="8" w:space="0" w:color="B8CCE4"/>
            </w:tcBorders>
            <w:shd w:val="clear" w:color="000000" w:fill="FFFFFF"/>
            <w:vAlign w:val="bottom"/>
            <w:hideMark/>
          </w:tcPr>
          <w:p w14:paraId="2081856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8" w:space="0" w:color="B8CCE4"/>
            </w:tcBorders>
            <w:shd w:val="clear" w:color="000000" w:fill="FFFFFF"/>
            <w:vAlign w:val="bottom"/>
            <w:hideMark/>
          </w:tcPr>
          <w:p w14:paraId="23E864D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71" w:type="dxa"/>
            <w:tcBorders>
              <w:top w:val="nil"/>
              <w:left w:val="nil"/>
              <w:bottom w:val="single" w:sz="8" w:space="0" w:color="B8CCE4"/>
              <w:right w:val="single" w:sz="8" w:space="0" w:color="B8CCE4"/>
            </w:tcBorders>
            <w:shd w:val="clear" w:color="000000" w:fill="FFFFFF"/>
            <w:vAlign w:val="bottom"/>
            <w:hideMark/>
          </w:tcPr>
          <w:p w14:paraId="257249F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4" w:space="0" w:color="auto"/>
            </w:tcBorders>
            <w:shd w:val="clear" w:color="000000" w:fill="FFFFFF"/>
            <w:vAlign w:val="bottom"/>
            <w:hideMark/>
          </w:tcPr>
          <w:p w14:paraId="2C8BDD0C"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0%</w:t>
            </w:r>
          </w:p>
        </w:tc>
      </w:tr>
      <w:tr w:rsidR="00C156A0" w:rsidRPr="00C156A0" w14:paraId="45AF0200"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3B9CA258" w14:textId="1285BC33"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 xml:space="preserve">04760 Zhvillimi </w:t>
            </w:r>
            <w:r w:rsidR="00327853">
              <w:rPr>
                <w:rFonts w:cs="Calibri"/>
                <w:b/>
                <w:bCs/>
                <w:color w:val="000000"/>
                <w:sz w:val="16"/>
                <w:szCs w:val="16"/>
                <w:lang w:val="sq-AL"/>
              </w:rPr>
              <w:t>i</w:t>
            </w:r>
            <w:r w:rsidRPr="00C156A0">
              <w:rPr>
                <w:rFonts w:cs="Calibri"/>
                <w:b/>
                <w:bCs/>
                <w:color w:val="000000"/>
                <w:sz w:val="16"/>
                <w:szCs w:val="16"/>
                <w:lang w:val="sq-AL"/>
              </w:rPr>
              <w:t xml:space="preserve"> Turizmit</w:t>
            </w:r>
          </w:p>
        </w:tc>
        <w:tc>
          <w:tcPr>
            <w:tcW w:w="919" w:type="dxa"/>
            <w:tcBorders>
              <w:top w:val="nil"/>
              <w:left w:val="nil"/>
              <w:bottom w:val="single" w:sz="8" w:space="0" w:color="B8CCE4"/>
              <w:right w:val="single" w:sz="8" w:space="0" w:color="B8CCE4"/>
            </w:tcBorders>
            <w:shd w:val="clear" w:color="000000" w:fill="FFFFFF"/>
            <w:vAlign w:val="bottom"/>
            <w:hideMark/>
          </w:tcPr>
          <w:p w14:paraId="030CEF2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918,000</w:t>
            </w:r>
          </w:p>
        </w:tc>
        <w:tc>
          <w:tcPr>
            <w:tcW w:w="923" w:type="dxa"/>
            <w:tcBorders>
              <w:top w:val="nil"/>
              <w:left w:val="nil"/>
              <w:bottom w:val="single" w:sz="8" w:space="0" w:color="B8CCE4"/>
              <w:right w:val="single" w:sz="8" w:space="0" w:color="B8CCE4"/>
            </w:tcBorders>
            <w:shd w:val="clear" w:color="000000" w:fill="FFFFFF"/>
            <w:vAlign w:val="bottom"/>
            <w:hideMark/>
          </w:tcPr>
          <w:p w14:paraId="223E5A5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90,000</w:t>
            </w:r>
          </w:p>
        </w:tc>
        <w:tc>
          <w:tcPr>
            <w:tcW w:w="919" w:type="dxa"/>
            <w:tcBorders>
              <w:top w:val="nil"/>
              <w:left w:val="nil"/>
              <w:bottom w:val="single" w:sz="8" w:space="0" w:color="B8CCE4"/>
              <w:right w:val="single" w:sz="8" w:space="0" w:color="B8CCE4"/>
            </w:tcBorders>
            <w:shd w:val="clear" w:color="000000" w:fill="FFFFFF"/>
            <w:vAlign w:val="bottom"/>
            <w:hideMark/>
          </w:tcPr>
          <w:p w14:paraId="4D1CB2E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909,620</w:t>
            </w:r>
          </w:p>
        </w:tc>
        <w:tc>
          <w:tcPr>
            <w:tcW w:w="923" w:type="dxa"/>
            <w:tcBorders>
              <w:top w:val="nil"/>
              <w:left w:val="nil"/>
              <w:bottom w:val="single" w:sz="8" w:space="0" w:color="B8CCE4"/>
              <w:right w:val="single" w:sz="8" w:space="0" w:color="B8CCE4"/>
            </w:tcBorders>
            <w:shd w:val="clear" w:color="000000" w:fill="FFFFFF"/>
            <w:vAlign w:val="bottom"/>
            <w:hideMark/>
          </w:tcPr>
          <w:p w14:paraId="6107CC4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22,205</w:t>
            </w:r>
          </w:p>
        </w:tc>
        <w:tc>
          <w:tcPr>
            <w:tcW w:w="919" w:type="dxa"/>
            <w:tcBorders>
              <w:top w:val="nil"/>
              <w:left w:val="nil"/>
              <w:bottom w:val="single" w:sz="8" w:space="0" w:color="B8CCE4"/>
              <w:right w:val="single" w:sz="8" w:space="0" w:color="B8CCE4"/>
            </w:tcBorders>
            <w:shd w:val="clear" w:color="000000" w:fill="FFFFFF"/>
            <w:vAlign w:val="bottom"/>
            <w:hideMark/>
          </w:tcPr>
          <w:p w14:paraId="033414B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904,970</w:t>
            </w:r>
          </w:p>
        </w:tc>
        <w:tc>
          <w:tcPr>
            <w:tcW w:w="923" w:type="dxa"/>
            <w:tcBorders>
              <w:top w:val="nil"/>
              <w:left w:val="nil"/>
              <w:bottom w:val="single" w:sz="8" w:space="0" w:color="B8CCE4"/>
              <w:right w:val="single" w:sz="8" w:space="0" w:color="B8CCE4"/>
            </w:tcBorders>
            <w:shd w:val="clear" w:color="000000" w:fill="FFFFFF"/>
            <w:vAlign w:val="bottom"/>
            <w:hideMark/>
          </w:tcPr>
          <w:p w14:paraId="000B52F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705</w:t>
            </w:r>
          </w:p>
        </w:tc>
        <w:tc>
          <w:tcPr>
            <w:tcW w:w="687" w:type="dxa"/>
            <w:tcBorders>
              <w:top w:val="nil"/>
              <w:left w:val="nil"/>
              <w:bottom w:val="single" w:sz="8" w:space="0" w:color="B8CCE4"/>
              <w:right w:val="single" w:sz="8" w:space="0" w:color="B8CCE4"/>
            </w:tcBorders>
            <w:shd w:val="clear" w:color="000000" w:fill="FFFFFF"/>
            <w:vAlign w:val="bottom"/>
            <w:hideMark/>
          </w:tcPr>
          <w:p w14:paraId="4D79FD0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686" w:type="dxa"/>
            <w:tcBorders>
              <w:top w:val="nil"/>
              <w:left w:val="nil"/>
              <w:bottom w:val="single" w:sz="8" w:space="0" w:color="B8CCE4"/>
              <w:right w:val="single" w:sz="8" w:space="0" w:color="B8CCE4"/>
            </w:tcBorders>
            <w:shd w:val="clear" w:color="000000" w:fill="FFFFFF"/>
            <w:vAlign w:val="bottom"/>
            <w:hideMark/>
          </w:tcPr>
          <w:p w14:paraId="5BED1B0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w:t>
            </w:r>
          </w:p>
        </w:tc>
        <w:tc>
          <w:tcPr>
            <w:tcW w:w="671" w:type="dxa"/>
            <w:tcBorders>
              <w:top w:val="nil"/>
              <w:left w:val="nil"/>
              <w:bottom w:val="single" w:sz="8" w:space="0" w:color="B8CCE4"/>
              <w:right w:val="single" w:sz="8" w:space="0" w:color="B8CCE4"/>
            </w:tcBorders>
            <w:shd w:val="clear" w:color="000000" w:fill="FFFFFF"/>
            <w:vAlign w:val="bottom"/>
            <w:hideMark/>
          </w:tcPr>
          <w:p w14:paraId="3233BA5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686" w:type="dxa"/>
            <w:tcBorders>
              <w:top w:val="nil"/>
              <w:left w:val="nil"/>
              <w:bottom w:val="single" w:sz="8" w:space="0" w:color="B8CCE4"/>
              <w:right w:val="single" w:sz="4" w:space="0" w:color="auto"/>
            </w:tcBorders>
            <w:shd w:val="clear" w:color="000000" w:fill="FFFFFF"/>
            <w:vAlign w:val="bottom"/>
            <w:hideMark/>
          </w:tcPr>
          <w:p w14:paraId="05811FD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3%</w:t>
            </w:r>
          </w:p>
        </w:tc>
      </w:tr>
      <w:tr w:rsidR="00C156A0" w:rsidRPr="00C156A0" w14:paraId="45D37336"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65EC88BF" w14:textId="1304AD9B" w:rsidR="00C156A0" w:rsidRPr="00327853" w:rsidRDefault="00C156A0" w:rsidP="00327853">
            <w:pPr>
              <w:spacing w:before="0" w:line="240" w:lineRule="auto"/>
              <w:jc w:val="right"/>
              <w:rPr>
                <w:rFonts w:cs="Calibri"/>
                <w:b/>
                <w:bCs/>
                <w:color w:val="000000"/>
                <w:sz w:val="16"/>
                <w:szCs w:val="16"/>
                <w:lang w:val="sq-AL"/>
              </w:rPr>
            </w:pPr>
            <w:r w:rsidRPr="00327853">
              <w:rPr>
                <w:rFonts w:cs="Calibri"/>
                <w:b/>
                <w:bCs/>
                <w:color w:val="000000"/>
                <w:sz w:val="16"/>
                <w:szCs w:val="16"/>
                <w:lang w:val="sq-AL"/>
              </w:rPr>
              <w:t xml:space="preserve">Financimi </w:t>
            </w:r>
            <w:r w:rsidR="00327853">
              <w:rPr>
                <w:rFonts w:cs="Calibri"/>
                <w:b/>
                <w:bCs/>
                <w:color w:val="000000"/>
                <w:sz w:val="16"/>
                <w:szCs w:val="16"/>
                <w:lang w:val="sq-AL"/>
              </w:rPr>
              <w:t>i</w:t>
            </w:r>
            <w:r w:rsidRPr="00327853">
              <w:rPr>
                <w:rFonts w:cs="Calibri"/>
                <w:b/>
                <w:bCs/>
                <w:color w:val="000000"/>
                <w:sz w:val="16"/>
                <w:szCs w:val="16"/>
                <w:lang w:val="sq-AL"/>
              </w:rPr>
              <w:t xml:space="preserve"> huaj</w:t>
            </w:r>
          </w:p>
        </w:tc>
        <w:tc>
          <w:tcPr>
            <w:tcW w:w="919" w:type="dxa"/>
            <w:tcBorders>
              <w:top w:val="nil"/>
              <w:left w:val="nil"/>
              <w:bottom w:val="single" w:sz="8" w:space="0" w:color="B8CCE4"/>
              <w:right w:val="single" w:sz="8" w:space="0" w:color="B8CCE4"/>
            </w:tcBorders>
            <w:shd w:val="clear" w:color="000000" w:fill="FFFFFF"/>
            <w:vAlign w:val="bottom"/>
            <w:hideMark/>
          </w:tcPr>
          <w:p w14:paraId="3E4703E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456E23D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19" w:type="dxa"/>
            <w:tcBorders>
              <w:top w:val="nil"/>
              <w:left w:val="nil"/>
              <w:bottom w:val="single" w:sz="8" w:space="0" w:color="B8CCE4"/>
              <w:right w:val="single" w:sz="8" w:space="0" w:color="B8CCE4"/>
            </w:tcBorders>
            <w:shd w:val="clear" w:color="000000" w:fill="FFFFFF"/>
            <w:vAlign w:val="bottom"/>
            <w:hideMark/>
          </w:tcPr>
          <w:p w14:paraId="2D62B8C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3F57FF9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w:t>
            </w:r>
          </w:p>
        </w:tc>
        <w:tc>
          <w:tcPr>
            <w:tcW w:w="919" w:type="dxa"/>
            <w:tcBorders>
              <w:top w:val="nil"/>
              <w:left w:val="nil"/>
              <w:bottom w:val="single" w:sz="8" w:space="0" w:color="B8CCE4"/>
              <w:right w:val="single" w:sz="8" w:space="0" w:color="B8CCE4"/>
            </w:tcBorders>
            <w:shd w:val="clear" w:color="000000" w:fill="FFFFFF"/>
            <w:vAlign w:val="bottom"/>
            <w:hideMark/>
          </w:tcPr>
          <w:p w14:paraId="2DF608E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52C0116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87" w:type="dxa"/>
            <w:tcBorders>
              <w:top w:val="nil"/>
              <w:left w:val="nil"/>
              <w:bottom w:val="single" w:sz="8" w:space="0" w:color="B8CCE4"/>
              <w:right w:val="single" w:sz="8" w:space="0" w:color="B8CCE4"/>
            </w:tcBorders>
            <w:shd w:val="clear" w:color="000000" w:fill="FFFFFF"/>
            <w:vAlign w:val="bottom"/>
            <w:hideMark/>
          </w:tcPr>
          <w:p w14:paraId="2D67AE6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8" w:space="0" w:color="B8CCE4"/>
            </w:tcBorders>
            <w:shd w:val="clear" w:color="000000" w:fill="FFFFFF"/>
            <w:vAlign w:val="bottom"/>
            <w:hideMark/>
          </w:tcPr>
          <w:p w14:paraId="7D9B4C8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71" w:type="dxa"/>
            <w:tcBorders>
              <w:top w:val="nil"/>
              <w:left w:val="nil"/>
              <w:bottom w:val="single" w:sz="8" w:space="0" w:color="B8CCE4"/>
              <w:right w:val="single" w:sz="8" w:space="0" w:color="B8CCE4"/>
            </w:tcBorders>
            <w:shd w:val="clear" w:color="000000" w:fill="FFFFFF"/>
            <w:vAlign w:val="bottom"/>
            <w:hideMark/>
          </w:tcPr>
          <w:p w14:paraId="49D4F64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4" w:space="0" w:color="auto"/>
            </w:tcBorders>
            <w:shd w:val="clear" w:color="000000" w:fill="FFFFFF"/>
            <w:vAlign w:val="bottom"/>
            <w:hideMark/>
          </w:tcPr>
          <w:p w14:paraId="09F98E44"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0%</w:t>
            </w:r>
          </w:p>
        </w:tc>
      </w:tr>
      <w:tr w:rsidR="00C156A0" w:rsidRPr="00C156A0" w14:paraId="7526D43A"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5BF7B469" w14:textId="77777777"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08140 Zhvillimi i sportit</w:t>
            </w:r>
          </w:p>
        </w:tc>
        <w:tc>
          <w:tcPr>
            <w:tcW w:w="919" w:type="dxa"/>
            <w:tcBorders>
              <w:top w:val="nil"/>
              <w:left w:val="nil"/>
              <w:bottom w:val="single" w:sz="8" w:space="0" w:color="B8CCE4"/>
              <w:right w:val="single" w:sz="8" w:space="0" w:color="B8CCE4"/>
            </w:tcBorders>
            <w:shd w:val="clear" w:color="000000" w:fill="FFFFFF"/>
            <w:vAlign w:val="bottom"/>
            <w:hideMark/>
          </w:tcPr>
          <w:p w14:paraId="48D0F92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412,100</w:t>
            </w:r>
          </w:p>
        </w:tc>
        <w:tc>
          <w:tcPr>
            <w:tcW w:w="923" w:type="dxa"/>
            <w:tcBorders>
              <w:top w:val="nil"/>
              <w:left w:val="nil"/>
              <w:bottom w:val="single" w:sz="8" w:space="0" w:color="B8CCE4"/>
              <w:right w:val="single" w:sz="8" w:space="0" w:color="B8CCE4"/>
            </w:tcBorders>
            <w:shd w:val="clear" w:color="000000" w:fill="FFFFFF"/>
            <w:vAlign w:val="bottom"/>
            <w:hideMark/>
          </w:tcPr>
          <w:p w14:paraId="13F36BA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200,000</w:t>
            </w:r>
          </w:p>
        </w:tc>
        <w:tc>
          <w:tcPr>
            <w:tcW w:w="919" w:type="dxa"/>
            <w:tcBorders>
              <w:top w:val="nil"/>
              <w:left w:val="nil"/>
              <w:bottom w:val="single" w:sz="8" w:space="0" w:color="B8CCE4"/>
              <w:right w:val="single" w:sz="8" w:space="0" w:color="B8CCE4"/>
            </w:tcBorders>
            <w:shd w:val="clear" w:color="000000" w:fill="FFFFFF"/>
            <w:vAlign w:val="bottom"/>
            <w:hideMark/>
          </w:tcPr>
          <w:p w14:paraId="7C7552E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2,008,200</w:t>
            </w:r>
          </w:p>
        </w:tc>
        <w:tc>
          <w:tcPr>
            <w:tcW w:w="923" w:type="dxa"/>
            <w:tcBorders>
              <w:top w:val="nil"/>
              <w:left w:val="nil"/>
              <w:bottom w:val="single" w:sz="8" w:space="0" w:color="B8CCE4"/>
              <w:right w:val="single" w:sz="8" w:space="0" w:color="B8CCE4"/>
            </w:tcBorders>
            <w:shd w:val="clear" w:color="000000" w:fill="FFFFFF"/>
            <w:vAlign w:val="bottom"/>
            <w:hideMark/>
          </w:tcPr>
          <w:p w14:paraId="3BFB8B4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2,818</w:t>
            </w:r>
          </w:p>
        </w:tc>
        <w:tc>
          <w:tcPr>
            <w:tcW w:w="919" w:type="dxa"/>
            <w:tcBorders>
              <w:top w:val="nil"/>
              <w:left w:val="nil"/>
              <w:bottom w:val="single" w:sz="8" w:space="0" w:color="B8CCE4"/>
              <w:right w:val="single" w:sz="8" w:space="0" w:color="B8CCE4"/>
            </w:tcBorders>
            <w:shd w:val="clear" w:color="000000" w:fill="FFFFFF"/>
            <w:vAlign w:val="bottom"/>
            <w:hideMark/>
          </w:tcPr>
          <w:p w14:paraId="3C1B887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1,976,626</w:t>
            </w:r>
          </w:p>
        </w:tc>
        <w:tc>
          <w:tcPr>
            <w:tcW w:w="923" w:type="dxa"/>
            <w:tcBorders>
              <w:top w:val="nil"/>
              <w:left w:val="nil"/>
              <w:bottom w:val="single" w:sz="8" w:space="0" w:color="B8CCE4"/>
              <w:right w:val="single" w:sz="8" w:space="0" w:color="B8CCE4"/>
            </w:tcBorders>
            <w:shd w:val="clear" w:color="000000" w:fill="FFFFFF"/>
            <w:vAlign w:val="bottom"/>
            <w:hideMark/>
          </w:tcPr>
          <w:p w14:paraId="074E733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2,818</w:t>
            </w:r>
          </w:p>
        </w:tc>
        <w:tc>
          <w:tcPr>
            <w:tcW w:w="687" w:type="dxa"/>
            <w:tcBorders>
              <w:top w:val="nil"/>
              <w:left w:val="nil"/>
              <w:bottom w:val="single" w:sz="8" w:space="0" w:color="B8CCE4"/>
              <w:right w:val="single" w:sz="8" w:space="0" w:color="B8CCE4"/>
            </w:tcBorders>
            <w:shd w:val="clear" w:color="000000" w:fill="FFFFFF"/>
            <w:vAlign w:val="bottom"/>
            <w:hideMark/>
          </w:tcPr>
          <w:p w14:paraId="67A65A0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480%</w:t>
            </w:r>
          </w:p>
        </w:tc>
        <w:tc>
          <w:tcPr>
            <w:tcW w:w="686" w:type="dxa"/>
            <w:tcBorders>
              <w:top w:val="nil"/>
              <w:left w:val="nil"/>
              <w:bottom w:val="single" w:sz="8" w:space="0" w:color="B8CCE4"/>
              <w:right w:val="single" w:sz="8" w:space="0" w:color="B8CCE4"/>
            </w:tcBorders>
            <w:shd w:val="clear" w:color="000000" w:fill="FFFFFF"/>
            <w:vAlign w:val="bottom"/>
            <w:hideMark/>
          </w:tcPr>
          <w:p w14:paraId="73D9552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w:t>
            </w:r>
          </w:p>
        </w:tc>
        <w:tc>
          <w:tcPr>
            <w:tcW w:w="671" w:type="dxa"/>
            <w:tcBorders>
              <w:top w:val="nil"/>
              <w:left w:val="nil"/>
              <w:bottom w:val="single" w:sz="8" w:space="0" w:color="B8CCE4"/>
              <w:right w:val="single" w:sz="8" w:space="0" w:color="B8CCE4"/>
            </w:tcBorders>
            <w:shd w:val="clear" w:color="000000" w:fill="FFFFFF"/>
            <w:vAlign w:val="bottom"/>
            <w:hideMark/>
          </w:tcPr>
          <w:p w14:paraId="73A393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w:t>
            </w:r>
          </w:p>
        </w:tc>
        <w:tc>
          <w:tcPr>
            <w:tcW w:w="686" w:type="dxa"/>
            <w:tcBorders>
              <w:top w:val="nil"/>
              <w:left w:val="nil"/>
              <w:bottom w:val="single" w:sz="8" w:space="0" w:color="B8CCE4"/>
              <w:right w:val="single" w:sz="4" w:space="0" w:color="auto"/>
            </w:tcBorders>
            <w:shd w:val="clear" w:color="000000" w:fill="FFFFFF"/>
            <w:vAlign w:val="bottom"/>
            <w:hideMark/>
          </w:tcPr>
          <w:p w14:paraId="655E7E79"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100%</w:t>
            </w:r>
          </w:p>
        </w:tc>
      </w:tr>
      <w:tr w:rsidR="00C156A0" w:rsidRPr="00C156A0" w14:paraId="257E3612"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6DA8A0F7" w14:textId="40F06885" w:rsidR="00C156A0" w:rsidRPr="00327853" w:rsidRDefault="00C156A0" w:rsidP="00327853">
            <w:pPr>
              <w:spacing w:before="0" w:line="240" w:lineRule="auto"/>
              <w:jc w:val="right"/>
              <w:rPr>
                <w:rFonts w:cs="Calibri"/>
                <w:b/>
                <w:bCs/>
                <w:color w:val="000000"/>
                <w:sz w:val="16"/>
                <w:szCs w:val="16"/>
                <w:lang w:val="sq-AL"/>
              </w:rPr>
            </w:pPr>
            <w:r w:rsidRPr="00327853">
              <w:rPr>
                <w:rFonts w:cs="Calibri"/>
                <w:b/>
                <w:bCs/>
                <w:color w:val="000000"/>
                <w:sz w:val="16"/>
                <w:szCs w:val="16"/>
                <w:lang w:val="sq-AL"/>
              </w:rPr>
              <w:t xml:space="preserve">Financimi </w:t>
            </w:r>
            <w:r w:rsidR="00327853">
              <w:rPr>
                <w:rFonts w:cs="Calibri"/>
                <w:b/>
                <w:bCs/>
                <w:color w:val="000000"/>
                <w:sz w:val="16"/>
                <w:szCs w:val="16"/>
                <w:lang w:val="sq-AL"/>
              </w:rPr>
              <w:t>i</w:t>
            </w:r>
            <w:r w:rsidRPr="00327853">
              <w:rPr>
                <w:rFonts w:cs="Calibri"/>
                <w:b/>
                <w:bCs/>
                <w:color w:val="000000"/>
                <w:sz w:val="16"/>
                <w:szCs w:val="16"/>
                <w:lang w:val="sq-AL"/>
              </w:rPr>
              <w:t xml:space="preserve"> huaj</w:t>
            </w:r>
          </w:p>
        </w:tc>
        <w:tc>
          <w:tcPr>
            <w:tcW w:w="919" w:type="dxa"/>
            <w:tcBorders>
              <w:top w:val="nil"/>
              <w:left w:val="nil"/>
              <w:bottom w:val="single" w:sz="8" w:space="0" w:color="B8CCE4"/>
              <w:right w:val="single" w:sz="8" w:space="0" w:color="B8CCE4"/>
            </w:tcBorders>
            <w:shd w:val="clear" w:color="000000" w:fill="FFFFFF"/>
            <w:vAlign w:val="bottom"/>
            <w:hideMark/>
          </w:tcPr>
          <w:p w14:paraId="7934132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5DCF768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20,000</w:t>
            </w:r>
          </w:p>
        </w:tc>
        <w:tc>
          <w:tcPr>
            <w:tcW w:w="919" w:type="dxa"/>
            <w:tcBorders>
              <w:top w:val="nil"/>
              <w:left w:val="nil"/>
              <w:bottom w:val="single" w:sz="8" w:space="0" w:color="B8CCE4"/>
              <w:right w:val="single" w:sz="8" w:space="0" w:color="B8CCE4"/>
            </w:tcBorders>
            <w:shd w:val="clear" w:color="000000" w:fill="FFFFFF"/>
            <w:vAlign w:val="bottom"/>
            <w:hideMark/>
          </w:tcPr>
          <w:p w14:paraId="7B036EF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4DC4C39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919" w:type="dxa"/>
            <w:tcBorders>
              <w:top w:val="nil"/>
              <w:left w:val="nil"/>
              <w:bottom w:val="single" w:sz="8" w:space="0" w:color="B8CCE4"/>
              <w:right w:val="single" w:sz="8" w:space="0" w:color="B8CCE4"/>
            </w:tcBorders>
            <w:shd w:val="clear" w:color="000000" w:fill="FFFFFF"/>
            <w:vAlign w:val="bottom"/>
            <w:hideMark/>
          </w:tcPr>
          <w:p w14:paraId="1091156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28EF198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87" w:type="dxa"/>
            <w:tcBorders>
              <w:top w:val="nil"/>
              <w:left w:val="nil"/>
              <w:bottom w:val="single" w:sz="8" w:space="0" w:color="B8CCE4"/>
              <w:right w:val="single" w:sz="8" w:space="0" w:color="B8CCE4"/>
            </w:tcBorders>
            <w:shd w:val="clear" w:color="000000" w:fill="FFFFFF"/>
            <w:vAlign w:val="bottom"/>
            <w:hideMark/>
          </w:tcPr>
          <w:p w14:paraId="77B3860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8" w:space="0" w:color="B8CCE4"/>
            </w:tcBorders>
            <w:shd w:val="clear" w:color="000000" w:fill="FFFFFF"/>
            <w:vAlign w:val="bottom"/>
            <w:hideMark/>
          </w:tcPr>
          <w:p w14:paraId="3D2A35B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71" w:type="dxa"/>
            <w:tcBorders>
              <w:top w:val="nil"/>
              <w:left w:val="nil"/>
              <w:bottom w:val="single" w:sz="8" w:space="0" w:color="B8CCE4"/>
              <w:right w:val="single" w:sz="8" w:space="0" w:color="B8CCE4"/>
            </w:tcBorders>
            <w:shd w:val="clear" w:color="000000" w:fill="FFFFFF"/>
            <w:vAlign w:val="bottom"/>
            <w:hideMark/>
          </w:tcPr>
          <w:p w14:paraId="175B0ED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4" w:space="0" w:color="auto"/>
            </w:tcBorders>
            <w:shd w:val="clear" w:color="000000" w:fill="FFFFFF"/>
            <w:vAlign w:val="bottom"/>
            <w:hideMark/>
          </w:tcPr>
          <w:p w14:paraId="1B54F66B"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0%</w:t>
            </w:r>
          </w:p>
        </w:tc>
      </w:tr>
      <w:tr w:rsidR="00C156A0" w:rsidRPr="00C156A0" w14:paraId="7CF62EE4" w14:textId="77777777" w:rsidTr="00FC0BCD">
        <w:trPr>
          <w:trHeight w:val="304"/>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75ED2A26" w14:textId="77777777" w:rsidR="00C156A0" w:rsidRPr="00C156A0" w:rsidRDefault="00C156A0" w:rsidP="00327853">
            <w:pPr>
              <w:spacing w:before="0" w:line="240" w:lineRule="auto"/>
              <w:jc w:val="left"/>
              <w:rPr>
                <w:rFonts w:cs="Calibri"/>
                <w:b/>
                <w:bCs/>
                <w:color w:val="000000"/>
                <w:sz w:val="16"/>
                <w:szCs w:val="16"/>
                <w:lang w:val="sq-AL"/>
              </w:rPr>
            </w:pPr>
            <w:r w:rsidRPr="00C156A0">
              <w:rPr>
                <w:rFonts w:cs="Calibri"/>
                <w:b/>
                <w:bCs/>
                <w:color w:val="000000"/>
                <w:sz w:val="16"/>
                <w:szCs w:val="16"/>
                <w:lang w:val="sq-AL"/>
              </w:rPr>
              <w:t xml:space="preserve">08610 Mbështetje për  Rininë dhe Fëmijët </w:t>
            </w:r>
          </w:p>
        </w:tc>
        <w:tc>
          <w:tcPr>
            <w:tcW w:w="919" w:type="dxa"/>
            <w:tcBorders>
              <w:top w:val="nil"/>
              <w:left w:val="nil"/>
              <w:bottom w:val="single" w:sz="8" w:space="0" w:color="B8CCE4"/>
              <w:right w:val="single" w:sz="8" w:space="0" w:color="B8CCE4"/>
            </w:tcBorders>
            <w:shd w:val="clear" w:color="000000" w:fill="FFFFFF"/>
            <w:vAlign w:val="bottom"/>
            <w:hideMark/>
          </w:tcPr>
          <w:p w14:paraId="2676FD4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233,354</w:t>
            </w:r>
          </w:p>
        </w:tc>
        <w:tc>
          <w:tcPr>
            <w:tcW w:w="923" w:type="dxa"/>
            <w:tcBorders>
              <w:top w:val="nil"/>
              <w:left w:val="nil"/>
              <w:bottom w:val="single" w:sz="8" w:space="0" w:color="B8CCE4"/>
              <w:right w:val="single" w:sz="8" w:space="0" w:color="B8CCE4"/>
            </w:tcBorders>
            <w:shd w:val="clear" w:color="000000" w:fill="FFFFFF"/>
            <w:vAlign w:val="bottom"/>
            <w:hideMark/>
          </w:tcPr>
          <w:p w14:paraId="3DE0327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50,000</w:t>
            </w:r>
          </w:p>
        </w:tc>
        <w:tc>
          <w:tcPr>
            <w:tcW w:w="919" w:type="dxa"/>
            <w:tcBorders>
              <w:top w:val="nil"/>
              <w:left w:val="nil"/>
              <w:bottom w:val="single" w:sz="8" w:space="0" w:color="B8CCE4"/>
              <w:right w:val="single" w:sz="8" w:space="0" w:color="B8CCE4"/>
            </w:tcBorders>
            <w:shd w:val="clear" w:color="000000" w:fill="FFFFFF"/>
            <w:vAlign w:val="bottom"/>
            <w:hideMark/>
          </w:tcPr>
          <w:p w14:paraId="5CFBC6C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220,454</w:t>
            </w:r>
          </w:p>
        </w:tc>
        <w:tc>
          <w:tcPr>
            <w:tcW w:w="923" w:type="dxa"/>
            <w:tcBorders>
              <w:top w:val="nil"/>
              <w:left w:val="nil"/>
              <w:bottom w:val="single" w:sz="8" w:space="0" w:color="B8CCE4"/>
              <w:right w:val="single" w:sz="8" w:space="0" w:color="B8CCE4"/>
            </w:tcBorders>
            <w:shd w:val="clear" w:color="000000" w:fill="FFFFFF"/>
            <w:vAlign w:val="bottom"/>
            <w:hideMark/>
          </w:tcPr>
          <w:p w14:paraId="4204D2A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47,000</w:t>
            </w:r>
          </w:p>
        </w:tc>
        <w:tc>
          <w:tcPr>
            <w:tcW w:w="919" w:type="dxa"/>
            <w:tcBorders>
              <w:top w:val="nil"/>
              <w:left w:val="nil"/>
              <w:bottom w:val="single" w:sz="8" w:space="0" w:color="B8CCE4"/>
              <w:right w:val="single" w:sz="8" w:space="0" w:color="B8CCE4"/>
            </w:tcBorders>
            <w:shd w:val="clear" w:color="000000" w:fill="FFFFFF"/>
            <w:vAlign w:val="bottom"/>
            <w:hideMark/>
          </w:tcPr>
          <w:p w14:paraId="4E12F44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212,946</w:t>
            </w:r>
          </w:p>
        </w:tc>
        <w:tc>
          <w:tcPr>
            <w:tcW w:w="923" w:type="dxa"/>
            <w:tcBorders>
              <w:top w:val="nil"/>
              <w:left w:val="nil"/>
              <w:bottom w:val="single" w:sz="8" w:space="0" w:color="B8CCE4"/>
              <w:right w:val="single" w:sz="8" w:space="0" w:color="B8CCE4"/>
            </w:tcBorders>
            <w:shd w:val="clear" w:color="000000" w:fill="FFFFFF"/>
            <w:vAlign w:val="bottom"/>
            <w:hideMark/>
          </w:tcPr>
          <w:p w14:paraId="483292A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29,970</w:t>
            </w:r>
          </w:p>
        </w:tc>
        <w:tc>
          <w:tcPr>
            <w:tcW w:w="687" w:type="dxa"/>
            <w:tcBorders>
              <w:top w:val="nil"/>
              <w:left w:val="nil"/>
              <w:bottom w:val="single" w:sz="8" w:space="0" w:color="B8CCE4"/>
              <w:right w:val="single" w:sz="8" w:space="0" w:color="B8CCE4"/>
            </w:tcBorders>
            <w:shd w:val="clear" w:color="000000" w:fill="FFFFFF"/>
            <w:vAlign w:val="bottom"/>
            <w:hideMark/>
          </w:tcPr>
          <w:p w14:paraId="572FD2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91%</w:t>
            </w:r>
          </w:p>
        </w:tc>
        <w:tc>
          <w:tcPr>
            <w:tcW w:w="686" w:type="dxa"/>
            <w:tcBorders>
              <w:top w:val="nil"/>
              <w:left w:val="nil"/>
              <w:bottom w:val="single" w:sz="8" w:space="0" w:color="B8CCE4"/>
              <w:right w:val="single" w:sz="8" w:space="0" w:color="B8CCE4"/>
            </w:tcBorders>
            <w:shd w:val="clear" w:color="000000" w:fill="FFFFFF"/>
            <w:vAlign w:val="bottom"/>
            <w:hideMark/>
          </w:tcPr>
          <w:p w14:paraId="60AB523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60%</w:t>
            </w:r>
          </w:p>
        </w:tc>
        <w:tc>
          <w:tcPr>
            <w:tcW w:w="671" w:type="dxa"/>
            <w:tcBorders>
              <w:top w:val="nil"/>
              <w:left w:val="nil"/>
              <w:bottom w:val="single" w:sz="8" w:space="0" w:color="B8CCE4"/>
              <w:right w:val="single" w:sz="8" w:space="0" w:color="B8CCE4"/>
            </w:tcBorders>
            <w:shd w:val="clear" w:color="000000" w:fill="FFFFFF"/>
            <w:vAlign w:val="bottom"/>
            <w:hideMark/>
          </w:tcPr>
          <w:p w14:paraId="277CE58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97%</w:t>
            </w:r>
          </w:p>
        </w:tc>
        <w:tc>
          <w:tcPr>
            <w:tcW w:w="686" w:type="dxa"/>
            <w:tcBorders>
              <w:top w:val="nil"/>
              <w:left w:val="nil"/>
              <w:bottom w:val="single" w:sz="8" w:space="0" w:color="B8CCE4"/>
              <w:right w:val="single" w:sz="4" w:space="0" w:color="auto"/>
            </w:tcBorders>
            <w:shd w:val="clear" w:color="000000" w:fill="FFFFFF"/>
            <w:vAlign w:val="bottom"/>
            <w:hideMark/>
          </w:tcPr>
          <w:p w14:paraId="7D7E9A66"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64%</w:t>
            </w:r>
          </w:p>
        </w:tc>
      </w:tr>
      <w:tr w:rsidR="00C156A0" w:rsidRPr="00C156A0" w14:paraId="6BB97131" w14:textId="77777777" w:rsidTr="00FC0BCD">
        <w:trPr>
          <w:trHeight w:val="199"/>
        </w:trPr>
        <w:tc>
          <w:tcPr>
            <w:tcW w:w="1525" w:type="dxa"/>
            <w:tcBorders>
              <w:top w:val="nil"/>
              <w:left w:val="single" w:sz="4" w:space="0" w:color="auto"/>
              <w:bottom w:val="single" w:sz="8" w:space="0" w:color="B8CCE4"/>
              <w:right w:val="single" w:sz="8" w:space="0" w:color="B8CCE4"/>
            </w:tcBorders>
            <w:shd w:val="clear" w:color="000000" w:fill="FFFFFF"/>
            <w:vAlign w:val="bottom"/>
            <w:hideMark/>
          </w:tcPr>
          <w:p w14:paraId="0B71DA24" w14:textId="6615561D" w:rsidR="00C156A0" w:rsidRPr="00327853" w:rsidRDefault="00C156A0" w:rsidP="00327853">
            <w:pPr>
              <w:spacing w:before="0" w:line="240" w:lineRule="auto"/>
              <w:jc w:val="right"/>
              <w:rPr>
                <w:rFonts w:cs="Calibri"/>
                <w:b/>
                <w:bCs/>
                <w:color w:val="000000"/>
                <w:sz w:val="16"/>
                <w:szCs w:val="16"/>
                <w:lang w:val="sq-AL"/>
              </w:rPr>
            </w:pPr>
            <w:r w:rsidRPr="00327853">
              <w:rPr>
                <w:rFonts w:cs="Calibri"/>
                <w:b/>
                <w:bCs/>
                <w:color w:val="000000"/>
                <w:sz w:val="16"/>
                <w:szCs w:val="16"/>
                <w:lang w:val="sq-AL"/>
              </w:rPr>
              <w:t xml:space="preserve">Financimi </w:t>
            </w:r>
            <w:r w:rsidR="00327853">
              <w:rPr>
                <w:rFonts w:cs="Calibri"/>
                <w:b/>
                <w:bCs/>
                <w:color w:val="000000"/>
                <w:sz w:val="16"/>
                <w:szCs w:val="16"/>
                <w:lang w:val="sq-AL"/>
              </w:rPr>
              <w:t>i</w:t>
            </w:r>
            <w:r w:rsidRPr="00327853">
              <w:rPr>
                <w:rFonts w:cs="Calibri"/>
                <w:b/>
                <w:bCs/>
                <w:color w:val="000000"/>
                <w:sz w:val="16"/>
                <w:szCs w:val="16"/>
                <w:lang w:val="sq-AL"/>
              </w:rPr>
              <w:t xml:space="preserve"> huaj</w:t>
            </w:r>
          </w:p>
        </w:tc>
        <w:tc>
          <w:tcPr>
            <w:tcW w:w="919" w:type="dxa"/>
            <w:tcBorders>
              <w:top w:val="nil"/>
              <w:left w:val="nil"/>
              <w:bottom w:val="single" w:sz="8" w:space="0" w:color="B8CCE4"/>
              <w:right w:val="single" w:sz="8" w:space="0" w:color="B8CCE4"/>
            </w:tcBorders>
            <w:shd w:val="clear" w:color="000000" w:fill="FFFFFF"/>
            <w:vAlign w:val="bottom"/>
            <w:hideMark/>
          </w:tcPr>
          <w:p w14:paraId="29CA4D8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510DF61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50,000</w:t>
            </w:r>
          </w:p>
        </w:tc>
        <w:tc>
          <w:tcPr>
            <w:tcW w:w="919" w:type="dxa"/>
            <w:tcBorders>
              <w:top w:val="nil"/>
              <w:left w:val="nil"/>
              <w:bottom w:val="single" w:sz="8" w:space="0" w:color="B8CCE4"/>
              <w:right w:val="single" w:sz="8" w:space="0" w:color="B8CCE4"/>
            </w:tcBorders>
            <w:shd w:val="clear" w:color="000000" w:fill="FFFFFF"/>
            <w:vAlign w:val="bottom"/>
            <w:hideMark/>
          </w:tcPr>
          <w:p w14:paraId="1FA677F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5056287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919" w:type="dxa"/>
            <w:tcBorders>
              <w:top w:val="nil"/>
              <w:left w:val="nil"/>
              <w:bottom w:val="single" w:sz="8" w:space="0" w:color="B8CCE4"/>
              <w:right w:val="single" w:sz="8" w:space="0" w:color="B8CCE4"/>
            </w:tcBorders>
            <w:shd w:val="clear" w:color="000000" w:fill="FFFFFF"/>
            <w:vAlign w:val="bottom"/>
            <w:hideMark/>
          </w:tcPr>
          <w:p w14:paraId="145BF56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23" w:type="dxa"/>
            <w:tcBorders>
              <w:top w:val="nil"/>
              <w:left w:val="nil"/>
              <w:bottom w:val="single" w:sz="8" w:space="0" w:color="B8CCE4"/>
              <w:right w:val="single" w:sz="8" w:space="0" w:color="B8CCE4"/>
            </w:tcBorders>
            <w:shd w:val="clear" w:color="000000" w:fill="FFFFFF"/>
            <w:vAlign w:val="bottom"/>
            <w:hideMark/>
          </w:tcPr>
          <w:p w14:paraId="26E1B6B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87" w:type="dxa"/>
            <w:tcBorders>
              <w:top w:val="nil"/>
              <w:left w:val="nil"/>
              <w:bottom w:val="single" w:sz="8" w:space="0" w:color="B8CCE4"/>
              <w:right w:val="single" w:sz="8" w:space="0" w:color="B8CCE4"/>
            </w:tcBorders>
            <w:shd w:val="clear" w:color="000000" w:fill="FFFFFF"/>
            <w:vAlign w:val="bottom"/>
            <w:hideMark/>
          </w:tcPr>
          <w:p w14:paraId="3C2BB64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8" w:space="0" w:color="B8CCE4"/>
            </w:tcBorders>
            <w:shd w:val="clear" w:color="000000" w:fill="FFFFFF"/>
            <w:vAlign w:val="bottom"/>
            <w:hideMark/>
          </w:tcPr>
          <w:p w14:paraId="73FD21F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671" w:type="dxa"/>
            <w:tcBorders>
              <w:top w:val="nil"/>
              <w:left w:val="nil"/>
              <w:bottom w:val="single" w:sz="8" w:space="0" w:color="B8CCE4"/>
              <w:right w:val="single" w:sz="8" w:space="0" w:color="B8CCE4"/>
            </w:tcBorders>
            <w:shd w:val="clear" w:color="000000" w:fill="FFFFFF"/>
            <w:vAlign w:val="bottom"/>
            <w:hideMark/>
          </w:tcPr>
          <w:p w14:paraId="510D5FA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686" w:type="dxa"/>
            <w:tcBorders>
              <w:top w:val="nil"/>
              <w:left w:val="nil"/>
              <w:bottom w:val="single" w:sz="8" w:space="0" w:color="B8CCE4"/>
              <w:right w:val="single" w:sz="4" w:space="0" w:color="auto"/>
            </w:tcBorders>
            <w:shd w:val="clear" w:color="000000" w:fill="FFFFFF"/>
            <w:vAlign w:val="bottom"/>
            <w:hideMark/>
          </w:tcPr>
          <w:p w14:paraId="091AFF1B" w14:textId="77777777" w:rsidR="00C156A0" w:rsidRPr="00C156A0" w:rsidRDefault="00C156A0" w:rsidP="00C156A0">
            <w:pPr>
              <w:spacing w:before="0" w:line="240" w:lineRule="auto"/>
              <w:jc w:val="center"/>
              <w:rPr>
                <w:rFonts w:cs="Calibri"/>
                <w:color w:val="000000"/>
                <w:sz w:val="16"/>
                <w:szCs w:val="16"/>
              </w:rPr>
            </w:pPr>
            <w:r w:rsidRPr="00C156A0">
              <w:rPr>
                <w:rFonts w:cs="Calibri"/>
                <w:color w:val="000000"/>
                <w:sz w:val="16"/>
                <w:szCs w:val="16"/>
              </w:rPr>
              <w:t>0%</w:t>
            </w:r>
          </w:p>
        </w:tc>
      </w:tr>
      <w:tr w:rsidR="00C156A0" w:rsidRPr="00C156A0" w14:paraId="77487BB6" w14:textId="77777777" w:rsidTr="00FC0BCD">
        <w:trPr>
          <w:trHeight w:val="199"/>
        </w:trPr>
        <w:tc>
          <w:tcPr>
            <w:tcW w:w="1525" w:type="dxa"/>
            <w:tcBorders>
              <w:top w:val="nil"/>
              <w:left w:val="single" w:sz="4" w:space="0" w:color="auto"/>
              <w:bottom w:val="single" w:sz="8" w:space="0" w:color="B8CCE4"/>
              <w:right w:val="nil"/>
            </w:tcBorders>
            <w:shd w:val="clear" w:color="000000" w:fill="366092"/>
            <w:vAlign w:val="bottom"/>
            <w:hideMark/>
          </w:tcPr>
          <w:p w14:paraId="4438627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 sipas natyrës</w:t>
            </w:r>
          </w:p>
        </w:tc>
        <w:tc>
          <w:tcPr>
            <w:tcW w:w="919" w:type="dxa"/>
            <w:tcBorders>
              <w:top w:val="single" w:sz="4" w:space="0" w:color="auto"/>
              <w:left w:val="single" w:sz="4" w:space="0" w:color="auto"/>
              <w:bottom w:val="single" w:sz="4" w:space="0" w:color="auto"/>
              <w:right w:val="single" w:sz="4" w:space="0" w:color="auto"/>
            </w:tcBorders>
            <w:shd w:val="clear" w:color="000000" w:fill="366092"/>
            <w:vAlign w:val="bottom"/>
            <w:hideMark/>
          </w:tcPr>
          <w:p w14:paraId="4225ED8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4,378,874</w:t>
            </w:r>
          </w:p>
        </w:tc>
        <w:tc>
          <w:tcPr>
            <w:tcW w:w="923" w:type="dxa"/>
            <w:tcBorders>
              <w:top w:val="single" w:sz="4" w:space="0" w:color="auto"/>
              <w:left w:val="nil"/>
              <w:bottom w:val="single" w:sz="4" w:space="0" w:color="auto"/>
              <w:right w:val="single" w:sz="4" w:space="0" w:color="auto"/>
            </w:tcBorders>
            <w:shd w:val="clear" w:color="000000" w:fill="366092"/>
            <w:vAlign w:val="bottom"/>
            <w:hideMark/>
          </w:tcPr>
          <w:p w14:paraId="4415673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2,190,000</w:t>
            </w:r>
          </w:p>
        </w:tc>
        <w:tc>
          <w:tcPr>
            <w:tcW w:w="919" w:type="dxa"/>
            <w:tcBorders>
              <w:top w:val="single" w:sz="4" w:space="0" w:color="auto"/>
              <w:left w:val="nil"/>
              <w:bottom w:val="single" w:sz="4" w:space="0" w:color="auto"/>
              <w:right w:val="single" w:sz="4" w:space="0" w:color="auto"/>
            </w:tcBorders>
            <w:shd w:val="clear" w:color="000000" w:fill="366092"/>
            <w:vAlign w:val="bottom"/>
            <w:hideMark/>
          </w:tcPr>
          <w:p w14:paraId="0426BF9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6,163,494</w:t>
            </w:r>
          </w:p>
        </w:tc>
        <w:tc>
          <w:tcPr>
            <w:tcW w:w="923" w:type="dxa"/>
            <w:tcBorders>
              <w:top w:val="single" w:sz="4" w:space="0" w:color="auto"/>
              <w:left w:val="nil"/>
              <w:bottom w:val="single" w:sz="4" w:space="0" w:color="auto"/>
              <w:right w:val="single" w:sz="4" w:space="0" w:color="auto"/>
            </w:tcBorders>
            <w:shd w:val="clear" w:color="000000" w:fill="366092"/>
            <w:vAlign w:val="bottom"/>
            <w:hideMark/>
          </w:tcPr>
          <w:p w14:paraId="5D91E12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1,813,608</w:t>
            </w:r>
          </w:p>
        </w:tc>
        <w:tc>
          <w:tcPr>
            <w:tcW w:w="919" w:type="dxa"/>
            <w:tcBorders>
              <w:top w:val="single" w:sz="4" w:space="0" w:color="auto"/>
              <w:left w:val="nil"/>
              <w:bottom w:val="single" w:sz="4" w:space="0" w:color="auto"/>
              <w:right w:val="single" w:sz="4" w:space="0" w:color="auto"/>
            </w:tcBorders>
            <w:shd w:val="clear" w:color="000000" w:fill="366092"/>
            <w:vAlign w:val="bottom"/>
            <w:hideMark/>
          </w:tcPr>
          <w:p w14:paraId="4078277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5,999,645</w:t>
            </w:r>
          </w:p>
        </w:tc>
        <w:tc>
          <w:tcPr>
            <w:tcW w:w="923" w:type="dxa"/>
            <w:tcBorders>
              <w:top w:val="single" w:sz="4" w:space="0" w:color="auto"/>
              <w:left w:val="nil"/>
              <w:bottom w:val="single" w:sz="4" w:space="0" w:color="auto"/>
              <w:right w:val="single" w:sz="4" w:space="0" w:color="auto"/>
            </w:tcBorders>
            <w:shd w:val="clear" w:color="000000" w:fill="366092"/>
            <w:vAlign w:val="bottom"/>
            <w:hideMark/>
          </w:tcPr>
          <w:p w14:paraId="5C8F72F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1,514,937</w:t>
            </w:r>
          </w:p>
        </w:tc>
        <w:tc>
          <w:tcPr>
            <w:tcW w:w="687" w:type="dxa"/>
            <w:tcBorders>
              <w:top w:val="single" w:sz="4" w:space="0" w:color="auto"/>
              <w:left w:val="nil"/>
              <w:bottom w:val="single" w:sz="4" w:space="0" w:color="auto"/>
              <w:right w:val="single" w:sz="4" w:space="0" w:color="auto"/>
            </w:tcBorders>
            <w:shd w:val="clear" w:color="000000" w:fill="366092"/>
            <w:vAlign w:val="bottom"/>
            <w:hideMark/>
          </w:tcPr>
          <w:p w14:paraId="063B8E4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137%</w:t>
            </w:r>
          </w:p>
        </w:tc>
        <w:tc>
          <w:tcPr>
            <w:tcW w:w="686" w:type="dxa"/>
            <w:tcBorders>
              <w:top w:val="single" w:sz="4" w:space="0" w:color="auto"/>
              <w:left w:val="nil"/>
              <w:bottom w:val="single" w:sz="4" w:space="0" w:color="auto"/>
              <w:right w:val="single" w:sz="4" w:space="0" w:color="auto"/>
            </w:tcBorders>
            <w:shd w:val="clear" w:color="000000" w:fill="366092"/>
            <w:vAlign w:val="bottom"/>
            <w:hideMark/>
          </w:tcPr>
          <w:p w14:paraId="35CD49D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69%</w:t>
            </w:r>
          </w:p>
        </w:tc>
        <w:tc>
          <w:tcPr>
            <w:tcW w:w="671" w:type="dxa"/>
            <w:tcBorders>
              <w:top w:val="single" w:sz="4" w:space="0" w:color="auto"/>
              <w:left w:val="nil"/>
              <w:bottom w:val="single" w:sz="4" w:space="0" w:color="auto"/>
              <w:right w:val="single" w:sz="4" w:space="0" w:color="auto"/>
            </w:tcBorders>
            <w:shd w:val="clear" w:color="000000" w:fill="366092"/>
            <w:vAlign w:val="bottom"/>
            <w:hideMark/>
          </w:tcPr>
          <w:p w14:paraId="1F96FBCD"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97%</w:t>
            </w:r>
          </w:p>
        </w:tc>
        <w:tc>
          <w:tcPr>
            <w:tcW w:w="686" w:type="dxa"/>
            <w:tcBorders>
              <w:top w:val="single" w:sz="4" w:space="0" w:color="auto"/>
              <w:left w:val="nil"/>
              <w:bottom w:val="single" w:sz="4" w:space="0" w:color="auto"/>
              <w:right w:val="single" w:sz="4" w:space="0" w:color="auto"/>
            </w:tcBorders>
            <w:shd w:val="clear" w:color="000000" w:fill="366092"/>
            <w:vAlign w:val="bottom"/>
            <w:hideMark/>
          </w:tcPr>
          <w:p w14:paraId="7E46A583"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84%</w:t>
            </w:r>
          </w:p>
        </w:tc>
      </w:tr>
      <w:tr w:rsidR="00C156A0" w:rsidRPr="00C156A0" w14:paraId="1A52BB75" w14:textId="77777777" w:rsidTr="00FC0BCD">
        <w:trPr>
          <w:trHeight w:val="189"/>
        </w:trPr>
        <w:tc>
          <w:tcPr>
            <w:tcW w:w="1525" w:type="dxa"/>
            <w:tcBorders>
              <w:top w:val="nil"/>
              <w:left w:val="single" w:sz="4" w:space="0" w:color="auto"/>
              <w:bottom w:val="single" w:sz="4" w:space="0" w:color="auto"/>
              <w:right w:val="nil"/>
            </w:tcBorders>
            <w:shd w:val="clear" w:color="000000" w:fill="365F91"/>
            <w:vAlign w:val="bottom"/>
            <w:hideMark/>
          </w:tcPr>
          <w:p w14:paraId="32BEEF54"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Totali</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365F91"/>
            <w:vAlign w:val="bottom"/>
            <w:hideMark/>
          </w:tcPr>
          <w:p w14:paraId="61F026E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6,568,874</w:t>
            </w:r>
          </w:p>
        </w:tc>
        <w:tc>
          <w:tcPr>
            <w:tcW w:w="919" w:type="dxa"/>
            <w:tcBorders>
              <w:top w:val="nil"/>
              <w:left w:val="nil"/>
              <w:bottom w:val="single" w:sz="4" w:space="0" w:color="auto"/>
              <w:right w:val="single" w:sz="4" w:space="0" w:color="auto"/>
            </w:tcBorders>
            <w:shd w:val="clear" w:color="000000" w:fill="366092"/>
            <w:vAlign w:val="bottom"/>
            <w:hideMark/>
          </w:tcPr>
          <w:p w14:paraId="55107CE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7,977,102</w:t>
            </w:r>
          </w:p>
        </w:tc>
        <w:tc>
          <w:tcPr>
            <w:tcW w:w="923" w:type="dxa"/>
            <w:tcBorders>
              <w:top w:val="nil"/>
              <w:left w:val="nil"/>
              <w:bottom w:val="single" w:sz="4" w:space="0" w:color="auto"/>
              <w:right w:val="single" w:sz="4" w:space="0" w:color="auto"/>
            </w:tcBorders>
            <w:shd w:val="clear" w:color="000000" w:fill="366092"/>
            <w:vAlign w:val="bottom"/>
            <w:hideMark/>
          </w:tcPr>
          <w:p w14:paraId="74936FDE"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 </w:t>
            </w:r>
          </w:p>
        </w:tc>
        <w:tc>
          <w:tcPr>
            <w:tcW w:w="919" w:type="dxa"/>
            <w:tcBorders>
              <w:top w:val="nil"/>
              <w:left w:val="nil"/>
              <w:bottom w:val="single" w:sz="4" w:space="0" w:color="auto"/>
              <w:right w:val="single" w:sz="4" w:space="0" w:color="auto"/>
            </w:tcBorders>
            <w:shd w:val="clear" w:color="000000" w:fill="366092"/>
            <w:vAlign w:val="bottom"/>
            <w:hideMark/>
          </w:tcPr>
          <w:p w14:paraId="5737975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7,514,582</w:t>
            </w:r>
          </w:p>
        </w:tc>
        <w:tc>
          <w:tcPr>
            <w:tcW w:w="923" w:type="dxa"/>
            <w:tcBorders>
              <w:top w:val="nil"/>
              <w:left w:val="nil"/>
              <w:bottom w:val="single" w:sz="4" w:space="0" w:color="auto"/>
              <w:right w:val="single" w:sz="4" w:space="0" w:color="auto"/>
            </w:tcBorders>
            <w:shd w:val="clear" w:color="000000" w:fill="366092"/>
            <w:vAlign w:val="bottom"/>
            <w:hideMark/>
          </w:tcPr>
          <w:p w14:paraId="0AB538C7"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 </w:t>
            </w:r>
          </w:p>
        </w:tc>
        <w:tc>
          <w:tcPr>
            <w:tcW w:w="687" w:type="dxa"/>
            <w:tcBorders>
              <w:top w:val="nil"/>
              <w:left w:val="nil"/>
              <w:bottom w:val="single" w:sz="4" w:space="0" w:color="auto"/>
              <w:right w:val="single" w:sz="4" w:space="0" w:color="auto"/>
            </w:tcBorders>
            <w:shd w:val="clear" w:color="000000" w:fill="366092"/>
            <w:vAlign w:val="bottom"/>
            <w:hideMark/>
          </w:tcPr>
          <w:p w14:paraId="654FD3CD"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114%</w:t>
            </w:r>
          </w:p>
        </w:tc>
        <w:tc>
          <w:tcPr>
            <w:tcW w:w="686" w:type="dxa"/>
            <w:tcBorders>
              <w:top w:val="nil"/>
              <w:left w:val="nil"/>
              <w:bottom w:val="single" w:sz="4" w:space="0" w:color="auto"/>
              <w:right w:val="single" w:sz="4" w:space="0" w:color="auto"/>
            </w:tcBorders>
            <w:shd w:val="clear" w:color="000000" w:fill="366092"/>
            <w:vAlign w:val="bottom"/>
            <w:hideMark/>
          </w:tcPr>
          <w:p w14:paraId="427D517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 </w:t>
            </w:r>
          </w:p>
        </w:tc>
        <w:tc>
          <w:tcPr>
            <w:tcW w:w="671" w:type="dxa"/>
            <w:tcBorders>
              <w:top w:val="nil"/>
              <w:left w:val="nil"/>
              <w:bottom w:val="single" w:sz="4" w:space="0" w:color="auto"/>
              <w:right w:val="single" w:sz="4" w:space="0" w:color="auto"/>
            </w:tcBorders>
            <w:shd w:val="clear" w:color="000000" w:fill="366092"/>
            <w:vAlign w:val="bottom"/>
            <w:hideMark/>
          </w:tcPr>
          <w:p w14:paraId="5CAA1A17"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94%</w:t>
            </w:r>
          </w:p>
        </w:tc>
        <w:tc>
          <w:tcPr>
            <w:tcW w:w="686" w:type="dxa"/>
            <w:tcBorders>
              <w:top w:val="nil"/>
              <w:left w:val="nil"/>
              <w:bottom w:val="single" w:sz="4" w:space="0" w:color="auto"/>
              <w:right w:val="single" w:sz="4" w:space="0" w:color="auto"/>
            </w:tcBorders>
            <w:shd w:val="clear" w:color="000000" w:fill="366092"/>
            <w:vAlign w:val="bottom"/>
            <w:hideMark/>
          </w:tcPr>
          <w:p w14:paraId="04B7CD7C" w14:textId="77777777" w:rsidR="00C156A0" w:rsidRPr="00C156A0" w:rsidRDefault="00C156A0" w:rsidP="00C156A0">
            <w:pPr>
              <w:spacing w:before="0" w:line="240" w:lineRule="auto"/>
              <w:jc w:val="center"/>
              <w:rPr>
                <w:rFonts w:cs="Calibri"/>
                <w:b/>
                <w:bCs/>
                <w:color w:val="FFFFFF"/>
                <w:sz w:val="16"/>
                <w:szCs w:val="16"/>
              </w:rPr>
            </w:pPr>
            <w:r w:rsidRPr="00C156A0">
              <w:rPr>
                <w:rFonts w:cs="Calibri"/>
                <w:b/>
                <w:bCs/>
                <w:color w:val="FFFFFF"/>
                <w:sz w:val="16"/>
                <w:szCs w:val="16"/>
              </w:rPr>
              <w:t> </w:t>
            </w:r>
          </w:p>
        </w:tc>
      </w:tr>
    </w:tbl>
    <w:p w14:paraId="76CD888E" w14:textId="77777777" w:rsidR="00671D4B" w:rsidRDefault="00671D4B" w:rsidP="00327853">
      <w:pPr>
        <w:spacing w:line="240" w:lineRule="auto"/>
        <w:rPr>
          <w:noProof/>
          <w:lang w:val="sq-AL"/>
        </w:rPr>
      </w:pPr>
    </w:p>
    <w:p w14:paraId="549D1235" w14:textId="45FCB9C1" w:rsidR="00C156A0" w:rsidRPr="0057032E" w:rsidRDefault="00C156A0" w:rsidP="00327853">
      <w:pPr>
        <w:spacing w:line="240" w:lineRule="auto"/>
        <w:rPr>
          <w:noProof/>
          <w:sz w:val="2"/>
          <w:szCs w:val="4"/>
          <w:lang w:val="sq-AL"/>
        </w:rPr>
      </w:pPr>
      <w:r w:rsidRPr="00C156A0">
        <w:rPr>
          <w:noProof/>
          <w:lang w:val="sq-AL"/>
        </w:rPr>
        <w:lastRenderedPageBreak/>
        <w:t xml:space="preserve">Buxheti i Ministrisë së Turizmit, Kulturës dhe Sportit gjatë vitit 2025 u rishikua në rritje (prej 23%), ose 1.48 </w:t>
      </w:r>
      <w:r w:rsidR="0056260B">
        <w:rPr>
          <w:noProof/>
          <w:lang w:val="sq-AL"/>
        </w:rPr>
        <w:t>miliardë</w:t>
      </w:r>
      <w:r w:rsidRPr="00C156A0">
        <w:rPr>
          <w:noProof/>
          <w:lang w:val="sq-AL"/>
        </w:rPr>
        <w:t xml:space="preserve"> LEK në krahasim me planin fillestar të përgjithshëm. Realizimi faktik ishte 7.5 </w:t>
      </w:r>
      <w:r w:rsidR="0056260B">
        <w:rPr>
          <w:noProof/>
          <w:lang w:val="sq-AL"/>
        </w:rPr>
        <w:t>miliardë</w:t>
      </w:r>
      <w:r w:rsidRPr="00C156A0">
        <w:rPr>
          <w:noProof/>
          <w:lang w:val="sq-AL"/>
        </w:rPr>
        <w:t xml:space="preserve"> LEK, ose 114% e buxhetit fillestar dhe 94% e buxhetit të rishikuar. Realizimi i shpenzimeve ishte 5.99 </w:t>
      </w:r>
      <w:r w:rsidR="0056260B">
        <w:rPr>
          <w:noProof/>
          <w:lang w:val="sq-AL"/>
        </w:rPr>
        <w:t>miliardë</w:t>
      </w:r>
      <w:r w:rsidRPr="00C156A0">
        <w:rPr>
          <w:noProof/>
          <w:lang w:val="sq-AL"/>
        </w:rPr>
        <w:t xml:space="preserve"> LEK. Realizimi përkundrejt planit fillestar ishte 137% për shpenzimet korente dhe 69% për shpenzimet kapitale. Në krahasim me buxhetin e rishikuar, realizimi ishte rreth 97% për shpenzimet korente dhe 84% për investimet.  </w:t>
      </w:r>
    </w:p>
    <w:p w14:paraId="28D05AA4" w14:textId="1192BF65" w:rsidR="00C156A0" w:rsidRPr="00C156A0" w:rsidRDefault="00C156A0" w:rsidP="00C156A0">
      <w:pPr>
        <w:spacing w:line="240" w:lineRule="auto"/>
        <w:rPr>
          <w:noProof/>
          <w:szCs w:val="22"/>
          <w:lang w:val="sq-AL"/>
        </w:rPr>
      </w:pPr>
      <w:r w:rsidRPr="00C156A0">
        <w:rPr>
          <w:noProof/>
          <w:szCs w:val="22"/>
          <w:lang w:val="sq-AL"/>
        </w:rPr>
        <w:t>Programi</w:t>
      </w:r>
      <w:r w:rsidRPr="00C156A0">
        <w:rPr>
          <w:b/>
          <w:noProof/>
          <w:szCs w:val="22"/>
          <w:lang w:val="sq-AL"/>
        </w:rPr>
        <w:t xml:space="preserve"> “Arti dhe Kultura”</w:t>
      </w:r>
      <w:r w:rsidRPr="00C156A0">
        <w:rPr>
          <w:noProof/>
          <w:szCs w:val="22"/>
          <w:lang w:val="sq-AL"/>
        </w:rPr>
        <w:t xml:space="preserve"> ka për qëllim, edukimin, zhvillimin dhe promovimin e skenes artistike dhe vlerave kulturore kombëtare dhe ka objektiv rritjen e interesit të publikut ndaj programeve kulturore përmes përmirësimit të shërbimeve në infrastrukturë si dhe rritjen e cilësisë artistike.</w:t>
      </w:r>
      <w:r w:rsidRPr="00C156A0">
        <w:rPr>
          <w:noProof/>
          <w:lang w:val="sq-AL"/>
        </w:rPr>
        <w:t xml:space="preserve"> Fondet e parashikuara sipas planit vjetor të rishikuar janë në vlerën 3 </w:t>
      </w:r>
      <w:r w:rsidR="0056260B">
        <w:rPr>
          <w:noProof/>
          <w:lang w:val="sq-AL"/>
        </w:rPr>
        <w:t>miliardë</w:t>
      </w:r>
      <w:r w:rsidRPr="00C156A0">
        <w:rPr>
          <w:noProof/>
          <w:lang w:val="sq-AL"/>
        </w:rPr>
        <w:t xml:space="preserve"> LEK, nga 2.9 </w:t>
      </w:r>
      <w:r w:rsidR="0056260B">
        <w:rPr>
          <w:noProof/>
          <w:lang w:val="sq-AL"/>
        </w:rPr>
        <w:t>miliardë</w:t>
      </w:r>
      <w:r w:rsidRPr="00C156A0">
        <w:rPr>
          <w:noProof/>
          <w:lang w:val="sq-AL"/>
        </w:rPr>
        <w:t xml:space="preserve"> LEK të parashikuara në planin fillestar</w:t>
      </w:r>
      <w:r w:rsidRPr="00C156A0">
        <w:rPr>
          <w:i/>
          <w:noProof/>
          <w:lang w:val="sq-AL"/>
        </w:rPr>
        <w:t>.</w:t>
      </w:r>
      <w:r w:rsidRPr="00C156A0">
        <w:rPr>
          <w:noProof/>
          <w:lang w:val="sq-AL"/>
        </w:rPr>
        <w:t xml:space="preserve"> Për 12-mujorin 2025 fondet në shpenzimet </w:t>
      </w:r>
      <w:r w:rsidR="0056260B">
        <w:rPr>
          <w:noProof/>
          <w:lang w:val="sq-AL"/>
        </w:rPr>
        <w:t>korente</w:t>
      </w:r>
      <w:r w:rsidRPr="00C156A0">
        <w:rPr>
          <w:noProof/>
          <w:lang w:val="sq-AL"/>
        </w:rPr>
        <w:t xml:space="preserve"> janë realizuar n</w:t>
      </w:r>
      <w:r w:rsidR="00AE7CD7">
        <w:rPr>
          <w:noProof/>
          <w:lang w:val="sq-AL"/>
        </w:rPr>
        <w:t>ë</w:t>
      </w:r>
      <w:r w:rsidRPr="00C156A0">
        <w:rPr>
          <w:noProof/>
          <w:lang w:val="sq-AL"/>
        </w:rPr>
        <w:t xml:space="preserve"> vler</w:t>
      </w:r>
      <w:r w:rsidR="00AE7CD7">
        <w:rPr>
          <w:noProof/>
          <w:lang w:val="sq-AL"/>
        </w:rPr>
        <w:t>ë</w:t>
      </w:r>
      <w:r w:rsidRPr="00C156A0">
        <w:rPr>
          <w:noProof/>
          <w:lang w:val="sq-AL"/>
        </w:rPr>
        <w:t xml:space="preserve">n 1.59 </w:t>
      </w:r>
      <w:r w:rsidR="0056260B">
        <w:rPr>
          <w:noProof/>
          <w:lang w:val="sq-AL"/>
        </w:rPr>
        <w:t>miliardë</w:t>
      </w:r>
      <w:r w:rsidRPr="00C156A0">
        <w:rPr>
          <w:noProof/>
          <w:lang w:val="sq-AL"/>
        </w:rPr>
        <w:t xml:space="preserve"> LEK, ose në masën 105 % të buxhetit të akorduar në fillim të vitit dhe 98% të planit të ndryshuar</w:t>
      </w:r>
      <w:r w:rsidRPr="00C156A0">
        <w:rPr>
          <w:noProof/>
          <w:szCs w:val="22"/>
          <w:lang w:val="sq-AL"/>
        </w:rPr>
        <w:t>. Kështu gjatë vitit 2025 janë realizuar:</w:t>
      </w:r>
    </w:p>
    <w:p w14:paraId="5C3201D2" w14:textId="2D9DABB4"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 xml:space="preserve">248 premiera dhe shfaqje artistike të zhanrit skenik operistik, koreografik dhe folklorik kombëtar, me kosto faktike 611 </w:t>
      </w:r>
      <w:r w:rsidR="0056260B" w:rsidRPr="00DF1ED6">
        <w:rPr>
          <w:rFonts w:cs="Calibri"/>
          <w:i/>
          <w:iCs/>
          <w:sz w:val="20"/>
          <w:szCs w:val="20"/>
          <w:lang w:val="sq-AL"/>
        </w:rPr>
        <w:t>milionë</w:t>
      </w:r>
      <w:r w:rsidRPr="00DF1ED6">
        <w:rPr>
          <w:rFonts w:cs="Calibri"/>
          <w:i/>
          <w:iCs/>
          <w:sz w:val="20"/>
          <w:szCs w:val="20"/>
          <w:lang w:val="sq-AL"/>
        </w:rPr>
        <w:t xml:space="preserve"> LEK</w:t>
      </w:r>
      <w:r w:rsidR="0065135E" w:rsidRPr="00DF1ED6">
        <w:rPr>
          <w:rFonts w:cs="Calibri"/>
          <w:i/>
          <w:iCs/>
          <w:sz w:val="20"/>
          <w:szCs w:val="20"/>
          <w:lang w:val="sq-AL"/>
        </w:rPr>
        <w:t>;</w:t>
      </w:r>
    </w:p>
    <w:p w14:paraId="1601B263" w14:textId="46CBA157" w:rsidR="0065135E" w:rsidRPr="00DF1ED6" w:rsidRDefault="0065135E">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269 projekte</w:t>
      </w:r>
      <w:r w:rsidR="00671D4B" w:rsidRPr="00DF1ED6">
        <w:rPr>
          <w:rFonts w:cs="Calibri"/>
          <w:i/>
          <w:iCs/>
          <w:sz w:val="20"/>
          <w:szCs w:val="20"/>
          <w:lang w:val="sq-AL"/>
        </w:rPr>
        <w:t>/</w:t>
      </w:r>
      <w:r w:rsidRPr="00DF1ED6">
        <w:rPr>
          <w:rFonts w:cs="Calibri"/>
          <w:i/>
          <w:iCs/>
          <w:sz w:val="20"/>
          <w:szCs w:val="20"/>
          <w:lang w:val="sq-AL"/>
        </w:rPr>
        <w:t xml:space="preserve">programe mbështetje të skenës së pavarur </w:t>
      </w:r>
      <w:r w:rsidR="00671D4B" w:rsidRPr="00DF1ED6">
        <w:rPr>
          <w:rFonts w:cs="Calibri"/>
          <w:i/>
          <w:iCs/>
          <w:sz w:val="20"/>
          <w:szCs w:val="20"/>
          <w:lang w:val="sq-AL"/>
        </w:rPr>
        <w:t>(</w:t>
      </w:r>
      <w:r w:rsidRPr="00DF1ED6">
        <w:rPr>
          <w:rFonts w:cs="Calibri"/>
          <w:i/>
          <w:iCs/>
          <w:sz w:val="20"/>
          <w:szCs w:val="20"/>
          <w:lang w:val="sq-AL"/>
        </w:rPr>
        <w:t>95% e sasisë së planifkuar</w:t>
      </w:r>
      <w:r w:rsidR="00671D4B" w:rsidRPr="00DF1ED6">
        <w:rPr>
          <w:rFonts w:cs="Calibri"/>
          <w:i/>
          <w:iCs/>
          <w:sz w:val="20"/>
          <w:szCs w:val="20"/>
          <w:lang w:val="sq-AL"/>
        </w:rPr>
        <w:t>)</w:t>
      </w:r>
      <w:r w:rsidRPr="00DF1ED6">
        <w:rPr>
          <w:rFonts w:cs="Calibri"/>
          <w:i/>
          <w:iCs/>
          <w:sz w:val="20"/>
          <w:szCs w:val="20"/>
          <w:lang w:val="sq-AL"/>
        </w:rPr>
        <w:t xml:space="preserve">, </w:t>
      </w:r>
      <w:r w:rsidR="00671D4B" w:rsidRPr="00DF1ED6">
        <w:rPr>
          <w:rFonts w:cs="Calibri"/>
          <w:i/>
          <w:iCs/>
          <w:sz w:val="20"/>
          <w:szCs w:val="20"/>
          <w:lang w:val="sq-AL"/>
        </w:rPr>
        <w:t>për</w:t>
      </w:r>
      <w:r w:rsidRPr="00DF1ED6">
        <w:rPr>
          <w:rFonts w:cs="Calibri"/>
          <w:i/>
          <w:iCs/>
          <w:sz w:val="20"/>
          <w:szCs w:val="20"/>
          <w:lang w:val="sq-AL"/>
        </w:rPr>
        <w:t xml:space="preserve"> 275</w:t>
      </w:r>
      <w:r w:rsidR="00671D4B" w:rsidRPr="00DF1ED6">
        <w:rPr>
          <w:rFonts w:cs="Calibri"/>
          <w:i/>
          <w:iCs/>
          <w:sz w:val="20"/>
          <w:szCs w:val="20"/>
          <w:lang w:val="sq-AL"/>
        </w:rPr>
        <w:t>mln</w:t>
      </w:r>
      <w:r w:rsidRPr="00DF1ED6">
        <w:rPr>
          <w:rFonts w:cs="Calibri"/>
          <w:i/>
          <w:iCs/>
          <w:sz w:val="20"/>
          <w:szCs w:val="20"/>
          <w:lang w:val="sq-AL"/>
        </w:rPr>
        <w:t xml:space="preserve"> LEK;</w:t>
      </w:r>
    </w:p>
    <w:p w14:paraId="6DAAA7B6" w14:textId="0A93B9A6" w:rsidR="0065135E" w:rsidRPr="00DF1ED6" w:rsidRDefault="0065135E">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79 aktivitete për qytetarët përdorues e frekuentues të koleksioneve bibliotekare ose 47.5% e sasisë së planifikuar, me kosto faktike 144.6</w:t>
      </w:r>
      <w:r w:rsidR="0056260B" w:rsidRPr="00DF1ED6">
        <w:rPr>
          <w:rFonts w:cs="Calibri"/>
          <w:i/>
          <w:iCs/>
          <w:sz w:val="20"/>
          <w:szCs w:val="20"/>
          <w:lang w:val="sq-AL"/>
        </w:rPr>
        <w:t>milionë</w:t>
      </w:r>
      <w:r w:rsidRPr="00DF1ED6">
        <w:rPr>
          <w:rFonts w:cs="Calibri"/>
          <w:i/>
          <w:iCs/>
          <w:sz w:val="20"/>
          <w:szCs w:val="20"/>
          <w:lang w:val="sq-AL"/>
        </w:rPr>
        <w:t xml:space="preserve"> LEK;</w:t>
      </w:r>
    </w:p>
    <w:p w14:paraId="2E4E91C9" w14:textId="265F6DC9" w:rsidR="0065135E" w:rsidRPr="00DF1ED6" w:rsidRDefault="0065135E">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93 subjekte përfituese në javë</w:t>
      </w:r>
      <w:r w:rsidR="00671D4B" w:rsidRPr="00DF1ED6">
        <w:rPr>
          <w:rFonts w:cs="Calibri"/>
          <w:i/>
          <w:iCs/>
          <w:sz w:val="20"/>
          <w:szCs w:val="20"/>
          <w:lang w:val="sq-AL"/>
        </w:rPr>
        <w:t>t</w:t>
      </w:r>
      <w:r w:rsidRPr="00DF1ED6">
        <w:rPr>
          <w:rFonts w:cs="Calibri"/>
          <w:i/>
          <w:iCs/>
          <w:sz w:val="20"/>
          <w:szCs w:val="20"/>
          <w:lang w:val="sq-AL"/>
        </w:rPr>
        <w:t xml:space="preserve"> kulturore të huaja në Shqipëri, me kosto faktike 141.4</w:t>
      </w:r>
      <w:r w:rsidR="00671D4B" w:rsidRPr="00DF1ED6">
        <w:rPr>
          <w:rFonts w:cs="Calibri"/>
          <w:i/>
          <w:iCs/>
          <w:sz w:val="20"/>
          <w:szCs w:val="20"/>
          <w:lang w:val="sq-AL"/>
        </w:rPr>
        <w:t xml:space="preserve">mln </w:t>
      </w:r>
      <w:r w:rsidRPr="00DF1ED6">
        <w:rPr>
          <w:rFonts w:cs="Calibri"/>
          <w:i/>
          <w:iCs/>
          <w:sz w:val="20"/>
          <w:szCs w:val="20"/>
          <w:lang w:val="sq-AL"/>
        </w:rPr>
        <w:t>LEK</w:t>
      </w:r>
      <w:r w:rsidR="00CC54CB" w:rsidRPr="00DF1ED6">
        <w:rPr>
          <w:rFonts w:cs="Calibri"/>
          <w:i/>
          <w:iCs/>
          <w:sz w:val="20"/>
          <w:szCs w:val="20"/>
          <w:lang w:val="sq-AL"/>
        </w:rPr>
        <w:t>;</w:t>
      </w:r>
    </w:p>
    <w:p w14:paraId="057CB0A1" w14:textId="756BF498"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 xml:space="preserve">158 </w:t>
      </w:r>
      <w:r w:rsidR="00724A4F" w:rsidRPr="00DF1ED6">
        <w:rPr>
          <w:rFonts w:cs="Calibri"/>
          <w:i/>
          <w:iCs/>
          <w:sz w:val="20"/>
          <w:szCs w:val="20"/>
          <w:lang w:val="sq-AL"/>
        </w:rPr>
        <w:t>p</w:t>
      </w:r>
      <w:r w:rsidRPr="00DF1ED6">
        <w:rPr>
          <w:rFonts w:cs="Calibri"/>
          <w:i/>
          <w:iCs/>
          <w:sz w:val="20"/>
          <w:szCs w:val="20"/>
          <w:lang w:val="sq-AL"/>
        </w:rPr>
        <w:t>remiera dhe shfaq</w:t>
      </w:r>
      <w:r w:rsidR="00724A4F" w:rsidRPr="00DF1ED6">
        <w:rPr>
          <w:rFonts w:cs="Calibri"/>
          <w:i/>
          <w:iCs/>
          <w:sz w:val="20"/>
          <w:szCs w:val="20"/>
          <w:lang w:val="sq-AL"/>
        </w:rPr>
        <w:t>j</w:t>
      </w:r>
      <w:r w:rsidRPr="00DF1ED6">
        <w:rPr>
          <w:rFonts w:cs="Calibri"/>
          <w:i/>
          <w:iCs/>
          <w:sz w:val="20"/>
          <w:szCs w:val="20"/>
          <w:lang w:val="sq-AL"/>
        </w:rPr>
        <w:t>e artistike të zhanrit teatror klasik dhe bashkëkohor ose 89% e sasisë së planifikuar, me kosto faktike 135</w:t>
      </w:r>
      <w:r w:rsidR="0056260B" w:rsidRPr="00DF1ED6">
        <w:rPr>
          <w:rFonts w:cs="Calibri"/>
          <w:i/>
          <w:iCs/>
          <w:sz w:val="20"/>
          <w:szCs w:val="20"/>
          <w:lang w:val="sq-AL"/>
        </w:rPr>
        <w:t>milionë</w:t>
      </w:r>
      <w:r w:rsidRPr="00DF1ED6">
        <w:rPr>
          <w:rFonts w:cs="Calibri"/>
          <w:i/>
          <w:iCs/>
          <w:sz w:val="20"/>
          <w:szCs w:val="20"/>
          <w:lang w:val="sq-AL"/>
        </w:rPr>
        <w:t xml:space="preserve"> LEK; </w:t>
      </w:r>
    </w:p>
    <w:p w14:paraId="0097B34E" w14:textId="7D952609"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157</w:t>
      </w:r>
      <w:r w:rsidR="00724A4F" w:rsidRPr="00DF1ED6">
        <w:rPr>
          <w:rFonts w:cs="Calibri"/>
          <w:i/>
          <w:iCs/>
          <w:sz w:val="20"/>
          <w:szCs w:val="20"/>
          <w:lang w:val="sq-AL"/>
        </w:rPr>
        <w:t xml:space="preserve"> </w:t>
      </w:r>
      <w:r w:rsidRPr="00DF1ED6">
        <w:rPr>
          <w:rFonts w:cs="Calibri"/>
          <w:i/>
          <w:iCs/>
          <w:sz w:val="20"/>
          <w:szCs w:val="20"/>
          <w:lang w:val="sq-AL"/>
        </w:rPr>
        <w:t>veprimtari artistike ne zhanrin e cirkut dhe eksperimentimin e formave te reja te shprehjes skenike bashkekohore, me kosto faktike 67.9</w:t>
      </w:r>
      <w:r w:rsidR="0056260B" w:rsidRPr="00DF1ED6">
        <w:rPr>
          <w:rFonts w:cs="Calibri"/>
          <w:i/>
          <w:iCs/>
          <w:sz w:val="20"/>
          <w:szCs w:val="20"/>
          <w:lang w:val="sq-AL"/>
        </w:rPr>
        <w:t>milionë</w:t>
      </w:r>
      <w:r w:rsidRPr="00DF1ED6">
        <w:rPr>
          <w:rFonts w:cs="Calibri"/>
          <w:i/>
          <w:iCs/>
          <w:sz w:val="20"/>
          <w:szCs w:val="20"/>
          <w:lang w:val="sq-AL"/>
        </w:rPr>
        <w:t xml:space="preserve"> LEK</w:t>
      </w:r>
      <w:r w:rsidR="0065135E" w:rsidRPr="00DF1ED6">
        <w:rPr>
          <w:rFonts w:cs="Calibri"/>
          <w:i/>
          <w:iCs/>
          <w:sz w:val="20"/>
          <w:szCs w:val="20"/>
          <w:lang w:val="sq-AL"/>
        </w:rPr>
        <w:t>;</w:t>
      </w:r>
    </w:p>
    <w:p w14:paraId="56C66305" w14:textId="344E256F"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190 akivitete për veprimtari edukuese të teatrit me dhe për fëmijë ose 95% e sasisë së planifkuar, me kosto faktike 56.9</w:t>
      </w:r>
      <w:r w:rsidR="0056260B" w:rsidRPr="00DF1ED6">
        <w:rPr>
          <w:rFonts w:cs="Calibri"/>
          <w:i/>
          <w:iCs/>
          <w:sz w:val="20"/>
          <w:szCs w:val="20"/>
          <w:lang w:val="sq-AL"/>
        </w:rPr>
        <w:t>milionë</w:t>
      </w:r>
      <w:r w:rsidRPr="00DF1ED6">
        <w:rPr>
          <w:rFonts w:cs="Calibri"/>
          <w:i/>
          <w:iCs/>
          <w:sz w:val="20"/>
          <w:szCs w:val="20"/>
          <w:lang w:val="sq-AL"/>
        </w:rPr>
        <w:t xml:space="preserve"> LEK</w:t>
      </w:r>
      <w:r w:rsidR="0065135E" w:rsidRPr="00DF1ED6">
        <w:rPr>
          <w:rFonts w:cs="Calibri"/>
          <w:i/>
          <w:iCs/>
          <w:sz w:val="20"/>
          <w:szCs w:val="20"/>
          <w:lang w:val="sq-AL"/>
        </w:rPr>
        <w:t>;</w:t>
      </w:r>
      <w:r w:rsidRPr="00DF1ED6">
        <w:rPr>
          <w:rFonts w:cs="Calibri"/>
          <w:i/>
          <w:iCs/>
          <w:sz w:val="20"/>
          <w:szCs w:val="20"/>
          <w:lang w:val="sq-AL"/>
        </w:rPr>
        <w:t xml:space="preserve"> </w:t>
      </w:r>
    </w:p>
    <w:p w14:paraId="13D18CB0" w14:textId="55BB8178"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 xml:space="preserve">332 premiera e shfaqje artistike të zhanrit teatror eksperimental klasik/bashkekohor, </w:t>
      </w:r>
      <w:r w:rsidR="00671D4B" w:rsidRPr="00DF1ED6">
        <w:rPr>
          <w:rFonts w:cs="Calibri"/>
          <w:i/>
          <w:iCs/>
          <w:sz w:val="20"/>
          <w:szCs w:val="20"/>
          <w:lang w:val="sq-AL"/>
        </w:rPr>
        <w:t>për</w:t>
      </w:r>
      <w:r w:rsidRPr="00DF1ED6">
        <w:rPr>
          <w:rFonts w:cs="Calibri"/>
          <w:i/>
          <w:iCs/>
          <w:sz w:val="20"/>
          <w:szCs w:val="20"/>
          <w:lang w:val="sq-AL"/>
        </w:rPr>
        <w:t xml:space="preserve"> 52.9</w:t>
      </w:r>
      <w:r w:rsidR="00671D4B" w:rsidRPr="00DF1ED6">
        <w:rPr>
          <w:rFonts w:cs="Calibri"/>
          <w:i/>
          <w:iCs/>
          <w:sz w:val="20"/>
          <w:szCs w:val="20"/>
          <w:lang w:val="sq-AL"/>
        </w:rPr>
        <w:t>mln</w:t>
      </w:r>
      <w:r w:rsidRPr="00DF1ED6">
        <w:rPr>
          <w:rFonts w:cs="Calibri"/>
          <w:i/>
          <w:iCs/>
          <w:sz w:val="20"/>
          <w:szCs w:val="20"/>
          <w:lang w:val="sq-AL"/>
        </w:rPr>
        <w:t xml:space="preserve"> LEK</w:t>
      </w:r>
      <w:r w:rsidR="00264B90" w:rsidRPr="00DF1ED6">
        <w:rPr>
          <w:rFonts w:cs="Calibri"/>
          <w:i/>
          <w:iCs/>
          <w:sz w:val="20"/>
          <w:szCs w:val="20"/>
          <w:lang w:val="sq-AL"/>
        </w:rPr>
        <w:t>;</w:t>
      </w:r>
    </w:p>
    <w:p w14:paraId="690F0105" w14:textId="7EF1DEC3"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5 ekspozita me vepra pjesë e fondit të GKA, të përkohshme të traditës dhe bashkëkohore, autorë të diasporës dhe të huaj, me kosto faktike 49.6</w:t>
      </w:r>
      <w:r w:rsidR="0056260B" w:rsidRPr="00DF1ED6">
        <w:rPr>
          <w:rFonts w:cs="Calibri"/>
          <w:i/>
          <w:iCs/>
          <w:sz w:val="20"/>
          <w:szCs w:val="20"/>
          <w:lang w:val="sq-AL"/>
        </w:rPr>
        <w:t>milionë</w:t>
      </w:r>
      <w:r w:rsidRPr="00DF1ED6">
        <w:rPr>
          <w:rFonts w:cs="Calibri"/>
          <w:i/>
          <w:iCs/>
          <w:sz w:val="20"/>
          <w:szCs w:val="20"/>
          <w:lang w:val="sq-AL"/>
        </w:rPr>
        <w:t xml:space="preserve"> LEK</w:t>
      </w:r>
      <w:r w:rsidR="0065135E" w:rsidRPr="00DF1ED6">
        <w:rPr>
          <w:rFonts w:cs="Calibri"/>
          <w:i/>
          <w:iCs/>
          <w:sz w:val="20"/>
          <w:szCs w:val="20"/>
          <w:lang w:val="sq-AL"/>
        </w:rPr>
        <w:t>;</w:t>
      </w:r>
    </w:p>
    <w:p w14:paraId="7FA708C9" w14:textId="0E559C84" w:rsidR="00C156A0"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 xml:space="preserve">12 aktivitete </w:t>
      </w:r>
      <w:r w:rsidR="00671D4B" w:rsidRPr="00DF1ED6">
        <w:rPr>
          <w:rFonts w:cs="Calibri"/>
          <w:i/>
          <w:iCs/>
          <w:sz w:val="20"/>
          <w:szCs w:val="20"/>
          <w:lang w:val="sq-AL"/>
        </w:rPr>
        <w:t>për</w:t>
      </w:r>
      <w:r w:rsidRPr="00DF1ED6">
        <w:rPr>
          <w:rFonts w:cs="Calibri"/>
          <w:i/>
          <w:iCs/>
          <w:sz w:val="20"/>
          <w:szCs w:val="20"/>
          <w:lang w:val="sq-AL"/>
        </w:rPr>
        <w:t xml:space="preserve"> promovimin e krijimtarisë letrare </w:t>
      </w:r>
      <w:r w:rsidR="00671D4B" w:rsidRPr="00DF1ED6">
        <w:rPr>
          <w:rFonts w:cs="Calibri"/>
          <w:i/>
          <w:iCs/>
          <w:sz w:val="20"/>
          <w:szCs w:val="20"/>
          <w:lang w:val="sq-AL"/>
        </w:rPr>
        <w:t>(</w:t>
      </w:r>
      <w:r w:rsidRPr="00DF1ED6">
        <w:rPr>
          <w:rFonts w:cs="Calibri"/>
          <w:i/>
          <w:iCs/>
          <w:sz w:val="20"/>
          <w:szCs w:val="20"/>
          <w:lang w:val="sq-AL"/>
        </w:rPr>
        <w:t>100% e sasisë së planifkiuar</w:t>
      </w:r>
      <w:r w:rsidR="00671D4B" w:rsidRPr="00DF1ED6">
        <w:rPr>
          <w:rFonts w:cs="Calibri"/>
          <w:i/>
          <w:iCs/>
          <w:sz w:val="20"/>
          <w:szCs w:val="20"/>
          <w:lang w:val="sq-AL"/>
        </w:rPr>
        <w:t>)</w:t>
      </w:r>
      <w:r w:rsidRPr="00DF1ED6">
        <w:rPr>
          <w:rFonts w:cs="Calibri"/>
          <w:i/>
          <w:iCs/>
          <w:sz w:val="20"/>
          <w:szCs w:val="20"/>
          <w:lang w:val="sq-AL"/>
        </w:rPr>
        <w:t xml:space="preserve">, </w:t>
      </w:r>
      <w:r w:rsidR="00671D4B" w:rsidRPr="00DF1ED6">
        <w:rPr>
          <w:rFonts w:cs="Calibri"/>
          <w:i/>
          <w:iCs/>
          <w:sz w:val="20"/>
          <w:szCs w:val="20"/>
          <w:lang w:val="sq-AL"/>
        </w:rPr>
        <w:t>për</w:t>
      </w:r>
      <w:r w:rsidRPr="00DF1ED6">
        <w:rPr>
          <w:rFonts w:cs="Calibri"/>
          <w:i/>
          <w:iCs/>
          <w:sz w:val="20"/>
          <w:szCs w:val="20"/>
          <w:lang w:val="sq-AL"/>
        </w:rPr>
        <w:t xml:space="preserve"> 32</w:t>
      </w:r>
      <w:r w:rsidR="00671D4B" w:rsidRPr="00DF1ED6">
        <w:rPr>
          <w:rFonts w:cs="Calibri"/>
          <w:i/>
          <w:iCs/>
          <w:sz w:val="20"/>
          <w:szCs w:val="20"/>
          <w:lang w:val="sq-AL"/>
        </w:rPr>
        <w:t>mln</w:t>
      </w:r>
      <w:r w:rsidRPr="00DF1ED6">
        <w:rPr>
          <w:rFonts w:cs="Calibri"/>
          <w:i/>
          <w:iCs/>
          <w:sz w:val="20"/>
          <w:szCs w:val="20"/>
          <w:lang w:val="sq-AL"/>
        </w:rPr>
        <w:t xml:space="preserve"> LEK</w:t>
      </w:r>
      <w:r w:rsidR="0065135E" w:rsidRPr="00DF1ED6">
        <w:rPr>
          <w:rFonts w:cs="Calibri"/>
          <w:i/>
          <w:iCs/>
          <w:sz w:val="20"/>
          <w:szCs w:val="20"/>
          <w:lang w:val="sq-AL"/>
        </w:rPr>
        <w:t>;</w:t>
      </w:r>
    </w:p>
    <w:p w14:paraId="75543B27" w14:textId="43897143" w:rsidR="00DC19C4" w:rsidRPr="00DF1ED6" w:rsidRDefault="00C156A0">
      <w:pPr>
        <w:numPr>
          <w:ilvl w:val="0"/>
          <w:numId w:val="47"/>
        </w:numPr>
        <w:shd w:val="clear" w:color="auto" w:fill="FFFFFF"/>
        <w:spacing w:before="0" w:after="160" w:line="240" w:lineRule="auto"/>
        <w:contextualSpacing/>
        <w:rPr>
          <w:rFonts w:cs="Calibri"/>
          <w:i/>
          <w:iCs/>
          <w:sz w:val="20"/>
          <w:szCs w:val="20"/>
          <w:lang w:val="sq-AL"/>
        </w:rPr>
      </w:pPr>
      <w:r w:rsidRPr="00DF1ED6">
        <w:rPr>
          <w:rFonts w:cs="Calibri"/>
          <w:i/>
          <w:iCs/>
          <w:sz w:val="20"/>
          <w:szCs w:val="20"/>
          <w:lang w:val="sq-AL"/>
        </w:rPr>
        <w:t>155 aktivitete në kuadër të veprimtari</w:t>
      </w:r>
      <w:r w:rsidR="00671D4B" w:rsidRPr="00DF1ED6">
        <w:rPr>
          <w:rFonts w:cs="Calibri"/>
          <w:i/>
          <w:iCs/>
          <w:sz w:val="20"/>
          <w:szCs w:val="20"/>
          <w:lang w:val="sq-AL"/>
        </w:rPr>
        <w:t>ve</w:t>
      </w:r>
      <w:r w:rsidRPr="00DF1ED6">
        <w:rPr>
          <w:rFonts w:cs="Calibri"/>
          <w:i/>
          <w:iCs/>
          <w:sz w:val="20"/>
          <w:szCs w:val="20"/>
          <w:lang w:val="sq-AL"/>
        </w:rPr>
        <w:t xml:space="preserve"> promovuese të materialeve filmike, pjesë e fondit të kinematografisë shqiptare dhe asaj të huaj </w:t>
      </w:r>
      <w:r w:rsidR="00671D4B" w:rsidRPr="00DF1ED6">
        <w:rPr>
          <w:rFonts w:cs="Calibri"/>
          <w:i/>
          <w:iCs/>
          <w:sz w:val="20"/>
          <w:szCs w:val="20"/>
          <w:lang w:val="sq-AL"/>
        </w:rPr>
        <w:t>(</w:t>
      </w:r>
      <w:r w:rsidRPr="00DF1ED6">
        <w:rPr>
          <w:rFonts w:cs="Calibri"/>
          <w:i/>
          <w:iCs/>
          <w:sz w:val="20"/>
          <w:szCs w:val="20"/>
          <w:lang w:val="sq-AL"/>
        </w:rPr>
        <w:t>97%  e sasi</w:t>
      </w:r>
      <w:r w:rsidR="00AE7CD7" w:rsidRPr="00DF1ED6">
        <w:rPr>
          <w:rFonts w:cs="Calibri"/>
          <w:i/>
          <w:iCs/>
          <w:sz w:val="20"/>
          <w:szCs w:val="20"/>
          <w:lang w:val="sq-AL"/>
        </w:rPr>
        <w:t>s</w:t>
      </w:r>
      <w:r w:rsidRPr="00DF1ED6">
        <w:rPr>
          <w:rFonts w:cs="Calibri"/>
          <w:i/>
          <w:iCs/>
          <w:sz w:val="20"/>
          <w:szCs w:val="20"/>
          <w:lang w:val="sq-AL"/>
        </w:rPr>
        <w:t>ë së planifikuar</w:t>
      </w:r>
      <w:r w:rsidR="00671D4B" w:rsidRPr="00DF1ED6">
        <w:rPr>
          <w:rFonts w:cs="Calibri"/>
          <w:i/>
          <w:iCs/>
          <w:sz w:val="20"/>
          <w:szCs w:val="20"/>
          <w:lang w:val="sq-AL"/>
        </w:rPr>
        <w:t>)</w:t>
      </w:r>
      <w:r w:rsidRPr="00DF1ED6">
        <w:rPr>
          <w:rFonts w:cs="Calibri"/>
          <w:i/>
          <w:iCs/>
          <w:sz w:val="20"/>
          <w:szCs w:val="20"/>
          <w:lang w:val="sq-AL"/>
        </w:rPr>
        <w:t>, me kosto faktike 22.2</w:t>
      </w:r>
      <w:r w:rsidR="00671D4B" w:rsidRPr="00DF1ED6">
        <w:rPr>
          <w:rFonts w:cs="Calibri"/>
          <w:i/>
          <w:iCs/>
          <w:sz w:val="20"/>
          <w:szCs w:val="20"/>
          <w:lang w:val="sq-AL"/>
        </w:rPr>
        <w:t>mln</w:t>
      </w:r>
      <w:r w:rsidRPr="00DF1ED6">
        <w:rPr>
          <w:rFonts w:cs="Calibri"/>
          <w:i/>
          <w:iCs/>
          <w:sz w:val="20"/>
          <w:szCs w:val="20"/>
          <w:lang w:val="sq-AL"/>
        </w:rPr>
        <w:t xml:space="preserve"> LEK.</w:t>
      </w:r>
    </w:p>
    <w:p w14:paraId="24F835E1" w14:textId="77777777" w:rsidR="00671D4B" w:rsidRPr="00671D4B" w:rsidRDefault="00671D4B" w:rsidP="00C156A0">
      <w:pPr>
        <w:spacing w:line="240" w:lineRule="auto"/>
        <w:rPr>
          <w:noProof/>
          <w:sz w:val="2"/>
          <w:szCs w:val="2"/>
          <w:lang w:val="sq-AL"/>
        </w:rPr>
      </w:pPr>
    </w:p>
    <w:p w14:paraId="4F77A250" w14:textId="77777777" w:rsidR="00DF1ED6" w:rsidRPr="00DF1ED6" w:rsidRDefault="00DF1ED6" w:rsidP="00C156A0">
      <w:pPr>
        <w:spacing w:line="240" w:lineRule="auto"/>
        <w:rPr>
          <w:noProof/>
          <w:sz w:val="6"/>
          <w:szCs w:val="6"/>
          <w:lang w:val="sq-AL"/>
        </w:rPr>
      </w:pPr>
    </w:p>
    <w:p w14:paraId="31ECDD27" w14:textId="197F9B5B" w:rsidR="00C156A0" w:rsidRPr="00C156A0" w:rsidRDefault="00C156A0" w:rsidP="00C156A0">
      <w:pPr>
        <w:spacing w:line="240" w:lineRule="auto"/>
        <w:rPr>
          <w:noProof/>
          <w:szCs w:val="22"/>
          <w:lang w:val="sq-AL"/>
        </w:rPr>
      </w:pPr>
      <w:r w:rsidRPr="00C156A0">
        <w:rPr>
          <w:noProof/>
          <w:szCs w:val="22"/>
          <w:lang w:val="sq-AL"/>
        </w:rPr>
        <w:t xml:space="preserve">Në programin </w:t>
      </w:r>
      <w:r w:rsidRPr="00C156A0">
        <w:rPr>
          <w:b/>
          <w:bCs/>
          <w:noProof/>
          <w:szCs w:val="22"/>
          <w:lang w:val="sq-AL"/>
        </w:rPr>
        <w:t>“Trashëgimia Kulturore”,</w:t>
      </w:r>
      <w:r w:rsidRPr="00C156A0">
        <w:rPr>
          <w:noProof/>
          <w:szCs w:val="22"/>
          <w:lang w:val="sq-AL"/>
        </w:rPr>
        <w:t xml:space="preserve"> i cili ka qëllim “Ruajtjen dhe promovimin e trashëgimisë kulturore materiale, jomateriale dhe muzeve, duke synuar ne realizimin e objektivit “Rehabilitimi i trashëgimisë arkitektonike, muzeve dhe peisazhit përmes rritjes së numrit të monumenteve dhe muzeve të rehabilituara. Fondet e parashikuara sipas planit vjetor të rishikuar janë në vlerën e 1.12 </w:t>
      </w:r>
      <w:r w:rsidR="0056260B">
        <w:rPr>
          <w:noProof/>
          <w:szCs w:val="22"/>
          <w:lang w:val="sq-AL"/>
        </w:rPr>
        <w:t>miliardë</w:t>
      </w:r>
      <w:r w:rsidRPr="00C156A0">
        <w:rPr>
          <w:noProof/>
          <w:szCs w:val="22"/>
          <w:lang w:val="sq-AL"/>
        </w:rPr>
        <w:t xml:space="preserve"> LEK, nga 1.11 </w:t>
      </w:r>
      <w:r w:rsidR="0056260B">
        <w:rPr>
          <w:noProof/>
          <w:szCs w:val="22"/>
          <w:lang w:val="sq-AL"/>
        </w:rPr>
        <w:t>miliardë</w:t>
      </w:r>
      <w:r w:rsidRPr="00C156A0">
        <w:rPr>
          <w:noProof/>
          <w:szCs w:val="22"/>
          <w:lang w:val="sq-AL"/>
        </w:rPr>
        <w:t xml:space="preserve"> LEK të parashikuara në planin fillestar. Për 12-mujorin 2025 fondet në shpenzimet </w:t>
      </w:r>
      <w:r w:rsidR="0056260B">
        <w:rPr>
          <w:noProof/>
          <w:szCs w:val="22"/>
          <w:lang w:val="sq-AL"/>
        </w:rPr>
        <w:t>korente</w:t>
      </w:r>
      <w:r w:rsidRPr="00C156A0">
        <w:rPr>
          <w:noProof/>
          <w:szCs w:val="22"/>
          <w:lang w:val="sq-AL"/>
        </w:rPr>
        <w:t xml:space="preserve"> janë realizuar n vlern  790 </w:t>
      </w:r>
      <w:r w:rsidR="0056260B">
        <w:rPr>
          <w:noProof/>
          <w:szCs w:val="22"/>
          <w:lang w:val="sq-AL"/>
        </w:rPr>
        <w:t>milionë</w:t>
      </w:r>
      <w:r w:rsidRPr="00C156A0">
        <w:rPr>
          <w:noProof/>
          <w:szCs w:val="22"/>
          <w:lang w:val="sq-AL"/>
        </w:rPr>
        <w:t xml:space="preserve"> LEK, ose në masën 93% të buxhetit të akorduar në fillim të vitit dhe  të planit të ndryshuar. Realizuar produktet si më poshtë: </w:t>
      </w:r>
    </w:p>
    <w:p w14:paraId="66ECEDE4" w14:textId="23520C15" w:rsidR="00C156A0" w:rsidRPr="00264B90" w:rsidRDefault="00C156A0">
      <w:pPr>
        <w:numPr>
          <w:ilvl w:val="0"/>
          <w:numId w:val="47"/>
        </w:numPr>
        <w:shd w:val="clear" w:color="auto" w:fill="FFFFFF"/>
        <w:spacing w:before="0" w:after="160" w:line="240" w:lineRule="auto"/>
        <w:contextualSpacing/>
        <w:rPr>
          <w:rFonts w:cs="Calibri"/>
          <w:i/>
          <w:iCs/>
          <w:sz w:val="20"/>
          <w:szCs w:val="20"/>
          <w:lang w:val="sq-AL"/>
        </w:rPr>
      </w:pPr>
      <w:r w:rsidRPr="00264B90">
        <w:rPr>
          <w:rFonts w:cs="Calibri"/>
          <w:i/>
          <w:iCs/>
          <w:sz w:val="20"/>
          <w:szCs w:val="20"/>
          <w:lang w:val="sq-AL"/>
        </w:rPr>
        <w:t xml:space="preserve">Me një kosto rreth 372.6 </w:t>
      </w:r>
      <w:r w:rsidR="0056260B">
        <w:rPr>
          <w:rFonts w:cs="Calibri"/>
          <w:i/>
          <w:iCs/>
          <w:sz w:val="20"/>
          <w:szCs w:val="20"/>
          <w:lang w:val="sq-AL"/>
        </w:rPr>
        <w:t>milionë</w:t>
      </w:r>
      <w:r w:rsidRPr="00264B90">
        <w:rPr>
          <w:rFonts w:cs="Calibri"/>
          <w:i/>
          <w:iCs/>
          <w:sz w:val="20"/>
          <w:szCs w:val="20"/>
          <w:lang w:val="sq-AL"/>
        </w:rPr>
        <w:t xml:space="preserve"> LEK, janë ruajtur dhe mirëmbajtur 2 340 objekte monumente kulture</w:t>
      </w:r>
      <w:r w:rsidR="00264B90">
        <w:rPr>
          <w:rFonts w:cs="Calibri"/>
          <w:i/>
          <w:iCs/>
          <w:sz w:val="20"/>
          <w:szCs w:val="20"/>
          <w:lang w:val="sq-AL"/>
        </w:rPr>
        <w:t>;</w:t>
      </w:r>
    </w:p>
    <w:p w14:paraId="2A6F4408" w14:textId="1058100E" w:rsidR="00C156A0" w:rsidRDefault="00C156A0">
      <w:pPr>
        <w:numPr>
          <w:ilvl w:val="0"/>
          <w:numId w:val="47"/>
        </w:numPr>
        <w:shd w:val="clear" w:color="auto" w:fill="FFFFFF"/>
        <w:spacing w:before="0" w:after="160" w:line="240" w:lineRule="auto"/>
        <w:contextualSpacing/>
        <w:rPr>
          <w:rFonts w:cs="Calibri"/>
          <w:i/>
          <w:iCs/>
          <w:sz w:val="20"/>
          <w:szCs w:val="20"/>
          <w:lang w:val="sq-AL"/>
        </w:rPr>
      </w:pPr>
      <w:r w:rsidRPr="00264B90">
        <w:rPr>
          <w:rFonts w:cs="Calibri"/>
          <w:i/>
          <w:iCs/>
          <w:sz w:val="20"/>
          <w:szCs w:val="20"/>
          <w:lang w:val="sq-AL"/>
        </w:rPr>
        <w:t xml:space="preserve">Janë mirembajtur 12 muze të vizitueshëm nga publiku me kosto faktike 237.8 </w:t>
      </w:r>
      <w:r w:rsidR="0056260B">
        <w:rPr>
          <w:rFonts w:cs="Calibri"/>
          <w:i/>
          <w:iCs/>
          <w:sz w:val="20"/>
          <w:szCs w:val="20"/>
          <w:lang w:val="sq-AL"/>
        </w:rPr>
        <w:t>milionë</w:t>
      </w:r>
      <w:r w:rsidRPr="00264B90">
        <w:rPr>
          <w:rFonts w:cs="Calibri"/>
          <w:i/>
          <w:iCs/>
          <w:sz w:val="20"/>
          <w:szCs w:val="20"/>
          <w:lang w:val="sq-AL"/>
        </w:rPr>
        <w:t xml:space="preserve"> LEK</w:t>
      </w:r>
      <w:r w:rsidR="00264B90">
        <w:rPr>
          <w:rFonts w:cs="Calibri"/>
          <w:i/>
          <w:iCs/>
          <w:sz w:val="20"/>
          <w:szCs w:val="20"/>
          <w:lang w:val="sq-AL"/>
        </w:rPr>
        <w:t>;</w:t>
      </w:r>
    </w:p>
    <w:p w14:paraId="607C7895" w14:textId="6D2ED5EB" w:rsidR="00264B90" w:rsidRPr="00264B90" w:rsidRDefault="00264B90">
      <w:pPr>
        <w:numPr>
          <w:ilvl w:val="0"/>
          <w:numId w:val="47"/>
        </w:numPr>
        <w:shd w:val="clear" w:color="auto" w:fill="FFFFFF"/>
        <w:spacing w:before="0" w:after="160" w:line="240" w:lineRule="auto"/>
        <w:contextualSpacing/>
        <w:rPr>
          <w:rFonts w:cs="Calibri"/>
          <w:i/>
          <w:iCs/>
          <w:sz w:val="20"/>
          <w:szCs w:val="20"/>
          <w:lang w:val="sq-AL"/>
        </w:rPr>
      </w:pPr>
      <w:r w:rsidRPr="00264B90">
        <w:rPr>
          <w:rFonts w:cs="Calibri"/>
          <w:i/>
          <w:iCs/>
          <w:sz w:val="20"/>
          <w:szCs w:val="20"/>
          <w:lang w:val="sq-AL"/>
        </w:rPr>
        <w:t xml:space="preserve">Janë zhvilluar 265 aktivitete edukuese/promovuese mbi trashëgiminë kulturore, nga 270 të planifikura, ose 98% e sasisë së planifikuar me kosto faktike 153 </w:t>
      </w:r>
      <w:r w:rsidR="0056260B">
        <w:rPr>
          <w:rFonts w:cs="Calibri"/>
          <w:i/>
          <w:iCs/>
          <w:sz w:val="20"/>
          <w:szCs w:val="20"/>
          <w:lang w:val="sq-AL"/>
        </w:rPr>
        <w:t>milionë</w:t>
      </w:r>
      <w:r w:rsidRPr="00264B90">
        <w:rPr>
          <w:rFonts w:cs="Calibri"/>
          <w:i/>
          <w:iCs/>
          <w:sz w:val="20"/>
          <w:szCs w:val="20"/>
          <w:lang w:val="sq-AL"/>
        </w:rPr>
        <w:t xml:space="preserve"> LEK</w:t>
      </w:r>
      <w:r>
        <w:rPr>
          <w:rFonts w:cs="Calibri"/>
          <w:i/>
          <w:iCs/>
          <w:sz w:val="20"/>
          <w:szCs w:val="20"/>
          <w:lang w:val="sq-AL"/>
        </w:rPr>
        <w:t>;</w:t>
      </w:r>
    </w:p>
    <w:p w14:paraId="0991B895" w14:textId="59FCC690" w:rsidR="00C156A0" w:rsidRDefault="00C156A0">
      <w:pPr>
        <w:numPr>
          <w:ilvl w:val="0"/>
          <w:numId w:val="47"/>
        </w:numPr>
        <w:shd w:val="clear" w:color="auto" w:fill="FFFFFF"/>
        <w:spacing w:before="0" w:after="240" w:line="240" w:lineRule="auto"/>
        <w:contextualSpacing/>
        <w:rPr>
          <w:rFonts w:cs="Calibri"/>
          <w:i/>
          <w:iCs/>
          <w:sz w:val="20"/>
          <w:szCs w:val="20"/>
          <w:lang w:val="sq-AL"/>
        </w:rPr>
      </w:pPr>
      <w:r w:rsidRPr="00264B90">
        <w:rPr>
          <w:rFonts w:cs="Calibri"/>
          <w:i/>
          <w:iCs/>
          <w:sz w:val="20"/>
          <w:szCs w:val="20"/>
          <w:lang w:val="sq-AL"/>
        </w:rPr>
        <w:t xml:space="preserve">Eshtë realizuar produkti “Trashëgimia materiale e jo materiale e inventarizuar”, me nr.16 810 kartelash, me kosto faktike 16 </w:t>
      </w:r>
      <w:r w:rsidR="0056260B">
        <w:rPr>
          <w:rFonts w:cs="Calibri"/>
          <w:i/>
          <w:iCs/>
          <w:sz w:val="20"/>
          <w:szCs w:val="20"/>
          <w:lang w:val="sq-AL"/>
        </w:rPr>
        <w:t>milionë</w:t>
      </w:r>
      <w:r w:rsidRPr="00264B90">
        <w:rPr>
          <w:rFonts w:cs="Calibri"/>
          <w:i/>
          <w:iCs/>
          <w:sz w:val="20"/>
          <w:szCs w:val="20"/>
          <w:lang w:val="sq-AL"/>
        </w:rPr>
        <w:t xml:space="preserve"> LEK.</w:t>
      </w:r>
    </w:p>
    <w:p w14:paraId="0A97FE86" w14:textId="77777777" w:rsidR="008A6B67" w:rsidRPr="008A6B67" w:rsidRDefault="008A6B67" w:rsidP="00FD1884">
      <w:pPr>
        <w:spacing w:line="240" w:lineRule="auto"/>
        <w:rPr>
          <w:rFonts w:cs="Calibri"/>
          <w:color w:val="000000"/>
          <w:sz w:val="2"/>
          <w:szCs w:val="2"/>
          <w:lang w:val="sq-AL"/>
        </w:rPr>
      </w:pPr>
    </w:p>
    <w:p w14:paraId="385EE124" w14:textId="77777777" w:rsidR="00DF1ED6" w:rsidRPr="00DF1ED6" w:rsidRDefault="00DF1ED6" w:rsidP="00FD1884">
      <w:pPr>
        <w:spacing w:line="240" w:lineRule="auto"/>
        <w:rPr>
          <w:rFonts w:cs="Calibri"/>
          <w:color w:val="000000"/>
          <w:sz w:val="6"/>
          <w:szCs w:val="6"/>
          <w:lang w:val="sq-AL"/>
        </w:rPr>
      </w:pPr>
    </w:p>
    <w:p w14:paraId="4E8A113A" w14:textId="3B9AB001" w:rsidR="00C156A0" w:rsidRPr="00C156A0" w:rsidRDefault="00C156A0" w:rsidP="00FD1884">
      <w:pPr>
        <w:spacing w:line="240" w:lineRule="auto"/>
        <w:rPr>
          <w:rFonts w:cs="Calibri"/>
          <w:color w:val="000000"/>
          <w:szCs w:val="22"/>
          <w:lang w:val="sq-AL"/>
        </w:rPr>
      </w:pPr>
      <w:r w:rsidRPr="00C156A0">
        <w:rPr>
          <w:rFonts w:cs="Calibri"/>
          <w:color w:val="000000"/>
          <w:szCs w:val="22"/>
          <w:lang w:val="sq-AL"/>
        </w:rPr>
        <w:t xml:space="preserve">Në programin </w:t>
      </w:r>
      <w:r w:rsidRPr="00C156A0">
        <w:rPr>
          <w:rFonts w:cs="Calibri"/>
          <w:b/>
          <w:color w:val="000000"/>
          <w:szCs w:val="22"/>
          <w:lang w:val="sq-AL"/>
        </w:rPr>
        <w:t>“Zhvillimi i Sportit”</w:t>
      </w:r>
      <w:r w:rsidRPr="00C156A0">
        <w:rPr>
          <w:rFonts w:cs="Calibri"/>
          <w:bCs/>
          <w:color w:val="000000"/>
          <w:szCs w:val="22"/>
          <w:lang w:val="sq-AL"/>
        </w:rPr>
        <w:t xml:space="preserve"> synohet mbështetja dhe ngritja e kapaciteteve në fushën e sportit për cdo disiplinë sportive dhe aktivizimi i Shqipërisë në aktivitete ndërkombëtare me fokus te të rinjtë. </w:t>
      </w:r>
      <w:r w:rsidRPr="00C156A0">
        <w:rPr>
          <w:rFonts w:cs="Calibri"/>
          <w:color w:val="000000"/>
          <w:szCs w:val="22"/>
          <w:lang w:val="sq-AL"/>
        </w:rPr>
        <w:t>Në këtë kuadër, për vitin 2025:</w:t>
      </w:r>
    </w:p>
    <w:p w14:paraId="770F3A0F" w14:textId="55FDB02D" w:rsidR="00C156A0" w:rsidRPr="00FD1884" w:rsidRDefault="00C156A0">
      <w:pPr>
        <w:numPr>
          <w:ilvl w:val="0"/>
          <w:numId w:val="47"/>
        </w:numPr>
        <w:shd w:val="clear" w:color="auto" w:fill="FFFFFF"/>
        <w:spacing w:before="0" w:after="160" w:line="240" w:lineRule="auto"/>
        <w:contextualSpacing/>
        <w:rPr>
          <w:rFonts w:cs="Calibri"/>
          <w:i/>
          <w:iCs/>
          <w:sz w:val="20"/>
          <w:szCs w:val="20"/>
          <w:lang w:val="sq-AL"/>
        </w:rPr>
      </w:pPr>
      <w:bookmarkStart w:id="264" w:name="_Hlk227664227"/>
      <w:r w:rsidRPr="00FD1884">
        <w:rPr>
          <w:rFonts w:cs="Calibri"/>
          <w:i/>
          <w:iCs/>
          <w:sz w:val="20"/>
          <w:szCs w:val="20"/>
          <w:lang w:val="sq-AL"/>
        </w:rPr>
        <w:t xml:space="preserve">Janë financuar 36 Federata Olimpike dhe jo-Olimpike që marrin pjesë në aktivitete ndërkombëtare, me kosto totale 1.38 </w:t>
      </w:r>
      <w:r w:rsidR="0056260B">
        <w:rPr>
          <w:rFonts w:cs="Calibri"/>
          <w:i/>
          <w:iCs/>
          <w:sz w:val="20"/>
          <w:szCs w:val="20"/>
          <w:lang w:val="sq-AL"/>
        </w:rPr>
        <w:t>miliardë</w:t>
      </w:r>
      <w:r w:rsidRPr="00FD1884">
        <w:rPr>
          <w:rFonts w:cs="Calibri"/>
          <w:i/>
          <w:iCs/>
          <w:sz w:val="20"/>
          <w:szCs w:val="20"/>
          <w:lang w:val="sq-AL"/>
        </w:rPr>
        <w:t xml:space="preserve"> LEK</w:t>
      </w:r>
      <w:r w:rsidR="00FD1884">
        <w:rPr>
          <w:rFonts w:cs="Calibri"/>
          <w:i/>
          <w:iCs/>
          <w:sz w:val="20"/>
          <w:szCs w:val="20"/>
          <w:lang w:val="sq-AL"/>
        </w:rPr>
        <w:t>;</w:t>
      </w:r>
    </w:p>
    <w:p w14:paraId="1E334D75" w14:textId="12FE30CD" w:rsidR="00C156A0" w:rsidRDefault="00C156A0">
      <w:pPr>
        <w:numPr>
          <w:ilvl w:val="0"/>
          <w:numId w:val="47"/>
        </w:numPr>
        <w:shd w:val="clear" w:color="auto" w:fill="FFFFFF"/>
        <w:spacing w:before="0" w:after="160" w:line="240" w:lineRule="auto"/>
        <w:contextualSpacing/>
        <w:rPr>
          <w:rFonts w:cs="Calibri"/>
          <w:i/>
          <w:iCs/>
          <w:sz w:val="20"/>
          <w:szCs w:val="20"/>
          <w:lang w:val="sq-AL"/>
        </w:rPr>
      </w:pPr>
      <w:r w:rsidRPr="00FD1884">
        <w:rPr>
          <w:rFonts w:cs="Calibri"/>
          <w:i/>
          <w:iCs/>
          <w:sz w:val="20"/>
          <w:szCs w:val="20"/>
          <w:lang w:val="sq-AL"/>
        </w:rPr>
        <w:t xml:space="preserve"> Janë zhvilluar 150 Aktiviteteve kombëtare dhe ndërkombëtare të të gjitha disiplinave, në përputhje me kalendarin sportiv kombëtar dhe ndërkombëtar, me kosto faktike 378.3 </w:t>
      </w:r>
      <w:r w:rsidR="0056260B">
        <w:rPr>
          <w:rFonts w:cs="Calibri"/>
          <w:i/>
          <w:iCs/>
          <w:sz w:val="20"/>
          <w:szCs w:val="20"/>
          <w:lang w:val="sq-AL"/>
        </w:rPr>
        <w:t>milionë</w:t>
      </w:r>
      <w:r w:rsidRPr="00FD1884">
        <w:rPr>
          <w:rFonts w:cs="Calibri"/>
          <w:i/>
          <w:iCs/>
          <w:sz w:val="20"/>
          <w:szCs w:val="20"/>
          <w:lang w:val="sq-AL"/>
        </w:rPr>
        <w:t xml:space="preserve"> </w:t>
      </w:r>
      <w:r w:rsidR="0056260B">
        <w:rPr>
          <w:rFonts w:cs="Calibri"/>
          <w:i/>
          <w:iCs/>
          <w:sz w:val="20"/>
          <w:szCs w:val="20"/>
          <w:lang w:val="sq-AL"/>
        </w:rPr>
        <w:t>LEK</w:t>
      </w:r>
      <w:r w:rsidR="00FD1884">
        <w:rPr>
          <w:rFonts w:cs="Calibri"/>
          <w:i/>
          <w:iCs/>
          <w:sz w:val="20"/>
          <w:szCs w:val="20"/>
          <w:lang w:val="sq-AL"/>
        </w:rPr>
        <w:t>;</w:t>
      </w:r>
    </w:p>
    <w:p w14:paraId="26DE1CA8" w14:textId="4DB4B845" w:rsidR="00FD1884" w:rsidRPr="00FD1884" w:rsidRDefault="00FD1884">
      <w:pPr>
        <w:numPr>
          <w:ilvl w:val="0"/>
          <w:numId w:val="47"/>
        </w:numPr>
        <w:shd w:val="clear" w:color="auto" w:fill="FFFFFF"/>
        <w:spacing w:before="0" w:after="160" w:line="240" w:lineRule="auto"/>
        <w:contextualSpacing/>
        <w:rPr>
          <w:rFonts w:cs="Calibri"/>
          <w:i/>
          <w:iCs/>
          <w:sz w:val="20"/>
          <w:szCs w:val="20"/>
          <w:lang w:val="sq-AL"/>
        </w:rPr>
      </w:pPr>
      <w:r w:rsidRPr="00FD1884">
        <w:rPr>
          <w:rFonts w:cs="Calibri"/>
          <w:i/>
          <w:iCs/>
          <w:sz w:val="20"/>
          <w:szCs w:val="20"/>
          <w:lang w:val="sq-AL"/>
        </w:rPr>
        <w:t xml:space="preserve">Janë zhvilluar programe trajnuese në sistemin sportiv kombëtar, në funskion të rritjesë së kapaciteteve në fushën e sportit, me synimin për të trajnuar çdo vit 20-50% të stafit teknik të sistemit sportiv kombëysar (732 teknikë, specialistë, instruktorë, mjekë), me prioritet për sportistët dhe trajnerët gra, me kosto faktike 128.5 </w:t>
      </w:r>
      <w:r w:rsidR="0056260B">
        <w:rPr>
          <w:rFonts w:cs="Calibri"/>
          <w:i/>
          <w:iCs/>
          <w:sz w:val="20"/>
          <w:szCs w:val="20"/>
          <w:lang w:val="sq-AL"/>
        </w:rPr>
        <w:t>milionë</w:t>
      </w:r>
      <w:r w:rsidRPr="00FD1884">
        <w:rPr>
          <w:rFonts w:cs="Calibri"/>
          <w:i/>
          <w:iCs/>
          <w:sz w:val="20"/>
          <w:szCs w:val="20"/>
          <w:lang w:val="sq-AL"/>
        </w:rPr>
        <w:t xml:space="preserve"> LEK</w:t>
      </w:r>
      <w:r>
        <w:rPr>
          <w:rFonts w:cs="Calibri"/>
          <w:i/>
          <w:iCs/>
          <w:sz w:val="20"/>
          <w:szCs w:val="20"/>
          <w:lang w:val="sq-AL"/>
        </w:rPr>
        <w:t>;</w:t>
      </w:r>
    </w:p>
    <w:p w14:paraId="52CB9AEE" w14:textId="68648149" w:rsidR="00DC19C4" w:rsidRPr="00DC19C4" w:rsidRDefault="00C156A0">
      <w:pPr>
        <w:numPr>
          <w:ilvl w:val="0"/>
          <w:numId w:val="47"/>
        </w:numPr>
        <w:shd w:val="clear" w:color="auto" w:fill="FFFFFF"/>
        <w:spacing w:before="0" w:after="160" w:line="240" w:lineRule="auto"/>
        <w:contextualSpacing/>
        <w:rPr>
          <w:rFonts w:cs="Calibri"/>
          <w:i/>
          <w:iCs/>
          <w:sz w:val="20"/>
          <w:szCs w:val="20"/>
          <w:lang w:val="sq-AL"/>
        </w:rPr>
      </w:pPr>
      <w:r w:rsidRPr="00FD1884">
        <w:rPr>
          <w:rFonts w:cs="Calibri"/>
          <w:i/>
          <w:iCs/>
          <w:sz w:val="20"/>
          <w:szCs w:val="20"/>
          <w:lang w:val="sq-AL"/>
        </w:rPr>
        <w:t>Shpërblyer 28 sportistët elitarë dhe trajnerët medaliste pë</w:t>
      </w:r>
      <w:r w:rsidR="00CB4DE6">
        <w:rPr>
          <w:rFonts w:cs="Calibri"/>
          <w:i/>
          <w:iCs/>
          <w:sz w:val="20"/>
          <w:szCs w:val="20"/>
          <w:lang w:val="sq-AL"/>
        </w:rPr>
        <w:t>r</w:t>
      </w:r>
      <w:r w:rsidRPr="00FD1884">
        <w:rPr>
          <w:rFonts w:cs="Calibri"/>
          <w:i/>
          <w:iCs/>
          <w:sz w:val="20"/>
          <w:szCs w:val="20"/>
          <w:lang w:val="sq-AL"/>
        </w:rPr>
        <w:t xml:space="preserve"> pjesëmarrje në aktivitete ndërkombëtare, kosto faktike 51.2 </w:t>
      </w:r>
      <w:r w:rsidR="0056260B">
        <w:rPr>
          <w:rFonts w:cs="Calibri"/>
          <w:i/>
          <w:iCs/>
          <w:sz w:val="20"/>
          <w:szCs w:val="20"/>
          <w:lang w:val="sq-AL"/>
        </w:rPr>
        <w:t>milionë</w:t>
      </w:r>
      <w:r w:rsidRPr="00FD1884">
        <w:rPr>
          <w:rFonts w:cs="Calibri"/>
          <w:i/>
          <w:iCs/>
          <w:sz w:val="20"/>
          <w:szCs w:val="20"/>
          <w:lang w:val="sq-AL"/>
        </w:rPr>
        <w:t xml:space="preserve"> LEK.</w:t>
      </w:r>
      <w:bookmarkEnd w:id="264"/>
    </w:p>
    <w:p w14:paraId="199C4517" w14:textId="23110032" w:rsidR="00C156A0" w:rsidRPr="00C156A0" w:rsidRDefault="00C156A0" w:rsidP="00327853">
      <w:pPr>
        <w:spacing w:line="240" w:lineRule="auto"/>
        <w:rPr>
          <w:lang w:val="sq-AL"/>
        </w:rPr>
      </w:pPr>
      <w:r w:rsidRPr="00C156A0">
        <w:rPr>
          <w:lang w:val="sq-AL"/>
        </w:rPr>
        <w:lastRenderedPageBreak/>
        <w:t>Në programin “</w:t>
      </w:r>
      <w:r w:rsidRPr="00C156A0">
        <w:rPr>
          <w:b/>
          <w:bCs/>
          <w:lang w:val="sq-AL"/>
        </w:rPr>
        <w:t>Mbështetje për Rininë dhe Fëmijët</w:t>
      </w:r>
      <w:r w:rsidRPr="00C156A0">
        <w:rPr>
          <w:lang w:val="sq-AL"/>
        </w:rPr>
        <w:t xml:space="preserve">”,  qëllimi i politikës i së cilit është mbështetja dhe nxitja e inovacionit rinor, rritja e aftësive dhe profesionalizimit përmes edukimit cilësor, pjesëmarrjes aktive në jetën qytetare, sociale, politike,  fondet në shpenzimet </w:t>
      </w:r>
      <w:r w:rsidR="0056260B">
        <w:rPr>
          <w:lang w:val="sq-AL"/>
        </w:rPr>
        <w:t>korente</w:t>
      </w:r>
      <w:r w:rsidRPr="00C156A0">
        <w:rPr>
          <w:lang w:val="sq-AL"/>
        </w:rPr>
        <w:t xml:space="preserve"> janë realizur në masën 212.9 </w:t>
      </w:r>
      <w:r w:rsidR="0056260B">
        <w:rPr>
          <w:lang w:val="sq-AL"/>
        </w:rPr>
        <w:t>milionë</w:t>
      </w:r>
      <w:r w:rsidRPr="00C156A0">
        <w:rPr>
          <w:lang w:val="sq-AL"/>
        </w:rPr>
        <w:t xml:space="preserve"> LEK ose 97% e planit vjetor të rishikuar dhe 91% e planit fillestar. Gjatë 12M 2025 janë realizuar produktet:</w:t>
      </w:r>
    </w:p>
    <w:p w14:paraId="1B1355B4" w14:textId="5E17F163" w:rsidR="00C156A0" w:rsidRPr="00D86491" w:rsidRDefault="00C156A0">
      <w:pPr>
        <w:numPr>
          <w:ilvl w:val="0"/>
          <w:numId w:val="47"/>
        </w:numPr>
        <w:shd w:val="clear" w:color="auto" w:fill="FFFFFF"/>
        <w:spacing w:before="0" w:after="160" w:line="240" w:lineRule="auto"/>
        <w:contextualSpacing/>
        <w:rPr>
          <w:rFonts w:cs="Calibri"/>
          <w:i/>
          <w:iCs/>
          <w:sz w:val="20"/>
          <w:szCs w:val="20"/>
          <w:lang w:val="sq-AL"/>
        </w:rPr>
      </w:pPr>
      <w:r w:rsidRPr="00D86491">
        <w:rPr>
          <w:rFonts w:cs="Calibri"/>
          <w:i/>
          <w:iCs/>
          <w:sz w:val="20"/>
          <w:szCs w:val="20"/>
          <w:lang w:val="sq-AL"/>
        </w:rPr>
        <w:t xml:space="preserve">Janë realizuar 480 aktivitete në kuadër të Planit Kombëtar për Rininë i zbatuar, me kosto faktike 196.6 </w:t>
      </w:r>
      <w:r w:rsidR="0056260B">
        <w:rPr>
          <w:rFonts w:cs="Calibri"/>
          <w:i/>
          <w:iCs/>
          <w:sz w:val="20"/>
          <w:szCs w:val="20"/>
          <w:lang w:val="sq-AL"/>
        </w:rPr>
        <w:t>milionë</w:t>
      </w:r>
      <w:r w:rsidRPr="00D86491">
        <w:rPr>
          <w:rFonts w:cs="Calibri"/>
          <w:i/>
          <w:iCs/>
          <w:sz w:val="20"/>
          <w:szCs w:val="20"/>
          <w:lang w:val="sq-AL"/>
        </w:rPr>
        <w:t xml:space="preserve"> LEK</w:t>
      </w:r>
      <w:r w:rsidR="009C49F5">
        <w:rPr>
          <w:rFonts w:cs="Calibri"/>
          <w:i/>
          <w:iCs/>
          <w:sz w:val="20"/>
          <w:szCs w:val="20"/>
          <w:lang w:val="sq-AL"/>
        </w:rPr>
        <w:t>;</w:t>
      </w:r>
    </w:p>
    <w:p w14:paraId="1BA7EAA4" w14:textId="1970DFC7" w:rsidR="00DC19C4" w:rsidRPr="00DC19C4" w:rsidRDefault="00C156A0">
      <w:pPr>
        <w:numPr>
          <w:ilvl w:val="0"/>
          <w:numId w:val="47"/>
        </w:numPr>
        <w:shd w:val="clear" w:color="auto" w:fill="FFFFFF"/>
        <w:spacing w:before="0" w:after="160" w:line="240" w:lineRule="auto"/>
        <w:contextualSpacing/>
        <w:rPr>
          <w:rFonts w:cs="Calibri"/>
          <w:i/>
          <w:iCs/>
          <w:sz w:val="20"/>
          <w:szCs w:val="20"/>
          <w:lang w:val="sq-AL"/>
        </w:rPr>
      </w:pPr>
      <w:r w:rsidRPr="00D86491">
        <w:rPr>
          <w:rFonts w:cs="Calibri"/>
          <w:i/>
          <w:iCs/>
          <w:sz w:val="20"/>
          <w:szCs w:val="20"/>
          <w:lang w:val="sq-AL"/>
        </w:rPr>
        <w:t xml:space="preserve">480 studentë kanë marrë pjesë në Programin Kombëtar të Praktikave të Punës, program i relalizuar me kosto faktike 16.3 </w:t>
      </w:r>
      <w:r w:rsidR="0056260B">
        <w:rPr>
          <w:rFonts w:cs="Calibri"/>
          <w:i/>
          <w:iCs/>
          <w:sz w:val="20"/>
          <w:szCs w:val="20"/>
          <w:lang w:val="sq-AL"/>
        </w:rPr>
        <w:t>milionë</w:t>
      </w:r>
      <w:r w:rsidRPr="00D86491">
        <w:rPr>
          <w:rFonts w:cs="Calibri"/>
          <w:i/>
          <w:iCs/>
          <w:sz w:val="20"/>
          <w:szCs w:val="20"/>
          <w:lang w:val="sq-AL"/>
        </w:rPr>
        <w:t xml:space="preserve"> LEK.</w:t>
      </w:r>
    </w:p>
    <w:p w14:paraId="5DA4A4E9" w14:textId="77777777" w:rsidR="008A6B67" w:rsidRPr="008A6B67" w:rsidRDefault="008A6B67" w:rsidP="00327853">
      <w:pPr>
        <w:spacing w:line="240" w:lineRule="auto"/>
        <w:rPr>
          <w:noProof/>
          <w:sz w:val="8"/>
          <w:szCs w:val="10"/>
          <w:lang w:val="sq-AL"/>
        </w:rPr>
      </w:pPr>
    </w:p>
    <w:p w14:paraId="185ABC86" w14:textId="040C0EE9" w:rsidR="00D0642E" w:rsidRPr="00D0642E" w:rsidRDefault="00C156A0" w:rsidP="00327853">
      <w:pPr>
        <w:spacing w:line="240" w:lineRule="auto"/>
        <w:rPr>
          <w:noProof/>
          <w:lang w:val="sq-AL"/>
        </w:rPr>
      </w:pPr>
      <w:r w:rsidRPr="00D0642E">
        <w:rPr>
          <w:noProof/>
          <w:lang w:val="sq-AL"/>
        </w:rPr>
        <w:t xml:space="preserve">Për sa u përket </w:t>
      </w:r>
      <w:r w:rsidRPr="00D0642E">
        <w:rPr>
          <w:b/>
          <w:noProof/>
          <w:lang w:val="sq-AL"/>
        </w:rPr>
        <w:t>investimeve publike</w:t>
      </w:r>
      <w:r w:rsidR="00D0642E" w:rsidRPr="00D0642E">
        <w:rPr>
          <w:noProof/>
          <w:lang w:val="sq-AL"/>
        </w:rPr>
        <w:t xml:space="preserve"> realizimi në vitin 2025 ishte 83.8% </w:t>
      </w:r>
      <w:r w:rsidR="00D0642E" w:rsidRPr="00D0642E">
        <w:rPr>
          <w:bCs/>
          <w:iCs/>
          <w:noProof/>
          <w:lang w:val="sq-AL"/>
        </w:rPr>
        <w:t>të planit vjetor të ndryshuar me AN nr.11/2025</w:t>
      </w:r>
      <w:r w:rsidR="00D0642E" w:rsidRPr="00D0642E">
        <w:rPr>
          <w:noProof/>
          <w:lang w:val="sq-AL"/>
        </w:rPr>
        <w:t xml:space="preserve">, për projektet me financim të brendshëm (1.5 </w:t>
      </w:r>
      <w:r w:rsidR="0056260B">
        <w:rPr>
          <w:noProof/>
          <w:lang w:val="sq-AL"/>
        </w:rPr>
        <w:t>miliardë</w:t>
      </w:r>
      <w:r w:rsidR="00D0642E" w:rsidRPr="00D0642E">
        <w:rPr>
          <w:noProof/>
          <w:lang w:val="sq-AL"/>
        </w:rPr>
        <w:t xml:space="preserve"> LEK)</w:t>
      </w:r>
      <w:r w:rsidR="00D0642E" w:rsidRPr="00D0642E">
        <w:rPr>
          <w:bCs/>
          <w:iCs/>
          <w:noProof/>
          <w:lang w:val="sq-AL"/>
        </w:rPr>
        <w:t xml:space="preserve"> </w:t>
      </w:r>
      <w:r w:rsidR="00D0642E" w:rsidRPr="00D0642E">
        <w:rPr>
          <w:noProof/>
          <w:lang w:val="sq-AL"/>
        </w:rPr>
        <w:t xml:space="preserve">dhe 68.0% </w:t>
      </w:r>
      <w:r w:rsidR="00D0642E" w:rsidRPr="00D0642E">
        <w:rPr>
          <w:bCs/>
          <w:iCs/>
          <w:noProof/>
          <w:lang w:val="sq-AL"/>
        </w:rPr>
        <w:t xml:space="preserve">të planit vjetor të ndryshuar me AN nr.11/2025, </w:t>
      </w:r>
      <w:r w:rsidR="00D0642E" w:rsidRPr="00D0642E">
        <w:rPr>
          <w:noProof/>
          <w:lang w:val="sq-AL"/>
        </w:rPr>
        <w:t>për projektet me financim të huaj.</w:t>
      </w:r>
      <w:r w:rsidR="00D0642E" w:rsidRPr="00D0642E">
        <w:rPr>
          <w:bCs/>
          <w:iCs/>
          <w:noProof/>
          <w:lang w:val="sq-AL"/>
        </w:rPr>
        <w:t xml:space="preserve"> </w:t>
      </w:r>
      <w:r w:rsidR="00D0642E" w:rsidRPr="00D0642E">
        <w:rPr>
          <w:rFonts w:eastAsiaTheme="minorHAnsi" w:cs="Calibri Light"/>
          <w:noProof/>
          <w:lang w:val="sq-AL"/>
        </w:rPr>
        <w:t xml:space="preserve">Janë mbyllur 6 </w:t>
      </w:r>
      <w:r w:rsidR="00D0642E" w:rsidRPr="00D0642E">
        <w:rPr>
          <w:rFonts w:eastAsia="SimSun" w:cs="Calibri Light"/>
          <w:noProof/>
          <w:lang w:val="sq-AL"/>
        </w:rPr>
        <w:t>projekte</w:t>
      </w:r>
      <w:r w:rsidR="00D0642E" w:rsidRPr="00D0642E">
        <w:rPr>
          <w:rFonts w:eastAsiaTheme="minorHAnsi" w:cs="Calibri Light"/>
          <w:noProof/>
          <w:lang w:val="sq-AL"/>
        </w:rPr>
        <w:t xml:space="preserve"> të investimit me vlerë 0.016 </w:t>
      </w:r>
      <w:r w:rsidR="0056260B">
        <w:rPr>
          <w:rFonts w:eastAsiaTheme="minorHAnsi" w:cs="Calibri Light"/>
          <w:noProof/>
          <w:lang w:val="sq-AL"/>
        </w:rPr>
        <w:t>miliardë</w:t>
      </w:r>
      <w:r w:rsidR="00D0642E" w:rsidRPr="00D0642E">
        <w:rPr>
          <w:rFonts w:eastAsiaTheme="minorHAnsi" w:cs="Calibri Light"/>
          <w:noProof/>
          <w:lang w:val="sq-AL"/>
        </w:rPr>
        <w:t xml:space="preserve"> LEK, ku </w:t>
      </w:r>
      <w:r w:rsidR="00D0642E" w:rsidRPr="00D0642E">
        <w:rPr>
          <w:rFonts w:cs="Calibri Light"/>
          <w:noProof/>
          <w:lang w:val="sq-AL"/>
        </w:rPr>
        <w:t>nga të cilat veçojmë:</w:t>
      </w:r>
    </w:p>
    <w:p w14:paraId="6BFF277C" w14:textId="22283358" w:rsidR="00D0642E" w:rsidRPr="006B7863" w:rsidRDefault="00D0642E" w:rsidP="00D0642E">
      <w:pPr>
        <w:pStyle w:val="ListParagraph"/>
        <w:numPr>
          <w:ilvl w:val="0"/>
          <w:numId w:val="10"/>
        </w:numPr>
        <w:shd w:val="clear" w:color="auto" w:fill="FFFFFF" w:themeFill="background1"/>
        <w:spacing w:before="0" w:line="240" w:lineRule="auto"/>
        <w:ind w:left="630"/>
        <w:rPr>
          <w:rFonts w:asciiTheme="majorHAnsi" w:hAnsiTheme="majorHAnsi" w:cs="Calibri Light"/>
          <w:bCs/>
          <w:iCs/>
          <w:noProof/>
          <w:szCs w:val="22"/>
          <w:lang w:val="sq-AL" w:eastAsia="en-GB"/>
        </w:rPr>
      </w:pPr>
      <w:r w:rsidRPr="006B7863">
        <w:rPr>
          <w:rFonts w:asciiTheme="majorHAnsi" w:hAnsiTheme="majorHAnsi" w:cs="Calibri Light"/>
          <w:bCs/>
          <w:iCs/>
          <w:noProof/>
          <w:szCs w:val="22"/>
          <w:lang w:val="sq-AL" w:eastAsia="en-GB"/>
        </w:rPr>
        <w:t>Për programin “</w:t>
      </w:r>
      <w:r w:rsidRPr="008A6B67">
        <w:rPr>
          <w:rFonts w:asciiTheme="majorHAnsi" w:hAnsiTheme="majorHAnsi" w:cs="Calibri Light"/>
          <w:bCs/>
          <w:i/>
          <w:noProof/>
          <w:szCs w:val="22"/>
          <w:lang w:val="sq-AL" w:eastAsia="en-GB"/>
        </w:rPr>
        <w:t>Arti dhe Kultura</w:t>
      </w:r>
      <w:r w:rsidRPr="006B7863">
        <w:rPr>
          <w:rFonts w:asciiTheme="majorHAnsi" w:hAnsiTheme="majorHAnsi" w:cs="Calibri Light"/>
          <w:bCs/>
          <w:iCs/>
          <w:noProof/>
          <w:szCs w:val="22"/>
          <w:lang w:val="sq-AL" w:eastAsia="en-GB"/>
        </w:rPr>
        <w:t xml:space="preserve">” kanë përfunduar 3 </w:t>
      </w:r>
      <w:r w:rsidRPr="006B7863">
        <w:rPr>
          <w:rFonts w:asciiTheme="majorHAnsi" w:eastAsia="SimSun" w:hAnsiTheme="majorHAnsi" w:cs="Calibri Light"/>
          <w:iCs/>
          <w:noProof/>
          <w:szCs w:val="22"/>
          <w:lang w:val="sq-AL"/>
        </w:rPr>
        <w:t>projekte</w:t>
      </w:r>
      <w:r w:rsidRPr="006B7863">
        <w:rPr>
          <w:rFonts w:asciiTheme="majorHAnsi" w:hAnsiTheme="majorHAnsi" w:cs="Calibri Light"/>
          <w:bCs/>
          <w:iCs/>
          <w:noProof/>
          <w:szCs w:val="22"/>
          <w:lang w:val="sq-AL" w:eastAsia="en-GB"/>
        </w:rPr>
        <w:t xml:space="preserve"> me vlerë totale 139.6</w:t>
      </w:r>
      <w:r w:rsidR="008A6B67">
        <w:rPr>
          <w:rFonts w:asciiTheme="majorHAnsi" w:hAnsiTheme="majorHAnsi" w:cs="Calibri Light"/>
          <w:bCs/>
          <w:iCs/>
          <w:noProof/>
          <w:szCs w:val="22"/>
          <w:lang w:val="sq-AL" w:eastAsia="en-GB"/>
        </w:rPr>
        <w:t>mln</w:t>
      </w:r>
      <w:r w:rsidRPr="006B7863">
        <w:rPr>
          <w:rFonts w:asciiTheme="majorHAnsi" w:hAnsiTheme="majorHAnsi" w:cs="Calibri Light"/>
          <w:bCs/>
          <w:iCs/>
          <w:noProof/>
          <w:szCs w:val="22"/>
          <w:lang w:val="sq-AL" w:eastAsia="en-GB"/>
        </w:rPr>
        <w:t xml:space="preserve"> LEK, konkretisht:</w:t>
      </w:r>
    </w:p>
    <w:p w14:paraId="369AB2D7" w14:textId="2CE58F52" w:rsidR="00D0642E" w:rsidRPr="006B7863" w:rsidRDefault="00D0642E">
      <w:pPr>
        <w:pStyle w:val="ListParagraph"/>
        <w:numPr>
          <w:ilvl w:val="0"/>
          <w:numId w:val="63"/>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sq-AL" w:eastAsia="en-GB"/>
        </w:rPr>
        <w:t>Rivitalizimi i Sallës qëndrore të Pallatit të Kulturës Shefqet Doda, rikonstruksioni i Galerisë së Arteve Tahir Tahiraj dhe mobilimi i bibliotekës Pjetër Budi, Bashkia Mat, me vlerë 59.6</w:t>
      </w:r>
      <w:r w:rsidR="008A6B67">
        <w:rPr>
          <w:rFonts w:asciiTheme="majorHAnsi" w:hAnsiTheme="majorHAnsi" w:cs="Calibri Light"/>
          <w:bCs/>
          <w:i/>
          <w:noProof/>
          <w:szCs w:val="22"/>
          <w:lang w:val="sq-AL" w:eastAsia="en-GB"/>
        </w:rPr>
        <w:t>mln</w:t>
      </w:r>
      <w:r w:rsidRPr="006B7863">
        <w:rPr>
          <w:rFonts w:asciiTheme="majorHAnsi" w:hAnsiTheme="majorHAnsi" w:cs="Calibri Light"/>
          <w:bCs/>
          <w:i/>
          <w:noProof/>
          <w:szCs w:val="22"/>
          <w:lang w:val="sq-AL" w:eastAsia="en-GB"/>
        </w:rPr>
        <w:t xml:space="preserve"> LEK;</w:t>
      </w:r>
    </w:p>
    <w:p w14:paraId="67CBA012" w14:textId="387F91DB" w:rsidR="00D0642E" w:rsidRPr="006B7863" w:rsidRDefault="00D0642E">
      <w:pPr>
        <w:pStyle w:val="ListParagraph"/>
        <w:numPr>
          <w:ilvl w:val="0"/>
          <w:numId w:val="63"/>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sq-AL" w:eastAsia="en-GB"/>
        </w:rPr>
        <w:t xml:space="preserve">Rikonstruksioni Pallatit të Kulturës "Artan Cuku" (Hidroizolimi i tarracës dhe riparimi i fasadës)”, me vlerë rreth 50 </w:t>
      </w:r>
      <w:r w:rsidR="0056260B">
        <w:rPr>
          <w:rFonts w:asciiTheme="majorHAnsi" w:hAnsiTheme="majorHAnsi" w:cs="Calibri Light"/>
          <w:bCs/>
          <w:i/>
          <w:noProof/>
          <w:szCs w:val="22"/>
          <w:lang w:val="sq-AL" w:eastAsia="en-GB"/>
        </w:rPr>
        <w:t>milionë</w:t>
      </w:r>
      <w:r w:rsidRPr="006B7863">
        <w:rPr>
          <w:rFonts w:asciiTheme="majorHAnsi" w:hAnsiTheme="majorHAnsi" w:cs="Calibri Light"/>
          <w:bCs/>
          <w:i/>
          <w:noProof/>
          <w:szCs w:val="22"/>
          <w:lang w:val="sq-AL" w:eastAsia="en-GB"/>
        </w:rPr>
        <w:t xml:space="preserve"> LEK;</w:t>
      </w:r>
    </w:p>
    <w:p w14:paraId="09C8B4B3" w14:textId="7970C810" w:rsidR="00D0642E" w:rsidRPr="006B7863" w:rsidRDefault="00D0642E">
      <w:pPr>
        <w:pStyle w:val="ListParagraph"/>
        <w:numPr>
          <w:ilvl w:val="0"/>
          <w:numId w:val="63"/>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sq-AL" w:eastAsia="en-GB"/>
        </w:rPr>
        <w:t xml:space="preserve">Instalimi i sistemit të Kondicionimit “Teatri Migjeni, me vlerë rreth 30 </w:t>
      </w:r>
      <w:r w:rsidR="0056260B">
        <w:rPr>
          <w:rFonts w:asciiTheme="majorHAnsi" w:hAnsiTheme="majorHAnsi" w:cs="Calibri Light"/>
          <w:bCs/>
          <w:i/>
          <w:noProof/>
          <w:szCs w:val="22"/>
          <w:lang w:val="sq-AL" w:eastAsia="en-GB"/>
        </w:rPr>
        <w:t>milionë</w:t>
      </w:r>
      <w:r w:rsidRPr="006B7863">
        <w:rPr>
          <w:rFonts w:asciiTheme="majorHAnsi" w:hAnsiTheme="majorHAnsi" w:cs="Calibri Light"/>
          <w:bCs/>
          <w:i/>
          <w:noProof/>
          <w:szCs w:val="22"/>
          <w:lang w:val="sq-AL" w:eastAsia="en-GB"/>
        </w:rPr>
        <w:t xml:space="preserve"> LEK;</w:t>
      </w:r>
    </w:p>
    <w:p w14:paraId="73C8E88D" w14:textId="3267821A" w:rsidR="00D0642E" w:rsidRPr="006B7863" w:rsidRDefault="00D0642E">
      <w:pPr>
        <w:pStyle w:val="ListParagraph"/>
        <w:numPr>
          <w:ilvl w:val="0"/>
          <w:numId w:val="62"/>
        </w:numPr>
        <w:shd w:val="clear" w:color="auto" w:fill="FFFFFF" w:themeFill="background1"/>
        <w:spacing w:before="0" w:line="240" w:lineRule="auto"/>
        <w:rPr>
          <w:rFonts w:asciiTheme="majorHAnsi" w:hAnsiTheme="majorHAnsi" w:cs="Calibri Light"/>
          <w:bCs/>
          <w:iCs/>
          <w:noProof/>
          <w:szCs w:val="22"/>
          <w:lang w:val="sq-AL" w:eastAsia="en-GB"/>
        </w:rPr>
      </w:pPr>
      <w:r w:rsidRPr="006B7863">
        <w:rPr>
          <w:rFonts w:asciiTheme="majorHAnsi" w:hAnsiTheme="majorHAnsi" w:cs="Calibri Light"/>
          <w:bCs/>
          <w:iCs/>
          <w:noProof/>
          <w:szCs w:val="22"/>
          <w:lang w:val="sq-AL" w:eastAsia="en-GB"/>
        </w:rPr>
        <w:t>Për programin “</w:t>
      </w:r>
      <w:bookmarkStart w:id="265" w:name="_Hlk198048275"/>
      <w:r w:rsidRPr="008A6B67">
        <w:rPr>
          <w:rFonts w:asciiTheme="majorHAnsi" w:hAnsiTheme="majorHAnsi" w:cs="Calibri Light"/>
          <w:bCs/>
          <w:i/>
          <w:noProof/>
          <w:szCs w:val="22"/>
          <w:lang w:val="sq-AL" w:eastAsia="en-GB"/>
        </w:rPr>
        <w:t>Trashëgimia Kulturore dhe Muzet</w:t>
      </w:r>
      <w:bookmarkEnd w:id="265"/>
      <w:r w:rsidRPr="008A6B67">
        <w:rPr>
          <w:rFonts w:asciiTheme="majorHAnsi" w:hAnsiTheme="majorHAnsi" w:cs="Calibri Light"/>
          <w:bCs/>
          <w:i/>
          <w:noProof/>
          <w:szCs w:val="22"/>
          <w:lang w:val="sq-AL" w:eastAsia="en-GB"/>
        </w:rPr>
        <w:t>ë</w:t>
      </w:r>
      <w:r w:rsidRPr="006B7863">
        <w:rPr>
          <w:rFonts w:asciiTheme="majorHAnsi" w:hAnsiTheme="majorHAnsi" w:cs="Calibri Light"/>
          <w:bCs/>
          <w:iCs/>
          <w:noProof/>
          <w:szCs w:val="22"/>
          <w:lang w:val="sq-AL" w:eastAsia="en-GB"/>
        </w:rPr>
        <w:t>” kanë përfunduar 3 projekte me vlerë 20.3</w:t>
      </w:r>
      <w:r w:rsidR="008A6B67">
        <w:rPr>
          <w:rFonts w:asciiTheme="majorHAnsi" w:hAnsiTheme="majorHAnsi" w:cs="Calibri Light"/>
          <w:bCs/>
          <w:iCs/>
          <w:noProof/>
          <w:szCs w:val="22"/>
          <w:lang w:val="sq-AL" w:eastAsia="en-GB"/>
        </w:rPr>
        <w:t>mln</w:t>
      </w:r>
      <w:r w:rsidRPr="006B7863">
        <w:rPr>
          <w:rFonts w:asciiTheme="majorHAnsi" w:hAnsiTheme="majorHAnsi" w:cs="Calibri Light"/>
          <w:bCs/>
          <w:iCs/>
          <w:noProof/>
          <w:szCs w:val="22"/>
          <w:lang w:val="sq-AL" w:eastAsia="en-GB"/>
        </w:rPr>
        <w:t xml:space="preserve"> LEK, konkretisht:</w:t>
      </w:r>
    </w:p>
    <w:p w14:paraId="7D8E6BE5" w14:textId="4B3573BE" w:rsidR="00D0642E" w:rsidRPr="006B7863" w:rsidRDefault="00D0642E">
      <w:pPr>
        <w:pStyle w:val="ListParagraph"/>
        <w:numPr>
          <w:ilvl w:val="0"/>
          <w:numId w:val="64"/>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sq-AL" w:eastAsia="en-GB"/>
        </w:rPr>
        <w:t xml:space="preserve">Nderhyrje emergjente dhe restauruese, Konservimi dhe restaurimi I kullave dhe kurtinave midis tyre, Kalaja e Beratit (segmenti 12-12),  me vlerë rreth 5.7  </w:t>
      </w:r>
      <w:r w:rsidR="0056260B">
        <w:rPr>
          <w:rFonts w:asciiTheme="majorHAnsi" w:hAnsiTheme="majorHAnsi" w:cs="Calibri Light"/>
          <w:bCs/>
          <w:i/>
          <w:noProof/>
          <w:szCs w:val="22"/>
          <w:lang w:val="sq-AL" w:eastAsia="en-GB"/>
        </w:rPr>
        <w:t>milionë</w:t>
      </w:r>
      <w:r w:rsidRPr="006B7863">
        <w:rPr>
          <w:rFonts w:asciiTheme="majorHAnsi" w:hAnsiTheme="majorHAnsi" w:cs="Calibri Light"/>
          <w:bCs/>
          <w:i/>
          <w:noProof/>
          <w:szCs w:val="22"/>
          <w:lang w:val="sq-AL" w:eastAsia="en-GB"/>
        </w:rPr>
        <w:t xml:space="preserve"> LEK;</w:t>
      </w:r>
    </w:p>
    <w:p w14:paraId="5BCE2800" w14:textId="5A0BCB9C" w:rsidR="00D0642E" w:rsidRPr="006B7863" w:rsidRDefault="00D0642E">
      <w:pPr>
        <w:pStyle w:val="ListParagraph"/>
        <w:numPr>
          <w:ilvl w:val="0"/>
          <w:numId w:val="64"/>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pt-PT" w:eastAsia="en-GB"/>
        </w:rPr>
        <w:t>Restaurim i objektit Muzeu Kombetar i Fotografise Marubi</w:t>
      </w:r>
      <w:r w:rsidRPr="006B7863">
        <w:rPr>
          <w:rFonts w:asciiTheme="majorHAnsi" w:hAnsiTheme="majorHAnsi" w:cs="Calibri Light"/>
          <w:bCs/>
          <w:i/>
          <w:noProof/>
          <w:szCs w:val="22"/>
          <w:lang w:val="sq-AL" w:eastAsia="en-GB"/>
        </w:rPr>
        <w:t xml:space="preserve">, me vlerë rreth 1 </w:t>
      </w:r>
      <w:r w:rsidR="0056260B">
        <w:rPr>
          <w:rFonts w:asciiTheme="majorHAnsi" w:hAnsiTheme="majorHAnsi" w:cs="Calibri Light"/>
          <w:bCs/>
          <w:i/>
          <w:noProof/>
          <w:szCs w:val="22"/>
          <w:lang w:val="sq-AL" w:eastAsia="en-GB"/>
        </w:rPr>
        <w:t>milionë</w:t>
      </w:r>
      <w:r w:rsidRPr="006B7863">
        <w:rPr>
          <w:rFonts w:asciiTheme="majorHAnsi" w:hAnsiTheme="majorHAnsi" w:cs="Calibri Light"/>
          <w:bCs/>
          <w:i/>
          <w:noProof/>
          <w:szCs w:val="22"/>
          <w:lang w:val="sq-AL" w:eastAsia="en-GB"/>
        </w:rPr>
        <w:t xml:space="preserve"> LEK;</w:t>
      </w:r>
    </w:p>
    <w:p w14:paraId="0EE172ED" w14:textId="242C7EDE" w:rsidR="00D0642E" w:rsidRPr="006B7863" w:rsidRDefault="00D0642E">
      <w:pPr>
        <w:pStyle w:val="ListParagraph"/>
        <w:numPr>
          <w:ilvl w:val="0"/>
          <w:numId w:val="64"/>
        </w:numPr>
        <w:shd w:val="clear" w:color="auto" w:fill="FFFFFF" w:themeFill="background1"/>
        <w:spacing w:before="0" w:line="240" w:lineRule="auto"/>
        <w:rPr>
          <w:rFonts w:asciiTheme="majorHAnsi" w:hAnsiTheme="majorHAnsi" w:cs="Calibri Light"/>
          <w:bCs/>
          <w:i/>
          <w:noProof/>
          <w:szCs w:val="22"/>
          <w:lang w:val="sq-AL" w:eastAsia="en-GB"/>
        </w:rPr>
      </w:pPr>
      <w:r w:rsidRPr="006B7863">
        <w:rPr>
          <w:rFonts w:asciiTheme="majorHAnsi" w:hAnsiTheme="majorHAnsi" w:cs="Calibri Light"/>
          <w:bCs/>
          <w:i/>
          <w:noProof/>
          <w:szCs w:val="22"/>
          <w:lang w:val="sq-AL" w:eastAsia="en-GB"/>
        </w:rPr>
        <w:t xml:space="preserve">Rikonstruksioni Muzeu Arkeologjik Korce, me vlerë rreth 13.6 </w:t>
      </w:r>
      <w:r w:rsidR="0056260B">
        <w:rPr>
          <w:rFonts w:asciiTheme="majorHAnsi" w:hAnsiTheme="majorHAnsi" w:cs="Calibri Light"/>
          <w:bCs/>
          <w:i/>
          <w:noProof/>
          <w:szCs w:val="22"/>
          <w:lang w:val="sq-AL" w:eastAsia="en-GB"/>
        </w:rPr>
        <w:t>milionë</w:t>
      </w:r>
      <w:r w:rsidRPr="006B7863">
        <w:rPr>
          <w:rFonts w:asciiTheme="majorHAnsi" w:hAnsiTheme="majorHAnsi" w:cs="Calibri Light"/>
          <w:bCs/>
          <w:i/>
          <w:noProof/>
          <w:szCs w:val="22"/>
          <w:lang w:val="sq-AL" w:eastAsia="en-GB"/>
        </w:rPr>
        <w:t xml:space="preserve"> </w:t>
      </w:r>
      <w:r w:rsidR="0056260B">
        <w:rPr>
          <w:rFonts w:asciiTheme="majorHAnsi" w:hAnsiTheme="majorHAnsi" w:cs="Calibri Light"/>
          <w:bCs/>
          <w:i/>
          <w:noProof/>
          <w:szCs w:val="22"/>
          <w:lang w:val="sq-AL" w:eastAsia="en-GB"/>
        </w:rPr>
        <w:t>LEK</w:t>
      </w:r>
      <w:r w:rsidRPr="006B7863">
        <w:rPr>
          <w:rFonts w:asciiTheme="majorHAnsi" w:hAnsiTheme="majorHAnsi" w:cs="Calibri Light"/>
          <w:bCs/>
          <w:i/>
          <w:noProof/>
          <w:szCs w:val="22"/>
          <w:lang w:val="sq-AL" w:eastAsia="en-GB"/>
        </w:rPr>
        <w:t>;</w:t>
      </w:r>
    </w:p>
    <w:p w14:paraId="3FE87D2A" w14:textId="119B398F" w:rsidR="00983833" w:rsidRDefault="00D0642E">
      <w:pPr>
        <w:pStyle w:val="ListParagraph"/>
        <w:numPr>
          <w:ilvl w:val="0"/>
          <w:numId w:val="62"/>
        </w:numPr>
        <w:shd w:val="clear" w:color="auto" w:fill="FFFFFF" w:themeFill="background1"/>
        <w:spacing w:before="0" w:line="240" w:lineRule="auto"/>
        <w:rPr>
          <w:rFonts w:asciiTheme="majorHAnsi" w:hAnsiTheme="majorHAnsi" w:cs="Calibri Light"/>
          <w:bCs/>
          <w:iCs/>
          <w:noProof/>
          <w:szCs w:val="22"/>
          <w:lang w:val="sq-AL" w:eastAsia="en-GB"/>
        </w:rPr>
      </w:pPr>
      <w:r w:rsidRPr="006B7863">
        <w:rPr>
          <w:rFonts w:asciiTheme="majorHAnsi" w:hAnsiTheme="majorHAnsi" w:cs="Calibri Light"/>
          <w:bCs/>
          <w:iCs/>
          <w:noProof/>
          <w:szCs w:val="22"/>
          <w:lang w:val="sq-AL" w:eastAsia="en-GB"/>
        </w:rPr>
        <w:t>Për programin “</w:t>
      </w:r>
      <w:r w:rsidRPr="008A6B67">
        <w:rPr>
          <w:rFonts w:asciiTheme="majorHAnsi" w:hAnsiTheme="majorHAnsi" w:cs="Calibri Light"/>
          <w:bCs/>
          <w:i/>
          <w:noProof/>
          <w:szCs w:val="22"/>
          <w:lang w:val="sq-AL" w:eastAsia="en-GB"/>
        </w:rPr>
        <w:t>Mbështetje për Rininë dhe Fëmijët</w:t>
      </w:r>
      <w:r w:rsidRPr="006B7863">
        <w:rPr>
          <w:rFonts w:asciiTheme="majorHAnsi" w:hAnsiTheme="majorHAnsi" w:cs="Calibri Light"/>
          <w:bCs/>
          <w:iCs/>
          <w:noProof/>
          <w:szCs w:val="22"/>
          <w:lang w:val="sq-AL" w:eastAsia="en-GB"/>
        </w:rPr>
        <w:t xml:space="preserve">”, janë financuar në vlerë 47 </w:t>
      </w:r>
      <w:r w:rsidR="0056260B">
        <w:rPr>
          <w:rFonts w:asciiTheme="majorHAnsi" w:hAnsiTheme="majorHAnsi" w:cs="Calibri Light"/>
          <w:bCs/>
          <w:iCs/>
          <w:noProof/>
          <w:szCs w:val="22"/>
          <w:lang w:val="sq-AL" w:eastAsia="en-GB"/>
        </w:rPr>
        <w:t>milionë</w:t>
      </w:r>
      <w:r w:rsidRPr="006B7863">
        <w:rPr>
          <w:rFonts w:asciiTheme="majorHAnsi" w:hAnsiTheme="majorHAnsi" w:cs="Calibri Light"/>
          <w:bCs/>
          <w:iCs/>
          <w:noProof/>
          <w:szCs w:val="22"/>
          <w:lang w:val="sq-AL" w:eastAsia="en-GB"/>
        </w:rPr>
        <w:t xml:space="preserve"> </w:t>
      </w:r>
      <w:r w:rsidR="0056260B">
        <w:rPr>
          <w:rFonts w:asciiTheme="majorHAnsi" w:hAnsiTheme="majorHAnsi" w:cs="Calibri Light"/>
          <w:bCs/>
          <w:iCs/>
          <w:noProof/>
          <w:szCs w:val="22"/>
          <w:lang w:val="sq-AL" w:eastAsia="en-GB"/>
        </w:rPr>
        <w:t>LEK</w:t>
      </w:r>
      <w:r w:rsidRPr="006B7863">
        <w:rPr>
          <w:rFonts w:asciiTheme="majorHAnsi" w:hAnsiTheme="majorHAnsi" w:cs="Calibri Light"/>
          <w:bCs/>
          <w:iCs/>
          <w:noProof/>
          <w:szCs w:val="22"/>
          <w:lang w:val="sq-AL" w:eastAsia="en-GB"/>
        </w:rPr>
        <w:t xml:space="preserve"> projekte për: Ndërtim infrastrukture aventuriere për të rinjtë, Qendra Rinore Dixhitale për aftësitë e rinisë dhe punësimit- Digital Youth Hub, biblioteka, YOUTech- Qendra Rinore të Teknologjisë dhe Inovacionit, Rikonstruksioni i Qendrës Rinore etj.</w:t>
      </w:r>
    </w:p>
    <w:p w14:paraId="326BE1A8" w14:textId="77777777" w:rsidR="00981D9B" w:rsidRDefault="00981D9B" w:rsidP="00981D9B">
      <w:pPr>
        <w:pStyle w:val="ListParagraph"/>
        <w:shd w:val="clear" w:color="auto" w:fill="FFFFFF" w:themeFill="background1"/>
        <w:spacing w:before="0" w:line="240" w:lineRule="auto"/>
        <w:rPr>
          <w:rFonts w:asciiTheme="majorHAnsi" w:hAnsiTheme="majorHAnsi" w:cs="Calibri Light"/>
          <w:bCs/>
          <w:iCs/>
          <w:noProof/>
          <w:szCs w:val="22"/>
          <w:lang w:val="sq-AL" w:eastAsia="en-GB"/>
        </w:rPr>
      </w:pPr>
    </w:p>
    <w:p w14:paraId="65FD5743" w14:textId="77777777" w:rsidR="008A6B67" w:rsidRDefault="008A6B67" w:rsidP="00981D9B">
      <w:pPr>
        <w:pStyle w:val="ListParagraph"/>
        <w:shd w:val="clear" w:color="auto" w:fill="FFFFFF" w:themeFill="background1"/>
        <w:spacing w:before="0" w:line="240" w:lineRule="auto"/>
        <w:rPr>
          <w:rFonts w:asciiTheme="majorHAnsi" w:hAnsiTheme="majorHAnsi" w:cs="Calibri Light"/>
          <w:bCs/>
          <w:iCs/>
          <w:noProof/>
          <w:szCs w:val="22"/>
          <w:lang w:val="sq-AL" w:eastAsia="en-GB"/>
        </w:rPr>
      </w:pPr>
    </w:p>
    <w:p w14:paraId="2D46EFD3" w14:textId="77777777" w:rsidR="008A6B67" w:rsidRPr="006B7863" w:rsidRDefault="008A6B67" w:rsidP="00981D9B">
      <w:pPr>
        <w:pStyle w:val="ListParagraph"/>
        <w:shd w:val="clear" w:color="auto" w:fill="FFFFFF" w:themeFill="background1"/>
        <w:spacing w:before="0" w:line="240" w:lineRule="auto"/>
        <w:rPr>
          <w:rFonts w:asciiTheme="majorHAnsi" w:hAnsiTheme="majorHAnsi" w:cs="Calibri Light"/>
          <w:bCs/>
          <w:iCs/>
          <w:noProof/>
          <w:szCs w:val="22"/>
          <w:lang w:val="sq-AL" w:eastAsia="en-GB"/>
        </w:rPr>
      </w:pPr>
    </w:p>
    <w:p w14:paraId="68C3D1A6" w14:textId="77777777" w:rsidR="00C156A0" w:rsidRPr="00B14F86" w:rsidRDefault="00C156A0" w:rsidP="009C7207">
      <w:pPr>
        <w:pStyle w:val="Heading3"/>
        <w:rPr>
          <w:b/>
          <w:bCs/>
        </w:rPr>
      </w:pPr>
      <w:bookmarkStart w:id="266" w:name="_Toc10033298"/>
      <w:bookmarkStart w:id="267" w:name="_Toc10721434"/>
      <w:bookmarkStart w:id="268" w:name="_Toc229390843"/>
      <w:proofErr w:type="spellStart"/>
      <w:r w:rsidRPr="00B14F86">
        <w:rPr>
          <w:b/>
          <w:bCs/>
        </w:rPr>
        <w:t>Mjedisi</w:t>
      </w:r>
      <w:bookmarkEnd w:id="266"/>
      <w:bookmarkEnd w:id="267"/>
      <w:bookmarkEnd w:id="268"/>
      <w:proofErr w:type="spellEnd"/>
    </w:p>
    <w:p w14:paraId="3B4EB2AF" w14:textId="77777777" w:rsidR="00C156A0" w:rsidRPr="00C156A0" w:rsidRDefault="00C156A0" w:rsidP="00C156A0">
      <w:pPr>
        <w:spacing w:line="240" w:lineRule="auto"/>
        <w:rPr>
          <w:rFonts w:cs="Calibri"/>
          <w:noProof/>
          <w:color w:val="000000"/>
          <w:lang w:val="sq-AL"/>
        </w:rPr>
      </w:pPr>
      <w:r w:rsidRPr="00C156A0">
        <w:rPr>
          <w:rFonts w:cs="Calibri"/>
          <w:noProof/>
          <w:color w:val="000000"/>
          <w:lang w:val="sq-AL"/>
        </w:rPr>
        <w:t>Performanca e treguesve buxhetorë për programet kryesore në Ministrinë e Mjedisit paraqitet si mëposhtë:</w:t>
      </w:r>
    </w:p>
    <w:p w14:paraId="5529B432" w14:textId="3A7B9010" w:rsidR="00C156A0" w:rsidRPr="00C156A0" w:rsidRDefault="00C156A0" w:rsidP="00C156A0">
      <w:pPr>
        <w:rPr>
          <w:i/>
          <w:iCs/>
          <w:noProof/>
          <w:color w:val="17406D"/>
          <w:sz w:val="18"/>
          <w:szCs w:val="18"/>
          <w:lang w:val="sq-AL"/>
        </w:rPr>
      </w:pPr>
      <w:bookmarkStart w:id="269" w:name="_Toc229130010"/>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36</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Mjedisit</w:t>
      </w:r>
      <w:bookmarkEnd w:id="269"/>
    </w:p>
    <w:tbl>
      <w:tblPr>
        <w:tblW w:w="9966" w:type="dxa"/>
        <w:tblInd w:w="-10" w:type="dxa"/>
        <w:tblLook w:val="04A0" w:firstRow="1" w:lastRow="0" w:firstColumn="1" w:lastColumn="0" w:noHBand="0" w:noVBand="1"/>
      </w:tblPr>
      <w:tblGrid>
        <w:gridCol w:w="1418"/>
        <w:gridCol w:w="867"/>
        <w:gridCol w:w="871"/>
        <w:gridCol w:w="867"/>
        <w:gridCol w:w="871"/>
        <w:gridCol w:w="867"/>
        <w:gridCol w:w="871"/>
        <w:gridCol w:w="796"/>
        <w:gridCol w:w="871"/>
        <w:gridCol w:w="796"/>
        <w:gridCol w:w="871"/>
      </w:tblGrid>
      <w:tr w:rsidR="00C156A0" w:rsidRPr="00F409F4" w14:paraId="5994A7C3" w14:textId="77777777" w:rsidTr="00D0642E">
        <w:trPr>
          <w:trHeight w:val="210"/>
        </w:trPr>
        <w:tc>
          <w:tcPr>
            <w:tcW w:w="1418"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3BF2CD16" w14:textId="77777777" w:rsidR="00C156A0" w:rsidRPr="00C156A0" w:rsidRDefault="00C156A0" w:rsidP="00D0642E">
            <w:pPr>
              <w:spacing w:before="0" w:line="240" w:lineRule="auto"/>
              <w:jc w:val="center"/>
              <w:rPr>
                <w:rFonts w:cs="Calibri"/>
                <w:color w:val="FFFFFF"/>
                <w:sz w:val="16"/>
                <w:szCs w:val="16"/>
                <w:lang w:val="sq-AL"/>
              </w:rPr>
            </w:pPr>
            <w:r w:rsidRPr="00C156A0">
              <w:rPr>
                <w:rFonts w:cs="Calibri"/>
                <w:color w:val="FFFFFF"/>
                <w:sz w:val="16"/>
                <w:szCs w:val="16"/>
                <w:lang w:val="sq-AL"/>
              </w:rPr>
              <w:t>Emertimi I Programit</w:t>
            </w:r>
          </w:p>
        </w:tc>
        <w:tc>
          <w:tcPr>
            <w:tcW w:w="1738" w:type="dxa"/>
            <w:gridSpan w:val="2"/>
            <w:tcBorders>
              <w:top w:val="single" w:sz="8" w:space="0" w:color="B8CCE4"/>
              <w:left w:val="nil"/>
              <w:bottom w:val="single" w:sz="12" w:space="0" w:color="95B3D7"/>
              <w:right w:val="single" w:sz="8" w:space="0" w:color="BFBFBF"/>
            </w:tcBorders>
            <w:shd w:val="clear" w:color="000000" w:fill="365F91"/>
            <w:vAlign w:val="center"/>
            <w:hideMark/>
          </w:tcPr>
          <w:p w14:paraId="6CB2A68C"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Fillestar 2025</w:t>
            </w:r>
          </w:p>
        </w:tc>
        <w:tc>
          <w:tcPr>
            <w:tcW w:w="1738" w:type="dxa"/>
            <w:gridSpan w:val="2"/>
            <w:tcBorders>
              <w:top w:val="single" w:sz="8" w:space="0" w:color="B8CCE4"/>
              <w:left w:val="single" w:sz="8" w:space="0" w:color="BFBFBF"/>
              <w:bottom w:val="single" w:sz="12" w:space="0" w:color="95B3D7"/>
              <w:right w:val="single" w:sz="8" w:space="0" w:color="B8CCE4"/>
            </w:tcBorders>
            <w:shd w:val="clear" w:color="000000" w:fill="365F91"/>
            <w:vAlign w:val="center"/>
            <w:hideMark/>
          </w:tcPr>
          <w:p w14:paraId="1CAC35BC"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i rishikuar 2025</w:t>
            </w:r>
          </w:p>
        </w:tc>
        <w:tc>
          <w:tcPr>
            <w:tcW w:w="1738"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15961DEE"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Fakti 12 Mujori I 2025</w:t>
            </w:r>
          </w:p>
        </w:tc>
        <w:tc>
          <w:tcPr>
            <w:tcW w:w="1667"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3B06E284"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fillestar</w:t>
            </w:r>
          </w:p>
        </w:tc>
        <w:tc>
          <w:tcPr>
            <w:tcW w:w="1667"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122CBE7E"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e ndryshuar</w:t>
            </w:r>
          </w:p>
        </w:tc>
      </w:tr>
      <w:tr w:rsidR="00D0642E" w:rsidRPr="00C156A0" w14:paraId="03B8792C" w14:textId="77777777" w:rsidTr="00D0642E">
        <w:trPr>
          <w:trHeight w:val="154"/>
        </w:trPr>
        <w:tc>
          <w:tcPr>
            <w:tcW w:w="1418" w:type="dxa"/>
            <w:vMerge/>
            <w:tcBorders>
              <w:top w:val="single" w:sz="8" w:space="0" w:color="BFBFBF"/>
              <w:left w:val="single" w:sz="8" w:space="0" w:color="BFBFBF"/>
              <w:bottom w:val="single" w:sz="8" w:space="0" w:color="BFBFBF"/>
              <w:right w:val="single" w:sz="8" w:space="0" w:color="BFBFBF"/>
            </w:tcBorders>
            <w:vAlign w:val="center"/>
            <w:hideMark/>
          </w:tcPr>
          <w:p w14:paraId="36F4C253" w14:textId="77777777" w:rsidR="00C156A0" w:rsidRPr="00C156A0" w:rsidRDefault="00C156A0" w:rsidP="00D0642E">
            <w:pPr>
              <w:spacing w:before="0" w:line="240" w:lineRule="auto"/>
              <w:jc w:val="left"/>
              <w:rPr>
                <w:rFonts w:cs="Calibri"/>
                <w:color w:val="FFFFFF"/>
                <w:sz w:val="16"/>
                <w:szCs w:val="16"/>
                <w:lang w:val="sq-AL"/>
              </w:rPr>
            </w:pPr>
          </w:p>
        </w:tc>
        <w:tc>
          <w:tcPr>
            <w:tcW w:w="867" w:type="dxa"/>
            <w:tcBorders>
              <w:top w:val="nil"/>
              <w:left w:val="nil"/>
              <w:bottom w:val="single" w:sz="8" w:space="0" w:color="B8CCE4"/>
              <w:right w:val="single" w:sz="8" w:space="0" w:color="B8CCE4"/>
            </w:tcBorders>
            <w:shd w:val="clear" w:color="000000" w:fill="365F91"/>
            <w:vAlign w:val="center"/>
            <w:hideMark/>
          </w:tcPr>
          <w:p w14:paraId="66CFC5DD"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 xml:space="preserve"> Korente</w:t>
            </w:r>
          </w:p>
        </w:tc>
        <w:tc>
          <w:tcPr>
            <w:tcW w:w="871" w:type="dxa"/>
            <w:tcBorders>
              <w:top w:val="nil"/>
              <w:left w:val="nil"/>
              <w:bottom w:val="single" w:sz="8" w:space="0" w:color="B8CCE4"/>
              <w:right w:val="single" w:sz="8" w:space="0" w:color="B8CCE4"/>
            </w:tcBorders>
            <w:shd w:val="clear" w:color="000000" w:fill="365F91"/>
            <w:vAlign w:val="center"/>
            <w:hideMark/>
          </w:tcPr>
          <w:p w14:paraId="4BE695B6"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867" w:type="dxa"/>
            <w:tcBorders>
              <w:top w:val="nil"/>
              <w:left w:val="nil"/>
              <w:bottom w:val="single" w:sz="8" w:space="0" w:color="B8CCE4"/>
              <w:right w:val="single" w:sz="8" w:space="0" w:color="B8CCE4"/>
            </w:tcBorders>
            <w:shd w:val="clear" w:color="000000" w:fill="365F91"/>
            <w:vAlign w:val="center"/>
            <w:hideMark/>
          </w:tcPr>
          <w:p w14:paraId="680A4C91"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 xml:space="preserve"> Korente</w:t>
            </w:r>
          </w:p>
        </w:tc>
        <w:tc>
          <w:tcPr>
            <w:tcW w:w="871" w:type="dxa"/>
            <w:tcBorders>
              <w:top w:val="nil"/>
              <w:left w:val="nil"/>
              <w:bottom w:val="single" w:sz="8" w:space="0" w:color="B8CCE4"/>
              <w:right w:val="single" w:sz="8" w:space="0" w:color="B8CCE4"/>
            </w:tcBorders>
            <w:shd w:val="clear" w:color="000000" w:fill="365F91"/>
            <w:vAlign w:val="center"/>
            <w:hideMark/>
          </w:tcPr>
          <w:p w14:paraId="6E2854A1"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867" w:type="dxa"/>
            <w:tcBorders>
              <w:top w:val="nil"/>
              <w:left w:val="nil"/>
              <w:bottom w:val="single" w:sz="8" w:space="0" w:color="B8CCE4"/>
              <w:right w:val="single" w:sz="8" w:space="0" w:color="B8CCE4"/>
            </w:tcBorders>
            <w:shd w:val="clear" w:color="000000" w:fill="365F91"/>
            <w:vAlign w:val="center"/>
            <w:hideMark/>
          </w:tcPr>
          <w:p w14:paraId="1C438B4B"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 xml:space="preserve"> Korente</w:t>
            </w:r>
          </w:p>
        </w:tc>
        <w:tc>
          <w:tcPr>
            <w:tcW w:w="871" w:type="dxa"/>
            <w:tcBorders>
              <w:top w:val="nil"/>
              <w:left w:val="nil"/>
              <w:bottom w:val="single" w:sz="8" w:space="0" w:color="B8CCE4"/>
              <w:right w:val="single" w:sz="8" w:space="0" w:color="B8CCE4"/>
            </w:tcBorders>
            <w:shd w:val="clear" w:color="000000" w:fill="365F91"/>
            <w:vAlign w:val="center"/>
            <w:hideMark/>
          </w:tcPr>
          <w:p w14:paraId="664377D0"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796" w:type="dxa"/>
            <w:tcBorders>
              <w:top w:val="nil"/>
              <w:left w:val="nil"/>
              <w:bottom w:val="single" w:sz="8" w:space="0" w:color="B8CCE4"/>
              <w:right w:val="single" w:sz="8" w:space="0" w:color="B8CCE4"/>
            </w:tcBorders>
            <w:shd w:val="clear" w:color="000000" w:fill="365F91"/>
            <w:vAlign w:val="center"/>
            <w:hideMark/>
          </w:tcPr>
          <w:p w14:paraId="45584FE9"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 xml:space="preserve"> Korente</w:t>
            </w:r>
          </w:p>
        </w:tc>
        <w:tc>
          <w:tcPr>
            <w:tcW w:w="871" w:type="dxa"/>
            <w:tcBorders>
              <w:top w:val="nil"/>
              <w:left w:val="nil"/>
              <w:bottom w:val="single" w:sz="8" w:space="0" w:color="B8CCE4"/>
              <w:right w:val="single" w:sz="8" w:space="0" w:color="B8CCE4"/>
            </w:tcBorders>
            <w:shd w:val="clear" w:color="000000" w:fill="365F91"/>
            <w:vAlign w:val="center"/>
            <w:hideMark/>
          </w:tcPr>
          <w:p w14:paraId="67FE8651"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796" w:type="dxa"/>
            <w:tcBorders>
              <w:top w:val="nil"/>
              <w:left w:val="nil"/>
              <w:bottom w:val="single" w:sz="8" w:space="0" w:color="B8CCE4"/>
              <w:right w:val="single" w:sz="8" w:space="0" w:color="B8CCE4"/>
            </w:tcBorders>
            <w:shd w:val="clear" w:color="000000" w:fill="365F91"/>
            <w:vAlign w:val="center"/>
            <w:hideMark/>
          </w:tcPr>
          <w:p w14:paraId="2A73C81D"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 xml:space="preserve"> Korente</w:t>
            </w:r>
          </w:p>
        </w:tc>
        <w:tc>
          <w:tcPr>
            <w:tcW w:w="871" w:type="dxa"/>
            <w:tcBorders>
              <w:top w:val="nil"/>
              <w:left w:val="nil"/>
              <w:bottom w:val="single" w:sz="8" w:space="0" w:color="B8CCE4"/>
              <w:right w:val="single" w:sz="8" w:space="0" w:color="B8CCE4"/>
            </w:tcBorders>
            <w:shd w:val="clear" w:color="000000" w:fill="365F91"/>
            <w:vAlign w:val="center"/>
            <w:hideMark/>
          </w:tcPr>
          <w:p w14:paraId="36D0CF96"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r>
      <w:tr w:rsidR="00C156A0" w:rsidRPr="00C156A0" w14:paraId="7B51FB0C" w14:textId="77777777" w:rsidTr="00D0642E">
        <w:trPr>
          <w:trHeight w:val="225"/>
        </w:trPr>
        <w:tc>
          <w:tcPr>
            <w:tcW w:w="1418" w:type="dxa"/>
            <w:tcBorders>
              <w:top w:val="nil"/>
              <w:left w:val="single" w:sz="8" w:space="0" w:color="B8CCE4"/>
              <w:bottom w:val="single" w:sz="8" w:space="0" w:color="B8CCE4"/>
              <w:right w:val="single" w:sz="8" w:space="0" w:color="B8CCE4"/>
            </w:tcBorders>
            <w:vAlign w:val="center"/>
            <w:hideMark/>
          </w:tcPr>
          <w:p w14:paraId="570D51FE" w14:textId="77777777" w:rsidR="00C156A0" w:rsidRPr="00C156A0" w:rsidRDefault="00C156A0" w:rsidP="00DC19C4">
            <w:pPr>
              <w:spacing w:before="0" w:line="240" w:lineRule="auto"/>
              <w:jc w:val="left"/>
              <w:rPr>
                <w:rFonts w:cs="Calibri"/>
                <w:b/>
                <w:bCs/>
                <w:color w:val="000000"/>
                <w:sz w:val="16"/>
                <w:szCs w:val="16"/>
                <w:lang w:val="sq-AL"/>
              </w:rPr>
            </w:pPr>
            <w:r w:rsidRPr="00C156A0">
              <w:rPr>
                <w:rFonts w:cs="Calibri"/>
                <w:b/>
                <w:bCs/>
                <w:color w:val="000000"/>
                <w:sz w:val="16"/>
                <w:szCs w:val="16"/>
                <w:lang w:val="sq-AL"/>
              </w:rPr>
              <w:t>Planifikimi, Menaxhimi dhe Administrimi</w:t>
            </w:r>
          </w:p>
        </w:tc>
        <w:tc>
          <w:tcPr>
            <w:tcW w:w="867" w:type="dxa"/>
            <w:tcBorders>
              <w:top w:val="nil"/>
              <w:left w:val="nil"/>
              <w:bottom w:val="single" w:sz="8" w:space="0" w:color="B8CCE4"/>
              <w:right w:val="single" w:sz="8" w:space="0" w:color="B8CCE4"/>
            </w:tcBorders>
            <w:vAlign w:val="center"/>
            <w:hideMark/>
          </w:tcPr>
          <w:p w14:paraId="350F624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341,727</w:t>
            </w:r>
          </w:p>
        </w:tc>
        <w:tc>
          <w:tcPr>
            <w:tcW w:w="871" w:type="dxa"/>
            <w:tcBorders>
              <w:top w:val="nil"/>
              <w:left w:val="nil"/>
              <w:bottom w:val="single" w:sz="8" w:space="0" w:color="B8CCE4"/>
              <w:right w:val="single" w:sz="8" w:space="0" w:color="B8CCE4"/>
            </w:tcBorders>
            <w:vAlign w:val="center"/>
            <w:hideMark/>
          </w:tcPr>
          <w:p w14:paraId="2A3A11F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3,000</w:t>
            </w:r>
          </w:p>
        </w:tc>
        <w:tc>
          <w:tcPr>
            <w:tcW w:w="867" w:type="dxa"/>
            <w:tcBorders>
              <w:top w:val="nil"/>
              <w:left w:val="nil"/>
              <w:bottom w:val="single" w:sz="8" w:space="0" w:color="B8CCE4"/>
              <w:right w:val="single" w:sz="8" w:space="0" w:color="B8CCE4"/>
            </w:tcBorders>
            <w:vAlign w:val="center"/>
            <w:hideMark/>
          </w:tcPr>
          <w:p w14:paraId="10CEFD5B"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328,241</w:t>
            </w:r>
          </w:p>
        </w:tc>
        <w:tc>
          <w:tcPr>
            <w:tcW w:w="871" w:type="dxa"/>
            <w:tcBorders>
              <w:top w:val="nil"/>
              <w:left w:val="nil"/>
              <w:bottom w:val="single" w:sz="8" w:space="0" w:color="B8CCE4"/>
              <w:right w:val="single" w:sz="8" w:space="0" w:color="B8CCE4"/>
            </w:tcBorders>
            <w:vAlign w:val="center"/>
            <w:hideMark/>
          </w:tcPr>
          <w:p w14:paraId="6FDA456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4,000</w:t>
            </w:r>
          </w:p>
        </w:tc>
        <w:tc>
          <w:tcPr>
            <w:tcW w:w="867" w:type="dxa"/>
            <w:tcBorders>
              <w:top w:val="nil"/>
              <w:left w:val="nil"/>
              <w:bottom w:val="single" w:sz="8" w:space="0" w:color="B8CCE4"/>
              <w:right w:val="single" w:sz="8" w:space="0" w:color="B8CCE4"/>
            </w:tcBorders>
            <w:vAlign w:val="center"/>
            <w:hideMark/>
          </w:tcPr>
          <w:p w14:paraId="23A4725B"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317,697</w:t>
            </w:r>
          </w:p>
        </w:tc>
        <w:tc>
          <w:tcPr>
            <w:tcW w:w="871" w:type="dxa"/>
            <w:tcBorders>
              <w:top w:val="nil"/>
              <w:left w:val="nil"/>
              <w:bottom w:val="single" w:sz="8" w:space="0" w:color="B8CCE4"/>
              <w:right w:val="single" w:sz="8" w:space="0" w:color="B8CCE4"/>
            </w:tcBorders>
            <w:vAlign w:val="center"/>
            <w:hideMark/>
          </w:tcPr>
          <w:p w14:paraId="76C3D7E9"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861.0 </w:t>
            </w:r>
          </w:p>
        </w:tc>
        <w:tc>
          <w:tcPr>
            <w:tcW w:w="796" w:type="dxa"/>
            <w:tcBorders>
              <w:top w:val="nil"/>
              <w:left w:val="nil"/>
              <w:bottom w:val="single" w:sz="8" w:space="0" w:color="B8CCE4"/>
              <w:right w:val="single" w:sz="8" w:space="0" w:color="B8CCE4"/>
            </w:tcBorders>
            <w:vAlign w:val="center"/>
            <w:hideMark/>
          </w:tcPr>
          <w:p w14:paraId="523EF11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93%</w:t>
            </w:r>
          </w:p>
        </w:tc>
        <w:tc>
          <w:tcPr>
            <w:tcW w:w="871" w:type="dxa"/>
            <w:tcBorders>
              <w:top w:val="nil"/>
              <w:left w:val="nil"/>
              <w:bottom w:val="single" w:sz="8" w:space="0" w:color="B8CCE4"/>
              <w:right w:val="single" w:sz="8" w:space="0" w:color="B8CCE4"/>
            </w:tcBorders>
            <w:vAlign w:val="center"/>
            <w:hideMark/>
          </w:tcPr>
          <w:p w14:paraId="53B3EB7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29%</w:t>
            </w:r>
          </w:p>
        </w:tc>
        <w:tc>
          <w:tcPr>
            <w:tcW w:w="796" w:type="dxa"/>
            <w:tcBorders>
              <w:top w:val="nil"/>
              <w:left w:val="nil"/>
              <w:bottom w:val="single" w:sz="8" w:space="0" w:color="B8CCE4"/>
              <w:right w:val="single" w:sz="8" w:space="0" w:color="B8CCE4"/>
            </w:tcBorders>
            <w:vAlign w:val="center"/>
            <w:hideMark/>
          </w:tcPr>
          <w:p w14:paraId="385D8548"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97%</w:t>
            </w:r>
          </w:p>
        </w:tc>
        <w:tc>
          <w:tcPr>
            <w:tcW w:w="871" w:type="dxa"/>
            <w:tcBorders>
              <w:top w:val="nil"/>
              <w:left w:val="nil"/>
              <w:bottom w:val="single" w:sz="8" w:space="0" w:color="B8CCE4"/>
              <w:right w:val="single" w:sz="8" w:space="0" w:color="B8CCE4"/>
            </w:tcBorders>
            <w:vAlign w:val="center"/>
            <w:hideMark/>
          </w:tcPr>
          <w:p w14:paraId="76CEEC7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22%</w:t>
            </w:r>
          </w:p>
        </w:tc>
      </w:tr>
      <w:tr w:rsidR="00C156A0" w:rsidRPr="00C156A0" w14:paraId="5149032A" w14:textId="77777777" w:rsidTr="00D0642E">
        <w:trPr>
          <w:trHeight w:val="147"/>
        </w:trPr>
        <w:tc>
          <w:tcPr>
            <w:tcW w:w="1418" w:type="dxa"/>
            <w:tcBorders>
              <w:top w:val="nil"/>
              <w:left w:val="single" w:sz="8" w:space="0" w:color="B8CCE4"/>
              <w:bottom w:val="single" w:sz="8" w:space="0" w:color="B8CCE4"/>
              <w:right w:val="single" w:sz="8" w:space="0" w:color="B8CCE4"/>
            </w:tcBorders>
            <w:vAlign w:val="center"/>
            <w:hideMark/>
          </w:tcPr>
          <w:p w14:paraId="1319048E" w14:textId="77777777" w:rsidR="00C156A0" w:rsidRPr="00DC19C4" w:rsidRDefault="00C156A0" w:rsidP="00DC19C4">
            <w:pPr>
              <w:spacing w:before="0" w:line="240" w:lineRule="auto"/>
              <w:jc w:val="left"/>
              <w:rPr>
                <w:rFonts w:cs="Calibri"/>
                <w:b/>
                <w:bCs/>
                <w:color w:val="000000"/>
                <w:sz w:val="16"/>
                <w:szCs w:val="16"/>
                <w:lang w:val="sq-AL"/>
              </w:rPr>
            </w:pPr>
            <w:r w:rsidRPr="00DC19C4">
              <w:rPr>
                <w:rFonts w:cs="Calibri"/>
                <w:b/>
                <w:bCs/>
                <w:color w:val="000000"/>
                <w:sz w:val="16"/>
                <w:szCs w:val="16"/>
                <w:lang w:val="sq-AL"/>
              </w:rPr>
              <w:t>Administrimi i Pyjeve</w:t>
            </w:r>
          </w:p>
        </w:tc>
        <w:tc>
          <w:tcPr>
            <w:tcW w:w="867" w:type="dxa"/>
            <w:tcBorders>
              <w:top w:val="nil"/>
              <w:left w:val="nil"/>
              <w:bottom w:val="single" w:sz="8" w:space="0" w:color="B8CCE4"/>
              <w:right w:val="single" w:sz="8" w:space="0" w:color="B8CCE4"/>
            </w:tcBorders>
            <w:vAlign w:val="center"/>
            <w:hideMark/>
          </w:tcPr>
          <w:p w14:paraId="41D0858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538,450</w:t>
            </w:r>
          </w:p>
        </w:tc>
        <w:tc>
          <w:tcPr>
            <w:tcW w:w="871" w:type="dxa"/>
            <w:tcBorders>
              <w:top w:val="nil"/>
              <w:left w:val="nil"/>
              <w:bottom w:val="single" w:sz="8" w:space="0" w:color="B8CCE4"/>
              <w:right w:val="single" w:sz="8" w:space="0" w:color="B8CCE4"/>
            </w:tcBorders>
            <w:vAlign w:val="center"/>
            <w:hideMark/>
          </w:tcPr>
          <w:p w14:paraId="779FE3AF"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541,100</w:t>
            </w:r>
          </w:p>
        </w:tc>
        <w:tc>
          <w:tcPr>
            <w:tcW w:w="867" w:type="dxa"/>
            <w:tcBorders>
              <w:top w:val="nil"/>
              <w:left w:val="nil"/>
              <w:bottom w:val="single" w:sz="8" w:space="0" w:color="B8CCE4"/>
              <w:right w:val="single" w:sz="8" w:space="0" w:color="B8CCE4"/>
            </w:tcBorders>
            <w:vAlign w:val="center"/>
            <w:hideMark/>
          </w:tcPr>
          <w:p w14:paraId="4BEEA7A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511,404</w:t>
            </w:r>
          </w:p>
        </w:tc>
        <w:tc>
          <w:tcPr>
            <w:tcW w:w="871" w:type="dxa"/>
            <w:tcBorders>
              <w:top w:val="nil"/>
              <w:left w:val="nil"/>
              <w:bottom w:val="single" w:sz="8" w:space="0" w:color="B8CCE4"/>
              <w:right w:val="single" w:sz="8" w:space="0" w:color="B8CCE4"/>
            </w:tcBorders>
            <w:vAlign w:val="center"/>
            <w:hideMark/>
          </w:tcPr>
          <w:p w14:paraId="1DA1E3D2"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602,985</w:t>
            </w:r>
          </w:p>
        </w:tc>
        <w:tc>
          <w:tcPr>
            <w:tcW w:w="867" w:type="dxa"/>
            <w:tcBorders>
              <w:top w:val="nil"/>
              <w:left w:val="nil"/>
              <w:bottom w:val="single" w:sz="8" w:space="0" w:color="B8CCE4"/>
              <w:right w:val="single" w:sz="8" w:space="0" w:color="B8CCE4"/>
            </w:tcBorders>
            <w:vAlign w:val="center"/>
            <w:hideMark/>
          </w:tcPr>
          <w:p w14:paraId="66ADAD54"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492,831</w:t>
            </w:r>
          </w:p>
        </w:tc>
        <w:tc>
          <w:tcPr>
            <w:tcW w:w="871" w:type="dxa"/>
            <w:tcBorders>
              <w:top w:val="nil"/>
              <w:left w:val="nil"/>
              <w:bottom w:val="single" w:sz="8" w:space="0" w:color="B8CCE4"/>
              <w:right w:val="single" w:sz="8" w:space="0" w:color="B8CCE4"/>
            </w:tcBorders>
            <w:vAlign w:val="center"/>
            <w:hideMark/>
          </w:tcPr>
          <w:p w14:paraId="2FDF58A4"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599,515 </w:t>
            </w:r>
          </w:p>
        </w:tc>
        <w:tc>
          <w:tcPr>
            <w:tcW w:w="796" w:type="dxa"/>
            <w:tcBorders>
              <w:top w:val="nil"/>
              <w:left w:val="nil"/>
              <w:bottom w:val="single" w:sz="8" w:space="0" w:color="B8CCE4"/>
              <w:right w:val="single" w:sz="8" w:space="0" w:color="B8CCE4"/>
            </w:tcBorders>
            <w:vAlign w:val="center"/>
            <w:hideMark/>
          </w:tcPr>
          <w:p w14:paraId="26585F5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92%</w:t>
            </w:r>
          </w:p>
        </w:tc>
        <w:tc>
          <w:tcPr>
            <w:tcW w:w="871" w:type="dxa"/>
            <w:tcBorders>
              <w:top w:val="nil"/>
              <w:left w:val="nil"/>
              <w:bottom w:val="single" w:sz="8" w:space="0" w:color="B8CCE4"/>
              <w:right w:val="single" w:sz="8" w:space="0" w:color="B8CCE4"/>
            </w:tcBorders>
            <w:vAlign w:val="center"/>
            <w:hideMark/>
          </w:tcPr>
          <w:p w14:paraId="274EB605"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111%</w:t>
            </w:r>
          </w:p>
        </w:tc>
        <w:tc>
          <w:tcPr>
            <w:tcW w:w="796" w:type="dxa"/>
            <w:tcBorders>
              <w:top w:val="nil"/>
              <w:left w:val="nil"/>
              <w:bottom w:val="single" w:sz="8" w:space="0" w:color="B8CCE4"/>
              <w:right w:val="single" w:sz="8" w:space="0" w:color="B8CCE4"/>
            </w:tcBorders>
            <w:vAlign w:val="center"/>
            <w:hideMark/>
          </w:tcPr>
          <w:p w14:paraId="11A9ABBF"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871" w:type="dxa"/>
            <w:tcBorders>
              <w:top w:val="nil"/>
              <w:left w:val="nil"/>
              <w:bottom w:val="single" w:sz="8" w:space="0" w:color="B8CCE4"/>
              <w:right w:val="single" w:sz="8" w:space="0" w:color="B8CCE4"/>
            </w:tcBorders>
            <w:vAlign w:val="center"/>
            <w:hideMark/>
          </w:tcPr>
          <w:p w14:paraId="352E6E44"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99%</w:t>
            </w:r>
          </w:p>
        </w:tc>
      </w:tr>
      <w:tr w:rsidR="00C156A0" w:rsidRPr="00C156A0" w14:paraId="25861935" w14:textId="77777777" w:rsidTr="00D0642E">
        <w:trPr>
          <w:trHeight w:val="193"/>
        </w:trPr>
        <w:tc>
          <w:tcPr>
            <w:tcW w:w="1418" w:type="dxa"/>
            <w:tcBorders>
              <w:top w:val="nil"/>
              <w:left w:val="single" w:sz="8" w:space="0" w:color="B8CCE4"/>
              <w:bottom w:val="single" w:sz="8" w:space="0" w:color="B8CCE4"/>
              <w:right w:val="single" w:sz="8" w:space="0" w:color="B8CCE4"/>
            </w:tcBorders>
            <w:vAlign w:val="center"/>
            <w:hideMark/>
          </w:tcPr>
          <w:p w14:paraId="790B41A3" w14:textId="77777777" w:rsidR="00C156A0" w:rsidRPr="00DC19C4" w:rsidRDefault="00C156A0" w:rsidP="00DC19C4">
            <w:pPr>
              <w:spacing w:before="0" w:line="240" w:lineRule="auto"/>
              <w:jc w:val="left"/>
              <w:rPr>
                <w:rFonts w:cs="Calibri"/>
                <w:b/>
                <w:bCs/>
                <w:color w:val="000000"/>
                <w:sz w:val="16"/>
                <w:szCs w:val="16"/>
                <w:lang w:val="sq-AL"/>
              </w:rPr>
            </w:pPr>
            <w:r w:rsidRPr="00DC19C4">
              <w:rPr>
                <w:rFonts w:cs="Calibri"/>
                <w:b/>
                <w:bCs/>
                <w:color w:val="000000"/>
                <w:sz w:val="16"/>
                <w:szCs w:val="16"/>
                <w:lang w:val="sq-AL"/>
              </w:rPr>
              <w:t>Financimi I huaj</w:t>
            </w:r>
          </w:p>
        </w:tc>
        <w:tc>
          <w:tcPr>
            <w:tcW w:w="867" w:type="dxa"/>
            <w:tcBorders>
              <w:top w:val="nil"/>
              <w:left w:val="nil"/>
              <w:bottom w:val="single" w:sz="8" w:space="0" w:color="B8CCE4"/>
              <w:right w:val="single" w:sz="8" w:space="0" w:color="B8CCE4"/>
            </w:tcBorders>
            <w:vAlign w:val="center"/>
            <w:hideMark/>
          </w:tcPr>
          <w:p w14:paraId="3FE2132F"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5F06CD69"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67" w:type="dxa"/>
            <w:tcBorders>
              <w:top w:val="nil"/>
              <w:left w:val="nil"/>
              <w:bottom w:val="single" w:sz="8" w:space="0" w:color="B8CCE4"/>
              <w:right w:val="single" w:sz="8" w:space="0" w:color="B8CCE4"/>
            </w:tcBorders>
            <w:vAlign w:val="center"/>
            <w:hideMark/>
          </w:tcPr>
          <w:p w14:paraId="23031F18"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49CCAF6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1,000</w:t>
            </w:r>
          </w:p>
        </w:tc>
        <w:tc>
          <w:tcPr>
            <w:tcW w:w="867" w:type="dxa"/>
            <w:tcBorders>
              <w:top w:val="nil"/>
              <w:left w:val="nil"/>
              <w:bottom w:val="single" w:sz="8" w:space="0" w:color="B8CCE4"/>
              <w:right w:val="single" w:sz="8" w:space="0" w:color="B8CCE4"/>
            </w:tcBorders>
            <w:vAlign w:val="center"/>
            <w:hideMark/>
          </w:tcPr>
          <w:p w14:paraId="4C724B3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57BCC21E" w14:textId="10DF4A2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796" w:type="dxa"/>
            <w:tcBorders>
              <w:top w:val="nil"/>
              <w:left w:val="nil"/>
              <w:bottom w:val="single" w:sz="8" w:space="0" w:color="B8CCE4"/>
              <w:right w:val="single" w:sz="8" w:space="0" w:color="B8CCE4"/>
            </w:tcBorders>
            <w:vAlign w:val="center"/>
            <w:hideMark/>
          </w:tcPr>
          <w:p w14:paraId="7F6FCEC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7F5C152F"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796" w:type="dxa"/>
            <w:tcBorders>
              <w:top w:val="nil"/>
              <w:left w:val="nil"/>
              <w:bottom w:val="single" w:sz="8" w:space="0" w:color="B8CCE4"/>
              <w:right w:val="single" w:sz="8" w:space="0" w:color="B8CCE4"/>
            </w:tcBorders>
            <w:vAlign w:val="center"/>
            <w:hideMark/>
          </w:tcPr>
          <w:p w14:paraId="0AA5A024"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0EFD467E"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0%</w:t>
            </w:r>
          </w:p>
        </w:tc>
      </w:tr>
      <w:tr w:rsidR="00C156A0" w:rsidRPr="00C156A0" w14:paraId="64E9E163" w14:textId="77777777" w:rsidTr="00D0642E">
        <w:trPr>
          <w:trHeight w:val="225"/>
        </w:trPr>
        <w:tc>
          <w:tcPr>
            <w:tcW w:w="1418" w:type="dxa"/>
            <w:tcBorders>
              <w:top w:val="nil"/>
              <w:left w:val="single" w:sz="8" w:space="0" w:color="B8CCE4"/>
              <w:bottom w:val="single" w:sz="8" w:space="0" w:color="B8CCE4"/>
              <w:right w:val="single" w:sz="8" w:space="0" w:color="B8CCE4"/>
            </w:tcBorders>
            <w:vAlign w:val="center"/>
            <w:hideMark/>
          </w:tcPr>
          <w:p w14:paraId="2481BA08" w14:textId="77777777" w:rsidR="00C156A0" w:rsidRPr="00DC19C4" w:rsidRDefault="00C156A0" w:rsidP="00DC19C4">
            <w:pPr>
              <w:spacing w:before="0" w:line="240" w:lineRule="auto"/>
              <w:jc w:val="left"/>
              <w:rPr>
                <w:rFonts w:cs="Calibri"/>
                <w:b/>
                <w:bCs/>
                <w:color w:val="000000"/>
                <w:sz w:val="16"/>
                <w:szCs w:val="16"/>
                <w:lang w:val="sq-AL"/>
              </w:rPr>
            </w:pPr>
            <w:r w:rsidRPr="00DC19C4">
              <w:rPr>
                <w:rFonts w:cs="Calibri"/>
                <w:b/>
                <w:bCs/>
                <w:color w:val="000000"/>
                <w:sz w:val="16"/>
                <w:szCs w:val="16"/>
                <w:lang w:val="sq-AL"/>
              </w:rPr>
              <w:t>Programet e mbrojtjes së mjedisit</w:t>
            </w:r>
          </w:p>
        </w:tc>
        <w:tc>
          <w:tcPr>
            <w:tcW w:w="867" w:type="dxa"/>
            <w:tcBorders>
              <w:top w:val="nil"/>
              <w:left w:val="nil"/>
              <w:bottom w:val="single" w:sz="8" w:space="0" w:color="B8CCE4"/>
              <w:right w:val="single" w:sz="8" w:space="0" w:color="B8CCE4"/>
            </w:tcBorders>
            <w:vAlign w:val="center"/>
            <w:hideMark/>
          </w:tcPr>
          <w:p w14:paraId="1FCA8C1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476,770</w:t>
            </w:r>
          </w:p>
        </w:tc>
        <w:tc>
          <w:tcPr>
            <w:tcW w:w="871" w:type="dxa"/>
            <w:tcBorders>
              <w:top w:val="nil"/>
              <w:left w:val="nil"/>
              <w:bottom w:val="single" w:sz="8" w:space="0" w:color="B8CCE4"/>
              <w:right w:val="single" w:sz="8" w:space="0" w:color="B8CCE4"/>
            </w:tcBorders>
            <w:vAlign w:val="center"/>
            <w:hideMark/>
          </w:tcPr>
          <w:p w14:paraId="386D174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90,000</w:t>
            </w:r>
          </w:p>
        </w:tc>
        <w:tc>
          <w:tcPr>
            <w:tcW w:w="867" w:type="dxa"/>
            <w:tcBorders>
              <w:top w:val="nil"/>
              <w:left w:val="nil"/>
              <w:bottom w:val="single" w:sz="8" w:space="0" w:color="B8CCE4"/>
              <w:right w:val="single" w:sz="8" w:space="0" w:color="B8CCE4"/>
            </w:tcBorders>
            <w:vAlign w:val="center"/>
            <w:hideMark/>
          </w:tcPr>
          <w:p w14:paraId="4C22351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439,665</w:t>
            </w:r>
          </w:p>
        </w:tc>
        <w:tc>
          <w:tcPr>
            <w:tcW w:w="871" w:type="dxa"/>
            <w:tcBorders>
              <w:top w:val="nil"/>
              <w:left w:val="nil"/>
              <w:bottom w:val="single" w:sz="8" w:space="0" w:color="B8CCE4"/>
              <w:right w:val="single" w:sz="8" w:space="0" w:color="B8CCE4"/>
            </w:tcBorders>
            <w:vAlign w:val="center"/>
            <w:hideMark/>
          </w:tcPr>
          <w:p w14:paraId="575A8AD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55,220</w:t>
            </w:r>
          </w:p>
        </w:tc>
        <w:tc>
          <w:tcPr>
            <w:tcW w:w="867" w:type="dxa"/>
            <w:tcBorders>
              <w:top w:val="nil"/>
              <w:left w:val="nil"/>
              <w:bottom w:val="single" w:sz="8" w:space="0" w:color="B8CCE4"/>
              <w:right w:val="single" w:sz="8" w:space="0" w:color="B8CCE4"/>
            </w:tcBorders>
            <w:vAlign w:val="center"/>
            <w:hideMark/>
          </w:tcPr>
          <w:p w14:paraId="478D46C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413,796</w:t>
            </w:r>
          </w:p>
        </w:tc>
        <w:tc>
          <w:tcPr>
            <w:tcW w:w="871" w:type="dxa"/>
            <w:tcBorders>
              <w:top w:val="nil"/>
              <w:left w:val="nil"/>
              <w:bottom w:val="single" w:sz="8" w:space="0" w:color="B8CCE4"/>
              <w:right w:val="single" w:sz="8" w:space="0" w:color="B8CCE4"/>
            </w:tcBorders>
            <w:vAlign w:val="center"/>
            <w:hideMark/>
          </w:tcPr>
          <w:p w14:paraId="11E01C21"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18,213 </w:t>
            </w:r>
          </w:p>
        </w:tc>
        <w:tc>
          <w:tcPr>
            <w:tcW w:w="796" w:type="dxa"/>
            <w:tcBorders>
              <w:top w:val="nil"/>
              <w:left w:val="nil"/>
              <w:bottom w:val="single" w:sz="8" w:space="0" w:color="B8CCE4"/>
              <w:right w:val="single" w:sz="8" w:space="0" w:color="B8CCE4"/>
            </w:tcBorders>
            <w:vAlign w:val="center"/>
            <w:hideMark/>
          </w:tcPr>
          <w:p w14:paraId="5DA3D27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87%</w:t>
            </w:r>
          </w:p>
        </w:tc>
        <w:tc>
          <w:tcPr>
            <w:tcW w:w="871" w:type="dxa"/>
            <w:tcBorders>
              <w:top w:val="nil"/>
              <w:left w:val="nil"/>
              <w:bottom w:val="single" w:sz="8" w:space="0" w:color="B8CCE4"/>
              <w:right w:val="single" w:sz="8" w:space="0" w:color="B8CCE4"/>
            </w:tcBorders>
            <w:vAlign w:val="center"/>
            <w:hideMark/>
          </w:tcPr>
          <w:p w14:paraId="70CCF238"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20%</w:t>
            </w:r>
          </w:p>
        </w:tc>
        <w:tc>
          <w:tcPr>
            <w:tcW w:w="796" w:type="dxa"/>
            <w:tcBorders>
              <w:top w:val="nil"/>
              <w:left w:val="nil"/>
              <w:bottom w:val="single" w:sz="8" w:space="0" w:color="B8CCE4"/>
              <w:right w:val="single" w:sz="8" w:space="0" w:color="B8CCE4"/>
            </w:tcBorders>
            <w:vAlign w:val="center"/>
            <w:hideMark/>
          </w:tcPr>
          <w:p w14:paraId="01753EE4"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94%</w:t>
            </w:r>
          </w:p>
        </w:tc>
        <w:tc>
          <w:tcPr>
            <w:tcW w:w="871" w:type="dxa"/>
            <w:tcBorders>
              <w:top w:val="nil"/>
              <w:left w:val="nil"/>
              <w:bottom w:val="single" w:sz="8" w:space="0" w:color="B8CCE4"/>
              <w:right w:val="single" w:sz="8" w:space="0" w:color="B8CCE4"/>
            </w:tcBorders>
            <w:vAlign w:val="center"/>
            <w:hideMark/>
          </w:tcPr>
          <w:p w14:paraId="09FA5DB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33%</w:t>
            </w:r>
          </w:p>
        </w:tc>
      </w:tr>
      <w:tr w:rsidR="00C156A0" w:rsidRPr="00C156A0" w14:paraId="7A738F87" w14:textId="77777777" w:rsidTr="00D0642E">
        <w:trPr>
          <w:trHeight w:val="147"/>
        </w:trPr>
        <w:tc>
          <w:tcPr>
            <w:tcW w:w="1418" w:type="dxa"/>
            <w:tcBorders>
              <w:top w:val="nil"/>
              <w:left w:val="single" w:sz="8" w:space="0" w:color="B8CCE4"/>
              <w:bottom w:val="single" w:sz="8" w:space="0" w:color="B8CCE4"/>
              <w:right w:val="single" w:sz="8" w:space="0" w:color="B8CCE4"/>
            </w:tcBorders>
            <w:vAlign w:val="center"/>
            <w:hideMark/>
          </w:tcPr>
          <w:p w14:paraId="7B78893C" w14:textId="01A129A4" w:rsidR="00C156A0" w:rsidRPr="00DC19C4" w:rsidRDefault="00C156A0" w:rsidP="00DC19C4">
            <w:pPr>
              <w:spacing w:before="0" w:line="240" w:lineRule="auto"/>
              <w:jc w:val="right"/>
              <w:rPr>
                <w:rFonts w:cs="Calibri"/>
                <w:b/>
                <w:bCs/>
                <w:color w:val="000000"/>
                <w:sz w:val="16"/>
                <w:szCs w:val="16"/>
                <w:lang w:val="sq-AL"/>
              </w:rPr>
            </w:pPr>
            <w:r w:rsidRPr="00DC19C4">
              <w:rPr>
                <w:rFonts w:cs="Calibri"/>
                <w:b/>
                <w:bCs/>
                <w:color w:val="000000"/>
                <w:sz w:val="16"/>
                <w:szCs w:val="16"/>
                <w:lang w:val="sq-AL"/>
              </w:rPr>
              <w:t xml:space="preserve">Financimi </w:t>
            </w:r>
            <w:r w:rsidR="00DC19C4">
              <w:rPr>
                <w:rFonts w:cs="Calibri"/>
                <w:b/>
                <w:bCs/>
                <w:color w:val="000000"/>
                <w:sz w:val="16"/>
                <w:szCs w:val="16"/>
                <w:lang w:val="sq-AL"/>
              </w:rPr>
              <w:t>i</w:t>
            </w:r>
            <w:r w:rsidRPr="00DC19C4">
              <w:rPr>
                <w:rFonts w:cs="Calibri"/>
                <w:b/>
                <w:bCs/>
                <w:color w:val="000000"/>
                <w:sz w:val="16"/>
                <w:szCs w:val="16"/>
                <w:lang w:val="sq-AL"/>
              </w:rPr>
              <w:t xml:space="preserve"> huaj</w:t>
            </w:r>
          </w:p>
        </w:tc>
        <w:tc>
          <w:tcPr>
            <w:tcW w:w="867" w:type="dxa"/>
            <w:tcBorders>
              <w:top w:val="nil"/>
              <w:left w:val="nil"/>
              <w:bottom w:val="single" w:sz="8" w:space="0" w:color="B8CCE4"/>
              <w:right w:val="single" w:sz="8" w:space="0" w:color="B8CCE4"/>
            </w:tcBorders>
            <w:vAlign w:val="center"/>
            <w:hideMark/>
          </w:tcPr>
          <w:p w14:paraId="5A35CB7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871" w:type="dxa"/>
            <w:tcBorders>
              <w:top w:val="nil"/>
              <w:left w:val="nil"/>
              <w:bottom w:val="single" w:sz="8" w:space="0" w:color="B8CCE4"/>
              <w:right w:val="single" w:sz="8" w:space="0" w:color="B8CCE4"/>
            </w:tcBorders>
            <w:vAlign w:val="center"/>
            <w:hideMark/>
          </w:tcPr>
          <w:p w14:paraId="5CCB7A0E"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390,000</w:t>
            </w:r>
          </w:p>
        </w:tc>
        <w:tc>
          <w:tcPr>
            <w:tcW w:w="867" w:type="dxa"/>
            <w:tcBorders>
              <w:top w:val="nil"/>
              <w:left w:val="nil"/>
              <w:bottom w:val="single" w:sz="8" w:space="0" w:color="B8CCE4"/>
              <w:right w:val="single" w:sz="8" w:space="0" w:color="B8CCE4"/>
            </w:tcBorders>
            <w:vAlign w:val="center"/>
            <w:hideMark/>
          </w:tcPr>
          <w:p w14:paraId="05166586"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871" w:type="dxa"/>
            <w:tcBorders>
              <w:top w:val="nil"/>
              <w:left w:val="nil"/>
              <w:bottom w:val="single" w:sz="8" w:space="0" w:color="B8CCE4"/>
              <w:right w:val="single" w:sz="8" w:space="0" w:color="B8CCE4"/>
            </w:tcBorders>
            <w:vAlign w:val="center"/>
            <w:hideMark/>
          </w:tcPr>
          <w:p w14:paraId="4741718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216,000</w:t>
            </w:r>
          </w:p>
        </w:tc>
        <w:tc>
          <w:tcPr>
            <w:tcW w:w="867" w:type="dxa"/>
            <w:tcBorders>
              <w:top w:val="nil"/>
              <w:left w:val="nil"/>
              <w:bottom w:val="single" w:sz="8" w:space="0" w:color="B8CCE4"/>
              <w:right w:val="single" w:sz="8" w:space="0" w:color="B8CCE4"/>
            </w:tcBorders>
            <w:vAlign w:val="center"/>
            <w:hideMark/>
          </w:tcPr>
          <w:p w14:paraId="34AC9265"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871" w:type="dxa"/>
            <w:tcBorders>
              <w:top w:val="nil"/>
              <w:left w:val="nil"/>
              <w:bottom w:val="single" w:sz="8" w:space="0" w:color="B8CCE4"/>
              <w:right w:val="single" w:sz="8" w:space="0" w:color="B8CCE4"/>
            </w:tcBorders>
            <w:vAlign w:val="center"/>
            <w:hideMark/>
          </w:tcPr>
          <w:p w14:paraId="5B79046E"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150,953 </w:t>
            </w:r>
          </w:p>
        </w:tc>
        <w:tc>
          <w:tcPr>
            <w:tcW w:w="796" w:type="dxa"/>
            <w:tcBorders>
              <w:top w:val="nil"/>
              <w:left w:val="nil"/>
              <w:bottom w:val="single" w:sz="8" w:space="0" w:color="B8CCE4"/>
              <w:right w:val="single" w:sz="8" w:space="0" w:color="B8CCE4"/>
            </w:tcBorders>
            <w:vAlign w:val="center"/>
            <w:hideMark/>
          </w:tcPr>
          <w:p w14:paraId="4CABE4B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797180B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39%</w:t>
            </w:r>
          </w:p>
        </w:tc>
        <w:tc>
          <w:tcPr>
            <w:tcW w:w="796" w:type="dxa"/>
            <w:tcBorders>
              <w:top w:val="nil"/>
              <w:left w:val="nil"/>
              <w:bottom w:val="single" w:sz="8" w:space="0" w:color="B8CCE4"/>
              <w:right w:val="single" w:sz="8" w:space="0" w:color="B8CCE4"/>
            </w:tcBorders>
            <w:vAlign w:val="center"/>
            <w:hideMark/>
          </w:tcPr>
          <w:p w14:paraId="1263D695"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1B2BCD66"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70%</w:t>
            </w:r>
          </w:p>
        </w:tc>
      </w:tr>
      <w:tr w:rsidR="00C156A0" w:rsidRPr="00C156A0" w14:paraId="54203CA3" w14:textId="77777777" w:rsidTr="00D0642E">
        <w:trPr>
          <w:trHeight w:val="225"/>
        </w:trPr>
        <w:tc>
          <w:tcPr>
            <w:tcW w:w="1418" w:type="dxa"/>
            <w:tcBorders>
              <w:top w:val="nil"/>
              <w:left w:val="single" w:sz="8" w:space="0" w:color="B8CCE4"/>
              <w:bottom w:val="single" w:sz="8" w:space="0" w:color="B8CCE4"/>
              <w:right w:val="single" w:sz="8" w:space="0" w:color="B8CCE4"/>
            </w:tcBorders>
            <w:vAlign w:val="center"/>
            <w:hideMark/>
          </w:tcPr>
          <w:p w14:paraId="3E562734" w14:textId="77777777" w:rsidR="00C156A0" w:rsidRPr="00DC19C4" w:rsidRDefault="00C156A0" w:rsidP="00DC19C4">
            <w:pPr>
              <w:spacing w:before="0" w:line="240" w:lineRule="auto"/>
              <w:jc w:val="left"/>
              <w:rPr>
                <w:rFonts w:cs="Calibri"/>
                <w:b/>
                <w:bCs/>
                <w:color w:val="000000"/>
                <w:sz w:val="16"/>
                <w:szCs w:val="16"/>
                <w:lang w:val="sq-AL"/>
              </w:rPr>
            </w:pPr>
            <w:r w:rsidRPr="00DC19C4">
              <w:rPr>
                <w:rFonts w:cs="Calibri"/>
                <w:b/>
                <w:bCs/>
                <w:color w:val="000000"/>
                <w:sz w:val="16"/>
                <w:szCs w:val="16"/>
                <w:lang w:val="sq-AL"/>
              </w:rPr>
              <w:t>Menaxhimi i Mbetjeve Urbane</w:t>
            </w:r>
          </w:p>
        </w:tc>
        <w:tc>
          <w:tcPr>
            <w:tcW w:w="867" w:type="dxa"/>
            <w:tcBorders>
              <w:top w:val="nil"/>
              <w:left w:val="nil"/>
              <w:bottom w:val="single" w:sz="8" w:space="0" w:color="B8CCE4"/>
              <w:right w:val="single" w:sz="8" w:space="0" w:color="B8CCE4"/>
            </w:tcBorders>
            <w:vAlign w:val="center"/>
            <w:hideMark/>
          </w:tcPr>
          <w:p w14:paraId="0A2AC4CB"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56,113</w:t>
            </w:r>
          </w:p>
        </w:tc>
        <w:tc>
          <w:tcPr>
            <w:tcW w:w="871" w:type="dxa"/>
            <w:tcBorders>
              <w:top w:val="nil"/>
              <w:left w:val="nil"/>
              <w:bottom w:val="single" w:sz="8" w:space="0" w:color="B8CCE4"/>
              <w:right w:val="single" w:sz="8" w:space="0" w:color="B8CCE4"/>
            </w:tcBorders>
            <w:vAlign w:val="center"/>
            <w:hideMark/>
          </w:tcPr>
          <w:p w14:paraId="25CC5D7D"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329,747</w:t>
            </w:r>
          </w:p>
        </w:tc>
        <w:tc>
          <w:tcPr>
            <w:tcW w:w="867" w:type="dxa"/>
            <w:tcBorders>
              <w:top w:val="nil"/>
              <w:left w:val="nil"/>
              <w:bottom w:val="single" w:sz="8" w:space="0" w:color="B8CCE4"/>
              <w:right w:val="single" w:sz="8" w:space="0" w:color="B8CCE4"/>
            </w:tcBorders>
            <w:vAlign w:val="center"/>
            <w:hideMark/>
          </w:tcPr>
          <w:p w14:paraId="2C2B51A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53,163</w:t>
            </w:r>
          </w:p>
        </w:tc>
        <w:tc>
          <w:tcPr>
            <w:tcW w:w="871" w:type="dxa"/>
            <w:tcBorders>
              <w:top w:val="nil"/>
              <w:left w:val="nil"/>
              <w:bottom w:val="single" w:sz="8" w:space="0" w:color="B8CCE4"/>
              <w:right w:val="single" w:sz="8" w:space="0" w:color="B8CCE4"/>
            </w:tcBorders>
            <w:vAlign w:val="center"/>
            <w:hideMark/>
          </w:tcPr>
          <w:p w14:paraId="14E8A4A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96,892</w:t>
            </w:r>
          </w:p>
        </w:tc>
        <w:tc>
          <w:tcPr>
            <w:tcW w:w="867" w:type="dxa"/>
            <w:tcBorders>
              <w:top w:val="nil"/>
              <w:left w:val="nil"/>
              <w:bottom w:val="single" w:sz="8" w:space="0" w:color="B8CCE4"/>
              <w:right w:val="single" w:sz="8" w:space="0" w:color="B8CCE4"/>
            </w:tcBorders>
            <w:vAlign w:val="center"/>
            <w:hideMark/>
          </w:tcPr>
          <w:p w14:paraId="3C014F7E"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50,905</w:t>
            </w:r>
          </w:p>
        </w:tc>
        <w:tc>
          <w:tcPr>
            <w:tcW w:w="871" w:type="dxa"/>
            <w:tcBorders>
              <w:top w:val="nil"/>
              <w:left w:val="nil"/>
              <w:bottom w:val="single" w:sz="8" w:space="0" w:color="B8CCE4"/>
              <w:right w:val="single" w:sz="8" w:space="0" w:color="B8CCE4"/>
            </w:tcBorders>
            <w:vAlign w:val="center"/>
            <w:hideMark/>
          </w:tcPr>
          <w:p w14:paraId="195370CA"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96,256 </w:t>
            </w:r>
          </w:p>
        </w:tc>
        <w:tc>
          <w:tcPr>
            <w:tcW w:w="796" w:type="dxa"/>
            <w:tcBorders>
              <w:top w:val="nil"/>
              <w:left w:val="nil"/>
              <w:bottom w:val="single" w:sz="8" w:space="0" w:color="B8CCE4"/>
              <w:right w:val="single" w:sz="8" w:space="0" w:color="B8CCE4"/>
            </w:tcBorders>
            <w:vAlign w:val="center"/>
            <w:hideMark/>
          </w:tcPr>
          <w:p w14:paraId="311AAAF5"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91%</w:t>
            </w:r>
          </w:p>
        </w:tc>
        <w:tc>
          <w:tcPr>
            <w:tcW w:w="871" w:type="dxa"/>
            <w:tcBorders>
              <w:top w:val="nil"/>
              <w:left w:val="nil"/>
              <w:bottom w:val="single" w:sz="8" w:space="0" w:color="B8CCE4"/>
              <w:right w:val="single" w:sz="8" w:space="0" w:color="B8CCE4"/>
            </w:tcBorders>
            <w:vAlign w:val="center"/>
            <w:hideMark/>
          </w:tcPr>
          <w:p w14:paraId="671D4DF8"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29%</w:t>
            </w:r>
          </w:p>
        </w:tc>
        <w:tc>
          <w:tcPr>
            <w:tcW w:w="796" w:type="dxa"/>
            <w:tcBorders>
              <w:top w:val="nil"/>
              <w:left w:val="nil"/>
              <w:bottom w:val="single" w:sz="8" w:space="0" w:color="B8CCE4"/>
              <w:right w:val="single" w:sz="8" w:space="0" w:color="B8CCE4"/>
            </w:tcBorders>
            <w:vAlign w:val="center"/>
            <w:hideMark/>
          </w:tcPr>
          <w:p w14:paraId="6A45228B"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871" w:type="dxa"/>
            <w:tcBorders>
              <w:top w:val="nil"/>
              <w:left w:val="nil"/>
              <w:bottom w:val="single" w:sz="8" w:space="0" w:color="B8CCE4"/>
              <w:right w:val="single" w:sz="8" w:space="0" w:color="B8CCE4"/>
            </w:tcBorders>
            <w:vAlign w:val="center"/>
            <w:hideMark/>
          </w:tcPr>
          <w:p w14:paraId="794B2D92"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99%</w:t>
            </w:r>
          </w:p>
        </w:tc>
      </w:tr>
      <w:tr w:rsidR="00C156A0" w:rsidRPr="00C156A0" w14:paraId="608FE448" w14:textId="77777777" w:rsidTr="00D0642E">
        <w:trPr>
          <w:trHeight w:val="147"/>
        </w:trPr>
        <w:tc>
          <w:tcPr>
            <w:tcW w:w="1418" w:type="dxa"/>
            <w:tcBorders>
              <w:top w:val="nil"/>
              <w:left w:val="single" w:sz="8" w:space="0" w:color="B8CCE4"/>
              <w:bottom w:val="single" w:sz="8" w:space="0" w:color="B8CCE4"/>
              <w:right w:val="single" w:sz="8" w:space="0" w:color="B8CCE4"/>
            </w:tcBorders>
            <w:vAlign w:val="center"/>
            <w:hideMark/>
          </w:tcPr>
          <w:p w14:paraId="73C32A21" w14:textId="58C41456" w:rsidR="00C156A0" w:rsidRPr="00DC19C4" w:rsidRDefault="00C156A0" w:rsidP="00DC19C4">
            <w:pPr>
              <w:spacing w:before="0" w:line="240" w:lineRule="auto"/>
              <w:jc w:val="right"/>
              <w:rPr>
                <w:rFonts w:cs="Calibri"/>
                <w:b/>
                <w:bCs/>
                <w:color w:val="000000"/>
                <w:sz w:val="16"/>
                <w:szCs w:val="16"/>
                <w:lang w:val="sq-AL"/>
              </w:rPr>
            </w:pPr>
            <w:r w:rsidRPr="00DC19C4">
              <w:rPr>
                <w:rFonts w:cs="Calibri"/>
                <w:b/>
                <w:bCs/>
                <w:color w:val="000000"/>
                <w:sz w:val="16"/>
                <w:szCs w:val="16"/>
                <w:lang w:val="sq-AL"/>
              </w:rPr>
              <w:t xml:space="preserve">Financimi </w:t>
            </w:r>
            <w:r w:rsidR="00DC19C4">
              <w:rPr>
                <w:rFonts w:cs="Calibri"/>
                <w:b/>
                <w:bCs/>
                <w:color w:val="000000"/>
                <w:sz w:val="16"/>
                <w:szCs w:val="16"/>
                <w:lang w:val="sq-AL"/>
              </w:rPr>
              <w:t>i</w:t>
            </w:r>
            <w:r w:rsidRPr="00DC19C4">
              <w:rPr>
                <w:rFonts w:cs="Calibri"/>
                <w:b/>
                <w:bCs/>
                <w:color w:val="000000"/>
                <w:sz w:val="16"/>
                <w:szCs w:val="16"/>
                <w:lang w:val="sq-AL"/>
              </w:rPr>
              <w:t xml:space="preserve"> huaj</w:t>
            </w:r>
          </w:p>
        </w:tc>
        <w:tc>
          <w:tcPr>
            <w:tcW w:w="867" w:type="dxa"/>
            <w:tcBorders>
              <w:top w:val="nil"/>
              <w:left w:val="nil"/>
              <w:bottom w:val="nil"/>
              <w:right w:val="single" w:sz="8" w:space="0" w:color="B8CCE4"/>
            </w:tcBorders>
            <w:vAlign w:val="center"/>
            <w:hideMark/>
          </w:tcPr>
          <w:p w14:paraId="213429ED"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nil"/>
              <w:right w:val="single" w:sz="8" w:space="0" w:color="B8CCE4"/>
            </w:tcBorders>
            <w:vAlign w:val="center"/>
            <w:hideMark/>
          </w:tcPr>
          <w:p w14:paraId="69393F57"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200,000</w:t>
            </w:r>
          </w:p>
        </w:tc>
        <w:tc>
          <w:tcPr>
            <w:tcW w:w="867" w:type="dxa"/>
            <w:tcBorders>
              <w:top w:val="nil"/>
              <w:left w:val="nil"/>
              <w:bottom w:val="nil"/>
              <w:right w:val="single" w:sz="8" w:space="0" w:color="B8CCE4"/>
            </w:tcBorders>
            <w:vAlign w:val="center"/>
            <w:hideMark/>
          </w:tcPr>
          <w:p w14:paraId="543FC911"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nil"/>
              <w:right w:val="single" w:sz="8" w:space="0" w:color="B8CCE4"/>
            </w:tcBorders>
            <w:vAlign w:val="center"/>
            <w:hideMark/>
          </w:tcPr>
          <w:p w14:paraId="2E117090"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67" w:type="dxa"/>
            <w:tcBorders>
              <w:top w:val="nil"/>
              <w:left w:val="nil"/>
              <w:bottom w:val="nil"/>
              <w:right w:val="single" w:sz="8" w:space="0" w:color="B8CCE4"/>
            </w:tcBorders>
            <w:vAlign w:val="center"/>
            <w:hideMark/>
          </w:tcPr>
          <w:p w14:paraId="6E18008D"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nil"/>
              <w:right w:val="single" w:sz="8" w:space="0" w:color="B8CCE4"/>
            </w:tcBorders>
            <w:vAlign w:val="center"/>
            <w:hideMark/>
          </w:tcPr>
          <w:p w14:paraId="29DA22ED"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 xml:space="preserve"> - </w:t>
            </w:r>
          </w:p>
        </w:tc>
        <w:tc>
          <w:tcPr>
            <w:tcW w:w="796" w:type="dxa"/>
            <w:tcBorders>
              <w:top w:val="nil"/>
              <w:left w:val="nil"/>
              <w:bottom w:val="single" w:sz="8" w:space="0" w:color="B8CCE4"/>
              <w:right w:val="single" w:sz="8" w:space="0" w:color="B8CCE4"/>
            </w:tcBorders>
            <w:vAlign w:val="center"/>
            <w:hideMark/>
          </w:tcPr>
          <w:p w14:paraId="307AA1C2"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6B9C6A23"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796" w:type="dxa"/>
            <w:tcBorders>
              <w:top w:val="nil"/>
              <w:left w:val="nil"/>
              <w:bottom w:val="single" w:sz="8" w:space="0" w:color="B8CCE4"/>
              <w:right w:val="single" w:sz="8" w:space="0" w:color="B8CCE4"/>
            </w:tcBorders>
            <w:vAlign w:val="center"/>
            <w:hideMark/>
          </w:tcPr>
          <w:p w14:paraId="6AA0B8AC"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71" w:type="dxa"/>
            <w:tcBorders>
              <w:top w:val="nil"/>
              <w:left w:val="nil"/>
              <w:bottom w:val="single" w:sz="8" w:space="0" w:color="B8CCE4"/>
              <w:right w:val="single" w:sz="8" w:space="0" w:color="B8CCE4"/>
            </w:tcBorders>
            <w:vAlign w:val="center"/>
            <w:hideMark/>
          </w:tcPr>
          <w:p w14:paraId="32D99758" w14:textId="77777777" w:rsidR="00C156A0" w:rsidRPr="00C156A0" w:rsidRDefault="00C156A0" w:rsidP="00D0642E">
            <w:pPr>
              <w:spacing w:before="0" w:line="240" w:lineRule="auto"/>
              <w:jc w:val="center"/>
              <w:rPr>
                <w:rFonts w:cs="Calibri"/>
                <w:color w:val="000000"/>
                <w:sz w:val="16"/>
                <w:szCs w:val="16"/>
                <w:lang w:val="sq-AL"/>
              </w:rPr>
            </w:pPr>
            <w:r w:rsidRPr="00C156A0">
              <w:rPr>
                <w:rFonts w:cs="Calibri"/>
                <w:color w:val="000000"/>
                <w:sz w:val="16"/>
                <w:szCs w:val="16"/>
                <w:lang w:val="sq-AL"/>
              </w:rPr>
              <w:t>-</w:t>
            </w:r>
          </w:p>
        </w:tc>
      </w:tr>
      <w:tr w:rsidR="00D0642E" w:rsidRPr="00C156A0" w14:paraId="1309DB56" w14:textId="77777777" w:rsidTr="00D0642E">
        <w:trPr>
          <w:trHeight w:val="147"/>
        </w:trPr>
        <w:tc>
          <w:tcPr>
            <w:tcW w:w="1418" w:type="dxa"/>
            <w:tcBorders>
              <w:top w:val="nil"/>
              <w:left w:val="nil"/>
              <w:bottom w:val="single" w:sz="8" w:space="0" w:color="B8CCE4"/>
              <w:right w:val="single" w:sz="8" w:space="0" w:color="B8CCE4"/>
            </w:tcBorders>
            <w:shd w:val="clear" w:color="000000" w:fill="366092"/>
            <w:vAlign w:val="center"/>
            <w:hideMark/>
          </w:tcPr>
          <w:p w14:paraId="0B358BC8" w14:textId="77777777" w:rsidR="00C156A0" w:rsidRPr="009C048C" w:rsidRDefault="00C156A0" w:rsidP="00D0642E">
            <w:pPr>
              <w:spacing w:before="0" w:line="240" w:lineRule="auto"/>
              <w:jc w:val="center"/>
              <w:rPr>
                <w:rFonts w:cs="Calibri"/>
                <w:b/>
                <w:bCs/>
                <w:color w:val="FFFFFF" w:themeColor="background1"/>
                <w:sz w:val="16"/>
                <w:szCs w:val="16"/>
                <w:lang w:val="sq-AL"/>
              </w:rPr>
            </w:pPr>
            <w:r w:rsidRPr="009C048C">
              <w:rPr>
                <w:rFonts w:cs="Calibri"/>
                <w:b/>
                <w:bCs/>
                <w:color w:val="FFFFFF" w:themeColor="background1"/>
                <w:sz w:val="16"/>
                <w:szCs w:val="16"/>
                <w:lang w:val="sq-AL"/>
              </w:rPr>
              <w:t> Gjithsej sipas natyres</w:t>
            </w:r>
          </w:p>
        </w:tc>
        <w:tc>
          <w:tcPr>
            <w:tcW w:w="867" w:type="dxa"/>
            <w:tcBorders>
              <w:top w:val="nil"/>
              <w:left w:val="nil"/>
              <w:bottom w:val="nil"/>
              <w:right w:val="single" w:sz="8" w:space="0" w:color="B8CCE4"/>
            </w:tcBorders>
            <w:shd w:val="clear" w:color="000000" w:fill="366092"/>
            <w:vAlign w:val="center"/>
            <w:hideMark/>
          </w:tcPr>
          <w:p w14:paraId="2040212B"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1,413,060</w:t>
            </w:r>
          </w:p>
        </w:tc>
        <w:tc>
          <w:tcPr>
            <w:tcW w:w="871" w:type="dxa"/>
            <w:tcBorders>
              <w:top w:val="nil"/>
              <w:left w:val="nil"/>
              <w:bottom w:val="nil"/>
              <w:right w:val="single" w:sz="8" w:space="0" w:color="B8CCE4"/>
            </w:tcBorders>
            <w:shd w:val="clear" w:color="000000" w:fill="366092"/>
            <w:vAlign w:val="center"/>
            <w:hideMark/>
          </w:tcPr>
          <w:p w14:paraId="57453A39"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1,553,847</w:t>
            </w:r>
          </w:p>
        </w:tc>
        <w:tc>
          <w:tcPr>
            <w:tcW w:w="867" w:type="dxa"/>
            <w:tcBorders>
              <w:top w:val="nil"/>
              <w:left w:val="nil"/>
              <w:bottom w:val="nil"/>
              <w:right w:val="single" w:sz="8" w:space="0" w:color="B8CCE4"/>
            </w:tcBorders>
            <w:shd w:val="clear" w:color="000000" w:fill="366092"/>
            <w:vAlign w:val="center"/>
            <w:hideMark/>
          </w:tcPr>
          <w:p w14:paraId="15D7811D"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1,332,473</w:t>
            </w:r>
          </w:p>
        </w:tc>
        <w:tc>
          <w:tcPr>
            <w:tcW w:w="871" w:type="dxa"/>
            <w:tcBorders>
              <w:top w:val="nil"/>
              <w:left w:val="nil"/>
              <w:bottom w:val="nil"/>
              <w:right w:val="single" w:sz="8" w:space="0" w:color="B8CCE4"/>
            </w:tcBorders>
            <w:shd w:val="clear" w:color="000000" w:fill="366092"/>
            <w:vAlign w:val="center"/>
            <w:hideMark/>
          </w:tcPr>
          <w:p w14:paraId="0780F84D"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976,097</w:t>
            </w:r>
          </w:p>
        </w:tc>
        <w:tc>
          <w:tcPr>
            <w:tcW w:w="867" w:type="dxa"/>
            <w:tcBorders>
              <w:top w:val="nil"/>
              <w:left w:val="nil"/>
              <w:bottom w:val="nil"/>
              <w:right w:val="single" w:sz="8" w:space="0" w:color="B8CCE4"/>
            </w:tcBorders>
            <w:shd w:val="clear" w:color="000000" w:fill="366092"/>
            <w:vAlign w:val="center"/>
            <w:hideMark/>
          </w:tcPr>
          <w:p w14:paraId="79C24F60"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1,275,229</w:t>
            </w:r>
          </w:p>
        </w:tc>
        <w:tc>
          <w:tcPr>
            <w:tcW w:w="871" w:type="dxa"/>
            <w:tcBorders>
              <w:top w:val="nil"/>
              <w:left w:val="nil"/>
              <w:bottom w:val="nil"/>
              <w:right w:val="single" w:sz="8" w:space="0" w:color="B8CCE4"/>
            </w:tcBorders>
            <w:shd w:val="clear" w:color="000000" w:fill="366092"/>
            <w:vAlign w:val="center"/>
            <w:hideMark/>
          </w:tcPr>
          <w:p w14:paraId="2E6C18ED"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865,798</w:t>
            </w:r>
          </w:p>
        </w:tc>
        <w:tc>
          <w:tcPr>
            <w:tcW w:w="796" w:type="dxa"/>
            <w:tcBorders>
              <w:top w:val="nil"/>
              <w:left w:val="nil"/>
              <w:bottom w:val="single" w:sz="8" w:space="0" w:color="B8CCE4"/>
              <w:right w:val="single" w:sz="8" w:space="0" w:color="B8CCE4"/>
            </w:tcBorders>
            <w:shd w:val="clear" w:color="000000" w:fill="366092"/>
            <w:vAlign w:val="center"/>
            <w:hideMark/>
          </w:tcPr>
          <w:p w14:paraId="04050A1A"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90%</w:t>
            </w:r>
          </w:p>
        </w:tc>
        <w:tc>
          <w:tcPr>
            <w:tcW w:w="871" w:type="dxa"/>
            <w:tcBorders>
              <w:top w:val="nil"/>
              <w:left w:val="nil"/>
              <w:bottom w:val="single" w:sz="8" w:space="0" w:color="B8CCE4"/>
              <w:right w:val="single" w:sz="8" w:space="0" w:color="B8CCE4"/>
            </w:tcBorders>
            <w:shd w:val="clear" w:color="000000" w:fill="366092"/>
            <w:vAlign w:val="center"/>
            <w:hideMark/>
          </w:tcPr>
          <w:p w14:paraId="50613E4B"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56%</w:t>
            </w:r>
          </w:p>
        </w:tc>
        <w:tc>
          <w:tcPr>
            <w:tcW w:w="796" w:type="dxa"/>
            <w:tcBorders>
              <w:top w:val="nil"/>
              <w:left w:val="nil"/>
              <w:bottom w:val="single" w:sz="8" w:space="0" w:color="B8CCE4"/>
              <w:right w:val="single" w:sz="8" w:space="0" w:color="B8CCE4"/>
            </w:tcBorders>
            <w:shd w:val="clear" w:color="000000" w:fill="366092"/>
            <w:vAlign w:val="center"/>
            <w:hideMark/>
          </w:tcPr>
          <w:p w14:paraId="3D9F9B96"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96%</w:t>
            </w:r>
          </w:p>
        </w:tc>
        <w:tc>
          <w:tcPr>
            <w:tcW w:w="871" w:type="dxa"/>
            <w:tcBorders>
              <w:top w:val="nil"/>
              <w:left w:val="nil"/>
              <w:bottom w:val="single" w:sz="8" w:space="0" w:color="B8CCE4"/>
              <w:right w:val="single" w:sz="8" w:space="0" w:color="B8CCE4"/>
            </w:tcBorders>
            <w:shd w:val="clear" w:color="000000" w:fill="366092"/>
            <w:vAlign w:val="center"/>
            <w:hideMark/>
          </w:tcPr>
          <w:p w14:paraId="2F20A940"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89%</w:t>
            </w:r>
          </w:p>
        </w:tc>
      </w:tr>
      <w:tr w:rsidR="00C156A0" w:rsidRPr="00C156A0" w14:paraId="3A39F648" w14:textId="77777777" w:rsidTr="00D0642E">
        <w:trPr>
          <w:trHeight w:val="147"/>
        </w:trPr>
        <w:tc>
          <w:tcPr>
            <w:tcW w:w="1418" w:type="dxa"/>
            <w:tcBorders>
              <w:top w:val="nil"/>
              <w:left w:val="single" w:sz="8" w:space="0" w:color="B8CCE4"/>
              <w:bottom w:val="nil"/>
              <w:right w:val="single" w:sz="8" w:space="0" w:color="B8CCE4"/>
            </w:tcBorders>
            <w:shd w:val="clear" w:color="000000" w:fill="365F91"/>
            <w:vAlign w:val="center"/>
            <w:hideMark/>
          </w:tcPr>
          <w:p w14:paraId="7C3038F9" w14:textId="77777777" w:rsidR="00C156A0" w:rsidRPr="009C048C" w:rsidRDefault="00C156A0" w:rsidP="00D0642E">
            <w:pPr>
              <w:spacing w:before="0" w:line="240" w:lineRule="auto"/>
              <w:jc w:val="center"/>
              <w:rPr>
                <w:rFonts w:cs="Calibri"/>
                <w:b/>
                <w:bCs/>
                <w:color w:val="FFFFFF" w:themeColor="background1"/>
                <w:sz w:val="16"/>
                <w:szCs w:val="16"/>
                <w:lang w:val="sq-AL"/>
              </w:rPr>
            </w:pPr>
            <w:r w:rsidRPr="009C048C">
              <w:rPr>
                <w:rFonts w:cs="Calibri"/>
                <w:b/>
                <w:bCs/>
                <w:color w:val="FFFFFF" w:themeColor="background1"/>
                <w:sz w:val="16"/>
                <w:szCs w:val="16"/>
                <w:lang w:val="sq-AL"/>
              </w:rPr>
              <w:t> Totali</w:t>
            </w:r>
          </w:p>
        </w:tc>
        <w:tc>
          <w:tcPr>
            <w:tcW w:w="1738" w:type="dxa"/>
            <w:gridSpan w:val="2"/>
            <w:tcBorders>
              <w:top w:val="single" w:sz="8" w:space="0" w:color="BFBFBF"/>
              <w:left w:val="nil"/>
              <w:bottom w:val="single" w:sz="8" w:space="0" w:color="BFBFBF"/>
              <w:right w:val="single" w:sz="8" w:space="0" w:color="B8CCE4"/>
            </w:tcBorders>
            <w:shd w:val="clear" w:color="000000" w:fill="365F91"/>
            <w:vAlign w:val="center"/>
            <w:hideMark/>
          </w:tcPr>
          <w:p w14:paraId="61069447"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2,966,907</w:t>
            </w:r>
          </w:p>
        </w:tc>
        <w:tc>
          <w:tcPr>
            <w:tcW w:w="1738" w:type="dxa"/>
            <w:gridSpan w:val="2"/>
            <w:tcBorders>
              <w:top w:val="single" w:sz="8" w:space="0" w:color="BFBFBF"/>
              <w:left w:val="nil"/>
              <w:bottom w:val="single" w:sz="8" w:space="0" w:color="BFBFBF"/>
              <w:right w:val="single" w:sz="8" w:space="0" w:color="B8CCE4"/>
            </w:tcBorders>
            <w:shd w:val="clear" w:color="000000" w:fill="365F91"/>
            <w:vAlign w:val="center"/>
            <w:hideMark/>
          </w:tcPr>
          <w:p w14:paraId="54735051"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2,308,570</w:t>
            </w:r>
          </w:p>
        </w:tc>
        <w:tc>
          <w:tcPr>
            <w:tcW w:w="1738" w:type="dxa"/>
            <w:gridSpan w:val="2"/>
            <w:tcBorders>
              <w:top w:val="single" w:sz="8" w:space="0" w:color="BFBFBF"/>
              <w:left w:val="nil"/>
              <w:bottom w:val="single" w:sz="8" w:space="0" w:color="BFBFBF"/>
              <w:right w:val="single" w:sz="8" w:space="0" w:color="B8CCE4"/>
            </w:tcBorders>
            <w:shd w:val="clear" w:color="000000" w:fill="365F91"/>
            <w:vAlign w:val="center"/>
            <w:hideMark/>
          </w:tcPr>
          <w:p w14:paraId="66DD1C2C"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2,141,027</w:t>
            </w:r>
          </w:p>
        </w:tc>
        <w:tc>
          <w:tcPr>
            <w:tcW w:w="1667" w:type="dxa"/>
            <w:gridSpan w:val="2"/>
            <w:tcBorders>
              <w:top w:val="single" w:sz="8" w:space="0" w:color="B8CCE4"/>
              <w:left w:val="single" w:sz="8" w:space="0" w:color="B8CCE4"/>
              <w:bottom w:val="single" w:sz="8" w:space="0" w:color="B8CCE4"/>
              <w:right w:val="single" w:sz="8" w:space="0" w:color="B8CCE4"/>
            </w:tcBorders>
            <w:shd w:val="clear" w:color="000000" w:fill="365F91"/>
            <w:vAlign w:val="center"/>
            <w:hideMark/>
          </w:tcPr>
          <w:p w14:paraId="4B8EC1A4"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72%</w:t>
            </w:r>
          </w:p>
        </w:tc>
        <w:tc>
          <w:tcPr>
            <w:tcW w:w="1667" w:type="dxa"/>
            <w:gridSpan w:val="2"/>
            <w:tcBorders>
              <w:top w:val="single" w:sz="8" w:space="0" w:color="B8CCE4"/>
              <w:left w:val="single" w:sz="8" w:space="0" w:color="B8CCE4"/>
              <w:bottom w:val="single" w:sz="8" w:space="0" w:color="B8CCE4"/>
              <w:right w:val="single" w:sz="8" w:space="0" w:color="B8CCE4"/>
            </w:tcBorders>
            <w:shd w:val="clear" w:color="000000" w:fill="365F91"/>
            <w:vAlign w:val="center"/>
            <w:hideMark/>
          </w:tcPr>
          <w:p w14:paraId="3EA77B82" w14:textId="77777777" w:rsidR="00C156A0" w:rsidRPr="00C156A0" w:rsidRDefault="00C156A0" w:rsidP="00D0642E">
            <w:pPr>
              <w:spacing w:before="0" w:line="240" w:lineRule="auto"/>
              <w:jc w:val="center"/>
              <w:rPr>
                <w:rFonts w:cs="Calibri"/>
                <w:b/>
                <w:bCs/>
                <w:color w:val="FFFFFF"/>
                <w:sz w:val="16"/>
                <w:szCs w:val="16"/>
                <w:lang w:val="sq-AL"/>
              </w:rPr>
            </w:pPr>
            <w:r w:rsidRPr="00C156A0">
              <w:rPr>
                <w:rFonts w:cs="Calibri"/>
                <w:b/>
                <w:bCs/>
                <w:color w:val="FFFFFF"/>
                <w:sz w:val="16"/>
                <w:szCs w:val="16"/>
                <w:lang w:val="sq-AL"/>
              </w:rPr>
              <w:t>93%</w:t>
            </w:r>
          </w:p>
        </w:tc>
      </w:tr>
    </w:tbl>
    <w:p w14:paraId="4BE9DF66" w14:textId="77777777" w:rsidR="00B36A44" w:rsidRPr="00B36A44" w:rsidRDefault="00B36A44" w:rsidP="00B36A44">
      <w:pPr>
        <w:shd w:val="clear" w:color="auto" w:fill="FFFFFF"/>
        <w:spacing w:before="0" w:line="240" w:lineRule="auto"/>
        <w:rPr>
          <w:rFonts w:cs="Calibri"/>
          <w:bCs/>
          <w:sz w:val="8"/>
          <w:szCs w:val="8"/>
          <w:lang w:val="sq-AL" w:eastAsia="en-GB"/>
        </w:rPr>
      </w:pPr>
    </w:p>
    <w:p w14:paraId="5CA9E9A4" w14:textId="17F52EF1" w:rsidR="00C156A0" w:rsidRPr="00C156A0" w:rsidRDefault="00C156A0" w:rsidP="00B36A44">
      <w:pPr>
        <w:shd w:val="clear" w:color="auto" w:fill="FFFFFF"/>
        <w:spacing w:before="0" w:line="240" w:lineRule="auto"/>
        <w:rPr>
          <w:rFonts w:cs="Calibri"/>
          <w:bCs/>
          <w:szCs w:val="22"/>
          <w:lang w:val="sq-AL" w:eastAsia="en-GB"/>
        </w:rPr>
      </w:pPr>
      <w:r w:rsidRPr="00C156A0">
        <w:rPr>
          <w:rFonts w:cs="Calibri"/>
          <w:bCs/>
          <w:szCs w:val="22"/>
          <w:lang w:val="sq-AL" w:eastAsia="en-GB"/>
        </w:rPr>
        <w:t xml:space="preserve">Buxheti vjetor fillestar i Ministrisë së Mjedisit u rishikua në ulje 22%, ose 658.3 </w:t>
      </w:r>
      <w:r w:rsidR="0056260B">
        <w:rPr>
          <w:rFonts w:cs="Calibri"/>
          <w:bCs/>
          <w:szCs w:val="22"/>
          <w:lang w:val="sq-AL" w:eastAsia="en-GB"/>
        </w:rPr>
        <w:t>milionë</w:t>
      </w:r>
      <w:r w:rsidRPr="00C156A0">
        <w:rPr>
          <w:rFonts w:cs="Calibri"/>
          <w:bCs/>
          <w:szCs w:val="22"/>
          <w:lang w:val="sq-AL" w:eastAsia="en-GB"/>
        </w:rPr>
        <w:t xml:space="preserve"> LEK më pak. Realizimi faktik ishte rreth 2.14 </w:t>
      </w:r>
      <w:r w:rsidR="0056260B">
        <w:rPr>
          <w:rFonts w:cs="Calibri"/>
          <w:bCs/>
          <w:szCs w:val="22"/>
          <w:lang w:val="sq-AL" w:eastAsia="en-GB"/>
        </w:rPr>
        <w:t>miliardë</w:t>
      </w:r>
      <w:r w:rsidRPr="00C156A0">
        <w:rPr>
          <w:rFonts w:cs="Calibri"/>
          <w:bCs/>
          <w:szCs w:val="22"/>
          <w:lang w:val="sq-AL" w:eastAsia="en-GB"/>
        </w:rPr>
        <w:t xml:space="preserve"> LEK ose 72% e buxhetit fillestar apo 93% e buxhetit të rishikuar. Realizimi i shpenzimeve korente ishte 1.27 </w:t>
      </w:r>
      <w:r w:rsidR="0056260B">
        <w:rPr>
          <w:rFonts w:cs="Calibri"/>
          <w:bCs/>
          <w:szCs w:val="22"/>
          <w:lang w:val="sq-AL" w:eastAsia="en-GB"/>
        </w:rPr>
        <w:t>miliardë</w:t>
      </w:r>
      <w:r w:rsidRPr="00C156A0">
        <w:rPr>
          <w:rFonts w:cs="Calibri"/>
          <w:bCs/>
          <w:szCs w:val="22"/>
          <w:lang w:val="sq-AL" w:eastAsia="en-GB"/>
        </w:rPr>
        <w:t xml:space="preserve"> LEK, 90% e planit fillestar apo 96% e planit të rishikuar.</w:t>
      </w:r>
    </w:p>
    <w:p w14:paraId="13A5F2A0" w14:textId="237DEAA5" w:rsidR="00C156A0" w:rsidRPr="00C156A0" w:rsidRDefault="00C156A0" w:rsidP="00981D9B">
      <w:pPr>
        <w:spacing w:line="240" w:lineRule="auto"/>
        <w:rPr>
          <w:lang w:val="sq-AL" w:eastAsia="en-GB"/>
        </w:rPr>
      </w:pPr>
      <w:r w:rsidRPr="00C156A0">
        <w:rPr>
          <w:lang w:val="sq-AL" w:eastAsia="en-GB"/>
        </w:rPr>
        <w:lastRenderedPageBreak/>
        <w:t>Në programin “</w:t>
      </w:r>
      <w:r w:rsidRPr="00C156A0">
        <w:rPr>
          <w:b/>
          <w:lang w:val="sq-AL" w:eastAsia="en-GB"/>
        </w:rPr>
        <w:t>Mbrojtja e Mjedisit</w:t>
      </w:r>
      <w:r w:rsidRPr="00C156A0">
        <w:rPr>
          <w:lang w:val="sq-AL" w:eastAsia="en-GB"/>
        </w:rPr>
        <w:t xml:space="preserve">” për vitin 2025, fondet e akorduara nga buxheti i shtetit për shpenzimet korente janë realizuar në masën 413.7 </w:t>
      </w:r>
      <w:r w:rsidR="0056260B">
        <w:rPr>
          <w:lang w:val="sq-AL" w:eastAsia="en-GB"/>
        </w:rPr>
        <w:t>milionë</w:t>
      </w:r>
      <w:r w:rsidRPr="00C156A0">
        <w:rPr>
          <w:lang w:val="sq-AL" w:eastAsia="en-GB"/>
        </w:rPr>
        <w:t xml:space="preserve"> LEK, ose 94% kundrejt fondeve vjetore te rishikuara, ose 87% e planit fillestar.</w:t>
      </w:r>
      <w:r w:rsidR="00D0642E">
        <w:rPr>
          <w:lang w:val="sq-AL" w:eastAsia="en-GB"/>
        </w:rPr>
        <w:t xml:space="preserve"> </w:t>
      </w:r>
      <w:r w:rsidRPr="00C156A0">
        <w:rPr>
          <w:lang w:val="sq-AL" w:eastAsia="en-GB"/>
        </w:rPr>
        <w:t>Në realizimin e qëllimit të programit, i cili lidhet me “Përmirësimin e cilësisë së ajrit, mbrojtjen e natyrës dhe biodiversitetit”, kanë kontribuar produktet si më poshtë:</w:t>
      </w:r>
    </w:p>
    <w:p w14:paraId="6059ABAE" w14:textId="75058E0B" w:rsidR="00C156A0" w:rsidRPr="008A6B67" w:rsidRDefault="00C156A0"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644 inspektime për parandalimin e përkeqësimit të shfrytëzimit pa kriter të burimeve ujore, të ndotjes se ujit, ajrit dhe tokës me ndikim në përmirësimin e  cilësisë së mjedisit, ajrit, mbrojtja e natyrës dhe biodiversitetit me kosto faktike 260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r w:rsidR="00272B0C" w:rsidRPr="008A6B67">
        <w:rPr>
          <w:rFonts w:cs="Calibri Light"/>
          <w:bCs/>
          <w:i/>
          <w:noProof/>
          <w:szCs w:val="22"/>
          <w:lang w:val="sq-AL" w:eastAsia="en-GB"/>
        </w:rPr>
        <w:t>;</w:t>
      </w:r>
    </w:p>
    <w:p w14:paraId="7D73FEF8" w14:textId="04E4D441" w:rsidR="00272B0C" w:rsidRPr="008A6B67" w:rsidRDefault="00272B0C"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3 840 raporte monitorimi për mjedisin, ose 91% e sasisë plan, me një kosto faktike prej 83.8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p>
    <w:p w14:paraId="6B1C1DF5" w14:textId="38A7E1FF" w:rsidR="00C156A0" w:rsidRPr="008A6B67" w:rsidRDefault="00C156A0"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794 dosje të shqyrtuara për leje Mjedisi të tipit A, B dhe III.2.B, me kosto faktike 26.7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r w:rsidR="00272B0C" w:rsidRPr="008A6B67">
        <w:rPr>
          <w:rFonts w:cs="Calibri Light"/>
          <w:bCs/>
          <w:i/>
          <w:noProof/>
          <w:szCs w:val="22"/>
          <w:lang w:val="sq-AL" w:eastAsia="en-GB"/>
        </w:rPr>
        <w:t>;</w:t>
      </w:r>
    </w:p>
    <w:p w14:paraId="4DA29D6A" w14:textId="5D434FA1" w:rsidR="00320D28" w:rsidRPr="008A6B67" w:rsidRDefault="00C156A0" w:rsidP="00981D9B">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w:bCs/>
          <w:i/>
          <w:noProof/>
          <w:szCs w:val="22"/>
          <w:lang w:val="sq-AL" w:eastAsia="en-GB"/>
        </w:rPr>
        <w:t xml:space="preserve">28 akte ligjore/nënligjore të miratuara, me kosto faktike 25.4 </w:t>
      </w:r>
      <w:r w:rsidR="0056260B" w:rsidRPr="008A6B67">
        <w:rPr>
          <w:rFonts w:cs="Calibri"/>
          <w:bCs/>
          <w:i/>
          <w:noProof/>
          <w:szCs w:val="22"/>
          <w:lang w:val="sq-AL" w:eastAsia="en-GB"/>
        </w:rPr>
        <w:t>milionë</w:t>
      </w:r>
      <w:r w:rsidRPr="008A6B67">
        <w:rPr>
          <w:rFonts w:cs="Calibri"/>
          <w:bCs/>
          <w:i/>
          <w:noProof/>
          <w:szCs w:val="22"/>
          <w:lang w:val="sq-AL" w:eastAsia="en-GB"/>
        </w:rPr>
        <w:t xml:space="preserve"> LEK.</w:t>
      </w:r>
    </w:p>
    <w:p w14:paraId="79351861" w14:textId="77777777" w:rsidR="00634371" w:rsidRDefault="00634371" w:rsidP="00981D9B">
      <w:pPr>
        <w:spacing w:line="240" w:lineRule="auto"/>
        <w:rPr>
          <w:lang w:val="sq-AL" w:eastAsia="en-GB"/>
        </w:rPr>
      </w:pPr>
    </w:p>
    <w:p w14:paraId="39A2DB64" w14:textId="1A458CBE" w:rsidR="00C156A0" w:rsidRPr="00C156A0" w:rsidRDefault="00C156A0" w:rsidP="00981D9B">
      <w:pPr>
        <w:spacing w:line="240" w:lineRule="auto"/>
        <w:rPr>
          <w:lang w:val="sq-AL" w:eastAsia="en-GB"/>
        </w:rPr>
      </w:pPr>
      <w:r w:rsidRPr="00981D9B">
        <w:rPr>
          <w:lang w:val="sq-AL" w:eastAsia="en-GB"/>
        </w:rPr>
        <w:t>N</w:t>
      </w:r>
      <w:r w:rsidRPr="00C156A0">
        <w:rPr>
          <w:noProof/>
          <w:lang w:val="sq-AL"/>
        </w:rPr>
        <w:t>ë programin</w:t>
      </w:r>
      <w:r w:rsidRPr="00C156A0">
        <w:rPr>
          <w:b/>
          <w:noProof/>
          <w:lang w:val="sq-AL"/>
        </w:rPr>
        <w:t xml:space="preserve"> “Administrimi i Pyjeve”</w:t>
      </w:r>
      <w:r w:rsidRPr="00C156A0">
        <w:rPr>
          <w:noProof/>
          <w:lang w:val="sq-AL"/>
        </w:rPr>
        <w:t xml:space="preserve">, për 12M 2025 </w:t>
      </w:r>
      <w:r w:rsidRPr="00C156A0">
        <w:rPr>
          <w:noProof/>
          <w:lang w:val="sq-AL" w:eastAsia="en-GB"/>
        </w:rPr>
        <w:t xml:space="preserve">fondet në shpenzimet korente janë realizuar në masën 492.8 </w:t>
      </w:r>
      <w:r w:rsidR="0056260B">
        <w:rPr>
          <w:noProof/>
          <w:lang w:val="sq-AL" w:eastAsia="en-GB"/>
        </w:rPr>
        <w:t>milionë</w:t>
      </w:r>
      <w:r w:rsidRPr="00C156A0">
        <w:rPr>
          <w:noProof/>
          <w:lang w:val="sq-AL" w:eastAsia="en-GB"/>
        </w:rPr>
        <w:t xml:space="preserve"> </w:t>
      </w:r>
      <w:r w:rsidRPr="00C156A0">
        <w:rPr>
          <w:lang w:val="sq-AL" w:eastAsia="en-GB"/>
        </w:rPr>
        <w:t xml:space="preserve">LEK, ose në nivelin 96% kundrejt fondeve vjetore të ndryshuara dhe 92% përkundrejt planit fillestar. Produktet, të cilët kanë kontribuar në realizimin e qëllimit të programit, i cili lidhet me “Zhvilllimin e qëndrueshëm të zonave pyjore të mbrojtura nëpërmjet bashkëpunimit me institucionet dhe komunitetin”, paraqiten si vijon: </w:t>
      </w:r>
    </w:p>
    <w:p w14:paraId="37C76FF5" w14:textId="67455242" w:rsidR="00C156A0" w:rsidRPr="008A6B67" w:rsidRDefault="00C156A0"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4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turistë kanë hyrë në zonat e mbrojtura në Parkun Kombëtar Dajt, Parkun Natyror Syri i Kaltër, Kune-Vain-Patok-Fushekuqe-Ishem;Parkun Kombetar Divjakë-Karavasta</w:t>
      </w:r>
      <w:r w:rsidR="000B4BAA" w:rsidRPr="008A6B67">
        <w:rPr>
          <w:rFonts w:cs="Calibri Light"/>
          <w:bCs/>
          <w:i/>
          <w:noProof/>
          <w:szCs w:val="22"/>
          <w:lang w:val="sq-AL" w:eastAsia="en-GB"/>
        </w:rPr>
        <w:t>;</w:t>
      </w:r>
    </w:p>
    <w:p w14:paraId="791EE1AB" w14:textId="44D89E90" w:rsidR="00C156A0" w:rsidRPr="008A6B67" w:rsidRDefault="00C156A0"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26 333 monitorime për vlerësimin e biodiversitetit dhe vlerave natyrore në zonat e mbrojtura, me kosto faktike 339.2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r w:rsidR="000B4BAA" w:rsidRPr="008A6B67">
        <w:rPr>
          <w:rFonts w:cs="Calibri Light"/>
          <w:bCs/>
          <w:i/>
          <w:noProof/>
          <w:szCs w:val="22"/>
          <w:lang w:val="sq-AL" w:eastAsia="en-GB"/>
        </w:rPr>
        <w:t>;</w:t>
      </w:r>
    </w:p>
    <w:p w14:paraId="3C41862C" w14:textId="6DBA03D3" w:rsidR="000B4BAA" w:rsidRPr="008A6B67" w:rsidRDefault="000B4BAA"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80 Objekte të administruara nga AKZM përgjatë 12M , ose 93% e sasisë së planifikuar, me kosto faktike prej 82.5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p>
    <w:p w14:paraId="7579EAB6" w14:textId="052200C3" w:rsidR="00C156A0" w:rsidRPr="008A6B67" w:rsidRDefault="00C156A0" w:rsidP="000B4BAA">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Hartuar 12 plane menaxhimi për pyjet</w:t>
      </w:r>
      <w:r w:rsidR="008A6B67" w:rsidRPr="008A6B67">
        <w:rPr>
          <w:rFonts w:cs="Calibri Light"/>
          <w:bCs/>
          <w:i/>
          <w:noProof/>
          <w:szCs w:val="22"/>
          <w:lang w:val="sq-AL" w:eastAsia="en-GB"/>
        </w:rPr>
        <w:t xml:space="preserve"> (</w:t>
      </w:r>
      <w:r w:rsidRPr="008A6B67">
        <w:rPr>
          <w:rFonts w:cs="Calibri Light"/>
          <w:bCs/>
          <w:i/>
          <w:noProof/>
          <w:szCs w:val="22"/>
          <w:lang w:val="sq-AL" w:eastAsia="en-GB"/>
        </w:rPr>
        <w:t>100% e sasisë së planifkuar</w:t>
      </w:r>
      <w:r w:rsidR="008A6B67" w:rsidRPr="008A6B67">
        <w:rPr>
          <w:rFonts w:cs="Calibri Light"/>
          <w:bCs/>
          <w:i/>
          <w:noProof/>
          <w:szCs w:val="22"/>
          <w:lang w:val="sq-AL" w:eastAsia="en-GB"/>
        </w:rPr>
        <w:t>)</w:t>
      </w:r>
      <w:r w:rsidRPr="008A6B67">
        <w:rPr>
          <w:rFonts w:cs="Calibri Light"/>
          <w:bCs/>
          <w:i/>
          <w:noProof/>
          <w:szCs w:val="22"/>
          <w:lang w:val="sq-AL" w:eastAsia="en-GB"/>
        </w:rPr>
        <w:t xml:space="preserve">, </w:t>
      </w:r>
      <w:r w:rsidR="008A6B67">
        <w:rPr>
          <w:rFonts w:cs="Calibri Light"/>
          <w:bCs/>
          <w:i/>
          <w:noProof/>
          <w:szCs w:val="22"/>
          <w:lang w:val="sq-AL" w:eastAsia="en-GB"/>
        </w:rPr>
        <w:t xml:space="preserve">me </w:t>
      </w:r>
      <w:r w:rsidRPr="008A6B67">
        <w:rPr>
          <w:rFonts w:cs="Calibri Light"/>
          <w:bCs/>
          <w:i/>
          <w:noProof/>
          <w:szCs w:val="22"/>
          <w:lang w:val="sq-AL" w:eastAsia="en-GB"/>
        </w:rPr>
        <w:t>kosto faktike 23.3</w:t>
      </w:r>
      <w:r w:rsidR="008A6B67" w:rsidRPr="008A6B67">
        <w:rPr>
          <w:rFonts w:cs="Calibri Light"/>
          <w:bCs/>
          <w:i/>
          <w:noProof/>
          <w:szCs w:val="22"/>
          <w:lang w:val="sq-AL" w:eastAsia="en-GB"/>
        </w:rPr>
        <w:t>mln</w:t>
      </w:r>
      <w:r w:rsidRPr="008A6B67">
        <w:rPr>
          <w:rFonts w:cs="Calibri Light"/>
          <w:bCs/>
          <w:i/>
          <w:noProof/>
          <w:szCs w:val="22"/>
          <w:lang w:val="sq-AL" w:eastAsia="en-GB"/>
        </w:rPr>
        <w:t xml:space="preserve"> LEK</w:t>
      </w:r>
      <w:r w:rsidR="000B4BAA" w:rsidRPr="008A6B67">
        <w:rPr>
          <w:rFonts w:cs="Calibri Light"/>
          <w:bCs/>
          <w:i/>
          <w:noProof/>
          <w:szCs w:val="22"/>
          <w:lang w:val="sq-AL" w:eastAsia="en-GB"/>
        </w:rPr>
        <w:t>;</w:t>
      </w:r>
    </w:p>
    <w:p w14:paraId="5478B15F" w14:textId="51857F4C" w:rsidR="00320D28" w:rsidRPr="008A6B67" w:rsidRDefault="000B4BAA" w:rsidP="00981D9B">
      <w:pPr>
        <w:numPr>
          <w:ilvl w:val="0"/>
          <w:numId w:val="10"/>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381 orë mësimore të zhvilluara  për ndërgjegjësimin dhe informimin e nxënësve mbi zonat e mbrojtura.</w:t>
      </w:r>
    </w:p>
    <w:p w14:paraId="39E92E83" w14:textId="77777777" w:rsidR="008A6B67" w:rsidRPr="008A6B67" w:rsidRDefault="008A6B67" w:rsidP="00981D9B">
      <w:pPr>
        <w:spacing w:line="240" w:lineRule="auto"/>
        <w:rPr>
          <w:noProof/>
          <w:sz w:val="4"/>
          <w:szCs w:val="6"/>
          <w:lang w:val="sq-AL"/>
        </w:rPr>
      </w:pPr>
    </w:p>
    <w:p w14:paraId="518E6A58" w14:textId="77777777" w:rsidR="00634371" w:rsidRDefault="00634371" w:rsidP="00981D9B">
      <w:pPr>
        <w:spacing w:line="240" w:lineRule="auto"/>
        <w:rPr>
          <w:noProof/>
          <w:lang w:val="sq-AL"/>
        </w:rPr>
      </w:pPr>
    </w:p>
    <w:p w14:paraId="32CE3FE4" w14:textId="06BD25D3" w:rsidR="00C156A0" w:rsidRPr="00C156A0" w:rsidRDefault="00C156A0" w:rsidP="00981D9B">
      <w:pPr>
        <w:spacing w:line="240" w:lineRule="auto"/>
        <w:rPr>
          <w:noProof/>
          <w:lang w:val="sq-AL"/>
        </w:rPr>
      </w:pPr>
      <w:r w:rsidRPr="00C156A0">
        <w:rPr>
          <w:noProof/>
          <w:lang w:val="sq-AL"/>
        </w:rPr>
        <w:t>Në programin “</w:t>
      </w:r>
      <w:r w:rsidRPr="00C156A0">
        <w:rPr>
          <w:b/>
          <w:bCs/>
          <w:noProof/>
          <w:lang w:val="sq-AL"/>
        </w:rPr>
        <w:t>Menaxhimi i Mbetjeve Urbane</w:t>
      </w:r>
      <w:r w:rsidRPr="00C156A0">
        <w:rPr>
          <w:noProof/>
          <w:lang w:val="sq-AL"/>
        </w:rPr>
        <w:t>” , Misioni i Agjencisë Kombëtare të Mbetjeve është të sigurojë koordinimin, monitorimin dhe bashkëpunimin me NJQV, institucionet e administratës publike dhe partnerët ndërkombëtarë në men</w:t>
      </w:r>
      <w:r w:rsidR="00CB4DE6">
        <w:rPr>
          <w:noProof/>
          <w:lang w:val="sq-AL"/>
        </w:rPr>
        <w:t>a</w:t>
      </w:r>
      <w:r w:rsidRPr="00C156A0">
        <w:rPr>
          <w:noProof/>
          <w:lang w:val="sq-AL"/>
        </w:rPr>
        <w:t xml:space="preserve">xhimin e integruar të mbetjeve, me qëllin kalimin e këtij sektori në ekonomi qarkullese. Për 12M 2025, realizimi shpenzimeve </w:t>
      </w:r>
      <w:r w:rsidR="0056260B">
        <w:rPr>
          <w:noProof/>
          <w:lang w:val="sq-AL"/>
        </w:rPr>
        <w:t>korente</w:t>
      </w:r>
      <w:r w:rsidRPr="00C156A0">
        <w:rPr>
          <w:noProof/>
          <w:lang w:val="sq-AL"/>
        </w:rPr>
        <w:t xml:space="preserve"> është në vlerën 50.9 </w:t>
      </w:r>
      <w:r w:rsidR="0056260B">
        <w:rPr>
          <w:noProof/>
          <w:lang w:val="sq-AL"/>
        </w:rPr>
        <w:t>milionë</w:t>
      </w:r>
      <w:r w:rsidRPr="00C156A0">
        <w:rPr>
          <w:noProof/>
          <w:lang w:val="sq-AL"/>
        </w:rPr>
        <w:t xml:space="preserve"> LEK, 96% të planit të rishikuar ose 91% të planit fillestar. </w:t>
      </w:r>
    </w:p>
    <w:p w14:paraId="5F347A70" w14:textId="6CB8C07B" w:rsidR="00320D28" w:rsidRPr="008A6B67" w:rsidRDefault="00C156A0">
      <w:pPr>
        <w:numPr>
          <w:ilvl w:val="0"/>
          <w:numId w:val="41"/>
        </w:numPr>
        <w:spacing w:before="0" w:after="120" w:line="256" w:lineRule="auto"/>
        <w:contextualSpacing/>
        <w:rPr>
          <w:rFonts w:cs="Calibri"/>
          <w:i/>
          <w:szCs w:val="22"/>
          <w:lang w:val="sq-AL"/>
        </w:rPr>
      </w:pPr>
      <w:r w:rsidRPr="008A6B67">
        <w:rPr>
          <w:rFonts w:cs="Calibri"/>
          <w:i/>
          <w:szCs w:val="22"/>
          <w:lang w:val="sq-AL"/>
        </w:rPr>
        <w:t>Janë kryer 29 raporte monitorimi të menaxhimit të mbetjeve, ose 100% e sasisë së plan</w:t>
      </w:r>
      <w:r w:rsidR="00CB4DE6">
        <w:rPr>
          <w:rFonts w:cs="Calibri"/>
          <w:i/>
          <w:szCs w:val="22"/>
          <w:lang w:val="sq-AL"/>
        </w:rPr>
        <w:t>i</w:t>
      </w:r>
      <w:r w:rsidRPr="008A6B67">
        <w:rPr>
          <w:rFonts w:cs="Calibri"/>
          <w:i/>
          <w:szCs w:val="22"/>
          <w:lang w:val="sq-AL"/>
        </w:rPr>
        <w:t>fikuar, me kosto faktike</w:t>
      </w:r>
      <w:r w:rsidR="000B4BAA" w:rsidRPr="008A6B67">
        <w:rPr>
          <w:rFonts w:cs="Calibri"/>
          <w:i/>
          <w:szCs w:val="22"/>
          <w:lang w:val="sq-AL"/>
        </w:rPr>
        <w:t xml:space="preserve"> 50.9</w:t>
      </w:r>
      <w:r w:rsidRPr="008A6B67">
        <w:rPr>
          <w:rFonts w:cs="Calibri"/>
          <w:i/>
          <w:szCs w:val="22"/>
          <w:lang w:val="sq-AL"/>
        </w:rPr>
        <w:t xml:space="preserve"> </w:t>
      </w:r>
      <w:r w:rsidR="0056260B" w:rsidRPr="008A6B67">
        <w:rPr>
          <w:rFonts w:cs="Calibri"/>
          <w:i/>
          <w:szCs w:val="22"/>
          <w:lang w:val="sq-AL"/>
        </w:rPr>
        <w:t>milionë</w:t>
      </w:r>
      <w:r w:rsidRPr="008A6B67">
        <w:rPr>
          <w:rFonts w:cs="Calibri"/>
          <w:i/>
          <w:szCs w:val="22"/>
          <w:lang w:val="sq-AL"/>
        </w:rPr>
        <w:t xml:space="preserve"> LEK.</w:t>
      </w:r>
    </w:p>
    <w:p w14:paraId="3562E6BC" w14:textId="77777777" w:rsidR="008A6B67" w:rsidRPr="008A6B67" w:rsidRDefault="008A6B67" w:rsidP="00981D9B">
      <w:pPr>
        <w:spacing w:line="240" w:lineRule="auto"/>
        <w:rPr>
          <w:noProof/>
          <w:sz w:val="8"/>
          <w:szCs w:val="10"/>
          <w:lang w:val="sq-AL"/>
        </w:rPr>
      </w:pPr>
    </w:p>
    <w:p w14:paraId="14CAED36" w14:textId="77777777" w:rsidR="00634371" w:rsidRDefault="00634371" w:rsidP="00981D9B">
      <w:pPr>
        <w:spacing w:line="240" w:lineRule="auto"/>
        <w:rPr>
          <w:noProof/>
          <w:lang w:val="sq-AL"/>
        </w:rPr>
      </w:pPr>
    </w:p>
    <w:p w14:paraId="5143156F" w14:textId="652F805A" w:rsidR="00724A4F" w:rsidRPr="00724A4F" w:rsidRDefault="00634371" w:rsidP="00981D9B">
      <w:pPr>
        <w:spacing w:line="240" w:lineRule="auto"/>
        <w:rPr>
          <w:noProof/>
          <w:lang w:val="sq-AL"/>
        </w:rPr>
      </w:pPr>
      <w:r>
        <w:rPr>
          <w:noProof/>
          <w:lang w:val="sq-AL"/>
        </w:rPr>
        <w:t>S</w:t>
      </w:r>
      <w:r w:rsidR="00C156A0" w:rsidRPr="00724A4F">
        <w:rPr>
          <w:noProof/>
          <w:lang w:val="sq-AL"/>
        </w:rPr>
        <w:t xml:space="preserve">a u përket </w:t>
      </w:r>
      <w:r w:rsidR="00C156A0" w:rsidRPr="00724A4F">
        <w:rPr>
          <w:b/>
          <w:noProof/>
          <w:lang w:val="sq-AL"/>
        </w:rPr>
        <w:t>investimeve publike</w:t>
      </w:r>
      <w:r w:rsidR="00724A4F" w:rsidRPr="00724A4F">
        <w:rPr>
          <w:noProof/>
          <w:lang w:val="sq-AL"/>
        </w:rPr>
        <w:t xml:space="preserve"> realizimi në vitin 2025 ishte 67.8% e buxhetit fillestar për projektet me financim të brendshëm (0.71 </w:t>
      </w:r>
      <w:r w:rsidR="0056260B">
        <w:rPr>
          <w:noProof/>
          <w:lang w:val="sq-AL"/>
        </w:rPr>
        <w:t>miliardë</w:t>
      </w:r>
      <w:r w:rsidR="00724A4F" w:rsidRPr="00724A4F">
        <w:rPr>
          <w:noProof/>
          <w:lang w:val="sq-AL"/>
        </w:rPr>
        <w:t xml:space="preserve"> LEK)</w:t>
      </w:r>
      <w:r w:rsidR="00724A4F" w:rsidRPr="00724A4F">
        <w:rPr>
          <w:bCs/>
          <w:iCs/>
          <w:noProof/>
          <w:lang w:val="sq-AL"/>
        </w:rPr>
        <w:t xml:space="preserve"> (94.2% të planit vjetor të ndryshuar me AN nr.11/2025)</w:t>
      </w:r>
      <w:r w:rsidR="00724A4F" w:rsidRPr="00724A4F">
        <w:rPr>
          <w:noProof/>
          <w:lang w:val="sq-AL"/>
        </w:rPr>
        <w:t xml:space="preserve"> dhe 25.6% e buxhetit fillestar për projektet me financim të huaj (0.15 </w:t>
      </w:r>
      <w:r w:rsidR="0056260B">
        <w:rPr>
          <w:noProof/>
          <w:lang w:val="sq-AL"/>
        </w:rPr>
        <w:t>miliardë</w:t>
      </w:r>
      <w:r w:rsidR="00724A4F" w:rsidRPr="00724A4F">
        <w:rPr>
          <w:noProof/>
          <w:lang w:val="sq-AL"/>
        </w:rPr>
        <w:t xml:space="preserve"> LEK) </w:t>
      </w:r>
      <w:r w:rsidR="00724A4F" w:rsidRPr="00724A4F">
        <w:rPr>
          <w:bCs/>
          <w:iCs/>
          <w:noProof/>
          <w:lang w:val="sq-AL"/>
        </w:rPr>
        <w:t>(69.6% të planit vjetor të ndryshuar me AN nr.11/2025).</w:t>
      </w:r>
      <w:r w:rsidR="00724A4F" w:rsidRPr="00724A4F">
        <w:rPr>
          <w:noProof/>
          <w:lang w:val="sq-AL"/>
        </w:rPr>
        <w:t xml:space="preserve"> Buxheti i shpenzimeve kapitale pësoi disa ndryshime gjatë vitit, duke rritur shpenzimet me financim të brendshëm. Në fushën e mjedisit janë financuar projektet si më poshtë:  </w:t>
      </w:r>
    </w:p>
    <w:p w14:paraId="159A20EA" w14:textId="40805B42" w:rsidR="00724A4F" w:rsidRPr="008A6B67" w:rsidRDefault="00724A4F">
      <w:pPr>
        <w:pStyle w:val="ListParagraph"/>
        <w:numPr>
          <w:ilvl w:val="0"/>
          <w:numId w:val="57"/>
        </w:numPr>
        <w:shd w:val="clear" w:color="auto" w:fill="FFFFFF" w:themeFill="background1"/>
        <w:spacing w:before="0" w:line="240" w:lineRule="auto"/>
        <w:rPr>
          <w:rFonts w:asciiTheme="majorHAnsi" w:hAnsiTheme="majorHAnsi" w:cs="Calibri"/>
          <w:i/>
          <w:iCs/>
          <w:noProof/>
          <w:szCs w:val="22"/>
          <w:lang w:val="sq-AL"/>
        </w:rPr>
      </w:pPr>
      <w:r w:rsidRPr="008A6B67">
        <w:rPr>
          <w:rFonts w:asciiTheme="majorHAnsi" w:hAnsiTheme="majorHAnsi" w:cs="Calibri"/>
          <w:i/>
          <w:iCs/>
          <w:noProof/>
          <w:szCs w:val="22"/>
          <w:lang w:val="sq-AL"/>
        </w:rPr>
        <w:t xml:space="preserve">Hartim Projekti "Qendra Multifunksionale në Luginën e Vjosës" me vlere 791.7 </w:t>
      </w:r>
      <w:r w:rsidR="0056260B" w:rsidRPr="008A6B67">
        <w:rPr>
          <w:rFonts w:asciiTheme="majorHAnsi" w:hAnsiTheme="majorHAnsi" w:cs="Calibri"/>
          <w:i/>
          <w:iCs/>
          <w:noProof/>
          <w:szCs w:val="22"/>
          <w:lang w:val="sq-AL"/>
        </w:rPr>
        <w:t>milionë</w:t>
      </w:r>
      <w:r w:rsidRPr="008A6B67">
        <w:rPr>
          <w:rFonts w:asciiTheme="majorHAnsi" w:hAnsiTheme="majorHAnsi" w:cs="Calibri"/>
          <w:i/>
          <w:iCs/>
          <w:noProof/>
          <w:szCs w:val="22"/>
          <w:lang w:val="sq-AL"/>
        </w:rPr>
        <w:t xml:space="preserve"> </w:t>
      </w:r>
      <w:r w:rsidR="0056260B" w:rsidRPr="008A6B67">
        <w:rPr>
          <w:rFonts w:asciiTheme="majorHAnsi" w:hAnsiTheme="majorHAnsi" w:cs="Calibri"/>
          <w:i/>
          <w:iCs/>
          <w:noProof/>
          <w:szCs w:val="22"/>
          <w:lang w:val="sq-AL"/>
        </w:rPr>
        <w:t>LEK</w:t>
      </w:r>
      <w:r w:rsidRPr="008A6B67">
        <w:rPr>
          <w:rFonts w:asciiTheme="majorHAnsi" w:hAnsiTheme="majorHAnsi" w:cs="Calibri"/>
          <w:i/>
          <w:iCs/>
          <w:noProof/>
          <w:szCs w:val="22"/>
          <w:lang w:val="sq-AL"/>
        </w:rPr>
        <w:t>;</w:t>
      </w:r>
    </w:p>
    <w:p w14:paraId="54ED5F76" w14:textId="1D179AC2" w:rsidR="00724A4F" w:rsidRPr="008A6B67" w:rsidRDefault="00724A4F">
      <w:pPr>
        <w:pStyle w:val="ListParagraph"/>
        <w:numPr>
          <w:ilvl w:val="0"/>
          <w:numId w:val="57"/>
        </w:numPr>
        <w:shd w:val="clear" w:color="auto" w:fill="FFFFFF" w:themeFill="background1"/>
        <w:spacing w:before="0" w:line="240" w:lineRule="auto"/>
        <w:rPr>
          <w:rFonts w:asciiTheme="majorHAnsi" w:hAnsiTheme="majorHAnsi" w:cs="Calibri"/>
          <w:i/>
          <w:iCs/>
          <w:noProof/>
          <w:szCs w:val="22"/>
          <w:lang w:val="sq-AL"/>
        </w:rPr>
      </w:pPr>
      <w:r w:rsidRPr="008A6B67">
        <w:rPr>
          <w:rFonts w:asciiTheme="majorHAnsi" w:hAnsiTheme="majorHAnsi" w:cs="Calibri"/>
          <w:i/>
          <w:iCs/>
          <w:noProof/>
          <w:szCs w:val="22"/>
          <w:lang w:val="sq-AL"/>
        </w:rPr>
        <w:t xml:space="preserve">Ngritja e infrastrukturës turistike me theks tek ajo ujore-EKO-PARK ULZA me vlerë 462 </w:t>
      </w:r>
      <w:r w:rsidR="0056260B" w:rsidRPr="008A6B67">
        <w:rPr>
          <w:rFonts w:asciiTheme="majorHAnsi" w:hAnsiTheme="majorHAnsi" w:cs="Calibri"/>
          <w:i/>
          <w:iCs/>
          <w:noProof/>
          <w:szCs w:val="22"/>
          <w:lang w:val="sq-AL"/>
        </w:rPr>
        <w:t>milionë</w:t>
      </w:r>
      <w:r w:rsidRPr="008A6B67">
        <w:rPr>
          <w:rFonts w:asciiTheme="majorHAnsi" w:hAnsiTheme="majorHAnsi" w:cs="Calibri"/>
          <w:i/>
          <w:iCs/>
          <w:noProof/>
          <w:szCs w:val="22"/>
          <w:lang w:val="sq-AL"/>
        </w:rPr>
        <w:t xml:space="preserve"> </w:t>
      </w:r>
      <w:r w:rsidR="0056260B" w:rsidRPr="008A6B67">
        <w:rPr>
          <w:rFonts w:asciiTheme="majorHAnsi" w:hAnsiTheme="majorHAnsi" w:cs="Calibri"/>
          <w:i/>
          <w:iCs/>
          <w:noProof/>
          <w:szCs w:val="22"/>
          <w:lang w:val="sq-AL"/>
        </w:rPr>
        <w:t>LEK</w:t>
      </w:r>
      <w:r w:rsidRPr="008A6B67">
        <w:rPr>
          <w:rFonts w:asciiTheme="majorHAnsi" w:hAnsiTheme="majorHAnsi" w:cs="Calibri"/>
          <w:i/>
          <w:iCs/>
          <w:noProof/>
          <w:szCs w:val="22"/>
          <w:lang w:val="sq-AL"/>
        </w:rPr>
        <w:t>;</w:t>
      </w:r>
    </w:p>
    <w:p w14:paraId="31742362" w14:textId="59FAB91A" w:rsidR="00724A4F" w:rsidRPr="008A6B67" w:rsidRDefault="00724A4F">
      <w:pPr>
        <w:pStyle w:val="ListParagraph"/>
        <w:numPr>
          <w:ilvl w:val="0"/>
          <w:numId w:val="57"/>
        </w:numPr>
        <w:shd w:val="clear" w:color="auto" w:fill="FFFFFF" w:themeFill="background1"/>
        <w:spacing w:before="0" w:line="240" w:lineRule="auto"/>
        <w:rPr>
          <w:rFonts w:asciiTheme="majorHAnsi" w:hAnsiTheme="majorHAnsi" w:cs="Calibri"/>
          <w:i/>
          <w:iCs/>
          <w:noProof/>
          <w:szCs w:val="22"/>
          <w:lang w:val="sq-AL"/>
        </w:rPr>
      </w:pPr>
      <w:r w:rsidRPr="008A6B67">
        <w:rPr>
          <w:rFonts w:asciiTheme="majorHAnsi" w:hAnsiTheme="majorHAnsi" w:cs="Calibri"/>
          <w:i/>
          <w:iCs/>
          <w:noProof/>
          <w:szCs w:val="22"/>
          <w:lang w:val="sq-AL"/>
        </w:rPr>
        <w:t xml:space="preserve">SANEX Kapitulli 27 – SIDA me vlerë 169 </w:t>
      </w:r>
      <w:r w:rsidR="0056260B" w:rsidRPr="008A6B67">
        <w:rPr>
          <w:rFonts w:asciiTheme="majorHAnsi" w:hAnsiTheme="majorHAnsi" w:cs="Calibri"/>
          <w:i/>
          <w:iCs/>
          <w:noProof/>
          <w:szCs w:val="22"/>
          <w:lang w:val="sq-AL"/>
        </w:rPr>
        <w:t>milionë</w:t>
      </w:r>
      <w:r w:rsidRPr="008A6B67">
        <w:rPr>
          <w:rFonts w:asciiTheme="majorHAnsi" w:hAnsiTheme="majorHAnsi" w:cs="Calibri"/>
          <w:i/>
          <w:iCs/>
          <w:noProof/>
          <w:szCs w:val="22"/>
          <w:lang w:val="sq-AL"/>
        </w:rPr>
        <w:t xml:space="preserve"> </w:t>
      </w:r>
      <w:r w:rsidR="0056260B" w:rsidRPr="008A6B67">
        <w:rPr>
          <w:rFonts w:asciiTheme="majorHAnsi" w:hAnsiTheme="majorHAnsi" w:cs="Calibri"/>
          <w:i/>
          <w:iCs/>
          <w:noProof/>
          <w:szCs w:val="22"/>
          <w:lang w:val="sq-AL"/>
        </w:rPr>
        <w:t>LEK</w:t>
      </w:r>
      <w:r w:rsidRPr="008A6B67">
        <w:rPr>
          <w:rFonts w:asciiTheme="majorHAnsi" w:hAnsiTheme="majorHAnsi" w:cs="Calibri"/>
          <w:i/>
          <w:iCs/>
          <w:noProof/>
          <w:szCs w:val="22"/>
          <w:lang w:val="sq-AL"/>
        </w:rPr>
        <w:t>;</w:t>
      </w:r>
    </w:p>
    <w:p w14:paraId="28ED5848" w14:textId="7F28EA85" w:rsidR="00C156A0" w:rsidRPr="008A6B67" w:rsidRDefault="00724A4F">
      <w:pPr>
        <w:pStyle w:val="ListParagraph"/>
        <w:numPr>
          <w:ilvl w:val="0"/>
          <w:numId w:val="57"/>
        </w:numPr>
        <w:shd w:val="clear" w:color="auto" w:fill="FFFFFF" w:themeFill="background1"/>
        <w:spacing w:before="0" w:line="240" w:lineRule="auto"/>
        <w:rPr>
          <w:rFonts w:asciiTheme="majorHAnsi" w:hAnsiTheme="majorHAnsi" w:cs="Calibri"/>
          <w:i/>
          <w:iCs/>
          <w:noProof/>
          <w:szCs w:val="22"/>
          <w:lang w:val="sq-AL"/>
        </w:rPr>
      </w:pPr>
      <w:r w:rsidRPr="008A6B67">
        <w:rPr>
          <w:rFonts w:asciiTheme="majorHAnsi" w:hAnsiTheme="majorHAnsi" w:cs="Calibri"/>
          <w:i/>
          <w:iCs/>
          <w:noProof/>
          <w:szCs w:val="22"/>
          <w:lang w:val="sq-AL"/>
        </w:rPr>
        <w:t>Ndërtim vend</w:t>
      </w:r>
      <w:r w:rsidR="00634371">
        <w:rPr>
          <w:rFonts w:asciiTheme="majorHAnsi" w:hAnsiTheme="majorHAnsi" w:cs="Calibri"/>
          <w:i/>
          <w:iCs/>
          <w:noProof/>
          <w:szCs w:val="22"/>
          <w:lang w:val="sq-AL"/>
        </w:rPr>
        <w:t>-de</w:t>
      </w:r>
      <w:r w:rsidRPr="008A6B67">
        <w:rPr>
          <w:rFonts w:asciiTheme="majorHAnsi" w:hAnsiTheme="majorHAnsi" w:cs="Calibri"/>
          <w:i/>
          <w:iCs/>
          <w:noProof/>
          <w:szCs w:val="22"/>
          <w:lang w:val="sq-AL"/>
        </w:rPr>
        <w:t xml:space="preserve">pozitimi për mbetjetet urbane me vlerë 61 </w:t>
      </w:r>
      <w:r w:rsidR="0056260B" w:rsidRPr="008A6B67">
        <w:rPr>
          <w:rFonts w:asciiTheme="majorHAnsi" w:hAnsiTheme="majorHAnsi" w:cs="Calibri"/>
          <w:i/>
          <w:iCs/>
          <w:noProof/>
          <w:szCs w:val="22"/>
          <w:lang w:val="sq-AL"/>
        </w:rPr>
        <w:t>milionë</w:t>
      </w:r>
      <w:r w:rsidRPr="008A6B67">
        <w:rPr>
          <w:rFonts w:asciiTheme="majorHAnsi" w:hAnsiTheme="majorHAnsi" w:cs="Calibri"/>
          <w:i/>
          <w:iCs/>
          <w:noProof/>
          <w:szCs w:val="22"/>
          <w:lang w:val="sq-AL"/>
        </w:rPr>
        <w:t xml:space="preserve"> </w:t>
      </w:r>
      <w:r w:rsidR="0056260B" w:rsidRPr="008A6B67">
        <w:rPr>
          <w:rFonts w:asciiTheme="majorHAnsi" w:hAnsiTheme="majorHAnsi" w:cs="Calibri"/>
          <w:i/>
          <w:iCs/>
          <w:noProof/>
          <w:szCs w:val="22"/>
          <w:lang w:val="sq-AL"/>
        </w:rPr>
        <w:t>LEK</w:t>
      </w:r>
      <w:r w:rsidRPr="008A6B67">
        <w:rPr>
          <w:rFonts w:asciiTheme="majorHAnsi" w:hAnsiTheme="majorHAnsi" w:cs="Calibri"/>
          <w:i/>
          <w:iCs/>
          <w:noProof/>
          <w:szCs w:val="22"/>
          <w:lang w:val="sq-AL"/>
        </w:rPr>
        <w:t>.</w:t>
      </w:r>
    </w:p>
    <w:p w14:paraId="1CB891DD" w14:textId="77777777" w:rsidR="00320D28" w:rsidRDefault="00320D28" w:rsidP="00320D28">
      <w:pPr>
        <w:shd w:val="clear" w:color="auto" w:fill="FFFFFF" w:themeFill="background1"/>
        <w:spacing w:before="0" w:line="240" w:lineRule="auto"/>
        <w:rPr>
          <w:rFonts w:asciiTheme="majorHAnsi" w:hAnsiTheme="majorHAnsi" w:cs="Calibri"/>
          <w:i/>
          <w:iCs/>
          <w:noProof/>
          <w:sz w:val="20"/>
          <w:szCs w:val="20"/>
          <w:lang w:val="sq-AL"/>
        </w:rPr>
      </w:pPr>
    </w:p>
    <w:p w14:paraId="676EC05F" w14:textId="77777777" w:rsidR="00320D28" w:rsidRPr="00320D28" w:rsidRDefault="00320D28" w:rsidP="00320D28">
      <w:pPr>
        <w:shd w:val="clear" w:color="auto" w:fill="FFFFFF" w:themeFill="background1"/>
        <w:spacing w:before="0" w:line="240" w:lineRule="auto"/>
        <w:rPr>
          <w:rFonts w:asciiTheme="majorHAnsi" w:hAnsiTheme="majorHAnsi" w:cs="Calibri"/>
          <w:i/>
          <w:iCs/>
          <w:noProof/>
          <w:sz w:val="20"/>
          <w:szCs w:val="20"/>
          <w:lang w:val="sq-AL"/>
        </w:rPr>
      </w:pPr>
    </w:p>
    <w:p w14:paraId="0188CB97" w14:textId="77777777" w:rsidR="0057032E" w:rsidRDefault="0057032E" w:rsidP="00B14F86">
      <w:pPr>
        <w:shd w:val="clear" w:color="auto" w:fill="FFFFFF" w:themeFill="background1"/>
        <w:spacing w:before="0" w:line="240" w:lineRule="auto"/>
        <w:rPr>
          <w:rFonts w:asciiTheme="majorHAnsi" w:hAnsiTheme="majorHAnsi" w:cs="Calibri"/>
          <w:i/>
          <w:iCs/>
          <w:noProof/>
          <w:sz w:val="20"/>
          <w:szCs w:val="20"/>
          <w:lang w:val="sq-AL"/>
        </w:rPr>
      </w:pPr>
    </w:p>
    <w:p w14:paraId="54416EC5"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4B80C4D5"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344DAC0D"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5DE25812"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3A54B699"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66567F9D" w14:textId="77777777" w:rsidR="008A6B67" w:rsidRDefault="008A6B67" w:rsidP="00B14F86">
      <w:pPr>
        <w:shd w:val="clear" w:color="auto" w:fill="FFFFFF" w:themeFill="background1"/>
        <w:spacing w:before="0" w:line="240" w:lineRule="auto"/>
        <w:rPr>
          <w:rFonts w:asciiTheme="majorHAnsi" w:hAnsiTheme="majorHAnsi" w:cs="Calibri"/>
          <w:i/>
          <w:iCs/>
          <w:noProof/>
          <w:sz w:val="20"/>
          <w:szCs w:val="20"/>
          <w:lang w:val="sq-AL"/>
        </w:rPr>
      </w:pPr>
    </w:p>
    <w:p w14:paraId="6C135A70" w14:textId="77777777" w:rsidR="00B14F86" w:rsidRPr="00B14F86" w:rsidRDefault="00B14F86" w:rsidP="00B14F86">
      <w:pPr>
        <w:shd w:val="clear" w:color="auto" w:fill="FFFFFF" w:themeFill="background1"/>
        <w:spacing w:before="0" w:line="240" w:lineRule="auto"/>
        <w:rPr>
          <w:rFonts w:asciiTheme="majorHAnsi" w:hAnsiTheme="majorHAnsi" w:cs="Calibri"/>
          <w:i/>
          <w:iCs/>
          <w:noProof/>
          <w:sz w:val="20"/>
          <w:szCs w:val="20"/>
          <w:lang w:val="sq-AL"/>
        </w:rPr>
      </w:pPr>
    </w:p>
    <w:p w14:paraId="3460970D" w14:textId="479EDB55" w:rsidR="00C156A0" w:rsidRPr="00B14F86" w:rsidRDefault="00C156A0" w:rsidP="009C7207">
      <w:pPr>
        <w:pStyle w:val="Heading3"/>
        <w:rPr>
          <w:b/>
          <w:bCs/>
        </w:rPr>
      </w:pPr>
      <w:bookmarkStart w:id="270" w:name="_Toc10033302"/>
      <w:bookmarkStart w:id="271" w:name="_Toc10721438"/>
      <w:bookmarkStart w:id="272" w:name="_Toc229390844"/>
      <w:proofErr w:type="spellStart"/>
      <w:r w:rsidRPr="00B14F86">
        <w:rPr>
          <w:b/>
          <w:bCs/>
        </w:rPr>
        <w:lastRenderedPageBreak/>
        <w:t>Drejtësia</w:t>
      </w:r>
      <w:bookmarkEnd w:id="270"/>
      <w:bookmarkEnd w:id="271"/>
      <w:bookmarkEnd w:id="272"/>
      <w:proofErr w:type="spellEnd"/>
    </w:p>
    <w:p w14:paraId="313F4709" w14:textId="77777777" w:rsidR="00320D28" w:rsidRPr="00B14F86" w:rsidRDefault="00320D28" w:rsidP="00C156A0">
      <w:pPr>
        <w:spacing w:before="0" w:line="240" w:lineRule="auto"/>
        <w:rPr>
          <w:rFonts w:cs="Calibri"/>
          <w:sz w:val="12"/>
          <w:szCs w:val="14"/>
          <w:lang w:val="sq-AL"/>
        </w:rPr>
      </w:pPr>
    </w:p>
    <w:p w14:paraId="788F9FD7" w14:textId="5189DF10" w:rsidR="00C156A0" w:rsidRPr="00C156A0" w:rsidRDefault="00C156A0" w:rsidP="00C156A0">
      <w:pPr>
        <w:spacing w:before="0" w:line="240" w:lineRule="auto"/>
        <w:rPr>
          <w:rFonts w:cs="Calibri"/>
          <w:lang w:val="sq-AL"/>
        </w:rPr>
      </w:pPr>
      <w:r w:rsidRPr="00C156A0">
        <w:rPr>
          <w:rFonts w:cs="Calibri"/>
          <w:lang w:val="sq-AL"/>
        </w:rPr>
        <w:t>Performanca e treguesve buxhetorë për nëntë programet kryesore në Ministrinë e Drejtësisë, paraqitet si mëposhtë:</w:t>
      </w:r>
    </w:p>
    <w:p w14:paraId="73E29C65" w14:textId="7337D0CB" w:rsidR="00C156A0" w:rsidRPr="00B36A44" w:rsidRDefault="00C156A0" w:rsidP="00B36A44">
      <w:pPr>
        <w:spacing w:before="0" w:line="240" w:lineRule="auto"/>
        <w:rPr>
          <w:i/>
          <w:iCs/>
          <w:color w:val="17406D"/>
          <w:sz w:val="18"/>
          <w:szCs w:val="18"/>
          <w:lang w:val="sq-AL"/>
        </w:rPr>
      </w:pPr>
      <w:bookmarkStart w:id="273" w:name="_Toc229130011"/>
      <w:r w:rsidRPr="00C156A0">
        <w:rPr>
          <w:i/>
          <w:iCs/>
          <w:color w:val="17406D"/>
          <w:sz w:val="18"/>
          <w:szCs w:val="18"/>
          <w:lang w:val="sq-AL"/>
        </w:rPr>
        <w:t xml:space="preserve">Tabela </w:t>
      </w:r>
      <w:r w:rsidRPr="00C156A0">
        <w:rPr>
          <w:i/>
          <w:iCs/>
          <w:color w:val="17406D"/>
          <w:sz w:val="18"/>
          <w:szCs w:val="18"/>
          <w:lang w:val="sq-AL"/>
        </w:rPr>
        <w:fldChar w:fldCharType="begin"/>
      </w:r>
      <w:r w:rsidRPr="00C156A0">
        <w:rPr>
          <w:i/>
          <w:iCs/>
          <w:color w:val="17406D"/>
          <w:sz w:val="18"/>
          <w:szCs w:val="18"/>
          <w:lang w:val="sq-AL"/>
        </w:rPr>
        <w:instrText xml:space="preserve"> SEQ Tabela \* ARABIC </w:instrText>
      </w:r>
      <w:r w:rsidRPr="00C156A0">
        <w:rPr>
          <w:i/>
          <w:iCs/>
          <w:color w:val="17406D"/>
          <w:sz w:val="18"/>
          <w:szCs w:val="18"/>
          <w:lang w:val="sq-AL"/>
        </w:rPr>
        <w:fldChar w:fldCharType="separate"/>
      </w:r>
      <w:r w:rsidR="00CB4DE6">
        <w:rPr>
          <w:i/>
          <w:iCs/>
          <w:noProof/>
          <w:color w:val="17406D"/>
          <w:sz w:val="18"/>
          <w:szCs w:val="18"/>
          <w:lang w:val="sq-AL"/>
        </w:rPr>
        <w:t>37</w:t>
      </w:r>
      <w:r w:rsidRPr="00C156A0">
        <w:rPr>
          <w:i/>
          <w:iCs/>
          <w:color w:val="17406D"/>
          <w:sz w:val="18"/>
          <w:szCs w:val="18"/>
          <w:lang w:val="sq-AL"/>
        </w:rPr>
        <w:fldChar w:fldCharType="end"/>
      </w:r>
      <w:r w:rsidRPr="00C156A0">
        <w:rPr>
          <w:i/>
          <w:iCs/>
          <w:color w:val="17406D"/>
          <w:sz w:val="18"/>
          <w:szCs w:val="18"/>
          <w:lang w:val="sq-AL"/>
        </w:rPr>
        <w:t xml:space="preserve"> Realizimi i buxhetit 2025  për Ministrinë e Drejtësisë</w:t>
      </w:r>
      <w:bookmarkEnd w:id="273"/>
    </w:p>
    <w:tbl>
      <w:tblPr>
        <w:tblW w:w="10133" w:type="dxa"/>
        <w:jc w:val="center"/>
        <w:tblLayout w:type="fixed"/>
        <w:tblLook w:val="04A0" w:firstRow="1" w:lastRow="0" w:firstColumn="1" w:lastColumn="0" w:noHBand="0" w:noVBand="1"/>
      </w:tblPr>
      <w:tblGrid>
        <w:gridCol w:w="1830"/>
        <w:gridCol w:w="985"/>
        <w:gridCol w:w="986"/>
        <w:gridCol w:w="985"/>
        <w:gridCol w:w="985"/>
        <w:gridCol w:w="1019"/>
        <w:gridCol w:w="915"/>
        <w:gridCol w:w="650"/>
        <w:gridCol w:w="652"/>
        <w:gridCol w:w="562"/>
        <w:gridCol w:w="564"/>
      </w:tblGrid>
      <w:tr w:rsidR="00C156A0" w:rsidRPr="00F409F4" w14:paraId="228057BC" w14:textId="77777777" w:rsidTr="008A6B67">
        <w:trPr>
          <w:trHeight w:val="178"/>
          <w:jc w:val="center"/>
        </w:trPr>
        <w:tc>
          <w:tcPr>
            <w:tcW w:w="1830" w:type="dxa"/>
            <w:vMerge w:val="restart"/>
            <w:tcBorders>
              <w:top w:val="nil"/>
              <w:left w:val="nil"/>
              <w:bottom w:val="nil"/>
              <w:right w:val="nil"/>
            </w:tcBorders>
            <w:shd w:val="clear" w:color="000000" w:fill="366092"/>
            <w:vAlign w:val="center"/>
            <w:hideMark/>
          </w:tcPr>
          <w:p w14:paraId="5796CE25"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Programi buxhetor</w:t>
            </w:r>
          </w:p>
        </w:tc>
        <w:tc>
          <w:tcPr>
            <w:tcW w:w="1971"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4F6F3A3B"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Plani fillestar 2025</w:t>
            </w:r>
          </w:p>
        </w:tc>
        <w:tc>
          <w:tcPr>
            <w:tcW w:w="197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7919CCA3"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Plani i rishikuar 2025</w:t>
            </w:r>
          </w:p>
        </w:tc>
        <w:tc>
          <w:tcPr>
            <w:tcW w:w="1934"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DCC75EF"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Fakti 2025</w:t>
            </w:r>
          </w:p>
        </w:tc>
        <w:tc>
          <w:tcPr>
            <w:tcW w:w="1302"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7D5413E"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Realizimi në % me planin fillestar</w:t>
            </w:r>
          </w:p>
        </w:tc>
        <w:tc>
          <w:tcPr>
            <w:tcW w:w="112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B34C543"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Realizimi në % me planin e rishikuar</w:t>
            </w:r>
          </w:p>
        </w:tc>
      </w:tr>
      <w:tr w:rsidR="00C156A0" w:rsidRPr="00C156A0" w14:paraId="7FDB7E79" w14:textId="77777777" w:rsidTr="008A6B67">
        <w:trPr>
          <w:trHeight w:val="131"/>
          <w:jc w:val="center"/>
        </w:trPr>
        <w:tc>
          <w:tcPr>
            <w:tcW w:w="1830" w:type="dxa"/>
            <w:vMerge/>
            <w:tcBorders>
              <w:top w:val="nil"/>
              <w:left w:val="nil"/>
              <w:bottom w:val="nil"/>
              <w:right w:val="nil"/>
            </w:tcBorders>
            <w:vAlign w:val="center"/>
            <w:hideMark/>
          </w:tcPr>
          <w:p w14:paraId="30B28A36" w14:textId="77777777" w:rsidR="00C156A0" w:rsidRPr="00C156A0" w:rsidRDefault="00C156A0" w:rsidP="00C156A0">
            <w:pPr>
              <w:spacing w:before="0" w:line="240" w:lineRule="auto"/>
              <w:jc w:val="center"/>
              <w:rPr>
                <w:b/>
                <w:bCs/>
                <w:color w:val="FFFFFF"/>
                <w:sz w:val="16"/>
                <w:szCs w:val="16"/>
                <w:lang w:val="sq-AL" w:eastAsia="sq-AL"/>
              </w:rPr>
            </w:pPr>
          </w:p>
        </w:tc>
        <w:tc>
          <w:tcPr>
            <w:tcW w:w="985" w:type="dxa"/>
            <w:tcBorders>
              <w:top w:val="nil"/>
              <w:left w:val="nil"/>
              <w:bottom w:val="single" w:sz="8" w:space="0" w:color="B8CCE4"/>
              <w:right w:val="single" w:sz="8" w:space="0" w:color="B8CCE4"/>
            </w:tcBorders>
            <w:shd w:val="clear" w:color="000000" w:fill="365F91"/>
            <w:vAlign w:val="center"/>
            <w:hideMark/>
          </w:tcPr>
          <w:p w14:paraId="4C6CF4F6" w14:textId="6EA09A52" w:rsidR="00C156A0" w:rsidRPr="00C156A0" w:rsidRDefault="0056260B" w:rsidP="00C156A0">
            <w:pPr>
              <w:spacing w:before="0" w:line="240" w:lineRule="auto"/>
              <w:jc w:val="center"/>
              <w:rPr>
                <w:b/>
                <w:bCs/>
                <w:color w:val="FFFFFF"/>
                <w:sz w:val="16"/>
                <w:szCs w:val="16"/>
                <w:lang w:val="sq-AL" w:eastAsia="sq-AL"/>
              </w:rPr>
            </w:pPr>
            <w:r>
              <w:rPr>
                <w:b/>
                <w:bCs/>
                <w:color w:val="FFFFFF"/>
                <w:sz w:val="16"/>
                <w:szCs w:val="16"/>
                <w:lang w:val="sq-AL" w:eastAsia="sq-AL"/>
              </w:rPr>
              <w:t>Korente</w:t>
            </w:r>
          </w:p>
        </w:tc>
        <w:tc>
          <w:tcPr>
            <w:tcW w:w="986" w:type="dxa"/>
            <w:tcBorders>
              <w:top w:val="nil"/>
              <w:left w:val="nil"/>
              <w:bottom w:val="single" w:sz="8" w:space="0" w:color="B8CCE4"/>
              <w:right w:val="single" w:sz="8" w:space="0" w:color="B8CCE4"/>
            </w:tcBorders>
            <w:shd w:val="clear" w:color="000000" w:fill="365F91"/>
            <w:vAlign w:val="center"/>
            <w:hideMark/>
          </w:tcPr>
          <w:p w14:paraId="0AFE55D1"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Investime</w:t>
            </w:r>
          </w:p>
        </w:tc>
        <w:tc>
          <w:tcPr>
            <w:tcW w:w="985" w:type="dxa"/>
            <w:tcBorders>
              <w:top w:val="nil"/>
              <w:left w:val="nil"/>
              <w:bottom w:val="single" w:sz="8" w:space="0" w:color="B8CCE4"/>
              <w:right w:val="single" w:sz="8" w:space="0" w:color="B8CCE4"/>
            </w:tcBorders>
            <w:shd w:val="clear" w:color="000000" w:fill="365F91"/>
            <w:vAlign w:val="center"/>
            <w:hideMark/>
          </w:tcPr>
          <w:p w14:paraId="5A2EDB3C" w14:textId="050F52F6" w:rsidR="00C156A0" w:rsidRPr="00C156A0" w:rsidRDefault="0056260B" w:rsidP="00C156A0">
            <w:pPr>
              <w:spacing w:before="0" w:line="240" w:lineRule="auto"/>
              <w:jc w:val="center"/>
              <w:rPr>
                <w:b/>
                <w:bCs/>
                <w:color w:val="FFFFFF"/>
                <w:sz w:val="16"/>
                <w:szCs w:val="16"/>
                <w:lang w:val="sq-AL" w:eastAsia="sq-AL"/>
              </w:rPr>
            </w:pPr>
            <w:r>
              <w:rPr>
                <w:b/>
                <w:bCs/>
                <w:color w:val="FFFFFF"/>
                <w:sz w:val="16"/>
                <w:szCs w:val="16"/>
                <w:lang w:val="sq-AL" w:eastAsia="sq-AL"/>
              </w:rPr>
              <w:t>Korente</w:t>
            </w:r>
          </w:p>
        </w:tc>
        <w:tc>
          <w:tcPr>
            <w:tcW w:w="985" w:type="dxa"/>
            <w:tcBorders>
              <w:top w:val="nil"/>
              <w:left w:val="nil"/>
              <w:bottom w:val="single" w:sz="8" w:space="0" w:color="B8CCE4"/>
              <w:right w:val="single" w:sz="8" w:space="0" w:color="B8CCE4"/>
            </w:tcBorders>
            <w:shd w:val="clear" w:color="000000" w:fill="365F91"/>
            <w:vAlign w:val="center"/>
            <w:hideMark/>
          </w:tcPr>
          <w:p w14:paraId="529D825C"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Investime</w:t>
            </w:r>
          </w:p>
        </w:tc>
        <w:tc>
          <w:tcPr>
            <w:tcW w:w="1019" w:type="dxa"/>
            <w:tcBorders>
              <w:top w:val="nil"/>
              <w:left w:val="nil"/>
              <w:bottom w:val="single" w:sz="8" w:space="0" w:color="B8CCE4"/>
              <w:right w:val="single" w:sz="8" w:space="0" w:color="B8CCE4"/>
            </w:tcBorders>
            <w:shd w:val="clear" w:color="000000" w:fill="365F91"/>
            <w:vAlign w:val="center"/>
            <w:hideMark/>
          </w:tcPr>
          <w:p w14:paraId="7F9EDD08" w14:textId="4F81723C" w:rsidR="00C156A0" w:rsidRPr="00C156A0" w:rsidRDefault="0056260B" w:rsidP="00C156A0">
            <w:pPr>
              <w:spacing w:before="0" w:line="240" w:lineRule="auto"/>
              <w:jc w:val="center"/>
              <w:rPr>
                <w:b/>
                <w:bCs/>
                <w:color w:val="FFFFFF"/>
                <w:sz w:val="16"/>
                <w:szCs w:val="16"/>
                <w:lang w:val="sq-AL" w:eastAsia="sq-AL"/>
              </w:rPr>
            </w:pPr>
            <w:r>
              <w:rPr>
                <w:b/>
                <w:bCs/>
                <w:color w:val="FFFFFF"/>
                <w:sz w:val="16"/>
                <w:szCs w:val="16"/>
                <w:lang w:val="sq-AL" w:eastAsia="sq-AL"/>
              </w:rPr>
              <w:t>Korente</w:t>
            </w:r>
          </w:p>
        </w:tc>
        <w:tc>
          <w:tcPr>
            <w:tcW w:w="915" w:type="dxa"/>
            <w:tcBorders>
              <w:top w:val="nil"/>
              <w:left w:val="nil"/>
              <w:bottom w:val="single" w:sz="8" w:space="0" w:color="B8CCE4"/>
              <w:right w:val="single" w:sz="8" w:space="0" w:color="B8CCE4"/>
            </w:tcBorders>
            <w:shd w:val="clear" w:color="000000" w:fill="365F91"/>
            <w:vAlign w:val="center"/>
            <w:hideMark/>
          </w:tcPr>
          <w:p w14:paraId="0C928567"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Investime</w:t>
            </w:r>
          </w:p>
        </w:tc>
        <w:tc>
          <w:tcPr>
            <w:tcW w:w="650" w:type="dxa"/>
            <w:tcBorders>
              <w:top w:val="nil"/>
              <w:left w:val="nil"/>
              <w:bottom w:val="single" w:sz="8" w:space="0" w:color="B8CCE4"/>
              <w:right w:val="single" w:sz="8" w:space="0" w:color="B8CCE4"/>
            </w:tcBorders>
            <w:shd w:val="clear" w:color="000000" w:fill="365F91"/>
            <w:vAlign w:val="center"/>
            <w:hideMark/>
          </w:tcPr>
          <w:p w14:paraId="6C147FE1"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Korr.</w:t>
            </w:r>
          </w:p>
        </w:tc>
        <w:tc>
          <w:tcPr>
            <w:tcW w:w="651" w:type="dxa"/>
            <w:tcBorders>
              <w:top w:val="nil"/>
              <w:left w:val="nil"/>
              <w:bottom w:val="single" w:sz="8" w:space="0" w:color="B8CCE4"/>
              <w:right w:val="single" w:sz="8" w:space="0" w:color="B8CCE4"/>
            </w:tcBorders>
            <w:shd w:val="clear" w:color="000000" w:fill="365F91"/>
            <w:vAlign w:val="center"/>
            <w:hideMark/>
          </w:tcPr>
          <w:p w14:paraId="697AD52B"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Inv.</w:t>
            </w:r>
          </w:p>
        </w:tc>
        <w:tc>
          <w:tcPr>
            <w:tcW w:w="562" w:type="dxa"/>
            <w:tcBorders>
              <w:top w:val="nil"/>
              <w:left w:val="nil"/>
              <w:bottom w:val="single" w:sz="8" w:space="0" w:color="B8CCE4"/>
              <w:right w:val="single" w:sz="8" w:space="0" w:color="B8CCE4"/>
            </w:tcBorders>
            <w:shd w:val="clear" w:color="000000" w:fill="365F91"/>
            <w:vAlign w:val="center"/>
            <w:hideMark/>
          </w:tcPr>
          <w:p w14:paraId="2850CB55"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Korr.</w:t>
            </w:r>
          </w:p>
        </w:tc>
        <w:tc>
          <w:tcPr>
            <w:tcW w:w="563" w:type="dxa"/>
            <w:tcBorders>
              <w:top w:val="nil"/>
              <w:left w:val="nil"/>
              <w:bottom w:val="single" w:sz="8" w:space="0" w:color="B8CCE4"/>
              <w:right w:val="single" w:sz="8" w:space="0" w:color="B8CCE4"/>
            </w:tcBorders>
            <w:shd w:val="clear" w:color="000000" w:fill="365F91"/>
            <w:vAlign w:val="center"/>
            <w:hideMark/>
          </w:tcPr>
          <w:p w14:paraId="3E954742"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Inv.</w:t>
            </w:r>
          </w:p>
        </w:tc>
      </w:tr>
      <w:tr w:rsidR="00C156A0" w:rsidRPr="00C156A0" w14:paraId="41393C16" w14:textId="77777777" w:rsidTr="008A6B67">
        <w:trPr>
          <w:trHeight w:val="185"/>
          <w:jc w:val="center"/>
        </w:trPr>
        <w:tc>
          <w:tcPr>
            <w:tcW w:w="1830" w:type="dxa"/>
            <w:tcBorders>
              <w:top w:val="nil"/>
              <w:left w:val="single" w:sz="8" w:space="0" w:color="B8CCE4"/>
              <w:bottom w:val="single" w:sz="8" w:space="0" w:color="B8CCE4"/>
              <w:right w:val="single" w:sz="8" w:space="0" w:color="B8CCE4"/>
            </w:tcBorders>
            <w:hideMark/>
          </w:tcPr>
          <w:p w14:paraId="228FDD72"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Planifikimi, Menaxhimi dhe Administrimi</w:t>
            </w:r>
          </w:p>
        </w:tc>
        <w:tc>
          <w:tcPr>
            <w:tcW w:w="985" w:type="dxa"/>
            <w:tcBorders>
              <w:top w:val="nil"/>
              <w:left w:val="nil"/>
              <w:bottom w:val="single" w:sz="8" w:space="0" w:color="B8CCE4"/>
              <w:right w:val="single" w:sz="8" w:space="0" w:color="B8CCE4"/>
            </w:tcBorders>
          </w:tcPr>
          <w:p w14:paraId="042F311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723,936</w:t>
            </w:r>
          </w:p>
        </w:tc>
        <w:tc>
          <w:tcPr>
            <w:tcW w:w="986" w:type="dxa"/>
            <w:tcBorders>
              <w:top w:val="nil"/>
              <w:left w:val="nil"/>
              <w:bottom w:val="single" w:sz="8" w:space="0" w:color="B8CCE4"/>
              <w:right w:val="single" w:sz="8" w:space="0" w:color="B8CCE4"/>
            </w:tcBorders>
          </w:tcPr>
          <w:p w14:paraId="2179F3B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793,790</w:t>
            </w:r>
          </w:p>
        </w:tc>
        <w:tc>
          <w:tcPr>
            <w:tcW w:w="985" w:type="dxa"/>
            <w:tcBorders>
              <w:top w:val="nil"/>
              <w:left w:val="nil"/>
              <w:bottom w:val="single" w:sz="8" w:space="0" w:color="B8CCE4"/>
              <w:right w:val="single" w:sz="8" w:space="0" w:color="B8CCE4"/>
            </w:tcBorders>
          </w:tcPr>
          <w:p w14:paraId="5E86FF6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1,600,506</w:t>
            </w:r>
          </w:p>
        </w:tc>
        <w:tc>
          <w:tcPr>
            <w:tcW w:w="985" w:type="dxa"/>
            <w:tcBorders>
              <w:top w:val="nil"/>
              <w:left w:val="nil"/>
              <w:bottom w:val="single" w:sz="8" w:space="0" w:color="B8CCE4"/>
              <w:right w:val="single" w:sz="8" w:space="0" w:color="B8CCE4"/>
            </w:tcBorders>
          </w:tcPr>
          <w:p w14:paraId="7C01096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1,241,800</w:t>
            </w:r>
          </w:p>
        </w:tc>
        <w:tc>
          <w:tcPr>
            <w:tcW w:w="1019" w:type="dxa"/>
            <w:tcBorders>
              <w:top w:val="nil"/>
              <w:left w:val="nil"/>
              <w:bottom w:val="single" w:sz="8" w:space="0" w:color="B8CCE4"/>
              <w:right w:val="single" w:sz="8" w:space="0" w:color="B8CCE4"/>
            </w:tcBorders>
          </w:tcPr>
          <w:p w14:paraId="4ED29F5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1,538,494</w:t>
            </w:r>
          </w:p>
        </w:tc>
        <w:tc>
          <w:tcPr>
            <w:tcW w:w="915" w:type="dxa"/>
            <w:tcBorders>
              <w:top w:val="nil"/>
              <w:left w:val="nil"/>
              <w:bottom w:val="single" w:sz="8" w:space="0" w:color="B8CCE4"/>
              <w:right w:val="single" w:sz="8" w:space="0" w:color="B8CCE4"/>
            </w:tcBorders>
          </w:tcPr>
          <w:p w14:paraId="0137AE3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1,229,123</w:t>
            </w:r>
          </w:p>
        </w:tc>
        <w:tc>
          <w:tcPr>
            <w:tcW w:w="650" w:type="dxa"/>
            <w:tcBorders>
              <w:top w:val="nil"/>
              <w:left w:val="nil"/>
              <w:bottom w:val="single" w:sz="8" w:space="0" w:color="B8CCE4"/>
              <w:right w:val="single" w:sz="8" w:space="0" w:color="B8CCE4"/>
            </w:tcBorders>
          </w:tcPr>
          <w:p w14:paraId="502427A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213%</w:t>
            </w:r>
          </w:p>
        </w:tc>
        <w:tc>
          <w:tcPr>
            <w:tcW w:w="651" w:type="dxa"/>
            <w:tcBorders>
              <w:top w:val="nil"/>
              <w:left w:val="nil"/>
              <w:bottom w:val="single" w:sz="8" w:space="0" w:color="B8CCE4"/>
              <w:right w:val="single" w:sz="8" w:space="0" w:color="B8CCE4"/>
            </w:tcBorders>
          </w:tcPr>
          <w:p w14:paraId="16116B0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155%</w:t>
            </w:r>
          </w:p>
        </w:tc>
        <w:tc>
          <w:tcPr>
            <w:tcW w:w="562" w:type="dxa"/>
            <w:tcBorders>
              <w:top w:val="nil"/>
              <w:left w:val="nil"/>
              <w:bottom w:val="single" w:sz="8" w:space="0" w:color="B8CCE4"/>
              <w:right w:val="single" w:sz="8" w:space="0" w:color="B8CCE4"/>
            </w:tcBorders>
          </w:tcPr>
          <w:p w14:paraId="35432C6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96%</w:t>
            </w:r>
          </w:p>
        </w:tc>
        <w:tc>
          <w:tcPr>
            <w:tcW w:w="563" w:type="dxa"/>
            <w:tcBorders>
              <w:top w:val="nil"/>
              <w:left w:val="nil"/>
              <w:bottom w:val="single" w:sz="8" w:space="0" w:color="B8CCE4"/>
              <w:right w:val="single" w:sz="8" w:space="0" w:color="B8CCE4"/>
            </w:tcBorders>
          </w:tcPr>
          <w:p w14:paraId="6D0A5A5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99%</w:t>
            </w:r>
          </w:p>
        </w:tc>
      </w:tr>
      <w:tr w:rsidR="00C156A0" w:rsidRPr="00C156A0" w14:paraId="4444E2CB"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4BC2E88A"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Publikimet Zyrtare</w:t>
            </w:r>
          </w:p>
        </w:tc>
        <w:tc>
          <w:tcPr>
            <w:tcW w:w="985" w:type="dxa"/>
            <w:tcBorders>
              <w:top w:val="nil"/>
              <w:left w:val="nil"/>
              <w:bottom w:val="single" w:sz="8" w:space="0" w:color="B8CCE4"/>
              <w:right w:val="single" w:sz="8" w:space="0" w:color="B8CCE4"/>
            </w:tcBorders>
          </w:tcPr>
          <w:p w14:paraId="0F5FDA1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67,044</w:t>
            </w:r>
          </w:p>
        </w:tc>
        <w:tc>
          <w:tcPr>
            <w:tcW w:w="986" w:type="dxa"/>
            <w:tcBorders>
              <w:top w:val="nil"/>
              <w:left w:val="nil"/>
              <w:bottom w:val="single" w:sz="8" w:space="0" w:color="B8CCE4"/>
              <w:right w:val="single" w:sz="8" w:space="0" w:color="B8CCE4"/>
            </w:tcBorders>
          </w:tcPr>
          <w:p w14:paraId="6B3E63A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5,000</w:t>
            </w:r>
          </w:p>
        </w:tc>
        <w:tc>
          <w:tcPr>
            <w:tcW w:w="985" w:type="dxa"/>
            <w:tcBorders>
              <w:top w:val="nil"/>
              <w:left w:val="nil"/>
              <w:bottom w:val="single" w:sz="8" w:space="0" w:color="B8CCE4"/>
              <w:right w:val="single" w:sz="8" w:space="0" w:color="B8CCE4"/>
            </w:tcBorders>
          </w:tcPr>
          <w:p w14:paraId="5382839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52,016</w:t>
            </w:r>
          </w:p>
        </w:tc>
        <w:tc>
          <w:tcPr>
            <w:tcW w:w="985" w:type="dxa"/>
            <w:tcBorders>
              <w:top w:val="nil"/>
              <w:left w:val="nil"/>
              <w:bottom w:val="single" w:sz="8" w:space="0" w:color="B8CCE4"/>
              <w:right w:val="single" w:sz="8" w:space="0" w:color="B8CCE4"/>
            </w:tcBorders>
          </w:tcPr>
          <w:p w14:paraId="51001ED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3,900</w:t>
            </w:r>
          </w:p>
        </w:tc>
        <w:tc>
          <w:tcPr>
            <w:tcW w:w="1019" w:type="dxa"/>
            <w:tcBorders>
              <w:top w:val="nil"/>
              <w:left w:val="nil"/>
              <w:bottom w:val="single" w:sz="8" w:space="0" w:color="B8CCE4"/>
              <w:right w:val="single" w:sz="8" w:space="0" w:color="B8CCE4"/>
            </w:tcBorders>
          </w:tcPr>
          <w:p w14:paraId="0CABDAC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49,744</w:t>
            </w:r>
          </w:p>
        </w:tc>
        <w:tc>
          <w:tcPr>
            <w:tcW w:w="915" w:type="dxa"/>
            <w:tcBorders>
              <w:top w:val="nil"/>
              <w:left w:val="nil"/>
              <w:bottom w:val="single" w:sz="8" w:space="0" w:color="B8CCE4"/>
              <w:right w:val="single" w:sz="8" w:space="0" w:color="B8CCE4"/>
            </w:tcBorders>
          </w:tcPr>
          <w:p w14:paraId="37F5A2E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3,900</w:t>
            </w:r>
          </w:p>
        </w:tc>
        <w:tc>
          <w:tcPr>
            <w:tcW w:w="650" w:type="dxa"/>
            <w:tcBorders>
              <w:top w:val="nil"/>
              <w:left w:val="nil"/>
              <w:bottom w:val="single" w:sz="8" w:space="0" w:color="B8CCE4"/>
              <w:right w:val="single" w:sz="8" w:space="0" w:color="B8CCE4"/>
            </w:tcBorders>
          </w:tcPr>
          <w:p w14:paraId="6576FC6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74%</w:t>
            </w:r>
          </w:p>
        </w:tc>
        <w:tc>
          <w:tcPr>
            <w:tcW w:w="651" w:type="dxa"/>
            <w:tcBorders>
              <w:top w:val="nil"/>
              <w:left w:val="nil"/>
              <w:bottom w:val="single" w:sz="8" w:space="0" w:color="B8CCE4"/>
              <w:right w:val="single" w:sz="8" w:space="0" w:color="B8CCE4"/>
            </w:tcBorders>
          </w:tcPr>
          <w:p w14:paraId="20BE447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0.78</w:t>
            </w:r>
          </w:p>
        </w:tc>
        <w:tc>
          <w:tcPr>
            <w:tcW w:w="562" w:type="dxa"/>
            <w:tcBorders>
              <w:top w:val="nil"/>
              <w:left w:val="nil"/>
              <w:bottom w:val="single" w:sz="8" w:space="0" w:color="B8CCE4"/>
              <w:right w:val="single" w:sz="8" w:space="0" w:color="B8CCE4"/>
            </w:tcBorders>
          </w:tcPr>
          <w:p w14:paraId="3E54D6B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96%</w:t>
            </w:r>
          </w:p>
        </w:tc>
        <w:tc>
          <w:tcPr>
            <w:tcW w:w="563" w:type="dxa"/>
            <w:tcBorders>
              <w:top w:val="nil"/>
              <w:left w:val="nil"/>
              <w:bottom w:val="single" w:sz="8" w:space="0" w:color="B8CCE4"/>
              <w:right w:val="single" w:sz="8" w:space="0" w:color="B8CCE4"/>
            </w:tcBorders>
          </w:tcPr>
          <w:p w14:paraId="57BE8D7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100%</w:t>
            </w:r>
          </w:p>
        </w:tc>
      </w:tr>
      <w:tr w:rsidR="00C156A0" w:rsidRPr="00C156A0" w14:paraId="281DDAD8"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21BD6F2C"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Mjekësia Ligjore</w:t>
            </w:r>
          </w:p>
        </w:tc>
        <w:tc>
          <w:tcPr>
            <w:tcW w:w="985" w:type="dxa"/>
            <w:tcBorders>
              <w:top w:val="nil"/>
              <w:left w:val="nil"/>
              <w:bottom w:val="single" w:sz="8" w:space="0" w:color="B8CCE4"/>
              <w:right w:val="single" w:sz="8" w:space="0" w:color="B8CCE4"/>
            </w:tcBorders>
          </w:tcPr>
          <w:p w14:paraId="7B5EB44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108,150</w:t>
            </w:r>
          </w:p>
        </w:tc>
        <w:tc>
          <w:tcPr>
            <w:tcW w:w="986" w:type="dxa"/>
            <w:tcBorders>
              <w:top w:val="nil"/>
              <w:left w:val="nil"/>
              <w:bottom w:val="single" w:sz="8" w:space="0" w:color="B8CCE4"/>
              <w:right w:val="single" w:sz="8" w:space="0" w:color="B8CCE4"/>
            </w:tcBorders>
          </w:tcPr>
          <w:p w14:paraId="7B3660E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30,000</w:t>
            </w:r>
          </w:p>
        </w:tc>
        <w:tc>
          <w:tcPr>
            <w:tcW w:w="985" w:type="dxa"/>
            <w:tcBorders>
              <w:top w:val="nil"/>
              <w:left w:val="nil"/>
              <w:bottom w:val="single" w:sz="8" w:space="0" w:color="B8CCE4"/>
              <w:right w:val="single" w:sz="8" w:space="0" w:color="B8CCE4"/>
            </w:tcBorders>
          </w:tcPr>
          <w:p w14:paraId="703073C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105,950</w:t>
            </w:r>
          </w:p>
        </w:tc>
        <w:tc>
          <w:tcPr>
            <w:tcW w:w="985" w:type="dxa"/>
            <w:tcBorders>
              <w:top w:val="nil"/>
              <w:left w:val="nil"/>
              <w:bottom w:val="single" w:sz="8" w:space="0" w:color="B8CCE4"/>
              <w:right w:val="single" w:sz="8" w:space="0" w:color="B8CCE4"/>
            </w:tcBorders>
          </w:tcPr>
          <w:p w14:paraId="0DD68ED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173,000</w:t>
            </w:r>
          </w:p>
        </w:tc>
        <w:tc>
          <w:tcPr>
            <w:tcW w:w="1019" w:type="dxa"/>
            <w:tcBorders>
              <w:top w:val="nil"/>
              <w:left w:val="nil"/>
              <w:bottom w:val="single" w:sz="8" w:space="0" w:color="B8CCE4"/>
              <w:right w:val="single" w:sz="8" w:space="0" w:color="B8CCE4"/>
            </w:tcBorders>
          </w:tcPr>
          <w:p w14:paraId="7B33413F"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105,160</w:t>
            </w:r>
          </w:p>
        </w:tc>
        <w:tc>
          <w:tcPr>
            <w:tcW w:w="915" w:type="dxa"/>
            <w:tcBorders>
              <w:top w:val="nil"/>
              <w:left w:val="nil"/>
              <w:bottom w:val="single" w:sz="8" w:space="0" w:color="B8CCE4"/>
              <w:right w:val="single" w:sz="8" w:space="0" w:color="B8CCE4"/>
            </w:tcBorders>
          </w:tcPr>
          <w:p w14:paraId="785AF7F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169,273</w:t>
            </w:r>
          </w:p>
        </w:tc>
        <w:tc>
          <w:tcPr>
            <w:tcW w:w="650" w:type="dxa"/>
            <w:tcBorders>
              <w:top w:val="nil"/>
              <w:left w:val="nil"/>
              <w:bottom w:val="single" w:sz="8" w:space="0" w:color="B8CCE4"/>
              <w:right w:val="single" w:sz="8" w:space="0" w:color="B8CCE4"/>
            </w:tcBorders>
          </w:tcPr>
          <w:p w14:paraId="54E8602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651" w:type="dxa"/>
            <w:tcBorders>
              <w:top w:val="nil"/>
              <w:left w:val="nil"/>
              <w:bottom w:val="single" w:sz="8" w:space="0" w:color="B8CCE4"/>
              <w:right w:val="single" w:sz="8" w:space="0" w:color="B8CCE4"/>
            </w:tcBorders>
          </w:tcPr>
          <w:p w14:paraId="71BE924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564%</w:t>
            </w:r>
          </w:p>
        </w:tc>
        <w:tc>
          <w:tcPr>
            <w:tcW w:w="562" w:type="dxa"/>
            <w:tcBorders>
              <w:top w:val="nil"/>
              <w:left w:val="nil"/>
              <w:bottom w:val="single" w:sz="8" w:space="0" w:color="B8CCE4"/>
              <w:right w:val="single" w:sz="8" w:space="0" w:color="B8CCE4"/>
            </w:tcBorders>
          </w:tcPr>
          <w:p w14:paraId="36FDEE1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99%</w:t>
            </w:r>
          </w:p>
        </w:tc>
        <w:tc>
          <w:tcPr>
            <w:tcW w:w="563" w:type="dxa"/>
            <w:tcBorders>
              <w:top w:val="nil"/>
              <w:left w:val="nil"/>
              <w:bottom w:val="single" w:sz="8" w:space="0" w:color="B8CCE4"/>
              <w:right w:val="single" w:sz="8" w:space="0" w:color="B8CCE4"/>
            </w:tcBorders>
          </w:tcPr>
          <w:p w14:paraId="46A44CA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r>
      <w:tr w:rsidR="00C156A0" w:rsidRPr="00C156A0" w14:paraId="37A57A96"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1C615614"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Shërbimi për Çështjet e Birësimit</w:t>
            </w:r>
          </w:p>
        </w:tc>
        <w:tc>
          <w:tcPr>
            <w:tcW w:w="985" w:type="dxa"/>
            <w:tcBorders>
              <w:top w:val="nil"/>
              <w:left w:val="nil"/>
              <w:bottom w:val="single" w:sz="8" w:space="0" w:color="B8CCE4"/>
              <w:right w:val="single" w:sz="8" w:space="0" w:color="B8CCE4"/>
            </w:tcBorders>
          </w:tcPr>
          <w:p w14:paraId="5D300D4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18,440</w:t>
            </w:r>
          </w:p>
        </w:tc>
        <w:tc>
          <w:tcPr>
            <w:tcW w:w="986" w:type="dxa"/>
            <w:tcBorders>
              <w:top w:val="nil"/>
              <w:left w:val="nil"/>
              <w:bottom w:val="single" w:sz="8" w:space="0" w:color="B8CCE4"/>
              <w:right w:val="single" w:sz="8" w:space="0" w:color="B8CCE4"/>
            </w:tcBorders>
          </w:tcPr>
          <w:p w14:paraId="177AA96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200</w:t>
            </w:r>
          </w:p>
        </w:tc>
        <w:tc>
          <w:tcPr>
            <w:tcW w:w="985" w:type="dxa"/>
            <w:tcBorders>
              <w:top w:val="nil"/>
              <w:left w:val="nil"/>
              <w:bottom w:val="single" w:sz="8" w:space="0" w:color="B8CCE4"/>
              <w:right w:val="single" w:sz="8" w:space="0" w:color="B8CCE4"/>
            </w:tcBorders>
          </w:tcPr>
          <w:p w14:paraId="57C2706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18,540</w:t>
            </w:r>
          </w:p>
        </w:tc>
        <w:tc>
          <w:tcPr>
            <w:tcW w:w="985" w:type="dxa"/>
            <w:tcBorders>
              <w:top w:val="nil"/>
              <w:left w:val="nil"/>
              <w:bottom w:val="single" w:sz="8" w:space="0" w:color="B8CCE4"/>
              <w:right w:val="single" w:sz="8" w:space="0" w:color="B8CCE4"/>
            </w:tcBorders>
          </w:tcPr>
          <w:p w14:paraId="595EBC9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200</w:t>
            </w:r>
          </w:p>
        </w:tc>
        <w:tc>
          <w:tcPr>
            <w:tcW w:w="1019" w:type="dxa"/>
            <w:tcBorders>
              <w:top w:val="nil"/>
              <w:left w:val="nil"/>
              <w:bottom w:val="single" w:sz="8" w:space="0" w:color="B8CCE4"/>
              <w:right w:val="single" w:sz="8" w:space="0" w:color="B8CCE4"/>
            </w:tcBorders>
          </w:tcPr>
          <w:p w14:paraId="2274D36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14,876</w:t>
            </w:r>
          </w:p>
        </w:tc>
        <w:tc>
          <w:tcPr>
            <w:tcW w:w="915" w:type="dxa"/>
            <w:tcBorders>
              <w:top w:val="nil"/>
              <w:left w:val="nil"/>
              <w:bottom w:val="single" w:sz="8" w:space="0" w:color="B8CCE4"/>
              <w:right w:val="single" w:sz="8" w:space="0" w:color="B8CCE4"/>
            </w:tcBorders>
          </w:tcPr>
          <w:p w14:paraId="76DEF04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86</w:t>
            </w:r>
          </w:p>
        </w:tc>
        <w:tc>
          <w:tcPr>
            <w:tcW w:w="650" w:type="dxa"/>
            <w:tcBorders>
              <w:top w:val="nil"/>
              <w:left w:val="nil"/>
              <w:bottom w:val="single" w:sz="8" w:space="0" w:color="B8CCE4"/>
              <w:right w:val="single" w:sz="8" w:space="0" w:color="B8CCE4"/>
            </w:tcBorders>
          </w:tcPr>
          <w:p w14:paraId="61B3E5A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81%</w:t>
            </w:r>
          </w:p>
        </w:tc>
        <w:tc>
          <w:tcPr>
            <w:tcW w:w="651" w:type="dxa"/>
            <w:tcBorders>
              <w:top w:val="nil"/>
              <w:left w:val="nil"/>
              <w:bottom w:val="single" w:sz="8" w:space="0" w:color="B8CCE4"/>
              <w:right w:val="single" w:sz="8" w:space="0" w:color="B8CCE4"/>
            </w:tcBorders>
          </w:tcPr>
          <w:p w14:paraId="4D7DEAD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43%</w:t>
            </w:r>
          </w:p>
        </w:tc>
        <w:tc>
          <w:tcPr>
            <w:tcW w:w="562" w:type="dxa"/>
            <w:tcBorders>
              <w:top w:val="nil"/>
              <w:left w:val="nil"/>
              <w:bottom w:val="single" w:sz="8" w:space="0" w:color="B8CCE4"/>
              <w:right w:val="single" w:sz="8" w:space="0" w:color="B8CCE4"/>
            </w:tcBorders>
          </w:tcPr>
          <w:p w14:paraId="72A73CA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80%</w:t>
            </w:r>
          </w:p>
        </w:tc>
        <w:tc>
          <w:tcPr>
            <w:tcW w:w="563" w:type="dxa"/>
            <w:tcBorders>
              <w:top w:val="nil"/>
              <w:left w:val="nil"/>
              <w:bottom w:val="single" w:sz="8" w:space="0" w:color="B8CCE4"/>
              <w:right w:val="single" w:sz="8" w:space="0" w:color="B8CCE4"/>
            </w:tcBorders>
          </w:tcPr>
          <w:p w14:paraId="14CDD65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43%</w:t>
            </w:r>
          </w:p>
        </w:tc>
      </w:tr>
      <w:tr w:rsidR="00C156A0" w:rsidRPr="00C156A0" w14:paraId="0E6C8704" w14:textId="77777777" w:rsidTr="008A6B67">
        <w:trPr>
          <w:trHeight w:val="185"/>
          <w:jc w:val="center"/>
        </w:trPr>
        <w:tc>
          <w:tcPr>
            <w:tcW w:w="1830" w:type="dxa"/>
            <w:tcBorders>
              <w:top w:val="nil"/>
              <w:left w:val="single" w:sz="8" w:space="0" w:color="B8CCE4"/>
              <w:bottom w:val="single" w:sz="8" w:space="0" w:color="B8CCE4"/>
              <w:right w:val="single" w:sz="8" w:space="0" w:color="B8CCE4"/>
            </w:tcBorders>
            <w:hideMark/>
          </w:tcPr>
          <w:p w14:paraId="625CAD4C"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Shërbimi i Kthimit dhe Kompensimit te Pronave</w:t>
            </w:r>
          </w:p>
        </w:tc>
        <w:tc>
          <w:tcPr>
            <w:tcW w:w="985" w:type="dxa"/>
            <w:tcBorders>
              <w:top w:val="nil"/>
              <w:left w:val="nil"/>
              <w:bottom w:val="single" w:sz="8" w:space="0" w:color="B8CCE4"/>
              <w:right w:val="single" w:sz="8" w:space="0" w:color="B8CCE4"/>
            </w:tcBorders>
          </w:tcPr>
          <w:p w14:paraId="1871308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2,412,446</w:t>
            </w:r>
          </w:p>
        </w:tc>
        <w:tc>
          <w:tcPr>
            <w:tcW w:w="986" w:type="dxa"/>
            <w:tcBorders>
              <w:top w:val="nil"/>
              <w:left w:val="nil"/>
              <w:bottom w:val="single" w:sz="8" w:space="0" w:color="B8CCE4"/>
              <w:right w:val="single" w:sz="8" w:space="0" w:color="B8CCE4"/>
            </w:tcBorders>
          </w:tcPr>
          <w:p w14:paraId="495F5E7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3,000</w:t>
            </w:r>
          </w:p>
        </w:tc>
        <w:tc>
          <w:tcPr>
            <w:tcW w:w="985" w:type="dxa"/>
            <w:tcBorders>
              <w:top w:val="nil"/>
              <w:left w:val="nil"/>
              <w:bottom w:val="single" w:sz="8" w:space="0" w:color="B8CCE4"/>
              <w:right w:val="single" w:sz="8" w:space="0" w:color="B8CCE4"/>
            </w:tcBorders>
          </w:tcPr>
          <w:p w14:paraId="6AB7061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2,366,046</w:t>
            </w:r>
          </w:p>
        </w:tc>
        <w:tc>
          <w:tcPr>
            <w:tcW w:w="985" w:type="dxa"/>
            <w:tcBorders>
              <w:top w:val="nil"/>
              <w:left w:val="nil"/>
              <w:bottom w:val="single" w:sz="8" w:space="0" w:color="B8CCE4"/>
              <w:right w:val="single" w:sz="8" w:space="0" w:color="B8CCE4"/>
            </w:tcBorders>
          </w:tcPr>
          <w:p w14:paraId="0A728A6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3,000</w:t>
            </w:r>
          </w:p>
        </w:tc>
        <w:tc>
          <w:tcPr>
            <w:tcW w:w="1019" w:type="dxa"/>
            <w:tcBorders>
              <w:top w:val="nil"/>
              <w:left w:val="nil"/>
              <w:bottom w:val="single" w:sz="8" w:space="0" w:color="B8CCE4"/>
              <w:right w:val="single" w:sz="8" w:space="0" w:color="B8CCE4"/>
            </w:tcBorders>
          </w:tcPr>
          <w:p w14:paraId="6734ABF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2,353,383</w:t>
            </w:r>
          </w:p>
        </w:tc>
        <w:tc>
          <w:tcPr>
            <w:tcW w:w="915" w:type="dxa"/>
            <w:tcBorders>
              <w:top w:val="nil"/>
              <w:left w:val="nil"/>
              <w:bottom w:val="single" w:sz="8" w:space="0" w:color="B8CCE4"/>
              <w:right w:val="single" w:sz="8" w:space="0" w:color="B8CCE4"/>
            </w:tcBorders>
          </w:tcPr>
          <w:p w14:paraId="6AB724E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650" w:type="dxa"/>
            <w:tcBorders>
              <w:top w:val="nil"/>
              <w:left w:val="nil"/>
              <w:bottom w:val="single" w:sz="8" w:space="0" w:color="B8CCE4"/>
              <w:right w:val="single" w:sz="8" w:space="0" w:color="B8CCE4"/>
            </w:tcBorders>
          </w:tcPr>
          <w:p w14:paraId="0F0FDF3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c>
          <w:tcPr>
            <w:tcW w:w="651" w:type="dxa"/>
            <w:tcBorders>
              <w:top w:val="nil"/>
              <w:left w:val="nil"/>
              <w:bottom w:val="single" w:sz="8" w:space="0" w:color="B8CCE4"/>
              <w:right w:val="single" w:sz="8" w:space="0" w:color="B8CCE4"/>
            </w:tcBorders>
          </w:tcPr>
          <w:p w14:paraId="6EF3931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0%</w:t>
            </w:r>
          </w:p>
        </w:tc>
        <w:tc>
          <w:tcPr>
            <w:tcW w:w="562" w:type="dxa"/>
            <w:tcBorders>
              <w:top w:val="nil"/>
              <w:left w:val="nil"/>
              <w:bottom w:val="single" w:sz="8" w:space="0" w:color="B8CCE4"/>
              <w:right w:val="single" w:sz="8" w:space="0" w:color="B8CCE4"/>
            </w:tcBorders>
          </w:tcPr>
          <w:p w14:paraId="115E4C6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99%</w:t>
            </w:r>
          </w:p>
        </w:tc>
        <w:tc>
          <w:tcPr>
            <w:tcW w:w="563" w:type="dxa"/>
            <w:tcBorders>
              <w:top w:val="nil"/>
              <w:left w:val="nil"/>
              <w:bottom w:val="single" w:sz="8" w:space="0" w:color="B8CCE4"/>
              <w:right w:val="single" w:sz="8" w:space="0" w:color="B8CCE4"/>
            </w:tcBorders>
          </w:tcPr>
          <w:p w14:paraId="69A5885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0%</w:t>
            </w:r>
          </w:p>
        </w:tc>
      </w:tr>
      <w:tr w:rsidR="00C156A0" w:rsidRPr="00C156A0" w14:paraId="7E104DAF" w14:textId="77777777" w:rsidTr="008A6B67">
        <w:trPr>
          <w:trHeight w:val="185"/>
          <w:jc w:val="center"/>
        </w:trPr>
        <w:tc>
          <w:tcPr>
            <w:tcW w:w="1830" w:type="dxa"/>
            <w:tcBorders>
              <w:top w:val="nil"/>
              <w:left w:val="single" w:sz="8" w:space="0" w:color="B8CCE4"/>
              <w:bottom w:val="single" w:sz="8" w:space="0" w:color="B8CCE4"/>
              <w:right w:val="single" w:sz="8" w:space="0" w:color="B8CCE4"/>
            </w:tcBorders>
            <w:hideMark/>
          </w:tcPr>
          <w:p w14:paraId="74845F45"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Ndihma juridike</w:t>
            </w:r>
          </w:p>
        </w:tc>
        <w:tc>
          <w:tcPr>
            <w:tcW w:w="985" w:type="dxa"/>
            <w:tcBorders>
              <w:top w:val="nil"/>
              <w:left w:val="nil"/>
              <w:bottom w:val="single" w:sz="8" w:space="0" w:color="B8CCE4"/>
              <w:right w:val="single" w:sz="8" w:space="0" w:color="B8CCE4"/>
            </w:tcBorders>
          </w:tcPr>
          <w:p w14:paraId="1547CA7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120,350</w:t>
            </w:r>
          </w:p>
        </w:tc>
        <w:tc>
          <w:tcPr>
            <w:tcW w:w="986" w:type="dxa"/>
            <w:tcBorders>
              <w:top w:val="nil"/>
              <w:left w:val="nil"/>
              <w:bottom w:val="single" w:sz="8" w:space="0" w:color="B8CCE4"/>
              <w:right w:val="single" w:sz="8" w:space="0" w:color="B8CCE4"/>
            </w:tcBorders>
          </w:tcPr>
          <w:p w14:paraId="7E2ED60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2,000</w:t>
            </w:r>
          </w:p>
        </w:tc>
        <w:tc>
          <w:tcPr>
            <w:tcW w:w="985" w:type="dxa"/>
            <w:tcBorders>
              <w:top w:val="nil"/>
              <w:left w:val="nil"/>
              <w:bottom w:val="single" w:sz="8" w:space="0" w:color="B8CCE4"/>
              <w:right w:val="single" w:sz="8" w:space="0" w:color="B8CCE4"/>
            </w:tcBorders>
          </w:tcPr>
          <w:p w14:paraId="65D5971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101,550</w:t>
            </w:r>
          </w:p>
        </w:tc>
        <w:tc>
          <w:tcPr>
            <w:tcW w:w="985" w:type="dxa"/>
            <w:tcBorders>
              <w:top w:val="nil"/>
              <w:left w:val="nil"/>
              <w:bottom w:val="single" w:sz="8" w:space="0" w:color="B8CCE4"/>
              <w:right w:val="single" w:sz="8" w:space="0" w:color="B8CCE4"/>
            </w:tcBorders>
          </w:tcPr>
          <w:p w14:paraId="4E134C5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500</w:t>
            </w:r>
          </w:p>
        </w:tc>
        <w:tc>
          <w:tcPr>
            <w:tcW w:w="1019" w:type="dxa"/>
            <w:tcBorders>
              <w:top w:val="nil"/>
              <w:left w:val="nil"/>
              <w:bottom w:val="single" w:sz="8" w:space="0" w:color="B8CCE4"/>
              <w:right w:val="single" w:sz="8" w:space="0" w:color="B8CCE4"/>
            </w:tcBorders>
          </w:tcPr>
          <w:p w14:paraId="556380EA"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87,168</w:t>
            </w:r>
          </w:p>
        </w:tc>
        <w:tc>
          <w:tcPr>
            <w:tcW w:w="915" w:type="dxa"/>
            <w:tcBorders>
              <w:top w:val="nil"/>
              <w:left w:val="nil"/>
              <w:bottom w:val="single" w:sz="8" w:space="0" w:color="B8CCE4"/>
              <w:right w:val="single" w:sz="8" w:space="0" w:color="B8CCE4"/>
            </w:tcBorders>
          </w:tcPr>
          <w:p w14:paraId="6555616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411</w:t>
            </w:r>
          </w:p>
        </w:tc>
        <w:tc>
          <w:tcPr>
            <w:tcW w:w="650" w:type="dxa"/>
            <w:tcBorders>
              <w:top w:val="nil"/>
              <w:left w:val="nil"/>
              <w:bottom w:val="single" w:sz="8" w:space="0" w:color="B8CCE4"/>
              <w:right w:val="single" w:sz="8" w:space="0" w:color="B8CCE4"/>
            </w:tcBorders>
          </w:tcPr>
          <w:p w14:paraId="1786A8C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72%</w:t>
            </w:r>
          </w:p>
        </w:tc>
        <w:tc>
          <w:tcPr>
            <w:tcW w:w="651" w:type="dxa"/>
            <w:tcBorders>
              <w:top w:val="nil"/>
              <w:left w:val="nil"/>
              <w:bottom w:val="single" w:sz="8" w:space="0" w:color="B8CCE4"/>
              <w:right w:val="single" w:sz="8" w:space="0" w:color="B8CCE4"/>
            </w:tcBorders>
          </w:tcPr>
          <w:p w14:paraId="2406880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21%</w:t>
            </w:r>
          </w:p>
        </w:tc>
        <w:tc>
          <w:tcPr>
            <w:tcW w:w="562" w:type="dxa"/>
            <w:tcBorders>
              <w:top w:val="nil"/>
              <w:left w:val="nil"/>
              <w:bottom w:val="single" w:sz="8" w:space="0" w:color="B8CCE4"/>
              <w:right w:val="single" w:sz="8" w:space="0" w:color="B8CCE4"/>
            </w:tcBorders>
          </w:tcPr>
          <w:p w14:paraId="299D604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86%</w:t>
            </w:r>
          </w:p>
        </w:tc>
        <w:tc>
          <w:tcPr>
            <w:tcW w:w="563" w:type="dxa"/>
            <w:tcBorders>
              <w:top w:val="nil"/>
              <w:left w:val="nil"/>
              <w:bottom w:val="single" w:sz="8" w:space="0" w:color="B8CCE4"/>
              <w:right w:val="single" w:sz="8" w:space="0" w:color="B8CCE4"/>
            </w:tcBorders>
          </w:tcPr>
          <w:p w14:paraId="1583D85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82%</w:t>
            </w:r>
          </w:p>
        </w:tc>
      </w:tr>
      <w:tr w:rsidR="00C156A0" w:rsidRPr="00C156A0" w14:paraId="7D29ED31"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528133F9"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Shërbimi i Përmbarimit gjyqësor</w:t>
            </w:r>
          </w:p>
        </w:tc>
        <w:tc>
          <w:tcPr>
            <w:tcW w:w="985" w:type="dxa"/>
            <w:tcBorders>
              <w:top w:val="nil"/>
              <w:left w:val="nil"/>
              <w:bottom w:val="single" w:sz="8" w:space="0" w:color="B8CCE4"/>
              <w:right w:val="single" w:sz="8" w:space="0" w:color="B8CCE4"/>
            </w:tcBorders>
          </w:tcPr>
          <w:p w14:paraId="41B3CBF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297,936</w:t>
            </w:r>
          </w:p>
        </w:tc>
        <w:tc>
          <w:tcPr>
            <w:tcW w:w="986" w:type="dxa"/>
            <w:tcBorders>
              <w:top w:val="nil"/>
              <w:left w:val="nil"/>
              <w:bottom w:val="single" w:sz="8" w:space="0" w:color="B8CCE4"/>
              <w:right w:val="single" w:sz="8" w:space="0" w:color="B8CCE4"/>
            </w:tcBorders>
          </w:tcPr>
          <w:p w14:paraId="29A4D43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5,000</w:t>
            </w:r>
          </w:p>
        </w:tc>
        <w:tc>
          <w:tcPr>
            <w:tcW w:w="985" w:type="dxa"/>
            <w:tcBorders>
              <w:top w:val="nil"/>
              <w:left w:val="nil"/>
              <w:bottom w:val="single" w:sz="8" w:space="0" w:color="B8CCE4"/>
              <w:right w:val="single" w:sz="8" w:space="0" w:color="B8CCE4"/>
            </w:tcBorders>
          </w:tcPr>
          <w:p w14:paraId="336F1E9F"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293,326</w:t>
            </w:r>
          </w:p>
        </w:tc>
        <w:tc>
          <w:tcPr>
            <w:tcW w:w="985" w:type="dxa"/>
            <w:tcBorders>
              <w:top w:val="nil"/>
              <w:left w:val="nil"/>
              <w:bottom w:val="single" w:sz="8" w:space="0" w:color="B8CCE4"/>
              <w:right w:val="single" w:sz="8" w:space="0" w:color="B8CCE4"/>
            </w:tcBorders>
          </w:tcPr>
          <w:p w14:paraId="48F69A4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3,900</w:t>
            </w:r>
          </w:p>
        </w:tc>
        <w:tc>
          <w:tcPr>
            <w:tcW w:w="1019" w:type="dxa"/>
            <w:tcBorders>
              <w:top w:val="nil"/>
              <w:left w:val="nil"/>
              <w:bottom w:val="single" w:sz="8" w:space="0" w:color="B8CCE4"/>
              <w:right w:val="single" w:sz="8" w:space="0" w:color="B8CCE4"/>
            </w:tcBorders>
          </w:tcPr>
          <w:p w14:paraId="3789211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279,573</w:t>
            </w:r>
          </w:p>
        </w:tc>
        <w:tc>
          <w:tcPr>
            <w:tcW w:w="915" w:type="dxa"/>
            <w:tcBorders>
              <w:top w:val="nil"/>
              <w:left w:val="nil"/>
              <w:bottom w:val="single" w:sz="8" w:space="0" w:color="B8CCE4"/>
              <w:right w:val="single" w:sz="8" w:space="0" w:color="B8CCE4"/>
            </w:tcBorders>
          </w:tcPr>
          <w:p w14:paraId="22C7F30F"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3,816</w:t>
            </w:r>
          </w:p>
        </w:tc>
        <w:tc>
          <w:tcPr>
            <w:tcW w:w="650" w:type="dxa"/>
            <w:tcBorders>
              <w:top w:val="nil"/>
              <w:left w:val="nil"/>
              <w:bottom w:val="single" w:sz="8" w:space="0" w:color="B8CCE4"/>
              <w:right w:val="single" w:sz="8" w:space="0" w:color="B8CCE4"/>
            </w:tcBorders>
          </w:tcPr>
          <w:p w14:paraId="6BC44FA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94%</w:t>
            </w:r>
          </w:p>
        </w:tc>
        <w:tc>
          <w:tcPr>
            <w:tcW w:w="651" w:type="dxa"/>
            <w:tcBorders>
              <w:top w:val="nil"/>
              <w:left w:val="nil"/>
              <w:bottom w:val="single" w:sz="8" w:space="0" w:color="B8CCE4"/>
              <w:right w:val="single" w:sz="8" w:space="0" w:color="B8CCE4"/>
            </w:tcBorders>
          </w:tcPr>
          <w:p w14:paraId="6530A54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76%</w:t>
            </w:r>
          </w:p>
        </w:tc>
        <w:tc>
          <w:tcPr>
            <w:tcW w:w="562" w:type="dxa"/>
            <w:tcBorders>
              <w:top w:val="nil"/>
              <w:left w:val="nil"/>
              <w:bottom w:val="single" w:sz="8" w:space="0" w:color="B8CCE4"/>
              <w:right w:val="single" w:sz="8" w:space="0" w:color="B8CCE4"/>
            </w:tcBorders>
          </w:tcPr>
          <w:p w14:paraId="1640F54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95%</w:t>
            </w:r>
          </w:p>
        </w:tc>
        <w:tc>
          <w:tcPr>
            <w:tcW w:w="563" w:type="dxa"/>
            <w:tcBorders>
              <w:top w:val="nil"/>
              <w:left w:val="nil"/>
              <w:bottom w:val="single" w:sz="8" w:space="0" w:color="B8CCE4"/>
              <w:right w:val="single" w:sz="8" w:space="0" w:color="B8CCE4"/>
            </w:tcBorders>
          </w:tcPr>
          <w:p w14:paraId="550D600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98%</w:t>
            </w:r>
          </w:p>
        </w:tc>
      </w:tr>
      <w:tr w:rsidR="00C156A0" w:rsidRPr="00C156A0" w14:paraId="162D31CB"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4C7D6C48"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Sistemi i Burgjeve</w:t>
            </w:r>
          </w:p>
        </w:tc>
        <w:tc>
          <w:tcPr>
            <w:tcW w:w="985" w:type="dxa"/>
            <w:tcBorders>
              <w:top w:val="nil"/>
              <w:left w:val="nil"/>
              <w:bottom w:val="single" w:sz="8" w:space="0" w:color="B8CCE4"/>
              <w:right w:val="single" w:sz="8" w:space="0" w:color="B8CCE4"/>
            </w:tcBorders>
          </w:tcPr>
          <w:p w14:paraId="02AFED3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8,872,240</w:t>
            </w:r>
          </w:p>
        </w:tc>
        <w:tc>
          <w:tcPr>
            <w:tcW w:w="986" w:type="dxa"/>
            <w:tcBorders>
              <w:top w:val="nil"/>
              <w:left w:val="nil"/>
              <w:bottom w:val="single" w:sz="8" w:space="0" w:color="B8CCE4"/>
              <w:right w:val="single" w:sz="8" w:space="0" w:color="B8CCE4"/>
            </w:tcBorders>
          </w:tcPr>
          <w:p w14:paraId="322AF48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700,000</w:t>
            </w:r>
          </w:p>
        </w:tc>
        <w:tc>
          <w:tcPr>
            <w:tcW w:w="985" w:type="dxa"/>
            <w:tcBorders>
              <w:top w:val="nil"/>
              <w:left w:val="nil"/>
              <w:bottom w:val="single" w:sz="8" w:space="0" w:color="B8CCE4"/>
              <w:right w:val="single" w:sz="8" w:space="0" w:color="B8CCE4"/>
            </w:tcBorders>
          </w:tcPr>
          <w:p w14:paraId="34F47BD9"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8,952,390</w:t>
            </w:r>
          </w:p>
        </w:tc>
        <w:tc>
          <w:tcPr>
            <w:tcW w:w="985" w:type="dxa"/>
            <w:tcBorders>
              <w:top w:val="nil"/>
              <w:left w:val="nil"/>
              <w:bottom w:val="single" w:sz="8" w:space="0" w:color="B8CCE4"/>
              <w:right w:val="single" w:sz="8" w:space="0" w:color="B8CCE4"/>
            </w:tcBorders>
          </w:tcPr>
          <w:p w14:paraId="22400E4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478,287</w:t>
            </w:r>
          </w:p>
        </w:tc>
        <w:tc>
          <w:tcPr>
            <w:tcW w:w="1019" w:type="dxa"/>
            <w:tcBorders>
              <w:top w:val="nil"/>
              <w:left w:val="nil"/>
              <w:bottom w:val="single" w:sz="8" w:space="0" w:color="B8CCE4"/>
              <w:right w:val="single" w:sz="8" w:space="0" w:color="B8CCE4"/>
            </w:tcBorders>
          </w:tcPr>
          <w:p w14:paraId="0E70502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8,489,489</w:t>
            </w:r>
          </w:p>
        </w:tc>
        <w:tc>
          <w:tcPr>
            <w:tcW w:w="915" w:type="dxa"/>
            <w:tcBorders>
              <w:top w:val="nil"/>
              <w:left w:val="nil"/>
              <w:bottom w:val="single" w:sz="8" w:space="0" w:color="B8CCE4"/>
              <w:right w:val="single" w:sz="8" w:space="0" w:color="B8CCE4"/>
            </w:tcBorders>
          </w:tcPr>
          <w:p w14:paraId="05BE940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374,236</w:t>
            </w:r>
          </w:p>
        </w:tc>
        <w:tc>
          <w:tcPr>
            <w:tcW w:w="650" w:type="dxa"/>
            <w:tcBorders>
              <w:top w:val="nil"/>
              <w:left w:val="nil"/>
              <w:bottom w:val="single" w:sz="8" w:space="0" w:color="B8CCE4"/>
              <w:right w:val="single" w:sz="8" w:space="0" w:color="B8CCE4"/>
            </w:tcBorders>
          </w:tcPr>
          <w:p w14:paraId="7B426194"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96%</w:t>
            </w:r>
          </w:p>
        </w:tc>
        <w:tc>
          <w:tcPr>
            <w:tcW w:w="651" w:type="dxa"/>
            <w:tcBorders>
              <w:top w:val="nil"/>
              <w:left w:val="nil"/>
              <w:bottom w:val="single" w:sz="8" w:space="0" w:color="B8CCE4"/>
              <w:right w:val="single" w:sz="8" w:space="0" w:color="B8CCE4"/>
            </w:tcBorders>
          </w:tcPr>
          <w:p w14:paraId="3CA66712"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58%</w:t>
            </w:r>
          </w:p>
        </w:tc>
        <w:tc>
          <w:tcPr>
            <w:tcW w:w="562" w:type="dxa"/>
            <w:tcBorders>
              <w:top w:val="nil"/>
              <w:left w:val="nil"/>
              <w:bottom w:val="single" w:sz="8" w:space="0" w:color="B8CCE4"/>
              <w:right w:val="single" w:sz="8" w:space="0" w:color="B8CCE4"/>
            </w:tcBorders>
          </w:tcPr>
          <w:p w14:paraId="56CD0490"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95%</w:t>
            </w:r>
          </w:p>
        </w:tc>
        <w:tc>
          <w:tcPr>
            <w:tcW w:w="563" w:type="dxa"/>
            <w:tcBorders>
              <w:top w:val="nil"/>
              <w:left w:val="nil"/>
              <w:bottom w:val="single" w:sz="8" w:space="0" w:color="B8CCE4"/>
              <w:right w:val="single" w:sz="8" w:space="0" w:color="B8CCE4"/>
            </w:tcBorders>
          </w:tcPr>
          <w:p w14:paraId="1234FF2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78%</w:t>
            </w:r>
          </w:p>
        </w:tc>
      </w:tr>
      <w:tr w:rsidR="00C156A0" w:rsidRPr="00C156A0" w14:paraId="104919C7"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5EDBFC2E" w14:textId="77777777" w:rsidR="00C156A0" w:rsidRPr="00C156A0" w:rsidRDefault="00C156A0" w:rsidP="009C048C">
            <w:pPr>
              <w:spacing w:before="0" w:line="240" w:lineRule="auto"/>
              <w:jc w:val="right"/>
              <w:rPr>
                <w:rFonts w:cs="Calibri"/>
                <w:b/>
                <w:bCs/>
                <w:color w:val="000000"/>
                <w:sz w:val="16"/>
                <w:szCs w:val="16"/>
                <w:lang w:val="sq-AL" w:eastAsia="en-GB"/>
              </w:rPr>
            </w:pPr>
            <w:r w:rsidRPr="00C156A0">
              <w:rPr>
                <w:rFonts w:cs="Calibri"/>
                <w:b/>
                <w:bCs/>
                <w:color w:val="000000"/>
                <w:sz w:val="16"/>
                <w:szCs w:val="16"/>
                <w:lang w:val="sq-AL" w:eastAsia="en-GB"/>
              </w:rPr>
              <w:t>Financim i huaj</w:t>
            </w:r>
          </w:p>
        </w:tc>
        <w:tc>
          <w:tcPr>
            <w:tcW w:w="985" w:type="dxa"/>
            <w:tcBorders>
              <w:top w:val="nil"/>
              <w:left w:val="nil"/>
              <w:bottom w:val="single" w:sz="8" w:space="0" w:color="B8CCE4"/>
              <w:right w:val="single" w:sz="8" w:space="0" w:color="B8CCE4"/>
            </w:tcBorders>
          </w:tcPr>
          <w:p w14:paraId="38665CD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986" w:type="dxa"/>
            <w:tcBorders>
              <w:top w:val="nil"/>
              <w:left w:val="nil"/>
              <w:bottom w:val="single" w:sz="8" w:space="0" w:color="B8CCE4"/>
              <w:right w:val="single" w:sz="8" w:space="0" w:color="B8CCE4"/>
            </w:tcBorders>
          </w:tcPr>
          <w:p w14:paraId="4A04355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985" w:type="dxa"/>
            <w:tcBorders>
              <w:top w:val="nil"/>
              <w:left w:val="nil"/>
              <w:bottom w:val="single" w:sz="8" w:space="0" w:color="B8CCE4"/>
              <w:right w:val="single" w:sz="8" w:space="0" w:color="B8CCE4"/>
            </w:tcBorders>
          </w:tcPr>
          <w:p w14:paraId="1E7F1BE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985" w:type="dxa"/>
            <w:tcBorders>
              <w:top w:val="nil"/>
              <w:left w:val="nil"/>
              <w:bottom w:val="single" w:sz="8" w:space="0" w:color="B8CCE4"/>
              <w:right w:val="single" w:sz="8" w:space="0" w:color="B8CCE4"/>
            </w:tcBorders>
          </w:tcPr>
          <w:p w14:paraId="0D5E49D5"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91,000</w:t>
            </w:r>
          </w:p>
        </w:tc>
        <w:tc>
          <w:tcPr>
            <w:tcW w:w="1019" w:type="dxa"/>
            <w:tcBorders>
              <w:top w:val="nil"/>
              <w:left w:val="nil"/>
              <w:bottom w:val="single" w:sz="8" w:space="0" w:color="B8CCE4"/>
              <w:right w:val="single" w:sz="8" w:space="0" w:color="B8CCE4"/>
            </w:tcBorders>
          </w:tcPr>
          <w:p w14:paraId="75432CD8" w14:textId="77777777" w:rsidR="00C156A0" w:rsidRPr="00C156A0" w:rsidRDefault="00C156A0" w:rsidP="00C156A0">
            <w:pPr>
              <w:spacing w:before="0" w:line="240" w:lineRule="auto"/>
              <w:jc w:val="center"/>
              <w:rPr>
                <w:rFonts w:cs="Calibri"/>
                <w:color w:val="000000"/>
                <w:sz w:val="16"/>
                <w:szCs w:val="16"/>
                <w:lang w:val="sq-AL" w:eastAsia="en-GB"/>
              </w:rPr>
            </w:pPr>
          </w:p>
        </w:tc>
        <w:tc>
          <w:tcPr>
            <w:tcW w:w="915" w:type="dxa"/>
            <w:tcBorders>
              <w:top w:val="nil"/>
              <w:left w:val="nil"/>
              <w:bottom w:val="single" w:sz="8" w:space="0" w:color="B8CCE4"/>
              <w:right w:val="single" w:sz="8" w:space="0" w:color="B8CCE4"/>
            </w:tcBorders>
          </w:tcPr>
          <w:p w14:paraId="2D1C4AB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28,820</w:t>
            </w:r>
          </w:p>
        </w:tc>
        <w:tc>
          <w:tcPr>
            <w:tcW w:w="650" w:type="dxa"/>
            <w:tcBorders>
              <w:top w:val="nil"/>
              <w:left w:val="nil"/>
              <w:bottom w:val="single" w:sz="8" w:space="0" w:color="B8CCE4"/>
              <w:right w:val="single" w:sz="8" w:space="0" w:color="B8CCE4"/>
            </w:tcBorders>
          </w:tcPr>
          <w:p w14:paraId="316B05DB"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651" w:type="dxa"/>
            <w:tcBorders>
              <w:top w:val="nil"/>
              <w:left w:val="nil"/>
              <w:bottom w:val="single" w:sz="8" w:space="0" w:color="B8CCE4"/>
              <w:right w:val="single" w:sz="8" w:space="0" w:color="B8CCE4"/>
            </w:tcBorders>
          </w:tcPr>
          <w:p w14:paraId="71CC5EF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62" w:type="dxa"/>
            <w:tcBorders>
              <w:top w:val="nil"/>
              <w:left w:val="nil"/>
              <w:bottom w:val="single" w:sz="8" w:space="0" w:color="B8CCE4"/>
              <w:right w:val="single" w:sz="8" w:space="0" w:color="B8CCE4"/>
            </w:tcBorders>
          </w:tcPr>
          <w:p w14:paraId="4863798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w:t>
            </w:r>
          </w:p>
        </w:tc>
        <w:tc>
          <w:tcPr>
            <w:tcW w:w="563" w:type="dxa"/>
            <w:tcBorders>
              <w:top w:val="nil"/>
              <w:left w:val="nil"/>
              <w:bottom w:val="single" w:sz="8" w:space="0" w:color="B8CCE4"/>
              <w:right w:val="single" w:sz="8" w:space="0" w:color="B8CCE4"/>
            </w:tcBorders>
          </w:tcPr>
          <w:p w14:paraId="2B3AF80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32%</w:t>
            </w:r>
          </w:p>
        </w:tc>
      </w:tr>
      <w:tr w:rsidR="00C156A0" w:rsidRPr="00C156A0" w14:paraId="6BD4568A" w14:textId="77777777" w:rsidTr="008A6B67">
        <w:trPr>
          <w:trHeight w:val="124"/>
          <w:jc w:val="center"/>
        </w:trPr>
        <w:tc>
          <w:tcPr>
            <w:tcW w:w="1830" w:type="dxa"/>
            <w:tcBorders>
              <w:top w:val="nil"/>
              <w:left w:val="single" w:sz="8" w:space="0" w:color="B8CCE4"/>
              <w:bottom w:val="single" w:sz="8" w:space="0" w:color="B8CCE4"/>
              <w:right w:val="single" w:sz="8" w:space="0" w:color="B8CCE4"/>
            </w:tcBorders>
            <w:hideMark/>
          </w:tcPr>
          <w:p w14:paraId="5F6EB1D8"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Shërbimi i Provës</w:t>
            </w:r>
          </w:p>
        </w:tc>
        <w:tc>
          <w:tcPr>
            <w:tcW w:w="985" w:type="dxa"/>
            <w:tcBorders>
              <w:top w:val="nil"/>
              <w:left w:val="nil"/>
              <w:bottom w:val="single" w:sz="8" w:space="0" w:color="B8CCE4"/>
              <w:right w:val="single" w:sz="8" w:space="0" w:color="B8CCE4"/>
            </w:tcBorders>
          </w:tcPr>
          <w:p w14:paraId="34A9A168"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211,388</w:t>
            </w:r>
          </w:p>
        </w:tc>
        <w:tc>
          <w:tcPr>
            <w:tcW w:w="986" w:type="dxa"/>
            <w:tcBorders>
              <w:top w:val="nil"/>
              <w:left w:val="nil"/>
              <w:bottom w:val="single" w:sz="8" w:space="0" w:color="B8CCE4"/>
              <w:right w:val="single" w:sz="8" w:space="0" w:color="B8CCE4"/>
            </w:tcBorders>
          </w:tcPr>
          <w:p w14:paraId="6AA1E8DF"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2,000</w:t>
            </w:r>
          </w:p>
        </w:tc>
        <w:tc>
          <w:tcPr>
            <w:tcW w:w="985" w:type="dxa"/>
            <w:tcBorders>
              <w:top w:val="nil"/>
              <w:left w:val="nil"/>
              <w:bottom w:val="single" w:sz="8" w:space="0" w:color="B8CCE4"/>
              <w:right w:val="single" w:sz="8" w:space="0" w:color="B8CCE4"/>
            </w:tcBorders>
          </w:tcPr>
          <w:p w14:paraId="606FA7E6"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210,338</w:t>
            </w:r>
          </w:p>
        </w:tc>
        <w:tc>
          <w:tcPr>
            <w:tcW w:w="985" w:type="dxa"/>
            <w:tcBorders>
              <w:top w:val="nil"/>
              <w:left w:val="nil"/>
              <w:bottom w:val="single" w:sz="8" w:space="0" w:color="B8CCE4"/>
              <w:right w:val="single" w:sz="8" w:space="0" w:color="B8CCE4"/>
            </w:tcBorders>
          </w:tcPr>
          <w:p w14:paraId="36890A2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2,000</w:t>
            </w:r>
          </w:p>
        </w:tc>
        <w:tc>
          <w:tcPr>
            <w:tcW w:w="1019" w:type="dxa"/>
            <w:tcBorders>
              <w:top w:val="nil"/>
              <w:left w:val="nil"/>
              <w:bottom w:val="single" w:sz="8" w:space="0" w:color="B8CCE4"/>
              <w:right w:val="single" w:sz="8" w:space="0" w:color="B8CCE4"/>
            </w:tcBorders>
          </w:tcPr>
          <w:p w14:paraId="42586891"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203,099</w:t>
            </w:r>
          </w:p>
        </w:tc>
        <w:tc>
          <w:tcPr>
            <w:tcW w:w="915" w:type="dxa"/>
            <w:tcBorders>
              <w:top w:val="nil"/>
              <w:left w:val="nil"/>
              <w:bottom w:val="single" w:sz="8" w:space="0" w:color="B8CCE4"/>
              <w:right w:val="single" w:sz="8" w:space="0" w:color="B8CCE4"/>
            </w:tcBorders>
          </w:tcPr>
          <w:p w14:paraId="54B0650E"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170</w:t>
            </w:r>
          </w:p>
        </w:tc>
        <w:tc>
          <w:tcPr>
            <w:tcW w:w="650" w:type="dxa"/>
            <w:tcBorders>
              <w:top w:val="nil"/>
              <w:left w:val="nil"/>
              <w:bottom w:val="single" w:sz="8" w:space="0" w:color="B8CCE4"/>
              <w:right w:val="single" w:sz="8" w:space="0" w:color="B8CCE4"/>
            </w:tcBorders>
          </w:tcPr>
          <w:p w14:paraId="0E21B6E3"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96%</w:t>
            </w:r>
          </w:p>
        </w:tc>
        <w:tc>
          <w:tcPr>
            <w:tcW w:w="651" w:type="dxa"/>
            <w:tcBorders>
              <w:top w:val="nil"/>
              <w:left w:val="nil"/>
              <w:bottom w:val="single" w:sz="8" w:space="0" w:color="B8CCE4"/>
              <w:right w:val="single" w:sz="8" w:space="0" w:color="B8CCE4"/>
            </w:tcBorders>
          </w:tcPr>
          <w:p w14:paraId="3E71CC0D"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w:t>
            </w:r>
          </w:p>
        </w:tc>
        <w:tc>
          <w:tcPr>
            <w:tcW w:w="562" w:type="dxa"/>
            <w:tcBorders>
              <w:top w:val="nil"/>
              <w:left w:val="nil"/>
              <w:bottom w:val="single" w:sz="8" w:space="0" w:color="B8CCE4"/>
              <w:right w:val="single" w:sz="8" w:space="0" w:color="B8CCE4"/>
            </w:tcBorders>
          </w:tcPr>
          <w:p w14:paraId="2EADE14C"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97%</w:t>
            </w:r>
          </w:p>
        </w:tc>
        <w:tc>
          <w:tcPr>
            <w:tcW w:w="563" w:type="dxa"/>
            <w:tcBorders>
              <w:top w:val="nil"/>
              <w:left w:val="nil"/>
              <w:bottom w:val="single" w:sz="8" w:space="0" w:color="B8CCE4"/>
              <w:right w:val="single" w:sz="8" w:space="0" w:color="B8CCE4"/>
            </w:tcBorders>
          </w:tcPr>
          <w:p w14:paraId="5FA8DA87" w14:textId="77777777" w:rsidR="00C156A0" w:rsidRPr="00C156A0" w:rsidRDefault="00C156A0" w:rsidP="00C156A0">
            <w:pPr>
              <w:spacing w:before="0" w:line="240" w:lineRule="auto"/>
              <w:jc w:val="center"/>
              <w:rPr>
                <w:rFonts w:cs="Calibri"/>
                <w:color w:val="000000"/>
                <w:sz w:val="16"/>
                <w:szCs w:val="16"/>
                <w:lang w:val="sq-AL" w:eastAsia="en-GB"/>
              </w:rPr>
            </w:pPr>
            <w:r w:rsidRPr="00C156A0">
              <w:rPr>
                <w:rFonts w:cs="Calibri"/>
                <w:color w:val="000000"/>
                <w:sz w:val="16"/>
                <w:szCs w:val="16"/>
                <w:lang w:val="sq-AL" w:eastAsia="en-GB"/>
              </w:rPr>
              <w:t>9%</w:t>
            </w:r>
          </w:p>
        </w:tc>
      </w:tr>
      <w:tr w:rsidR="00C156A0" w:rsidRPr="00C156A0" w14:paraId="32D05B1A" w14:textId="77777777" w:rsidTr="008A6B67">
        <w:trPr>
          <w:trHeight w:val="124"/>
          <w:jc w:val="center"/>
        </w:trPr>
        <w:tc>
          <w:tcPr>
            <w:tcW w:w="1830" w:type="dxa"/>
            <w:tcBorders>
              <w:top w:val="nil"/>
              <w:left w:val="nil"/>
              <w:bottom w:val="single" w:sz="8" w:space="0" w:color="B8CCE4"/>
              <w:right w:val="single" w:sz="8" w:space="0" w:color="B8CCE4"/>
            </w:tcBorders>
            <w:shd w:val="clear" w:color="000000" w:fill="366092"/>
            <w:vAlign w:val="center"/>
            <w:hideMark/>
          </w:tcPr>
          <w:p w14:paraId="4C08E2BE"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Totali sipas natyrës</w:t>
            </w:r>
          </w:p>
        </w:tc>
        <w:tc>
          <w:tcPr>
            <w:tcW w:w="985" w:type="dxa"/>
            <w:tcBorders>
              <w:top w:val="nil"/>
              <w:left w:val="nil"/>
              <w:bottom w:val="single" w:sz="8" w:space="0" w:color="B8CCE4"/>
              <w:right w:val="single" w:sz="8" w:space="0" w:color="B8CCE4"/>
            </w:tcBorders>
            <w:shd w:val="clear" w:color="000000" w:fill="366092"/>
          </w:tcPr>
          <w:p w14:paraId="0BEF818C"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12,831,930</w:t>
            </w:r>
          </w:p>
        </w:tc>
        <w:tc>
          <w:tcPr>
            <w:tcW w:w="986" w:type="dxa"/>
            <w:tcBorders>
              <w:top w:val="nil"/>
              <w:left w:val="nil"/>
              <w:bottom w:val="single" w:sz="8" w:space="0" w:color="B8CCE4"/>
              <w:right w:val="single" w:sz="8" w:space="0" w:color="B8CCE4"/>
            </w:tcBorders>
            <w:shd w:val="clear" w:color="000000" w:fill="366092"/>
          </w:tcPr>
          <w:p w14:paraId="7E498842"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1,540,990</w:t>
            </w:r>
          </w:p>
        </w:tc>
        <w:tc>
          <w:tcPr>
            <w:tcW w:w="985" w:type="dxa"/>
            <w:tcBorders>
              <w:top w:val="nil"/>
              <w:left w:val="nil"/>
              <w:bottom w:val="nil"/>
              <w:right w:val="single" w:sz="8" w:space="0" w:color="B8CCE4"/>
            </w:tcBorders>
            <w:shd w:val="clear" w:color="000000" w:fill="366092"/>
          </w:tcPr>
          <w:p w14:paraId="65FD5937"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13,700,662</w:t>
            </w:r>
          </w:p>
        </w:tc>
        <w:tc>
          <w:tcPr>
            <w:tcW w:w="985" w:type="dxa"/>
            <w:tcBorders>
              <w:top w:val="nil"/>
              <w:left w:val="nil"/>
              <w:bottom w:val="nil"/>
              <w:right w:val="single" w:sz="8" w:space="0" w:color="B8CCE4"/>
            </w:tcBorders>
            <w:shd w:val="clear" w:color="000000" w:fill="366092"/>
          </w:tcPr>
          <w:p w14:paraId="43547BF5"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1,997,587</w:t>
            </w:r>
          </w:p>
        </w:tc>
        <w:tc>
          <w:tcPr>
            <w:tcW w:w="1019" w:type="dxa"/>
            <w:tcBorders>
              <w:top w:val="nil"/>
              <w:left w:val="nil"/>
              <w:bottom w:val="nil"/>
              <w:right w:val="single" w:sz="8" w:space="0" w:color="B8CCE4"/>
            </w:tcBorders>
            <w:shd w:val="clear" w:color="000000" w:fill="366092"/>
          </w:tcPr>
          <w:p w14:paraId="1B242BD7"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13,120,985</w:t>
            </w:r>
          </w:p>
        </w:tc>
        <w:tc>
          <w:tcPr>
            <w:tcW w:w="915" w:type="dxa"/>
            <w:tcBorders>
              <w:top w:val="nil"/>
              <w:left w:val="nil"/>
              <w:bottom w:val="nil"/>
              <w:right w:val="single" w:sz="8" w:space="0" w:color="B8CCE4"/>
            </w:tcBorders>
            <w:shd w:val="clear" w:color="000000" w:fill="366092"/>
          </w:tcPr>
          <w:p w14:paraId="55B295AB"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1,809,835</w:t>
            </w:r>
          </w:p>
        </w:tc>
        <w:tc>
          <w:tcPr>
            <w:tcW w:w="650" w:type="dxa"/>
            <w:tcBorders>
              <w:top w:val="nil"/>
              <w:left w:val="nil"/>
              <w:bottom w:val="single" w:sz="8" w:space="0" w:color="B8CCE4"/>
              <w:right w:val="single" w:sz="8" w:space="0" w:color="B8CCE4"/>
            </w:tcBorders>
            <w:shd w:val="clear" w:color="000000" w:fill="366092"/>
          </w:tcPr>
          <w:p w14:paraId="3F24B4A9"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102%</w:t>
            </w:r>
          </w:p>
        </w:tc>
        <w:tc>
          <w:tcPr>
            <w:tcW w:w="651" w:type="dxa"/>
            <w:tcBorders>
              <w:top w:val="nil"/>
              <w:left w:val="nil"/>
              <w:bottom w:val="single" w:sz="8" w:space="0" w:color="B8CCE4"/>
              <w:right w:val="single" w:sz="8" w:space="0" w:color="B8CCE4"/>
            </w:tcBorders>
            <w:shd w:val="clear" w:color="000000" w:fill="366092"/>
          </w:tcPr>
          <w:p w14:paraId="7E3394AD"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117%</w:t>
            </w:r>
          </w:p>
        </w:tc>
        <w:tc>
          <w:tcPr>
            <w:tcW w:w="562" w:type="dxa"/>
            <w:tcBorders>
              <w:top w:val="nil"/>
              <w:left w:val="nil"/>
              <w:bottom w:val="single" w:sz="8" w:space="0" w:color="B8CCE4"/>
              <w:right w:val="single" w:sz="8" w:space="0" w:color="B8CCE4"/>
            </w:tcBorders>
            <w:shd w:val="clear" w:color="000000" w:fill="366092"/>
          </w:tcPr>
          <w:p w14:paraId="1BDBB686"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96%</w:t>
            </w:r>
          </w:p>
        </w:tc>
        <w:tc>
          <w:tcPr>
            <w:tcW w:w="563" w:type="dxa"/>
            <w:tcBorders>
              <w:top w:val="nil"/>
              <w:left w:val="nil"/>
              <w:bottom w:val="single" w:sz="8" w:space="0" w:color="B8CCE4"/>
              <w:right w:val="single" w:sz="8" w:space="0" w:color="B8CCE4"/>
            </w:tcBorders>
            <w:shd w:val="clear" w:color="000000" w:fill="366092"/>
          </w:tcPr>
          <w:p w14:paraId="56F5E7F4"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91%</w:t>
            </w:r>
          </w:p>
        </w:tc>
      </w:tr>
      <w:tr w:rsidR="00C156A0" w:rsidRPr="00C156A0" w14:paraId="3D7FCEBB" w14:textId="77777777" w:rsidTr="008A6B67">
        <w:trPr>
          <w:trHeight w:val="124"/>
          <w:jc w:val="center"/>
        </w:trPr>
        <w:tc>
          <w:tcPr>
            <w:tcW w:w="1830" w:type="dxa"/>
            <w:tcBorders>
              <w:top w:val="nil"/>
              <w:left w:val="single" w:sz="8" w:space="0" w:color="B8CCE4"/>
              <w:bottom w:val="single" w:sz="8" w:space="0" w:color="B8CCE4"/>
              <w:right w:val="single" w:sz="8" w:space="0" w:color="B8CCE4"/>
            </w:tcBorders>
            <w:shd w:val="clear" w:color="000000" w:fill="365F91"/>
            <w:vAlign w:val="center"/>
            <w:hideMark/>
          </w:tcPr>
          <w:p w14:paraId="7E43B7A7"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Totali</w:t>
            </w:r>
          </w:p>
        </w:tc>
        <w:tc>
          <w:tcPr>
            <w:tcW w:w="1971" w:type="dxa"/>
            <w:gridSpan w:val="2"/>
            <w:tcBorders>
              <w:top w:val="single" w:sz="8" w:space="0" w:color="B8CCE4"/>
              <w:left w:val="nil"/>
              <w:bottom w:val="single" w:sz="8" w:space="0" w:color="B8CCE4"/>
              <w:right w:val="single" w:sz="8" w:space="0" w:color="B8CCE4"/>
            </w:tcBorders>
            <w:shd w:val="clear" w:color="000000" w:fill="365F91"/>
          </w:tcPr>
          <w:p w14:paraId="06E97F40"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14,372,920</w:t>
            </w:r>
          </w:p>
        </w:tc>
        <w:tc>
          <w:tcPr>
            <w:tcW w:w="1970" w:type="dxa"/>
            <w:gridSpan w:val="2"/>
            <w:tcBorders>
              <w:top w:val="single" w:sz="8" w:space="0" w:color="BFBFBF"/>
              <w:left w:val="nil"/>
              <w:bottom w:val="single" w:sz="8" w:space="0" w:color="B8CCE4"/>
              <w:right w:val="single" w:sz="8" w:space="0" w:color="B8CCE4"/>
            </w:tcBorders>
            <w:shd w:val="clear" w:color="000000" w:fill="365F91"/>
          </w:tcPr>
          <w:p w14:paraId="46C37E36"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15,698,249</w:t>
            </w:r>
          </w:p>
        </w:tc>
        <w:tc>
          <w:tcPr>
            <w:tcW w:w="1934" w:type="dxa"/>
            <w:gridSpan w:val="2"/>
            <w:tcBorders>
              <w:top w:val="single" w:sz="8" w:space="0" w:color="BFBFBF"/>
              <w:left w:val="nil"/>
              <w:bottom w:val="single" w:sz="8" w:space="0" w:color="B8CCE4"/>
              <w:right w:val="single" w:sz="8" w:space="0" w:color="B8CCE4"/>
            </w:tcBorders>
            <w:shd w:val="clear" w:color="000000" w:fill="365F91"/>
          </w:tcPr>
          <w:p w14:paraId="54CDADCA"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14,930,820</w:t>
            </w:r>
          </w:p>
        </w:tc>
        <w:tc>
          <w:tcPr>
            <w:tcW w:w="1302" w:type="dxa"/>
            <w:gridSpan w:val="2"/>
            <w:tcBorders>
              <w:top w:val="single" w:sz="8" w:space="0" w:color="B8CCE4"/>
              <w:left w:val="nil"/>
              <w:bottom w:val="single" w:sz="8" w:space="0" w:color="B8CCE4"/>
              <w:right w:val="single" w:sz="8" w:space="0" w:color="B8CCE4"/>
            </w:tcBorders>
            <w:shd w:val="clear" w:color="000000" w:fill="365F91"/>
          </w:tcPr>
          <w:p w14:paraId="719105DB"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104%</w:t>
            </w:r>
          </w:p>
        </w:tc>
        <w:tc>
          <w:tcPr>
            <w:tcW w:w="1126" w:type="dxa"/>
            <w:gridSpan w:val="2"/>
            <w:tcBorders>
              <w:top w:val="single" w:sz="8" w:space="0" w:color="B8CCE4"/>
              <w:left w:val="nil"/>
              <w:bottom w:val="single" w:sz="8" w:space="0" w:color="B8CCE4"/>
              <w:right w:val="single" w:sz="8" w:space="0" w:color="B8CCE4"/>
            </w:tcBorders>
            <w:shd w:val="clear" w:color="000000" w:fill="365F91"/>
          </w:tcPr>
          <w:p w14:paraId="639A9CD7" w14:textId="77777777" w:rsidR="00C156A0" w:rsidRPr="00C156A0" w:rsidRDefault="00C156A0" w:rsidP="00C156A0">
            <w:pPr>
              <w:spacing w:before="0" w:line="240" w:lineRule="auto"/>
              <w:jc w:val="center"/>
              <w:rPr>
                <w:b/>
                <w:bCs/>
                <w:color w:val="FFFFFF"/>
                <w:sz w:val="16"/>
                <w:szCs w:val="16"/>
                <w:lang w:val="sq-AL" w:eastAsia="sq-AL"/>
              </w:rPr>
            </w:pPr>
            <w:r w:rsidRPr="00C156A0">
              <w:rPr>
                <w:b/>
                <w:bCs/>
                <w:color w:val="FFFFFF"/>
                <w:sz w:val="16"/>
                <w:szCs w:val="16"/>
                <w:lang w:val="sq-AL" w:eastAsia="sq-AL"/>
              </w:rPr>
              <w:t>95%</w:t>
            </w:r>
          </w:p>
        </w:tc>
      </w:tr>
    </w:tbl>
    <w:p w14:paraId="6B2AA19D" w14:textId="77777777" w:rsidR="00C156A0" w:rsidRPr="008A6B67" w:rsidRDefault="00C156A0" w:rsidP="00C156A0">
      <w:pPr>
        <w:spacing w:before="0" w:line="240" w:lineRule="auto"/>
        <w:rPr>
          <w:spacing w:val="-2"/>
          <w:sz w:val="8"/>
          <w:szCs w:val="10"/>
          <w:lang w:val="sq-AL"/>
        </w:rPr>
      </w:pPr>
    </w:p>
    <w:p w14:paraId="5D870164" w14:textId="4BCEBCC7" w:rsidR="00C156A0" w:rsidRPr="00C156A0" w:rsidRDefault="00C156A0" w:rsidP="00C156A0">
      <w:pPr>
        <w:spacing w:before="0" w:line="240" w:lineRule="auto"/>
        <w:rPr>
          <w:color w:val="000000"/>
          <w:spacing w:val="11"/>
          <w:lang w:val="sq-AL"/>
        </w:rPr>
      </w:pPr>
      <w:r w:rsidRPr="00C156A0">
        <w:rPr>
          <w:spacing w:val="-2"/>
          <w:lang w:val="sq-AL"/>
        </w:rPr>
        <w:t>B</w:t>
      </w:r>
      <w:r w:rsidRPr="00C156A0">
        <w:rPr>
          <w:lang w:val="sq-AL"/>
        </w:rPr>
        <w:t>u</w:t>
      </w:r>
      <w:r w:rsidRPr="00C156A0">
        <w:rPr>
          <w:spacing w:val="2"/>
          <w:lang w:val="sq-AL"/>
        </w:rPr>
        <w:t>x</w:t>
      </w:r>
      <w:r w:rsidRPr="00C156A0">
        <w:rPr>
          <w:lang w:val="sq-AL"/>
        </w:rPr>
        <w:t>h</w:t>
      </w:r>
      <w:r w:rsidRPr="00C156A0">
        <w:rPr>
          <w:spacing w:val="-1"/>
          <w:lang w:val="sq-AL"/>
        </w:rPr>
        <w:t>e</w:t>
      </w:r>
      <w:r w:rsidRPr="00C156A0">
        <w:rPr>
          <w:lang w:val="sq-AL"/>
        </w:rPr>
        <w:t xml:space="preserve">ti vjetor fillestar i Ministrisë së Drejtësisë u rishikua me një rritje gjatë vitit 2025 (9.2% më shumë se buxheti fillestar). Realizimi faktik ishte </w:t>
      </w:r>
      <w:r w:rsidRPr="00C156A0">
        <w:rPr>
          <w:color w:val="000000"/>
          <w:lang w:val="sq-AL"/>
        </w:rPr>
        <w:t xml:space="preserve">14.9 </w:t>
      </w:r>
      <w:r w:rsidR="0056260B">
        <w:rPr>
          <w:color w:val="000000"/>
          <w:lang w:val="sq-AL"/>
        </w:rPr>
        <w:t>miliardë</w:t>
      </w:r>
      <w:r w:rsidRPr="00C156A0">
        <w:rPr>
          <w:lang w:val="sq-AL"/>
        </w:rPr>
        <w:t xml:space="preserve"> LEK ose 104% e buxhetit fillestar dhe 95% e buxhetit të rishikuar. Realizimi i shpenzimeve përkundrejt planit fillestar ishte 102% për shpenzimet korente dhe 117% për shpenzimet kapitale. Në krahasim me buxhetin e rishikuar realizimi ishte, rreth 96% për shpenzimet korente dhe 91% për investimet.</w:t>
      </w:r>
    </w:p>
    <w:p w14:paraId="1F4D2ED3" w14:textId="3C292024" w:rsidR="00C156A0" w:rsidRPr="00C156A0" w:rsidRDefault="00C156A0" w:rsidP="00C156A0">
      <w:pPr>
        <w:spacing w:line="240" w:lineRule="auto"/>
        <w:rPr>
          <w:rFonts w:eastAsia="Calibri"/>
          <w:lang w:val="sq-AL"/>
        </w:rPr>
      </w:pPr>
      <w:r w:rsidRPr="00C156A0">
        <w:rPr>
          <w:rFonts w:eastAsia="Calibri"/>
          <w:lang w:val="sq-AL"/>
        </w:rPr>
        <w:t>Në programin “</w:t>
      </w:r>
      <w:r w:rsidRPr="00C156A0">
        <w:rPr>
          <w:rFonts w:eastAsia="Calibri"/>
          <w:b/>
          <w:lang w:val="sq-AL"/>
        </w:rPr>
        <w:t>Shërbimi i Kthimit dhe Kompensimit të Pronave</w:t>
      </w:r>
      <w:r w:rsidRPr="00C156A0">
        <w:rPr>
          <w:rFonts w:eastAsia="Calibri"/>
          <w:lang w:val="sq-AL"/>
        </w:rPr>
        <w:t xml:space="preserve">” janë realizuar produkte me kosto faktike 4.3 </w:t>
      </w:r>
      <w:r w:rsidR="0056260B">
        <w:rPr>
          <w:rFonts w:eastAsia="Calibri"/>
          <w:lang w:val="sq-AL"/>
        </w:rPr>
        <w:t>miliardë</w:t>
      </w:r>
      <w:r w:rsidRPr="00C156A0">
        <w:rPr>
          <w:rFonts w:eastAsia="Calibri"/>
          <w:lang w:val="sq-AL"/>
        </w:rPr>
        <w:t xml:space="preserve"> LEK ndër të cilat përmendim:</w:t>
      </w:r>
    </w:p>
    <w:p w14:paraId="35446FA1" w14:textId="1E08B964" w:rsidR="00D860A0" w:rsidRPr="008A6B67" w:rsidRDefault="00D860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3,527 subjekte janë likuiduar plotësisht për kompensimin e pronave të prekura nga ndërtimet informale, me kosto faktike rreth 1.4 </w:t>
      </w:r>
      <w:r w:rsidR="0056260B" w:rsidRPr="008A6B67">
        <w:rPr>
          <w:rFonts w:eastAsia="Calibri"/>
          <w:i/>
          <w:szCs w:val="22"/>
          <w:lang w:val="sq-AL"/>
        </w:rPr>
        <w:t>miliardë</w:t>
      </w:r>
      <w:r w:rsidRPr="008A6B67">
        <w:rPr>
          <w:rFonts w:eastAsia="Calibri"/>
          <w:i/>
          <w:szCs w:val="22"/>
          <w:lang w:val="sq-AL"/>
        </w:rPr>
        <w:t xml:space="preserve"> LEK;</w:t>
      </w:r>
    </w:p>
    <w:p w14:paraId="4BC5CEEB" w14:textId="6686B6B3" w:rsidR="00D860A0" w:rsidRPr="008A6B67" w:rsidRDefault="00D860A0">
      <w:pPr>
        <w:numPr>
          <w:ilvl w:val="0"/>
          <w:numId w:val="19"/>
        </w:numPr>
        <w:spacing w:before="0" w:after="160" w:line="240" w:lineRule="auto"/>
        <w:contextualSpacing/>
        <w:rPr>
          <w:rFonts w:eastAsia="Calibri"/>
          <w:i/>
          <w:szCs w:val="22"/>
          <w:lang w:val="sq-AL"/>
        </w:rPr>
      </w:pPr>
      <w:r w:rsidRPr="008A6B67">
        <w:rPr>
          <w:rFonts w:eastAsia="Calibri"/>
          <w:i/>
          <w:szCs w:val="22"/>
          <w:lang w:val="sq-AL"/>
        </w:rPr>
        <w:t>626</w:t>
      </w:r>
      <w:r w:rsidRPr="008A6B67">
        <w:rPr>
          <w:sz w:val="24"/>
          <w:szCs w:val="28"/>
          <w:lang w:val="sq-AL"/>
        </w:rPr>
        <w:t xml:space="preserve"> </w:t>
      </w:r>
      <w:r w:rsidRPr="008A6B67">
        <w:rPr>
          <w:rFonts w:eastAsia="Calibri"/>
          <w:i/>
          <w:szCs w:val="22"/>
          <w:lang w:val="sq-AL"/>
        </w:rPr>
        <w:t xml:space="preserve">subjekte janë likuiduar për 70% të vlerës së kompensimit të pronave që janë prekur nga ndërtimet informale, me kosto faktike rreth 677.6 </w:t>
      </w:r>
      <w:r w:rsidR="0056260B" w:rsidRPr="008A6B67">
        <w:rPr>
          <w:rFonts w:eastAsia="Calibri"/>
          <w:i/>
          <w:szCs w:val="22"/>
          <w:lang w:val="sq-AL"/>
        </w:rPr>
        <w:t>milionë</w:t>
      </w:r>
      <w:r w:rsidRPr="008A6B67">
        <w:rPr>
          <w:rFonts w:eastAsia="Calibri"/>
          <w:i/>
          <w:szCs w:val="22"/>
          <w:lang w:val="sq-AL"/>
        </w:rPr>
        <w:t xml:space="preserve"> LEK;</w:t>
      </w:r>
    </w:p>
    <w:p w14:paraId="6F0A11CB" w14:textId="1FFB1DF9" w:rsidR="00C156A0"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“Shpërndarja e fondit fizik dhe financiar” për 96 subjekte, me kosto faktike rreth 294.1 </w:t>
      </w:r>
      <w:r w:rsidR="0056260B" w:rsidRPr="008A6B67">
        <w:rPr>
          <w:rFonts w:eastAsia="Calibri"/>
          <w:i/>
          <w:szCs w:val="22"/>
          <w:lang w:val="sq-AL"/>
        </w:rPr>
        <w:t>miliardë</w:t>
      </w:r>
      <w:r w:rsidRPr="008A6B67">
        <w:rPr>
          <w:rFonts w:eastAsia="Calibri"/>
          <w:i/>
          <w:szCs w:val="22"/>
          <w:lang w:val="sq-AL"/>
        </w:rPr>
        <w:t xml:space="preserve"> LEK; </w:t>
      </w:r>
    </w:p>
    <w:p w14:paraId="40637659" w14:textId="7AC2B96A" w:rsidR="00C156A0"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255 raste gjyqësore janë depozituar për “Mbrojtja e interesave të ATP në proceset gjyqësore”, </w:t>
      </w:r>
      <w:r w:rsidR="008A6B67">
        <w:rPr>
          <w:rFonts w:eastAsia="Calibri"/>
          <w:i/>
          <w:szCs w:val="22"/>
          <w:lang w:val="sq-AL"/>
        </w:rPr>
        <w:t>për</w:t>
      </w:r>
      <w:r w:rsidRPr="008A6B67">
        <w:rPr>
          <w:rFonts w:eastAsia="Calibri"/>
          <w:i/>
          <w:szCs w:val="22"/>
          <w:lang w:val="sq-AL"/>
        </w:rPr>
        <w:t xml:space="preserve"> çështje njohje të drejte pronësie apo që kanë të bëjnë me vlerësimin e pronës së njohur për kompensim;</w:t>
      </w:r>
    </w:p>
    <w:p w14:paraId="42C00900" w14:textId="77777777" w:rsidR="00C156A0"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101 kërkesa të trajtuara për njohje pronësie, ndërsa 159 subjekte të tjera janë në fazë plotësimi dokumentacioni. </w:t>
      </w:r>
    </w:p>
    <w:p w14:paraId="214F7050" w14:textId="77777777" w:rsidR="0026040E" w:rsidRPr="008A6B67" w:rsidRDefault="0026040E" w:rsidP="0026040E">
      <w:pPr>
        <w:spacing w:before="0" w:line="240" w:lineRule="auto"/>
        <w:rPr>
          <w:rFonts w:eastAsia="Calibri"/>
          <w:sz w:val="8"/>
          <w:szCs w:val="10"/>
          <w:lang w:val="sq-AL"/>
        </w:rPr>
      </w:pPr>
    </w:p>
    <w:p w14:paraId="5C262894" w14:textId="1DD1AF54" w:rsidR="00C156A0" w:rsidRPr="00C156A0" w:rsidRDefault="00C156A0" w:rsidP="0026040E">
      <w:pPr>
        <w:spacing w:before="0" w:line="240" w:lineRule="auto"/>
        <w:rPr>
          <w:rFonts w:eastAsia="Calibri"/>
          <w:lang w:val="sq-AL"/>
        </w:rPr>
      </w:pPr>
      <w:r w:rsidRPr="00C156A0">
        <w:rPr>
          <w:rFonts w:eastAsia="Calibri"/>
          <w:lang w:val="sq-AL"/>
        </w:rPr>
        <w:t>Në programin “</w:t>
      </w:r>
      <w:r w:rsidRPr="00C156A0">
        <w:rPr>
          <w:rFonts w:eastAsia="Calibri"/>
          <w:b/>
          <w:lang w:val="sq-AL"/>
        </w:rPr>
        <w:t>Shërbimi i Provës</w:t>
      </w:r>
      <w:r w:rsidRPr="00C156A0">
        <w:rPr>
          <w:rFonts w:eastAsia="Calibri"/>
          <w:lang w:val="sq-AL"/>
        </w:rPr>
        <w:t xml:space="preserve">” janë realizuar produkte me kosto faktike 203 </w:t>
      </w:r>
      <w:r w:rsidR="0056260B">
        <w:rPr>
          <w:rFonts w:eastAsia="Calibri"/>
          <w:lang w:val="sq-AL"/>
        </w:rPr>
        <w:t>milionë</w:t>
      </w:r>
      <w:r w:rsidRPr="00C156A0">
        <w:rPr>
          <w:rFonts w:eastAsia="Calibri"/>
          <w:lang w:val="sq-AL"/>
        </w:rPr>
        <w:t xml:space="preserve"> LEK, ku raportohet të jenë realizuar:</w:t>
      </w:r>
    </w:p>
    <w:p w14:paraId="3EEF9EF7" w14:textId="7CAEF236" w:rsidR="00C156A0"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8,760 burra të “Mbikëqyrur me dënim alternativ” në të gjitha Degët e Shërbimit të Provës në rrethe dhe nga Drejtoria e Përgjithshme, me kosto faktike 194.8 </w:t>
      </w:r>
      <w:r w:rsidR="0056260B" w:rsidRPr="008A6B67">
        <w:rPr>
          <w:rFonts w:eastAsia="Calibri"/>
          <w:i/>
          <w:szCs w:val="22"/>
          <w:lang w:val="sq-AL"/>
        </w:rPr>
        <w:t>milionë</w:t>
      </w:r>
      <w:r w:rsidRPr="008A6B67">
        <w:rPr>
          <w:rFonts w:eastAsia="Calibri"/>
          <w:i/>
          <w:szCs w:val="22"/>
          <w:lang w:val="sq-AL"/>
        </w:rPr>
        <w:t xml:space="preserve"> LEK</w:t>
      </w:r>
      <w:r w:rsidR="00A40618" w:rsidRPr="008A6B67">
        <w:rPr>
          <w:rFonts w:eastAsia="Calibri"/>
          <w:i/>
          <w:szCs w:val="22"/>
          <w:lang w:val="sq-AL"/>
        </w:rPr>
        <w:t>;</w:t>
      </w:r>
    </w:p>
    <w:p w14:paraId="09B24479" w14:textId="2C96A5DF" w:rsidR="00C156A0"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 xml:space="preserve">698 “Gra të përfshira në programin e ri-integrimit”, me kosto faktike 5.9 </w:t>
      </w:r>
      <w:r w:rsidR="0056260B" w:rsidRPr="008A6B67">
        <w:rPr>
          <w:rFonts w:eastAsia="Calibri"/>
          <w:i/>
          <w:szCs w:val="22"/>
          <w:lang w:val="sq-AL"/>
        </w:rPr>
        <w:t>milionë</w:t>
      </w:r>
      <w:r w:rsidRPr="008A6B67">
        <w:rPr>
          <w:rFonts w:eastAsia="Calibri"/>
          <w:i/>
          <w:szCs w:val="22"/>
          <w:lang w:val="sq-AL"/>
        </w:rPr>
        <w:t xml:space="preserve"> LEK</w:t>
      </w:r>
      <w:r w:rsidR="00A40618" w:rsidRPr="008A6B67">
        <w:rPr>
          <w:rFonts w:eastAsia="Calibri"/>
          <w:i/>
          <w:szCs w:val="22"/>
          <w:lang w:val="sq-AL"/>
        </w:rPr>
        <w:t>;</w:t>
      </w:r>
    </w:p>
    <w:p w14:paraId="26B0E612" w14:textId="2C3B743E" w:rsidR="00320D28" w:rsidRPr="008A6B67" w:rsidRDefault="00C156A0">
      <w:pPr>
        <w:numPr>
          <w:ilvl w:val="0"/>
          <w:numId w:val="19"/>
        </w:numPr>
        <w:spacing w:before="0" w:after="160" w:line="240" w:lineRule="auto"/>
        <w:contextualSpacing/>
        <w:rPr>
          <w:rFonts w:eastAsia="Calibri"/>
          <w:i/>
          <w:szCs w:val="22"/>
          <w:lang w:val="sq-AL"/>
        </w:rPr>
      </w:pPr>
      <w:r w:rsidRPr="008A6B67">
        <w:rPr>
          <w:rFonts w:eastAsia="Calibri"/>
          <w:i/>
          <w:szCs w:val="22"/>
          <w:lang w:val="sq-AL"/>
        </w:rPr>
        <w:t>Janë trajtuar 312 “Të mitur në mbikëqyrje në shërbimin e provës”</w:t>
      </w:r>
      <w:r w:rsidR="00DD51F5" w:rsidRPr="008A6B67">
        <w:rPr>
          <w:rFonts w:eastAsia="Calibri"/>
          <w:i/>
          <w:szCs w:val="22"/>
          <w:lang w:val="sq-AL"/>
        </w:rPr>
        <w:t>,</w:t>
      </w:r>
      <w:r w:rsidRPr="008A6B67">
        <w:rPr>
          <w:rFonts w:eastAsia="Calibri"/>
          <w:i/>
          <w:szCs w:val="22"/>
          <w:lang w:val="sq-AL"/>
        </w:rPr>
        <w:t xml:space="preserve"> me kosto faktike 2.5 </w:t>
      </w:r>
      <w:r w:rsidR="0056260B" w:rsidRPr="008A6B67">
        <w:rPr>
          <w:rFonts w:eastAsia="Calibri"/>
          <w:i/>
          <w:szCs w:val="22"/>
          <w:lang w:val="sq-AL"/>
        </w:rPr>
        <w:t>milionë</w:t>
      </w:r>
      <w:r w:rsidRPr="008A6B67">
        <w:rPr>
          <w:rFonts w:eastAsia="Calibri"/>
          <w:i/>
          <w:szCs w:val="22"/>
          <w:lang w:val="sq-AL"/>
        </w:rPr>
        <w:t xml:space="preserve"> LEK.</w:t>
      </w:r>
    </w:p>
    <w:p w14:paraId="5679E137" w14:textId="77777777" w:rsidR="008A6B67" w:rsidRPr="008A6B67" w:rsidRDefault="008A6B67" w:rsidP="00C156A0">
      <w:pPr>
        <w:spacing w:line="240" w:lineRule="auto"/>
        <w:rPr>
          <w:rFonts w:eastAsia="Calibri"/>
          <w:bCs/>
          <w:sz w:val="4"/>
          <w:szCs w:val="6"/>
          <w:lang w:val="sq-AL"/>
        </w:rPr>
      </w:pPr>
    </w:p>
    <w:p w14:paraId="7DE95B31" w14:textId="1F6A9243" w:rsidR="00C156A0" w:rsidRPr="00C156A0" w:rsidRDefault="00C156A0" w:rsidP="00C156A0">
      <w:pPr>
        <w:spacing w:line="240" w:lineRule="auto"/>
        <w:rPr>
          <w:rFonts w:eastAsia="Calibri"/>
          <w:lang w:val="sq-AL"/>
        </w:rPr>
      </w:pPr>
      <w:r w:rsidRPr="00C156A0">
        <w:rPr>
          <w:rFonts w:eastAsia="Calibri"/>
          <w:bCs/>
          <w:lang w:val="sq-AL"/>
        </w:rPr>
        <w:t>Në programin</w:t>
      </w:r>
      <w:r w:rsidRPr="00C156A0">
        <w:rPr>
          <w:rFonts w:eastAsia="Calibri"/>
          <w:b/>
          <w:lang w:val="sq-AL"/>
        </w:rPr>
        <w:t xml:space="preserve"> “Sistemi i Burgjeve”</w:t>
      </w:r>
      <w:r w:rsidRPr="00C156A0">
        <w:rPr>
          <w:rFonts w:eastAsia="Calibri"/>
          <w:lang w:val="sq-AL"/>
        </w:rPr>
        <w:t xml:space="preserve"> disa nga produktet e këtij programi matin performancën e sistemit të burgjeve, ndërsa të tjerë lidhen me përmirësimin e kushteve në sistemin penitenciar, me kosto faktike 8.4 </w:t>
      </w:r>
      <w:r w:rsidR="0056260B">
        <w:rPr>
          <w:rFonts w:eastAsia="Calibri"/>
          <w:lang w:val="sq-AL"/>
        </w:rPr>
        <w:t>miliardë</w:t>
      </w:r>
      <w:r w:rsidRPr="00C156A0">
        <w:rPr>
          <w:rFonts w:eastAsia="Calibri"/>
          <w:lang w:val="sq-AL"/>
        </w:rPr>
        <w:t xml:space="preserve"> LEK për arritjen e këtyre treguesve: </w:t>
      </w:r>
    </w:p>
    <w:p w14:paraId="7ED74F51" w14:textId="1C9ED412" w:rsidR="00C156A0" w:rsidRPr="008A6B67" w:rsidRDefault="00C156A0">
      <w:pPr>
        <w:numPr>
          <w:ilvl w:val="0"/>
          <w:numId w:val="18"/>
        </w:numPr>
        <w:spacing w:before="0" w:line="240" w:lineRule="auto"/>
        <w:contextualSpacing/>
        <w:rPr>
          <w:rFonts w:eastAsia="Calibri"/>
          <w:i/>
          <w:szCs w:val="22"/>
          <w:lang w:val="sq-AL"/>
        </w:rPr>
      </w:pPr>
      <w:r w:rsidRPr="008A6B67">
        <w:rPr>
          <w:rFonts w:eastAsia="Calibri"/>
          <w:i/>
          <w:szCs w:val="22"/>
          <w:lang w:val="sq-AL"/>
        </w:rPr>
        <w:t xml:space="preserve">477 </w:t>
      </w:r>
      <w:r w:rsidR="008A6B67">
        <w:rPr>
          <w:rFonts w:eastAsia="Calibri"/>
          <w:i/>
          <w:szCs w:val="22"/>
          <w:lang w:val="sq-AL"/>
        </w:rPr>
        <w:t>“T</w:t>
      </w:r>
      <w:r w:rsidRPr="008A6B67">
        <w:rPr>
          <w:rFonts w:eastAsia="Calibri"/>
          <w:i/>
          <w:szCs w:val="22"/>
          <w:lang w:val="sq-AL"/>
        </w:rPr>
        <w:t>ë dënuar të trajtuar me shërbim shëndetësor”</w:t>
      </w:r>
      <w:r w:rsidR="008A6B67">
        <w:rPr>
          <w:rFonts w:eastAsia="Calibri"/>
          <w:i/>
          <w:szCs w:val="22"/>
          <w:lang w:val="sq-AL"/>
        </w:rPr>
        <w:t xml:space="preserve">, </w:t>
      </w:r>
      <w:r w:rsidRPr="008A6B67">
        <w:rPr>
          <w:rFonts w:eastAsia="Calibri"/>
          <w:i/>
          <w:szCs w:val="22"/>
          <w:lang w:val="sq-AL"/>
        </w:rPr>
        <w:t xml:space="preserve">me kosto faktike 100.4 </w:t>
      </w:r>
      <w:r w:rsidR="0056260B" w:rsidRPr="008A6B67">
        <w:rPr>
          <w:rFonts w:eastAsia="Calibri"/>
          <w:i/>
          <w:szCs w:val="22"/>
          <w:lang w:val="sq-AL"/>
        </w:rPr>
        <w:t>milionë</w:t>
      </w:r>
      <w:r w:rsidRPr="008A6B67">
        <w:rPr>
          <w:rFonts w:eastAsia="Calibri"/>
          <w:i/>
          <w:szCs w:val="22"/>
          <w:lang w:val="sq-AL"/>
        </w:rPr>
        <w:t xml:space="preserve"> LEK</w:t>
      </w:r>
      <w:r w:rsidR="00A40618" w:rsidRPr="008A6B67">
        <w:rPr>
          <w:rFonts w:eastAsia="Calibri"/>
          <w:i/>
          <w:szCs w:val="22"/>
          <w:lang w:val="sq-AL"/>
        </w:rPr>
        <w:t>;</w:t>
      </w:r>
    </w:p>
    <w:p w14:paraId="5C3B6840" w14:textId="0056B195" w:rsidR="00DD51F5" w:rsidRPr="008A6B67" w:rsidRDefault="00DD51F5">
      <w:pPr>
        <w:numPr>
          <w:ilvl w:val="0"/>
          <w:numId w:val="18"/>
        </w:numPr>
        <w:spacing w:before="0" w:line="240" w:lineRule="auto"/>
        <w:contextualSpacing/>
        <w:rPr>
          <w:rFonts w:eastAsia="Calibri"/>
          <w:i/>
          <w:szCs w:val="22"/>
          <w:lang w:val="sq-AL"/>
        </w:rPr>
      </w:pPr>
      <w:r w:rsidRPr="008A6B67">
        <w:rPr>
          <w:rFonts w:eastAsia="Calibri"/>
          <w:i/>
          <w:szCs w:val="22"/>
          <w:lang w:val="sq-AL"/>
        </w:rPr>
        <w:t xml:space="preserve">4,370 burra të dënuar të trajtuar me kosto faktike 1.9 </w:t>
      </w:r>
      <w:r w:rsidR="0056260B" w:rsidRPr="008A6B67">
        <w:rPr>
          <w:rFonts w:eastAsia="Calibri"/>
          <w:i/>
          <w:szCs w:val="22"/>
          <w:lang w:val="sq-AL"/>
        </w:rPr>
        <w:t>miliardë</w:t>
      </w:r>
      <w:r w:rsidRPr="008A6B67">
        <w:rPr>
          <w:rFonts w:eastAsia="Calibri"/>
          <w:i/>
          <w:szCs w:val="22"/>
          <w:lang w:val="sq-AL"/>
        </w:rPr>
        <w:t xml:space="preserve"> LEK dhe 102 të dënuara femra të trajtuara në kushte të veçanta të vuajtjes së dënimit, me kosto faktike 6.7 </w:t>
      </w:r>
      <w:r w:rsidR="0056260B" w:rsidRPr="008A6B67">
        <w:rPr>
          <w:rFonts w:eastAsia="Calibri"/>
          <w:i/>
          <w:szCs w:val="22"/>
          <w:lang w:val="sq-AL"/>
        </w:rPr>
        <w:t>milionë</w:t>
      </w:r>
      <w:r w:rsidRPr="008A6B67">
        <w:rPr>
          <w:rFonts w:eastAsia="Calibri"/>
          <w:i/>
          <w:szCs w:val="22"/>
          <w:lang w:val="sq-AL"/>
        </w:rPr>
        <w:t xml:space="preserve"> LEK</w:t>
      </w:r>
      <w:r w:rsidR="00A40618" w:rsidRPr="008A6B67">
        <w:rPr>
          <w:rFonts w:eastAsia="Calibri"/>
          <w:i/>
          <w:szCs w:val="22"/>
          <w:lang w:val="sq-AL"/>
        </w:rPr>
        <w:t>;</w:t>
      </w:r>
    </w:p>
    <w:p w14:paraId="250ADE1F" w14:textId="7FAB1288" w:rsidR="00C156A0" w:rsidRPr="008A6B67" w:rsidRDefault="00C156A0">
      <w:pPr>
        <w:numPr>
          <w:ilvl w:val="0"/>
          <w:numId w:val="18"/>
        </w:numPr>
        <w:spacing w:before="0" w:line="240" w:lineRule="auto"/>
        <w:contextualSpacing/>
        <w:rPr>
          <w:rFonts w:eastAsia="Calibri"/>
          <w:i/>
          <w:szCs w:val="22"/>
          <w:lang w:val="sq-AL"/>
        </w:rPr>
      </w:pPr>
      <w:r w:rsidRPr="008A6B67">
        <w:rPr>
          <w:rFonts w:eastAsia="Calibri"/>
          <w:i/>
          <w:szCs w:val="22"/>
          <w:lang w:val="sq-AL"/>
        </w:rPr>
        <w:t>20 të mitur të dënuar të cilët vuajnë dënimin në ambientet të përshtatshme për vuajtjen e dënimi</w:t>
      </w:r>
      <w:r w:rsidR="00DD51F5" w:rsidRPr="008A6B67">
        <w:rPr>
          <w:rFonts w:eastAsia="Calibri"/>
          <w:i/>
          <w:szCs w:val="22"/>
          <w:lang w:val="sq-AL"/>
        </w:rPr>
        <w:t>,</w:t>
      </w:r>
      <w:r w:rsidRPr="008A6B67">
        <w:rPr>
          <w:rFonts w:eastAsia="Calibri"/>
          <w:i/>
          <w:szCs w:val="22"/>
          <w:lang w:val="sq-AL"/>
        </w:rPr>
        <w:t xml:space="preserve"> me kosto faktike 4.5 </w:t>
      </w:r>
      <w:r w:rsidR="0056260B" w:rsidRPr="008A6B67">
        <w:rPr>
          <w:rFonts w:eastAsia="Calibri"/>
          <w:i/>
          <w:szCs w:val="22"/>
          <w:lang w:val="sq-AL"/>
        </w:rPr>
        <w:t>milionë</w:t>
      </w:r>
      <w:r w:rsidRPr="008A6B67">
        <w:rPr>
          <w:rFonts w:eastAsia="Calibri"/>
          <w:i/>
          <w:szCs w:val="22"/>
          <w:lang w:val="sq-AL"/>
        </w:rPr>
        <w:t xml:space="preserve"> LEK. </w:t>
      </w:r>
    </w:p>
    <w:p w14:paraId="2CF8234E" w14:textId="6353C543" w:rsidR="00C156A0" w:rsidRPr="00C156A0" w:rsidRDefault="00C156A0" w:rsidP="00E76173">
      <w:pPr>
        <w:spacing w:before="0" w:line="240" w:lineRule="auto"/>
        <w:rPr>
          <w:rFonts w:eastAsia="Calibri"/>
          <w:lang w:val="sq-AL"/>
        </w:rPr>
      </w:pPr>
      <w:r w:rsidRPr="00C156A0">
        <w:rPr>
          <w:rFonts w:eastAsia="Calibri"/>
          <w:lang w:val="sq-AL"/>
        </w:rPr>
        <w:lastRenderedPageBreak/>
        <w:t>Në programin</w:t>
      </w:r>
      <w:r w:rsidRPr="00C156A0">
        <w:rPr>
          <w:rFonts w:eastAsia="Calibri"/>
          <w:b/>
          <w:lang w:val="sq-AL"/>
        </w:rPr>
        <w:t xml:space="preserve"> “Mjekësia Ligjore”</w:t>
      </w:r>
      <w:r w:rsidRPr="00C156A0">
        <w:rPr>
          <w:rFonts w:eastAsia="Calibri"/>
          <w:lang w:val="sq-AL"/>
        </w:rPr>
        <w:t xml:space="preserve"> me kosto faktike prej 105 </w:t>
      </w:r>
      <w:r w:rsidR="0056260B">
        <w:rPr>
          <w:rFonts w:eastAsia="Calibri"/>
          <w:lang w:val="sq-AL"/>
        </w:rPr>
        <w:t>milionë</w:t>
      </w:r>
      <w:r w:rsidRPr="00C156A0">
        <w:rPr>
          <w:rFonts w:eastAsia="Calibri"/>
          <w:lang w:val="sq-AL"/>
        </w:rPr>
        <w:t xml:space="preserve"> LEK, për vitin 2025 ka realizuar:</w:t>
      </w:r>
    </w:p>
    <w:p w14:paraId="466F2B39" w14:textId="28DD9299" w:rsidR="00C156A0" w:rsidRPr="008A6B67" w:rsidRDefault="00C156A0">
      <w:pPr>
        <w:numPr>
          <w:ilvl w:val="0"/>
          <w:numId w:val="20"/>
        </w:numPr>
        <w:spacing w:before="0" w:after="160" w:line="240" w:lineRule="auto"/>
        <w:contextualSpacing/>
        <w:rPr>
          <w:rFonts w:eastAsia="Calibri"/>
          <w:i/>
          <w:iCs/>
          <w:szCs w:val="22"/>
          <w:lang w:val="sq-AL"/>
        </w:rPr>
      </w:pPr>
      <w:r w:rsidRPr="008A6B67">
        <w:rPr>
          <w:rFonts w:eastAsia="Calibri"/>
          <w:i/>
          <w:iCs/>
          <w:szCs w:val="22"/>
          <w:lang w:val="sq-AL"/>
        </w:rPr>
        <w:t xml:space="preserve">17,608 akte ekspertimi mjeko-ligjore, me kosto faktike 100.7 </w:t>
      </w:r>
      <w:r w:rsidR="0056260B" w:rsidRPr="008A6B67">
        <w:rPr>
          <w:rFonts w:eastAsia="Calibri"/>
          <w:i/>
          <w:iCs/>
          <w:szCs w:val="22"/>
          <w:lang w:val="sq-AL"/>
        </w:rPr>
        <w:t>milionë</w:t>
      </w:r>
      <w:r w:rsidRPr="008A6B67">
        <w:rPr>
          <w:rFonts w:eastAsia="Calibri"/>
          <w:i/>
          <w:iCs/>
          <w:szCs w:val="22"/>
          <w:lang w:val="sq-AL"/>
        </w:rPr>
        <w:t xml:space="preserve"> LEK</w:t>
      </w:r>
      <w:r w:rsidR="009300CB" w:rsidRPr="008A6B67">
        <w:rPr>
          <w:rFonts w:eastAsia="Calibri"/>
          <w:i/>
          <w:iCs/>
          <w:szCs w:val="22"/>
          <w:lang w:val="sq-AL"/>
        </w:rPr>
        <w:t>;</w:t>
      </w:r>
    </w:p>
    <w:p w14:paraId="33651B7B" w14:textId="5F7C0D00" w:rsidR="00320D28" w:rsidRPr="008A6B67" w:rsidRDefault="00C156A0">
      <w:pPr>
        <w:numPr>
          <w:ilvl w:val="0"/>
          <w:numId w:val="20"/>
        </w:numPr>
        <w:spacing w:before="0" w:after="160" w:line="240" w:lineRule="auto"/>
        <w:contextualSpacing/>
        <w:rPr>
          <w:rFonts w:eastAsia="Calibri"/>
          <w:i/>
          <w:iCs/>
          <w:szCs w:val="22"/>
          <w:lang w:val="sq-AL"/>
        </w:rPr>
      </w:pPr>
      <w:r w:rsidRPr="008A6B67">
        <w:rPr>
          <w:rFonts w:eastAsia="Calibri"/>
          <w:i/>
          <w:iCs/>
          <w:szCs w:val="22"/>
          <w:lang w:val="sq-AL"/>
        </w:rPr>
        <w:t xml:space="preserve">62 akte ekspertimi të rasteve të dhunës seksuale me kosto faktike 4.3 </w:t>
      </w:r>
      <w:r w:rsidR="0056260B" w:rsidRPr="008A6B67">
        <w:rPr>
          <w:rFonts w:eastAsia="Calibri"/>
          <w:i/>
          <w:iCs/>
          <w:szCs w:val="22"/>
          <w:lang w:val="sq-AL"/>
        </w:rPr>
        <w:t>milionë</w:t>
      </w:r>
      <w:r w:rsidRPr="008A6B67">
        <w:rPr>
          <w:rFonts w:eastAsia="Calibri"/>
          <w:i/>
          <w:iCs/>
          <w:szCs w:val="22"/>
          <w:lang w:val="sq-AL"/>
        </w:rPr>
        <w:t xml:space="preserve"> LEK.</w:t>
      </w:r>
    </w:p>
    <w:p w14:paraId="227770CE" w14:textId="77777777" w:rsidR="008A6B67" w:rsidRPr="008A6B67" w:rsidRDefault="008A6B67" w:rsidP="00320D28">
      <w:pPr>
        <w:shd w:val="clear" w:color="auto" w:fill="FFFFFF" w:themeFill="background1"/>
        <w:spacing w:line="240" w:lineRule="auto"/>
        <w:rPr>
          <w:rFonts w:eastAsia="Cambria" w:cs="Calibri Light"/>
          <w:sz w:val="8"/>
          <w:szCs w:val="8"/>
          <w:lang w:val="sq-AL"/>
        </w:rPr>
      </w:pPr>
    </w:p>
    <w:p w14:paraId="1A37FE21" w14:textId="78EA5F85" w:rsidR="00724A4F" w:rsidRPr="00724A4F" w:rsidRDefault="00634371" w:rsidP="00320D28">
      <w:pPr>
        <w:shd w:val="clear" w:color="auto" w:fill="FFFFFF" w:themeFill="background1"/>
        <w:spacing w:line="240" w:lineRule="auto"/>
        <w:rPr>
          <w:rFonts w:asciiTheme="majorHAnsi" w:eastAsiaTheme="minorHAnsi" w:hAnsiTheme="majorHAnsi" w:cs="Calibri Light"/>
          <w:noProof/>
          <w:szCs w:val="22"/>
          <w:lang w:val="sq-AL"/>
        </w:rPr>
      </w:pPr>
      <w:r>
        <w:rPr>
          <w:rFonts w:eastAsia="Cambria" w:cs="Calibri Light"/>
          <w:szCs w:val="22"/>
          <w:lang w:val="sq-AL"/>
        </w:rPr>
        <w:t>S</w:t>
      </w:r>
      <w:r w:rsidR="00C156A0" w:rsidRPr="00724A4F">
        <w:rPr>
          <w:rFonts w:eastAsia="Cambria" w:cs="Calibri Light"/>
          <w:szCs w:val="22"/>
          <w:lang w:val="sq-AL"/>
        </w:rPr>
        <w:t xml:space="preserve">a i përket </w:t>
      </w:r>
      <w:r w:rsidR="00C156A0" w:rsidRPr="00724A4F">
        <w:rPr>
          <w:rFonts w:eastAsia="Cambria" w:cs="Calibri Light"/>
          <w:b/>
          <w:bCs/>
          <w:szCs w:val="22"/>
          <w:lang w:val="sq-AL"/>
        </w:rPr>
        <w:t>investimeve publike,</w:t>
      </w:r>
      <w:r w:rsidR="00C156A0" w:rsidRPr="00724A4F">
        <w:rPr>
          <w:rFonts w:eastAsia="Cambria" w:cs="Calibri Light"/>
          <w:szCs w:val="22"/>
          <w:lang w:val="sq-AL"/>
        </w:rPr>
        <w:t xml:space="preserve"> </w:t>
      </w:r>
      <w:r w:rsidR="00724A4F" w:rsidRPr="00724A4F">
        <w:rPr>
          <w:rFonts w:asciiTheme="majorHAnsi" w:eastAsiaTheme="minorHAnsi" w:hAnsiTheme="majorHAnsi" w:cs="Calibri Light"/>
          <w:noProof/>
          <w:szCs w:val="22"/>
          <w:lang w:val="sq-AL"/>
        </w:rPr>
        <w:t xml:space="preserve">realizimi i shpenzimeve në vitin 2025 ishte 115.6% e buxhetit fillestar për projektet me financim të brendshëm (1.8 </w:t>
      </w:r>
      <w:r w:rsidR="0056260B">
        <w:rPr>
          <w:rFonts w:asciiTheme="majorHAnsi" w:eastAsiaTheme="minorHAnsi" w:hAnsiTheme="majorHAnsi" w:cs="Calibri Light"/>
          <w:noProof/>
          <w:szCs w:val="22"/>
          <w:lang w:val="sq-AL"/>
        </w:rPr>
        <w:t>miliardë</w:t>
      </w:r>
      <w:r w:rsidR="00724A4F" w:rsidRPr="00724A4F">
        <w:rPr>
          <w:rFonts w:asciiTheme="majorHAnsi" w:eastAsiaTheme="minorHAnsi" w:hAnsiTheme="majorHAnsi" w:cs="Calibri Light"/>
          <w:noProof/>
          <w:szCs w:val="22"/>
          <w:lang w:val="sq-AL"/>
        </w:rPr>
        <w:t xml:space="preserve"> LEK) dhe 93.4% të planit vjetor të ndryshuar me AN nr.11/2025 si dhe 0% e buxhetit fillestar për projektet me financim të huaj dhe 31.7% të planit vjetor të ndryshuar me AN nr.11/2025. Buxheti i shpenzimeve kapitale pësoi disa ndryshime gjatë vitit 2025 duke rritur shpenzimet me financim të brendshëm në kuadër të mirëmenaxhimit të fondeve publike, dhe në kuadër të AN nr.6/2025 janë planifikuar fonde për projekte me Financim të Huaj. </w:t>
      </w:r>
      <w:r w:rsidR="00B36A44">
        <w:rPr>
          <w:rFonts w:asciiTheme="majorHAnsi" w:eastAsiaTheme="minorHAnsi" w:hAnsiTheme="majorHAnsi" w:cs="Calibri Light"/>
          <w:noProof/>
          <w:szCs w:val="22"/>
          <w:lang w:val="sq-AL"/>
        </w:rPr>
        <w:t>Jan</w:t>
      </w:r>
      <w:r w:rsidR="00724A4F" w:rsidRPr="00724A4F">
        <w:rPr>
          <w:rFonts w:asciiTheme="majorHAnsi" w:eastAsiaTheme="minorHAnsi" w:hAnsiTheme="majorHAnsi" w:cs="Calibri Light"/>
          <w:noProof/>
          <w:szCs w:val="22"/>
          <w:lang w:val="sq-AL"/>
        </w:rPr>
        <w:t xml:space="preserve">ë </w:t>
      </w:r>
      <w:r w:rsidR="00B36A44">
        <w:rPr>
          <w:rFonts w:asciiTheme="majorHAnsi" w:eastAsiaTheme="minorHAnsi" w:hAnsiTheme="majorHAnsi" w:cs="Calibri Light"/>
          <w:noProof/>
          <w:szCs w:val="22"/>
          <w:lang w:val="sq-AL"/>
        </w:rPr>
        <w:t xml:space="preserve">financuar </w:t>
      </w:r>
      <w:r w:rsidR="00724A4F" w:rsidRPr="00724A4F">
        <w:rPr>
          <w:rFonts w:asciiTheme="majorHAnsi" w:eastAsiaTheme="minorHAnsi" w:hAnsiTheme="majorHAnsi" w:cs="Calibri Light"/>
          <w:noProof/>
          <w:szCs w:val="22"/>
          <w:lang w:val="sq-AL"/>
        </w:rPr>
        <w:t>projekt</w:t>
      </w:r>
      <w:r w:rsidR="00B36A44">
        <w:rPr>
          <w:rFonts w:asciiTheme="majorHAnsi" w:eastAsiaTheme="minorHAnsi" w:hAnsiTheme="majorHAnsi" w:cs="Calibri Light"/>
          <w:noProof/>
          <w:szCs w:val="22"/>
          <w:lang w:val="sq-AL"/>
        </w:rPr>
        <w:t>et:</w:t>
      </w:r>
    </w:p>
    <w:p w14:paraId="711CF9C6" w14:textId="1968E422" w:rsidR="00724A4F" w:rsidRPr="00B36A44" w:rsidRDefault="00724A4F">
      <w:pPr>
        <w:numPr>
          <w:ilvl w:val="0"/>
          <w:numId w:val="58"/>
        </w:numPr>
        <w:spacing w:before="0" w:line="240" w:lineRule="auto"/>
        <w:contextualSpacing/>
        <w:rPr>
          <w:rFonts w:asciiTheme="majorHAnsi" w:eastAsiaTheme="minorHAnsi" w:hAnsiTheme="majorHAnsi" w:cs="Calibri Light"/>
          <w:i/>
          <w:iCs/>
          <w:noProof/>
          <w:szCs w:val="22"/>
          <w:lang w:val="sq-AL"/>
        </w:rPr>
      </w:pPr>
      <w:r w:rsidRPr="00B36A44">
        <w:rPr>
          <w:rFonts w:asciiTheme="majorHAnsi" w:eastAsiaTheme="minorHAnsi" w:hAnsiTheme="majorHAnsi" w:cs="Calibri Light"/>
          <w:i/>
          <w:iCs/>
          <w:noProof/>
          <w:szCs w:val="22"/>
          <w:lang w:val="sq-AL"/>
        </w:rPr>
        <w:t xml:space="preserve">Rikonstruksion i ambienteve të brendshme të IML-së me vlerë investimi prej 61.3 </w:t>
      </w:r>
      <w:r w:rsidR="0056260B">
        <w:rPr>
          <w:rFonts w:asciiTheme="majorHAnsi" w:eastAsiaTheme="minorHAnsi" w:hAnsiTheme="majorHAnsi" w:cs="Calibri Light"/>
          <w:i/>
          <w:iCs/>
          <w:noProof/>
          <w:szCs w:val="22"/>
          <w:lang w:val="sq-AL"/>
        </w:rPr>
        <w:t>milionë</w:t>
      </w:r>
      <w:r w:rsidRPr="00B36A44">
        <w:rPr>
          <w:rFonts w:asciiTheme="majorHAnsi" w:eastAsiaTheme="minorHAnsi" w:hAnsiTheme="majorHAnsi" w:cs="Calibri Light"/>
          <w:i/>
          <w:iCs/>
          <w:noProof/>
          <w:szCs w:val="22"/>
          <w:lang w:val="sq-AL"/>
        </w:rPr>
        <w:t xml:space="preserve"> LEK</w:t>
      </w:r>
      <w:r w:rsidR="009300CB">
        <w:rPr>
          <w:rFonts w:asciiTheme="majorHAnsi" w:eastAsiaTheme="minorHAnsi" w:hAnsiTheme="majorHAnsi" w:cs="Calibri Light"/>
          <w:i/>
          <w:iCs/>
          <w:noProof/>
          <w:szCs w:val="22"/>
          <w:lang w:val="sq-AL"/>
        </w:rPr>
        <w:t>;</w:t>
      </w:r>
    </w:p>
    <w:p w14:paraId="46B24980" w14:textId="77777777" w:rsidR="00724A4F" w:rsidRPr="00B36A44" w:rsidRDefault="00724A4F">
      <w:pPr>
        <w:numPr>
          <w:ilvl w:val="0"/>
          <w:numId w:val="58"/>
        </w:numPr>
        <w:spacing w:before="0" w:line="240" w:lineRule="auto"/>
        <w:contextualSpacing/>
        <w:rPr>
          <w:rFonts w:asciiTheme="majorHAnsi" w:eastAsiaTheme="minorHAnsi" w:hAnsiTheme="majorHAnsi" w:cs="Calibri Light"/>
          <w:i/>
          <w:iCs/>
          <w:noProof/>
          <w:szCs w:val="22"/>
          <w:lang w:val="sq-AL"/>
        </w:rPr>
      </w:pPr>
      <w:r w:rsidRPr="00B36A44">
        <w:rPr>
          <w:rFonts w:asciiTheme="majorHAnsi" w:eastAsiaTheme="minorHAnsi" w:hAnsiTheme="majorHAnsi" w:cs="Calibri Light"/>
          <w:i/>
          <w:iCs/>
          <w:noProof/>
          <w:szCs w:val="22"/>
          <w:lang w:val="sq-AL"/>
        </w:rPr>
        <w:t>Përmirësimi i kushteve fizike të jetesës nëpërmjet përmirësimit të përgjithshëm të infrastrukturës;</w:t>
      </w:r>
    </w:p>
    <w:p w14:paraId="40BA8399" w14:textId="77777777" w:rsidR="00724A4F" w:rsidRPr="00B36A44" w:rsidRDefault="00724A4F">
      <w:pPr>
        <w:numPr>
          <w:ilvl w:val="0"/>
          <w:numId w:val="58"/>
        </w:numPr>
        <w:spacing w:before="0" w:line="240" w:lineRule="auto"/>
        <w:contextualSpacing/>
        <w:rPr>
          <w:rFonts w:asciiTheme="majorHAnsi" w:eastAsiaTheme="minorHAnsi" w:hAnsiTheme="majorHAnsi" w:cs="Calibri Light"/>
          <w:i/>
          <w:iCs/>
          <w:noProof/>
          <w:szCs w:val="22"/>
          <w:lang w:val="sq-AL"/>
        </w:rPr>
      </w:pPr>
      <w:r w:rsidRPr="00B36A44">
        <w:rPr>
          <w:rFonts w:asciiTheme="majorHAnsi" w:eastAsiaTheme="minorHAnsi" w:hAnsiTheme="majorHAnsi" w:cs="Calibri Light"/>
          <w:i/>
          <w:iCs/>
          <w:noProof/>
          <w:szCs w:val="22"/>
          <w:lang w:val="sq-AL"/>
        </w:rPr>
        <w:t>Nërtimi IEVP Kukës (hartim, projektim, rikonstruksion, supervizim, kolaudim punimesh);</w:t>
      </w:r>
    </w:p>
    <w:p w14:paraId="22C3C414" w14:textId="7EB4A65D" w:rsidR="00C156A0" w:rsidRDefault="00724A4F">
      <w:pPr>
        <w:numPr>
          <w:ilvl w:val="0"/>
          <w:numId w:val="58"/>
        </w:numPr>
        <w:spacing w:before="0" w:line="240" w:lineRule="auto"/>
        <w:contextualSpacing/>
        <w:rPr>
          <w:rFonts w:asciiTheme="majorHAnsi" w:eastAsiaTheme="minorHAnsi" w:hAnsiTheme="majorHAnsi" w:cs="Calibri Light"/>
          <w:i/>
          <w:iCs/>
          <w:noProof/>
          <w:szCs w:val="22"/>
          <w:lang w:val="sq-AL"/>
        </w:rPr>
      </w:pPr>
      <w:r w:rsidRPr="00B36A44">
        <w:rPr>
          <w:rFonts w:asciiTheme="majorHAnsi" w:eastAsiaTheme="minorHAnsi" w:hAnsiTheme="majorHAnsi" w:cs="Calibri Light"/>
          <w:i/>
          <w:iCs/>
          <w:noProof/>
          <w:szCs w:val="22"/>
          <w:lang w:val="sq-AL"/>
        </w:rPr>
        <w:t>Digjitalizimi i programeve të transparencës.</w:t>
      </w:r>
    </w:p>
    <w:p w14:paraId="41B90A16" w14:textId="77777777" w:rsidR="008A6B67" w:rsidRDefault="008A6B67" w:rsidP="008A6B67">
      <w:pPr>
        <w:spacing w:before="0" w:line="240" w:lineRule="auto"/>
        <w:ind w:left="720"/>
        <w:contextualSpacing/>
        <w:rPr>
          <w:rFonts w:asciiTheme="majorHAnsi" w:eastAsiaTheme="minorHAnsi" w:hAnsiTheme="majorHAnsi" w:cs="Calibri Light"/>
          <w:i/>
          <w:iCs/>
          <w:noProof/>
          <w:szCs w:val="22"/>
          <w:lang w:val="sq-AL"/>
        </w:rPr>
      </w:pPr>
    </w:p>
    <w:p w14:paraId="7CAF770E" w14:textId="578A8625" w:rsidR="00C156A0" w:rsidRPr="00C156A0" w:rsidRDefault="00C156A0" w:rsidP="00C156A0">
      <w:pPr>
        <w:spacing w:before="0" w:line="240" w:lineRule="auto"/>
        <w:rPr>
          <w:rFonts w:cs="Calibri"/>
          <w:noProof/>
          <w:lang w:val="sq-AL"/>
        </w:rPr>
      </w:pPr>
    </w:p>
    <w:p w14:paraId="649F0703" w14:textId="77777777" w:rsidR="00C156A0" w:rsidRPr="00A955AC" w:rsidRDefault="00C156A0" w:rsidP="00C156A0">
      <w:pPr>
        <w:spacing w:before="0" w:line="240" w:lineRule="auto"/>
        <w:rPr>
          <w:rFonts w:cs="Calibri"/>
          <w:noProof/>
          <w:sz w:val="8"/>
          <w:szCs w:val="10"/>
          <w:lang w:val="sq-AL"/>
        </w:rPr>
      </w:pPr>
    </w:p>
    <w:p w14:paraId="43DCDB3A" w14:textId="77777777" w:rsidR="00C156A0" w:rsidRPr="00C156A0" w:rsidRDefault="00C156A0" w:rsidP="00C156A0">
      <w:pPr>
        <w:spacing w:before="0" w:line="240" w:lineRule="auto"/>
        <w:rPr>
          <w:rFonts w:cs="Calibri"/>
          <w:noProof/>
          <w:sz w:val="2"/>
          <w:szCs w:val="2"/>
          <w:lang w:val="sq-AL"/>
        </w:rPr>
      </w:pPr>
    </w:p>
    <w:p w14:paraId="0AD31172" w14:textId="77777777" w:rsidR="00C156A0" w:rsidRPr="00B14F86" w:rsidRDefault="00C156A0" w:rsidP="00B14F86">
      <w:pPr>
        <w:pStyle w:val="Heading3"/>
        <w:rPr>
          <w:b/>
          <w:bCs/>
        </w:rPr>
      </w:pPr>
      <w:bookmarkStart w:id="274" w:name="_Toc10033303"/>
      <w:bookmarkStart w:id="275" w:name="_Toc10721439"/>
      <w:bookmarkStart w:id="276" w:name="_Toc229390845"/>
      <w:r w:rsidRPr="00B14F86">
        <w:rPr>
          <w:b/>
          <w:bCs/>
        </w:rPr>
        <w:t>Financat</w:t>
      </w:r>
      <w:bookmarkEnd w:id="274"/>
      <w:bookmarkEnd w:id="275"/>
      <w:bookmarkEnd w:id="276"/>
    </w:p>
    <w:p w14:paraId="5E50FFEE" w14:textId="77777777" w:rsidR="00C156A0" w:rsidRDefault="00C156A0" w:rsidP="00C156A0">
      <w:pPr>
        <w:spacing w:line="240" w:lineRule="auto"/>
        <w:rPr>
          <w:rFonts w:cs="Calibri"/>
          <w:noProof/>
          <w:color w:val="000000"/>
          <w:lang w:val="sq-AL"/>
        </w:rPr>
      </w:pPr>
      <w:bookmarkStart w:id="277" w:name="_Toc10033304"/>
      <w:bookmarkStart w:id="278" w:name="_Toc10721440"/>
      <w:r w:rsidRPr="00C156A0">
        <w:rPr>
          <w:rFonts w:cs="Calibri"/>
          <w:noProof/>
          <w:color w:val="000000"/>
          <w:lang w:val="sq-AL"/>
        </w:rPr>
        <w:t>Në përputhje me drejtimet kryesore të politikës së përgjithshme shtetërore dhe përmbushjes së misionit të Ministrisë së Financave, që është arritja e stabilitetit ekonomik nëpërmjet drejtimit me efektshmëri, efektivitet dhe transparencë të fondeve publike, me fondet buxhetore të miratuara për vitin 2025, performanca e treguesve buxhetorë për programet kryesore në Ministrinë e  Financave, paraqitet si më poshtë:</w:t>
      </w:r>
    </w:p>
    <w:p w14:paraId="64772C2B" w14:textId="609518D8" w:rsidR="00C156A0" w:rsidRPr="00C156A0" w:rsidRDefault="00C156A0" w:rsidP="00C156A0">
      <w:pPr>
        <w:spacing w:line="240" w:lineRule="auto"/>
        <w:rPr>
          <w:i/>
          <w:iCs/>
          <w:noProof/>
          <w:color w:val="17406D"/>
          <w:sz w:val="18"/>
          <w:szCs w:val="18"/>
          <w:lang w:val="sq-AL"/>
        </w:rPr>
      </w:pPr>
      <w:bookmarkStart w:id="279" w:name="_Toc229130013"/>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38</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Financave</w:t>
      </w:r>
      <w:bookmarkEnd w:id="279"/>
    </w:p>
    <w:tbl>
      <w:tblPr>
        <w:tblW w:w="10215" w:type="dxa"/>
        <w:tblInd w:w="-185" w:type="dxa"/>
        <w:tblLook w:val="04A0" w:firstRow="1" w:lastRow="0" w:firstColumn="1" w:lastColumn="0" w:noHBand="0" w:noVBand="1"/>
      </w:tblPr>
      <w:tblGrid>
        <w:gridCol w:w="1479"/>
        <w:gridCol w:w="896"/>
        <w:gridCol w:w="900"/>
        <w:gridCol w:w="896"/>
        <w:gridCol w:w="900"/>
        <w:gridCol w:w="896"/>
        <w:gridCol w:w="900"/>
        <w:gridCol w:w="773"/>
        <w:gridCol w:w="901"/>
        <w:gridCol w:w="773"/>
        <w:gridCol w:w="901"/>
      </w:tblGrid>
      <w:tr w:rsidR="00C156A0" w:rsidRPr="00F409F4" w14:paraId="25C30E29" w14:textId="77777777" w:rsidTr="00567675">
        <w:trPr>
          <w:trHeight w:val="126"/>
        </w:trPr>
        <w:tc>
          <w:tcPr>
            <w:tcW w:w="1479" w:type="dxa"/>
            <w:vMerge w:val="restart"/>
            <w:tcBorders>
              <w:top w:val="single" w:sz="4" w:space="0" w:color="auto"/>
              <w:left w:val="single" w:sz="4" w:space="0" w:color="auto"/>
              <w:bottom w:val="nil"/>
              <w:right w:val="single" w:sz="8" w:space="0" w:color="BFBFBF"/>
            </w:tcBorders>
            <w:shd w:val="clear" w:color="000000" w:fill="365F91"/>
            <w:vAlign w:val="center"/>
            <w:hideMark/>
          </w:tcPr>
          <w:p w14:paraId="4AE65E3D" w14:textId="77777777" w:rsidR="00C156A0" w:rsidRPr="00567675" w:rsidRDefault="00C156A0" w:rsidP="008A6B67">
            <w:pPr>
              <w:spacing w:before="0" w:line="240" w:lineRule="auto"/>
              <w:jc w:val="center"/>
              <w:rPr>
                <w:rFonts w:cs="Calibri"/>
                <w:b/>
                <w:bCs/>
                <w:color w:val="FFFFFF"/>
                <w:sz w:val="16"/>
                <w:szCs w:val="16"/>
                <w:lang w:val="sq-AL"/>
              </w:rPr>
            </w:pPr>
            <w:r w:rsidRPr="00567675">
              <w:rPr>
                <w:rFonts w:cs="Calibri"/>
                <w:b/>
                <w:bCs/>
                <w:color w:val="FFFFFF"/>
                <w:sz w:val="16"/>
                <w:szCs w:val="16"/>
                <w:lang w:val="sq-AL"/>
              </w:rPr>
              <w:t>Programet buxhetore</w:t>
            </w:r>
          </w:p>
        </w:tc>
        <w:tc>
          <w:tcPr>
            <w:tcW w:w="1796" w:type="dxa"/>
            <w:gridSpan w:val="2"/>
            <w:tcBorders>
              <w:top w:val="single" w:sz="4" w:space="0" w:color="auto"/>
              <w:left w:val="nil"/>
              <w:bottom w:val="single" w:sz="12" w:space="0" w:color="95B3D7"/>
              <w:right w:val="single" w:sz="8" w:space="0" w:color="BFBFBF"/>
            </w:tcBorders>
            <w:shd w:val="clear" w:color="000000" w:fill="365F91"/>
            <w:vAlign w:val="bottom"/>
            <w:hideMark/>
          </w:tcPr>
          <w:p w14:paraId="02BA243A"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Fillestar 2025</w:t>
            </w:r>
          </w:p>
        </w:tc>
        <w:tc>
          <w:tcPr>
            <w:tcW w:w="1796" w:type="dxa"/>
            <w:gridSpan w:val="2"/>
            <w:tcBorders>
              <w:top w:val="single" w:sz="4" w:space="0" w:color="auto"/>
              <w:left w:val="single" w:sz="8" w:space="0" w:color="BFBFBF"/>
              <w:bottom w:val="single" w:sz="12" w:space="0" w:color="95B3D7"/>
              <w:right w:val="single" w:sz="8" w:space="0" w:color="B8CCE4"/>
            </w:tcBorders>
            <w:shd w:val="clear" w:color="000000" w:fill="365F91"/>
            <w:vAlign w:val="bottom"/>
            <w:hideMark/>
          </w:tcPr>
          <w:p w14:paraId="3A0C8549"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i rishikuar 2025</w:t>
            </w:r>
          </w:p>
        </w:tc>
        <w:tc>
          <w:tcPr>
            <w:tcW w:w="1796" w:type="dxa"/>
            <w:gridSpan w:val="2"/>
            <w:tcBorders>
              <w:top w:val="single" w:sz="4" w:space="0" w:color="auto"/>
              <w:left w:val="single" w:sz="8" w:space="0" w:color="B8CCE4"/>
              <w:bottom w:val="single" w:sz="12" w:space="0" w:color="95B3D7"/>
              <w:right w:val="single" w:sz="8" w:space="0" w:color="B8CCE4"/>
            </w:tcBorders>
            <w:shd w:val="clear" w:color="000000" w:fill="365F91"/>
            <w:vAlign w:val="bottom"/>
            <w:hideMark/>
          </w:tcPr>
          <w:p w14:paraId="0D620E8D"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Fakti 12 Mujori  2025</w:t>
            </w:r>
          </w:p>
        </w:tc>
        <w:tc>
          <w:tcPr>
            <w:tcW w:w="1674" w:type="dxa"/>
            <w:gridSpan w:val="2"/>
            <w:tcBorders>
              <w:top w:val="single" w:sz="4" w:space="0" w:color="auto"/>
              <w:left w:val="single" w:sz="8" w:space="0" w:color="B8CCE4"/>
              <w:bottom w:val="single" w:sz="12" w:space="0" w:color="95B3D7"/>
              <w:right w:val="single" w:sz="8" w:space="0" w:color="B8CCE4"/>
            </w:tcBorders>
            <w:shd w:val="clear" w:color="000000" w:fill="365F91"/>
            <w:vAlign w:val="bottom"/>
            <w:hideMark/>
          </w:tcPr>
          <w:p w14:paraId="05D4F737"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fillestar</w:t>
            </w:r>
          </w:p>
        </w:tc>
        <w:tc>
          <w:tcPr>
            <w:tcW w:w="1674" w:type="dxa"/>
            <w:gridSpan w:val="2"/>
            <w:tcBorders>
              <w:top w:val="single" w:sz="4" w:space="0" w:color="auto"/>
              <w:left w:val="single" w:sz="8" w:space="0" w:color="B8CCE4"/>
              <w:bottom w:val="single" w:sz="12" w:space="0" w:color="95B3D7"/>
              <w:right w:val="single" w:sz="4" w:space="0" w:color="000000"/>
            </w:tcBorders>
            <w:shd w:val="clear" w:color="000000" w:fill="365F91"/>
            <w:vAlign w:val="bottom"/>
            <w:hideMark/>
          </w:tcPr>
          <w:p w14:paraId="561CB11A"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ne % me planin e ndryshuar</w:t>
            </w:r>
          </w:p>
        </w:tc>
      </w:tr>
      <w:tr w:rsidR="00C156A0" w:rsidRPr="00C156A0" w14:paraId="552D811F" w14:textId="77777777" w:rsidTr="00567675">
        <w:trPr>
          <w:trHeight w:val="199"/>
        </w:trPr>
        <w:tc>
          <w:tcPr>
            <w:tcW w:w="1479" w:type="dxa"/>
            <w:vMerge/>
            <w:tcBorders>
              <w:top w:val="single" w:sz="4" w:space="0" w:color="auto"/>
              <w:left w:val="single" w:sz="4" w:space="0" w:color="auto"/>
              <w:bottom w:val="nil"/>
              <w:right w:val="single" w:sz="8" w:space="0" w:color="BFBFBF"/>
            </w:tcBorders>
            <w:vAlign w:val="center"/>
            <w:hideMark/>
          </w:tcPr>
          <w:p w14:paraId="4702FAF5" w14:textId="77777777" w:rsidR="00C156A0" w:rsidRPr="00C156A0" w:rsidRDefault="00C156A0" w:rsidP="008A6B67">
            <w:pPr>
              <w:spacing w:before="0" w:line="240" w:lineRule="auto"/>
              <w:jc w:val="center"/>
              <w:rPr>
                <w:rFonts w:cs="Calibri"/>
                <w:color w:val="FFFFFF"/>
                <w:sz w:val="16"/>
                <w:szCs w:val="16"/>
                <w:lang w:val="sq-AL"/>
              </w:rPr>
            </w:pPr>
          </w:p>
        </w:tc>
        <w:tc>
          <w:tcPr>
            <w:tcW w:w="896" w:type="dxa"/>
            <w:tcBorders>
              <w:top w:val="nil"/>
              <w:left w:val="nil"/>
              <w:bottom w:val="nil"/>
              <w:right w:val="single" w:sz="8" w:space="0" w:color="B8CCE4"/>
            </w:tcBorders>
            <w:shd w:val="clear" w:color="000000" w:fill="365F91"/>
            <w:vAlign w:val="bottom"/>
            <w:hideMark/>
          </w:tcPr>
          <w:p w14:paraId="58626E75" w14:textId="210C2D82"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Korente</w:t>
            </w:r>
          </w:p>
        </w:tc>
        <w:tc>
          <w:tcPr>
            <w:tcW w:w="900" w:type="dxa"/>
            <w:tcBorders>
              <w:top w:val="nil"/>
              <w:left w:val="nil"/>
              <w:bottom w:val="nil"/>
              <w:right w:val="single" w:sz="8" w:space="0" w:color="B8CCE4"/>
            </w:tcBorders>
            <w:shd w:val="clear" w:color="000000" w:fill="365F91"/>
            <w:vAlign w:val="bottom"/>
            <w:hideMark/>
          </w:tcPr>
          <w:p w14:paraId="53345618"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896" w:type="dxa"/>
            <w:tcBorders>
              <w:top w:val="nil"/>
              <w:left w:val="nil"/>
              <w:bottom w:val="nil"/>
              <w:right w:val="single" w:sz="8" w:space="0" w:color="B8CCE4"/>
            </w:tcBorders>
            <w:shd w:val="clear" w:color="000000" w:fill="365F91"/>
            <w:vAlign w:val="bottom"/>
            <w:hideMark/>
          </w:tcPr>
          <w:p w14:paraId="19D7BD86" w14:textId="6B3A85C0"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Korente</w:t>
            </w:r>
          </w:p>
        </w:tc>
        <w:tc>
          <w:tcPr>
            <w:tcW w:w="900" w:type="dxa"/>
            <w:tcBorders>
              <w:top w:val="nil"/>
              <w:left w:val="nil"/>
              <w:bottom w:val="nil"/>
              <w:right w:val="single" w:sz="8" w:space="0" w:color="B8CCE4"/>
            </w:tcBorders>
            <w:shd w:val="clear" w:color="000000" w:fill="365F91"/>
            <w:vAlign w:val="bottom"/>
            <w:hideMark/>
          </w:tcPr>
          <w:p w14:paraId="048E7940"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896" w:type="dxa"/>
            <w:tcBorders>
              <w:top w:val="nil"/>
              <w:left w:val="nil"/>
              <w:bottom w:val="nil"/>
              <w:right w:val="single" w:sz="8" w:space="0" w:color="B8CCE4"/>
            </w:tcBorders>
            <w:shd w:val="clear" w:color="000000" w:fill="365F91"/>
            <w:vAlign w:val="bottom"/>
            <w:hideMark/>
          </w:tcPr>
          <w:p w14:paraId="68CE4F3C" w14:textId="3F2A196D"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Korente</w:t>
            </w:r>
          </w:p>
        </w:tc>
        <w:tc>
          <w:tcPr>
            <w:tcW w:w="900" w:type="dxa"/>
            <w:tcBorders>
              <w:top w:val="nil"/>
              <w:left w:val="nil"/>
              <w:bottom w:val="nil"/>
              <w:right w:val="single" w:sz="8" w:space="0" w:color="B8CCE4"/>
            </w:tcBorders>
            <w:shd w:val="clear" w:color="000000" w:fill="365F91"/>
            <w:vAlign w:val="bottom"/>
            <w:hideMark/>
          </w:tcPr>
          <w:p w14:paraId="4DC29979"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773" w:type="dxa"/>
            <w:tcBorders>
              <w:top w:val="nil"/>
              <w:left w:val="nil"/>
              <w:bottom w:val="nil"/>
              <w:right w:val="single" w:sz="8" w:space="0" w:color="B8CCE4"/>
            </w:tcBorders>
            <w:shd w:val="clear" w:color="000000" w:fill="365F91"/>
            <w:vAlign w:val="bottom"/>
            <w:hideMark/>
          </w:tcPr>
          <w:p w14:paraId="3D868748" w14:textId="4D1E3C0B"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Korente</w:t>
            </w:r>
          </w:p>
        </w:tc>
        <w:tc>
          <w:tcPr>
            <w:tcW w:w="901" w:type="dxa"/>
            <w:tcBorders>
              <w:top w:val="nil"/>
              <w:left w:val="nil"/>
              <w:bottom w:val="nil"/>
              <w:right w:val="single" w:sz="8" w:space="0" w:color="B8CCE4"/>
            </w:tcBorders>
            <w:shd w:val="clear" w:color="000000" w:fill="365F91"/>
            <w:vAlign w:val="bottom"/>
            <w:hideMark/>
          </w:tcPr>
          <w:p w14:paraId="6D00A434"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773" w:type="dxa"/>
            <w:tcBorders>
              <w:top w:val="nil"/>
              <w:left w:val="nil"/>
              <w:bottom w:val="nil"/>
              <w:right w:val="single" w:sz="8" w:space="0" w:color="B8CCE4"/>
            </w:tcBorders>
            <w:shd w:val="clear" w:color="000000" w:fill="365F91"/>
            <w:vAlign w:val="bottom"/>
            <w:hideMark/>
          </w:tcPr>
          <w:p w14:paraId="4CA850EE" w14:textId="1BF25CD9"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Korente</w:t>
            </w:r>
          </w:p>
        </w:tc>
        <w:tc>
          <w:tcPr>
            <w:tcW w:w="901" w:type="dxa"/>
            <w:tcBorders>
              <w:top w:val="nil"/>
              <w:left w:val="nil"/>
              <w:bottom w:val="nil"/>
              <w:right w:val="single" w:sz="4" w:space="0" w:color="auto"/>
            </w:tcBorders>
            <w:shd w:val="clear" w:color="000000" w:fill="365F91"/>
            <w:vAlign w:val="bottom"/>
            <w:hideMark/>
          </w:tcPr>
          <w:p w14:paraId="7035A5FB"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r>
      <w:tr w:rsidR="00C156A0" w:rsidRPr="00C156A0" w14:paraId="1A9E9D9C" w14:textId="77777777" w:rsidTr="00567675">
        <w:trPr>
          <w:trHeight w:val="191"/>
        </w:trPr>
        <w:tc>
          <w:tcPr>
            <w:tcW w:w="1479" w:type="dxa"/>
            <w:tcBorders>
              <w:top w:val="single" w:sz="4" w:space="0" w:color="538DD5"/>
              <w:left w:val="single" w:sz="4" w:space="0" w:color="538DD5"/>
              <w:bottom w:val="single" w:sz="4" w:space="0" w:color="538DD5"/>
              <w:right w:val="single" w:sz="4" w:space="0" w:color="538DD5"/>
            </w:tcBorders>
            <w:vAlign w:val="center"/>
            <w:hideMark/>
          </w:tcPr>
          <w:p w14:paraId="4DBF74AD"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Planifikimi, Menaxhimi dhe Administrimi</w:t>
            </w:r>
          </w:p>
        </w:tc>
        <w:tc>
          <w:tcPr>
            <w:tcW w:w="896" w:type="dxa"/>
            <w:tcBorders>
              <w:top w:val="single" w:sz="4" w:space="0" w:color="538DD5"/>
              <w:left w:val="nil"/>
              <w:bottom w:val="single" w:sz="4" w:space="0" w:color="538DD5"/>
              <w:right w:val="single" w:sz="4" w:space="0" w:color="538DD5"/>
            </w:tcBorders>
            <w:vAlign w:val="center"/>
            <w:hideMark/>
          </w:tcPr>
          <w:p w14:paraId="44EBF8B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1,020,930</w:t>
            </w:r>
          </w:p>
        </w:tc>
        <w:tc>
          <w:tcPr>
            <w:tcW w:w="900" w:type="dxa"/>
            <w:tcBorders>
              <w:top w:val="single" w:sz="4" w:space="0" w:color="538DD5"/>
              <w:left w:val="nil"/>
              <w:bottom w:val="single" w:sz="4" w:space="0" w:color="538DD5"/>
              <w:right w:val="single" w:sz="4" w:space="0" w:color="538DD5"/>
            </w:tcBorders>
            <w:vAlign w:val="center"/>
            <w:hideMark/>
          </w:tcPr>
          <w:p w14:paraId="2BB0BB6D"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138,000</w:t>
            </w:r>
          </w:p>
        </w:tc>
        <w:tc>
          <w:tcPr>
            <w:tcW w:w="896" w:type="dxa"/>
            <w:tcBorders>
              <w:top w:val="single" w:sz="4" w:space="0" w:color="538DD5"/>
              <w:left w:val="nil"/>
              <w:bottom w:val="single" w:sz="4" w:space="0" w:color="538DD5"/>
              <w:right w:val="single" w:sz="4" w:space="0" w:color="538DD5"/>
            </w:tcBorders>
            <w:vAlign w:val="center"/>
            <w:hideMark/>
          </w:tcPr>
          <w:p w14:paraId="36131A9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902,614</w:t>
            </w:r>
          </w:p>
        </w:tc>
        <w:tc>
          <w:tcPr>
            <w:tcW w:w="900" w:type="dxa"/>
            <w:tcBorders>
              <w:top w:val="single" w:sz="4" w:space="0" w:color="538DD5"/>
              <w:left w:val="nil"/>
              <w:bottom w:val="single" w:sz="4" w:space="0" w:color="538DD5"/>
              <w:right w:val="single" w:sz="4" w:space="0" w:color="538DD5"/>
            </w:tcBorders>
            <w:vAlign w:val="center"/>
            <w:hideMark/>
          </w:tcPr>
          <w:p w14:paraId="15F0E6F5"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35,000</w:t>
            </w:r>
          </w:p>
        </w:tc>
        <w:tc>
          <w:tcPr>
            <w:tcW w:w="896" w:type="dxa"/>
            <w:tcBorders>
              <w:top w:val="single" w:sz="4" w:space="0" w:color="538DD5"/>
              <w:left w:val="nil"/>
              <w:bottom w:val="single" w:sz="4" w:space="0" w:color="538DD5"/>
              <w:right w:val="single" w:sz="4" w:space="0" w:color="538DD5"/>
            </w:tcBorders>
            <w:vAlign w:val="center"/>
            <w:hideMark/>
          </w:tcPr>
          <w:p w14:paraId="55D90A6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818,784</w:t>
            </w:r>
          </w:p>
        </w:tc>
        <w:tc>
          <w:tcPr>
            <w:tcW w:w="900" w:type="dxa"/>
            <w:tcBorders>
              <w:top w:val="single" w:sz="4" w:space="0" w:color="538DD5"/>
              <w:left w:val="nil"/>
              <w:bottom w:val="single" w:sz="4" w:space="0" w:color="538DD5"/>
              <w:right w:val="single" w:sz="4" w:space="0" w:color="538DD5"/>
            </w:tcBorders>
            <w:vAlign w:val="center"/>
            <w:hideMark/>
          </w:tcPr>
          <w:p w14:paraId="0270597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27,649</w:t>
            </w:r>
          </w:p>
        </w:tc>
        <w:tc>
          <w:tcPr>
            <w:tcW w:w="773" w:type="dxa"/>
            <w:tcBorders>
              <w:top w:val="single" w:sz="4" w:space="0" w:color="538DD5"/>
              <w:left w:val="nil"/>
              <w:bottom w:val="single" w:sz="4" w:space="0" w:color="538DD5"/>
              <w:right w:val="single" w:sz="4" w:space="0" w:color="538DD5"/>
            </w:tcBorders>
            <w:vAlign w:val="center"/>
            <w:hideMark/>
          </w:tcPr>
          <w:p w14:paraId="2B245051"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80%</w:t>
            </w:r>
          </w:p>
        </w:tc>
        <w:tc>
          <w:tcPr>
            <w:tcW w:w="901" w:type="dxa"/>
            <w:tcBorders>
              <w:top w:val="single" w:sz="4" w:space="0" w:color="538DD5"/>
              <w:left w:val="nil"/>
              <w:bottom w:val="single" w:sz="4" w:space="0" w:color="538DD5"/>
              <w:right w:val="single" w:sz="4" w:space="0" w:color="538DD5"/>
            </w:tcBorders>
            <w:vAlign w:val="center"/>
            <w:hideMark/>
          </w:tcPr>
          <w:p w14:paraId="2B2A0E7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20%</w:t>
            </w:r>
          </w:p>
        </w:tc>
        <w:tc>
          <w:tcPr>
            <w:tcW w:w="773" w:type="dxa"/>
            <w:tcBorders>
              <w:top w:val="single" w:sz="4" w:space="0" w:color="538DD5"/>
              <w:left w:val="nil"/>
              <w:bottom w:val="single" w:sz="4" w:space="0" w:color="538DD5"/>
              <w:right w:val="single" w:sz="4" w:space="0" w:color="538DD5"/>
            </w:tcBorders>
            <w:vAlign w:val="center"/>
            <w:hideMark/>
          </w:tcPr>
          <w:p w14:paraId="0779D05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91%</w:t>
            </w:r>
          </w:p>
        </w:tc>
        <w:tc>
          <w:tcPr>
            <w:tcW w:w="901" w:type="dxa"/>
            <w:tcBorders>
              <w:top w:val="single" w:sz="4" w:space="0" w:color="538DD5"/>
              <w:left w:val="nil"/>
              <w:bottom w:val="single" w:sz="4" w:space="0" w:color="538DD5"/>
              <w:right w:val="single" w:sz="4" w:space="0" w:color="538DD5"/>
            </w:tcBorders>
            <w:vAlign w:val="center"/>
            <w:hideMark/>
          </w:tcPr>
          <w:p w14:paraId="673941CF"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79%</w:t>
            </w:r>
          </w:p>
        </w:tc>
      </w:tr>
      <w:tr w:rsidR="00C156A0" w:rsidRPr="00C156A0" w14:paraId="5BF3DC15" w14:textId="77777777" w:rsidTr="00567675">
        <w:trPr>
          <w:trHeight w:val="84"/>
        </w:trPr>
        <w:tc>
          <w:tcPr>
            <w:tcW w:w="1479" w:type="dxa"/>
            <w:tcBorders>
              <w:top w:val="nil"/>
              <w:left w:val="single" w:sz="4" w:space="0" w:color="538DD5"/>
              <w:bottom w:val="single" w:sz="4" w:space="0" w:color="538DD5"/>
              <w:right w:val="single" w:sz="4" w:space="0" w:color="538DD5"/>
            </w:tcBorders>
            <w:vAlign w:val="center"/>
            <w:hideMark/>
          </w:tcPr>
          <w:p w14:paraId="5211235E" w14:textId="77777777" w:rsidR="00C156A0" w:rsidRPr="009C048C" w:rsidRDefault="00C156A0" w:rsidP="008A6B67">
            <w:pPr>
              <w:spacing w:before="0" w:line="240" w:lineRule="auto"/>
              <w:jc w:val="center"/>
              <w:rPr>
                <w:rFonts w:cs="Calibri"/>
                <w:b/>
                <w:bCs/>
                <w:color w:val="000000"/>
                <w:sz w:val="16"/>
                <w:szCs w:val="16"/>
                <w:lang w:val="sq-AL"/>
              </w:rPr>
            </w:pPr>
            <w:r w:rsidRPr="009C048C">
              <w:rPr>
                <w:rFonts w:cs="Calibri"/>
                <w:b/>
                <w:bCs/>
                <w:color w:val="000000"/>
                <w:sz w:val="16"/>
                <w:szCs w:val="16"/>
                <w:lang w:val="sq-AL"/>
              </w:rPr>
              <w:t>Financimi I huaj</w:t>
            </w:r>
          </w:p>
        </w:tc>
        <w:tc>
          <w:tcPr>
            <w:tcW w:w="896" w:type="dxa"/>
            <w:tcBorders>
              <w:top w:val="nil"/>
              <w:left w:val="nil"/>
              <w:bottom w:val="single" w:sz="4" w:space="0" w:color="538DD5"/>
              <w:right w:val="single" w:sz="4" w:space="0" w:color="538DD5"/>
            </w:tcBorders>
            <w:vAlign w:val="center"/>
            <w:hideMark/>
          </w:tcPr>
          <w:p w14:paraId="7686A1BD"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25F7D2A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400,000</w:t>
            </w:r>
          </w:p>
        </w:tc>
        <w:tc>
          <w:tcPr>
            <w:tcW w:w="896" w:type="dxa"/>
            <w:tcBorders>
              <w:top w:val="nil"/>
              <w:left w:val="nil"/>
              <w:bottom w:val="single" w:sz="4" w:space="0" w:color="538DD5"/>
              <w:right w:val="single" w:sz="4" w:space="0" w:color="538DD5"/>
            </w:tcBorders>
            <w:vAlign w:val="center"/>
            <w:hideMark/>
          </w:tcPr>
          <w:p w14:paraId="2F587E2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70ED385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455,000</w:t>
            </w:r>
          </w:p>
        </w:tc>
        <w:tc>
          <w:tcPr>
            <w:tcW w:w="896" w:type="dxa"/>
            <w:tcBorders>
              <w:top w:val="nil"/>
              <w:left w:val="nil"/>
              <w:bottom w:val="single" w:sz="4" w:space="0" w:color="538DD5"/>
              <w:right w:val="single" w:sz="4" w:space="0" w:color="538DD5"/>
            </w:tcBorders>
            <w:vAlign w:val="center"/>
            <w:hideMark/>
          </w:tcPr>
          <w:p w14:paraId="57978A6B"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6BA60DD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302,397</w:t>
            </w:r>
          </w:p>
        </w:tc>
        <w:tc>
          <w:tcPr>
            <w:tcW w:w="773" w:type="dxa"/>
            <w:tcBorders>
              <w:top w:val="nil"/>
              <w:left w:val="nil"/>
              <w:bottom w:val="single" w:sz="4" w:space="0" w:color="538DD5"/>
              <w:right w:val="single" w:sz="4" w:space="0" w:color="538DD5"/>
            </w:tcBorders>
            <w:vAlign w:val="center"/>
            <w:hideMark/>
          </w:tcPr>
          <w:p w14:paraId="5C6E3C0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0C01147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76%</w:t>
            </w:r>
          </w:p>
        </w:tc>
        <w:tc>
          <w:tcPr>
            <w:tcW w:w="773" w:type="dxa"/>
            <w:tcBorders>
              <w:top w:val="nil"/>
              <w:left w:val="nil"/>
              <w:bottom w:val="single" w:sz="4" w:space="0" w:color="538DD5"/>
              <w:right w:val="single" w:sz="4" w:space="0" w:color="538DD5"/>
            </w:tcBorders>
            <w:vAlign w:val="center"/>
            <w:hideMark/>
          </w:tcPr>
          <w:p w14:paraId="2079BBE5"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792A044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66%</w:t>
            </w:r>
          </w:p>
        </w:tc>
      </w:tr>
      <w:tr w:rsidR="00C156A0" w:rsidRPr="00C156A0" w14:paraId="4866228A" w14:textId="77777777" w:rsidTr="00567675">
        <w:trPr>
          <w:trHeight w:val="126"/>
        </w:trPr>
        <w:tc>
          <w:tcPr>
            <w:tcW w:w="1479" w:type="dxa"/>
            <w:tcBorders>
              <w:top w:val="nil"/>
              <w:left w:val="single" w:sz="4" w:space="0" w:color="538DD5"/>
              <w:bottom w:val="single" w:sz="4" w:space="0" w:color="538DD5"/>
              <w:right w:val="single" w:sz="4" w:space="0" w:color="538DD5"/>
            </w:tcBorders>
            <w:vAlign w:val="center"/>
            <w:hideMark/>
          </w:tcPr>
          <w:p w14:paraId="354EF0DD"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Menaxhimi i Shpenzimeve Publike</w:t>
            </w:r>
          </w:p>
        </w:tc>
        <w:tc>
          <w:tcPr>
            <w:tcW w:w="896" w:type="dxa"/>
            <w:tcBorders>
              <w:top w:val="nil"/>
              <w:left w:val="nil"/>
              <w:bottom w:val="single" w:sz="4" w:space="0" w:color="538DD5"/>
              <w:right w:val="single" w:sz="4" w:space="0" w:color="538DD5"/>
            </w:tcBorders>
            <w:vAlign w:val="center"/>
            <w:hideMark/>
          </w:tcPr>
          <w:p w14:paraId="307B22F5"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718,940</w:t>
            </w:r>
          </w:p>
        </w:tc>
        <w:tc>
          <w:tcPr>
            <w:tcW w:w="900" w:type="dxa"/>
            <w:tcBorders>
              <w:top w:val="nil"/>
              <w:left w:val="nil"/>
              <w:bottom w:val="single" w:sz="4" w:space="0" w:color="538DD5"/>
              <w:right w:val="single" w:sz="4" w:space="0" w:color="538DD5"/>
            </w:tcBorders>
            <w:vAlign w:val="center"/>
            <w:hideMark/>
          </w:tcPr>
          <w:p w14:paraId="7EF8CE3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300,000</w:t>
            </w:r>
          </w:p>
        </w:tc>
        <w:tc>
          <w:tcPr>
            <w:tcW w:w="896" w:type="dxa"/>
            <w:tcBorders>
              <w:top w:val="nil"/>
              <w:left w:val="nil"/>
              <w:bottom w:val="single" w:sz="4" w:space="0" w:color="538DD5"/>
              <w:right w:val="single" w:sz="4" w:space="0" w:color="538DD5"/>
            </w:tcBorders>
            <w:vAlign w:val="center"/>
            <w:hideMark/>
          </w:tcPr>
          <w:p w14:paraId="2A0C238B"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482,536</w:t>
            </w:r>
          </w:p>
        </w:tc>
        <w:tc>
          <w:tcPr>
            <w:tcW w:w="900" w:type="dxa"/>
            <w:tcBorders>
              <w:top w:val="nil"/>
              <w:left w:val="nil"/>
              <w:bottom w:val="single" w:sz="4" w:space="0" w:color="538DD5"/>
              <w:right w:val="single" w:sz="4" w:space="0" w:color="538DD5"/>
            </w:tcBorders>
            <w:vAlign w:val="center"/>
            <w:hideMark/>
          </w:tcPr>
          <w:p w14:paraId="2EBC663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896" w:type="dxa"/>
            <w:tcBorders>
              <w:top w:val="nil"/>
              <w:left w:val="nil"/>
              <w:bottom w:val="single" w:sz="4" w:space="0" w:color="538DD5"/>
              <w:right w:val="single" w:sz="4" w:space="0" w:color="538DD5"/>
            </w:tcBorders>
            <w:vAlign w:val="center"/>
            <w:hideMark/>
          </w:tcPr>
          <w:p w14:paraId="0CAAE45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463,371</w:t>
            </w:r>
          </w:p>
        </w:tc>
        <w:tc>
          <w:tcPr>
            <w:tcW w:w="900" w:type="dxa"/>
            <w:tcBorders>
              <w:top w:val="nil"/>
              <w:left w:val="nil"/>
              <w:bottom w:val="single" w:sz="4" w:space="0" w:color="538DD5"/>
              <w:right w:val="single" w:sz="4" w:space="0" w:color="538DD5"/>
            </w:tcBorders>
            <w:vAlign w:val="center"/>
            <w:hideMark/>
          </w:tcPr>
          <w:p w14:paraId="13079217"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773" w:type="dxa"/>
            <w:tcBorders>
              <w:top w:val="nil"/>
              <w:left w:val="nil"/>
              <w:bottom w:val="single" w:sz="4" w:space="0" w:color="538DD5"/>
              <w:right w:val="single" w:sz="4" w:space="0" w:color="538DD5"/>
            </w:tcBorders>
            <w:vAlign w:val="center"/>
            <w:hideMark/>
          </w:tcPr>
          <w:p w14:paraId="247C28B7"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64%</w:t>
            </w:r>
          </w:p>
        </w:tc>
        <w:tc>
          <w:tcPr>
            <w:tcW w:w="901" w:type="dxa"/>
            <w:tcBorders>
              <w:top w:val="nil"/>
              <w:left w:val="nil"/>
              <w:bottom w:val="single" w:sz="4" w:space="0" w:color="538DD5"/>
              <w:right w:val="single" w:sz="4" w:space="0" w:color="538DD5"/>
            </w:tcBorders>
            <w:vAlign w:val="center"/>
            <w:hideMark/>
          </w:tcPr>
          <w:p w14:paraId="4A32BC56"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773" w:type="dxa"/>
            <w:tcBorders>
              <w:top w:val="nil"/>
              <w:left w:val="nil"/>
              <w:bottom w:val="single" w:sz="4" w:space="0" w:color="538DD5"/>
              <w:right w:val="single" w:sz="4" w:space="0" w:color="538DD5"/>
            </w:tcBorders>
            <w:vAlign w:val="center"/>
            <w:hideMark/>
          </w:tcPr>
          <w:p w14:paraId="1770108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901" w:type="dxa"/>
            <w:tcBorders>
              <w:top w:val="nil"/>
              <w:left w:val="nil"/>
              <w:bottom w:val="single" w:sz="4" w:space="0" w:color="538DD5"/>
              <w:right w:val="single" w:sz="4" w:space="0" w:color="538DD5"/>
            </w:tcBorders>
            <w:vAlign w:val="center"/>
            <w:hideMark/>
          </w:tcPr>
          <w:p w14:paraId="4135CF7F"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0%</w:t>
            </w:r>
          </w:p>
        </w:tc>
      </w:tr>
      <w:tr w:rsidR="00C156A0" w:rsidRPr="00C156A0" w14:paraId="46C8C4C5" w14:textId="77777777" w:rsidTr="00567675">
        <w:trPr>
          <w:trHeight w:val="126"/>
        </w:trPr>
        <w:tc>
          <w:tcPr>
            <w:tcW w:w="1479" w:type="dxa"/>
            <w:tcBorders>
              <w:top w:val="nil"/>
              <w:left w:val="single" w:sz="4" w:space="0" w:color="538DD5"/>
              <w:bottom w:val="single" w:sz="4" w:space="0" w:color="538DD5"/>
              <w:right w:val="single" w:sz="4" w:space="0" w:color="538DD5"/>
            </w:tcBorders>
            <w:vAlign w:val="center"/>
            <w:hideMark/>
          </w:tcPr>
          <w:p w14:paraId="1147D516"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Ekzekutimi i Pagesave te Ndryshme</w:t>
            </w:r>
          </w:p>
        </w:tc>
        <w:tc>
          <w:tcPr>
            <w:tcW w:w="896" w:type="dxa"/>
            <w:tcBorders>
              <w:top w:val="nil"/>
              <w:left w:val="nil"/>
              <w:bottom w:val="single" w:sz="4" w:space="0" w:color="538DD5"/>
              <w:right w:val="single" w:sz="4" w:space="0" w:color="538DD5"/>
            </w:tcBorders>
            <w:vAlign w:val="center"/>
            <w:hideMark/>
          </w:tcPr>
          <w:p w14:paraId="0BC6756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604,000</w:t>
            </w:r>
          </w:p>
        </w:tc>
        <w:tc>
          <w:tcPr>
            <w:tcW w:w="900" w:type="dxa"/>
            <w:tcBorders>
              <w:top w:val="nil"/>
              <w:left w:val="nil"/>
              <w:bottom w:val="single" w:sz="4" w:space="0" w:color="538DD5"/>
              <w:right w:val="single" w:sz="4" w:space="0" w:color="538DD5"/>
            </w:tcBorders>
            <w:vAlign w:val="center"/>
            <w:hideMark/>
          </w:tcPr>
          <w:p w14:paraId="5791A92F"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100,000</w:t>
            </w:r>
          </w:p>
        </w:tc>
        <w:tc>
          <w:tcPr>
            <w:tcW w:w="896" w:type="dxa"/>
            <w:tcBorders>
              <w:top w:val="nil"/>
              <w:left w:val="nil"/>
              <w:bottom w:val="single" w:sz="4" w:space="0" w:color="538DD5"/>
              <w:right w:val="single" w:sz="4" w:space="0" w:color="538DD5"/>
            </w:tcBorders>
            <w:vAlign w:val="center"/>
            <w:hideMark/>
          </w:tcPr>
          <w:p w14:paraId="0A144A97"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456,663</w:t>
            </w:r>
          </w:p>
        </w:tc>
        <w:tc>
          <w:tcPr>
            <w:tcW w:w="900" w:type="dxa"/>
            <w:tcBorders>
              <w:top w:val="nil"/>
              <w:left w:val="nil"/>
              <w:bottom w:val="single" w:sz="4" w:space="0" w:color="538DD5"/>
              <w:right w:val="single" w:sz="4" w:space="0" w:color="538DD5"/>
            </w:tcBorders>
            <w:vAlign w:val="center"/>
            <w:hideMark/>
          </w:tcPr>
          <w:p w14:paraId="477E4684"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1,117,869</w:t>
            </w:r>
          </w:p>
        </w:tc>
        <w:tc>
          <w:tcPr>
            <w:tcW w:w="896" w:type="dxa"/>
            <w:tcBorders>
              <w:top w:val="nil"/>
              <w:left w:val="nil"/>
              <w:bottom w:val="single" w:sz="4" w:space="0" w:color="538DD5"/>
              <w:right w:val="single" w:sz="4" w:space="0" w:color="538DD5"/>
            </w:tcBorders>
            <w:vAlign w:val="center"/>
            <w:hideMark/>
          </w:tcPr>
          <w:p w14:paraId="5264109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309,608</w:t>
            </w:r>
          </w:p>
        </w:tc>
        <w:tc>
          <w:tcPr>
            <w:tcW w:w="900" w:type="dxa"/>
            <w:tcBorders>
              <w:top w:val="nil"/>
              <w:left w:val="nil"/>
              <w:bottom w:val="single" w:sz="4" w:space="0" w:color="538DD5"/>
              <w:right w:val="single" w:sz="4" w:space="0" w:color="538DD5"/>
            </w:tcBorders>
            <w:vAlign w:val="center"/>
            <w:hideMark/>
          </w:tcPr>
          <w:p w14:paraId="63DE4EF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1,092,256</w:t>
            </w:r>
          </w:p>
        </w:tc>
        <w:tc>
          <w:tcPr>
            <w:tcW w:w="773" w:type="dxa"/>
            <w:tcBorders>
              <w:top w:val="nil"/>
              <w:left w:val="nil"/>
              <w:bottom w:val="single" w:sz="4" w:space="0" w:color="538DD5"/>
              <w:right w:val="single" w:sz="4" w:space="0" w:color="538DD5"/>
            </w:tcBorders>
            <w:vAlign w:val="center"/>
            <w:hideMark/>
          </w:tcPr>
          <w:p w14:paraId="62895F0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51%</w:t>
            </w:r>
          </w:p>
        </w:tc>
        <w:tc>
          <w:tcPr>
            <w:tcW w:w="901" w:type="dxa"/>
            <w:tcBorders>
              <w:top w:val="nil"/>
              <w:left w:val="nil"/>
              <w:bottom w:val="single" w:sz="4" w:space="0" w:color="538DD5"/>
              <w:right w:val="single" w:sz="4" w:space="0" w:color="538DD5"/>
            </w:tcBorders>
            <w:vAlign w:val="center"/>
            <w:hideMark/>
          </w:tcPr>
          <w:p w14:paraId="4B1094C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1092%</w:t>
            </w:r>
          </w:p>
        </w:tc>
        <w:tc>
          <w:tcPr>
            <w:tcW w:w="773" w:type="dxa"/>
            <w:tcBorders>
              <w:top w:val="nil"/>
              <w:left w:val="nil"/>
              <w:bottom w:val="single" w:sz="4" w:space="0" w:color="538DD5"/>
              <w:right w:val="single" w:sz="4" w:space="0" w:color="538DD5"/>
            </w:tcBorders>
            <w:vAlign w:val="center"/>
            <w:hideMark/>
          </w:tcPr>
          <w:p w14:paraId="5629217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68%</w:t>
            </w:r>
          </w:p>
        </w:tc>
        <w:tc>
          <w:tcPr>
            <w:tcW w:w="901" w:type="dxa"/>
            <w:tcBorders>
              <w:top w:val="nil"/>
              <w:left w:val="nil"/>
              <w:bottom w:val="single" w:sz="4" w:space="0" w:color="538DD5"/>
              <w:right w:val="single" w:sz="4" w:space="0" w:color="538DD5"/>
            </w:tcBorders>
            <w:vAlign w:val="center"/>
            <w:hideMark/>
          </w:tcPr>
          <w:p w14:paraId="02F687E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98%</w:t>
            </w:r>
          </w:p>
        </w:tc>
      </w:tr>
      <w:tr w:rsidR="00C156A0" w:rsidRPr="00C156A0" w14:paraId="342C97D0" w14:textId="77777777" w:rsidTr="00567675">
        <w:trPr>
          <w:trHeight w:val="84"/>
        </w:trPr>
        <w:tc>
          <w:tcPr>
            <w:tcW w:w="1479" w:type="dxa"/>
            <w:tcBorders>
              <w:top w:val="nil"/>
              <w:left w:val="single" w:sz="4" w:space="0" w:color="538DD5"/>
              <w:bottom w:val="single" w:sz="4" w:space="0" w:color="538DD5"/>
              <w:right w:val="single" w:sz="4" w:space="0" w:color="538DD5"/>
            </w:tcBorders>
            <w:vAlign w:val="center"/>
            <w:hideMark/>
          </w:tcPr>
          <w:p w14:paraId="1F318C38" w14:textId="77777777" w:rsidR="00C156A0" w:rsidRPr="009C048C" w:rsidRDefault="00C156A0" w:rsidP="008A6B67">
            <w:pPr>
              <w:spacing w:before="0" w:line="240" w:lineRule="auto"/>
              <w:jc w:val="center"/>
              <w:rPr>
                <w:rFonts w:cs="Calibri"/>
                <w:b/>
                <w:bCs/>
                <w:color w:val="000000"/>
                <w:sz w:val="16"/>
                <w:szCs w:val="16"/>
                <w:lang w:val="sq-AL"/>
              </w:rPr>
            </w:pPr>
            <w:r w:rsidRPr="009C048C">
              <w:rPr>
                <w:rFonts w:cs="Calibri"/>
                <w:b/>
                <w:bCs/>
                <w:color w:val="000000"/>
                <w:sz w:val="16"/>
                <w:szCs w:val="16"/>
                <w:lang w:val="sq-AL"/>
              </w:rPr>
              <w:t>Financimi I huaj</w:t>
            </w:r>
          </w:p>
        </w:tc>
        <w:tc>
          <w:tcPr>
            <w:tcW w:w="896" w:type="dxa"/>
            <w:tcBorders>
              <w:top w:val="nil"/>
              <w:left w:val="nil"/>
              <w:bottom w:val="single" w:sz="4" w:space="0" w:color="538DD5"/>
              <w:right w:val="single" w:sz="4" w:space="0" w:color="538DD5"/>
            </w:tcBorders>
            <w:vAlign w:val="center"/>
            <w:hideMark/>
          </w:tcPr>
          <w:p w14:paraId="4ADCF1DF"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1937D45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896" w:type="dxa"/>
            <w:tcBorders>
              <w:top w:val="nil"/>
              <w:left w:val="nil"/>
              <w:bottom w:val="single" w:sz="4" w:space="0" w:color="538DD5"/>
              <w:right w:val="single" w:sz="4" w:space="0" w:color="538DD5"/>
            </w:tcBorders>
            <w:vAlign w:val="center"/>
            <w:hideMark/>
          </w:tcPr>
          <w:p w14:paraId="0DD9459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634FE96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317</w:t>
            </w:r>
          </w:p>
        </w:tc>
        <w:tc>
          <w:tcPr>
            <w:tcW w:w="896" w:type="dxa"/>
            <w:tcBorders>
              <w:top w:val="nil"/>
              <w:left w:val="nil"/>
              <w:bottom w:val="single" w:sz="4" w:space="0" w:color="538DD5"/>
              <w:right w:val="single" w:sz="4" w:space="0" w:color="538DD5"/>
            </w:tcBorders>
            <w:vAlign w:val="center"/>
            <w:hideMark/>
          </w:tcPr>
          <w:p w14:paraId="0BBAFB8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1F511ADB"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773" w:type="dxa"/>
            <w:tcBorders>
              <w:top w:val="nil"/>
              <w:left w:val="nil"/>
              <w:bottom w:val="single" w:sz="4" w:space="0" w:color="538DD5"/>
              <w:right w:val="single" w:sz="4" w:space="0" w:color="538DD5"/>
            </w:tcBorders>
            <w:vAlign w:val="center"/>
            <w:hideMark/>
          </w:tcPr>
          <w:p w14:paraId="057FF3B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18B66BA2"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773" w:type="dxa"/>
            <w:tcBorders>
              <w:top w:val="nil"/>
              <w:left w:val="nil"/>
              <w:bottom w:val="single" w:sz="4" w:space="0" w:color="538DD5"/>
              <w:right w:val="single" w:sz="4" w:space="0" w:color="538DD5"/>
            </w:tcBorders>
            <w:vAlign w:val="center"/>
            <w:hideMark/>
          </w:tcPr>
          <w:p w14:paraId="294BF4C1"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61F94DD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r>
      <w:tr w:rsidR="00C156A0" w:rsidRPr="00C156A0" w14:paraId="177A8FD5" w14:textId="77777777" w:rsidTr="00567675">
        <w:trPr>
          <w:trHeight w:val="126"/>
        </w:trPr>
        <w:tc>
          <w:tcPr>
            <w:tcW w:w="1479" w:type="dxa"/>
            <w:tcBorders>
              <w:top w:val="nil"/>
              <w:left w:val="single" w:sz="4" w:space="0" w:color="538DD5"/>
              <w:bottom w:val="single" w:sz="4" w:space="0" w:color="538DD5"/>
              <w:right w:val="single" w:sz="4" w:space="0" w:color="538DD5"/>
            </w:tcBorders>
            <w:vAlign w:val="center"/>
            <w:hideMark/>
          </w:tcPr>
          <w:p w14:paraId="2DC8C474"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Menaxhimi i te Ardhurave Tatimore</w:t>
            </w:r>
          </w:p>
        </w:tc>
        <w:tc>
          <w:tcPr>
            <w:tcW w:w="896" w:type="dxa"/>
            <w:tcBorders>
              <w:top w:val="nil"/>
              <w:left w:val="nil"/>
              <w:bottom w:val="single" w:sz="4" w:space="0" w:color="538DD5"/>
              <w:right w:val="single" w:sz="4" w:space="0" w:color="538DD5"/>
            </w:tcBorders>
            <w:vAlign w:val="center"/>
            <w:hideMark/>
          </w:tcPr>
          <w:p w14:paraId="0A257155"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2,857,634</w:t>
            </w:r>
          </w:p>
        </w:tc>
        <w:tc>
          <w:tcPr>
            <w:tcW w:w="900" w:type="dxa"/>
            <w:tcBorders>
              <w:top w:val="nil"/>
              <w:left w:val="nil"/>
              <w:bottom w:val="single" w:sz="4" w:space="0" w:color="538DD5"/>
              <w:right w:val="single" w:sz="4" w:space="0" w:color="538DD5"/>
            </w:tcBorders>
            <w:vAlign w:val="center"/>
            <w:hideMark/>
          </w:tcPr>
          <w:p w14:paraId="59797F87"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83,000</w:t>
            </w:r>
          </w:p>
        </w:tc>
        <w:tc>
          <w:tcPr>
            <w:tcW w:w="896" w:type="dxa"/>
            <w:tcBorders>
              <w:top w:val="nil"/>
              <w:left w:val="nil"/>
              <w:bottom w:val="single" w:sz="4" w:space="0" w:color="538DD5"/>
              <w:right w:val="single" w:sz="4" w:space="0" w:color="538DD5"/>
            </w:tcBorders>
            <w:vAlign w:val="center"/>
            <w:hideMark/>
          </w:tcPr>
          <w:p w14:paraId="251E39FB"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2,663,834</w:t>
            </w:r>
          </w:p>
        </w:tc>
        <w:tc>
          <w:tcPr>
            <w:tcW w:w="900" w:type="dxa"/>
            <w:tcBorders>
              <w:top w:val="nil"/>
              <w:left w:val="nil"/>
              <w:bottom w:val="single" w:sz="4" w:space="0" w:color="538DD5"/>
              <w:right w:val="single" w:sz="4" w:space="0" w:color="538DD5"/>
            </w:tcBorders>
            <w:vAlign w:val="center"/>
            <w:hideMark/>
          </w:tcPr>
          <w:p w14:paraId="13A3272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30,423</w:t>
            </w:r>
          </w:p>
        </w:tc>
        <w:tc>
          <w:tcPr>
            <w:tcW w:w="896" w:type="dxa"/>
            <w:tcBorders>
              <w:top w:val="nil"/>
              <w:left w:val="nil"/>
              <w:bottom w:val="single" w:sz="4" w:space="0" w:color="538DD5"/>
              <w:right w:val="single" w:sz="4" w:space="0" w:color="538DD5"/>
            </w:tcBorders>
            <w:vAlign w:val="center"/>
            <w:hideMark/>
          </w:tcPr>
          <w:p w14:paraId="7521DC41"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2,456,676</w:t>
            </w:r>
          </w:p>
        </w:tc>
        <w:tc>
          <w:tcPr>
            <w:tcW w:w="900" w:type="dxa"/>
            <w:tcBorders>
              <w:top w:val="nil"/>
              <w:left w:val="nil"/>
              <w:bottom w:val="single" w:sz="4" w:space="0" w:color="538DD5"/>
              <w:right w:val="single" w:sz="4" w:space="0" w:color="538DD5"/>
            </w:tcBorders>
            <w:vAlign w:val="center"/>
            <w:hideMark/>
          </w:tcPr>
          <w:p w14:paraId="2F0BA8B1"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27,640</w:t>
            </w:r>
          </w:p>
        </w:tc>
        <w:tc>
          <w:tcPr>
            <w:tcW w:w="773" w:type="dxa"/>
            <w:tcBorders>
              <w:top w:val="nil"/>
              <w:left w:val="nil"/>
              <w:bottom w:val="single" w:sz="4" w:space="0" w:color="538DD5"/>
              <w:right w:val="single" w:sz="4" w:space="0" w:color="538DD5"/>
            </w:tcBorders>
            <w:vAlign w:val="center"/>
            <w:hideMark/>
          </w:tcPr>
          <w:p w14:paraId="6D536A8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86%</w:t>
            </w:r>
          </w:p>
        </w:tc>
        <w:tc>
          <w:tcPr>
            <w:tcW w:w="901" w:type="dxa"/>
            <w:tcBorders>
              <w:top w:val="nil"/>
              <w:left w:val="nil"/>
              <w:bottom w:val="single" w:sz="4" w:space="0" w:color="538DD5"/>
              <w:right w:val="single" w:sz="4" w:space="0" w:color="538DD5"/>
            </w:tcBorders>
            <w:vAlign w:val="center"/>
            <w:hideMark/>
          </w:tcPr>
          <w:p w14:paraId="342AFA9D"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33%</w:t>
            </w:r>
          </w:p>
        </w:tc>
        <w:tc>
          <w:tcPr>
            <w:tcW w:w="773" w:type="dxa"/>
            <w:tcBorders>
              <w:top w:val="nil"/>
              <w:left w:val="nil"/>
              <w:bottom w:val="single" w:sz="4" w:space="0" w:color="538DD5"/>
              <w:right w:val="single" w:sz="4" w:space="0" w:color="538DD5"/>
            </w:tcBorders>
            <w:vAlign w:val="center"/>
            <w:hideMark/>
          </w:tcPr>
          <w:p w14:paraId="6FDD21C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92%</w:t>
            </w:r>
          </w:p>
        </w:tc>
        <w:tc>
          <w:tcPr>
            <w:tcW w:w="901" w:type="dxa"/>
            <w:tcBorders>
              <w:top w:val="nil"/>
              <w:left w:val="nil"/>
              <w:bottom w:val="single" w:sz="4" w:space="0" w:color="538DD5"/>
              <w:right w:val="single" w:sz="4" w:space="0" w:color="538DD5"/>
            </w:tcBorders>
            <w:vAlign w:val="center"/>
            <w:hideMark/>
          </w:tcPr>
          <w:p w14:paraId="11662A8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91%</w:t>
            </w:r>
          </w:p>
        </w:tc>
      </w:tr>
      <w:tr w:rsidR="00C156A0" w:rsidRPr="00C156A0" w14:paraId="2531420D" w14:textId="77777777" w:rsidTr="00567675">
        <w:trPr>
          <w:trHeight w:val="126"/>
        </w:trPr>
        <w:tc>
          <w:tcPr>
            <w:tcW w:w="1479" w:type="dxa"/>
            <w:tcBorders>
              <w:top w:val="nil"/>
              <w:left w:val="single" w:sz="4" w:space="0" w:color="538DD5"/>
              <w:bottom w:val="single" w:sz="4" w:space="0" w:color="538DD5"/>
              <w:right w:val="single" w:sz="4" w:space="0" w:color="538DD5"/>
            </w:tcBorders>
            <w:vAlign w:val="center"/>
            <w:hideMark/>
          </w:tcPr>
          <w:p w14:paraId="53EC8B7C"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Menaxhimi i te Ardhurave Doganore</w:t>
            </w:r>
          </w:p>
        </w:tc>
        <w:tc>
          <w:tcPr>
            <w:tcW w:w="896" w:type="dxa"/>
            <w:tcBorders>
              <w:top w:val="nil"/>
              <w:left w:val="nil"/>
              <w:bottom w:val="single" w:sz="4" w:space="0" w:color="538DD5"/>
              <w:right w:val="single" w:sz="4" w:space="0" w:color="538DD5"/>
            </w:tcBorders>
            <w:vAlign w:val="center"/>
            <w:hideMark/>
          </w:tcPr>
          <w:p w14:paraId="34AFFB3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4,310,773</w:t>
            </w:r>
          </w:p>
        </w:tc>
        <w:tc>
          <w:tcPr>
            <w:tcW w:w="900" w:type="dxa"/>
            <w:tcBorders>
              <w:top w:val="nil"/>
              <w:left w:val="nil"/>
              <w:bottom w:val="single" w:sz="4" w:space="0" w:color="538DD5"/>
              <w:right w:val="single" w:sz="4" w:space="0" w:color="538DD5"/>
            </w:tcBorders>
            <w:vAlign w:val="center"/>
            <w:hideMark/>
          </w:tcPr>
          <w:p w14:paraId="5E45981D"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323,220</w:t>
            </w:r>
          </w:p>
        </w:tc>
        <w:tc>
          <w:tcPr>
            <w:tcW w:w="896" w:type="dxa"/>
            <w:tcBorders>
              <w:top w:val="nil"/>
              <w:left w:val="nil"/>
              <w:bottom w:val="single" w:sz="4" w:space="0" w:color="538DD5"/>
              <w:right w:val="single" w:sz="4" w:space="0" w:color="538DD5"/>
            </w:tcBorders>
            <w:vAlign w:val="center"/>
            <w:hideMark/>
          </w:tcPr>
          <w:p w14:paraId="2EE98BA5"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3,885,837</w:t>
            </w:r>
          </w:p>
        </w:tc>
        <w:tc>
          <w:tcPr>
            <w:tcW w:w="900" w:type="dxa"/>
            <w:tcBorders>
              <w:top w:val="nil"/>
              <w:left w:val="nil"/>
              <w:bottom w:val="single" w:sz="4" w:space="0" w:color="538DD5"/>
              <w:right w:val="single" w:sz="4" w:space="0" w:color="538DD5"/>
            </w:tcBorders>
            <w:vAlign w:val="center"/>
            <w:hideMark/>
          </w:tcPr>
          <w:p w14:paraId="509EFD2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79,971</w:t>
            </w:r>
          </w:p>
        </w:tc>
        <w:tc>
          <w:tcPr>
            <w:tcW w:w="896" w:type="dxa"/>
            <w:tcBorders>
              <w:top w:val="nil"/>
              <w:left w:val="nil"/>
              <w:bottom w:val="single" w:sz="4" w:space="0" w:color="538DD5"/>
              <w:right w:val="single" w:sz="4" w:space="0" w:color="538DD5"/>
            </w:tcBorders>
            <w:vAlign w:val="center"/>
            <w:hideMark/>
          </w:tcPr>
          <w:p w14:paraId="7E6199B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3,776,124</w:t>
            </w:r>
          </w:p>
        </w:tc>
        <w:tc>
          <w:tcPr>
            <w:tcW w:w="900" w:type="dxa"/>
            <w:tcBorders>
              <w:top w:val="nil"/>
              <w:left w:val="nil"/>
              <w:bottom w:val="single" w:sz="4" w:space="0" w:color="538DD5"/>
              <w:right w:val="single" w:sz="4" w:space="0" w:color="538DD5"/>
            </w:tcBorders>
            <w:vAlign w:val="center"/>
            <w:hideMark/>
          </w:tcPr>
          <w:p w14:paraId="01526982"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58,692</w:t>
            </w:r>
          </w:p>
        </w:tc>
        <w:tc>
          <w:tcPr>
            <w:tcW w:w="773" w:type="dxa"/>
            <w:tcBorders>
              <w:top w:val="nil"/>
              <w:left w:val="nil"/>
              <w:bottom w:val="single" w:sz="4" w:space="0" w:color="538DD5"/>
              <w:right w:val="single" w:sz="4" w:space="0" w:color="538DD5"/>
            </w:tcBorders>
            <w:vAlign w:val="center"/>
            <w:hideMark/>
          </w:tcPr>
          <w:p w14:paraId="51A64EE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88%</w:t>
            </w:r>
          </w:p>
        </w:tc>
        <w:tc>
          <w:tcPr>
            <w:tcW w:w="901" w:type="dxa"/>
            <w:tcBorders>
              <w:top w:val="nil"/>
              <w:left w:val="nil"/>
              <w:bottom w:val="single" w:sz="4" w:space="0" w:color="538DD5"/>
              <w:right w:val="single" w:sz="4" w:space="0" w:color="538DD5"/>
            </w:tcBorders>
            <w:vAlign w:val="center"/>
            <w:hideMark/>
          </w:tcPr>
          <w:p w14:paraId="742DFA56"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18%</w:t>
            </w:r>
          </w:p>
        </w:tc>
        <w:tc>
          <w:tcPr>
            <w:tcW w:w="773" w:type="dxa"/>
            <w:tcBorders>
              <w:top w:val="nil"/>
              <w:left w:val="nil"/>
              <w:bottom w:val="single" w:sz="4" w:space="0" w:color="538DD5"/>
              <w:right w:val="single" w:sz="4" w:space="0" w:color="538DD5"/>
            </w:tcBorders>
            <w:vAlign w:val="center"/>
            <w:hideMark/>
          </w:tcPr>
          <w:p w14:paraId="22E9BBA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97%</w:t>
            </w:r>
          </w:p>
        </w:tc>
        <w:tc>
          <w:tcPr>
            <w:tcW w:w="901" w:type="dxa"/>
            <w:tcBorders>
              <w:top w:val="nil"/>
              <w:left w:val="nil"/>
              <w:bottom w:val="single" w:sz="4" w:space="0" w:color="538DD5"/>
              <w:right w:val="single" w:sz="4" w:space="0" w:color="538DD5"/>
            </w:tcBorders>
            <w:vAlign w:val="center"/>
            <w:hideMark/>
          </w:tcPr>
          <w:p w14:paraId="7BD13D80"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73%</w:t>
            </w:r>
          </w:p>
        </w:tc>
      </w:tr>
      <w:tr w:rsidR="00C156A0" w:rsidRPr="00C156A0" w14:paraId="25D6DEFE" w14:textId="77777777" w:rsidTr="00567675">
        <w:trPr>
          <w:trHeight w:val="84"/>
        </w:trPr>
        <w:tc>
          <w:tcPr>
            <w:tcW w:w="1479" w:type="dxa"/>
            <w:tcBorders>
              <w:top w:val="nil"/>
              <w:left w:val="single" w:sz="4" w:space="0" w:color="538DD5"/>
              <w:bottom w:val="single" w:sz="4" w:space="0" w:color="538DD5"/>
              <w:right w:val="single" w:sz="4" w:space="0" w:color="538DD5"/>
            </w:tcBorders>
            <w:vAlign w:val="center"/>
            <w:hideMark/>
          </w:tcPr>
          <w:p w14:paraId="6DBFAB96" w14:textId="77777777" w:rsidR="00C156A0" w:rsidRPr="009C048C" w:rsidRDefault="00C156A0" w:rsidP="008A6B67">
            <w:pPr>
              <w:spacing w:before="0" w:line="240" w:lineRule="auto"/>
              <w:jc w:val="center"/>
              <w:rPr>
                <w:rFonts w:cs="Calibri"/>
                <w:b/>
                <w:bCs/>
                <w:color w:val="000000"/>
                <w:sz w:val="16"/>
                <w:szCs w:val="16"/>
                <w:lang w:val="sq-AL"/>
              </w:rPr>
            </w:pPr>
            <w:r w:rsidRPr="009C048C">
              <w:rPr>
                <w:rFonts w:cs="Calibri"/>
                <w:b/>
                <w:bCs/>
                <w:color w:val="000000"/>
                <w:sz w:val="16"/>
                <w:szCs w:val="16"/>
                <w:lang w:val="sq-AL"/>
              </w:rPr>
              <w:t>Financimi I huaj</w:t>
            </w:r>
          </w:p>
        </w:tc>
        <w:tc>
          <w:tcPr>
            <w:tcW w:w="896" w:type="dxa"/>
            <w:tcBorders>
              <w:top w:val="nil"/>
              <w:left w:val="nil"/>
              <w:bottom w:val="single" w:sz="4" w:space="0" w:color="538DD5"/>
              <w:right w:val="single" w:sz="4" w:space="0" w:color="538DD5"/>
            </w:tcBorders>
            <w:vAlign w:val="center"/>
            <w:hideMark/>
          </w:tcPr>
          <w:p w14:paraId="6D26828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796ADB72"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6,000</w:t>
            </w:r>
          </w:p>
        </w:tc>
        <w:tc>
          <w:tcPr>
            <w:tcW w:w="896" w:type="dxa"/>
            <w:tcBorders>
              <w:top w:val="nil"/>
              <w:left w:val="nil"/>
              <w:bottom w:val="single" w:sz="4" w:space="0" w:color="538DD5"/>
              <w:right w:val="single" w:sz="4" w:space="0" w:color="538DD5"/>
            </w:tcBorders>
            <w:vAlign w:val="center"/>
            <w:hideMark/>
          </w:tcPr>
          <w:p w14:paraId="1371933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072A3127"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29,000</w:t>
            </w:r>
          </w:p>
        </w:tc>
        <w:tc>
          <w:tcPr>
            <w:tcW w:w="896" w:type="dxa"/>
            <w:tcBorders>
              <w:top w:val="nil"/>
              <w:left w:val="nil"/>
              <w:bottom w:val="single" w:sz="4" w:space="0" w:color="538DD5"/>
              <w:right w:val="single" w:sz="4" w:space="0" w:color="538DD5"/>
            </w:tcBorders>
            <w:vAlign w:val="center"/>
            <w:hideMark/>
          </w:tcPr>
          <w:p w14:paraId="78AC5C2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0" w:type="dxa"/>
            <w:tcBorders>
              <w:top w:val="nil"/>
              <w:left w:val="nil"/>
              <w:bottom w:val="single" w:sz="4" w:space="0" w:color="538DD5"/>
              <w:right w:val="single" w:sz="4" w:space="0" w:color="538DD5"/>
            </w:tcBorders>
            <w:vAlign w:val="center"/>
            <w:hideMark/>
          </w:tcPr>
          <w:p w14:paraId="07589D8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1,009</w:t>
            </w:r>
          </w:p>
        </w:tc>
        <w:tc>
          <w:tcPr>
            <w:tcW w:w="773" w:type="dxa"/>
            <w:tcBorders>
              <w:top w:val="nil"/>
              <w:left w:val="nil"/>
              <w:bottom w:val="single" w:sz="4" w:space="0" w:color="538DD5"/>
              <w:right w:val="single" w:sz="4" w:space="0" w:color="538DD5"/>
            </w:tcBorders>
            <w:vAlign w:val="center"/>
            <w:hideMark/>
          </w:tcPr>
          <w:p w14:paraId="6DA0685C"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3DD0783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17%</w:t>
            </w:r>
          </w:p>
        </w:tc>
        <w:tc>
          <w:tcPr>
            <w:tcW w:w="773" w:type="dxa"/>
            <w:tcBorders>
              <w:top w:val="nil"/>
              <w:left w:val="nil"/>
              <w:bottom w:val="single" w:sz="4" w:space="0" w:color="538DD5"/>
              <w:right w:val="single" w:sz="4" w:space="0" w:color="538DD5"/>
            </w:tcBorders>
            <w:vAlign w:val="center"/>
            <w:hideMark/>
          </w:tcPr>
          <w:p w14:paraId="01A104A4"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901" w:type="dxa"/>
            <w:tcBorders>
              <w:top w:val="nil"/>
              <w:left w:val="nil"/>
              <w:bottom w:val="single" w:sz="4" w:space="0" w:color="538DD5"/>
              <w:right w:val="single" w:sz="4" w:space="0" w:color="538DD5"/>
            </w:tcBorders>
            <w:vAlign w:val="center"/>
            <w:hideMark/>
          </w:tcPr>
          <w:p w14:paraId="193BCA91"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3%</w:t>
            </w:r>
          </w:p>
        </w:tc>
      </w:tr>
      <w:tr w:rsidR="00C156A0" w:rsidRPr="00C156A0" w14:paraId="4A7E51B0" w14:textId="77777777" w:rsidTr="00567675">
        <w:trPr>
          <w:trHeight w:val="191"/>
        </w:trPr>
        <w:tc>
          <w:tcPr>
            <w:tcW w:w="1479" w:type="dxa"/>
            <w:tcBorders>
              <w:top w:val="nil"/>
              <w:left w:val="single" w:sz="4" w:space="0" w:color="538DD5"/>
              <w:bottom w:val="single" w:sz="4" w:space="0" w:color="538DD5"/>
              <w:right w:val="single" w:sz="4" w:space="0" w:color="538DD5"/>
            </w:tcBorders>
            <w:vAlign w:val="center"/>
            <w:hideMark/>
          </w:tcPr>
          <w:p w14:paraId="3F356BBC" w14:textId="77777777" w:rsidR="00C156A0" w:rsidRPr="00567675" w:rsidRDefault="00C156A0" w:rsidP="008A6B67">
            <w:pPr>
              <w:spacing w:before="0" w:line="240" w:lineRule="auto"/>
              <w:jc w:val="center"/>
              <w:rPr>
                <w:rFonts w:cs="Calibri"/>
                <w:b/>
                <w:bCs/>
                <w:color w:val="000000"/>
                <w:sz w:val="16"/>
                <w:szCs w:val="16"/>
                <w:lang w:val="sq-AL"/>
              </w:rPr>
            </w:pPr>
            <w:r w:rsidRPr="00567675">
              <w:rPr>
                <w:rFonts w:cs="Calibri"/>
                <w:b/>
                <w:bCs/>
                <w:color w:val="000000"/>
                <w:sz w:val="16"/>
                <w:szCs w:val="16"/>
                <w:lang w:val="sq-AL"/>
              </w:rPr>
              <w:t>Lufta kunder Transaksioneve Financiare Jo-Ligjore</w:t>
            </w:r>
          </w:p>
        </w:tc>
        <w:tc>
          <w:tcPr>
            <w:tcW w:w="896" w:type="dxa"/>
            <w:tcBorders>
              <w:top w:val="nil"/>
              <w:left w:val="nil"/>
              <w:bottom w:val="single" w:sz="4" w:space="0" w:color="538DD5"/>
              <w:right w:val="single" w:sz="4" w:space="0" w:color="538DD5"/>
            </w:tcBorders>
            <w:vAlign w:val="center"/>
            <w:hideMark/>
          </w:tcPr>
          <w:p w14:paraId="7F72E8F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195,590</w:t>
            </w:r>
          </w:p>
        </w:tc>
        <w:tc>
          <w:tcPr>
            <w:tcW w:w="900" w:type="dxa"/>
            <w:tcBorders>
              <w:top w:val="nil"/>
              <w:left w:val="nil"/>
              <w:bottom w:val="single" w:sz="4" w:space="0" w:color="538DD5"/>
              <w:right w:val="single" w:sz="4" w:space="0" w:color="538DD5"/>
            </w:tcBorders>
            <w:vAlign w:val="center"/>
            <w:hideMark/>
          </w:tcPr>
          <w:p w14:paraId="76614AC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2,000</w:t>
            </w:r>
          </w:p>
        </w:tc>
        <w:tc>
          <w:tcPr>
            <w:tcW w:w="896" w:type="dxa"/>
            <w:tcBorders>
              <w:top w:val="nil"/>
              <w:left w:val="nil"/>
              <w:bottom w:val="single" w:sz="4" w:space="0" w:color="538DD5"/>
              <w:right w:val="single" w:sz="4" w:space="0" w:color="538DD5"/>
            </w:tcBorders>
            <w:vAlign w:val="center"/>
            <w:hideMark/>
          </w:tcPr>
          <w:p w14:paraId="0D7E09A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178,940</w:t>
            </w:r>
          </w:p>
        </w:tc>
        <w:tc>
          <w:tcPr>
            <w:tcW w:w="900" w:type="dxa"/>
            <w:tcBorders>
              <w:top w:val="nil"/>
              <w:left w:val="nil"/>
              <w:bottom w:val="single" w:sz="4" w:space="0" w:color="538DD5"/>
              <w:right w:val="single" w:sz="4" w:space="0" w:color="538DD5"/>
            </w:tcBorders>
            <w:vAlign w:val="center"/>
            <w:hideMark/>
          </w:tcPr>
          <w:p w14:paraId="374564BF"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14,500</w:t>
            </w:r>
          </w:p>
        </w:tc>
        <w:tc>
          <w:tcPr>
            <w:tcW w:w="896" w:type="dxa"/>
            <w:tcBorders>
              <w:top w:val="nil"/>
              <w:left w:val="nil"/>
              <w:bottom w:val="single" w:sz="4" w:space="0" w:color="538DD5"/>
              <w:right w:val="single" w:sz="4" w:space="0" w:color="538DD5"/>
            </w:tcBorders>
            <w:vAlign w:val="center"/>
            <w:hideMark/>
          </w:tcPr>
          <w:p w14:paraId="7C36D0BE"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170,324</w:t>
            </w:r>
          </w:p>
        </w:tc>
        <w:tc>
          <w:tcPr>
            <w:tcW w:w="900" w:type="dxa"/>
            <w:tcBorders>
              <w:top w:val="nil"/>
              <w:left w:val="nil"/>
              <w:bottom w:val="single" w:sz="4" w:space="0" w:color="538DD5"/>
              <w:right w:val="single" w:sz="4" w:space="0" w:color="538DD5"/>
            </w:tcBorders>
            <w:vAlign w:val="center"/>
            <w:hideMark/>
          </w:tcPr>
          <w:p w14:paraId="5DF315AA"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4,076</w:t>
            </w:r>
          </w:p>
        </w:tc>
        <w:tc>
          <w:tcPr>
            <w:tcW w:w="773" w:type="dxa"/>
            <w:tcBorders>
              <w:top w:val="nil"/>
              <w:left w:val="nil"/>
              <w:bottom w:val="single" w:sz="4" w:space="0" w:color="538DD5"/>
              <w:right w:val="single" w:sz="4" w:space="0" w:color="538DD5"/>
            </w:tcBorders>
            <w:vAlign w:val="center"/>
            <w:hideMark/>
          </w:tcPr>
          <w:p w14:paraId="5192F259"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87%</w:t>
            </w:r>
          </w:p>
        </w:tc>
        <w:tc>
          <w:tcPr>
            <w:tcW w:w="901" w:type="dxa"/>
            <w:tcBorders>
              <w:top w:val="nil"/>
              <w:left w:val="nil"/>
              <w:bottom w:val="single" w:sz="4" w:space="0" w:color="538DD5"/>
              <w:right w:val="single" w:sz="4" w:space="0" w:color="538DD5"/>
            </w:tcBorders>
            <w:vAlign w:val="center"/>
            <w:hideMark/>
          </w:tcPr>
          <w:p w14:paraId="0D682723"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204%</w:t>
            </w:r>
          </w:p>
        </w:tc>
        <w:tc>
          <w:tcPr>
            <w:tcW w:w="773" w:type="dxa"/>
            <w:tcBorders>
              <w:top w:val="nil"/>
              <w:left w:val="nil"/>
              <w:bottom w:val="single" w:sz="4" w:space="0" w:color="538DD5"/>
              <w:right w:val="single" w:sz="4" w:space="0" w:color="538DD5"/>
            </w:tcBorders>
            <w:vAlign w:val="center"/>
            <w:hideMark/>
          </w:tcPr>
          <w:p w14:paraId="6FB22548"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95%</w:t>
            </w:r>
          </w:p>
        </w:tc>
        <w:tc>
          <w:tcPr>
            <w:tcW w:w="901" w:type="dxa"/>
            <w:tcBorders>
              <w:top w:val="nil"/>
              <w:left w:val="nil"/>
              <w:bottom w:val="single" w:sz="4" w:space="0" w:color="538DD5"/>
              <w:right w:val="single" w:sz="4" w:space="0" w:color="538DD5"/>
            </w:tcBorders>
            <w:vAlign w:val="center"/>
            <w:hideMark/>
          </w:tcPr>
          <w:p w14:paraId="204D2482" w14:textId="77777777" w:rsidR="00C156A0" w:rsidRPr="00C156A0" w:rsidRDefault="00C156A0" w:rsidP="008A6B67">
            <w:pPr>
              <w:spacing w:before="0" w:line="240" w:lineRule="auto"/>
              <w:jc w:val="center"/>
              <w:rPr>
                <w:rFonts w:cs="Calibri"/>
                <w:color w:val="000000"/>
                <w:sz w:val="16"/>
                <w:szCs w:val="16"/>
                <w:lang w:val="sq-AL"/>
              </w:rPr>
            </w:pPr>
            <w:r w:rsidRPr="00C156A0">
              <w:rPr>
                <w:rFonts w:cs="Calibri"/>
                <w:color w:val="000000"/>
                <w:sz w:val="16"/>
                <w:szCs w:val="16"/>
                <w:lang w:val="sq-AL"/>
              </w:rPr>
              <w:t>28%</w:t>
            </w:r>
          </w:p>
        </w:tc>
      </w:tr>
      <w:tr w:rsidR="00C156A0" w:rsidRPr="00C156A0" w14:paraId="54A2E02E" w14:textId="77777777" w:rsidTr="00567675">
        <w:trPr>
          <w:trHeight w:val="84"/>
        </w:trPr>
        <w:tc>
          <w:tcPr>
            <w:tcW w:w="1479" w:type="dxa"/>
            <w:tcBorders>
              <w:top w:val="nil"/>
              <w:left w:val="single" w:sz="4" w:space="0" w:color="auto"/>
              <w:bottom w:val="single" w:sz="4" w:space="0" w:color="auto"/>
              <w:right w:val="single" w:sz="4" w:space="0" w:color="auto"/>
            </w:tcBorders>
            <w:shd w:val="clear" w:color="000000" w:fill="366092"/>
            <w:vAlign w:val="bottom"/>
            <w:hideMark/>
          </w:tcPr>
          <w:p w14:paraId="6B10AB32"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 sipas natyrës</w:t>
            </w:r>
          </w:p>
        </w:tc>
        <w:tc>
          <w:tcPr>
            <w:tcW w:w="896" w:type="dxa"/>
            <w:tcBorders>
              <w:top w:val="nil"/>
              <w:left w:val="nil"/>
              <w:bottom w:val="single" w:sz="4" w:space="0" w:color="auto"/>
              <w:right w:val="single" w:sz="4" w:space="0" w:color="auto"/>
            </w:tcBorders>
            <w:shd w:val="clear" w:color="000000" w:fill="366092"/>
            <w:vAlign w:val="bottom"/>
            <w:hideMark/>
          </w:tcPr>
          <w:p w14:paraId="79848A55"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9,707,867</w:t>
            </w:r>
          </w:p>
        </w:tc>
        <w:tc>
          <w:tcPr>
            <w:tcW w:w="900" w:type="dxa"/>
            <w:tcBorders>
              <w:top w:val="nil"/>
              <w:left w:val="nil"/>
              <w:bottom w:val="single" w:sz="4" w:space="0" w:color="auto"/>
              <w:right w:val="single" w:sz="4" w:space="0" w:color="auto"/>
            </w:tcBorders>
            <w:shd w:val="clear" w:color="000000" w:fill="366092"/>
            <w:vAlign w:val="bottom"/>
            <w:hideMark/>
          </w:tcPr>
          <w:p w14:paraId="6CBBD1BE"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1,352,220</w:t>
            </w:r>
          </w:p>
        </w:tc>
        <w:tc>
          <w:tcPr>
            <w:tcW w:w="896" w:type="dxa"/>
            <w:tcBorders>
              <w:top w:val="nil"/>
              <w:left w:val="nil"/>
              <w:bottom w:val="single" w:sz="4" w:space="0" w:color="auto"/>
              <w:right w:val="single" w:sz="4" w:space="0" w:color="auto"/>
            </w:tcBorders>
            <w:shd w:val="clear" w:color="000000" w:fill="366092"/>
            <w:vAlign w:val="bottom"/>
            <w:hideMark/>
          </w:tcPr>
          <w:p w14:paraId="7C6A5164"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8,570,424</w:t>
            </w:r>
          </w:p>
        </w:tc>
        <w:tc>
          <w:tcPr>
            <w:tcW w:w="900" w:type="dxa"/>
            <w:tcBorders>
              <w:top w:val="nil"/>
              <w:left w:val="nil"/>
              <w:bottom w:val="single" w:sz="4" w:space="0" w:color="auto"/>
              <w:right w:val="single" w:sz="4" w:space="0" w:color="auto"/>
            </w:tcBorders>
            <w:shd w:val="clear" w:color="000000" w:fill="366092"/>
            <w:vAlign w:val="bottom"/>
            <w:hideMark/>
          </w:tcPr>
          <w:p w14:paraId="15C174C6"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1,762,080</w:t>
            </w:r>
          </w:p>
        </w:tc>
        <w:tc>
          <w:tcPr>
            <w:tcW w:w="896" w:type="dxa"/>
            <w:tcBorders>
              <w:top w:val="nil"/>
              <w:left w:val="nil"/>
              <w:bottom w:val="single" w:sz="4" w:space="0" w:color="auto"/>
              <w:right w:val="single" w:sz="4" w:space="0" w:color="auto"/>
            </w:tcBorders>
            <w:shd w:val="clear" w:color="000000" w:fill="366092"/>
            <w:vAlign w:val="bottom"/>
            <w:hideMark/>
          </w:tcPr>
          <w:p w14:paraId="39A984C1"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7,994,888</w:t>
            </w:r>
          </w:p>
        </w:tc>
        <w:tc>
          <w:tcPr>
            <w:tcW w:w="900" w:type="dxa"/>
            <w:tcBorders>
              <w:top w:val="nil"/>
              <w:left w:val="nil"/>
              <w:bottom w:val="single" w:sz="4" w:space="0" w:color="auto"/>
              <w:right w:val="single" w:sz="4" w:space="0" w:color="auto"/>
            </w:tcBorders>
            <w:shd w:val="clear" w:color="000000" w:fill="366092"/>
            <w:vAlign w:val="bottom"/>
            <w:hideMark/>
          </w:tcPr>
          <w:p w14:paraId="3756BC20"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1,513,719</w:t>
            </w:r>
          </w:p>
        </w:tc>
        <w:tc>
          <w:tcPr>
            <w:tcW w:w="773" w:type="dxa"/>
            <w:tcBorders>
              <w:top w:val="nil"/>
              <w:left w:val="nil"/>
              <w:bottom w:val="single" w:sz="4" w:space="0" w:color="auto"/>
              <w:right w:val="single" w:sz="4" w:space="0" w:color="auto"/>
            </w:tcBorders>
            <w:shd w:val="clear" w:color="000000" w:fill="366092"/>
            <w:vAlign w:val="bottom"/>
            <w:hideMark/>
          </w:tcPr>
          <w:p w14:paraId="157BF391"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82%</w:t>
            </w:r>
          </w:p>
        </w:tc>
        <w:tc>
          <w:tcPr>
            <w:tcW w:w="901" w:type="dxa"/>
            <w:tcBorders>
              <w:top w:val="nil"/>
              <w:left w:val="nil"/>
              <w:bottom w:val="single" w:sz="4" w:space="0" w:color="auto"/>
              <w:right w:val="single" w:sz="4" w:space="0" w:color="auto"/>
            </w:tcBorders>
            <w:shd w:val="clear" w:color="000000" w:fill="366092"/>
            <w:vAlign w:val="bottom"/>
            <w:hideMark/>
          </w:tcPr>
          <w:p w14:paraId="4F3BB048"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112%</w:t>
            </w:r>
          </w:p>
        </w:tc>
        <w:tc>
          <w:tcPr>
            <w:tcW w:w="773" w:type="dxa"/>
            <w:tcBorders>
              <w:top w:val="nil"/>
              <w:left w:val="nil"/>
              <w:bottom w:val="single" w:sz="4" w:space="0" w:color="auto"/>
              <w:right w:val="single" w:sz="4" w:space="0" w:color="auto"/>
            </w:tcBorders>
            <w:shd w:val="clear" w:color="000000" w:fill="366092"/>
            <w:vAlign w:val="bottom"/>
            <w:hideMark/>
          </w:tcPr>
          <w:p w14:paraId="3FE6933F"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93%</w:t>
            </w:r>
          </w:p>
        </w:tc>
        <w:tc>
          <w:tcPr>
            <w:tcW w:w="901" w:type="dxa"/>
            <w:tcBorders>
              <w:top w:val="nil"/>
              <w:left w:val="nil"/>
              <w:bottom w:val="single" w:sz="4" w:space="0" w:color="auto"/>
              <w:right w:val="single" w:sz="4" w:space="0" w:color="auto"/>
            </w:tcBorders>
            <w:shd w:val="clear" w:color="000000" w:fill="366092"/>
            <w:vAlign w:val="bottom"/>
            <w:hideMark/>
          </w:tcPr>
          <w:p w14:paraId="0BABB09B"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86%</w:t>
            </w:r>
          </w:p>
        </w:tc>
      </w:tr>
      <w:tr w:rsidR="00C156A0" w:rsidRPr="00C156A0" w14:paraId="05330370" w14:textId="77777777" w:rsidTr="00567675">
        <w:trPr>
          <w:trHeight w:val="122"/>
        </w:trPr>
        <w:tc>
          <w:tcPr>
            <w:tcW w:w="1479" w:type="dxa"/>
            <w:tcBorders>
              <w:top w:val="nil"/>
              <w:left w:val="single" w:sz="4" w:space="0" w:color="auto"/>
              <w:bottom w:val="single" w:sz="4" w:space="0" w:color="auto"/>
              <w:right w:val="single" w:sz="4" w:space="0" w:color="auto"/>
            </w:tcBorders>
            <w:shd w:val="clear" w:color="000000" w:fill="365F91"/>
            <w:vAlign w:val="bottom"/>
            <w:hideMark/>
          </w:tcPr>
          <w:p w14:paraId="077F358F"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Totali</w:t>
            </w:r>
          </w:p>
        </w:tc>
        <w:tc>
          <w:tcPr>
            <w:tcW w:w="1796" w:type="dxa"/>
            <w:gridSpan w:val="2"/>
            <w:tcBorders>
              <w:top w:val="single" w:sz="4" w:space="0" w:color="auto"/>
              <w:left w:val="nil"/>
              <w:bottom w:val="single" w:sz="4" w:space="0" w:color="auto"/>
              <w:right w:val="single" w:sz="4" w:space="0" w:color="auto"/>
            </w:tcBorders>
            <w:shd w:val="clear" w:color="000000" w:fill="365F91"/>
            <w:vAlign w:val="bottom"/>
            <w:hideMark/>
          </w:tcPr>
          <w:p w14:paraId="36365131"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11,060,087</w:t>
            </w:r>
          </w:p>
        </w:tc>
        <w:tc>
          <w:tcPr>
            <w:tcW w:w="1796" w:type="dxa"/>
            <w:gridSpan w:val="2"/>
            <w:tcBorders>
              <w:top w:val="single" w:sz="4" w:space="0" w:color="auto"/>
              <w:left w:val="nil"/>
              <w:bottom w:val="single" w:sz="4" w:space="0" w:color="auto"/>
              <w:right w:val="single" w:sz="4" w:space="0" w:color="auto"/>
            </w:tcBorders>
            <w:shd w:val="clear" w:color="000000" w:fill="365F91"/>
            <w:vAlign w:val="bottom"/>
            <w:hideMark/>
          </w:tcPr>
          <w:p w14:paraId="5CD59F03"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10,332,503</w:t>
            </w:r>
          </w:p>
        </w:tc>
        <w:tc>
          <w:tcPr>
            <w:tcW w:w="1796" w:type="dxa"/>
            <w:gridSpan w:val="2"/>
            <w:tcBorders>
              <w:top w:val="single" w:sz="4" w:space="0" w:color="auto"/>
              <w:left w:val="nil"/>
              <w:bottom w:val="single" w:sz="4" w:space="0" w:color="auto"/>
              <w:right w:val="single" w:sz="4" w:space="0" w:color="auto"/>
            </w:tcBorders>
            <w:shd w:val="clear" w:color="000000" w:fill="365F91"/>
            <w:vAlign w:val="bottom"/>
            <w:hideMark/>
          </w:tcPr>
          <w:p w14:paraId="0A422A9B"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9,508,607</w:t>
            </w:r>
          </w:p>
        </w:tc>
        <w:tc>
          <w:tcPr>
            <w:tcW w:w="1674" w:type="dxa"/>
            <w:gridSpan w:val="2"/>
            <w:tcBorders>
              <w:top w:val="single" w:sz="4" w:space="0" w:color="auto"/>
              <w:left w:val="nil"/>
              <w:bottom w:val="single" w:sz="4" w:space="0" w:color="auto"/>
              <w:right w:val="single" w:sz="4" w:space="0" w:color="auto"/>
            </w:tcBorders>
            <w:shd w:val="clear" w:color="000000" w:fill="365F91"/>
            <w:vAlign w:val="bottom"/>
            <w:hideMark/>
          </w:tcPr>
          <w:p w14:paraId="27694118" w14:textId="3BE0A50F"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86%</w:t>
            </w:r>
          </w:p>
        </w:tc>
        <w:tc>
          <w:tcPr>
            <w:tcW w:w="1674" w:type="dxa"/>
            <w:gridSpan w:val="2"/>
            <w:tcBorders>
              <w:top w:val="single" w:sz="4" w:space="0" w:color="auto"/>
              <w:left w:val="nil"/>
              <w:bottom w:val="single" w:sz="4" w:space="0" w:color="auto"/>
              <w:right w:val="single" w:sz="4" w:space="0" w:color="auto"/>
            </w:tcBorders>
            <w:shd w:val="clear" w:color="000000" w:fill="365F91"/>
            <w:vAlign w:val="bottom"/>
            <w:hideMark/>
          </w:tcPr>
          <w:p w14:paraId="0BF305D2" w14:textId="77777777" w:rsidR="00C156A0" w:rsidRPr="00C156A0" w:rsidRDefault="00C156A0" w:rsidP="008A6B67">
            <w:pPr>
              <w:spacing w:before="0" w:line="240" w:lineRule="auto"/>
              <w:jc w:val="center"/>
              <w:rPr>
                <w:rFonts w:cs="Calibri"/>
                <w:b/>
                <w:bCs/>
                <w:color w:val="FFFFFF"/>
                <w:sz w:val="16"/>
                <w:szCs w:val="16"/>
                <w:lang w:val="sq-AL"/>
              </w:rPr>
            </w:pPr>
            <w:r w:rsidRPr="00C156A0">
              <w:rPr>
                <w:rFonts w:cs="Calibri"/>
                <w:b/>
                <w:bCs/>
                <w:color w:val="FFFFFF"/>
                <w:sz w:val="16"/>
                <w:szCs w:val="16"/>
                <w:lang w:val="sq-AL"/>
              </w:rPr>
              <w:t>92%</w:t>
            </w:r>
          </w:p>
        </w:tc>
      </w:tr>
    </w:tbl>
    <w:p w14:paraId="1117915E" w14:textId="77777777" w:rsidR="00C156A0" w:rsidRPr="00C156A0" w:rsidRDefault="00C156A0" w:rsidP="00C156A0">
      <w:pPr>
        <w:spacing w:before="0" w:line="240" w:lineRule="auto"/>
        <w:rPr>
          <w:rFonts w:cs="Calibri"/>
          <w:noProof/>
          <w:spacing w:val="-2"/>
          <w:lang w:val="sq-AL"/>
        </w:rPr>
      </w:pPr>
    </w:p>
    <w:p w14:paraId="50308708" w14:textId="03B69B32" w:rsidR="00C156A0" w:rsidRPr="00C156A0" w:rsidRDefault="00C156A0" w:rsidP="00567675">
      <w:pPr>
        <w:spacing w:before="0" w:line="240" w:lineRule="auto"/>
        <w:rPr>
          <w:rFonts w:cs="Calibri"/>
          <w:noProof/>
          <w:spacing w:val="1"/>
          <w:lang w:val="sq-AL"/>
        </w:rPr>
      </w:pPr>
      <w:r w:rsidRPr="00C156A0">
        <w:rPr>
          <w:rFonts w:cs="Calibri"/>
          <w:noProof/>
          <w:spacing w:val="-2"/>
          <w:lang w:val="sq-AL"/>
        </w:rPr>
        <w:t>B</w:t>
      </w:r>
      <w:r w:rsidRPr="00C156A0">
        <w:rPr>
          <w:rFonts w:cs="Calibri"/>
          <w:noProof/>
          <w:lang w:val="sq-AL"/>
        </w:rPr>
        <w:t>u</w:t>
      </w:r>
      <w:r w:rsidRPr="00C156A0">
        <w:rPr>
          <w:rFonts w:cs="Calibri"/>
          <w:noProof/>
          <w:spacing w:val="2"/>
          <w:lang w:val="sq-AL"/>
        </w:rPr>
        <w:t>x</w:t>
      </w:r>
      <w:r w:rsidRPr="00C156A0">
        <w:rPr>
          <w:rFonts w:cs="Calibri"/>
          <w:noProof/>
          <w:lang w:val="sq-AL"/>
        </w:rPr>
        <w:t>h</w:t>
      </w:r>
      <w:r w:rsidRPr="00C156A0">
        <w:rPr>
          <w:rFonts w:cs="Calibri"/>
          <w:noProof/>
          <w:spacing w:val="-1"/>
          <w:lang w:val="sq-AL"/>
        </w:rPr>
        <w:t>e</w:t>
      </w:r>
      <w:r w:rsidRPr="00C156A0">
        <w:rPr>
          <w:rFonts w:cs="Calibri"/>
          <w:noProof/>
          <w:lang w:val="sq-AL"/>
        </w:rPr>
        <w:t xml:space="preserve">ti vjetor fillestar i Ministrisë së Financave u rishikua në ulje 7%, ose 727 </w:t>
      </w:r>
      <w:r w:rsidR="0056260B">
        <w:rPr>
          <w:rFonts w:cs="Calibri"/>
          <w:noProof/>
          <w:lang w:val="sq-AL"/>
        </w:rPr>
        <w:t>milionë</w:t>
      </w:r>
      <w:r w:rsidRPr="00C156A0">
        <w:rPr>
          <w:rFonts w:cs="Calibri"/>
          <w:noProof/>
          <w:lang w:val="sq-AL"/>
        </w:rPr>
        <w:t xml:space="preserve"> LEK më pak. Realizimi faktik ishte rreth 9.5 </w:t>
      </w:r>
      <w:r w:rsidR="0056260B">
        <w:rPr>
          <w:rFonts w:cs="Calibri"/>
          <w:noProof/>
          <w:lang w:val="sq-AL"/>
        </w:rPr>
        <w:t>miliardë</w:t>
      </w:r>
      <w:r w:rsidRPr="00C156A0">
        <w:rPr>
          <w:rFonts w:cs="Calibri"/>
          <w:noProof/>
          <w:lang w:val="sq-AL"/>
        </w:rPr>
        <w:t xml:space="preserve"> LEK ose 86% e buxhetit fillestar apo 92% e buxhetit të rishikuar. </w:t>
      </w:r>
      <w:r w:rsidRPr="00C156A0">
        <w:rPr>
          <w:rFonts w:cs="Calibri"/>
          <w:noProof/>
          <w:spacing w:val="-2"/>
          <w:lang w:val="sq-AL"/>
        </w:rPr>
        <w:t>Real</w:t>
      </w:r>
      <w:r w:rsidRPr="00C156A0">
        <w:rPr>
          <w:rFonts w:cs="Calibri"/>
          <w:noProof/>
          <w:spacing w:val="1"/>
          <w:lang w:val="sq-AL"/>
        </w:rPr>
        <w:t>iz</w:t>
      </w:r>
      <w:r w:rsidRPr="00C156A0">
        <w:rPr>
          <w:rFonts w:cs="Calibri"/>
          <w:noProof/>
          <w:lang w:val="sq-AL"/>
        </w:rPr>
        <w:t>i</w:t>
      </w:r>
      <w:r w:rsidRPr="00C156A0">
        <w:rPr>
          <w:rFonts w:cs="Calibri"/>
          <w:noProof/>
          <w:spacing w:val="1"/>
          <w:lang w:val="sq-AL"/>
        </w:rPr>
        <w:t>m</w:t>
      </w:r>
      <w:r w:rsidRPr="00C156A0">
        <w:rPr>
          <w:rFonts w:cs="Calibri"/>
          <w:noProof/>
          <w:spacing w:val="-1"/>
          <w:lang w:val="sq-AL"/>
        </w:rPr>
        <w:t xml:space="preserve">i </w:t>
      </w:r>
      <w:r w:rsidRPr="00C156A0">
        <w:rPr>
          <w:rFonts w:cs="Calibri"/>
          <w:noProof/>
          <w:spacing w:val="2"/>
          <w:lang w:val="sq-AL"/>
        </w:rPr>
        <w:t xml:space="preserve">i </w:t>
      </w:r>
      <w:r w:rsidRPr="00C156A0">
        <w:rPr>
          <w:rFonts w:cs="Calibri"/>
          <w:noProof/>
          <w:lang w:val="sq-AL"/>
        </w:rPr>
        <w:t>shpe</w:t>
      </w:r>
      <w:r w:rsidRPr="00C156A0">
        <w:rPr>
          <w:rFonts w:cs="Calibri"/>
          <w:noProof/>
          <w:spacing w:val="-1"/>
          <w:lang w:val="sq-AL"/>
        </w:rPr>
        <w:t>n</w:t>
      </w:r>
      <w:r w:rsidRPr="00C156A0">
        <w:rPr>
          <w:rFonts w:cs="Calibri"/>
          <w:noProof/>
          <w:spacing w:val="1"/>
          <w:lang w:val="sq-AL"/>
        </w:rPr>
        <w:t>z</w:t>
      </w:r>
      <w:r w:rsidRPr="00C156A0">
        <w:rPr>
          <w:rFonts w:cs="Calibri"/>
          <w:noProof/>
          <w:lang w:val="sq-AL"/>
        </w:rPr>
        <w:t>i</w:t>
      </w:r>
      <w:r w:rsidRPr="00C156A0">
        <w:rPr>
          <w:rFonts w:cs="Calibri"/>
          <w:noProof/>
          <w:spacing w:val="1"/>
          <w:lang w:val="sq-AL"/>
        </w:rPr>
        <w:t>m</w:t>
      </w:r>
      <w:r w:rsidRPr="00C156A0">
        <w:rPr>
          <w:rFonts w:cs="Calibri"/>
          <w:noProof/>
          <w:lang w:val="sq-AL"/>
        </w:rPr>
        <w:t>eve ko</w:t>
      </w:r>
      <w:r w:rsidRPr="00C156A0">
        <w:rPr>
          <w:rFonts w:cs="Calibri"/>
          <w:noProof/>
          <w:spacing w:val="-1"/>
          <w:lang w:val="sq-AL"/>
        </w:rPr>
        <w:t>re</w:t>
      </w:r>
      <w:r w:rsidRPr="00C156A0">
        <w:rPr>
          <w:rFonts w:cs="Calibri"/>
          <w:noProof/>
          <w:lang w:val="sq-AL"/>
        </w:rPr>
        <w:t xml:space="preserve">nte ishte 7.99 </w:t>
      </w:r>
      <w:r w:rsidR="0056260B">
        <w:rPr>
          <w:rFonts w:cs="Calibri"/>
          <w:noProof/>
          <w:lang w:val="sq-AL"/>
        </w:rPr>
        <w:t>miliardë</w:t>
      </w:r>
      <w:r w:rsidRPr="00C156A0">
        <w:rPr>
          <w:rFonts w:cs="Calibri"/>
          <w:noProof/>
          <w:lang w:val="sq-AL"/>
        </w:rPr>
        <w:t xml:space="preserve"> LEK, ose </w:t>
      </w:r>
      <w:r w:rsidRPr="00C156A0">
        <w:rPr>
          <w:rFonts w:cs="Calibri"/>
          <w:noProof/>
          <w:spacing w:val="11"/>
          <w:lang w:val="sq-AL"/>
        </w:rPr>
        <w:t>82</w:t>
      </w:r>
      <w:r w:rsidRPr="00C156A0">
        <w:rPr>
          <w:rFonts w:cs="Calibri"/>
          <w:noProof/>
          <w:spacing w:val="-1"/>
          <w:lang w:val="sq-AL"/>
        </w:rPr>
        <w:t>%</w:t>
      </w:r>
      <w:r w:rsidRPr="00C156A0">
        <w:rPr>
          <w:rFonts w:cs="Calibri"/>
          <w:noProof/>
          <w:lang w:val="sq-AL"/>
        </w:rPr>
        <w:t xml:space="preserve"> e planit fillestar apo 93% e planit të rishikuar.</w:t>
      </w:r>
    </w:p>
    <w:p w14:paraId="393F52E3" w14:textId="3655552F" w:rsidR="00567675" w:rsidRDefault="00C156A0" w:rsidP="00567675">
      <w:pPr>
        <w:spacing w:line="240" w:lineRule="auto"/>
        <w:rPr>
          <w:noProof/>
          <w:lang w:val="sq-AL"/>
        </w:rPr>
      </w:pPr>
      <w:r w:rsidRPr="00C156A0">
        <w:rPr>
          <w:noProof/>
          <w:lang w:val="sq-AL"/>
        </w:rPr>
        <w:t xml:space="preserve">Në programin </w:t>
      </w:r>
      <w:r w:rsidRPr="00C156A0">
        <w:rPr>
          <w:b/>
          <w:bCs/>
          <w:noProof/>
          <w:lang w:val="sq-AL"/>
        </w:rPr>
        <w:t>“Planifikim  menaxhim administrim”,</w:t>
      </w:r>
      <w:r w:rsidRPr="00C156A0">
        <w:rPr>
          <w:noProof/>
          <w:lang w:val="sq-AL"/>
        </w:rPr>
        <w:t xml:space="preserve"> objektivi i së cilit është mirëmenaxhimi i financave publike përmes hartimit të politikave në fushën e financave dhe ekonomisë, si dhe rritja dhe zhvillimi i kapaciteteve planifikuese dhe menaxhuese, nëpërmjet programeve trajnuese dhe zhvilluese në respektim edhe të parimit të barazisë gjinore, fondet buxhetore buxhetore në shpenzimet </w:t>
      </w:r>
      <w:r w:rsidR="0056260B">
        <w:rPr>
          <w:noProof/>
          <w:lang w:val="sq-AL"/>
        </w:rPr>
        <w:t>korente</w:t>
      </w:r>
      <w:r w:rsidRPr="00C156A0">
        <w:rPr>
          <w:noProof/>
          <w:lang w:val="sq-AL"/>
        </w:rPr>
        <w:t xml:space="preserve"> për 12M 2025 u realizuan në vlerën 818.7 </w:t>
      </w:r>
      <w:r w:rsidR="0056260B">
        <w:rPr>
          <w:noProof/>
          <w:lang w:val="sq-AL"/>
        </w:rPr>
        <w:t>milionë</w:t>
      </w:r>
      <w:r w:rsidRPr="00C156A0">
        <w:rPr>
          <w:noProof/>
          <w:lang w:val="sq-AL"/>
        </w:rPr>
        <w:t xml:space="preserve"> LEK, ose 91 % e planit të rishikuar dhe 80% e planit fillestar. </w:t>
      </w:r>
    </w:p>
    <w:p w14:paraId="0B12668F" w14:textId="66507FAF" w:rsidR="00C156A0" w:rsidRPr="00C156A0" w:rsidRDefault="00C156A0" w:rsidP="00567675">
      <w:pPr>
        <w:spacing w:line="240" w:lineRule="auto"/>
        <w:rPr>
          <w:noProof/>
          <w:lang w:val="sq-AL"/>
        </w:rPr>
      </w:pPr>
      <w:r w:rsidRPr="00C156A0">
        <w:rPr>
          <w:noProof/>
          <w:lang w:val="sq-AL"/>
        </w:rPr>
        <w:lastRenderedPageBreak/>
        <w:t>Programi realizoi këto produkte:</w:t>
      </w:r>
    </w:p>
    <w:p w14:paraId="5BF52921" w14:textId="751740D0" w:rsidR="00C156A0" w:rsidRPr="008A6B67" w:rsidRDefault="00C156A0">
      <w:pPr>
        <w:numPr>
          <w:ilvl w:val="0"/>
          <w:numId w:val="42"/>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80 Akte ligjore dhe nënligjore të miratuara, me kosto faktike 702.8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r w:rsidR="009300CB" w:rsidRPr="008A6B67">
        <w:rPr>
          <w:rFonts w:cs="Calibri Light"/>
          <w:bCs/>
          <w:i/>
          <w:noProof/>
          <w:szCs w:val="22"/>
          <w:lang w:val="sq-AL" w:eastAsia="en-GB"/>
        </w:rPr>
        <w:t>;</w:t>
      </w:r>
      <w:r w:rsidRPr="008A6B67">
        <w:rPr>
          <w:rFonts w:cs="Calibri Light"/>
          <w:bCs/>
          <w:i/>
          <w:noProof/>
          <w:szCs w:val="22"/>
          <w:lang w:val="sq-AL" w:eastAsia="en-GB"/>
        </w:rPr>
        <w:t xml:space="preserve"> </w:t>
      </w:r>
    </w:p>
    <w:p w14:paraId="1671688E" w14:textId="5F19A97B" w:rsidR="009300CB" w:rsidRPr="008A6B67" w:rsidRDefault="009300CB">
      <w:pPr>
        <w:numPr>
          <w:ilvl w:val="0"/>
          <w:numId w:val="42"/>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35 Kontrata te monitoruara nga CFCU, nga 35 të planfikuara, me kosto fakike 71.7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p>
    <w:p w14:paraId="635D8984" w14:textId="51A2369D" w:rsidR="009300CB" w:rsidRPr="008A6B67" w:rsidRDefault="009300CB">
      <w:pPr>
        <w:numPr>
          <w:ilvl w:val="0"/>
          <w:numId w:val="42"/>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“Taksa pasurie të arkëtuara”, realizuar me kosto prej 22.6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p>
    <w:p w14:paraId="733BFBEC" w14:textId="02BFDEF7" w:rsidR="009C048C" w:rsidRPr="008A6B67" w:rsidRDefault="00C156A0">
      <w:pPr>
        <w:numPr>
          <w:ilvl w:val="0"/>
          <w:numId w:val="42"/>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 822 orë/trajnimi të kryera nga QTATD, ose 78% e sasisë plan, me kosto 21.6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 Janë zhvilluar 78 tema trajnimi nëpërmjet të cilëve trajnuar 1299 punonjës në total.</w:t>
      </w:r>
    </w:p>
    <w:p w14:paraId="407EA5E2" w14:textId="77777777" w:rsidR="008A6B67" w:rsidRPr="008A6B67" w:rsidRDefault="008A6B67" w:rsidP="009C048C">
      <w:pPr>
        <w:spacing w:line="240" w:lineRule="auto"/>
        <w:rPr>
          <w:noProof/>
          <w:sz w:val="8"/>
          <w:szCs w:val="10"/>
          <w:lang w:val="sq-AL"/>
        </w:rPr>
      </w:pPr>
    </w:p>
    <w:p w14:paraId="190AF6CF" w14:textId="44064B2C" w:rsidR="00C156A0" w:rsidRPr="00C156A0" w:rsidRDefault="00C156A0" w:rsidP="009C048C">
      <w:pPr>
        <w:spacing w:line="240" w:lineRule="auto"/>
        <w:rPr>
          <w:noProof/>
          <w:lang w:val="sq-AL"/>
        </w:rPr>
      </w:pPr>
      <w:r w:rsidRPr="00C156A0">
        <w:rPr>
          <w:noProof/>
          <w:lang w:val="sq-AL"/>
        </w:rPr>
        <w:t xml:space="preserve">Në programin </w:t>
      </w:r>
      <w:r w:rsidRPr="00C156A0">
        <w:rPr>
          <w:b/>
          <w:noProof/>
          <w:lang w:val="sq-AL"/>
        </w:rPr>
        <w:t>“Menaxhimi i të Ardhurave Tatimore”,</w:t>
      </w:r>
      <w:r w:rsidRPr="00C156A0">
        <w:rPr>
          <w:noProof/>
          <w:lang w:val="sq-AL"/>
        </w:rPr>
        <w:t xml:space="preserve"> objektivi i të cilit është progresi organizativ i Administratës Tatimore dhe zhvillimi i kapaciteteve njerëzore, aplikimi i metodave dhe sistemeve të reja; modernizimi, ofrimi i shërbimeve cilësore dhe reduktimi i barrës administrative në pagesën e detyrimeve tatimore dhe kontributeve të sigurimeve shoqërore si rrjedhojë e rritjes së ndërgjegjësimit publik duke ndihmuar në zhvillimin e kulturës për përmbushje vullnetare më të lartë; Implementimi efikas i legjislacionit tatimor dhe sigurimeve shoqërore; hetimi i rasteve të mashtrimit tatimor; zbatimi i strategjisë së përmbushjes së menaxhimit të riskut; përmirësimi i mëtejshëm i kontrollit tatimor dhe gjurmimi i mashtrimeve tatimore; mbledhja efikase dhe efektive e borxhit. Gjatë 12M 2025, shpenzimet korente në këtë program janë realizuar në vlerën e 2.45 </w:t>
      </w:r>
      <w:r w:rsidR="0056260B">
        <w:rPr>
          <w:noProof/>
          <w:lang w:val="sq-AL"/>
        </w:rPr>
        <w:t>miliardë</w:t>
      </w:r>
      <w:r w:rsidRPr="00C156A0">
        <w:rPr>
          <w:noProof/>
          <w:lang w:val="sq-AL"/>
        </w:rPr>
        <w:t xml:space="preserve"> LEK ose në masën 86% të buxhetit fillestar dhe 92% të buxhetit të rishikuar. Janë realizuar produktet:</w:t>
      </w:r>
    </w:p>
    <w:p w14:paraId="36F59034" w14:textId="69BDDC50" w:rsidR="00A74A4D" w:rsidRPr="008A6B67" w:rsidRDefault="00C156A0">
      <w:pPr>
        <w:numPr>
          <w:ilvl w:val="0"/>
          <w:numId w:val="43"/>
        </w:numPr>
        <w:shd w:val="clear" w:color="auto" w:fill="FFFFFF"/>
        <w:spacing w:before="0" w:after="160" w:line="240" w:lineRule="auto"/>
        <w:contextualSpacing/>
        <w:rPr>
          <w:i/>
          <w:iCs/>
          <w:noProof/>
          <w:szCs w:val="22"/>
          <w:lang w:val="sq-AL"/>
        </w:rPr>
      </w:pPr>
      <w:r w:rsidRPr="008A6B67">
        <w:rPr>
          <w:i/>
          <w:iCs/>
          <w:noProof/>
          <w:szCs w:val="22"/>
          <w:lang w:val="sq-AL"/>
        </w:rPr>
        <w:t xml:space="preserve">105 988 Tatimpagues të asistuar, ose 88% e sasisë plan, realizuar me kosto faktike 2.3 </w:t>
      </w:r>
      <w:r w:rsidR="0056260B" w:rsidRPr="008A6B67">
        <w:rPr>
          <w:i/>
          <w:iCs/>
          <w:noProof/>
          <w:szCs w:val="22"/>
          <w:lang w:val="sq-AL"/>
        </w:rPr>
        <w:t>miliardë</w:t>
      </w:r>
      <w:r w:rsidRPr="008A6B67">
        <w:rPr>
          <w:i/>
          <w:iCs/>
          <w:noProof/>
          <w:szCs w:val="22"/>
          <w:lang w:val="sq-AL"/>
        </w:rPr>
        <w:t xml:space="preserve"> LEK</w:t>
      </w:r>
      <w:r w:rsidR="00A74A4D" w:rsidRPr="008A6B67">
        <w:rPr>
          <w:i/>
          <w:iCs/>
          <w:noProof/>
          <w:szCs w:val="22"/>
          <w:lang w:val="sq-AL"/>
        </w:rPr>
        <w:t>;</w:t>
      </w:r>
    </w:p>
    <w:p w14:paraId="54AB28F5" w14:textId="20576FCD" w:rsidR="00C156A0" w:rsidRPr="008A6B67" w:rsidRDefault="00A74A4D">
      <w:pPr>
        <w:numPr>
          <w:ilvl w:val="0"/>
          <w:numId w:val="43"/>
        </w:numPr>
        <w:shd w:val="clear" w:color="auto" w:fill="FFFFFF"/>
        <w:spacing w:before="0" w:after="160" w:line="240" w:lineRule="auto"/>
        <w:contextualSpacing/>
        <w:rPr>
          <w:i/>
          <w:iCs/>
          <w:noProof/>
          <w:szCs w:val="22"/>
          <w:lang w:val="sq-AL"/>
        </w:rPr>
      </w:pPr>
      <w:r w:rsidRPr="008A6B67">
        <w:rPr>
          <w:i/>
          <w:iCs/>
          <w:noProof/>
          <w:szCs w:val="22"/>
          <w:lang w:val="sq-AL"/>
        </w:rPr>
        <w:t>86 vendime gjyqësore të ekzekutuara për ish-punonjës të adminstr</w:t>
      </w:r>
      <w:r w:rsidR="00CB4DE6">
        <w:rPr>
          <w:i/>
          <w:iCs/>
          <w:noProof/>
          <w:szCs w:val="22"/>
          <w:lang w:val="sq-AL"/>
        </w:rPr>
        <w:t>a</w:t>
      </w:r>
      <w:r w:rsidRPr="008A6B67">
        <w:rPr>
          <w:i/>
          <w:iCs/>
          <w:noProof/>
          <w:szCs w:val="22"/>
          <w:lang w:val="sq-AL"/>
        </w:rPr>
        <w:t xml:space="preserve">tës tatimore ose 86% e sasisë plan, në vlerën 113.8 </w:t>
      </w:r>
      <w:r w:rsidR="0056260B" w:rsidRPr="008A6B67">
        <w:rPr>
          <w:i/>
          <w:iCs/>
          <w:noProof/>
          <w:szCs w:val="22"/>
          <w:lang w:val="sq-AL"/>
        </w:rPr>
        <w:t>milionë</w:t>
      </w:r>
      <w:r w:rsidRPr="008A6B67">
        <w:rPr>
          <w:i/>
          <w:iCs/>
          <w:noProof/>
          <w:szCs w:val="22"/>
          <w:lang w:val="sq-AL"/>
        </w:rPr>
        <w:t xml:space="preserve"> LEK;</w:t>
      </w:r>
      <w:r w:rsidR="00C156A0" w:rsidRPr="008A6B67">
        <w:rPr>
          <w:i/>
          <w:iCs/>
          <w:noProof/>
          <w:szCs w:val="22"/>
          <w:lang w:val="sq-AL"/>
        </w:rPr>
        <w:t xml:space="preserve"> </w:t>
      </w:r>
    </w:p>
    <w:p w14:paraId="2280A221" w14:textId="52C04561" w:rsidR="009C048C" w:rsidRPr="008A6B67" w:rsidRDefault="00C156A0">
      <w:pPr>
        <w:numPr>
          <w:ilvl w:val="0"/>
          <w:numId w:val="43"/>
        </w:numPr>
        <w:shd w:val="clear" w:color="auto" w:fill="FFFFFF"/>
        <w:spacing w:before="0" w:after="160" w:line="240" w:lineRule="auto"/>
        <w:contextualSpacing/>
        <w:rPr>
          <w:i/>
          <w:iCs/>
          <w:noProof/>
          <w:szCs w:val="22"/>
          <w:lang w:val="sq-AL"/>
        </w:rPr>
      </w:pPr>
      <w:r w:rsidRPr="008A6B67">
        <w:rPr>
          <w:i/>
          <w:iCs/>
          <w:noProof/>
          <w:szCs w:val="22"/>
          <w:lang w:val="sq-AL"/>
        </w:rPr>
        <w:t xml:space="preserve">1925 inspektime dhe hetime tatimore, realizuar me  kosto faktike 3.9 </w:t>
      </w:r>
      <w:r w:rsidR="0056260B" w:rsidRPr="008A6B67">
        <w:rPr>
          <w:i/>
          <w:iCs/>
          <w:noProof/>
          <w:szCs w:val="22"/>
          <w:lang w:val="sq-AL"/>
        </w:rPr>
        <w:t>milionë</w:t>
      </w:r>
      <w:r w:rsidRPr="008A6B67">
        <w:rPr>
          <w:i/>
          <w:iCs/>
          <w:noProof/>
          <w:szCs w:val="22"/>
          <w:lang w:val="sq-AL"/>
        </w:rPr>
        <w:t xml:space="preserve">  LEK.</w:t>
      </w:r>
    </w:p>
    <w:p w14:paraId="2A1DC582" w14:textId="77777777" w:rsidR="008A6B67" w:rsidRPr="008A6B67" w:rsidRDefault="008A6B67" w:rsidP="009C048C">
      <w:pPr>
        <w:spacing w:line="240" w:lineRule="auto"/>
        <w:rPr>
          <w:noProof/>
          <w:sz w:val="8"/>
          <w:szCs w:val="10"/>
          <w:lang w:val="sq-AL"/>
        </w:rPr>
      </w:pPr>
    </w:p>
    <w:p w14:paraId="4B8EB2F8" w14:textId="7F90012D" w:rsidR="00C156A0" w:rsidRPr="00C156A0" w:rsidRDefault="00C156A0" w:rsidP="009C048C">
      <w:pPr>
        <w:spacing w:line="240" w:lineRule="auto"/>
        <w:rPr>
          <w:noProof/>
          <w:lang w:val="sq-AL"/>
        </w:rPr>
      </w:pPr>
      <w:r w:rsidRPr="00C156A0">
        <w:rPr>
          <w:noProof/>
          <w:lang w:val="sq-AL"/>
        </w:rPr>
        <w:t>Në programin “</w:t>
      </w:r>
      <w:r w:rsidRPr="00C156A0">
        <w:rPr>
          <w:b/>
          <w:noProof/>
          <w:lang w:val="sq-AL"/>
        </w:rPr>
        <w:t>Menaxhimi i të Ardhurave Doganore”,</w:t>
      </w:r>
      <w:r w:rsidRPr="00C156A0">
        <w:rPr>
          <w:noProof/>
          <w:lang w:val="sq-AL"/>
        </w:rPr>
        <w:t xml:space="preserve"> qëllimi i politikës është menaxhimi efektiv, efikas, i drejtë dhe transparent i të ardhurave doganore, garantimi </w:t>
      </w:r>
      <w:r w:rsidR="00CB4DE6">
        <w:rPr>
          <w:noProof/>
          <w:lang w:val="sq-AL"/>
        </w:rPr>
        <w:t>i</w:t>
      </w:r>
      <w:r w:rsidRPr="00C156A0">
        <w:rPr>
          <w:noProof/>
          <w:lang w:val="sq-AL"/>
        </w:rPr>
        <w:t xml:space="preserve"> sigurisë dhe mbrojtjes kombëtare nga kontrabanda, trafiqet e paligjshme, mallrat e ndaluara e të fallsifikuara, evazioni fiskal. </w:t>
      </w:r>
    </w:p>
    <w:p w14:paraId="2E693DD6" w14:textId="532ECA1E" w:rsidR="00C156A0" w:rsidRPr="00C156A0" w:rsidRDefault="00C156A0" w:rsidP="008A6B67">
      <w:pPr>
        <w:shd w:val="clear" w:color="auto" w:fill="FFFFFF"/>
        <w:spacing w:line="240" w:lineRule="auto"/>
        <w:contextualSpacing/>
        <w:rPr>
          <w:lang w:val="sq-AL"/>
        </w:rPr>
      </w:pPr>
      <w:r w:rsidRPr="00C156A0">
        <w:rPr>
          <w:lang w:val="sq-AL"/>
        </w:rPr>
        <w:t xml:space="preserve">Shpenzimet </w:t>
      </w:r>
      <w:r w:rsidR="0056260B">
        <w:rPr>
          <w:lang w:val="sq-AL"/>
        </w:rPr>
        <w:t>korente</w:t>
      </w:r>
      <w:r w:rsidRPr="00C156A0">
        <w:rPr>
          <w:lang w:val="sq-AL"/>
        </w:rPr>
        <w:t xml:space="preserve"> për 12M 2025 në këtë program janë realizuar në vlerën 3.77 </w:t>
      </w:r>
      <w:r w:rsidR="0056260B">
        <w:rPr>
          <w:lang w:val="sq-AL"/>
        </w:rPr>
        <w:t>miliardë</w:t>
      </w:r>
      <w:r w:rsidRPr="00C156A0">
        <w:rPr>
          <w:lang w:val="sq-AL"/>
        </w:rPr>
        <w:t xml:space="preserve"> LEK ose 88% e buxhetit fillestar dhe 97% e buxhetit të rishikuar.</w:t>
      </w:r>
      <w:r w:rsidR="00A955AC">
        <w:rPr>
          <w:lang w:val="sq-AL"/>
        </w:rPr>
        <w:t xml:space="preserve"> </w:t>
      </w:r>
      <w:r w:rsidRPr="009C048C">
        <w:rPr>
          <w:lang w:val="sq-AL"/>
        </w:rPr>
        <w:t>Lidhur me objektivin</w:t>
      </w:r>
      <w:r w:rsidRPr="00C156A0">
        <w:rPr>
          <w:lang w:val="sq-AL"/>
        </w:rPr>
        <w:t xml:space="preserve"> kryesor krijimin e lehtësirave për operatorët ekonomikë nëpërmjet lehtësimit dhe përshpejtimit të procedurave doganore, janë realizuar:</w:t>
      </w:r>
    </w:p>
    <w:p w14:paraId="167605E6" w14:textId="0C739B38" w:rsidR="00C156A0" w:rsidRPr="008A6B67" w:rsidRDefault="00C156A0">
      <w:pPr>
        <w:numPr>
          <w:ilvl w:val="0"/>
          <w:numId w:val="44"/>
        </w:numPr>
        <w:shd w:val="clear" w:color="auto" w:fill="FFFFFF"/>
        <w:spacing w:before="0" w:after="160" w:line="240" w:lineRule="auto"/>
        <w:contextualSpacing/>
        <w:rPr>
          <w:i/>
          <w:iCs/>
          <w:noProof/>
          <w:szCs w:val="22"/>
          <w:lang w:val="sq-AL"/>
        </w:rPr>
      </w:pPr>
      <w:r w:rsidRPr="008A6B67">
        <w:rPr>
          <w:i/>
          <w:iCs/>
          <w:noProof/>
          <w:szCs w:val="22"/>
          <w:lang w:val="sq-AL"/>
        </w:rPr>
        <w:t>758 955 deklarata doganore të procesuara, ose 93% e sasisë së planifikuar, kosto faktike 2.11</w:t>
      </w:r>
      <w:r w:rsidR="008A6B67">
        <w:rPr>
          <w:i/>
          <w:iCs/>
          <w:noProof/>
          <w:szCs w:val="22"/>
          <w:lang w:val="sq-AL"/>
        </w:rPr>
        <w:t>mld</w:t>
      </w:r>
      <w:r w:rsidRPr="008A6B67">
        <w:rPr>
          <w:i/>
          <w:iCs/>
          <w:noProof/>
          <w:szCs w:val="22"/>
          <w:lang w:val="sq-AL"/>
        </w:rPr>
        <w:t xml:space="preserve"> LEK</w:t>
      </w:r>
      <w:r w:rsidR="008D1DA1" w:rsidRPr="008A6B67">
        <w:rPr>
          <w:i/>
          <w:iCs/>
          <w:noProof/>
          <w:szCs w:val="22"/>
          <w:lang w:val="sq-AL"/>
        </w:rPr>
        <w:t>;</w:t>
      </w:r>
    </w:p>
    <w:p w14:paraId="7BFEA44A" w14:textId="6BB01408" w:rsidR="00C156A0" w:rsidRPr="008A6B67" w:rsidRDefault="00C156A0">
      <w:pPr>
        <w:numPr>
          <w:ilvl w:val="0"/>
          <w:numId w:val="44"/>
        </w:numPr>
        <w:shd w:val="clear" w:color="auto" w:fill="FFFFFF"/>
        <w:spacing w:before="0" w:after="160" w:line="240" w:lineRule="auto"/>
        <w:contextualSpacing/>
        <w:rPr>
          <w:i/>
          <w:iCs/>
          <w:noProof/>
          <w:szCs w:val="22"/>
          <w:lang w:val="sq-AL"/>
        </w:rPr>
      </w:pPr>
      <w:r w:rsidRPr="008A6B67">
        <w:rPr>
          <w:i/>
          <w:iCs/>
          <w:noProof/>
          <w:szCs w:val="22"/>
          <w:lang w:val="sq-AL"/>
        </w:rPr>
        <w:t xml:space="preserve">24 vendime gjyqësore të ekzekutuara, me kosto faktike 31.2 </w:t>
      </w:r>
      <w:r w:rsidR="0056260B" w:rsidRPr="008A6B67">
        <w:rPr>
          <w:i/>
          <w:iCs/>
          <w:noProof/>
          <w:szCs w:val="22"/>
          <w:lang w:val="sq-AL"/>
        </w:rPr>
        <w:t>milionë</w:t>
      </w:r>
      <w:r w:rsidRPr="008A6B67">
        <w:rPr>
          <w:i/>
          <w:iCs/>
          <w:noProof/>
          <w:szCs w:val="22"/>
          <w:lang w:val="sq-AL"/>
        </w:rPr>
        <w:t xml:space="preserve"> LEK.</w:t>
      </w:r>
    </w:p>
    <w:p w14:paraId="72F1A2C4" w14:textId="77777777" w:rsidR="00C156A0" w:rsidRPr="00C156A0" w:rsidRDefault="00C156A0" w:rsidP="009C048C">
      <w:pPr>
        <w:spacing w:line="240" w:lineRule="auto"/>
        <w:rPr>
          <w:noProof/>
          <w:lang w:val="sq-AL"/>
        </w:rPr>
      </w:pPr>
      <w:r w:rsidRPr="00C156A0">
        <w:rPr>
          <w:noProof/>
          <w:lang w:val="sq-AL"/>
        </w:rPr>
        <w:t xml:space="preserve">Lidhur me garantimin e sigurisë dhe mbrojtjes kombëtarë nga: kontrabanda, trafiqet paligjshme, mallrat e ndaluara e falsifikuara, evazioni fiskal, etj. janë kryer: </w:t>
      </w:r>
    </w:p>
    <w:p w14:paraId="5AF0CE3E" w14:textId="30967549" w:rsidR="008D1DA1" w:rsidRPr="008A6B67" w:rsidRDefault="008D1DA1">
      <w:pPr>
        <w:numPr>
          <w:ilvl w:val="0"/>
          <w:numId w:val="45"/>
        </w:numPr>
        <w:shd w:val="clear" w:color="auto" w:fill="FFFFFF"/>
        <w:spacing w:before="0" w:after="160" w:line="240" w:lineRule="auto"/>
        <w:contextualSpacing/>
        <w:rPr>
          <w:i/>
          <w:iCs/>
          <w:noProof/>
          <w:szCs w:val="22"/>
          <w:lang w:val="sq-AL"/>
        </w:rPr>
      </w:pPr>
      <w:r w:rsidRPr="008A6B67">
        <w:rPr>
          <w:i/>
          <w:iCs/>
          <w:noProof/>
          <w:szCs w:val="22"/>
          <w:lang w:val="sq-AL"/>
        </w:rPr>
        <w:t xml:space="preserve">Shërbime skanimi, në vlerën 1.44 </w:t>
      </w:r>
      <w:r w:rsidR="0056260B" w:rsidRPr="008A6B67">
        <w:rPr>
          <w:i/>
          <w:iCs/>
          <w:noProof/>
          <w:szCs w:val="22"/>
          <w:lang w:val="sq-AL"/>
        </w:rPr>
        <w:t>miliardë</w:t>
      </w:r>
      <w:r w:rsidRPr="008A6B67">
        <w:rPr>
          <w:i/>
          <w:iCs/>
          <w:noProof/>
          <w:szCs w:val="22"/>
          <w:lang w:val="sq-AL"/>
        </w:rPr>
        <w:t xml:space="preserve"> LEK, i cili është efektiv në pesë pika doganore</w:t>
      </w:r>
      <w:r w:rsidR="00C3449B" w:rsidRPr="008A6B67">
        <w:rPr>
          <w:i/>
          <w:iCs/>
          <w:noProof/>
          <w:szCs w:val="22"/>
          <w:lang w:val="sq-AL"/>
        </w:rPr>
        <w:t>;</w:t>
      </w:r>
    </w:p>
    <w:p w14:paraId="43C5355C" w14:textId="7E6B5168" w:rsidR="00C156A0" w:rsidRPr="008A6B67" w:rsidRDefault="00C156A0">
      <w:pPr>
        <w:numPr>
          <w:ilvl w:val="0"/>
          <w:numId w:val="45"/>
        </w:numPr>
        <w:shd w:val="clear" w:color="auto" w:fill="FFFFFF"/>
        <w:spacing w:before="0" w:after="160" w:line="240" w:lineRule="auto"/>
        <w:contextualSpacing/>
        <w:rPr>
          <w:i/>
          <w:iCs/>
          <w:noProof/>
          <w:szCs w:val="22"/>
          <w:lang w:val="sq-AL"/>
        </w:rPr>
      </w:pPr>
      <w:r w:rsidRPr="008A6B67">
        <w:rPr>
          <w:i/>
          <w:iCs/>
          <w:noProof/>
          <w:szCs w:val="22"/>
          <w:lang w:val="sq-AL"/>
        </w:rPr>
        <w:t xml:space="preserve">8 994 inspektime, me kosto faktike 175.3 </w:t>
      </w:r>
      <w:r w:rsidR="0056260B" w:rsidRPr="008A6B67">
        <w:rPr>
          <w:i/>
          <w:iCs/>
          <w:noProof/>
          <w:szCs w:val="22"/>
          <w:lang w:val="sq-AL"/>
        </w:rPr>
        <w:t>milionë</w:t>
      </w:r>
      <w:r w:rsidRPr="008A6B67">
        <w:rPr>
          <w:i/>
          <w:iCs/>
          <w:noProof/>
          <w:szCs w:val="22"/>
          <w:lang w:val="sq-AL"/>
        </w:rPr>
        <w:t xml:space="preserve"> LEK</w:t>
      </w:r>
      <w:r w:rsidR="008D1DA1" w:rsidRPr="008A6B67">
        <w:rPr>
          <w:i/>
          <w:iCs/>
          <w:noProof/>
          <w:szCs w:val="22"/>
          <w:lang w:val="sq-AL"/>
        </w:rPr>
        <w:t>;</w:t>
      </w:r>
    </w:p>
    <w:p w14:paraId="3FBFDD97" w14:textId="1EB3F004" w:rsidR="00C156A0" w:rsidRPr="008A6B67" w:rsidRDefault="008D1DA1">
      <w:pPr>
        <w:numPr>
          <w:ilvl w:val="0"/>
          <w:numId w:val="45"/>
        </w:numPr>
        <w:shd w:val="clear" w:color="auto" w:fill="FFFFFF"/>
        <w:spacing w:before="0" w:after="160" w:line="240" w:lineRule="auto"/>
        <w:contextualSpacing/>
        <w:rPr>
          <w:i/>
          <w:iCs/>
          <w:noProof/>
          <w:szCs w:val="22"/>
          <w:lang w:val="sq-AL"/>
        </w:rPr>
      </w:pPr>
      <w:r w:rsidRPr="008A6B67">
        <w:rPr>
          <w:i/>
          <w:iCs/>
          <w:noProof/>
          <w:szCs w:val="22"/>
          <w:lang w:val="sq-AL"/>
        </w:rPr>
        <w:t xml:space="preserve">2568 hetime doganore, me kosto faktike 11 </w:t>
      </w:r>
      <w:r w:rsidR="0056260B" w:rsidRPr="008A6B67">
        <w:rPr>
          <w:i/>
          <w:iCs/>
          <w:noProof/>
          <w:szCs w:val="22"/>
          <w:lang w:val="sq-AL"/>
        </w:rPr>
        <w:t>milionë</w:t>
      </w:r>
      <w:r w:rsidRPr="008A6B67">
        <w:rPr>
          <w:i/>
          <w:iCs/>
          <w:noProof/>
          <w:szCs w:val="22"/>
          <w:lang w:val="sq-AL"/>
        </w:rPr>
        <w:t xml:space="preserve"> LEK.</w:t>
      </w:r>
    </w:p>
    <w:p w14:paraId="56FAC8E7" w14:textId="77777777" w:rsidR="008A6B67" w:rsidRPr="008A6B67" w:rsidRDefault="008A6B67" w:rsidP="009C048C">
      <w:pPr>
        <w:spacing w:line="240" w:lineRule="auto"/>
        <w:rPr>
          <w:noProof/>
          <w:sz w:val="8"/>
          <w:szCs w:val="10"/>
          <w:lang w:val="sq-AL"/>
        </w:rPr>
      </w:pPr>
    </w:p>
    <w:p w14:paraId="5381037D" w14:textId="147E425C" w:rsidR="00C156A0" w:rsidRPr="00C156A0" w:rsidRDefault="00C156A0" w:rsidP="009C048C">
      <w:pPr>
        <w:spacing w:line="240" w:lineRule="auto"/>
        <w:rPr>
          <w:noProof/>
          <w:lang w:val="sq-AL"/>
        </w:rPr>
      </w:pPr>
      <w:r w:rsidRPr="00C156A0">
        <w:rPr>
          <w:noProof/>
          <w:lang w:val="sq-AL"/>
        </w:rPr>
        <w:t xml:space="preserve">Në programin </w:t>
      </w:r>
      <w:r w:rsidRPr="00C156A0">
        <w:rPr>
          <w:b/>
          <w:bCs/>
          <w:noProof/>
          <w:lang w:val="sq-AL"/>
        </w:rPr>
        <w:t>“Ekzekutimi i pagesave te ndryshme”</w:t>
      </w:r>
      <w:r w:rsidRPr="00C156A0">
        <w:rPr>
          <w:noProof/>
          <w:lang w:val="sq-AL"/>
        </w:rPr>
        <w:t>, fusha e veprimit të këtij programi konsiston në realizimin e pagesave të ndryshme sipas natyrës së tyre: për kuotat e anëtarësimeve në organizatat ndërkombëtare, për rritjen e kapitalit në institucionet financiare ndërkombëtare, transferta të ndryshme për funksionarët e lartë, në rastet e largimit nga detyra si dhe ekzekutimi i vendimeve gjyqësore dhe detyrimeve të tjera të MF-së, sipas vendimmarrjeve specifike të cilat zbatohen nga Aparati i MF. Për vitin 2025, realizimi në shpen</w:t>
      </w:r>
      <w:r w:rsidR="00CB4DE6">
        <w:rPr>
          <w:noProof/>
          <w:lang w:val="sq-AL"/>
        </w:rPr>
        <w:t>z</w:t>
      </w:r>
      <w:r w:rsidRPr="00C156A0">
        <w:rPr>
          <w:noProof/>
          <w:lang w:val="sq-AL"/>
        </w:rPr>
        <w:t xml:space="preserve">imet </w:t>
      </w:r>
      <w:r w:rsidR="0056260B">
        <w:rPr>
          <w:noProof/>
          <w:lang w:val="sq-AL"/>
        </w:rPr>
        <w:t>korente</w:t>
      </w:r>
      <w:r w:rsidRPr="00C156A0">
        <w:rPr>
          <w:noProof/>
          <w:lang w:val="sq-AL"/>
        </w:rPr>
        <w:t xml:space="preserve"> ishtë 309.6 </w:t>
      </w:r>
      <w:r w:rsidR="0056260B">
        <w:rPr>
          <w:noProof/>
          <w:lang w:val="sq-AL"/>
        </w:rPr>
        <w:t>milionë</w:t>
      </w:r>
      <w:r w:rsidRPr="00C156A0">
        <w:rPr>
          <w:noProof/>
          <w:lang w:val="sq-AL"/>
        </w:rPr>
        <w:t xml:space="preserve"> LEK, ose 68 % e planit të rishikuar dhe 51% e planit fillestar. Programi realizoi këto produkte:</w:t>
      </w:r>
    </w:p>
    <w:p w14:paraId="64C4455D" w14:textId="1D35ED12" w:rsidR="006F13B1" w:rsidRPr="008A6B67" w:rsidRDefault="006F13B1">
      <w:pPr>
        <w:numPr>
          <w:ilvl w:val="0"/>
          <w:numId w:val="46"/>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“Shërbime konsulence”, janë realizuar 29 transferta, me kosto faktike prej 188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 Ky produkt ka të planifikuar shpenzimet që përdoren për konsulencë që lidhen me shpenzimet vjetore për emetimin dhe ndjekjen e procesit të Eurobond, shpenzimet për vlerësimin e riskut të kreditit vjetor të Republikës së Shqipërisë si dhe shpenzimet për mirëmbajtjen e sistemit DMFAS</w:t>
      </w:r>
      <w:r w:rsidR="008C1AA6" w:rsidRPr="008A6B67">
        <w:rPr>
          <w:rFonts w:cs="Calibri Light"/>
          <w:bCs/>
          <w:i/>
          <w:noProof/>
          <w:szCs w:val="22"/>
          <w:lang w:val="sq-AL" w:eastAsia="en-GB"/>
        </w:rPr>
        <w:t>;</w:t>
      </w:r>
    </w:p>
    <w:p w14:paraId="6BD9654C" w14:textId="19EDE131" w:rsidR="006F13B1" w:rsidRPr="008A6B67" w:rsidRDefault="006F13B1">
      <w:pPr>
        <w:numPr>
          <w:ilvl w:val="0"/>
          <w:numId w:val="46"/>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85 “Vendime Gjyqesore të Ekzekutuara”, me kosto faktike 116.7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r w:rsidR="008A6B67">
        <w:rPr>
          <w:rFonts w:cs="Calibri Light"/>
          <w:bCs/>
          <w:i/>
          <w:noProof/>
          <w:szCs w:val="22"/>
          <w:lang w:val="sq-AL" w:eastAsia="en-GB"/>
        </w:rPr>
        <w:t xml:space="preserve"> </w:t>
      </w:r>
      <w:r w:rsidRPr="008A6B67">
        <w:rPr>
          <w:rFonts w:cs="Calibri Light"/>
          <w:bCs/>
          <w:i/>
          <w:noProof/>
          <w:szCs w:val="22"/>
          <w:lang w:val="sq-AL" w:eastAsia="en-GB"/>
        </w:rPr>
        <w:t>(65 Vendime Gjyqësore për burgim të padrejtë; 20 Vendime Arbitrazhi dhe Vendime të GJEDNJ)</w:t>
      </w:r>
      <w:r w:rsidR="008C1AA6" w:rsidRPr="008A6B67">
        <w:rPr>
          <w:rFonts w:cs="Calibri Light"/>
          <w:bCs/>
          <w:i/>
          <w:noProof/>
          <w:szCs w:val="22"/>
          <w:lang w:val="sq-AL" w:eastAsia="en-GB"/>
        </w:rPr>
        <w:t>;</w:t>
      </w:r>
    </w:p>
    <w:p w14:paraId="176FB28C" w14:textId="1EC8410C" w:rsidR="00C156A0" w:rsidRPr="008A6B67" w:rsidRDefault="00C156A0">
      <w:pPr>
        <w:numPr>
          <w:ilvl w:val="0"/>
          <w:numId w:val="46"/>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Shpërblimi i 21 funksionarëvë pas ndërprerjes nga  funksionit”, me kosto faktike prej 81.6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 Ky produkt nuk paraqitet me realizim pasi këto fonde iu transferohen institucioneve përfituese, realizimi i të cilave bëhet nga buxhetet e tyre respektive</w:t>
      </w:r>
      <w:r w:rsidR="008C1AA6" w:rsidRPr="008A6B67">
        <w:rPr>
          <w:rFonts w:cs="Calibri Light"/>
          <w:bCs/>
          <w:i/>
          <w:noProof/>
          <w:szCs w:val="22"/>
          <w:lang w:val="sq-AL" w:eastAsia="en-GB"/>
        </w:rPr>
        <w:t>;</w:t>
      </w:r>
    </w:p>
    <w:p w14:paraId="2188C9F1" w14:textId="28FBDE5A" w:rsidR="00C156A0" w:rsidRPr="008A6B67" w:rsidRDefault="00C156A0">
      <w:pPr>
        <w:numPr>
          <w:ilvl w:val="0"/>
          <w:numId w:val="46"/>
        </w:numPr>
        <w:shd w:val="clear" w:color="auto" w:fill="FFFFFF"/>
        <w:spacing w:before="0" w:after="160" w:line="240" w:lineRule="auto"/>
        <w:contextualSpacing/>
        <w:rPr>
          <w:rFonts w:cs="Calibri Light"/>
          <w:bCs/>
          <w:i/>
          <w:noProof/>
          <w:szCs w:val="22"/>
          <w:lang w:val="sq-AL" w:eastAsia="en-GB"/>
        </w:rPr>
      </w:pPr>
      <w:r w:rsidRPr="008A6B67">
        <w:rPr>
          <w:rFonts w:cs="Calibri Light"/>
          <w:bCs/>
          <w:i/>
          <w:noProof/>
          <w:szCs w:val="22"/>
          <w:lang w:val="sq-AL" w:eastAsia="en-GB"/>
        </w:rPr>
        <w:t xml:space="preserve">“Pagesa për Kuota Ndërkombëtare”, planifikuar për pagesat e anëtarësimit të MF në organizatat ndërkombëtare si OECD, kryer 5 transferta  me kosto faktike 4.95 </w:t>
      </w:r>
      <w:r w:rsidR="0056260B" w:rsidRPr="008A6B67">
        <w:rPr>
          <w:rFonts w:cs="Calibri Light"/>
          <w:bCs/>
          <w:i/>
          <w:noProof/>
          <w:szCs w:val="22"/>
          <w:lang w:val="sq-AL" w:eastAsia="en-GB"/>
        </w:rPr>
        <w:t>milionë</w:t>
      </w:r>
      <w:r w:rsidRPr="008A6B67">
        <w:rPr>
          <w:rFonts w:cs="Calibri Light"/>
          <w:bCs/>
          <w:i/>
          <w:noProof/>
          <w:szCs w:val="22"/>
          <w:lang w:val="sq-AL" w:eastAsia="en-GB"/>
        </w:rPr>
        <w:t xml:space="preserve"> LEK.</w:t>
      </w:r>
    </w:p>
    <w:p w14:paraId="059459F3" w14:textId="77777777" w:rsidR="00C156A0" w:rsidRPr="00A955AC" w:rsidRDefault="00C156A0" w:rsidP="00C156A0">
      <w:pPr>
        <w:spacing w:line="240" w:lineRule="auto"/>
        <w:rPr>
          <w:rFonts w:cs="Calibri Light"/>
          <w:bCs/>
          <w:i/>
          <w:noProof/>
          <w:sz w:val="8"/>
          <w:szCs w:val="10"/>
          <w:lang w:val="sq-AL" w:eastAsia="en-GB"/>
        </w:rPr>
      </w:pPr>
    </w:p>
    <w:p w14:paraId="48639CC4" w14:textId="57D19C70" w:rsidR="00724A4F" w:rsidRPr="00724A4F" w:rsidRDefault="00634371" w:rsidP="00724A4F">
      <w:pPr>
        <w:spacing w:line="240" w:lineRule="auto"/>
        <w:rPr>
          <w:rFonts w:asciiTheme="majorHAnsi" w:eastAsiaTheme="minorHAnsi" w:hAnsiTheme="majorHAnsi" w:cs="Calibri Light"/>
          <w:noProof/>
          <w:szCs w:val="22"/>
          <w:lang w:val="sq-AL"/>
        </w:rPr>
      </w:pPr>
      <w:r>
        <w:rPr>
          <w:rFonts w:cs="Calibri"/>
          <w:noProof/>
          <w:lang w:val="sq-AL"/>
        </w:rPr>
        <w:lastRenderedPageBreak/>
        <w:t>S</w:t>
      </w:r>
      <w:r w:rsidR="00C156A0" w:rsidRPr="00724A4F">
        <w:rPr>
          <w:rFonts w:cs="Calibri"/>
          <w:noProof/>
          <w:lang w:val="sq-AL"/>
        </w:rPr>
        <w:t xml:space="preserve">a u përket </w:t>
      </w:r>
      <w:r w:rsidR="00C156A0" w:rsidRPr="00724A4F">
        <w:rPr>
          <w:rFonts w:cs="Calibri"/>
          <w:b/>
          <w:noProof/>
          <w:lang w:val="sq-AL"/>
        </w:rPr>
        <w:t>investimeve publike</w:t>
      </w:r>
      <w:r w:rsidR="00724A4F" w:rsidRPr="00724A4F">
        <w:rPr>
          <w:rFonts w:cs="Calibri"/>
          <w:noProof/>
          <w:lang w:val="sq-AL"/>
        </w:rPr>
        <w:t xml:space="preserve"> realizimi në vitin 2025 ishte 127.9% e buxhetit fillestar për projektet me financim të brendshëm (1.2 </w:t>
      </w:r>
      <w:r w:rsidR="0056260B">
        <w:rPr>
          <w:rFonts w:cs="Calibri"/>
          <w:noProof/>
          <w:lang w:val="sq-AL"/>
        </w:rPr>
        <w:t>miliardë</w:t>
      </w:r>
      <w:r w:rsidR="00724A4F" w:rsidRPr="00724A4F">
        <w:rPr>
          <w:rFonts w:cs="Calibri"/>
          <w:noProof/>
          <w:lang w:val="sq-AL"/>
        </w:rPr>
        <w:t xml:space="preserve"> LEK)</w:t>
      </w:r>
      <w:r w:rsidR="00724A4F" w:rsidRPr="00724A4F">
        <w:rPr>
          <w:rFonts w:cs="Calibri"/>
          <w:bCs/>
          <w:iCs/>
          <w:noProof/>
          <w:lang w:val="sq-AL"/>
        </w:rPr>
        <w:t xml:space="preserve"> (94.7% të planit vjetor të ndryshuar me AN nr.11/2025)</w:t>
      </w:r>
      <w:r w:rsidR="00724A4F" w:rsidRPr="00724A4F">
        <w:rPr>
          <w:rFonts w:cs="Calibri"/>
          <w:noProof/>
          <w:lang w:val="sq-AL"/>
        </w:rPr>
        <w:t xml:space="preserve"> dhe 74.7% e buxhetit fillestar për projektet me financim të huaj (0.30 </w:t>
      </w:r>
      <w:r w:rsidR="0056260B">
        <w:rPr>
          <w:rFonts w:cs="Calibri"/>
          <w:noProof/>
          <w:lang w:val="sq-AL"/>
        </w:rPr>
        <w:t>miliardë</w:t>
      </w:r>
      <w:r w:rsidR="00724A4F" w:rsidRPr="00724A4F">
        <w:rPr>
          <w:rFonts w:cs="Calibri"/>
          <w:noProof/>
          <w:lang w:val="sq-AL"/>
        </w:rPr>
        <w:t xml:space="preserve"> LEK) </w:t>
      </w:r>
      <w:r w:rsidR="00724A4F" w:rsidRPr="00724A4F">
        <w:rPr>
          <w:rFonts w:cs="Calibri"/>
          <w:bCs/>
          <w:iCs/>
          <w:noProof/>
          <w:lang w:val="sq-AL"/>
        </w:rPr>
        <w:t>(62.6 % të planit vjetor të ndryshuar me AN nr.11/2025).</w:t>
      </w:r>
      <w:r w:rsidR="00724A4F" w:rsidRPr="00724A4F">
        <w:rPr>
          <w:rFonts w:cs="Calibri"/>
          <w:noProof/>
          <w:lang w:val="sq-AL"/>
        </w:rPr>
        <w:t xml:space="preserve"> Buxheti i shpenzimeve kapitale pësoi disa ndryshime gjatë vitit, duke rritur shpenzimet kapitale me financim të brendshëm dhe duke pakësuar ato me financim të huaj. </w:t>
      </w:r>
      <w:r w:rsidR="00724A4F" w:rsidRPr="00724A4F">
        <w:rPr>
          <w:rFonts w:asciiTheme="majorHAnsi" w:eastAsiaTheme="minorHAnsi" w:hAnsiTheme="majorHAnsi" w:cs="Calibri Light"/>
          <w:noProof/>
          <w:szCs w:val="22"/>
          <w:lang w:val="sq-AL"/>
        </w:rPr>
        <w:t xml:space="preserve">Janë mbyllur 10 </w:t>
      </w:r>
      <w:r w:rsidR="00724A4F" w:rsidRPr="00724A4F">
        <w:rPr>
          <w:rFonts w:asciiTheme="majorHAnsi" w:eastAsia="SimSun" w:hAnsiTheme="majorHAnsi" w:cs="Calibri Light"/>
          <w:noProof/>
          <w:szCs w:val="22"/>
          <w:lang w:val="sq-AL"/>
        </w:rPr>
        <w:t>projekte</w:t>
      </w:r>
      <w:r w:rsidR="00724A4F" w:rsidRPr="00724A4F">
        <w:rPr>
          <w:rFonts w:asciiTheme="majorHAnsi" w:eastAsiaTheme="minorHAnsi" w:hAnsiTheme="majorHAnsi" w:cs="Calibri Light"/>
          <w:noProof/>
          <w:szCs w:val="22"/>
          <w:lang w:val="sq-AL"/>
        </w:rPr>
        <w:t xml:space="preserve"> investimi në vlerën rreth 0.11 </w:t>
      </w:r>
      <w:r w:rsidR="0056260B">
        <w:rPr>
          <w:rFonts w:asciiTheme="majorHAnsi" w:eastAsiaTheme="minorHAnsi" w:hAnsiTheme="majorHAnsi" w:cs="Calibri Light"/>
          <w:noProof/>
          <w:szCs w:val="22"/>
          <w:lang w:val="sq-AL"/>
        </w:rPr>
        <w:t>miliardë</w:t>
      </w:r>
      <w:r w:rsidR="00724A4F" w:rsidRPr="00724A4F">
        <w:rPr>
          <w:rFonts w:asciiTheme="majorHAnsi" w:eastAsiaTheme="minorHAnsi" w:hAnsiTheme="majorHAnsi" w:cs="Calibri Light"/>
          <w:noProof/>
          <w:szCs w:val="22"/>
          <w:lang w:val="sq-AL"/>
        </w:rPr>
        <w:t xml:space="preserve"> LEK, ku ndër më kryesoret veçojmë: </w:t>
      </w:r>
    </w:p>
    <w:p w14:paraId="3081F9F3" w14:textId="77D6032B" w:rsidR="00724A4F" w:rsidRPr="00A955AC" w:rsidRDefault="00724A4F" w:rsidP="00724A4F">
      <w:pPr>
        <w:pStyle w:val="ListParagraph"/>
        <w:numPr>
          <w:ilvl w:val="0"/>
          <w:numId w:val="10"/>
        </w:numPr>
        <w:shd w:val="clear" w:color="auto" w:fill="FFFFFF" w:themeFill="background1"/>
        <w:spacing w:before="0" w:line="240" w:lineRule="auto"/>
        <w:ind w:left="630"/>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Për programin DPD kanë përfunduar 4 kontrata me vlerë totale 59.4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055EA497" w14:textId="28A673F3" w:rsidR="00724A4F" w:rsidRPr="00A955AC" w:rsidRDefault="00724A4F">
      <w:pPr>
        <w:pStyle w:val="ListParagraph"/>
        <w:numPr>
          <w:ilvl w:val="0"/>
          <w:numId w:val="59"/>
        </w:numPr>
        <w:shd w:val="clear" w:color="auto" w:fill="FFFFFF" w:themeFill="background1"/>
        <w:spacing w:before="0" w:line="240" w:lineRule="auto"/>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Skaner për kontroll bagazhesh me vlerë 28.7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1ADCE902" w14:textId="644D8A99" w:rsidR="00724A4F" w:rsidRPr="00A955AC" w:rsidRDefault="00724A4F">
      <w:pPr>
        <w:pStyle w:val="ListParagraph"/>
        <w:numPr>
          <w:ilvl w:val="0"/>
          <w:numId w:val="59"/>
        </w:numPr>
        <w:shd w:val="clear" w:color="auto" w:fill="FFFFFF" w:themeFill="background1"/>
        <w:spacing w:before="0" w:line="240" w:lineRule="auto"/>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Blerje minibus për transport personeli me vlerë 16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27E3B563" w14:textId="3EF068CF" w:rsidR="00724A4F" w:rsidRPr="00A955AC" w:rsidRDefault="00724A4F">
      <w:pPr>
        <w:pStyle w:val="ListParagraph"/>
        <w:numPr>
          <w:ilvl w:val="0"/>
          <w:numId w:val="59"/>
        </w:numPr>
        <w:shd w:val="clear" w:color="auto" w:fill="FFFFFF" w:themeFill="background1"/>
        <w:spacing w:before="0" w:line="240" w:lineRule="auto"/>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Rikonstruksion i çatisë së godinave ku ushtrojnë veprimtarinë administrata doganore dhe Agjensitë Doganore në Kapshtice, me vlerë 10.2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65B271A0" w14:textId="7B96A854" w:rsidR="00724A4F" w:rsidRPr="00A955AC" w:rsidRDefault="00724A4F">
      <w:pPr>
        <w:pStyle w:val="ListParagraph"/>
        <w:numPr>
          <w:ilvl w:val="0"/>
          <w:numId w:val="59"/>
        </w:numPr>
        <w:shd w:val="clear" w:color="auto" w:fill="FFFFFF" w:themeFill="background1"/>
        <w:spacing w:before="0" w:line="240" w:lineRule="auto"/>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Blerje motorgjenerator dhe pajisje zyrash me vlerë 4.5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09BDFF17" w14:textId="77777777" w:rsidR="00724A4F" w:rsidRPr="00A955AC" w:rsidRDefault="00724A4F" w:rsidP="00724A4F">
      <w:pPr>
        <w:pStyle w:val="ListParagraph"/>
        <w:numPr>
          <w:ilvl w:val="0"/>
          <w:numId w:val="10"/>
        </w:numPr>
        <w:shd w:val="clear" w:color="auto" w:fill="FFFFFF" w:themeFill="background1"/>
        <w:spacing w:before="0" w:line="240" w:lineRule="auto"/>
        <w:ind w:left="630"/>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Për DPT ka përfunduar:</w:t>
      </w:r>
    </w:p>
    <w:p w14:paraId="58EFC16A" w14:textId="5AEA2BF0" w:rsidR="00724A4F" w:rsidRPr="00A955AC" w:rsidRDefault="00724A4F">
      <w:pPr>
        <w:pStyle w:val="ListParagraph"/>
        <w:numPr>
          <w:ilvl w:val="0"/>
          <w:numId w:val="60"/>
        </w:numPr>
        <w:shd w:val="clear" w:color="auto" w:fill="FFFFFF" w:themeFill="background1"/>
        <w:spacing w:before="0" w:line="240" w:lineRule="auto"/>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Sistemi i ri i menaxhimit te borxhit me vlerë 25 </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00DBD1DC" w14:textId="1AAAF206" w:rsidR="00724A4F" w:rsidRPr="00A955AC" w:rsidRDefault="00724A4F">
      <w:pPr>
        <w:pStyle w:val="ListParagraph"/>
        <w:numPr>
          <w:ilvl w:val="0"/>
          <w:numId w:val="61"/>
        </w:numPr>
        <w:shd w:val="clear" w:color="auto" w:fill="FFFFFF" w:themeFill="background1"/>
        <w:spacing w:before="0" w:line="240" w:lineRule="auto"/>
        <w:ind w:left="630"/>
        <w:rPr>
          <w:rFonts w:asciiTheme="majorHAnsi" w:hAnsiTheme="majorHAnsi" w:cs="Calibri Light"/>
          <w:bCs/>
          <w:i/>
          <w:noProof/>
          <w:szCs w:val="22"/>
          <w:lang w:val="sq-AL" w:eastAsia="en-GB"/>
        </w:rPr>
      </w:pPr>
      <w:r w:rsidRPr="00A955AC">
        <w:rPr>
          <w:rFonts w:asciiTheme="majorHAnsi" w:hAnsiTheme="majorHAnsi" w:cs="Calibri Light"/>
          <w:bCs/>
          <w:i/>
          <w:noProof/>
          <w:szCs w:val="22"/>
          <w:lang w:val="sq-AL" w:eastAsia="en-GB"/>
        </w:rPr>
        <w:t xml:space="preserve">Për programet “Planifikim, menaxhim dhe administrim” si dhe “Lufta kundër transaksioneve financiare jo-ligjore”, kanë përfunduar projektet: blerje pajisje zyrash </w:t>
      </w:r>
      <w:r w:rsidR="00A955AC">
        <w:rPr>
          <w:rFonts w:asciiTheme="majorHAnsi" w:hAnsiTheme="majorHAnsi" w:cs="Calibri Light"/>
          <w:bCs/>
          <w:i/>
          <w:noProof/>
          <w:szCs w:val="22"/>
          <w:lang w:val="sq-AL" w:eastAsia="en-GB"/>
        </w:rPr>
        <w:t xml:space="preserve">dhe </w:t>
      </w:r>
      <w:r w:rsidRPr="00A955AC">
        <w:rPr>
          <w:rFonts w:asciiTheme="majorHAnsi" w:hAnsiTheme="majorHAnsi" w:cs="Calibri Light"/>
          <w:bCs/>
          <w:i/>
          <w:noProof/>
          <w:szCs w:val="22"/>
          <w:lang w:val="sq-AL" w:eastAsia="en-GB"/>
        </w:rPr>
        <w:t>kompjuterike, me vlerë 24.3</w:t>
      </w:r>
      <w:r w:rsidR="0056260B">
        <w:rPr>
          <w:rFonts w:asciiTheme="majorHAnsi" w:hAnsiTheme="majorHAnsi" w:cs="Calibri Light"/>
          <w:bCs/>
          <w:i/>
          <w:noProof/>
          <w:szCs w:val="22"/>
          <w:lang w:val="sq-AL" w:eastAsia="en-GB"/>
        </w:rPr>
        <w:t>milionë</w:t>
      </w:r>
      <w:r w:rsidRPr="00A955AC">
        <w:rPr>
          <w:rFonts w:asciiTheme="majorHAnsi" w:hAnsiTheme="majorHAnsi" w:cs="Calibri Light"/>
          <w:bCs/>
          <w:i/>
          <w:noProof/>
          <w:szCs w:val="22"/>
          <w:lang w:val="sq-AL" w:eastAsia="en-GB"/>
        </w:rPr>
        <w:t xml:space="preserve"> LEK.</w:t>
      </w:r>
    </w:p>
    <w:p w14:paraId="11BDE779" w14:textId="77777777" w:rsidR="00C156A0" w:rsidRDefault="00C156A0" w:rsidP="00C156A0">
      <w:pPr>
        <w:spacing w:line="240" w:lineRule="auto"/>
        <w:rPr>
          <w:rFonts w:cs="Calibri Light"/>
          <w:bCs/>
          <w:i/>
          <w:noProof/>
          <w:lang w:val="sq-AL" w:eastAsia="en-GB"/>
        </w:rPr>
      </w:pPr>
    </w:p>
    <w:p w14:paraId="06CC21DE" w14:textId="77777777" w:rsidR="008A6B67" w:rsidRDefault="008A6B67" w:rsidP="00C156A0">
      <w:pPr>
        <w:spacing w:line="240" w:lineRule="auto"/>
        <w:rPr>
          <w:rFonts w:cs="Calibri Light"/>
          <w:bCs/>
          <w:i/>
          <w:noProof/>
          <w:lang w:val="sq-AL" w:eastAsia="en-GB"/>
        </w:rPr>
      </w:pPr>
    </w:p>
    <w:p w14:paraId="3D65CC32" w14:textId="77777777" w:rsidR="00C156A0" w:rsidRPr="00B14F86" w:rsidRDefault="00C156A0" w:rsidP="00B14F86">
      <w:pPr>
        <w:pStyle w:val="Heading3"/>
        <w:rPr>
          <w:b/>
          <w:bCs/>
        </w:rPr>
      </w:pPr>
      <w:bookmarkStart w:id="280" w:name="_Toc229390846"/>
      <w:proofErr w:type="spellStart"/>
      <w:r w:rsidRPr="00B14F86">
        <w:rPr>
          <w:b/>
          <w:bCs/>
        </w:rPr>
        <w:t>Mbrojtja</w:t>
      </w:r>
      <w:bookmarkEnd w:id="277"/>
      <w:bookmarkEnd w:id="278"/>
      <w:bookmarkEnd w:id="280"/>
      <w:proofErr w:type="spellEnd"/>
    </w:p>
    <w:p w14:paraId="05577FB2" w14:textId="799165E0" w:rsidR="00C156A0" w:rsidRPr="00C156A0" w:rsidRDefault="00C156A0" w:rsidP="008C1AA6">
      <w:pPr>
        <w:spacing w:line="240" w:lineRule="auto"/>
        <w:rPr>
          <w:rFonts w:cs="Calibri"/>
          <w:noProof/>
          <w:lang w:val="sq-AL"/>
        </w:rPr>
      </w:pPr>
      <w:r w:rsidRPr="00C156A0">
        <w:rPr>
          <w:rFonts w:cs="Calibri"/>
          <w:noProof/>
          <w:lang w:val="sq-AL"/>
        </w:rPr>
        <w:t xml:space="preserve">Shpenzimet e planifikuara dhe ato faktike si dhe realizimi për vitin 2025 për </w:t>
      </w:r>
      <w:r w:rsidR="008A6B67">
        <w:rPr>
          <w:rFonts w:cs="Calibri"/>
          <w:noProof/>
          <w:lang w:val="sq-AL"/>
        </w:rPr>
        <w:t>MM</w:t>
      </w:r>
      <w:r w:rsidRPr="00C156A0">
        <w:rPr>
          <w:rFonts w:cs="Calibri"/>
          <w:noProof/>
          <w:lang w:val="sq-AL"/>
        </w:rPr>
        <w:t>, paraqiten si më poshtë:</w:t>
      </w:r>
    </w:p>
    <w:p w14:paraId="08CA87DD" w14:textId="7CF717BF" w:rsidR="00C156A0" w:rsidRPr="00C156A0" w:rsidRDefault="00C156A0" w:rsidP="00C156A0">
      <w:pPr>
        <w:rPr>
          <w:i/>
          <w:iCs/>
          <w:noProof/>
          <w:color w:val="17406D"/>
          <w:sz w:val="18"/>
          <w:szCs w:val="18"/>
          <w:lang w:val="sq-AL"/>
        </w:rPr>
      </w:pPr>
      <w:bookmarkStart w:id="281" w:name="_Toc229130014"/>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39</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Mbrojtjes</w:t>
      </w:r>
      <w:bookmarkEnd w:id="281"/>
    </w:p>
    <w:tbl>
      <w:tblPr>
        <w:tblW w:w="10283" w:type="dxa"/>
        <w:jc w:val="center"/>
        <w:tblLook w:val="04A0" w:firstRow="1" w:lastRow="0" w:firstColumn="1" w:lastColumn="0" w:noHBand="0" w:noVBand="1"/>
      </w:tblPr>
      <w:tblGrid>
        <w:gridCol w:w="2295"/>
        <w:gridCol w:w="948"/>
        <w:gridCol w:w="948"/>
        <w:gridCol w:w="948"/>
        <w:gridCol w:w="948"/>
        <w:gridCol w:w="948"/>
        <w:gridCol w:w="948"/>
        <w:gridCol w:w="576"/>
        <w:gridCol w:w="574"/>
        <w:gridCol w:w="575"/>
        <w:gridCol w:w="575"/>
      </w:tblGrid>
      <w:tr w:rsidR="00C156A0" w:rsidRPr="00F409F4" w14:paraId="632CE9B7" w14:textId="77777777" w:rsidTr="00A955AC">
        <w:trPr>
          <w:trHeight w:val="400"/>
          <w:jc w:val="center"/>
        </w:trPr>
        <w:tc>
          <w:tcPr>
            <w:tcW w:w="2295" w:type="dxa"/>
            <w:vMerge w:val="restart"/>
            <w:tcBorders>
              <w:top w:val="single" w:sz="8" w:space="0" w:color="B8CCE4"/>
              <w:left w:val="single" w:sz="8" w:space="0" w:color="B8CCE4"/>
              <w:bottom w:val="single" w:sz="4" w:space="0" w:color="B8CCE4"/>
              <w:right w:val="single" w:sz="4" w:space="0" w:color="B8CCE4"/>
            </w:tcBorders>
            <w:shd w:val="clear" w:color="000000" w:fill="366092"/>
            <w:vAlign w:val="center"/>
            <w:hideMark/>
          </w:tcPr>
          <w:p w14:paraId="5CCAE59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Programi buxhetor</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6ED7274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fillestar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4F09A814"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i rishikuar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4081DB69"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Fakti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50CB244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në % me planin fillestar</w:t>
            </w:r>
          </w:p>
        </w:tc>
        <w:tc>
          <w:tcPr>
            <w:tcW w:w="0" w:type="auto"/>
            <w:gridSpan w:val="2"/>
            <w:tcBorders>
              <w:top w:val="single" w:sz="8" w:space="0" w:color="B8CCE4"/>
              <w:left w:val="nil"/>
              <w:bottom w:val="single" w:sz="4" w:space="0" w:color="B8CCE4"/>
              <w:right w:val="single" w:sz="8" w:space="0" w:color="B8CCE4"/>
            </w:tcBorders>
            <w:shd w:val="clear" w:color="000000" w:fill="365F91"/>
            <w:vAlign w:val="center"/>
            <w:hideMark/>
          </w:tcPr>
          <w:p w14:paraId="1C3CCA6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në % me planin e rishikuar</w:t>
            </w:r>
          </w:p>
        </w:tc>
      </w:tr>
      <w:tr w:rsidR="00A955AC" w:rsidRPr="00C156A0" w14:paraId="4871E731" w14:textId="77777777" w:rsidTr="00A955AC">
        <w:trPr>
          <w:trHeight w:val="266"/>
          <w:jc w:val="center"/>
        </w:trPr>
        <w:tc>
          <w:tcPr>
            <w:tcW w:w="2295" w:type="dxa"/>
            <w:vMerge/>
            <w:tcBorders>
              <w:top w:val="single" w:sz="8" w:space="0" w:color="B8CCE4"/>
              <w:left w:val="single" w:sz="8" w:space="0" w:color="B8CCE4"/>
              <w:bottom w:val="single" w:sz="4" w:space="0" w:color="B8CCE4"/>
              <w:right w:val="single" w:sz="4" w:space="0" w:color="B8CCE4"/>
            </w:tcBorders>
            <w:vAlign w:val="center"/>
            <w:hideMark/>
          </w:tcPr>
          <w:p w14:paraId="4D0F02B2" w14:textId="77777777" w:rsidR="00C156A0" w:rsidRPr="00C156A0" w:rsidRDefault="00C156A0" w:rsidP="00C156A0">
            <w:pPr>
              <w:spacing w:before="0" w:line="240" w:lineRule="auto"/>
              <w:jc w:val="left"/>
              <w:rPr>
                <w:rFonts w:cs="Calibri"/>
                <w:b/>
                <w:bCs/>
                <w:color w:val="FFFFFF"/>
                <w:sz w:val="16"/>
                <w:szCs w:val="16"/>
                <w:lang w:val="sq-AL"/>
              </w:rPr>
            </w:pPr>
          </w:p>
        </w:tc>
        <w:tc>
          <w:tcPr>
            <w:tcW w:w="0" w:type="auto"/>
            <w:tcBorders>
              <w:top w:val="nil"/>
              <w:left w:val="nil"/>
              <w:bottom w:val="single" w:sz="4" w:space="0" w:color="B8CCE4"/>
              <w:right w:val="single" w:sz="4" w:space="0" w:color="B8CCE4"/>
            </w:tcBorders>
            <w:shd w:val="clear" w:color="000000" w:fill="365F91"/>
            <w:vAlign w:val="center"/>
            <w:hideMark/>
          </w:tcPr>
          <w:p w14:paraId="53E7521C" w14:textId="4616AD51"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6C45E824"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50E7A377" w14:textId="01A752BA"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6176E5C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295992BB" w14:textId="7FE0AE88"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6C5ED37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0CE2892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0" w:type="auto"/>
            <w:tcBorders>
              <w:top w:val="nil"/>
              <w:left w:val="nil"/>
              <w:bottom w:val="single" w:sz="4" w:space="0" w:color="B8CCE4"/>
              <w:right w:val="single" w:sz="4" w:space="0" w:color="B8CCE4"/>
            </w:tcBorders>
            <w:shd w:val="clear" w:color="000000" w:fill="365F91"/>
            <w:vAlign w:val="center"/>
            <w:hideMark/>
          </w:tcPr>
          <w:p w14:paraId="69B403E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w:t>
            </w:r>
          </w:p>
        </w:tc>
        <w:tc>
          <w:tcPr>
            <w:tcW w:w="0" w:type="auto"/>
            <w:tcBorders>
              <w:top w:val="nil"/>
              <w:left w:val="nil"/>
              <w:bottom w:val="single" w:sz="4" w:space="0" w:color="B8CCE4"/>
              <w:right w:val="single" w:sz="4" w:space="0" w:color="B8CCE4"/>
            </w:tcBorders>
            <w:shd w:val="clear" w:color="000000" w:fill="365F91"/>
            <w:vAlign w:val="center"/>
            <w:hideMark/>
          </w:tcPr>
          <w:p w14:paraId="3A07200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0" w:type="auto"/>
            <w:tcBorders>
              <w:top w:val="nil"/>
              <w:left w:val="nil"/>
              <w:bottom w:val="single" w:sz="4" w:space="0" w:color="B8CCE4"/>
              <w:right w:val="single" w:sz="8" w:space="0" w:color="B8CCE4"/>
            </w:tcBorders>
            <w:shd w:val="clear" w:color="000000" w:fill="365F91"/>
            <w:vAlign w:val="center"/>
            <w:hideMark/>
          </w:tcPr>
          <w:p w14:paraId="3E651F6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w:t>
            </w:r>
          </w:p>
        </w:tc>
      </w:tr>
      <w:tr w:rsidR="00A955AC" w:rsidRPr="00C156A0" w14:paraId="0BC12B7C" w14:textId="77777777" w:rsidTr="00A955AC">
        <w:trPr>
          <w:trHeight w:val="299"/>
          <w:jc w:val="center"/>
        </w:trPr>
        <w:tc>
          <w:tcPr>
            <w:tcW w:w="2295" w:type="dxa"/>
            <w:tcBorders>
              <w:top w:val="nil"/>
              <w:left w:val="single" w:sz="8" w:space="0" w:color="B8CCE4"/>
              <w:bottom w:val="single" w:sz="4" w:space="0" w:color="B8CCE4"/>
              <w:right w:val="single" w:sz="4" w:space="0" w:color="B8CCE4"/>
            </w:tcBorders>
            <w:vAlign w:val="center"/>
            <w:hideMark/>
          </w:tcPr>
          <w:p w14:paraId="54BF0E8D"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Planifikimi, Menaxhimi dhe Administrimi</w:t>
            </w:r>
          </w:p>
        </w:tc>
        <w:tc>
          <w:tcPr>
            <w:tcW w:w="0" w:type="auto"/>
            <w:tcBorders>
              <w:top w:val="nil"/>
              <w:left w:val="nil"/>
              <w:bottom w:val="single" w:sz="4" w:space="0" w:color="B8CCE4"/>
              <w:right w:val="single" w:sz="4" w:space="0" w:color="B8CCE4"/>
            </w:tcBorders>
            <w:vAlign w:val="center"/>
            <w:hideMark/>
          </w:tcPr>
          <w:p w14:paraId="409E299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1,403,300</w:t>
            </w:r>
          </w:p>
        </w:tc>
        <w:tc>
          <w:tcPr>
            <w:tcW w:w="0" w:type="auto"/>
            <w:tcBorders>
              <w:top w:val="nil"/>
              <w:left w:val="nil"/>
              <w:bottom w:val="single" w:sz="4" w:space="0" w:color="B8CCE4"/>
              <w:right w:val="single" w:sz="4" w:space="0" w:color="B8CCE4"/>
            </w:tcBorders>
            <w:vAlign w:val="center"/>
            <w:hideMark/>
          </w:tcPr>
          <w:p w14:paraId="0EAD5A3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120,000</w:t>
            </w:r>
          </w:p>
        </w:tc>
        <w:tc>
          <w:tcPr>
            <w:tcW w:w="0" w:type="auto"/>
            <w:tcBorders>
              <w:top w:val="nil"/>
              <w:left w:val="nil"/>
              <w:bottom w:val="single" w:sz="4" w:space="0" w:color="B8CCE4"/>
              <w:right w:val="single" w:sz="4" w:space="0" w:color="B8CCE4"/>
            </w:tcBorders>
            <w:vAlign w:val="center"/>
            <w:hideMark/>
          </w:tcPr>
          <w:p w14:paraId="2B6A04A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1,596,264</w:t>
            </w:r>
          </w:p>
        </w:tc>
        <w:tc>
          <w:tcPr>
            <w:tcW w:w="0" w:type="auto"/>
            <w:tcBorders>
              <w:top w:val="nil"/>
              <w:left w:val="nil"/>
              <w:bottom w:val="single" w:sz="4" w:space="0" w:color="B8CCE4"/>
              <w:right w:val="single" w:sz="4" w:space="0" w:color="B8CCE4"/>
            </w:tcBorders>
            <w:vAlign w:val="center"/>
            <w:hideMark/>
          </w:tcPr>
          <w:p w14:paraId="1D42833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77,669</w:t>
            </w:r>
          </w:p>
        </w:tc>
        <w:tc>
          <w:tcPr>
            <w:tcW w:w="0" w:type="auto"/>
            <w:tcBorders>
              <w:top w:val="nil"/>
              <w:left w:val="nil"/>
              <w:bottom w:val="single" w:sz="4" w:space="0" w:color="B8CCE4"/>
              <w:right w:val="single" w:sz="4" w:space="0" w:color="B8CCE4"/>
            </w:tcBorders>
            <w:vAlign w:val="center"/>
            <w:hideMark/>
          </w:tcPr>
          <w:p w14:paraId="1BB0C66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1,579,727</w:t>
            </w:r>
          </w:p>
        </w:tc>
        <w:tc>
          <w:tcPr>
            <w:tcW w:w="0" w:type="auto"/>
            <w:tcBorders>
              <w:top w:val="nil"/>
              <w:left w:val="nil"/>
              <w:bottom w:val="single" w:sz="4" w:space="0" w:color="B8CCE4"/>
              <w:right w:val="single" w:sz="4" w:space="0" w:color="B8CCE4"/>
            </w:tcBorders>
            <w:vAlign w:val="center"/>
            <w:hideMark/>
          </w:tcPr>
          <w:p w14:paraId="67B8F73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77,654</w:t>
            </w:r>
          </w:p>
        </w:tc>
        <w:tc>
          <w:tcPr>
            <w:tcW w:w="0" w:type="auto"/>
            <w:tcBorders>
              <w:top w:val="nil"/>
              <w:left w:val="nil"/>
              <w:bottom w:val="single" w:sz="4" w:space="0" w:color="B8CCE4"/>
              <w:right w:val="single" w:sz="4" w:space="0" w:color="B8CCE4"/>
            </w:tcBorders>
            <w:vAlign w:val="center"/>
            <w:hideMark/>
          </w:tcPr>
          <w:p w14:paraId="3DF1255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113%</w:t>
            </w:r>
          </w:p>
        </w:tc>
        <w:tc>
          <w:tcPr>
            <w:tcW w:w="0" w:type="auto"/>
            <w:tcBorders>
              <w:top w:val="nil"/>
              <w:left w:val="nil"/>
              <w:bottom w:val="single" w:sz="4" w:space="0" w:color="B8CCE4"/>
              <w:right w:val="single" w:sz="4" w:space="0" w:color="B8CCE4"/>
            </w:tcBorders>
            <w:vAlign w:val="center"/>
            <w:hideMark/>
          </w:tcPr>
          <w:p w14:paraId="6731659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65%</w:t>
            </w:r>
          </w:p>
        </w:tc>
        <w:tc>
          <w:tcPr>
            <w:tcW w:w="0" w:type="auto"/>
            <w:tcBorders>
              <w:top w:val="nil"/>
              <w:left w:val="nil"/>
              <w:bottom w:val="single" w:sz="4" w:space="0" w:color="B8CCE4"/>
              <w:right w:val="single" w:sz="4" w:space="0" w:color="B8CCE4"/>
            </w:tcBorders>
            <w:vAlign w:val="center"/>
            <w:hideMark/>
          </w:tcPr>
          <w:p w14:paraId="6D12876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7AE058F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100%</w:t>
            </w:r>
          </w:p>
        </w:tc>
      </w:tr>
      <w:tr w:rsidR="00A955AC" w:rsidRPr="00C156A0" w14:paraId="08012EF2" w14:textId="77777777" w:rsidTr="00A955AC">
        <w:trPr>
          <w:trHeight w:val="266"/>
          <w:jc w:val="center"/>
        </w:trPr>
        <w:tc>
          <w:tcPr>
            <w:tcW w:w="2295" w:type="dxa"/>
            <w:tcBorders>
              <w:top w:val="nil"/>
              <w:left w:val="single" w:sz="8" w:space="0" w:color="B8CCE4"/>
              <w:bottom w:val="single" w:sz="4" w:space="0" w:color="B8CCE4"/>
              <w:right w:val="single" w:sz="4" w:space="0" w:color="B8CCE4"/>
            </w:tcBorders>
            <w:vAlign w:val="center"/>
            <w:hideMark/>
          </w:tcPr>
          <w:p w14:paraId="0CADF95C"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Forcat e Luftimit</w:t>
            </w:r>
          </w:p>
        </w:tc>
        <w:tc>
          <w:tcPr>
            <w:tcW w:w="0" w:type="auto"/>
            <w:tcBorders>
              <w:top w:val="nil"/>
              <w:left w:val="nil"/>
              <w:bottom w:val="single" w:sz="4" w:space="0" w:color="B8CCE4"/>
              <w:right w:val="single" w:sz="4" w:space="0" w:color="B8CCE4"/>
            </w:tcBorders>
            <w:vAlign w:val="center"/>
            <w:hideMark/>
          </w:tcPr>
          <w:p w14:paraId="0943F29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7,452,258</w:t>
            </w:r>
          </w:p>
        </w:tc>
        <w:tc>
          <w:tcPr>
            <w:tcW w:w="0" w:type="auto"/>
            <w:tcBorders>
              <w:top w:val="nil"/>
              <w:left w:val="nil"/>
              <w:bottom w:val="single" w:sz="4" w:space="0" w:color="B8CCE4"/>
              <w:right w:val="single" w:sz="4" w:space="0" w:color="B8CCE4"/>
            </w:tcBorders>
            <w:vAlign w:val="center"/>
            <w:hideMark/>
          </w:tcPr>
          <w:p w14:paraId="0EBDB51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11,201,500</w:t>
            </w:r>
          </w:p>
        </w:tc>
        <w:tc>
          <w:tcPr>
            <w:tcW w:w="0" w:type="auto"/>
            <w:tcBorders>
              <w:top w:val="nil"/>
              <w:left w:val="nil"/>
              <w:bottom w:val="single" w:sz="4" w:space="0" w:color="B8CCE4"/>
              <w:right w:val="single" w:sz="4" w:space="0" w:color="B8CCE4"/>
            </w:tcBorders>
            <w:vAlign w:val="center"/>
            <w:hideMark/>
          </w:tcPr>
          <w:p w14:paraId="1ED8017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9,238,135</w:t>
            </w:r>
          </w:p>
        </w:tc>
        <w:tc>
          <w:tcPr>
            <w:tcW w:w="0" w:type="auto"/>
            <w:tcBorders>
              <w:top w:val="nil"/>
              <w:left w:val="nil"/>
              <w:bottom w:val="single" w:sz="4" w:space="0" w:color="B8CCE4"/>
              <w:right w:val="single" w:sz="4" w:space="0" w:color="B8CCE4"/>
            </w:tcBorders>
            <w:vAlign w:val="center"/>
            <w:hideMark/>
          </w:tcPr>
          <w:p w14:paraId="5FBD76E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8,836,120</w:t>
            </w:r>
          </w:p>
        </w:tc>
        <w:tc>
          <w:tcPr>
            <w:tcW w:w="0" w:type="auto"/>
            <w:tcBorders>
              <w:top w:val="nil"/>
              <w:left w:val="nil"/>
              <w:bottom w:val="single" w:sz="4" w:space="0" w:color="B8CCE4"/>
              <w:right w:val="single" w:sz="4" w:space="0" w:color="B8CCE4"/>
            </w:tcBorders>
            <w:vAlign w:val="center"/>
            <w:hideMark/>
          </w:tcPr>
          <w:p w14:paraId="0287E7C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9,154,977</w:t>
            </w:r>
          </w:p>
        </w:tc>
        <w:tc>
          <w:tcPr>
            <w:tcW w:w="0" w:type="auto"/>
            <w:tcBorders>
              <w:top w:val="nil"/>
              <w:left w:val="nil"/>
              <w:bottom w:val="single" w:sz="4" w:space="0" w:color="B8CCE4"/>
              <w:right w:val="single" w:sz="4" w:space="0" w:color="B8CCE4"/>
            </w:tcBorders>
            <w:vAlign w:val="center"/>
            <w:hideMark/>
          </w:tcPr>
          <w:p w14:paraId="32D4291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8,225,628</w:t>
            </w:r>
          </w:p>
        </w:tc>
        <w:tc>
          <w:tcPr>
            <w:tcW w:w="0" w:type="auto"/>
            <w:tcBorders>
              <w:top w:val="nil"/>
              <w:left w:val="nil"/>
              <w:bottom w:val="single" w:sz="4" w:space="0" w:color="B8CCE4"/>
              <w:right w:val="single" w:sz="4" w:space="0" w:color="B8CCE4"/>
            </w:tcBorders>
            <w:vAlign w:val="center"/>
            <w:hideMark/>
          </w:tcPr>
          <w:p w14:paraId="1039491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123%</w:t>
            </w:r>
          </w:p>
        </w:tc>
        <w:tc>
          <w:tcPr>
            <w:tcW w:w="0" w:type="auto"/>
            <w:tcBorders>
              <w:top w:val="nil"/>
              <w:left w:val="nil"/>
              <w:bottom w:val="single" w:sz="4" w:space="0" w:color="B8CCE4"/>
              <w:right w:val="single" w:sz="4" w:space="0" w:color="B8CCE4"/>
            </w:tcBorders>
            <w:vAlign w:val="center"/>
            <w:hideMark/>
          </w:tcPr>
          <w:p w14:paraId="00B62A9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73%</w:t>
            </w:r>
          </w:p>
        </w:tc>
        <w:tc>
          <w:tcPr>
            <w:tcW w:w="0" w:type="auto"/>
            <w:tcBorders>
              <w:top w:val="nil"/>
              <w:left w:val="nil"/>
              <w:bottom w:val="single" w:sz="4" w:space="0" w:color="B8CCE4"/>
              <w:right w:val="single" w:sz="4" w:space="0" w:color="B8CCE4"/>
            </w:tcBorders>
            <w:vAlign w:val="center"/>
            <w:hideMark/>
          </w:tcPr>
          <w:p w14:paraId="678C828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14792EB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93%</w:t>
            </w:r>
          </w:p>
        </w:tc>
      </w:tr>
      <w:tr w:rsidR="00A955AC" w:rsidRPr="00C156A0" w14:paraId="7E145C19" w14:textId="77777777" w:rsidTr="00A955AC">
        <w:trPr>
          <w:trHeight w:val="227"/>
          <w:jc w:val="center"/>
        </w:trPr>
        <w:tc>
          <w:tcPr>
            <w:tcW w:w="2295" w:type="dxa"/>
            <w:tcBorders>
              <w:top w:val="nil"/>
              <w:left w:val="single" w:sz="8" w:space="0" w:color="B8CCE4"/>
              <w:bottom w:val="single" w:sz="4" w:space="0" w:color="B8CCE4"/>
              <w:right w:val="single" w:sz="4" w:space="0" w:color="B8CCE4"/>
            </w:tcBorders>
            <w:vAlign w:val="center"/>
            <w:hideMark/>
          </w:tcPr>
          <w:p w14:paraId="3072A9F2" w14:textId="77777777" w:rsidR="00C156A0" w:rsidRPr="00C156A0" w:rsidRDefault="00C156A0" w:rsidP="00C156A0">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B8CCE4"/>
              <w:right w:val="single" w:sz="4" w:space="0" w:color="B8CCE4"/>
            </w:tcBorders>
            <w:vAlign w:val="center"/>
            <w:hideMark/>
          </w:tcPr>
          <w:p w14:paraId="39EE6CF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0AD67D6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10,200,000</w:t>
            </w:r>
          </w:p>
        </w:tc>
        <w:tc>
          <w:tcPr>
            <w:tcW w:w="0" w:type="auto"/>
            <w:tcBorders>
              <w:top w:val="nil"/>
              <w:left w:val="nil"/>
              <w:bottom w:val="single" w:sz="4" w:space="0" w:color="B8CCE4"/>
              <w:right w:val="single" w:sz="4" w:space="0" w:color="B8CCE4"/>
            </w:tcBorders>
            <w:vAlign w:val="center"/>
            <w:hideMark/>
          </w:tcPr>
          <w:p w14:paraId="6196553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5F50665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11,102,400</w:t>
            </w:r>
          </w:p>
        </w:tc>
        <w:tc>
          <w:tcPr>
            <w:tcW w:w="0" w:type="auto"/>
            <w:tcBorders>
              <w:top w:val="nil"/>
              <w:left w:val="nil"/>
              <w:bottom w:val="single" w:sz="4" w:space="0" w:color="B8CCE4"/>
              <w:right w:val="single" w:sz="4" w:space="0" w:color="B8CCE4"/>
            </w:tcBorders>
            <w:vAlign w:val="center"/>
            <w:hideMark/>
          </w:tcPr>
          <w:p w14:paraId="2A73E4E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3B20AFE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7009302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2B88E59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3DDDA0B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8" w:space="0" w:color="B8CCE4"/>
            </w:tcBorders>
            <w:vAlign w:val="center"/>
            <w:hideMark/>
          </w:tcPr>
          <w:p w14:paraId="7A6B367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r>
      <w:tr w:rsidR="00A955AC" w:rsidRPr="00C156A0" w14:paraId="0B735DD1" w14:textId="77777777" w:rsidTr="00A955AC">
        <w:trPr>
          <w:trHeight w:val="227"/>
          <w:jc w:val="center"/>
        </w:trPr>
        <w:tc>
          <w:tcPr>
            <w:tcW w:w="2295" w:type="dxa"/>
            <w:tcBorders>
              <w:top w:val="nil"/>
              <w:left w:val="single" w:sz="8" w:space="0" w:color="B8CCE4"/>
              <w:bottom w:val="single" w:sz="4" w:space="0" w:color="B8CCE4"/>
              <w:right w:val="single" w:sz="4" w:space="0" w:color="B8CCE4"/>
            </w:tcBorders>
            <w:vAlign w:val="center"/>
            <w:hideMark/>
          </w:tcPr>
          <w:p w14:paraId="6E1E1D32"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Mbështetja e Luftimit</w:t>
            </w:r>
          </w:p>
        </w:tc>
        <w:tc>
          <w:tcPr>
            <w:tcW w:w="0" w:type="auto"/>
            <w:tcBorders>
              <w:top w:val="nil"/>
              <w:left w:val="nil"/>
              <w:bottom w:val="single" w:sz="4" w:space="0" w:color="B8CCE4"/>
              <w:right w:val="single" w:sz="4" w:space="0" w:color="B8CCE4"/>
            </w:tcBorders>
            <w:vAlign w:val="center"/>
            <w:hideMark/>
          </w:tcPr>
          <w:p w14:paraId="1452F99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6,754,936</w:t>
            </w:r>
          </w:p>
        </w:tc>
        <w:tc>
          <w:tcPr>
            <w:tcW w:w="0" w:type="auto"/>
            <w:tcBorders>
              <w:top w:val="nil"/>
              <w:left w:val="nil"/>
              <w:bottom w:val="single" w:sz="4" w:space="0" w:color="B8CCE4"/>
              <w:right w:val="single" w:sz="4" w:space="0" w:color="B8CCE4"/>
            </w:tcBorders>
            <w:vAlign w:val="center"/>
            <w:hideMark/>
          </w:tcPr>
          <w:p w14:paraId="4E3D8AB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1,558,500</w:t>
            </w:r>
          </w:p>
        </w:tc>
        <w:tc>
          <w:tcPr>
            <w:tcW w:w="0" w:type="auto"/>
            <w:tcBorders>
              <w:top w:val="nil"/>
              <w:left w:val="nil"/>
              <w:bottom w:val="single" w:sz="4" w:space="0" w:color="B8CCE4"/>
              <w:right w:val="single" w:sz="4" w:space="0" w:color="B8CCE4"/>
            </w:tcBorders>
            <w:vAlign w:val="center"/>
            <w:hideMark/>
          </w:tcPr>
          <w:p w14:paraId="29FE7FA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7,660,371</w:t>
            </w:r>
          </w:p>
        </w:tc>
        <w:tc>
          <w:tcPr>
            <w:tcW w:w="0" w:type="auto"/>
            <w:tcBorders>
              <w:top w:val="nil"/>
              <w:left w:val="nil"/>
              <w:bottom w:val="single" w:sz="4" w:space="0" w:color="B8CCE4"/>
              <w:right w:val="single" w:sz="4" w:space="0" w:color="B8CCE4"/>
            </w:tcBorders>
            <w:vAlign w:val="center"/>
            <w:hideMark/>
          </w:tcPr>
          <w:p w14:paraId="2374950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2,317,855</w:t>
            </w:r>
          </w:p>
        </w:tc>
        <w:tc>
          <w:tcPr>
            <w:tcW w:w="0" w:type="auto"/>
            <w:tcBorders>
              <w:top w:val="nil"/>
              <w:left w:val="nil"/>
              <w:bottom w:val="single" w:sz="4" w:space="0" w:color="B8CCE4"/>
              <w:right w:val="single" w:sz="4" w:space="0" w:color="B8CCE4"/>
            </w:tcBorders>
            <w:vAlign w:val="center"/>
            <w:hideMark/>
          </w:tcPr>
          <w:p w14:paraId="4A85A8B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7,559,558</w:t>
            </w:r>
          </w:p>
        </w:tc>
        <w:tc>
          <w:tcPr>
            <w:tcW w:w="0" w:type="auto"/>
            <w:tcBorders>
              <w:top w:val="nil"/>
              <w:left w:val="nil"/>
              <w:bottom w:val="single" w:sz="4" w:space="0" w:color="B8CCE4"/>
              <w:right w:val="single" w:sz="4" w:space="0" w:color="B8CCE4"/>
            </w:tcBorders>
            <w:vAlign w:val="center"/>
            <w:hideMark/>
          </w:tcPr>
          <w:p w14:paraId="04A78F9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2,069,971</w:t>
            </w:r>
          </w:p>
        </w:tc>
        <w:tc>
          <w:tcPr>
            <w:tcW w:w="0" w:type="auto"/>
            <w:tcBorders>
              <w:top w:val="nil"/>
              <w:left w:val="nil"/>
              <w:bottom w:val="single" w:sz="4" w:space="0" w:color="B8CCE4"/>
              <w:right w:val="single" w:sz="4" w:space="0" w:color="B8CCE4"/>
            </w:tcBorders>
            <w:vAlign w:val="center"/>
            <w:hideMark/>
          </w:tcPr>
          <w:p w14:paraId="2B3D46E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112%</w:t>
            </w:r>
          </w:p>
        </w:tc>
        <w:tc>
          <w:tcPr>
            <w:tcW w:w="0" w:type="auto"/>
            <w:tcBorders>
              <w:top w:val="nil"/>
              <w:left w:val="nil"/>
              <w:bottom w:val="single" w:sz="4" w:space="0" w:color="B8CCE4"/>
              <w:right w:val="single" w:sz="4" w:space="0" w:color="B8CCE4"/>
            </w:tcBorders>
            <w:vAlign w:val="center"/>
            <w:hideMark/>
          </w:tcPr>
          <w:p w14:paraId="68D6406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133%</w:t>
            </w:r>
          </w:p>
        </w:tc>
        <w:tc>
          <w:tcPr>
            <w:tcW w:w="0" w:type="auto"/>
            <w:tcBorders>
              <w:top w:val="nil"/>
              <w:left w:val="nil"/>
              <w:bottom w:val="single" w:sz="4" w:space="0" w:color="B8CCE4"/>
              <w:right w:val="single" w:sz="4" w:space="0" w:color="B8CCE4"/>
            </w:tcBorders>
            <w:vAlign w:val="center"/>
            <w:hideMark/>
          </w:tcPr>
          <w:p w14:paraId="7E7238A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7EF4ABE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89%</w:t>
            </w:r>
          </w:p>
        </w:tc>
      </w:tr>
      <w:tr w:rsidR="00A955AC" w:rsidRPr="00C156A0" w14:paraId="37911D9C" w14:textId="77777777" w:rsidTr="00A955AC">
        <w:trPr>
          <w:trHeight w:val="227"/>
          <w:jc w:val="center"/>
        </w:trPr>
        <w:tc>
          <w:tcPr>
            <w:tcW w:w="2295" w:type="dxa"/>
            <w:tcBorders>
              <w:top w:val="nil"/>
              <w:left w:val="single" w:sz="8" w:space="0" w:color="B8CCE4"/>
              <w:bottom w:val="single" w:sz="4" w:space="0" w:color="B8CCE4"/>
              <w:right w:val="single" w:sz="4" w:space="0" w:color="B8CCE4"/>
            </w:tcBorders>
            <w:vAlign w:val="center"/>
            <w:hideMark/>
          </w:tcPr>
          <w:p w14:paraId="63E2C482"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Mbështetja për Shëndetësinë</w:t>
            </w:r>
          </w:p>
        </w:tc>
        <w:tc>
          <w:tcPr>
            <w:tcW w:w="0" w:type="auto"/>
            <w:tcBorders>
              <w:top w:val="nil"/>
              <w:left w:val="nil"/>
              <w:bottom w:val="single" w:sz="4" w:space="0" w:color="B8CCE4"/>
              <w:right w:val="single" w:sz="4" w:space="0" w:color="B8CCE4"/>
            </w:tcBorders>
            <w:vAlign w:val="center"/>
            <w:hideMark/>
          </w:tcPr>
          <w:p w14:paraId="0D99A82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1,406,000</w:t>
            </w:r>
          </w:p>
        </w:tc>
        <w:tc>
          <w:tcPr>
            <w:tcW w:w="0" w:type="auto"/>
            <w:tcBorders>
              <w:top w:val="nil"/>
              <w:left w:val="nil"/>
              <w:bottom w:val="single" w:sz="4" w:space="0" w:color="B8CCE4"/>
              <w:right w:val="single" w:sz="4" w:space="0" w:color="B8CCE4"/>
            </w:tcBorders>
            <w:vAlign w:val="center"/>
            <w:hideMark/>
          </w:tcPr>
          <w:p w14:paraId="5AD50D2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500,000</w:t>
            </w:r>
          </w:p>
        </w:tc>
        <w:tc>
          <w:tcPr>
            <w:tcW w:w="0" w:type="auto"/>
            <w:tcBorders>
              <w:top w:val="nil"/>
              <w:left w:val="nil"/>
              <w:bottom w:val="single" w:sz="4" w:space="0" w:color="B8CCE4"/>
              <w:right w:val="single" w:sz="4" w:space="0" w:color="B8CCE4"/>
            </w:tcBorders>
            <w:vAlign w:val="center"/>
            <w:hideMark/>
          </w:tcPr>
          <w:p w14:paraId="3A6760D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1,722,440</w:t>
            </w:r>
          </w:p>
        </w:tc>
        <w:tc>
          <w:tcPr>
            <w:tcW w:w="0" w:type="auto"/>
            <w:tcBorders>
              <w:top w:val="nil"/>
              <w:left w:val="nil"/>
              <w:bottom w:val="single" w:sz="4" w:space="0" w:color="B8CCE4"/>
              <w:right w:val="single" w:sz="4" w:space="0" w:color="B8CCE4"/>
            </w:tcBorders>
            <w:vAlign w:val="center"/>
            <w:hideMark/>
          </w:tcPr>
          <w:p w14:paraId="2AFB351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197,000</w:t>
            </w:r>
          </w:p>
        </w:tc>
        <w:tc>
          <w:tcPr>
            <w:tcW w:w="0" w:type="auto"/>
            <w:tcBorders>
              <w:top w:val="nil"/>
              <w:left w:val="nil"/>
              <w:bottom w:val="single" w:sz="4" w:space="0" w:color="B8CCE4"/>
              <w:right w:val="single" w:sz="4" w:space="0" w:color="B8CCE4"/>
            </w:tcBorders>
            <w:vAlign w:val="center"/>
            <w:hideMark/>
          </w:tcPr>
          <w:p w14:paraId="02302EB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1,709,712</w:t>
            </w:r>
          </w:p>
        </w:tc>
        <w:tc>
          <w:tcPr>
            <w:tcW w:w="0" w:type="auto"/>
            <w:tcBorders>
              <w:top w:val="nil"/>
              <w:left w:val="nil"/>
              <w:bottom w:val="single" w:sz="4" w:space="0" w:color="B8CCE4"/>
              <w:right w:val="single" w:sz="4" w:space="0" w:color="B8CCE4"/>
            </w:tcBorders>
            <w:vAlign w:val="center"/>
            <w:hideMark/>
          </w:tcPr>
          <w:p w14:paraId="0D7CCBE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193,285</w:t>
            </w:r>
          </w:p>
        </w:tc>
        <w:tc>
          <w:tcPr>
            <w:tcW w:w="0" w:type="auto"/>
            <w:tcBorders>
              <w:top w:val="nil"/>
              <w:left w:val="nil"/>
              <w:bottom w:val="single" w:sz="4" w:space="0" w:color="B8CCE4"/>
              <w:right w:val="single" w:sz="4" w:space="0" w:color="B8CCE4"/>
            </w:tcBorders>
            <w:vAlign w:val="center"/>
            <w:hideMark/>
          </w:tcPr>
          <w:p w14:paraId="07A7BB0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122%</w:t>
            </w:r>
          </w:p>
        </w:tc>
        <w:tc>
          <w:tcPr>
            <w:tcW w:w="0" w:type="auto"/>
            <w:tcBorders>
              <w:top w:val="nil"/>
              <w:left w:val="nil"/>
              <w:bottom w:val="single" w:sz="4" w:space="0" w:color="B8CCE4"/>
              <w:right w:val="single" w:sz="4" w:space="0" w:color="B8CCE4"/>
            </w:tcBorders>
            <w:vAlign w:val="center"/>
            <w:hideMark/>
          </w:tcPr>
          <w:p w14:paraId="48BE14E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39%</w:t>
            </w:r>
          </w:p>
        </w:tc>
        <w:tc>
          <w:tcPr>
            <w:tcW w:w="0" w:type="auto"/>
            <w:tcBorders>
              <w:top w:val="nil"/>
              <w:left w:val="nil"/>
              <w:bottom w:val="single" w:sz="4" w:space="0" w:color="B8CCE4"/>
              <w:right w:val="single" w:sz="4" w:space="0" w:color="B8CCE4"/>
            </w:tcBorders>
            <w:vAlign w:val="center"/>
            <w:hideMark/>
          </w:tcPr>
          <w:p w14:paraId="3F344E8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54B4CFB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w:t>
            </w:r>
          </w:p>
        </w:tc>
      </w:tr>
      <w:tr w:rsidR="00A955AC" w:rsidRPr="00C156A0" w14:paraId="73266166" w14:textId="77777777" w:rsidTr="00A955AC">
        <w:trPr>
          <w:trHeight w:val="235"/>
          <w:jc w:val="center"/>
        </w:trPr>
        <w:tc>
          <w:tcPr>
            <w:tcW w:w="2295" w:type="dxa"/>
            <w:tcBorders>
              <w:top w:val="nil"/>
              <w:left w:val="single" w:sz="8" w:space="0" w:color="B8CCE4"/>
              <w:bottom w:val="single" w:sz="4" w:space="0" w:color="B8CCE4"/>
              <w:right w:val="single" w:sz="4" w:space="0" w:color="B8CCE4"/>
            </w:tcBorders>
            <w:vAlign w:val="center"/>
            <w:hideMark/>
          </w:tcPr>
          <w:p w14:paraId="5529AEC1"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Arsimi Ushtarak</w:t>
            </w:r>
          </w:p>
        </w:tc>
        <w:tc>
          <w:tcPr>
            <w:tcW w:w="0" w:type="auto"/>
            <w:tcBorders>
              <w:top w:val="nil"/>
              <w:left w:val="nil"/>
              <w:bottom w:val="single" w:sz="4" w:space="0" w:color="B8CCE4"/>
              <w:right w:val="single" w:sz="4" w:space="0" w:color="B8CCE4"/>
            </w:tcBorders>
            <w:vAlign w:val="center"/>
            <w:hideMark/>
          </w:tcPr>
          <w:p w14:paraId="3B220E1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870,000</w:t>
            </w:r>
          </w:p>
        </w:tc>
        <w:tc>
          <w:tcPr>
            <w:tcW w:w="0" w:type="auto"/>
            <w:tcBorders>
              <w:top w:val="nil"/>
              <w:left w:val="nil"/>
              <w:bottom w:val="single" w:sz="4" w:space="0" w:color="B8CCE4"/>
              <w:right w:val="single" w:sz="4" w:space="0" w:color="B8CCE4"/>
            </w:tcBorders>
            <w:vAlign w:val="center"/>
            <w:hideMark/>
          </w:tcPr>
          <w:p w14:paraId="2483320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557,000</w:t>
            </w:r>
          </w:p>
        </w:tc>
        <w:tc>
          <w:tcPr>
            <w:tcW w:w="0" w:type="auto"/>
            <w:tcBorders>
              <w:top w:val="nil"/>
              <w:left w:val="nil"/>
              <w:bottom w:val="single" w:sz="4" w:space="0" w:color="B8CCE4"/>
              <w:right w:val="single" w:sz="4" w:space="0" w:color="B8CCE4"/>
            </w:tcBorders>
            <w:vAlign w:val="center"/>
            <w:hideMark/>
          </w:tcPr>
          <w:p w14:paraId="58229CF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989,771</w:t>
            </w:r>
          </w:p>
        </w:tc>
        <w:tc>
          <w:tcPr>
            <w:tcW w:w="0" w:type="auto"/>
            <w:tcBorders>
              <w:top w:val="nil"/>
              <w:left w:val="nil"/>
              <w:bottom w:val="single" w:sz="4" w:space="0" w:color="B8CCE4"/>
              <w:right w:val="single" w:sz="4" w:space="0" w:color="B8CCE4"/>
            </w:tcBorders>
            <w:vAlign w:val="center"/>
            <w:hideMark/>
          </w:tcPr>
          <w:p w14:paraId="42ED986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462,031</w:t>
            </w:r>
          </w:p>
        </w:tc>
        <w:tc>
          <w:tcPr>
            <w:tcW w:w="0" w:type="auto"/>
            <w:tcBorders>
              <w:top w:val="nil"/>
              <w:left w:val="nil"/>
              <w:bottom w:val="single" w:sz="4" w:space="0" w:color="B8CCE4"/>
              <w:right w:val="single" w:sz="4" w:space="0" w:color="B8CCE4"/>
            </w:tcBorders>
            <w:vAlign w:val="center"/>
            <w:hideMark/>
          </w:tcPr>
          <w:p w14:paraId="2FFDC43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945,966</w:t>
            </w:r>
          </w:p>
        </w:tc>
        <w:tc>
          <w:tcPr>
            <w:tcW w:w="0" w:type="auto"/>
            <w:tcBorders>
              <w:top w:val="nil"/>
              <w:left w:val="nil"/>
              <w:bottom w:val="single" w:sz="4" w:space="0" w:color="B8CCE4"/>
              <w:right w:val="single" w:sz="4" w:space="0" w:color="B8CCE4"/>
            </w:tcBorders>
            <w:vAlign w:val="center"/>
            <w:hideMark/>
          </w:tcPr>
          <w:p w14:paraId="355CA54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396,905</w:t>
            </w:r>
          </w:p>
        </w:tc>
        <w:tc>
          <w:tcPr>
            <w:tcW w:w="0" w:type="auto"/>
            <w:tcBorders>
              <w:top w:val="nil"/>
              <w:left w:val="nil"/>
              <w:bottom w:val="single" w:sz="4" w:space="0" w:color="B8CCE4"/>
              <w:right w:val="single" w:sz="4" w:space="0" w:color="B8CCE4"/>
            </w:tcBorders>
            <w:vAlign w:val="center"/>
            <w:hideMark/>
          </w:tcPr>
          <w:p w14:paraId="3E3C887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109%</w:t>
            </w:r>
          </w:p>
        </w:tc>
        <w:tc>
          <w:tcPr>
            <w:tcW w:w="0" w:type="auto"/>
            <w:tcBorders>
              <w:top w:val="nil"/>
              <w:left w:val="nil"/>
              <w:bottom w:val="single" w:sz="4" w:space="0" w:color="B8CCE4"/>
              <w:right w:val="single" w:sz="4" w:space="0" w:color="B8CCE4"/>
            </w:tcBorders>
            <w:vAlign w:val="center"/>
            <w:hideMark/>
          </w:tcPr>
          <w:p w14:paraId="334B9BD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71%</w:t>
            </w:r>
          </w:p>
        </w:tc>
        <w:tc>
          <w:tcPr>
            <w:tcW w:w="0" w:type="auto"/>
            <w:tcBorders>
              <w:top w:val="nil"/>
              <w:left w:val="nil"/>
              <w:bottom w:val="single" w:sz="4" w:space="0" w:color="B8CCE4"/>
              <w:right w:val="single" w:sz="4" w:space="0" w:color="B8CCE4"/>
            </w:tcBorders>
            <w:vAlign w:val="center"/>
            <w:hideMark/>
          </w:tcPr>
          <w:p w14:paraId="76A553F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0" w:type="auto"/>
            <w:tcBorders>
              <w:top w:val="nil"/>
              <w:left w:val="nil"/>
              <w:bottom w:val="single" w:sz="4" w:space="0" w:color="B8CCE4"/>
              <w:right w:val="single" w:sz="8" w:space="0" w:color="B8CCE4"/>
            </w:tcBorders>
            <w:vAlign w:val="center"/>
            <w:hideMark/>
          </w:tcPr>
          <w:p w14:paraId="3F9285D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86%</w:t>
            </w:r>
          </w:p>
        </w:tc>
      </w:tr>
      <w:tr w:rsidR="00A955AC" w:rsidRPr="00C156A0" w14:paraId="73111C48" w14:textId="77777777" w:rsidTr="00A955AC">
        <w:trPr>
          <w:trHeight w:val="227"/>
          <w:jc w:val="center"/>
        </w:trPr>
        <w:tc>
          <w:tcPr>
            <w:tcW w:w="2295" w:type="dxa"/>
            <w:tcBorders>
              <w:top w:val="nil"/>
              <w:left w:val="single" w:sz="8" w:space="0" w:color="B8CCE4"/>
              <w:bottom w:val="single" w:sz="4" w:space="0" w:color="B8CCE4"/>
              <w:right w:val="single" w:sz="4" w:space="0" w:color="B8CCE4"/>
            </w:tcBorders>
            <w:vAlign w:val="center"/>
            <w:hideMark/>
          </w:tcPr>
          <w:p w14:paraId="22737866"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Mbështetje për Ushtarakët</w:t>
            </w:r>
          </w:p>
        </w:tc>
        <w:tc>
          <w:tcPr>
            <w:tcW w:w="0" w:type="auto"/>
            <w:tcBorders>
              <w:top w:val="nil"/>
              <w:left w:val="nil"/>
              <w:bottom w:val="single" w:sz="4" w:space="0" w:color="B8CCE4"/>
              <w:right w:val="single" w:sz="4" w:space="0" w:color="B8CCE4"/>
            </w:tcBorders>
            <w:vAlign w:val="center"/>
            <w:hideMark/>
          </w:tcPr>
          <w:p w14:paraId="42DE9BB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5,200,000</w:t>
            </w:r>
          </w:p>
        </w:tc>
        <w:tc>
          <w:tcPr>
            <w:tcW w:w="0" w:type="auto"/>
            <w:tcBorders>
              <w:top w:val="nil"/>
              <w:left w:val="nil"/>
              <w:bottom w:val="single" w:sz="4" w:space="0" w:color="B8CCE4"/>
              <w:right w:val="single" w:sz="4" w:space="0" w:color="B8CCE4"/>
            </w:tcBorders>
            <w:vAlign w:val="center"/>
            <w:hideMark/>
          </w:tcPr>
          <w:p w14:paraId="7108EAA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7E1F492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5,228,958</w:t>
            </w:r>
          </w:p>
        </w:tc>
        <w:tc>
          <w:tcPr>
            <w:tcW w:w="0" w:type="auto"/>
            <w:tcBorders>
              <w:top w:val="nil"/>
              <w:left w:val="nil"/>
              <w:bottom w:val="single" w:sz="4" w:space="0" w:color="B8CCE4"/>
              <w:right w:val="single" w:sz="4" w:space="0" w:color="B8CCE4"/>
            </w:tcBorders>
            <w:vAlign w:val="center"/>
            <w:hideMark/>
          </w:tcPr>
          <w:p w14:paraId="114675C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5721ED1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5,228,958</w:t>
            </w:r>
          </w:p>
        </w:tc>
        <w:tc>
          <w:tcPr>
            <w:tcW w:w="0" w:type="auto"/>
            <w:tcBorders>
              <w:top w:val="nil"/>
              <w:left w:val="nil"/>
              <w:bottom w:val="single" w:sz="4" w:space="0" w:color="B8CCE4"/>
              <w:right w:val="single" w:sz="4" w:space="0" w:color="B8CCE4"/>
            </w:tcBorders>
            <w:vAlign w:val="center"/>
            <w:hideMark/>
          </w:tcPr>
          <w:p w14:paraId="4B91B7B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3040D27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101%</w:t>
            </w:r>
          </w:p>
        </w:tc>
        <w:tc>
          <w:tcPr>
            <w:tcW w:w="0" w:type="auto"/>
            <w:tcBorders>
              <w:top w:val="nil"/>
              <w:left w:val="nil"/>
              <w:bottom w:val="single" w:sz="4" w:space="0" w:color="B8CCE4"/>
              <w:right w:val="single" w:sz="4" w:space="0" w:color="B8CCE4"/>
            </w:tcBorders>
            <w:vAlign w:val="center"/>
            <w:hideMark/>
          </w:tcPr>
          <w:p w14:paraId="41D654C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567E34D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100%</w:t>
            </w:r>
          </w:p>
        </w:tc>
        <w:tc>
          <w:tcPr>
            <w:tcW w:w="0" w:type="auto"/>
            <w:tcBorders>
              <w:top w:val="nil"/>
              <w:left w:val="nil"/>
              <w:bottom w:val="single" w:sz="4" w:space="0" w:color="B8CCE4"/>
              <w:right w:val="single" w:sz="8" w:space="0" w:color="B8CCE4"/>
            </w:tcBorders>
            <w:vAlign w:val="center"/>
            <w:hideMark/>
          </w:tcPr>
          <w:p w14:paraId="42BD4BC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r>
      <w:tr w:rsidR="00A955AC" w:rsidRPr="00C156A0" w14:paraId="57492B6A" w14:textId="77777777" w:rsidTr="00A955AC">
        <w:trPr>
          <w:trHeight w:val="235"/>
          <w:jc w:val="center"/>
        </w:trPr>
        <w:tc>
          <w:tcPr>
            <w:tcW w:w="2295" w:type="dxa"/>
            <w:tcBorders>
              <w:top w:val="nil"/>
              <w:left w:val="single" w:sz="8" w:space="0" w:color="B8CCE4"/>
              <w:bottom w:val="single" w:sz="4" w:space="0" w:color="B8CCE4"/>
              <w:right w:val="single" w:sz="4" w:space="0" w:color="B8CCE4"/>
            </w:tcBorders>
            <w:vAlign w:val="center"/>
            <w:hideMark/>
          </w:tcPr>
          <w:p w14:paraId="7276F42F"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Emergjencat Civile</w:t>
            </w:r>
          </w:p>
        </w:tc>
        <w:tc>
          <w:tcPr>
            <w:tcW w:w="0" w:type="auto"/>
            <w:tcBorders>
              <w:top w:val="nil"/>
              <w:left w:val="nil"/>
              <w:bottom w:val="single" w:sz="4" w:space="0" w:color="B8CCE4"/>
              <w:right w:val="single" w:sz="4" w:space="0" w:color="B8CCE4"/>
            </w:tcBorders>
            <w:vAlign w:val="center"/>
            <w:hideMark/>
          </w:tcPr>
          <w:p w14:paraId="58829CF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1,450,000</w:t>
            </w:r>
          </w:p>
        </w:tc>
        <w:tc>
          <w:tcPr>
            <w:tcW w:w="0" w:type="auto"/>
            <w:tcBorders>
              <w:top w:val="nil"/>
              <w:left w:val="nil"/>
              <w:bottom w:val="single" w:sz="4" w:space="0" w:color="B8CCE4"/>
              <w:right w:val="single" w:sz="4" w:space="0" w:color="B8CCE4"/>
            </w:tcBorders>
            <w:vAlign w:val="center"/>
            <w:hideMark/>
          </w:tcPr>
          <w:p w14:paraId="25CDA81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2,000,000</w:t>
            </w:r>
          </w:p>
        </w:tc>
        <w:tc>
          <w:tcPr>
            <w:tcW w:w="0" w:type="auto"/>
            <w:tcBorders>
              <w:top w:val="nil"/>
              <w:left w:val="nil"/>
              <w:bottom w:val="single" w:sz="4" w:space="0" w:color="B8CCE4"/>
              <w:right w:val="single" w:sz="4" w:space="0" w:color="B8CCE4"/>
            </w:tcBorders>
            <w:vAlign w:val="center"/>
            <w:hideMark/>
          </w:tcPr>
          <w:p w14:paraId="5DB6892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1,172,679</w:t>
            </w:r>
          </w:p>
        </w:tc>
        <w:tc>
          <w:tcPr>
            <w:tcW w:w="0" w:type="auto"/>
            <w:tcBorders>
              <w:top w:val="nil"/>
              <w:left w:val="nil"/>
              <w:bottom w:val="single" w:sz="4" w:space="0" w:color="B8CCE4"/>
              <w:right w:val="single" w:sz="4" w:space="0" w:color="B8CCE4"/>
            </w:tcBorders>
            <w:vAlign w:val="center"/>
            <w:hideMark/>
          </w:tcPr>
          <w:p w14:paraId="3EB9186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1,814,180</w:t>
            </w:r>
          </w:p>
        </w:tc>
        <w:tc>
          <w:tcPr>
            <w:tcW w:w="0" w:type="auto"/>
            <w:tcBorders>
              <w:top w:val="nil"/>
              <w:left w:val="nil"/>
              <w:bottom w:val="single" w:sz="4" w:space="0" w:color="B8CCE4"/>
              <w:right w:val="single" w:sz="4" w:space="0" w:color="B8CCE4"/>
            </w:tcBorders>
            <w:vAlign w:val="center"/>
            <w:hideMark/>
          </w:tcPr>
          <w:p w14:paraId="5DEA02D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1,073,091</w:t>
            </w:r>
          </w:p>
        </w:tc>
        <w:tc>
          <w:tcPr>
            <w:tcW w:w="0" w:type="auto"/>
            <w:tcBorders>
              <w:top w:val="nil"/>
              <w:left w:val="nil"/>
              <w:bottom w:val="single" w:sz="4" w:space="0" w:color="B8CCE4"/>
              <w:right w:val="single" w:sz="4" w:space="0" w:color="B8CCE4"/>
            </w:tcBorders>
            <w:vAlign w:val="center"/>
            <w:hideMark/>
          </w:tcPr>
          <w:p w14:paraId="757B6FE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1,327,226</w:t>
            </w:r>
          </w:p>
        </w:tc>
        <w:tc>
          <w:tcPr>
            <w:tcW w:w="0" w:type="auto"/>
            <w:tcBorders>
              <w:top w:val="nil"/>
              <w:left w:val="nil"/>
              <w:bottom w:val="single" w:sz="4" w:space="0" w:color="B8CCE4"/>
              <w:right w:val="single" w:sz="4" w:space="0" w:color="B8CCE4"/>
            </w:tcBorders>
            <w:vAlign w:val="center"/>
            <w:hideMark/>
          </w:tcPr>
          <w:p w14:paraId="1B81F36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74%</w:t>
            </w:r>
          </w:p>
        </w:tc>
        <w:tc>
          <w:tcPr>
            <w:tcW w:w="0" w:type="auto"/>
            <w:tcBorders>
              <w:top w:val="nil"/>
              <w:left w:val="nil"/>
              <w:bottom w:val="single" w:sz="4" w:space="0" w:color="B8CCE4"/>
              <w:right w:val="single" w:sz="4" w:space="0" w:color="B8CCE4"/>
            </w:tcBorders>
            <w:vAlign w:val="center"/>
            <w:hideMark/>
          </w:tcPr>
          <w:p w14:paraId="6363664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66%</w:t>
            </w:r>
          </w:p>
        </w:tc>
        <w:tc>
          <w:tcPr>
            <w:tcW w:w="0" w:type="auto"/>
            <w:tcBorders>
              <w:top w:val="nil"/>
              <w:left w:val="nil"/>
              <w:bottom w:val="single" w:sz="4" w:space="0" w:color="B8CCE4"/>
              <w:right w:val="single" w:sz="4" w:space="0" w:color="B8CCE4"/>
            </w:tcBorders>
            <w:vAlign w:val="center"/>
            <w:hideMark/>
          </w:tcPr>
          <w:p w14:paraId="77584E1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92%</w:t>
            </w:r>
          </w:p>
        </w:tc>
        <w:tc>
          <w:tcPr>
            <w:tcW w:w="0" w:type="auto"/>
            <w:tcBorders>
              <w:top w:val="nil"/>
              <w:left w:val="nil"/>
              <w:bottom w:val="single" w:sz="4" w:space="0" w:color="B8CCE4"/>
              <w:right w:val="single" w:sz="8" w:space="0" w:color="B8CCE4"/>
            </w:tcBorders>
            <w:vAlign w:val="center"/>
            <w:hideMark/>
          </w:tcPr>
          <w:p w14:paraId="11B7E7E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73%</w:t>
            </w:r>
          </w:p>
        </w:tc>
      </w:tr>
      <w:tr w:rsidR="00A955AC" w:rsidRPr="00C156A0" w14:paraId="00BAE23E" w14:textId="77777777" w:rsidTr="00A955AC">
        <w:trPr>
          <w:trHeight w:val="219"/>
          <w:jc w:val="center"/>
        </w:trPr>
        <w:tc>
          <w:tcPr>
            <w:tcW w:w="2295" w:type="dxa"/>
            <w:tcBorders>
              <w:top w:val="nil"/>
              <w:left w:val="single" w:sz="8" w:space="0" w:color="B8CCE4"/>
              <w:bottom w:val="single" w:sz="4" w:space="0" w:color="B8CCE4"/>
              <w:right w:val="single" w:sz="4" w:space="0" w:color="B8CCE4"/>
            </w:tcBorders>
            <w:vAlign w:val="center"/>
            <w:hideMark/>
          </w:tcPr>
          <w:p w14:paraId="2D1363D1" w14:textId="77777777" w:rsidR="00C156A0" w:rsidRPr="00C156A0" w:rsidRDefault="00C156A0" w:rsidP="00C156A0">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B8CCE4"/>
              <w:right w:val="single" w:sz="4" w:space="0" w:color="B8CCE4"/>
            </w:tcBorders>
            <w:vAlign w:val="center"/>
            <w:hideMark/>
          </w:tcPr>
          <w:p w14:paraId="5BE9086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15F3B86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2,012,050</w:t>
            </w:r>
          </w:p>
        </w:tc>
        <w:tc>
          <w:tcPr>
            <w:tcW w:w="0" w:type="auto"/>
            <w:tcBorders>
              <w:top w:val="nil"/>
              <w:left w:val="nil"/>
              <w:bottom w:val="single" w:sz="4" w:space="0" w:color="B8CCE4"/>
              <w:right w:val="single" w:sz="4" w:space="0" w:color="B8CCE4"/>
            </w:tcBorders>
            <w:vAlign w:val="center"/>
            <w:hideMark/>
          </w:tcPr>
          <w:p w14:paraId="41F5F34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1381C20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1,012,050</w:t>
            </w:r>
          </w:p>
        </w:tc>
        <w:tc>
          <w:tcPr>
            <w:tcW w:w="0" w:type="auto"/>
            <w:tcBorders>
              <w:top w:val="nil"/>
              <w:left w:val="nil"/>
              <w:bottom w:val="single" w:sz="4" w:space="0" w:color="B8CCE4"/>
              <w:right w:val="single" w:sz="4" w:space="0" w:color="B8CCE4"/>
            </w:tcBorders>
            <w:vAlign w:val="center"/>
            <w:hideMark/>
          </w:tcPr>
          <w:p w14:paraId="73FE6AD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0255156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51,337</w:t>
            </w:r>
          </w:p>
        </w:tc>
        <w:tc>
          <w:tcPr>
            <w:tcW w:w="0" w:type="auto"/>
            <w:tcBorders>
              <w:top w:val="nil"/>
              <w:left w:val="nil"/>
              <w:bottom w:val="single" w:sz="4" w:space="0" w:color="B8CCE4"/>
              <w:right w:val="single" w:sz="4" w:space="0" w:color="B8CCE4"/>
            </w:tcBorders>
            <w:vAlign w:val="center"/>
            <w:hideMark/>
          </w:tcPr>
          <w:p w14:paraId="1522772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66427E4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w:t>
            </w:r>
          </w:p>
        </w:tc>
        <w:tc>
          <w:tcPr>
            <w:tcW w:w="0" w:type="auto"/>
            <w:tcBorders>
              <w:top w:val="nil"/>
              <w:left w:val="nil"/>
              <w:bottom w:val="single" w:sz="4" w:space="0" w:color="B8CCE4"/>
              <w:right w:val="single" w:sz="4" w:space="0" w:color="B8CCE4"/>
            </w:tcBorders>
            <w:vAlign w:val="center"/>
            <w:hideMark/>
          </w:tcPr>
          <w:p w14:paraId="1FF3F3A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8" w:space="0" w:color="B8CCE4"/>
            </w:tcBorders>
            <w:vAlign w:val="center"/>
            <w:hideMark/>
          </w:tcPr>
          <w:p w14:paraId="6CD69FB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w:t>
            </w:r>
          </w:p>
        </w:tc>
      </w:tr>
      <w:tr w:rsidR="00A955AC" w:rsidRPr="00C156A0" w14:paraId="74FE3E37" w14:textId="77777777" w:rsidTr="00A955AC">
        <w:trPr>
          <w:trHeight w:val="235"/>
          <w:jc w:val="center"/>
        </w:trPr>
        <w:tc>
          <w:tcPr>
            <w:tcW w:w="2295" w:type="dxa"/>
            <w:tcBorders>
              <w:top w:val="nil"/>
              <w:left w:val="single" w:sz="8" w:space="0" w:color="B8CCE4"/>
              <w:bottom w:val="single" w:sz="4" w:space="0" w:color="B8CCE4"/>
              <w:right w:val="single" w:sz="4" w:space="0" w:color="B8CCE4"/>
            </w:tcBorders>
            <w:shd w:val="clear" w:color="000000" w:fill="366092"/>
            <w:vAlign w:val="center"/>
            <w:hideMark/>
          </w:tcPr>
          <w:p w14:paraId="1C860A37"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 sipas natyrës</w:t>
            </w:r>
          </w:p>
        </w:tc>
        <w:tc>
          <w:tcPr>
            <w:tcW w:w="0" w:type="auto"/>
            <w:tcBorders>
              <w:top w:val="nil"/>
              <w:left w:val="nil"/>
              <w:bottom w:val="single" w:sz="4" w:space="0" w:color="B8CCE4"/>
              <w:right w:val="single" w:sz="4" w:space="0" w:color="B8CCE4"/>
            </w:tcBorders>
            <w:shd w:val="clear" w:color="000000" w:fill="366092"/>
            <w:vAlign w:val="center"/>
            <w:hideMark/>
          </w:tcPr>
          <w:p w14:paraId="5D42A17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24,536,494</w:t>
            </w:r>
          </w:p>
        </w:tc>
        <w:tc>
          <w:tcPr>
            <w:tcW w:w="0" w:type="auto"/>
            <w:tcBorders>
              <w:top w:val="nil"/>
              <w:left w:val="nil"/>
              <w:bottom w:val="single" w:sz="4" w:space="0" w:color="B8CCE4"/>
              <w:right w:val="single" w:sz="4" w:space="0" w:color="B8CCE4"/>
            </w:tcBorders>
            <w:shd w:val="clear" w:color="000000" w:fill="366092"/>
            <w:vAlign w:val="center"/>
            <w:hideMark/>
          </w:tcPr>
          <w:p w14:paraId="6039547E"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28,149,050</w:t>
            </w:r>
          </w:p>
        </w:tc>
        <w:tc>
          <w:tcPr>
            <w:tcW w:w="0" w:type="auto"/>
            <w:tcBorders>
              <w:top w:val="nil"/>
              <w:left w:val="nil"/>
              <w:bottom w:val="single" w:sz="4" w:space="0" w:color="B8CCE4"/>
              <w:right w:val="single" w:sz="4" w:space="0" w:color="B8CCE4"/>
            </w:tcBorders>
            <w:shd w:val="clear" w:color="000000" w:fill="366092"/>
            <w:vAlign w:val="center"/>
            <w:hideMark/>
          </w:tcPr>
          <w:p w14:paraId="126B4A7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27,608,618</w:t>
            </w:r>
          </w:p>
        </w:tc>
        <w:tc>
          <w:tcPr>
            <w:tcW w:w="0" w:type="auto"/>
            <w:tcBorders>
              <w:top w:val="nil"/>
              <w:left w:val="nil"/>
              <w:bottom w:val="single" w:sz="4" w:space="0" w:color="B8CCE4"/>
              <w:right w:val="single" w:sz="4" w:space="0" w:color="B8CCE4"/>
            </w:tcBorders>
            <w:shd w:val="clear" w:color="000000" w:fill="366092"/>
            <w:vAlign w:val="center"/>
            <w:hideMark/>
          </w:tcPr>
          <w:p w14:paraId="391508F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25,819,305</w:t>
            </w:r>
          </w:p>
        </w:tc>
        <w:tc>
          <w:tcPr>
            <w:tcW w:w="0" w:type="auto"/>
            <w:tcBorders>
              <w:top w:val="nil"/>
              <w:left w:val="nil"/>
              <w:bottom w:val="single" w:sz="4" w:space="0" w:color="B8CCE4"/>
              <w:right w:val="single" w:sz="4" w:space="0" w:color="B8CCE4"/>
            </w:tcBorders>
            <w:shd w:val="clear" w:color="000000" w:fill="366092"/>
            <w:vAlign w:val="center"/>
            <w:hideMark/>
          </w:tcPr>
          <w:p w14:paraId="77056249"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27,251,989</w:t>
            </w:r>
          </w:p>
        </w:tc>
        <w:tc>
          <w:tcPr>
            <w:tcW w:w="0" w:type="auto"/>
            <w:tcBorders>
              <w:top w:val="nil"/>
              <w:left w:val="nil"/>
              <w:bottom w:val="single" w:sz="4" w:space="0" w:color="B8CCE4"/>
              <w:right w:val="single" w:sz="4" w:space="0" w:color="B8CCE4"/>
            </w:tcBorders>
            <w:shd w:val="clear" w:color="000000" w:fill="366092"/>
            <w:vAlign w:val="center"/>
            <w:hideMark/>
          </w:tcPr>
          <w:p w14:paraId="24988F1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12,342,006</w:t>
            </w:r>
          </w:p>
        </w:tc>
        <w:tc>
          <w:tcPr>
            <w:tcW w:w="0" w:type="auto"/>
            <w:tcBorders>
              <w:top w:val="nil"/>
              <w:left w:val="nil"/>
              <w:bottom w:val="single" w:sz="4" w:space="0" w:color="B8CCE4"/>
              <w:right w:val="single" w:sz="4" w:space="0" w:color="B8CCE4"/>
            </w:tcBorders>
            <w:shd w:val="clear" w:color="000000" w:fill="366092"/>
            <w:vAlign w:val="center"/>
            <w:hideMark/>
          </w:tcPr>
          <w:p w14:paraId="0BB5657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111%</w:t>
            </w:r>
          </w:p>
        </w:tc>
        <w:tc>
          <w:tcPr>
            <w:tcW w:w="0" w:type="auto"/>
            <w:tcBorders>
              <w:top w:val="nil"/>
              <w:left w:val="nil"/>
              <w:bottom w:val="single" w:sz="4" w:space="0" w:color="B8CCE4"/>
              <w:right w:val="single" w:sz="4" w:space="0" w:color="B8CCE4"/>
            </w:tcBorders>
            <w:shd w:val="clear" w:color="000000" w:fill="366092"/>
            <w:vAlign w:val="center"/>
            <w:hideMark/>
          </w:tcPr>
          <w:p w14:paraId="4901EAA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44%</w:t>
            </w:r>
          </w:p>
        </w:tc>
        <w:tc>
          <w:tcPr>
            <w:tcW w:w="0" w:type="auto"/>
            <w:tcBorders>
              <w:top w:val="nil"/>
              <w:left w:val="nil"/>
              <w:bottom w:val="single" w:sz="4" w:space="0" w:color="B8CCE4"/>
              <w:right w:val="single" w:sz="4" w:space="0" w:color="B8CCE4"/>
            </w:tcBorders>
            <w:shd w:val="clear" w:color="000000" w:fill="366092"/>
            <w:vAlign w:val="center"/>
            <w:hideMark/>
          </w:tcPr>
          <w:p w14:paraId="69940EDD"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99%</w:t>
            </w:r>
          </w:p>
        </w:tc>
        <w:tc>
          <w:tcPr>
            <w:tcW w:w="0" w:type="auto"/>
            <w:tcBorders>
              <w:top w:val="nil"/>
              <w:left w:val="nil"/>
              <w:bottom w:val="single" w:sz="4" w:space="0" w:color="B8CCE4"/>
              <w:right w:val="single" w:sz="8" w:space="0" w:color="B8CCE4"/>
            </w:tcBorders>
            <w:shd w:val="clear" w:color="000000" w:fill="366092"/>
            <w:vAlign w:val="center"/>
            <w:hideMark/>
          </w:tcPr>
          <w:p w14:paraId="700B1A5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48%</w:t>
            </w:r>
          </w:p>
        </w:tc>
      </w:tr>
      <w:tr w:rsidR="00C156A0" w:rsidRPr="00C156A0" w14:paraId="48B0BA66" w14:textId="77777777" w:rsidTr="00A955AC">
        <w:trPr>
          <w:trHeight w:val="227"/>
          <w:jc w:val="center"/>
        </w:trPr>
        <w:tc>
          <w:tcPr>
            <w:tcW w:w="2295" w:type="dxa"/>
            <w:tcBorders>
              <w:top w:val="nil"/>
              <w:left w:val="single" w:sz="8" w:space="0" w:color="B8CCE4"/>
              <w:bottom w:val="single" w:sz="8" w:space="0" w:color="B8CCE4"/>
              <w:right w:val="single" w:sz="4" w:space="0" w:color="B8CCE4"/>
            </w:tcBorders>
            <w:shd w:val="clear" w:color="000000" w:fill="365F91"/>
            <w:vAlign w:val="center"/>
            <w:hideMark/>
          </w:tcPr>
          <w:p w14:paraId="58A5B040"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6767733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52,685,544</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06BC21B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53,427,923</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7A66DC7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39,593,995</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5724EA1E"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75%</w:t>
            </w:r>
          </w:p>
        </w:tc>
        <w:tc>
          <w:tcPr>
            <w:tcW w:w="0" w:type="auto"/>
            <w:gridSpan w:val="2"/>
            <w:tcBorders>
              <w:top w:val="single" w:sz="4" w:space="0" w:color="B8CCE4"/>
              <w:left w:val="nil"/>
              <w:bottom w:val="single" w:sz="8" w:space="0" w:color="B8CCE4"/>
              <w:right w:val="single" w:sz="8" w:space="0" w:color="B8CCE4"/>
            </w:tcBorders>
            <w:shd w:val="clear" w:color="000000" w:fill="365F91"/>
            <w:vAlign w:val="center"/>
            <w:hideMark/>
          </w:tcPr>
          <w:p w14:paraId="3E366AE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74%</w:t>
            </w:r>
          </w:p>
        </w:tc>
      </w:tr>
    </w:tbl>
    <w:p w14:paraId="3EEBACA7" w14:textId="77777777" w:rsidR="00C156A0" w:rsidRPr="00C156A0" w:rsidRDefault="00C156A0" w:rsidP="009C048C">
      <w:pPr>
        <w:spacing w:before="0" w:line="240" w:lineRule="auto"/>
        <w:rPr>
          <w:rFonts w:cs="Calibri"/>
          <w:noProof/>
          <w:lang w:val="sq-AL"/>
        </w:rPr>
      </w:pPr>
    </w:p>
    <w:p w14:paraId="724B5516" w14:textId="77777777" w:rsidR="00C156A0" w:rsidRPr="00C156A0" w:rsidRDefault="00C156A0" w:rsidP="008A6B67">
      <w:pPr>
        <w:spacing w:before="0" w:line="240" w:lineRule="auto"/>
        <w:rPr>
          <w:rFonts w:cs="Calibri"/>
          <w:noProof/>
          <w:lang w:val="sq-AL"/>
        </w:rPr>
      </w:pPr>
      <w:r w:rsidRPr="00C156A0">
        <w:rPr>
          <w:rFonts w:cs="Calibri"/>
          <w:noProof/>
          <w:lang w:val="sq-AL"/>
        </w:rPr>
        <w:t>Ministria e Mbrojtjes ka synuar që nëpërmjet zhvillimit të politikave të nevojshme në fushën e personelit, promovimit në karrierë, trajtimit të ushtarakut, rritjes së transparencës, llogaridhënies, si dhe eliminimin e korrupsionit në Forcat e Armatosura, të arrijë realizimin e treguesve kryesor të përformancës, ku renditen:</w:t>
      </w:r>
    </w:p>
    <w:p w14:paraId="4F0C25B3" w14:textId="77777777" w:rsidR="00C156A0" w:rsidRPr="00C156A0"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Lartësimi i figurës dhe integritetit të ushtarakut.</w:t>
      </w:r>
    </w:p>
    <w:p w14:paraId="200F35D8" w14:textId="77777777" w:rsidR="00C156A0" w:rsidRPr="00C156A0"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Implementimi në mënyrë cilësore i detyrimeve që rrjedhin nga pjesëmarrja dhe anëtarësia në organizma të niveleve të larta ndërkombëtare si: NATO, EAPC, RACVIAC, Karta e Atlantikut, etj; i realizuar nëpërmjet nënshkrimit të marrëveshjeve ndërkombëtare në kuadër të partneritetit mes vendeve, rritjes së sigurisë në rajon e më gjerë.</w:t>
      </w:r>
    </w:p>
    <w:p w14:paraId="4AF5C4C1" w14:textId="58B74092" w:rsidR="009C048C" w:rsidRPr="009C048C"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Modernizimi me armatim të lehtë dhe municione për Forcat e Armatosura, sistemet e mbështetjes për zjarr apo vendosja e kamerave Infra të Kuqe stacionare të integruara me sistemin SIVHD.</w:t>
      </w:r>
    </w:p>
    <w:p w14:paraId="21664331" w14:textId="0757B635" w:rsidR="00C156A0" w:rsidRPr="00C156A0" w:rsidRDefault="00C156A0" w:rsidP="008A6B67">
      <w:pPr>
        <w:spacing w:line="240" w:lineRule="auto"/>
        <w:rPr>
          <w:rFonts w:cs="Calibri"/>
          <w:noProof/>
          <w:lang w:val="sq-AL"/>
        </w:rPr>
      </w:pPr>
      <w:r w:rsidRPr="00C156A0">
        <w:rPr>
          <w:rFonts w:cs="Calibri"/>
          <w:noProof/>
          <w:lang w:val="sq-AL"/>
        </w:rPr>
        <w:t>Projektet prioritare në aspektin e ndërveprueshmërisë me strukturat e NATO-s, si dhe në kuadër të rritjes së sigurisë kombëtare, janë:</w:t>
      </w:r>
    </w:p>
    <w:p w14:paraId="6B2C81D2" w14:textId="77777777" w:rsidR="00C156A0" w:rsidRPr="00C156A0"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Sistemet e Integruara të vëzhgimit të hapësirës ajrore e detare.</w:t>
      </w:r>
    </w:p>
    <w:p w14:paraId="257D5006" w14:textId="77777777" w:rsidR="00C156A0" w:rsidRPr="00C156A0"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Kompletimi i Forcave të Armatosura me pajisje individuale të luftimit, në funksion të certifikimit të Batalionit të dytë të këmbësorisë si një komponent i gatshëm i NATO Response Force.</w:t>
      </w:r>
    </w:p>
    <w:p w14:paraId="47B32961" w14:textId="1255AED6" w:rsidR="009C048C" w:rsidRPr="009C048C" w:rsidRDefault="00C156A0" w:rsidP="008A6B67">
      <w:pPr>
        <w:numPr>
          <w:ilvl w:val="0"/>
          <w:numId w:val="10"/>
        </w:numPr>
        <w:shd w:val="clear" w:color="auto" w:fill="FFFFFF"/>
        <w:spacing w:before="0" w:after="160" w:line="240" w:lineRule="auto"/>
        <w:ind w:left="630"/>
        <w:contextualSpacing/>
        <w:rPr>
          <w:rFonts w:cs="Calibri Light"/>
          <w:bCs/>
          <w:i/>
          <w:noProof/>
          <w:sz w:val="20"/>
          <w:szCs w:val="20"/>
          <w:lang w:val="sq-AL" w:eastAsia="en-GB"/>
        </w:rPr>
      </w:pPr>
      <w:r w:rsidRPr="00C156A0">
        <w:rPr>
          <w:rFonts w:cs="Calibri Light"/>
          <w:bCs/>
          <w:i/>
          <w:noProof/>
          <w:sz w:val="20"/>
          <w:szCs w:val="20"/>
          <w:lang w:val="sq-AL" w:eastAsia="en-GB"/>
        </w:rPr>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14:paraId="1A4E4087" w14:textId="6C86E92B" w:rsidR="00C156A0" w:rsidRPr="00C156A0" w:rsidRDefault="00C156A0" w:rsidP="009C048C">
      <w:pPr>
        <w:spacing w:line="240" w:lineRule="auto"/>
        <w:rPr>
          <w:rFonts w:cs="Calibri"/>
          <w:noProof/>
          <w:lang w:val="sq-AL"/>
        </w:rPr>
      </w:pPr>
      <w:r w:rsidRPr="00C156A0">
        <w:rPr>
          <w:rFonts w:cs="Calibri"/>
          <w:noProof/>
          <w:lang w:val="sq-AL"/>
        </w:rPr>
        <w:lastRenderedPageBreak/>
        <w:t>Programi</w:t>
      </w:r>
      <w:r w:rsidRPr="00C156A0">
        <w:rPr>
          <w:rFonts w:cs="Calibri"/>
          <w:b/>
          <w:noProof/>
          <w:lang w:val="sq-AL"/>
        </w:rPr>
        <w:t xml:space="preserve"> “Forca e Luftimit”, </w:t>
      </w:r>
      <w:r w:rsidRPr="00C156A0">
        <w:rPr>
          <w:rFonts w:cs="Calibri"/>
          <w:noProof/>
          <w:lang w:val="sq-AL"/>
        </w:rPr>
        <w:t xml:space="preserve">i cili synon mbajtjen në gadishmëri të kapaciteteve operacionale të forcës tokësore, detare e ajrore, ka shpenzuar 9.1 </w:t>
      </w:r>
      <w:r w:rsidR="0056260B">
        <w:rPr>
          <w:rFonts w:cs="Calibri"/>
          <w:noProof/>
          <w:lang w:val="sq-AL"/>
        </w:rPr>
        <w:t>miliardë</w:t>
      </w:r>
      <w:r w:rsidRPr="00C156A0">
        <w:rPr>
          <w:rFonts w:cs="Calibri"/>
          <w:noProof/>
          <w:lang w:val="sq-AL"/>
        </w:rPr>
        <w:t xml:space="preserve"> LEK (shpenzime </w:t>
      </w:r>
      <w:r w:rsidR="0056260B">
        <w:rPr>
          <w:rFonts w:cs="Calibri"/>
          <w:noProof/>
          <w:lang w:val="sq-AL"/>
        </w:rPr>
        <w:t>korente</w:t>
      </w:r>
      <w:r w:rsidRPr="00C156A0">
        <w:rPr>
          <w:rFonts w:cs="Calibri"/>
          <w:noProof/>
          <w:lang w:val="sq-AL"/>
        </w:rPr>
        <w:t>) në vitin 2025, ose 99% të planit të rishikuar. Konkretisht për vitin 2025:</w:t>
      </w:r>
    </w:p>
    <w:p w14:paraId="470E4C0A" w14:textId="7881CA97" w:rsidR="00C156A0" w:rsidRPr="00C156A0" w:rsidRDefault="00C156A0">
      <w:pPr>
        <w:numPr>
          <w:ilvl w:val="0"/>
          <w:numId w:val="10"/>
        </w:numPr>
        <w:shd w:val="clear" w:color="auto" w:fill="FFFFFF"/>
        <w:spacing w:before="0" w:after="160" w:line="240" w:lineRule="auto"/>
        <w:ind w:left="630"/>
        <w:contextualSpacing/>
        <w:jc w:val="left"/>
        <w:rPr>
          <w:rFonts w:cs="Calibri"/>
          <w:noProof/>
          <w:sz w:val="20"/>
          <w:szCs w:val="20"/>
          <w:lang w:val="sq-AL"/>
        </w:rPr>
      </w:pPr>
      <w:r w:rsidRPr="00C156A0">
        <w:rPr>
          <w:rFonts w:cs="Calibri Light"/>
          <w:bCs/>
          <w:i/>
          <w:noProof/>
          <w:sz w:val="20"/>
          <w:szCs w:val="20"/>
          <w:lang w:val="sq-AL" w:eastAsia="en-GB"/>
        </w:rPr>
        <w:t xml:space="preserve">2,657 personel i forcave toksore i mbajtur në gadishmëri, me kosto faktike 4.2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w:t>
      </w:r>
    </w:p>
    <w:p w14:paraId="0A88030A" w14:textId="6491A368" w:rsidR="00C156A0" w:rsidRPr="00C156A0" w:rsidRDefault="00C156A0">
      <w:pPr>
        <w:numPr>
          <w:ilvl w:val="0"/>
          <w:numId w:val="10"/>
        </w:numPr>
        <w:shd w:val="clear" w:color="auto" w:fill="FFFFFF"/>
        <w:spacing w:before="0" w:after="160" w:line="240" w:lineRule="auto"/>
        <w:ind w:left="630"/>
        <w:contextualSpacing/>
        <w:jc w:val="left"/>
        <w:rPr>
          <w:rFonts w:cs="Calibri"/>
          <w:noProof/>
          <w:sz w:val="20"/>
          <w:szCs w:val="20"/>
          <w:lang w:val="sq-AL"/>
        </w:rPr>
      </w:pPr>
      <w:r w:rsidRPr="00C156A0">
        <w:rPr>
          <w:rFonts w:cs="Calibri Light"/>
          <w:bCs/>
          <w:i/>
          <w:noProof/>
          <w:sz w:val="20"/>
          <w:szCs w:val="20"/>
          <w:lang w:val="sq-AL" w:eastAsia="en-GB"/>
        </w:rPr>
        <w:t xml:space="preserve">699 personel i forcave ajrore, i mbajtur në gadishmëri, me kosto faktike 1.8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w:t>
      </w:r>
    </w:p>
    <w:p w14:paraId="1EE93D39" w14:textId="4965E81C" w:rsidR="00C156A0" w:rsidRPr="00C156A0" w:rsidRDefault="00C156A0">
      <w:pPr>
        <w:numPr>
          <w:ilvl w:val="0"/>
          <w:numId w:val="10"/>
        </w:numPr>
        <w:shd w:val="clear" w:color="auto" w:fill="FFFFFF"/>
        <w:spacing w:before="0" w:after="160" w:line="240" w:lineRule="auto"/>
        <w:ind w:left="630"/>
        <w:contextualSpacing/>
        <w:jc w:val="left"/>
        <w:rPr>
          <w:rFonts w:cs="Calibri"/>
          <w:noProof/>
          <w:sz w:val="20"/>
          <w:szCs w:val="20"/>
          <w:lang w:val="sq-AL"/>
        </w:rPr>
      </w:pPr>
      <w:r w:rsidRPr="00C156A0">
        <w:rPr>
          <w:rFonts w:cs="Calibri Light"/>
          <w:bCs/>
          <w:i/>
          <w:noProof/>
          <w:sz w:val="20"/>
          <w:szCs w:val="20"/>
          <w:lang w:val="sq-AL" w:eastAsia="en-GB"/>
        </w:rPr>
        <w:t xml:space="preserve">707 personel i forcave detare, i mbajtur në gadishmëri, me kosto faktike 1.59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w:t>
      </w:r>
    </w:p>
    <w:p w14:paraId="3128B7CC" w14:textId="6D54A8A1" w:rsidR="009C048C" w:rsidRPr="009C048C" w:rsidRDefault="00C156A0" w:rsidP="009C048C">
      <w:pPr>
        <w:numPr>
          <w:ilvl w:val="0"/>
          <w:numId w:val="10"/>
        </w:numPr>
        <w:shd w:val="clear" w:color="auto" w:fill="FFFFFF"/>
        <w:spacing w:before="0" w:after="240" w:line="240" w:lineRule="auto"/>
        <w:ind w:left="630"/>
        <w:contextualSpacing/>
        <w:jc w:val="left"/>
        <w:rPr>
          <w:rFonts w:cs="Calibri"/>
          <w:noProof/>
          <w:sz w:val="20"/>
          <w:szCs w:val="20"/>
          <w:lang w:val="sq-AL"/>
        </w:rPr>
      </w:pPr>
      <w:r w:rsidRPr="00C156A0">
        <w:rPr>
          <w:rFonts w:cs="Calibri Light"/>
          <w:bCs/>
          <w:i/>
          <w:noProof/>
          <w:sz w:val="20"/>
          <w:szCs w:val="20"/>
          <w:lang w:val="sq-AL" w:eastAsia="en-GB"/>
        </w:rPr>
        <w:t xml:space="preserve">383 kontigjent ushtarak pjesmarrës në misione paqeruajtëse jashtë vendit, me kosto faktike 1.48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   </w:t>
      </w:r>
    </w:p>
    <w:p w14:paraId="30514FB2" w14:textId="77777777" w:rsidR="008A6B67" w:rsidRPr="008A6B67" w:rsidRDefault="008A6B67" w:rsidP="009C048C">
      <w:pPr>
        <w:spacing w:line="240" w:lineRule="auto"/>
        <w:rPr>
          <w:rFonts w:cs="Calibri"/>
          <w:noProof/>
          <w:sz w:val="8"/>
          <w:szCs w:val="10"/>
          <w:lang w:val="sq-AL"/>
        </w:rPr>
      </w:pPr>
    </w:p>
    <w:p w14:paraId="606FAB58" w14:textId="59BFDB6A" w:rsidR="00C156A0" w:rsidRPr="00C156A0" w:rsidRDefault="00C156A0" w:rsidP="009C048C">
      <w:pPr>
        <w:spacing w:line="240" w:lineRule="auto"/>
        <w:rPr>
          <w:rFonts w:cs="Calibri"/>
          <w:noProof/>
          <w:lang w:val="sq-AL"/>
        </w:rPr>
      </w:pPr>
      <w:r w:rsidRPr="00C156A0">
        <w:rPr>
          <w:rFonts w:cs="Calibri"/>
          <w:noProof/>
          <w:lang w:val="sq-AL"/>
        </w:rPr>
        <w:t>Programi</w:t>
      </w:r>
      <w:r w:rsidRPr="00C156A0">
        <w:rPr>
          <w:rFonts w:cs="Calibri"/>
          <w:b/>
          <w:noProof/>
          <w:lang w:val="sq-AL"/>
        </w:rPr>
        <w:t xml:space="preserve"> “Mbështetja e Luftimit” </w:t>
      </w:r>
      <w:r w:rsidRPr="00C156A0">
        <w:rPr>
          <w:rFonts w:cs="Calibri"/>
          <w:noProof/>
          <w:lang w:val="sq-AL"/>
        </w:rPr>
        <w:t xml:space="preserve">siguron logjistikën dhe inteligjencën strategjike për operacione të ndryshme si dhe kapacitete operacionale për reparte të veçanta. Realizimi ishte 7.5 </w:t>
      </w:r>
      <w:r w:rsidR="0056260B">
        <w:rPr>
          <w:rFonts w:cs="Calibri"/>
          <w:noProof/>
          <w:lang w:val="sq-AL"/>
        </w:rPr>
        <w:t>miliardë</w:t>
      </w:r>
      <w:r w:rsidRPr="00C156A0">
        <w:rPr>
          <w:rFonts w:cs="Calibri"/>
          <w:noProof/>
          <w:lang w:val="sq-AL"/>
        </w:rPr>
        <w:t xml:space="preserve"> LEK (shpenzime korente), ose 112% e planit fillestar dhe 99% e atij të rishikuar.</w:t>
      </w:r>
    </w:p>
    <w:p w14:paraId="370D3FF6" w14:textId="02670679"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Mbështetja logjistike e Forcave të Armatosura të RSH është realizuar përmes 1,242 kapaciteteve operacionale (personel), me kosto faktike 3.9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w:t>
      </w:r>
    </w:p>
    <w:p w14:paraId="125B96EA" w14:textId="0A4A9611"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410 personel i policise ushtarake, me kosto faktike 736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679DA64C" w14:textId="23570D30" w:rsidR="008C1AA6" w:rsidRPr="00C156A0" w:rsidRDefault="008C1AA6" w:rsidP="008C1AA6">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Sigurimi me sisteme komunikimi dhe informacioni në mbështetje të kërkesave të Forcave të Armatosura, me kosto faktike 405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r>
        <w:rPr>
          <w:rFonts w:cs="Calibri Light"/>
          <w:bCs/>
          <w:i/>
          <w:noProof/>
          <w:sz w:val="20"/>
          <w:szCs w:val="20"/>
          <w:lang w:val="sq-AL" w:eastAsia="en-GB"/>
        </w:rPr>
        <w:t xml:space="preserve"> </w:t>
      </w:r>
    </w:p>
    <w:p w14:paraId="5EB93A9D" w14:textId="1E34069C"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160 personel i rekrutuar dhe dosje të administruara për trajtim financiar, me kosto faktike 383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13CE6C4C" w14:textId="6F604FF4" w:rsidR="008C1AA6" w:rsidRPr="00C156A0" w:rsidRDefault="008C1AA6" w:rsidP="008C1AA6">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Monitorimi i hapsirës detare, me kosto faktike 39.9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w:t>
      </w:r>
      <w:r w:rsidR="0056260B">
        <w:rPr>
          <w:rFonts w:cs="Calibri Light"/>
          <w:bCs/>
          <w:i/>
          <w:noProof/>
          <w:sz w:val="20"/>
          <w:szCs w:val="20"/>
          <w:lang w:val="sq-AL" w:eastAsia="en-GB"/>
        </w:rPr>
        <w:t>LEK</w:t>
      </w:r>
      <w:r w:rsidRPr="00C156A0">
        <w:rPr>
          <w:rFonts w:cs="Calibri Light"/>
          <w:bCs/>
          <w:i/>
          <w:noProof/>
          <w:sz w:val="20"/>
          <w:szCs w:val="20"/>
          <w:lang w:val="sq-AL" w:eastAsia="en-GB"/>
        </w:rPr>
        <w:t>.</w:t>
      </w:r>
      <w:r>
        <w:rPr>
          <w:rFonts w:cs="Calibri Light"/>
          <w:bCs/>
          <w:i/>
          <w:noProof/>
          <w:sz w:val="20"/>
          <w:szCs w:val="20"/>
          <w:lang w:val="sq-AL" w:eastAsia="en-GB"/>
        </w:rPr>
        <w:t xml:space="preserve"> </w:t>
      </w:r>
    </w:p>
    <w:p w14:paraId="4701DDB7" w14:textId="50C27DCA"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130 m/linear dokumenta të proçesuara dhe arkivuara sipas legjislacionit ne fuqi, me kosto faktike 36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29AA0F81" w14:textId="25398325" w:rsidR="009C048C" w:rsidRPr="009C048C" w:rsidRDefault="00C156A0" w:rsidP="009C048C">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93 liçenca importi/eksporti të dhëna për mallrat ushtarak, me kosto faktike 32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 </w:t>
      </w:r>
    </w:p>
    <w:p w14:paraId="3AA46869" w14:textId="77777777" w:rsidR="008A6B67" w:rsidRPr="008A6B67" w:rsidRDefault="008A6B67" w:rsidP="009C048C">
      <w:pPr>
        <w:spacing w:line="240" w:lineRule="auto"/>
        <w:rPr>
          <w:rFonts w:cs="Calibri"/>
          <w:noProof/>
          <w:sz w:val="8"/>
          <w:szCs w:val="10"/>
          <w:lang w:val="sq-AL"/>
        </w:rPr>
      </w:pPr>
    </w:p>
    <w:p w14:paraId="0F497293" w14:textId="3A6B1F81" w:rsidR="00C156A0" w:rsidRPr="00C156A0" w:rsidRDefault="00C156A0" w:rsidP="009C048C">
      <w:pPr>
        <w:spacing w:line="240" w:lineRule="auto"/>
        <w:rPr>
          <w:rFonts w:cs="Calibri"/>
          <w:noProof/>
          <w:lang w:val="sq-AL"/>
        </w:rPr>
      </w:pPr>
      <w:r w:rsidRPr="00C156A0">
        <w:rPr>
          <w:rFonts w:cs="Calibri"/>
          <w:noProof/>
          <w:lang w:val="sq-AL"/>
        </w:rPr>
        <w:t>Për programin</w:t>
      </w:r>
      <w:r w:rsidRPr="00C156A0">
        <w:rPr>
          <w:rFonts w:cs="Calibri"/>
          <w:b/>
          <w:noProof/>
          <w:lang w:val="sq-AL"/>
        </w:rPr>
        <w:t xml:space="preserve"> “Mbështetje për Shëndetësinë”</w:t>
      </w:r>
      <w:r w:rsidRPr="00C156A0">
        <w:rPr>
          <w:rFonts w:cs="Calibri"/>
          <w:noProof/>
          <w:lang w:val="sq-AL"/>
        </w:rPr>
        <w:t xml:space="preserve">, janë planifikuar 1 (një) produkt dhe 2 (dy) projekte, me një buxhet fillestar në vlerën 1.4 </w:t>
      </w:r>
      <w:r w:rsidR="0056260B">
        <w:rPr>
          <w:rFonts w:cs="Calibri"/>
          <w:noProof/>
          <w:lang w:val="sq-AL"/>
        </w:rPr>
        <w:t>miliardë</w:t>
      </w:r>
      <w:r w:rsidRPr="00C156A0">
        <w:rPr>
          <w:rFonts w:cs="Calibri"/>
          <w:noProof/>
          <w:lang w:val="sq-AL"/>
        </w:rPr>
        <w:t xml:space="preserve"> LEK për shpenzime </w:t>
      </w:r>
      <w:r w:rsidR="0056260B">
        <w:rPr>
          <w:rFonts w:cs="Calibri"/>
          <w:noProof/>
          <w:lang w:val="sq-AL"/>
        </w:rPr>
        <w:t>korente</w:t>
      </w:r>
      <w:r w:rsidRPr="00C156A0">
        <w:rPr>
          <w:rFonts w:cs="Calibri"/>
          <w:noProof/>
          <w:lang w:val="sq-AL"/>
        </w:rPr>
        <w:t xml:space="preserve"> dhe 500 </w:t>
      </w:r>
      <w:r w:rsidR="0056260B">
        <w:rPr>
          <w:rFonts w:cs="Calibri"/>
          <w:noProof/>
          <w:lang w:val="sq-AL"/>
        </w:rPr>
        <w:t>milionë</w:t>
      </w:r>
      <w:r w:rsidRPr="00C156A0">
        <w:rPr>
          <w:rFonts w:cs="Calibri"/>
          <w:noProof/>
          <w:lang w:val="sq-AL"/>
        </w:rPr>
        <w:t xml:space="preserve"> LEK për shpenzime kapitale.</w:t>
      </w:r>
      <w:r w:rsidRPr="00C156A0">
        <w:rPr>
          <w:lang w:val="sq-AL"/>
        </w:rPr>
        <w:t xml:space="preserve"> </w:t>
      </w:r>
      <w:r w:rsidRPr="00C156A0">
        <w:rPr>
          <w:rFonts w:cs="Calibri"/>
          <w:noProof/>
          <w:lang w:val="sq-AL"/>
        </w:rPr>
        <w:t xml:space="preserve">Gjatë vitit 2025, buxheti i programit është rishikuar në 1.72 </w:t>
      </w:r>
      <w:r w:rsidR="0056260B">
        <w:rPr>
          <w:rFonts w:cs="Calibri"/>
          <w:noProof/>
          <w:lang w:val="sq-AL"/>
        </w:rPr>
        <w:t>miliardë</w:t>
      </w:r>
      <w:r w:rsidRPr="00C156A0">
        <w:rPr>
          <w:rFonts w:cs="Calibri"/>
          <w:noProof/>
          <w:lang w:val="sq-AL"/>
        </w:rPr>
        <w:t xml:space="preserve"> LEK për shpenzime </w:t>
      </w:r>
      <w:r w:rsidR="0056260B">
        <w:rPr>
          <w:rFonts w:cs="Calibri"/>
          <w:noProof/>
          <w:lang w:val="sq-AL"/>
        </w:rPr>
        <w:t>korente</w:t>
      </w:r>
      <w:r w:rsidRPr="00C156A0">
        <w:rPr>
          <w:rFonts w:cs="Calibri"/>
          <w:noProof/>
          <w:lang w:val="sq-AL"/>
        </w:rPr>
        <w:t xml:space="preserve"> dhe 197 </w:t>
      </w:r>
      <w:r w:rsidR="0056260B">
        <w:rPr>
          <w:rFonts w:cs="Calibri"/>
          <w:noProof/>
          <w:lang w:val="sq-AL"/>
        </w:rPr>
        <w:t>milionë</w:t>
      </w:r>
      <w:r w:rsidRPr="00C156A0">
        <w:rPr>
          <w:rFonts w:cs="Calibri"/>
          <w:noProof/>
          <w:lang w:val="sq-AL"/>
        </w:rPr>
        <w:t xml:space="preserve"> LEK për shpenzime kapitale. Këto produkte u realizuan në vlerën 1.9 </w:t>
      </w:r>
      <w:r w:rsidR="0056260B">
        <w:rPr>
          <w:rFonts w:cs="Calibri"/>
          <w:noProof/>
          <w:lang w:val="sq-AL"/>
        </w:rPr>
        <w:t>miliardë</w:t>
      </w:r>
      <w:r w:rsidRPr="00C156A0">
        <w:rPr>
          <w:rFonts w:cs="Calibri"/>
          <w:noProof/>
          <w:lang w:val="sq-AL"/>
        </w:rPr>
        <w:t xml:space="preserve"> LEK në total, ose 99% e planit të rishikuar, duke siguruar kështu dhe paraqiten si më poshtë:</w:t>
      </w:r>
    </w:p>
    <w:p w14:paraId="0FBD26E8" w14:textId="4B58F5D6"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73,246 pacientë të trajtuar ambulator dhe të shtruar në urgjencë, me kosto faktike 1.7 </w:t>
      </w:r>
      <w:r w:rsidR="0056260B">
        <w:rPr>
          <w:rFonts w:cs="Calibri Light"/>
          <w:bCs/>
          <w:i/>
          <w:noProof/>
          <w:sz w:val="20"/>
          <w:szCs w:val="20"/>
          <w:lang w:val="sq-AL" w:eastAsia="en-GB"/>
        </w:rPr>
        <w:t>miliardë</w:t>
      </w:r>
      <w:r w:rsidRPr="00C156A0">
        <w:rPr>
          <w:rFonts w:cs="Calibri Light"/>
          <w:bCs/>
          <w:i/>
          <w:noProof/>
          <w:sz w:val="20"/>
          <w:szCs w:val="20"/>
          <w:lang w:val="sq-AL" w:eastAsia="en-GB"/>
        </w:rPr>
        <w:t xml:space="preserve"> LEK.</w:t>
      </w:r>
      <w:r w:rsidR="00A96B96">
        <w:rPr>
          <w:rFonts w:cs="Calibri Light"/>
          <w:bCs/>
          <w:i/>
          <w:noProof/>
          <w:sz w:val="20"/>
          <w:szCs w:val="20"/>
          <w:lang w:val="sq-AL" w:eastAsia="en-GB"/>
        </w:rPr>
        <w:t xml:space="preserve"> </w:t>
      </w:r>
    </w:p>
    <w:p w14:paraId="4303FF62" w14:textId="54218A51" w:rsidR="00A96B96" w:rsidRPr="00C156A0" w:rsidRDefault="00A96B96" w:rsidP="00A96B96">
      <w:pPr>
        <w:numPr>
          <w:ilvl w:val="0"/>
          <w:numId w:val="10"/>
        </w:numPr>
        <w:shd w:val="clear" w:color="auto" w:fill="FFFFFF"/>
        <w:spacing w:before="0" w:after="20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Rikonstruksion godinash me kosto faktike 137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63C69ABB" w14:textId="73FDF6AF" w:rsidR="009C048C" w:rsidRPr="009C048C" w:rsidRDefault="00C156A0" w:rsidP="009C048C">
      <w:pPr>
        <w:numPr>
          <w:ilvl w:val="0"/>
          <w:numId w:val="10"/>
        </w:numPr>
        <w:shd w:val="clear" w:color="auto" w:fill="FFFFFF"/>
        <w:spacing w:before="0" w:after="24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35 pajisje mjeksore të blera me kosto faktike 56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    </w:t>
      </w:r>
    </w:p>
    <w:p w14:paraId="38146CC3" w14:textId="77777777" w:rsidR="008A6B67" w:rsidRPr="008A6B67" w:rsidRDefault="008A6B67" w:rsidP="009C048C">
      <w:pPr>
        <w:spacing w:line="240" w:lineRule="auto"/>
        <w:rPr>
          <w:rFonts w:cs="Calibri"/>
          <w:noProof/>
          <w:sz w:val="8"/>
          <w:szCs w:val="10"/>
          <w:lang w:val="sq-AL"/>
        </w:rPr>
      </w:pPr>
    </w:p>
    <w:p w14:paraId="6B2CA85A" w14:textId="50466819" w:rsidR="00C156A0" w:rsidRPr="00C156A0" w:rsidRDefault="00C156A0" w:rsidP="009C048C">
      <w:pPr>
        <w:spacing w:line="240" w:lineRule="auto"/>
        <w:rPr>
          <w:rFonts w:cs="Calibri"/>
          <w:noProof/>
          <w:lang w:val="sq-AL"/>
        </w:rPr>
      </w:pPr>
      <w:r w:rsidRPr="00C156A0">
        <w:rPr>
          <w:rFonts w:cs="Calibri"/>
          <w:noProof/>
          <w:lang w:val="sq-AL"/>
        </w:rPr>
        <w:t>Programi</w:t>
      </w:r>
      <w:r w:rsidRPr="00C156A0">
        <w:rPr>
          <w:rFonts w:cs="Calibri"/>
          <w:b/>
          <w:noProof/>
          <w:lang w:val="sq-AL"/>
        </w:rPr>
        <w:t xml:space="preserve"> “Emergjenca Civile” </w:t>
      </w:r>
      <w:r w:rsidRPr="00C156A0">
        <w:rPr>
          <w:rFonts w:cs="Calibri"/>
          <w:noProof/>
          <w:lang w:val="sq-AL"/>
        </w:rPr>
        <w:t xml:space="preserve">lidhet me veprimtarinë e Agjencisë Kombëtare për Mbrojtjen Civile dhe Rezervës Materiale të Shtetit. Gjatë vitit 2025 shpenzimet korente u realizuan në masën 1,07 </w:t>
      </w:r>
      <w:r w:rsidR="0056260B">
        <w:rPr>
          <w:rFonts w:cs="Calibri"/>
          <w:noProof/>
          <w:lang w:val="sq-AL"/>
        </w:rPr>
        <w:t>miliardë</w:t>
      </w:r>
      <w:r w:rsidRPr="00C156A0">
        <w:rPr>
          <w:rFonts w:cs="Calibri"/>
          <w:noProof/>
          <w:lang w:val="sq-AL"/>
        </w:rPr>
        <w:t xml:space="preserve"> LEK ose 92% e planit të rishikuar, ndër to përmendim:</w:t>
      </w:r>
    </w:p>
    <w:p w14:paraId="2B4363C8" w14:textId="67181146"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Shërbime të kryera (orë pune) në kuadër të mbrojtjes së jetës njerzore, pronës, trashëgimisë kulturore e pyjeve, me kosto faktike 362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  </w:t>
      </w:r>
    </w:p>
    <w:p w14:paraId="5357B676" w14:textId="53DEE3D5" w:rsidR="00C156A0" w:rsidRPr="00C156A0" w:rsidRDefault="00C156A0">
      <w:pPr>
        <w:numPr>
          <w:ilvl w:val="0"/>
          <w:numId w:val="10"/>
        </w:numPr>
        <w:shd w:val="clear" w:color="auto" w:fill="FFFFFF"/>
        <w:spacing w:before="0"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161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 të shpenzuara nga Njësitë e Vetëqeverisjes Vendore për marrjen e masave parandaluese, lehtësuese, mbrojtëse dhe rehabilituese për parandalimin e fatkeqësive natyrore.</w:t>
      </w:r>
    </w:p>
    <w:p w14:paraId="66FFBFA8" w14:textId="480C2176" w:rsidR="00C156A0" w:rsidRPr="00C156A0" w:rsidRDefault="00C156A0" w:rsidP="00A96B96">
      <w:pPr>
        <w:numPr>
          <w:ilvl w:val="0"/>
          <w:numId w:val="10"/>
        </w:numPr>
        <w:shd w:val="clear" w:color="auto" w:fill="FFFFFF"/>
        <w:spacing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121 familje të ndihmuara per banesat e dëmtuara nga fatkeqësi të ndryshme, kosto faktike 428</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102179F6" w14:textId="6855922A" w:rsidR="009C048C" w:rsidRPr="009C048C" w:rsidRDefault="00C156A0" w:rsidP="009C048C">
      <w:pPr>
        <w:numPr>
          <w:ilvl w:val="0"/>
          <w:numId w:val="10"/>
        </w:numPr>
        <w:shd w:val="clear" w:color="auto" w:fill="FFFFFF"/>
        <w:spacing w:after="160" w:line="240" w:lineRule="auto"/>
        <w:ind w:left="630"/>
        <w:contextualSpacing/>
        <w:jc w:val="left"/>
        <w:rPr>
          <w:rFonts w:cs="Calibri Light"/>
          <w:bCs/>
          <w:i/>
          <w:noProof/>
          <w:sz w:val="20"/>
          <w:szCs w:val="20"/>
          <w:lang w:val="sq-AL" w:eastAsia="en-GB"/>
        </w:rPr>
      </w:pPr>
      <w:r w:rsidRPr="00C156A0">
        <w:rPr>
          <w:rFonts w:cs="Calibri Light"/>
          <w:bCs/>
          <w:i/>
          <w:noProof/>
          <w:sz w:val="20"/>
          <w:szCs w:val="20"/>
          <w:lang w:val="sq-AL" w:eastAsia="en-GB"/>
        </w:rPr>
        <w:t xml:space="preserve">Administrimi dhe menaxhimi i stokut të mallrave ushqimore dhe mallrave industriale në kushte optimale, me kosto faktike 120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64EC3CE5" w14:textId="77777777" w:rsidR="008A6B67" w:rsidRPr="008A6B67" w:rsidRDefault="008A6B67" w:rsidP="009C048C">
      <w:pPr>
        <w:spacing w:line="240" w:lineRule="auto"/>
        <w:rPr>
          <w:rFonts w:cs="Calibri"/>
          <w:noProof/>
          <w:sz w:val="8"/>
          <w:szCs w:val="10"/>
          <w:lang w:val="sq-AL"/>
        </w:rPr>
      </w:pPr>
    </w:p>
    <w:p w14:paraId="14A44619" w14:textId="21A19EBE" w:rsidR="00724A4F" w:rsidRPr="00724A4F" w:rsidRDefault="00634371" w:rsidP="009C048C">
      <w:pPr>
        <w:spacing w:line="240" w:lineRule="auto"/>
        <w:rPr>
          <w:rFonts w:cs="Calibri"/>
          <w:noProof/>
          <w:lang w:val="sq-AL"/>
        </w:rPr>
      </w:pPr>
      <w:r>
        <w:rPr>
          <w:rFonts w:cs="Calibri"/>
          <w:noProof/>
          <w:lang w:val="sq-AL"/>
        </w:rPr>
        <w:t>S</w:t>
      </w:r>
      <w:r w:rsidR="00C156A0" w:rsidRPr="00724A4F">
        <w:rPr>
          <w:rFonts w:cs="Calibri"/>
          <w:noProof/>
          <w:lang w:val="sq-AL"/>
        </w:rPr>
        <w:t xml:space="preserve">a i përket </w:t>
      </w:r>
      <w:r w:rsidR="00C156A0" w:rsidRPr="00724A4F">
        <w:rPr>
          <w:rFonts w:cs="Calibri"/>
          <w:b/>
          <w:bCs/>
          <w:noProof/>
          <w:lang w:val="sq-AL"/>
        </w:rPr>
        <w:t>investimeve publike</w:t>
      </w:r>
      <w:r w:rsidR="00C156A0" w:rsidRPr="00724A4F">
        <w:rPr>
          <w:rFonts w:cs="Calibri"/>
          <w:noProof/>
          <w:lang w:val="sq-AL"/>
        </w:rPr>
        <w:t xml:space="preserve"> </w:t>
      </w:r>
      <w:r w:rsidR="00724A4F" w:rsidRPr="00724A4F">
        <w:rPr>
          <w:rFonts w:cs="Calibri"/>
          <w:noProof/>
          <w:lang w:val="sq-AL"/>
        </w:rPr>
        <w:t xml:space="preserve">realizimi në vitin 2025 ishte 77.1% e buxhetit fillestar për projektet me financim të brendshëm (12.3 </w:t>
      </w:r>
      <w:r w:rsidR="0056260B">
        <w:rPr>
          <w:rFonts w:cs="Calibri"/>
          <w:noProof/>
          <w:lang w:val="sq-AL"/>
        </w:rPr>
        <w:t>miliardë</w:t>
      </w:r>
      <w:r w:rsidR="00724A4F" w:rsidRPr="00724A4F">
        <w:rPr>
          <w:rFonts w:cs="Calibri"/>
          <w:noProof/>
          <w:lang w:val="sq-AL"/>
        </w:rPr>
        <w:t xml:space="preserve"> LEK) (89.7% të planit vjetor të ndryshuar me AN nr.11/2025). Buxheti i shpenzimeve kapitale pësoi ndryshime gjatë vitit 2025, duke pakësuar shpenzimet me financim të brendshëm. Janë mbyllur 14 projekte investimi me vlerë totale 2.7 </w:t>
      </w:r>
      <w:r w:rsidR="0056260B">
        <w:rPr>
          <w:rFonts w:cs="Calibri"/>
          <w:noProof/>
          <w:lang w:val="sq-AL"/>
        </w:rPr>
        <w:t>miliardë</w:t>
      </w:r>
      <w:r w:rsidR="00724A4F" w:rsidRPr="00724A4F">
        <w:rPr>
          <w:rFonts w:cs="Calibri"/>
          <w:noProof/>
          <w:lang w:val="sq-AL"/>
        </w:rPr>
        <w:t xml:space="preserve"> LEK si më poshtë, ku ndër më kryesoret veçojmë:</w:t>
      </w:r>
    </w:p>
    <w:p w14:paraId="7D21DB02" w14:textId="4FE113B8" w:rsidR="00724A4F" w:rsidRPr="00C13136" w:rsidRDefault="00724A4F" w:rsidP="00A96B96">
      <w:pPr>
        <w:numPr>
          <w:ilvl w:val="0"/>
          <w:numId w:val="10"/>
        </w:numPr>
        <w:shd w:val="clear" w:color="auto" w:fill="FFFFFF"/>
        <w:spacing w:before="0" w:line="240" w:lineRule="auto"/>
        <w:ind w:left="630"/>
        <w:contextualSpacing/>
        <w:rPr>
          <w:rFonts w:cs="Calibri Light"/>
          <w:bCs/>
          <w:i/>
          <w:noProof/>
          <w:szCs w:val="22"/>
          <w:lang w:val="sq-AL" w:eastAsia="en-GB"/>
        </w:rPr>
      </w:pPr>
      <w:r w:rsidRPr="00C13136">
        <w:rPr>
          <w:rFonts w:cs="Calibri Light"/>
          <w:bCs/>
          <w:i/>
          <w:noProof/>
          <w:szCs w:val="22"/>
          <w:lang w:val="sq-AL" w:eastAsia="en-GB"/>
        </w:rPr>
        <w:t>Nd</w:t>
      </w:r>
      <w:r w:rsidR="00A96B96" w:rsidRPr="00C13136">
        <w:rPr>
          <w:rFonts w:cs="Calibri Light"/>
          <w:bCs/>
          <w:i/>
          <w:noProof/>
          <w:szCs w:val="22"/>
          <w:lang w:val="sq-AL" w:eastAsia="en-GB"/>
        </w:rPr>
        <w:t>ë</w:t>
      </w:r>
      <w:r w:rsidRPr="00C13136">
        <w:rPr>
          <w:rFonts w:cs="Calibri Light"/>
          <w:bCs/>
          <w:i/>
          <w:noProof/>
          <w:szCs w:val="22"/>
          <w:lang w:val="sq-AL" w:eastAsia="en-GB"/>
        </w:rPr>
        <w:t>rtim objekti shumefunksional p</w:t>
      </w:r>
      <w:r w:rsidR="00A96B96" w:rsidRPr="00C13136">
        <w:rPr>
          <w:rFonts w:cs="Calibri Light"/>
          <w:bCs/>
          <w:i/>
          <w:noProof/>
          <w:szCs w:val="22"/>
          <w:lang w:val="sq-AL" w:eastAsia="en-GB"/>
        </w:rPr>
        <w:t>ë</w:t>
      </w:r>
      <w:r w:rsidRPr="00C13136">
        <w:rPr>
          <w:rFonts w:cs="Calibri Light"/>
          <w:bCs/>
          <w:i/>
          <w:noProof/>
          <w:szCs w:val="22"/>
          <w:lang w:val="sq-AL" w:eastAsia="en-GB"/>
        </w:rPr>
        <w:t>r akomodimin e komandes, shtabit dhe kompanise s</w:t>
      </w:r>
      <w:r w:rsidR="00A96B96" w:rsidRPr="00C13136">
        <w:rPr>
          <w:rFonts w:cs="Calibri Light"/>
          <w:bCs/>
          <w:i/>
          <w:noProof/>
          <w:szCs w:val="22"/>
          <w:lang w:val="sq-AL" w:eastAsia="en-GB"/>
        </w:rPr>
        <w:t>ë</w:t>
      </w:r>
      <w:r w:rsidRPr="00C13136">
        <w:rPr>
          <w:rFonts w:cs="Calibri Light"/>
          <w:bCs/>
          <w:i/>
          <w:noProof/>
          <w:szCs w:val="22"/>
          <w:lang w:val="sq-AL" w:eastAsia="en-GB"/>
        </w:rPr>
        <w:t xml:space="preserve"> mb</w:t>
      </w:r>
      <w:r w:rsidR="00A96B96" w:rsidRPr="00C13136">
        <w:rPr>
          <w:rFonts w:cs="Calibri Light"/>
          <w:bCs/>
          <w:i/>
          <w:noProof/>
          <w:szCs w:val="22"/>
          <w:lang w:val="sq-AL" w:eastAsia="en-GB"/>
        </w:rPr>
        <w:t>ë</w:t>
      </w:r>
      <w:r w:rsidRPr="00C13136">
        <w:rPr>
          <w:rFonts w:cs="Calibri Light"/>
          <w:bCs/>
          <w:i/>
          <w:noProof/>
          <w:szCs w:val="22"/>
          <w:lang w:val="sq-AL" w:eastAsia="en-GB"/>
        </w:rPr>
        <w:t>shtetjes, rruge e sheshe n</w:t>
      </w:r>
      <w:r w:rsidR="00A96B96" w:rsidRPr="00C13136">
        <w:rPr>
          <w:rFonts w:cs="Calibri Light"/>
          <w:bCs/>
          <w:i/>
          <w:noProof/>
          <w:szCs w:val="22"/>
          <w:lang w:val="sq-AL" w:eastAsia="en-GB"/>
        </w:rPr>
        <w:t>ë</w:t>
      </w:r>
      <w:r w:rsidRPr="00C13136">
        <w:rPr>
          <w:rFonts w:cs="Calibri Light"/>
          <w:bCs/>
          <w:i/>
          <w:noProof/>
          <w:szCs w:val="22"/>
          <w:lang w:val="sq-AL" w:eastAsia="en-GB"/>
        </w:rPr>
        <w:t xml:space="preserve"> pronen nr.86 C Ferraj Tiran</w:t>
      </w:r>
      <w:r w:rsidR="00A96B96" w:rsidRPr="00C13136">
        <w:rPr>
          <w:rFonts w:cs="Calibri Light"/>
          <w:bCs/>
          <w:i/>
          <w:noProof/>
          <w:szCs w:val="22"/>
          <w:lang w:val="sq-AL" w:eastAsia="en-GB"/>
        </w:rPr>
        <w:t>ë,</w:t>
      </w:r>
      <w:r w:rsidRPr="00C13136">
        <w:rPr>
          <w:rFonts w:cs="Calibri Light"/>
          <w:bCs/>
          <w:i/>
          <w:noProof/>
          <w:szCs w:val="22"/>
          <w:lang w:val="sq-AL" w:eastAsia="en-GB"/>
        </w:rPr>
        <w:t xml:space="preserve"> me vlerë 577.8 </w:t>
      </w:r>
      <w:r w:rsidR="0056260B">
        <w:rPr>
          <w:rFonts w:cs="Calibri Light"/>
          <w:bCs/>
          <w:i/>
          <w:noProof/>
          <w:szCs w:val="22"/>
          <w:lang w:val="sq-AL" w:eastAsia="en-GB"/>
        </w:rPr>
        <w:t>milionë</w:t>
      </w:r>
      <w:r w:rsidRPr="00C13136">
        <w:rPr>
          <w:rFonts w:cs="Calibri Light"/>
          <w:bCs/>
          <w:i/>
          <w:noProof/>
          <w:szCs w:val="22"/>
          <w:lang w:val="sq-AL" w:eastAsia="en-GB"/>
        </w:rPr>
        <w:t xml:space="preserve"> LEK;</w:t>
      </w:r>
    </w:p>
    <w:p w14:paraId="16DBE932" w14:textId="06B4883C" w:rsidR="00724A4F" w:rsidRPr="00C13136" w:rsidRDefault="00724A4F" w:rsidP="00724A4F">
      <w:pPr>
        <w:numPr>
          <w:ilvl w:val="0"/>
          <w:numId w:val="10"/>
        </w:numPr>
        <w:shd w:val="clear" w:color="auto" w:fill="FFFFFF"/>
        <w:spacing w:line="240" w:lineRule="auto"/>
        <w:ind w:left="630"/>
        <w:contextualSpacing/>
        <w:rPr>
          <w:rFonts w:cs="Calibri Light"/>
          <w:bCs/>
          <w:i/>
          <w:noProof/>
          <w:szCs w:val="22"/>
          <w:lang w:val="sq-AL" w:eastAsia="en-GB"/>
        </w:rPr>
      </w:pPr>
      <w:r w:rsidRPr="00C13136">
        <w:rPr>
          <w:rFonts w:cs="Calibri Light"/>
          <w:bCs/>
          <w:i/>
          <w:noProof/>
          <w:szCs w:val="22"/>
          <w:lang w:val="sq-AL" w:eastAsia="en-GB"/>
        </w:rPr>
        <w:t xml:space="preserve">Sistemim </w:t>
      </w:r>
      <w:r w:rsidR="00A96B96" w:rsidRPr="00C13136">
        <w:rPr>
          <w:rFonts w:cs="Calibri Light"/>
          <w:bCs/>
          <w:i/>
          <w:noProof/>
          <w:szCs w:val="22"/>
          <w:lang w:val="sq-AL" w:eastAsia="en-GB"/>
        </w:rPr>
        <w:t>i</w:t>
      </w:r>
      <w:r w:rsidRPr="00C13136">
        <w:rPr>
          <w:rFonts w:cs="Calibri Light"/>
          <w:bCs/>
          <w:i/>
          <w:noProof/>
          <w:szCs w:val="22"/>
          <w:lang w:val="sq-AL" w:eastAsia="en-GB"/>
        </w:rPr>
        <w:t xml:space="preserve"> infrastuktures + Postoblloku nr.4 + Tranazhim i fushes se futbollit ne Garnizonin Skenderbej me vlerë 207.8 </w:t>
      </w:r>
      <w:r w:rsidR="0056260B">
        <w:rPr>
          <w:rFonts w:cs="Calibri Light"/>
          <w:bCs/>
          <w:i/>
          <w:noProof/>
          <w:szCs w:val="22"/>
          <w:lang w:val="sq-AL" w:eastAsia="en-GB"/>
        </w:rPr>
        <w:t>milionë</w:t>
      </w:r>
      <w:r w:rsidRPr="00C13136">
        <w:rPr>
          <w:rFonts w:cs="Calibri Light"/>
          <w:bCs/>
          <w:i/>
          <w:noProof/>
          <w:szCs w:val="22"/>
          <w:lang w:val="sq-AL" w:eastAsia="en-GB"/>
        </w:rPr>
        <w:t xml:space="preserve"> LEK;</w:t>
      </w:r>
    </w:p>
    <w:p w14:paraId="0D8DD43F" w14:textId="2FD5538D" w:rsidR="00724A4F" w:rsidRPr="00C13136" w:rsidRDefault="00724A4F" w:rsidP="00724A4F">
      <w:pPr>
        <w:numPr>
          <w:ilvl w:val="0"/>
          <w:numId w:val="10"/>
        </w:numPr>
        <w:shd w:val="clear" w:color="auto" w:fill="FFFFFF"/>
        <w:spacing w:line="240" w:lineRule="auto"/>
        <w:ind w:left="630"/>
        <w:contextualSpacing/>
        <w:rPr>
          <w:rFonts w:cs="Calibri Light"/>
          <w:bCs/>
          <w:i/>
          <w:noProof/>
          <w:szCs w:val="22"/>
          <w:lang w:val="sq-AL" w:eastAsia="en-GB"/>
        </w:rPr>
      </w:pPr>
      <w:r w:rsidRPr="00C13136">
        <w:rPr>
          <w:rFonts w:cs="Calibri Light"/>
          <w:bCs/>
          <w:i/>
          <w:noProof/>
          <w:szCs w:val="22"/>
          <w:lang w:val="sq-AL" w:eastAsia="en-GB"/>
        </w:rPr>
        <w:t xml:space="preserve">Ndertim i rrjetit inxhinierik i poligonit kombetar Pajet me vlerë 108.4 </w:t>
      </w:r>
      <w:r w:rsidR="0056260B">
        <w:rPr>
          <w:rFonts w:cs="Calibri Light"/>
          <w:bCs/>
          <w:i/>
          <w:noProof/>
          <w:szCs w:val="22"/>
          <w:lang w:val="sq-AL" w:eastAsia="en-GB"/>
        </w:rPr>
        <w:t>milionë</w:t>
      </w:r>
      <w:r w:rsidRPr="00C13136">
        <w:rPr>
          <w:rFonts w:cs="Calibri Light"/>
          <w:bCs/>
          <w:i/>
          <w:noProof/>
          <w:szCs w:val="22"/>
          <w:lang w:val="sq-AL" w:eastAsia="en-GB"/>
        </w:rPr>
        <w:t xml:space="preserve"> LEK;</w:t>
      </w:r>
    </w:p>
    <w:p w14:paraId="15142764" w14:textId="76AF2ED2" w:rsidR="00724A4F" w:rsidRPr="00C13136" w:rsidRDefault="00724A4F" w:rsidP="00724A4F">
      <w:pPr>
        <w:numPr>
          <w:ilvl w:val="0"/>
          <w:numId w:val="10"/>
        </w:numPr>
        <w:shd w:val="clear" w:color="auto" w:fill="FFFFFF"/>
        <w:spacing w:line="240" w:lineRule="auto"/>
        <w:ind w:left="630"/>
        <w:contextualSpacing/>
        <w:rPr>
          <w:rFonts w:cs="Calibri Light"/>
          <w:bCs/>
          <w:i/>
          <w:noProof/>
          <w:szCs w:val="22"/>
          <w:lang w:val="sq-AL" w:eastAsia="en-GB"/>
        </w:rPr>
      </w:pPr>
      <w:r w:rsidRPr="00C13136">
        <w:rPr>
          <w:rFonts w:cs="Calibri Light"/>
          <w:bCs/>
          <w:i/>
          <w:noProof/>
          <w:szCs w:val="22"/>
          <w:lang w:val="sq-AL" w:eastAsia="en-GB"/>
        </w:rPr>
        <w:t>Blerje Pajisjesh  për Zonimin TEMPEST te ambienteve , godinave dhe mburojave me vlerë 70.2</w:t>
      </w:r>
      <w:r w:rsidR="008A6B67">
        <w:rPr>
          <w:rFonts w:cs="Calibri Light"/>
          <w:bCs/>
          <w:i/>
          <w:noProof/>
          <w:szCs w:val="22"/>
          <w:lang w:val="sq-AL" w:eastAsia="en-GB"/>
        </w:rPr>
        <w:t>mln</w:t>
      </w:r>
      <w:r w:rsidRPr="00C13136">
        <w:rPr>
          <w:rFonts w:cs="Calibri Light"/>
          <w:bCs/>
          <w:i/>
          <w:noProof/>
          <w:szCs w:val="22"/>
          <w:lang w:val="sq-AL" w:eastAsia="en-GB"/>
        </w:rPr>
        <w:t xml:space="preserve"> LEK</w:t>
      </w:r>
      <w:r w:rsidR="00A96B96" w:rsidRPr="00C13136">
        <w:rPr>
          <w:rFonts w:cs="Calibri Light"/>
          <w:bCs/>
          <w:i/>
          <w:noProof/>
          <w:szCs w:val="22"/>
          <w:lang w:val="sq-AL" w:eastAsia="en-GB"/>
        </w:rPr>
        <w:t>.</w:t>
      </w:r>
    </w:p>
    <w:p w14:paraId="4137EB23" w14:textId="77777777" w:rsidR="00724A4F" w:rsidRPr="00724A4F" w:rsidRDefault="00724A4F" w:rsidP="00724A4F">
      <w:pPr>
        <w:shd w:val="clear" w:color="auto" w:fill="FFFFFF"/>
        <w:spacing w:line="240" w:lineRule="auto"/>
        <w:contextualSpacing/>
        <w:rPr>
          <w:rFonts w:asciiTheme="majorHAnsi" w:hAnsiTheme="majorHAnsi" w:cs="Calibri Light"/>
          <w:bCs/>
          <w:i/>
          <w:noProof/>
          <w:sz w:val="8"/>
          <w:szCs w:val="10"/>
          <w:lang w:val="sq-AL" w:eastAsia="en-GB"/>
        </w:rPr>
      </w:pPr>
    </w:p>
    <w:p w14:paraId="19448651" w14:textId="7A141578" w:rsidR="00724A4F" w:rsidRPr="00724A4F" w:rsidRDefault="00634371" w:rsidP="00724A4F">
      <w:pPr>
        <w:shd w:val="clear" w:color="auto" w:fill="FFFFFF"/>
        <w:spacing w:line="240" w:lineRule="auto"/>
        <w:contextualSpacing/>
        <w:rPr>
          <w:rFonts w:cs="Calibri"/>
          <w:noProof/>
          <w:lang w:val="sq-AL"/>
        </w:rPr>
      </w:pPr>
      <w:r>
        <w:rPr>
          <w:rFonts w:cs="Calibri"/>
          <w:noProof/>
          <w:lang w:val="sq-AL"/>
        </w:rPr>
        <w:t>Në drejtim të</w:t>
      </w:r>
      <w:r w:rsidR="00724A4F" w:rsidRPr="00724A4F">
        <w:rPr>
          <w:rFonts w:cs="Calibri"/>
          <w:noProof/>
          <w:lang w:val="sq-AL"/>
        </w:rPr>
        <w:t xml:space="preserve"> mbrojtjes nga “</w:t>
      </w:r>
      <w:r w:rsidR="00724A4F" w:rsidRPr="008A6B67">
        <w:rPr>
          <w:rFonts w:cs="Calibri"/>
          <w:i/>
          <w:iCs/>
          <w:noProof/>
          <w:lang w:val="sq-AL"/>
        </w:rPr>
        <w:t>Fatkeq</w:t>
      </w:r>
      <w:r w:rsidR="008A6B67">
        <w:rPr>
          <w:rFonts w:cs="Calibri"/>
          <w:i/>
          <w:iCs/>
          <w:noProof/>
          <w:lang w:val="sq-AL"/>
        </w:rPr>
        <w:t>ë</w:t>
      </w:r>
      <w:r w:rsidR="00724A4F" w:rsidRPr="008A6B67">
        <w:rPr>
          <w:rFonts w:cs="Calibri"/>
          <w:i/>
          <w:iCs/>
          <w:noProof/>
          <w:lang w:val="sq-AL"/>
        </w:rPr>
        <w:t>sitë Natyrore të menaxhuara</w:t>
      </w:r>
      <w:r w:rsidR="00724A4F" w:rsidRPr="00724A4F">
        <w:rPr>
          <w:rFonts w:cs="Calibri"/>
          <w:noProof/>
          <w:lang w:val="sq-AL"/>
        </w:rPr>
        <w:t xml:space="preserve">”, janë financuar një numër i konsiderueshëm projektesh në vlerë rreth 1.7 </w:t>
      </w:r>
      <w:r w:rsidR="0056260B">
        <w:rPr>
          <w:rFonts w:cs="Calibri"/>
          <w:noProof/>
          <w:lang w:val="sq-AL"/>
        </w:rPr>
        <w:t>miliardë</w:t>
      </w:r>
      <w:r w:rsidR="00724A4F" w:rsidRPr="00724A4F">
        <w:rPr>
          <w:rFonts w:cs="Calibri"/>
          <w:noProof/>
          <w:lang w:val="sq-AL"/>
        </w:rPr>
        <w:t xml:space="preserve"> LEK në 58 bashki.</w:t>
      </w:r>
    </w:p>
    <w:p w14:paraId="74E19AC7" w14:textId="30A45105" w:rsidR="00724A4F" w:rsidRPr="00C13136" w:rsidRDefault="00724A4F" w:rsidP="00724A4F">
      <w:pPr>
        <w:numPr>
          <w:ilvl w:val="0"/>
          <w:numId w:val="10"/>
        </w:numPr>
        <w:shd w:val="clear" w:color="auto" w:fill="FFFFFF"/>
        <w:spacing w:line="240" w:lineRule="auto"/>
        <w:ind w:left="630"/>
        <w:contextualSpacing/>
        <w:rPr>
          <w:rFonts w:cs="Calibri Light"/>
          <w:bCs/>
          <w:i/>
          <w:noProof/>
          <w:szCs w:val="22"/>
          <w:lang w:val="sq-AL" w:eastAsia="en-GB"/>
        </w:rPr>
      </w:pPr>
      <w:r w:rsidRPr="00C13136">
        <w:rPr>
          <w:rFonts w:cs="Calibri Light"/>
          <w:bCs/>
          <w:i/>
          <w:noProof/>
          <w:szCs w:val="22"/>
          <w:lang w:val="sq-AL" w:eastAsia="en-GB"/>
        </w:rPr>
        <w:t xml:space="preserve">Në programin “Forca e Luftimit”, janë financuar një sërë projektesh të rëndësishme ku veçojmë projektin “Armatim i Lehtë Municion dhe Paisje e Makineri për Forcat e Armatosura” me vlerë 4.2 </w:t>
      </w:r>
      <w:r w:rsidR="0056260B">
        <w:rPr>
          <w:rFonts w:cs="Calibri Light"/>
          <w:bCs/>
          <w:i/>
          <w:noProof/>
          <w:szCs w:val="22"/>
          <w:lang w:val="sq-AL" w:eastAsia="en-GB"/>
        </w:rPr>
        <w:t>miliardë</w:t>
      </w:r>
      <w:r w:rsidRPr="00C13136">
        <w:rPr>
          <w:rFonts w:cs="Calibri Light"/>
          <w:bCs/>
          <w:i/>
          <w:noProof/>
          <w:szCs w:val="22"/>
          <w:lang w:val="sq-AL" w:eastAsia="en-GB"/>
        </w:rPr>
        <w:t xml:space="preserve"> LEK.</w:t>
      </w:r>
    </w:p>
    <w:p w14:paraId="440E1232" w14:textId="77777777" w:rsidR="00C156A0" w:rsidRPr="00C156A0" w:rsidRDefault="00C156A0" w:rsidP="00C156A0">
      <w:pPr>
        <w:spacing w:before="0"/>
        <w:rPr>
          <w:rFonts w:cs="Calibri Light"/>
          <w:bCs/>
          <w:i/>
          <w:noProof/>
          <w:sz w:val="20"/>
          <w:szCs w:val="22"/>
          <w:lang w:val="sq-AL" w:eastAsia="en-GB"/>
        </w:rPr>
      </w:pPr>
    </w:p>
    <w:p w14:paraId="6ADCF3C2" w14:textId="33CB56BB" w:rsidR="00C156A0" w:rsidRPr="00B14F86" w:rsidRDefault="00C156A0" w:rsidP="00B14F86">
      <w:pPr>
        <w:pStyle w:val="Heading3"/>
        <w:rPr>
          <w:b/>
          <w:bCs/>
        </w:rPr>
      </w:pPr>
      <w:bookmarkStart w:id="282" w:name="_Toc10033299"/>
      <w:bookmarkStart w:id="283" w:name="_Toc10721435"/>
      <w:bookmarkStart w:id="284" w:name="_Toc229390847"/>
      <w:proofErr w:type="spellStart"/>
      <w:r w:rsidRPr="00B14F86">
        <w:rPr>
          <w:b/>
          <w:bCs/>
        </w:rPr>
        <w:lastRenderedPageBreak/>
        <w:t>Ekonomia</w:t>
      </w:r>
      <w:proofErr w:type="spellEnd"/>
      <w:r w:rsidRPr="00B14F86">
        <w:rPr>
          <w:b/>
          <w:bCs/>
        </w:rPr>
        <w:t xml:space="preserve"> </w:t>
      </w:r>
      <w:bookmarkEnd w:id="282"/>
      <w:bookmarkEnd w:id="283"/>
      <w:proofErr w:type="spellStart"/>
      <w:r w:rsidRPr="00B14F86">
        <w:rPr>
          <w:b/>
          <w:bCs/>
        </w:rPr>
        <w:t>dhe</w:t>
      </w:r>
      <w:proofErr w:type="spellEnd"/>
      <w:r w:rsidRPr="00B14F86">
        <w:rPr>
          <w:b/>
          <w:bCs/>
        </w:rPr>
        <w:t xml:space="preserve"> </w:t>
      </w:r>
      <w:proofErr w:type="spellStart"/>
      <w:r w:rsidRPr="00B14F86">
        <w:rPr>
          <w:b/>
          <w:bCs/>
        </w:rPr>
        <w:t>Inovacioni</w:t>
      </w:r>
      <w:bookmarkEnd w:id="284"/>
      <w:proofErr w:type="spellEnd"/>
      <w:r w:rsidRPr="00B14F86">
        <w:rPr>
          <w:b/>
          <w:bCs/>
        </w:rPr>
        <w:t xml:space="preserve"> </w:t>
      </w:r>
    </w:p>
    <w:p w14:paraId="39805363" w14:textId="77777777" w:rsidR="00C156A0" w:rsidRPr="00C156A0" w:rsidRDefault="00C156A0" w:rsidP="00C156A0">
      <w:pPr>
        <w:spacing w:line="240" w:lineRule="auto"/>
        <w:rPr>
          <w:rFonts w:cs="Calibri"/>
          <w:noProof/>
          <w:lang w:val="sq-AL"/>
        </w:rPr>
      </w:pPr>
      <w:bookmarkStart w:id="285" w:name="_Hlk40881889"/>
      <w:r w:rsidRPr="00C156A0">
        <w:rPr>
          <w:rFonts w:cs="Calibri"/>
          <w:noProof/>
          <w:lang w:val="sq-AL"/>
        </w:rPr>
        <w:t>Shpenzimet e planifikuara dhe ato faktike si dhe realizimi për vitin 2025 për Ministrinë e Ekonomisë dhe Inovacionit për të gjithë programet, paraqiten si më poshtë:</w:t>
      </w:r>
    </w:p>
    <w:p w14:paraId="0B0BC4D3" w14:textId="7806734F" w:rsidR="00C156A0" w:rsidRPr="00C156A0" w:rsidRDefault="00C156A0" w:rsidP="00C156A0">
      <w:pPr>
        <w:rPr>
          <w:i/>
          <w:iCs/>
          <w:noProof/>
          <w:color w:val="17406D"/>
          <w:sz w:val="18"/>
          <w:szCs w:val="18"/>
          <w:lang w:val="sq-AL"/>
        </w:rPr>
      </w:pPr>
      <w:bookmarkStart w:id="286" w:name="_Toc229130015"/>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40</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Ekonomisë, Kulturës dhe Inovacionit</w:t>
      </w:r>
      <w:bookmarkEnd w:id="286"/>
    </w:p>
    <w:tbl>
      <w:tblPr>
        <w:tblW w:w="10356" w:type="dxa"/>
        <w:jc w:val="center"/>
        <w:tblLook w:val="04A0" w:firstRow="1" w:lastRow="0" w:firstColumn="1" w:lastColumn="0" w:noHBand="0" w:noVBand="1"/>
      </w:tblPr>
      <w:tblGrid>
        <w:gridCol w:w="2485"/>
        <w:gridCol w:w="948"/>
        <w:gridCol w:w="871"/>
        <w:gridCol w:w="948"/>
        <w:gridCol w:w="871"/>
        <w:gridCol w:w="948"/>
        <w:gridCol w:w="871"/>
        <w:gridCol w:w="583"/>
        <w:gridCol w:w="663"/>
        <w:gridCol w:w="585"/>
        <w:gridCol w:w="583"/>
      </w:tblGrid>
      <w:tr w:rsidR="00C95685" w:rsidRPr="00F409F4" w14:paraId="6F8040C2" w14:textId="77777777" w:rsidTr="00C95685">
        <w:trPr>
          <w:trHeight w:val="279"/>
          <w:jc w:val="center"/>
        </w:trPr>
        <w:tc>
          <w:tcPr>
            <w:tcW w:w="2484" w:type="dxa"/>
            <w:vMerge w:val="restart"/>
            <w:tcBorders>
              <w:top w:val="single" w:sz="8" w:space="0" w:color="B8CCE4"/>
              <w:left w:val="single" w:sz="8" w:space="0" w:color="B8CCE4"/>
              <w:bottom w:val="single" w:sz="4" w:space="0" w:color="B8CCE4"/>
              <w:right w:val="single" w:sz="4" w:space="0" w:color="B8CCE4"/>
            </w:tcBorders>
            <w:shd w:val="clear" w:color="000000" w:fill="365F91"/>
            <w:vAlign w:val="center"/>
            <w:hideMark/>
          </w:tcPr>
          <w:p w14:paraId="5D8A8D8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Programi buxhetor</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276504D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fillestar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69782CF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Plani i rishikuar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4261A65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Fakti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3736602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në % me planin fillestar</w:t>
            </w:r>
          </w:p>
        </w:tc>
        <w:tc>
          <w:tcPr>
            <w:tcW w:w="0" w:type="auto"/>
            <w:gridSpan w:val="2"/>
            <w:tcBorders>
              <w:top w:val="single" w:sz="8" w:space="0" w:color="B8CCE4"/>
              <w:left w:val="nil"/>
              <w:bottom w:val="single" w:sz="4" w:space="0" w:color="B8CCE4"/>
              <w:right w:val="single" w:sz="8" w:space="0" w:color="B8CCE4"/>
            </w:tcBorders>
            <w:shd w:val="clear" w:color="000000" w:fill="365F91"/>
            <w:vAlign w:val="center"/>
            <w:hideMark/>
          </w:tcPr>
          <w:p w14:paraId="3C143D4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Realizimi në % me planin e rishikuar</w:t>
            </w:r>
          </w:p>
        </w:tc>
      </w:tr>
      <w:tr w:rsidR="00C95685" w:rsidRPr="00C156A0" w14:paraId="31ED1DBE" w14:textId="77777777" w:rsidTr="00C95685">
        <w:trPr>
          <w:trHeight w:val="185"/>
          <w:jc w:val="center"/>
        </w:trPr>
        <w:tc>
          <w:tcPr>
            <w:tcW w:w="2484" w:type="dxa"/>
            <w:vMerge/>
            <w:tcBorders>
              <w:top w:val="single" w:sz="8" w:space="0" w:color="B8CCE4"/>
              <w:left w:val="single" w:sz="8" w:space="0" w:color="B8CCE4"/>
              <w:bottom w:val="single" w:sz="4" w:space="0" w:color="B8CCE4"/>
              <w:right w:val="single" w:sz="4" w:space="0" w:color="B8CCE4"/>
            </w:tcBorders>
            <w:vAlign w:val="center"/>
            <w:hideMark/>
          </w:tcPr>
          <w:p w14:paraId="26413C81" w14:textId="77777777" w:rsidR="00C156A0" w:rsidRPr="00C156A0" w:rsidRDefault="00C156A0" w:rsidP="00C156A0">
            <w:pPr>
              <w:spacing w:before="0" w:line="240" w:lineRule="auto"/>
              <w:jc w:val="left"/>
              <w:rPr>
                <w:rFonts w:cs="Calibri"/>
                <w:b/>
                <w:bCs/>
                <w:color w:val="FFFFFF"/>
                <w:sz w:val="16"/>
                <w:szCs w:val="16"/>
                <w:lang w:val="sq-AL"/>
              </w:rPr>
            </w:pPr>
          </w:p>
        </w:tc>
        <w:tc>
          <w:tcPr>
            <w:tcW w:w="0" w:type="auto"/>
            <w:tcBorders>
              <w:top w:val="nil"/>
              <w:left w:val="nil"/>
              <w:bottom w:val="single" w:sz="4" w:space="0" w:color="B8CCE4"/>
              <w:right w:val="single" w:sz="4" w:space="0" w:color="B8CCE4"/>
            </w:tcBorders>
            <w:shd w:val="clear" w:color="000000" w:fill="365F91"/>
            <w:vAlign w:val="center"/>
            <w:hideMark/>
          </w:tcPr>
          <w:p w14:paraId="2FBAD53D" w14:textId="3CBB7808"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2D935DB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097F76E0" w14:textId="2111E4E0"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7A001BB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7134C327" w14:textId="23D59974" w:rsidR="00C156A0" w:rsidRPr="00C156A0" w:rsidRDefault="0056260B" w:rsidP="00C156A0">
            <w:pPr>
              <w:spacing w:before="0" w:line="240" w:lineRule="auto"/>
              <w:jc w:val="center"/>
              <w:rPr>
                <w:rFonts w:cs="Calibri"/>
                <w:b/>
                <w:bCs/>
                <w:color w:val="FFFFFF"/>
                <w:sz w:val="16"/>
                <w:szCs w:val="16"/>
                <w:lang w:val="sq-AL"/>
              </w:rPr>
            </w:pPr>
            <w:r>
              <w:rPr>
                <w:rFonts w:cs="Calibri"/>
                <w:b/>
                <w:bCs/>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102F908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0BC7568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0" w:type="auto"/>
            <w:tcBorders>
              <w:top w:val="nil"/>
              <w:left w:val="nil"/>
              <w:bottom w:val="single" w:sz="4" w:space="0" w:color="B8CCE4"/>
              <w:right w:val="single" w:sz="4" w:space="0" w:color="B8CCE4"/>
            </w:tcBorders>
            <w:shd w:val="clear" w:color="000000" w:fill="365F91"/>
            <w:vAlign w:val="center"/>
            <w:hideMark/>
          </w:tcPr>
          <w:p w14:paraId="794FD66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w:t>
            </w:r>
          </w:p>
        </w:tc>
        <w:tc>
          <w:tcPr>
            <w:tcW w:w="0" w:type="auto"/>
            <w:tcBorders>
              <w:top w:val="nil"/>
              <w:left w:val="nil"/>
              <w:bottom w:val="single" w:sz="4" w:space="0" w:color="B8CCE4"/>
              <w:right w:val="single" w:sz="4" w:space="0" w:color="B8CCE4"/>
            </w:tcBorders>
            <w:shd w:val="clear" w:color="000000" w:fill="365F91"/>
            <w:vAlign w:val="center"/>
            <w:hideMark/>
          </w:tcPr>
          <w:p w14:paraId="06E036C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Korr.</w:t>
            </w:r>
          </w:p>
        </w:tc>
        <w:tc>
          <w:tcPr>
            <w:tcW w:w="0" w:type="auto"/>
            <w:tcBorders>
              <w:top w:val="nil"/>
              <w:left w:val="nil"/>
              <w:bottom w:val="single" w:sz="4" w:space="0" w:color="B8CCE4"/>
              <w:right w:val="single" w:sz="8" w:space="0" w:color="B8CCE4"/>
            </w:tcBorders>
            <w:shd w:val="clear" w:color="000000" w:fill="365F91"/>
            <w:vAlign w:val="center"/>
            <w:hideMark/>
          </w:tcPr>
          <w:p w14:paraId="62A3688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Inv.</w:t>
            </w:r>
          </w:p>
        </w:tc>
      </w:tr>
      <w:tr w:rsidR="008A6B67" w:rsidRPr="00C156A0" w14:paraId="7FB5724B" w14:textId="77777777" w:rsidTr="00C95685">
        <w:trPr>
          <w:trHeight w:val="175"/>
          <w:jc w:val="center"/>
        </w:trPr>
        <w:tc>
          <w:tcPr>
            <w:tcW w:w="2484" w:type="dxa"/>
            <w:tcBorders>
              <w:top w:val="nil"/>
              <w:left w:val="single" w:sz="8" w:space="0" w:color="B8CCE4"/>
              <w:bottom w:val="single" w:sz="4" w:space="0" w:color="B8CCE4"/>
              <w:right w:val="single" w:sz="4" w:space="0" w:color="B8CCE4"/>
            </w:tcBorders>
            <w:vAlign w:val="center"/>
            <w:hideMark/>
          </w:tcPr>
          <w:p w14:paraId="709AC5AE"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Planifikimi, Menaxhimi Administrimi</w:t>
            </w:r>
          </w:p>
        </w:tc>
        <w:tc>
          <w:tcPr>
            <w:tcW w:w="0" w:type="auto"/>
            <w:tcBorders>
              <w:top w:val="nil"/>
              <w:left w:val="nil"/>
              <w:bottom w:val="single" w:sz="4" w:space="0" w:color="B8CCE4"/>
              <w:right w:val="single" w:sz="4" w:space="0" w:color="B8CCE4"/>
            </w:tcBorders>
            <w:vAlign w:val="center"/>
            <w:hideMark/>
          </w:tcPr>
          <w:p w14:paraId="7C9EA53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6D35E6E8" w14:textId="77777777" w:rsidR="00C156A0" w:rsidRPr="00C156A0" w:rsidRDefault="00C156A0" w:rsidP="00C156A0">
            <w:pPr>
              <w:spacing w:before="0" w:line="240" w:lineRule="auto"/>
              <w:jc w:val="center"/>
              <w:rPr>
                <w:rFonts w:cs="Calibri"/>
                <w:color w:val="FF0000"/>
                <w:sz w:val="16"/>
                <w:szCs w:val="16"/>
                <w:lang w:val="sq-AL"/>
              </w:rPr>
            </w:pPr>
            <w:r w:rsidRPr="00C156A0">
              <w:rPr>
                <w:rFonts w:cs="Calibri"/>
                <w:sz w:val="16"/>
                <w:szCs w:val="16"/>
                <w:lang w:val="sq-AL"/>
              </w:rPr>
              <w:t>80,000</w:t>
            </w:r>
          </w:p>
        </w:tc>
        <w:tc>
          <w:tcPr>
            <w:tcW w:w="0" w:type="auto"/>
            <w:tcBorders>
              <w:top w:val="nil"/>
              <w:left w:val="nil"/>
              <w:bottom w:val="single" w:sz="4" w:space="0" w:color="B8CCE4"/>
              <w:right w:val="single" w:sz="4" w:space="0" w:color="B8CCE4"/>
            </w:tcBorders>
            <w:vAlign w:val="center"/>
            <w:hideMark/>
          </w:tcPr>
          <w:p w14:paraId="47E832B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58,200</w:t>
            </w:r>
          </w:p>
        </w:tc>
        <w:tc>
          <w:tcPr>
            <w:tcW w:w="0" w:type="auto"/>
            <w:tcBorders>
              <w:top w:val="nil"/>
              <w:left w:val="nil"/>
              <w:bottom w:val="single" w:sz="4" w:space="0" w:color="B8CCE4"/>
              <w:right w:val="single" w:sz="4" w:space="0" w:color="B8CCE4"/>
            </w:tcBorders>
            <w:vAlign w:val="center"/>
            <w:hideMark/>
          </w:tcPr>
          <w:p w14:paraId="31EE67A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98,760</w:t>
            </w:r>
          </w:p>
        </w:tc>
        <w:tc>
          <w:tcPr>
            <w:tcW w:w="0" w:type="auto"/>
            <w:tcBorders>
              <w:top w:val="nil"/>
              <w:left w:val="nil"/>
              <w:bottom w:val="single" w:sz="4" w:space="0" w:color="B8CCE4"/>
              <w:right w:val="single" w:sz="4" w:space="0" w:color="B8CCE4"/>
            </w:tcBorders>
            <w:vAlign w:val="center"/>
            <w:hideMark/>
          </w:tcPr>
          <w:p w14:paraId="220A5A77"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48,418</w:t>
            </w:r>
          </w:p>
        </w:tc>
        <w:tc>
          <w:tcPr>
            <w:tcW w:w="0" w:type="auto"/>
            <w:tcBorders>
              <w:top w:val="nil"/>
              <w:left w:val="nil"/>
              <w:bottom w:val="single" w:sz="4" w:space="0" w:color="B8CCE4"/>
              <w:right w:val="single" w:sz="4" w:space="0" w:color="B8CCE4"/>
            </w:tcBorders>
            <w:vAlign w:val="center"/>
            <w:hideMark/>
          </w:tcPr>
          <w:p w14:paraId="023D4BF2"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93,229</w:t>
            </w:r>
          </w:p>
        </w:tc>
        <w:tc>
          <w:tcPr>
            <w:tcW w:w="0" w:type="auto"/>
            <w:tcBorders>
              <w:top w:val="nil"/>
              <w:left w:val="nil"/>
              <w:bottom w:val="single" w:sz="4" w:space="0" w:color="B8CCE4"/>
              <w:right w:val="single" w:sz="4" w:space="0" w:color="B8CCE4"/>
            </w:tcBorders>
            <w:vAlign w:val="center"/>
            <w:hideMark/>
          </w:tcPr>
          <w:p w14:paraId="049725A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358D68D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0CFBEEC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83%</w:t>
            </w:r>
          </w:p>
        </w:tc>
        <w:tc>
          <w:tcPr>
            <w:tcW w:w="0" w:type="auto"/>
            <w:tcBorders>
              <w:top w:val="nil"/>
              <w:left w:val="nil"/>
              <w:bottom w:val="single" w:sz="4" w:space="0" w:color="B8CCE4"/>
              <w:right w:val="single" w:sz="8" w:space="0" w:color="B8CCE4"/>
            </w:tcBorders>
            <w:vAlign w:val="center"/>
            <w:hideMark/>
          </w:tcPr>
          <w:p w14:paraId="3803AA9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94%</w:t>
            </w:r>
          </w:p>
        </w:tc>
      </w:tr>
      <w:tr w:rsidR="008A6B67" w:rsidRPr="00C156A0" w14:paraId="0F90B4BE" w14:textId="77777777" w:rsidTr="00C95685">
        <w:trPr>
          <w:trHeight w:val="159"/>
          <w:jc w:val="center"/>
        </w:trPr>
        <w:tc>
          <w:tcPr>
            <w:tcW w:w="2484" w:type="dxa"/>
            <w:tcBorders>
              <w:top w:val="nil"/>
              <w:left w:val="single" w:sz="8" w:space="0" w:color="B8CCE4"/>
              <w:bottom w:val="single" w:sz="4" w:space="0" w:color="B8CCE4"/>
              <w:right w:val="single" w:sz="4" w:space="0" w:color="B8CCE4"/>
            </w:tcBorders>
            <w:vAlign w:val="center"/>
            <w:hideMark/>
          </w:tcPr>
          <w:p w14:paraId="6EEEB3F5"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Mbështetje për Inovacion e Teknologji</w:t>
            </w:r>
          </w:p>
        </w:tc>
        <w:tc>
          <w:tcPr>
            <w:tcW w:w="0" w:type="auto"/>
            <w:tcBorders>
              <w:top w:val="nil"/>
              <w:left w:val="nil"/>
              <w:bottom w:val="single" w:sz="4" w:space="0" w:color="B8CCE4"/>
              <w:right w:val="single" w:sz="4" w:space="0" w:color="B8CCE4"/>
            </w:tcBorders>
            <w:vAlign w:val="center"/>
            <w:hideMark/>
          </w:tcPr>
          <w:p w14:paraId="567AC30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299,388</w:t>
            </w:r>
          </w:p>
        </w:tc>
        <w:tc>
          <w:tcPr>
            <w:tcW w:w="0" w:type="auto"/>
            <w:tcBorders>
              <w:top w:val="nil"/>
              <w:left w:val="nil"/>
              <w:bottom w:val="single" w:sz="4" w:space="0" w:color="B8CCE4"/>
              <w:right w:val="single" w:sz="4" w:space="0" w:color="B8CCE4"/>
            </w:tcBorders>
            <w:vAlign w:val="center"/>
            <w:hideMark/>
          </w:tcPr>
          <w:p w14:paraId="3E97C0B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50,000</w:t>
            </w:r>
          </w:p>
        </w:tc>
        <w:tc>
          <w:tcPr>
            <w:tcW w:w="0" w:type="auto"/>
            <w:tcBorders>
              <w:top w:val="nil"/>
              <w:left w:val="nil"/>
              <w:bottom w:val="single" w:sz="4" w:space="0" w:color="B8CCE4"/>
              <w:right w:val="single" w:sz="4" w:space="0" w:color="B8CCE4"/>
            </w:tcBorders>
            <w:vAlign w:val="center"/>
            <w:hideMark/>
          </w:tcPr>
          <w:p w14:paraId="5EC95E5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246,776</w:t>
            </w:r>
          </w:p>
        </w:tc>
        <w:tc>
          <w:tcPr>
            <w:tcW w:w="0" w:type="auto"/>
            <w:tcBorders>
              <w:top w:val="nil"/>
              <w:left w:val="nil"/>
              <w:bottom w:val="single" w:sz="4" w:space="0" w:color="B8CCE4"/>
              <w:right w:val="single" w:sz="4" w:space="0" w:color="B8CCE4"/>
            </w:tcBorders>
            <w:vAlign w:val="center"/>
            <w:hideMark/>
          </w:tcPr>
          <w:p w14:paraId="6E35D1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867,200</w:t>
            </w:r>
          </w:p>
        </w:tc>
        <w:tc>
          <w:tcPr>
            <w:tcW w:w="0" w:type="auto"/>
            <w:tcBorders>
              <w:top w:val="nil"/>
              <w:left w:val="nil"/>
              <w:bottom w:val="single" w:sz="4" w:space="0" w:color="B8CCE4"/>
              <w:right w:val="single" w:sz="4" w:space="0" w:color="B8CCE4"/>
            </w:tcBorders>
            <w:vAlign w:val="center"/>
            <w:hideMark/>
          </w:tcPr>
          <w:p w14:paraId="21B312C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244,345</w:t>
            </w:r>
          </w:p>
        </w:tc>
        <w:tc>
          <w:tcPr>
            <w:tcW w:w="0" w:type="auto"/>
            <w:tcBorders>
              <w:top w:val="nil"/>
              <w:left w:val="nil"/>
              <w:bottom w:val="single" w:sz="4" w:space="0" w:color="B8CCE4"/>
              <w:right w:val="single" w:sz="4" w:space="0" w:color="B8CCE4"/>
            </w:tcBorders>
            <w:vAlign w:val="center"/>
            <w:hideMark/>
          </w:tcPr>
          <w:p w14:paraId="6DE4897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867,200</w:t>
            </w:r>
          </w:p>
        </w:tc>
        <w:tc>
          <w:tcPr>
            <w:tcW w:w="0" w:type="auto"/>
            <w:tcBorders>
              <w:top w:val="nil"/>
              <w:left w:val="nil"/>
              <w:bottom w:val="single" w:sz="4" w:space="0" w:color="B8CCE4"/>
              <w:right w:val="single" w:sz="4" w:space="0" w:color="B8CCE4"/>
            </w:tcBorders>
            <w:vAlign w:val="center"/>
            <w:hideMark/>
          </w:tcPr>
          <w:p w14:paraId="7379F83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82%</w:t>
            </w:r>
          </w:p>
        </w:tc>
        <w:tc>
          <w:tcPr>
            <w:tcW w:w="0" w:type="auto"/>
            <w:tcBorders>
              <w:top w:val="nil"/>
              <w:left w:val="nil"/>
              <w:bottom w:val="single" w:sz="4" w:space="0" w:color="B8CCE4"/>
              <w:right w:val="single" w:sz="4" w:space="0" w:color="B8CCE4"/>
            </w:tcBorders>
            <w:vAlign w:val="center"/>
            <w:hideMark/>
          </w:tcPr>
          <w:p w14:paraId="29341E2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1734%</w:t>
            </w:r>
          </w:p>
        </w:tc>
        <w:tc>
          <w:tcPr>
            <w:tcW w:w="0" w:type="auto"/>
            <w:tcBorders>
              <w:top w:val="nil"/>
              <w:left w:val="nil"/>
              <w:bottom w:val="single" w:sz="4" w:space="0" w:color="B8CCE4"/>
              <w:right w:val="single" w:sz="4" w:space="0" w:color="B8CCE4"/>
            </w:tcBorders>
            <w:vAlign w:val="center"/>
            <w:hideMark/>
          </w:tcPr>
          <w:p w14:paraId="4F74FB8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55E3646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100%</w:t>
            </w:r>
          </w:p>
        </w:tc>
      </w:tr>
      <w:tr w:rsidR="008A6B67" w:rsidRPr="00C156A0" w14:paraId="565A0021" w14:textId="77777777" w:rsidTr="00C95685">
        <w:trPr>
          <w:trHeight w:val="192"/>
          <w:jc w:val="center"/>
        </w:trPr>
        <w:tc>
          <w:tcPr>
            <w:tcW w:w="2484" w:type="dxa"/>
            <w:tcBorders>
              <w:top w:val="nil"/>
              <w:left w:val="single" w:sz="8" w:space="0" w:color="B8CCE4"/>
              <w:bottom w:val="single" w:sz="4" w:space="0" w:color="B8CCE4"/>
              <w:right w:val="single" w:sz="4" w:space="0" w:color="B8CCE4"/>
            </w:tcBorders>
            <w:vAlign w:val="center"/>
            <w:hideMark/>
          </w:tcPr>
          <w:p w14:paraId="3D729C43"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Mbështetje për Zhvillim Ekonomik</w:t>
            </w:r>
          </w:p>
        </w:tc>
        <w:tc>
          <w:tcPr>
            <w:tcW w:w="0" w:type="auto"/>
            <w:tcBorders>
              <w:top w:val="nil"/>
              <w:left w:val="nil"/>
              <w:bottom w:val="single" w:sz="4" w:space="0" w:color="B8CCE4"/>
              <w:right w:val="single" w:sz="4" w:space="0" w:color="B8CCE4"/>
            </w:tcBorders>
            <w:vAlign w:val="center"/>
            <w:hideMark/>
          </w:tcPr>
          <w:p w14:paraId="70E19BDD"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803,890</w:t>
            </w:r>
          </w:p>
        </w:tc>
        <w:tc>
          <w:tcPr>
            <w:tcW w:w="0" w:type="auto"/>
            <w:tcBorders>
              <w:top w:val="nil"/>
              <w:left w:val="nil"/>
              <w:bottom w:val="single" w:sz="4" w:space="0" w:color="B8CCE4"/>
              <w:right w:val="single" w:sz="4" w:space="0" w:color="B8CCE4"/>
            </w:tcBorders>
            <w:vAlign w:val="center"/>
            <w:hideMark/>
          </w:tcPr>
          <w:p w14:paraId="1A257236"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62,000</w:t>
            </w:r>
          </w:p>
        </w:tc>
        <w:tc>
          <w:tcPr>
            <w:tcW w:w="0" w:type="auto"/>
            <w:tcBorders>
              <w:top w:val="nil"/>
              <w:left w:val="nil"/>
              <w:bottom w:val="single" w:sz="4" w:space="0" w:color="B8CCE4"/>
              <w:right w:val="single" w:sz="4" w:space="0" w:color="B8CCE4"/>
            </w:tcBorders>
            <w:vAlign w:val="center"/>
            <w:hideMark/>
          </w:tcPr>
          <w:p w14:paraId="299B3E1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770,484</w:t>
            </w:r>
          </w:p>
        </w:tc>
        <w:tc>
          <w:tcPr>
            <w:tcW w:w="0" w:type="auto"/>
            <w:tcBorders>
              <w:top w:val="nil"/>
              <w:left w:val="nil"/>
              <w:bottom w:val="single" w:sz="4" w:space="0" w:color="B8CCE4"/>
              <w:right w:val="single" w:sz="4" w:space="0" w:color="B8CCE4"/>
            </w:tcBorders>
            <w:vAlign w:val="center"/>
            <w:hideMark/>
          </w:tcPr>
          <w:p w14:paraId="43A99BDF"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59,714</w:t>
            </w:r>
          </w:p>
        </w:tc>
        <w:tc>
          <w:tcPr>
            <w:tcW w:w="0" w:type="auto"/>
            <w:tcBorders>
              <w:top w:val="nil"/>
              <w:left w:val="nil"/>
              <w:bottom w:val="single" w:sz="4" w:space="0" w:color="B8CCE4"/>
              <w:right w:val="single" w:sz="4" w:space="0" w:color="B8CCE4"/>
            </w:tcBorders>
            <w:vAlign w:val="center"/>
            <w:hideMark/>
          </w:tcPr>
          <w:p w14:paraId="5CCD979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740,834</w:t>
            </w:r>
          </w:p>
        </w:tc>
        <w:tc>
          <w:tcPr>
            <w:tcW w:w="0" w:type="auto"/>
            <w:tcBorders>
              <w:top w:val="nil"/>
              <w:left w:val="nil"/>
              <w:bottom w:val="single" w:sz="4" w:space="0" w:color="B8CCE4"/>
              <w:right w:val="single" w:sz="4" w:space="0" w:color="B8CCE4"/>
            </w:tcBorders>
            <w:vAlign w:val="center"/>
            <w:hideMark/>
          </w:tcPr>
          <w:p w14:paraId="563D9D6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49,214</w:t>
            </w:r>
          </w:p>
        </w:tc>
        <w:tc>
          <w:tcPr>
            <w:tcW w:w="0" w:type="auto"/>
            <w:tcBorders>
              <w:top w:val="nil"/>
              <w:left w:val="nil"/>
              <w:bottom w:val="single" w:sz="4" w:space="0" w:color="B8CCE4"/>
              <w:right w:val="single" w:sz="4" w:space="0" w:color="B8CCE4"/>
            </w:tcBorders>
            <w:vAlign w:val="center"/>
            <w:hideMark/>
          </w:tcPr>
          <w:p w14:paraId="14CC439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92%</w:t>
            </w:r>
          </w:p>
        </w:tc>
        <w:tc>
          <w:tcPr>
            <w:tcW w:w="0" w:type="auto"/>
            <w:tcBorders>
              <w:top w:val="nil"/>
              <w:left w:val="nil"/>
              <w:bottom w:val="single" w:sz="4" w:space="0" w:color="B8CCE4"/>
              <w:right w:val="single" w:sz="4" w:space="0" w:color="B8CCE4"/>
            </w:tcBorders>
            <w:vAlign w:val="center"/>
            <w:hideMark/>
          </w:tcPr>
          <w:p w14:paraId="7B4918F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79%</w:t>
            </w:r>
          </w:p>
        </w:tc>
        <w:tc>
          <w:tcPr>
            <w:tcW w:w="0" w:type="auto"/>
            <w:tcBorders>
              <w:top w:val="nil"/>
              <w:left w:val="nil"/>
              <w:bottom w:val="single" w:sz="4" w:space="0" w:color="B8CCE4"/>
              <w:right w:val="single" w:sz="4" w:space="0" w:color="B8CCE4"/>
            </w:tcBorders>
            <w:vAlign w:val="center"/>
            <w:hideMark/>
          </w:tcPr>
          <w:p w14:paraId="3E50CA2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0" w:type="auto"/>
            <w:tcBorders>
              <w:top w:val="nil"/>
              <w:left w:val="nil"/>
              <w:bottom w:val="single" w:sz="4" w:space="0" w:color="B8CCE4"/>
              <w:right w:val="single" w:sz="8" w:space="0" w:color="B8CCE4"/>
            </w:tcBorders>
            <w:vAlign w:val="center"/>
            <w:hideMark/>
          </w:tcPr>
          <w:p w14:paraId="3C66FF3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82%</w:t>
            </w:r>
          </w:p>
        </w:tc>
      </w:tr>
      <w:tr w:rsidR="008A6B67" w:rsidRPr="00C156A0" w14:paraId="1B060144" w14:textId="77777777" w:rsidTr="00C95685">
        <w:trPr>
          <w:trHeight w:val="159"/>
          <w:jc w:val="center"/>
        </w:trPr>
        <w:tc>
          <w:tcPr>
            <w:tcW w:w="2484" w:type="dxa"/>
            <w:tcBorders>
              <w:top w:val="nil"/>
              <w:left w:val="single" w:sz="8" w:space="0" w:color="B8CCE4"/>
              <w:bottom w:val="single" w:sz="4" w:space="0" w:color="B8CCE4"/>
              <w:right w:val="single" w:sz="4" w:space="0" w:color="B8CCE4"/>
            </w:tcBorders>
            <w:vAlign w:val="center"/>
            <w:hideMark/>
          </w:tcPr>
          <w:p w14:paraId="55C3C455" w14:textId="77777777" w:rsidR="00C156A0" w:rsidRPr="00C156A0" w:rsidRDefault="00C156A0" w:rsidP="00C156A0">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B8CCE4"/>
              <w:right w:val="single" w:sz="4" w:space="0" w:color="B8CCE4"/>
            </w:tcBorders>
            <w:vAlign w:val="center"/>
            <w:hideMark/>
          </w:tcPr>
          <w:p w14:paraId="524FE29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5DB5BD4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164,690</w:t>
            </w:r>
          </w:p>
        </w:tc>
        <w:tc>
          <w:tcPr>
            <w:tcW w:w="0" w:type="auto"/>
            <w:tcBorders>
              <w:top w:val="nil"/>
              <w:left w:val="nil"/>
              <w:bottom w:val="single" w:sz="4" w:space="0" w:color="B8CCE4"/>
              <w:right w:val="single" w:sz="4" w:space="0" w:color="B8CCE4"/>
            </w:tcBorders>
            <w:vAlign w:val="center"/>
            <w:hideMark/>
          </w:tcPr>
          <w:p w14:paraId="202A827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19DBE1E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64,690</w:t>
            </w:r>
          </w:p>
        </w:tc>
        <w:tc>
          <w:tcPr>
            <w:tcW w:w="0" w:type="auto"/>
            <w:tcBorders>
              <w:top w:val="nil"/>
              <w:left w:val="nil"/>
              <w:bottom w:val="single" w:sz="4" w:space="0" w:color="B8CCE4"/>
              <w:right w:val="single" w:sz="4" w:space="0" w:color="B8CCE4"/>
            </w:tcBorders>
            <w:vAlign w:val="center"/>
            <w:hideMark/>
          </w:tcPr>
          <w:p w14:paraId="237535A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0</w:t>
            </w:r>
          </w:p>
        </w:tc>
        <w:tc>
          <w:tcPr>
            <w:tcW w:w="0" w:type="auto"/>
            <w:tcBorders>
              <w:top w:val="nil"/>
              <w:left w:val="nil"/>
              <w:bottom w:val="single" w:sz="4" w:space="0" w:color="B8CCE4"/>
              <w:right w:val="single" w:sz="4" w:space="0" w:color="B8CCE4"/>
            </w:tcBorders>
            <w:vAlign w:val="center"/>
            <w:hideMark/>
          </w:tcPr>
          <w:p w14:paraId="629720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19,913</w:t>
            </w:r>
          </w:p>
        </w:tc>
        <w:tc>
          <w:tcPr>
            <w:tcW w:w="0" w:type="auto"/>
            <w:tcBorders>
              <w:top w:val="nil"/>
              <w:left w:val="nil"/>
              <w:bottom w:val="single" w:sz="4" w:space="0" w:color="B8CCE4"/>
              <w:right w:val="single" w:sz="4" w:space="0" w:color="B8CCE4"/>
            </w:tcBorders>
            <w:vAlign w:val="center"/>
            <w:hideMark/>
          </w:tcPr>
          <w:p w14:paraId="5AC6C57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169310F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w:t>
            </w:r>
          </w:p>
        </w:tc>
        <w:tc>
          <w:tcPr>
            <w:tcW w:w="0" w:type="auto"/>
            <w:tcBorders>
              <w:top w:val="nil"/>
              <w:left w:val="nil"/>
              <w:bottom w:val="single" w:sz="4" w:space="0" w:color="B8CCE4"/>
              <w:right w:val="single" w:sz="4" w:space="0" w:color="B8CCE4"/>
            </w:tcBorders>
            <w:vAlign w:val="center"/>
            <w:hideMark/>
          </w:tcPr>
          <w:p w14:paraId="22FEDBA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8" w:space="0" w:color="B8CCE4"/>
            </w:tcBorders>
            <w:vAlign w:val="center"/>
            <w:hideMark/>
          </w:tcPr>
          <w:p w14:paraId="263D5C2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31%</w:t>
            </w:r>
          </w:p>
        </w:tc>
      </w:tr>
      <w:tr w:rsidR="008A6B67" w:rsidRPr="00C156A0" w14:paraId="1E54E309" w14:textId="77777777" w:rsidTr="00C95685">
        <w:trPr>
          <w:trHeight w:val="208"/>
          <w:jc w:val="center"/>
        </w:trPr>
        <w:tc>
          <w:tcPr>
            <w:tcW w:w="2484" w:type="dxa"/>
            <w:tcBorders>
              <w:top w:val="nil"/>
              <w:left w:val="single" w:sz="8" w:space="0" w:color="B8CCE4"/>
              <w:bottom w:val="single" w:sz="4" w:space="0" w:color="B8CCE4"/>
              <w:right w:val="single" w:sz="4" w:space="0" w:color="B8CCE4"/>
            </w:tcBorders>
            <w:vAlign w:val="center"/>
            <w:hideMark/>
          </w:tcPr>
          <w:p w14:paraId="506B5C27" w14:textId="484C5EFF"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Mbështetje për Mbikëqyrjen e Tregut</w:t>
            </w:r>
            <w:r w:rsidR="008A6B67">
              <w:rPr>
                <w:rFonts w:cs="Calibri"/>
                <w:b/>
                <w:bCs/>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41BB24D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377,922</w:t>
            </w:r>
          </w:p>
        </w:tc>
        <w:tc>
          <w:tcPr>
            <w:tcW w:w="0" w:type="auto"/>
            <w:tcBorders>
              <w:top w:val="nil"/>
              <w:left w:val="nil"/>
              <w:bottom w:val="single" w:sz="4" w:space="0" w:color="B8CCE4"/>
              <w:right w:val="single" w:sz="4" w:space="0" w:color="B8CCE4"/>
            </w:tcBorders>
            <w:vAlign w:val="center"/>
            <w:hideMark/>
          </w:tcPr>
          <w:p w14:paraId="438098A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12,000</w:t>
            </w:r>
          </w:p>
        </w:tc>
        <w:tc>
          <w:tcPr>
            <w:tcW w:w="0" w:type="auto"/>
            <w:tcBorders>
              <w:top w:val="nil"/>
              <w:left w:val="nil"/>
              <w:bottom w:val="single" w:sz="4" w:space="0" w:color="B8CCE4"/>
              <w:right w:val="single" w:sz="4" w:space="0" w:color="B8CCE4"/>
            </w:tcBorders>
            <w:vAlign w:val="center"/>
            <w:hideMark/>
          </w:tcPr>
          <w:p w14:paraId="376C3A7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399,201</w:t>
            </w:r>
          </w:p>
        </w:tc>
        <w:tc>
          <w:tcPr>
            <w:tcW w:w="0" w:type="auto"/>
            <w:tcBorders>
              <w:top w:val="nil"/>
              <w:left w:val="nil"/>
              <w:bottom w:val="single" w:sz="4" w:space="0" w:color="B8CCE4"/>
              <w:right w:val="single" w:sz="4" w:space="0" w:color="B8CCE4"/>
            </w:tcBorders>
            <w:vAlign w:val="center"/>
            <w:hideMark/>
          </w:tcPr>
          <w:p w14:paraId="4E0CE41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8,160</w:t>
            </w:r>
          </w:p>
        </w:tc>
        <w:tc>
          <w:tcPr>
            <w:tcW w:w="0" w:type="auto"/>
            <w:tcBorders>
              <w:top w:val="nil"/>
              <w:left w:val="nil"/>
              <w:bottom w:val="single" w:sz="4" w:space="0" w:color="B8CCE4"/>
              <w:right w:val="single" w:sz="4" w:space="0" w:color="B8CCE4"/>
            </w:tcBorders>
            <w:vAlign w:val="center"/>
            <w:hideMark/>
          </w:tcPr>
          <w:p w14:paraId="5F972AE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394,298</w:t>
            </w:r>
          </w:p>
        </w:tc>
        <w:tc>
          <w:tcPr>
            <w:tcW w:w="0" w:type="auto"/>
            <w:tcBorders>
              <w:top w:val="nil"/>
              <w:left w:val="nil"/>
              <w:bottom w:val="single" w:sz="4" w:space="0" w:color="B8CCE4"/>
              <w:right w:val="single" w:sz="4" w:space="0" w:color="B8CCE4"/>
            </w:tcBorders>
            <w:vAlign w:val="center"/>
            <w:hideMark/>
          </w:tcPr>
          <w:p w14:paraId="4555FD5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8,046</w:t>
            </w:r>
          </w:p>
        </w:tc>
        <w:tc>
          <w:tcPr>
            <w:tcW w:w="0" w:type="auto"/>
            <w:tcBorders>
              <w:top w:val="nil"/>
              <w:left w:val="nil"/>
              <w:bottom w:val="single" w:sz="4" w:space="0" w:color="B8CCE4"/>
              <w:right w:val="single" w:sz="4" w:space="0" w:color="B8CCE4"/>
            </w:tcBorders>
            <w:vAlign w:val="center"/>
            <w:hideMark/>
          </w:tcPr>
          <w:p w14:paraId="0EE4E4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104%</w:t>
            </w:r>
          </w:p>
        </w:tc>
        <w:tc>
          <w:tcPr>
            <w:tcW w:w="0" w:type="auto"/>
            <w:tcBorders>
              <w:top w:val="nil"/>
              <w:left w:val="nil"/>
              <w:bottom w:val="single" w:sz="4" w:space="0" w:color="B8CCE4"/>
              <w:right w:val="single" w:sz="4" w:space="0" w:color="B8CCE4"/>
            </w:tcBorders>
            <w:vAlign w:val="center"/>
            <w:hideMark/>
          </w:tcPr>
          <w:p w14:paraId="7E1EB99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67%</w:t>
            </w:r>
          </w:p>
        </w:tc>
        <w:tc>
          <w:tcPr>
            <w:tcW w:w="0" w:type="auto"/>
            <w:tcBorders>
              <w:top w:val="nil"/>
              <w:left w:val="nil"/>
              <w:bottom w:val="single" w:sz="4" w:space="0" w:color="B8CCE4"/>
              <w:right w:val="single" w:sz="4" w:space="0" w:color="B8CCE4"/>
            </w:tcBorders>
            <w:vAlign w:val="center"/>
            <w:hideMark/>
          </w:tcPr>
          <w:p w14:paraId="7BC2034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5D04DB1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r>
      <w:tr w:rsidR="008A6B67" w:rsidRPr="00C156A0" w14:paraId="2726AAA7" w14:textId="77777777" w:rsidTr="00C95685">
        <w:trPr>
          <w:trHeight w:val="192"/>
          <w:jc w:val="center"/>
        </w:trPr>
        <w:tc>
          <w:tcPr>
            <w:tcW w:w="2484" w:type="dxa"/>
            <w:tcBorders>
              <w:top w:val="nil"/>
              <w:left w:val="single" w:sz="8" w:space="0" w:color="B8CCE4"/>
              <w:bottom w:val="single" w:sz="4" w:space="0" w:color="B8CCE4"/>
              <w:right w:val="single" w:sz="4" w:space="0" w:color="B8CCE4"/>
            </w:tcBorders>
            <w:vAlign w:val="center"/>
            <w:hideMark/>
          </w:tcPr>
          <w:p w14:paraId="39968B2A"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Sigurimi Shoqëror</w:t>
            </w:r>
          </w:p>
        </w:tc>
        <w:tc>
          <w:tcPr>
            <w:tcW w:w="0" w:type="auto"/>
            <w:tcBorders>
              <w:top w:val="nil"/>
              <w:left w:val="nil"/>
              <w:bottom w:val="single" w:sz="4" w:space="0" w:color="B8CCE4"/>
              <w:right w:val="single" w:sz="4" w:space="0" w:color="B8CCE4"/>
            </w:tcBorders>
            <w:vAlign w:val="center"/>
            <w:hideMark/>
          </w:tcPr>
          <w:p w14:paraId="5F659B4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40,800,090</w:t>
            </w:r>
          </w:p>
        </w:tc>
        <w:tc>
          <w:tcPr>
            <w:tcW w:w="0" w:type="auto"/>
            <w:tcBorders>
              <w:top w:val="nil"/>
              <w:left w:val="nil"/>
              <w:bottom w:val="single" w:sz="4" w:space="0" w:color="B8CCE4"/>
              <w:right w:val="single" w:sz="4" w:space="0" w:color="B8CCE4"/>
            </w:tcBorders>
            <w:vAlign w:val="center"/>
            <w:hideMark/>
          </w:tcPr>
          <w:p w14:paraId="5801F40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5DFB0A6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46,284,132</w:t>
            </w:r>
          </w:p>
        </w:tc>
        <w:tc>
          <w:tcPr>
            <w:tcW w:w="0" w:type="auto"/>
            <w:tcBorders>
              <w:top w:val="nil"/>
              <w:left w:val="nil"/>
              <w:bottom w:val="single" w:sz="4" w:space="0" w:color="B8CCE4"/>
              <w:right w:val="single" w:sz="4" w:space="0" w:color="B8CCE4"/>
            </w:tcBorders>
            <w:vAlign w:val="center"/>
            <w:hideMark/>
          </w:tcPr>
          <w:p w14:paraId="02CB002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40D2109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46,280,277</w:t>
            </w:r>
          </w:p>
        </w:tc>
        <w:tc>
          <w:tcPr>
            <w:tcW w:w="0" w:type="auto"/>
            <w:tcBorders>
              <w:top w:val="nil"/>
              <w:left w:val="nil"/>
              <w:bottom w:val="single" w:sz="4" w:space="0" w:color="B8CCE4"/>
              <w:right w:val="single" w:sz="4" w:space="0" w:color="B8CCE4"/>
            </w:tcBorders>
            <w:vAlign w:val="center"/>
            <w:hideMark/>
          </w:tcPr>
          <w:p w14:paraId="55D2653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0380E37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113%</w:t>
            </w:r>
          </w:p>
        </w:tc>
        <w:tc>
          <w:tcPr>
            <w:tcW w:w="0" w:type="auto"/>
            <w:tcBorders>
              <w:top w:val="nil"/>
              <w:left w:val="nil"/>
              <w:bottom w:val="single" w:sz="4" w:space="0" w:color="B8CCE4"/>
              <w:right w:val="single" w:sz="4" w:space="0" w:color="B8CCE4"/>
            </w:tcBorders>
            <w:vAlign w:val="center"/>
            <w:hideMark/>
          </w:tcPr>
          <w:p w14:paraId="02A31DD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46BC207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100%</w:t>
            </w:r>
          </w:p>
        </w:tc>
        <w:tc>
          <w:tcPr>
            <w:tcW w:w="0" w:type="auto"/>
            <w:tcBorders>
              <w:top w:val="nil"/>
              <w:left w:val="nil"/>
              <w:bottom w:val="single" w:sz="4" w:space="0" w:color="B8CCE4"/>
              <w:right w:val="single" w:sz="8" w:space="0" w:color="B8CCE4"/>
            </w:tcBorders>
            <w:vAlign w:val="center"/>
            <w:hideMark/>
          </w:tcPr>
          <w:p w14:paraId="3A353B0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r>
      <w:tr w:rsidR="008A6B67" w:rsidRPr="00C156A0" w14:paraId="26C1212C" w14:textId="77777777" w:rsidTr="00C95685">
        <w:trPr>
          <w:trHeight w:val="185"/>
          <w:jc w:val="center"/>
        </w:trPr>
        <w:tc>
          <w:tcPr>
            <w:tcW w:w="2484" w:type="dxa"/>
            <w:tcBorders>
              <w:top w:val="nil"/>
              <w:left w:val="single" w:sz="8" w:space="0" w:color="B8CCE4"/>
              <w:bottom w:val="single" w:sz="4" w:space="0" w:color="B8CCE4"/>
              <w:right w:val="single" w:sz="4" w:space="0" w:color="B8CCE4"/>
            </w:tcBorders>
            <w:vAlign w:val="center"/>
            <w:hideMark/>
          </w:tcPr>
          <w:p w14:paraId="116D8F1B"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Tregu i Punës</w:t>
            </w:r>
          </w:p>
        </w:tc>
        <w:tc>
          <w:tcPr>
            <w:tcW w:w="0" w:type="auto"/>
            <w:tcBorders>
              <w:top w:val="nil"/>
              <w:left w:val="nil"/>
              <w:bottom w:val="single" w:sz="4" w:space="0" w:color="B8CCE4"/>
              <w:right w:val="single" w:sz="4" w:space="0" w:color="B8CCE4"/>
            </w:tcBorders>
            <w:vAlign w:val="center"/>
            <w:hideMark/>
          </w:tcPr>
          <w:p w14:paraId="3317A86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2,775,547</w:t>
            </w:r>
          </w:p>
        </w:tc>
        <w:tc>
          <w:tcPr>
            <w:tcW w:w="0" w:type="auto"/>
            <w:tcBorders>
              <w:top w:val="nil"/>
              <w:left w:val="nil"/>
              <w:bottom w:val="single" w:sz="4" w:space="0" w:color="B8CCE4"/>
              <w:right w:val="single" w:sz="4" w:space="0" w:color="B8CCE4"/>
            </w:tcBorders>
            <w:vAlign w:val="center"/>
            <w:hideMark/>
          </w:tcPr>
          <w:p w14:paraId="2DA3FD4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151,000</w:t>
            </w:r>
          </w:p>
        </w:tc>
        <w:tc>
          <w:tcPr>
            <w:tcW w:w="0" w:type="auto"/>
            <w:tcBorders>
              <w:top w:val="nil"/>
              <w:left w:val="nil"/>
              <w:bottom w:val="single" w:sz="4" w:space="0" w:color="B8CCE4"/>
              <w:right w:val="single" w:sz="4" w:space="0" w:color="B8CCE4"/>
            </w:tcBorders>
            <w:vAlign w:val="center"/>
            <w:hideMark/>
          </w:tcPr>
          <w:p w14:paraId="0737D3A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2,537,593</w:t>
            </w:r>
          </w:p>
        </w:tc>
        <w:tc>
          <w:tcPr>
            <w:tcW w:w="0" w:type="auto"/>
            <w:tcBorders>
              <w:top w:val="nil"/>
              <w:left w:val="nil"/>
              <w:bottom w:val="single" w:sz="4" w:space="0" w:color="B8CCE4"/>
              <w:right w:val="single" w:sz="4" w:space="0" w:color="B8CCE4"/>
            </w:tcBorders>
            <w:vAlign w:val="center"/>
            <w:hideMark/>
          </w:tcPr>
          <w:p w14:paraId="03BE644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41,200</w:t>
            </w:r>
          </w:p>
        </w:tc>
        <w:tc>
          <w:tcPr>
            <w:tcW w:w="0" w:type="auto"/>
            <w:tcBorders>
              <w:top w:val="nil"/>
              <w:left w:val="nil"/>
              <w:bottom w:val="single" w:sz="4" w:space="0" w:color="B8CCE4"/>
              <w:right w:val="single" w:sz="4" w:space="0" w:color="B8CCE4"/>
            </w:tcBorders>
            <w:vAlign w:val="center"/>
            <w:hideMark/>
          </w:tcPr>
          <w:p w14:paraId="3A192E9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2,445,762</w:t>
            </w:r>
          </w:p>
        </w:tc>
        <w:tc>
          <w:tcPr>
            <w:tcW w:w="0" w:type="auto"/>
            <w:tcBorders>
              <w:top w:val="nil"/>
              <w:left w:val="nil"/>
              <w:bottom w:val="single" w:sz="4" w:space="0" w:color="B8CCE4"/>
              <w:right w:val="single" w:sz="4" w:space="0" w:color="B8CCE4"/>
            </w:tcBorders>
            <w:vAlign w:val="center"/>
            <w:hideMark/>
          </w:tcPr>
          <w:p w14:paraId="731D1EE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35,625</w:t>
            </w:r>
          </w:p>
        </w:tc>
        <w:tc>
          <w:tcPr>
            <w:tcW w:w="0" w:type="auto"/>
            <w:tcBorders>
              <w:top w:val="nil"/>
              <w:left w:val="nil"/>
              <w:bottom w:val="single" w:sz="4" w:space="0" w:color="B8CCE4"/>
              <w:right w:val="single" w:sz="4" w:space="0" w:color="B8CCE4"/>
            </w:tcBorders>
            <w:vAlign w:val="center"/>
            <w:hideMark/>
          </w:tcPr>
          <w:p w14:paraId="3F38ACF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88%</w:t>
            </w:r>
          </w:p>
        </w:tc>
        <w:tc>
          <w:tcPr>
            <w:tcW w:w="0" w:type="auto"/>
            <w:tcBorders>
              <w:top w:val="nil"/>
              <w:left w:val="nil"/>
              <w:bottom w:val="single" w:sz="4" w:space="0" w:color="B8CCE4"/>
              <w:right w:val="single" w:sz="4" w:space="0" w:color="B8CCE4"/>
            </w:tcBorders>
            <w:vAlign w:val="center"/>
            <w:hideMark/>
          </w:tcPr>
          <w:p w14:paraId="7C512A9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24%</w:t>
            </w:r>
          </w:p>
        </w:tc>
        <w:tc>
          <w:tcPr>
            <w:tcW w:w="0" w:type="auto"/>
            <w:tcBorders>
              <w:top w:val="nil"/>
              <w:left w:val="nil"/>
              <w:bottom w:val="single" w:sz="4" w:space="0" w:color="B8CCE4"/>
              <w:right w:val="single" w:sz="4" w:space="0" w:color="B8CCE4"/>
            </w:tcBorders>
            <w:vAlign w:val="center"/>
            <w:hideMark/>
          </w:tcPr>
          <w:p w14:paraId="50DCDEE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0" w:type="auto"/>
            <w:tcBorders>
              <w:top w:val="nil"/>
              <w:left w:val="nil"/>
              <w:bottom w:val="single" w:sz="4" w:space="0" w:color="B8CCE4"/>
              <w:right w:val="single" w:sz="8" w:space="0" w:color="B8CCE4"/>
            </w:tcBorders>
            <w:vAlign w:val="center"/>
            <w:hideMark/>
          </w:tcPr>
          <w:p w14:paraId="445FB57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86%</w:t>
            </w:r>
          </w:p>
        </w:tc>
      </w:tr>
      <w:tr w:rsidR="008A6B67" w:rsidRPr="00C156A0" w14:paraId="46776661" w14:textId="77777777" w:rsidTr="00C95685">
        <w:trPr>
          <w:trHeight w:val="185"/>
          <w:jc w:val="center"/>
        </w:trPr>
        <w:tc>
          <w:tcPr>
            <w:tcW w:w="2484" w:type="dxa"/>
            <w:tcBorders>
              <w:top w:val="nil"/>
              <w:left w:val="single" w:sz="8" w:space="0" w:color="B8CCE4"/>
              <w:bottom w:val="single" w:sz="4" w:space="0" w:color="B8CCE4"/>
              <w:right w:val="single" w:sz="4" w:space="0" w:color="B8CCE4"/>
            </w:tcBorders>
            <w:vAlign w:val="center"/>
            <w:hideMark/>
          </w:tcPr>
          <w:p w14:paraId="5A225C64" w14:textId="77777777" w:rsidR="00C156A0" w:rsidRPr="00C156A0" w:rsidRDefault="00C156A0" w:rsidP="00C156A0">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B8CCE4"/>
              <w:right w:val="single" w:sz="4" w:space="0" w:color="B8CCE4"/>
            </w:tcBorders>
            <w:vAlign w:val="center"/>
            <w:hideMark/>
          </w:tcPr>
          <w:p w14:paraId="733F462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5D72967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100,000</w:t>
            </w:r>
          </w:p>
        </w:tc>
        <w:tc>
          <w:tcPr>
            <w:tcW w:w="0" w:type="auto"/>
            <w:tcBorders>
              <w:top w:val="nil"/>
              <w:left w:val="nil"/>
              <w:bottom w:val="single" w:sz="4" w:space="0" w:color="B8CCE4"/>
              <w:right w:val="single" w:sz="4" w:space="0" w:color="B8CCE4"/>
            </w:tcBorders>
            <w:vAlign w:val="center"/>
            <w:hideMark/>
          </w:tcPr>
          <w:p w14:paraId="10022BE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3E5B990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30,000</w:t>
            </w:r>
          </w:p>
        </w:tc>
        <w:tc>
          <w:tcPr>
            <w:tcW w:w="0" w:type="auto"/>
            <w:tcBorders>
              <w:top w:val="nil"/>
              <w:left w:val="nil"/>
              <w:bottom w:val="single" w:sz="4" w:space="0" w:color="B8CCE4"/>
              <w:right w:val="single" w:sz="4" w:space="0" w:color="B8CCE4"/>
            </w:tcBorders>
            <w:vAlign w:val="center"/>
            <w:hideMark/>
          </w:tcPr>
          <w:p w14:paraId="5B0BA14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6835F50E"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2,375</w:t>
            </w:r>
          </w:p>
        </w:tc>
        <w:tc>
          <w:tcPr>
            <w:tcW w:w="0" w:type="auto"/>
            <w:tcBorders>
              <w:top w:val="nil"/>
              <w:left w:val="nil"/>
              <w:bottom w:val="single" w:sz="4" w:space="0" w:color="B8CCE4"/>
              <w:right w:val="single" w:sz="4" w:space="0" w:color="B8CCE4"/>
            </w:tcBorders>
            <w:vAlign w:val="center"/>
            <w:hideMark/>
          </w:tcPr>
          <w:p w14:paraId="79070DF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1EB0EFC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w:t>
            </w:r>
          </w:p>
        </w:tc>
        <w:tc>
          <w:tcPr>
            <w:tcW w:w="0" w:type="auto"/>
            <w:tcBorders>
              <w:top w:val="nil"/>
              <w:left w:val="nil"/>
              <w:bottom w:val="single" w:sz="4" w:space="0" w:color="B8CCE4"/>
              <w:right w:val="single" w:sz="4" w:space="0" w:color="B8CCE4"/>
            </w:tcBorders>
            <w:vAlign w:val="center"/>
            <w:hideMark/>
          </w:tcPr>
          <w:p w14:paraId="04EAFD0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8" w:space="0" w:color="B8CCE4"/>
            </w:tcBorders>
            <w:vAlign w:val="center"/>
            <w:hideMark/>
          </w:tcPr>
          <w:p w14:paraId="45FAED8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w:t>
            </w:r>
          </w:p>
        </w:tc>
      </w:tr>
      <w:tr w:rsidR="008A6B67" w:rsidRPr="00C156A0" w14:paraId="3BE0ED97" w14:textId="77777777" w:rsidTr="00C95685">
        <w:trPr>
          <w:trHeight w:val="170"/>
          <w:jc w:val="center"/>
        </w:trPr>
        <w:tc>
          <w:tcPr>
            <w:tcW w:w="2484" w:type="dxa"/>
            <w:tcBorders>
              <w:top w:val="nil"/>
              <w:left w:val="single" w:sz="8" w:space="0" w:color="B8CCE4"/>
              <w:bottom w:val="single" w:sz="4" w:space="0" w:color="B8CCE4"/>
              <w:right w:val="single" w:sz="4" w:space="0" w:color="B8CCE4"/>
            </w:tcBorders>
            <w:vAlign w:val="center"/>
            <w:hideMark/>
          </w:tcPr>
          <w:p w14:paraId="6D9F6742"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Inspektimi në punë</w:t>
            </w:r>
          </w:p>
        </w:tc>
        <w:tc>
          <w:tcPr>
            <w:tcW w:w="0" w:type="auto"/>
            <w:tcBorders>
              <w:top w:val="nil"/>
              <w:left w:val="nil"/>
              <w:bottom w:val="single" w:sz="4" w:space="0" w:color="B8CCE4"/>
              <w:right w:val="single" w:sz="4" w:space="0" w:color="B8CCE4"/>
            </w:tcBorders>
            <w:vAlign w:val="center"/>
            <w:hideMark/>
          </w:tcPr>
          <w:p w14:paraId="17494EE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260,984</w:t>
            </w:r>
          </w:p>
        </w:tc>
        <w:tc>
          <w:tcPr>
            <w:tcW w:w="0" w:type="auto"/>
            <w:tcBorders>
              <w:top w:val="nil"/>
              <w:left w:val="nil"/>
              <w:bottom w:val="single" w:sz="4" w:space="0" w:color="B8CCE4"/>
              <w:right w:val="single" w:sz="4" w:space="0" w:color="B8CCE4"/>
            </w:tcBorders>
            <w:vAlign w:val="center"/>
            <w:hideMark/>
          </w:tcPr>
          <w:p w14:paraId="7263E9F9"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22,000</w:t>
            </w:r>
          </w:p>
        </w:tc>
        <w:tc>
          <w:tcPr>
            <w:tcW w:w="0" w:type="auto"/>
            <w:tcBorders>
              <w:top w:val="nil"/>
              <w:left w:val="nil"/>
              <w:bottom w:val="single" w:sz="4" w:space="0" w:color="B8CCE4"/>
              <w:right w:val="single" w:sz="4" w:space="0" w:color="B8CCE4"/>
            </w:tcBorders>
            <w:vAlign w:val="center"/>
            <w:hideMark/>
          </w:tcPr>
          <w:p w14:paraId="7E13E64C"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260,371</w:t>
            </w:r>
          </w:p>
        </w:tc>
        <w:tc>
          <w:tcPr>
            <w:tcW w:w="0" w:type="auto"/>
            <w:tcBorders>
              <w:top w:val="nil"/>
              <w:left w:val="nil"/>
              <w:bottom w:val="single" w:sz="4" w:space="0" w:color="B8CCE4"/>
              <w:right w:val="single" w:sz="4" w:space="0" w:color="B8CCE4"/>
            </w:tcBorders>
            <w:vAlign w:val="center"/>
            <w:hideMark/>
          </w:tcPr>
          <w:p w14:paraId="5C76E0B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22,000</w:t>
            </w:r>
          </w:p>
        </w:tc>
        <w:tc>
          <w:tcPr>
            <w:tcW w:w="0" w:type="auto"/>
            <w:tcBorders>
              <w:top w:val="nil"/>
              <w:left w:val="nil"/>
              <w:bottom w:val="single" w:sz="4" w:space="0" w:color="B8CCE4"/>
              <w:right w:val="single" w:sz="4" w:space="0" w:color="B8CCE4"/>
            </w:tcBorders>
            <w:vAlign w:val="center"/>
            <w:hideMark/>
          </w:tcPr>
          <w:p w14:paraId="579827C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257,538</w:t>
            </w:r>
          </w:p>
        </w:tc>
        <w:tc>
          <w:tcPr>
            <w:tcW w:w="0" w:type="auto"/>
            <w:tcBorders>
              <w:top w:val="nil"/>
              <w:left w:val="nil"/>
              <w:bottom w:val="single" w:sz="4" w:space="0" w:color="B8CCE4"/>
              <w:right w:val="single" w:sz="4" w:space="0" w:color="B8CCE4"/>
            </w:tcBorders>
            <w:vAlign w:val="center"/>
            <w:hideMark/>
          </w:tcPr>
          <w:p w14:paraId="033B89F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21,522</w:t>
            </w:r>
          </w:p>
        </w:tc>
        <w:tc>
          <w:tcPr>
            <w:tcW w:w="0" w:type="auto"/>
            <w:tcBorders>
              <w:top w:val="nil"/>
              <w:left w:val="nil"/>
              <w:bottom w:val="single" w:sz="4" w:space="0" w:color="B8CCE4"/>
              <w:right w:val="single" w:sz="4" w:space="0" w:color="B8CCE4"/>
            </w:tcBorders>
            <w:vAlign w:val="center"/>
            <w:hideMark/>
          </w:tcPr>
          <w:p w14:paraId="1E29705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4" w:space="0" w:color="B8CCE4"/>
            </w:tcBorders>
            <w:vAlign w:val="center"/>
            <w:hideMark/>
          </w:tcPr>
          <w:p w14:paraId="36C6E99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w:t>
            </w:r>
          </w:p>
        </w:tc>
        <w:tc>
          <w:tcPr>
            <w:tcW w:w="0" w:type="auto"/>
            <w:tcBorders>
              <w:top w:val="nil"/>
              <w:left w:val="nil"/>
              <w:bottom w:val="single" w:sz="4" w:space="0" w:color="B8CCE4"/>
              <w:right w:val="single" w:sz="4" w:space="0" w:color="B8CCE4"/>
            </w:tcBorders>
            <w:vAlign w:val="center"/>
            <w:hideMark/>
          </w:tcPr>
          <w:p w14:paraId="07FBEA4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c>
          <w:tcPr>
            <w:tcW w:w="0" w:type="auto"/>
            <w:tcBorders>
              <w:top w:val="nil"/>
              <w:left w:val="nil"/>
              <w:bottom w:val="single" w:sz="4" w:space="0" w:color="B8CCE4"/>
              <w:right w:val="single" w:sz="8" w:space="0" w:color="B8CCE4"/>
            </w:tcBorders>
            <w:vAlign w:val="center"/>
            <w:hideMark/>
          </w:tcPr>
          <w:p w14:paraId="66573D8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98%</w:t>
            </w:r>
          </w:p>
        </w:tc>
      </w:tr>
      <w:tr w:rsidR="008A6B67" w:rsidRPr="00C156A0" w14:paraId="09C3E690" w14:textId="77777777" w:rsidTr="00C95685">
        <w:trPr>
          <w:trHeight w:val="159"/>
          <w:jc w:val="center"/>
        </w:trPr>
        <w:tc>
          <w:tcPr>
            <w:tcW w:w="2484" w:type="dxa"/>
            <w:tcBorders>
              <w:top w:val="nil"/>
              <w:left w:val="single" w:sz="8" w:space="0" w:color="B8CCE4"/>
              <w:bottom w:val="single" w:sz="4" w:space="0" w:color="B8CCE4"/>
              <w:right w:val="single" w:sz="4" w:space="0" w:color="B8CCE4"/>
            </w:tcBorders>
            <w:vAlign w:val="center"/>
            <w:hideMark/>
          </w:tcPr>
          <w:p w14:paraId="3F078981"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Arsimi i Mesëm Profesional</w:t>
            </w:r>
          </w:p>
        </w:tc>
        <w:tc>
          <w:tcPr>
            <w:tcW w:w="0" w:type="auto"/>
            <w:tcBorders>
              <w:top w:val="nil"/>
              <w:left w:val="nil"/>
              <w:bottom w:val="single" w:sz="4" w:space="0" w:color="B8CCE4"/>
              <w:right w:val="single" w:sz="4" w:space="0" w:color="B8CCE4"/>
            </w:tcBorders>
            <w:vAlign w:val="center"/>
            <w:hideMark/>
          </w:tcPr>
          <w:p w14:paraId="1F32F6E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3,132,000</w:t>
            </w:r>
          </w:p>
        </w:tc>
        <w:tc>
          <w:tcPr>
            <w:tcW w:w="0" w:type="auto"/>
            <w:tcBorders>
              <w:top w:val="nil"/>
              <w:left w:val="nil"/>
              <w:bottom w:val="single" w:sz="4" w:space="0" w:color="B8CCE4"/>
              <w:right w:val="single" w:sz="4" w:space="0" w:color="B8CCE4"/>
            </w:tcBorders>
            <w:vAlign w:val="center"/>
            <w:hideMark/>
          </w:tcPr>
          <w:p w14:paraId="0137AC81"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808,469</w:t>
            </w:r>
          </w:p>
        </w:tc>
        <w:tc>
          <w:tcPr>
            <w:tcW w:w="0" w:type="auto"/>
            <w:tcBorders>
              <w:top w:val="nil"/>
              <w:left w:val="nil"/>
              <w:bottom w:val="single" w:sz="4" w:space="0" w:color="B8CCE4"/>
              <w:right w:val="single" w:sz="4" w:space="0" w:color="B8CCE4"/>
            </w:tcBorders>
            <w:vAlign w:val="center"/>
            <w:hideMark/>
          </w:tcPr>
          <w:p w14:paraId="4FE1928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3,058,863</w:t>
            </w:r>
          </w:p>
        </w:tc>
        <w:tc>
          <w:tcPr>
            <w:tcW w:w="0" w:type="auto"/>
            <w:tcBorders>
              <w:top w:val="nil"/>
              <w:left w:val="nil"/>
              <w:bottom w:val="single" w:sz="4" w:space="0" w:color="B8CCE4"/>
              <w:right w:val="single" w:sz="4" w:space="0" w:color="B8CCE4"/>
            </w:tcBorders>
            <w:vAlign w:val="center"/>
            <w:hideMark/>
          </w:tcPr>
          <w:p w14:paraId="1BBE16D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213,649</w:t>
            </w:r>
          </w:p>
        </w:tc>
        <w:tc>
          <w:tcPr>
            <w:tcW w:w="0" w:type="auto"/>
            <w:tcBorders>
              <w:top w:val="nil"/>
              <w:left w:val="nil"/>
              <w:bottom w:val="single" w:sz="4" w:space="0" w:color="B8CCE4"/>
              <w:right w:val="single" w:sz="4" w:space="0" w:color="B8CCE4"/>
            </w:tcBorders>
            <w:shd w:val="clear" w:color="000000" w:fill="FFFFFF"/>
            <w:vAlign w:val="center"/>
            <w:hideMark/>
          </w:tcPr>
          <w:p w14:paraId="667EE8F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2,981,543</w:t>
            </w:r>
          </w:p>
        </w:tc>
        <w:tc>
          <w:tcPr>
            <w:tcW w:w="0" w:type="auto"/>
            <w:tcBorders>
              <w:top w:val="nil"/>
              <w:left w:val="nil"/>
              <w:bottom w:val="single" w:sz="4" w:space="0" w:color="B8CCE4"/>
              <w:right w:val="single" w:sz="4" w:space="0" w:color="B8CCE4"/>
            </w:tcBorders>
            <w:shd w:val="clear" w:color="000000" w:fill="FFFFFF"/>
            <w:vAlign w:val="center"/>
            <w:hideMark/>
          </w:tcPr>
          <w:p w14:paraId="2DBCCBD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211,909</w:t>
            </w:r>
          </w:p>
        </w:tc>
        <w:tc>
          <w:tcPr>
            <w:tcW w:w="0" w:type="auto"/>
            <w:tcBorders>
              <w:top w:val="nil"/>
              <w:left w:val="nil"/>
              <w:bottom w:val="single" w:sz="4" w:space="0" w:color="B8CCE4"/>
              <w:right w:val="single" w:sz="4" w:space="0" w:color="B8CCE4"/>
            </w:tcBorders>
            <w:vAlign w:val="center"/>
            <w:hideMark/>
          </w:tcPr>
          <w:p w14:paraId="3EE4A4B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95%</w:t>
            </w:r>
          </w:p>
        </w:tc>
        <w:tc>
          <w:tcPr>
            <w:tcW w:w="0" w:type="auto"/>
            <w:tcBorders>
              <w:top w:val="nil"/>
              <w:left w:val="nil"/>
              <w:bottom w:val="single" w:sz="4" w:space="0" w:color="B8CCE4"/>
              <w:right w:val="single" w:sz="4" w:space="0" w:color="B8CCE4"/>
            </w:tcBorders>
            <w:vAlign w:val="center"/>
            <w:hideMark/>
          </w:tcPr>
          <w:p w14:paraId="6490B1E3"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26%</w:t>
            </w:r>
          </w:p>
        </w:tc>
        <w:tc>
          <w:tcPr>
            <w:tcW w:w="0" w:type="auto"/>
            <w:tcBorders>
              <w:top w:val="nil"/>
              <w:left w:val="nil"/>
              <w:bottom w:val="single" w:sz="4" w:space="0" w:color="B8CCE4"/>
              <w:right w:val="single" w:sz="4" w:space="0" w:color="B8CCE4"/>
            </w:tcBorders>
            <w:vAlign w:val="center"/>
            <w:hideMark/>
          </w:tcPr>
          <w:p w14:paraId="1E053965"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97%</w:t>
            </w:r>
          </w:p>
        </w:tc>
        <w:tc>
          <w:tcPr>
            <w:tcW w:w="0" w:type="auto"/>
            <w:tcBorders>
              <w:top w:val="nil"/>
              <w:left w:val="nil"/>
              <w:bottom w:val="single" w:sz="4" w:space="0" w:color="B8CCE4"/>
              <w:right w:val="single" w:sz="8" w:space="0" w:color="B8CCE4"/>
            </w:tcBorders>
            <w:vAlign w:val="center"/>
            <w:hideMark/>
          </w:tcPr>
          <w:p w14:paraId="497788B2"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99%</w:t>
            </w:r>
          </w:p>
        </w:tc>
      </w:tr>
      <w:tr w:rsidR="008A6B67" w:rsidRPr="00C156A0" w14:paraId="480D2AF5" w14:textId="77777777" w:rsidTr="00C95685">
        <w:trPr>
          <w:trHeight w:val="141"/>
          <w:jc w:val="center"/>
        </w:trPr>
        <w:tc>
          <w:tcPr>
            <w:tcW w:w="2484" w:type="dxa"/>
            <w:tcBorders>
              <w:top w:val="nil"/>
              <w:left w:val="single" w:sz="8" w:space="0" w:color="B8CCE4"/>
              <w:bottom w:val="single" w:sz="4" w:space="0" w:color="B8CCE4"/>
              <w:right w:val="single" w:sz="4" w:space="0" w:color="B8CCE4"/>
            </w:tcBorders>
            <w:vAlign w:val="center"/>
            <w:hideMark/>
          </w:tcPr>
          <w:p w14:paraId="3B70EA3F" w14:textId="77777777" w:rsidR="00C156A0" w:rsidRPr="00C156A0" w:rsidRDefault="00C156A0" w:rsidP="00C156A0">
            <w:pPr>
              <w:spacing w:before="0" w:line="240" w:lineRule="auto"/>
              <w:jc w:val="right"/>
              <w:rPr>
                <w:rFonts w:cs="Calibri"/>
                <w:b/>
                <w:bCs/>
                <w:color w:val="000000"/>
                <w:sz w:val="16"/>
                <w:szCs w:val="16"/>
                <w:lang w:val="sq-AL"/>
              </w:rPr>
            </w:pPr>
            <w:r w:rsidRPr="00C156A0">
              <w:rPr>
                <w:rFonts w:cs="Calibri"/>
                <w:b/>
                <w:bCs/>
                <w:color w:val="000000"/>
                <w:sz w:val="16"/>
                <w:szCs w:val="16"/>
                <w:lang w:val="sq-AL"/>
              </w:rPr>
              <w:t>Financimi i huaj</w:t>
            </w:r>
          </w:p>
        </w:tc>
        <w:tc>
          <w:tcPr>
            <w:tcW w:w="0" w:type="auto"/>
            <w:tcBorders>
              <w:top w:val="nil"/>
              <w:left w:val="nil"/>
              <w:bottom w:val="single" w:sz="4" w:space="0" w:color="B8CCE4"/>
              <w:right w:val="single" w:sz="4" w:space="0" w:color="B8CCE4"/>
            </w:tcBorders>
            <w:vAlign w:val="center"/>
            <w:hideMark/>
          </w:tcPr>
          <w:p w14:paraId="75D734B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 </w:t>
            </w:r>
          </w:p>
        </w:tc>
        <w:tc>
          <w:tcPr>
            <w:tcW w:w="0" w:type="auto"/>
            <w:tcBorders>
              <w:top w:val="nil"/>
              <w:left w:val="nil"/>
              <w:bottom w:val="single" w:sz="4" w:space="0" w:color="B8CCE4"/>
              <w:right w:val="single" w:sz="4" w:space="0" w:color="B8CCE4"/>
            </w:tcBorders>
            <w:vAlign w:val="center"/>
            <w:hideMark/>
          </w:tcPr>
          <w:p w14:paraId="5C0F76A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570,000</w:t>
            </w:r>
          </w:p>
        </w:tc>
        <w:tc>
          <w:tcPr>
            <w:tcW w:w="0" w:type="auto"/>
            <w:tcBorders>
              <w:top w:val="nil"/>
              <w:left w:val="nil"/>
              <w:bottom w:val="single" w:sz="4" w:space="0" w:color="B8CCE4"/>
              <w:right w:val="single" w:sz="4" w:space="0" w:color="B8CCE4"/>
            </w:tcBorders>
            <w:vAlign w:val="center"/>
            <w:hideMark/>
          </w:tcPr>
          <w:p w14:paraId="5846C00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 </w:t>
            </w:r>
          </w:p>
        </w:tc>
        <w:tc>
          <w:tcPr>
            <w:tcW w:w="0" w:type="auto"/>
            <w:tcBorders>
              <w:top w:val="nil"/>
              <w:left w:val="nil"/>
              <w:bottom w:val="single" w:sz="4" w:space="0" w:color="B8CCE4"/>
              <w:right w:val="single" w:sz="4" w:space="0" w:color="B8CCE4"/>
            </w:tcBorders>
            <w:vAlign w:val="center"/>
            <w:hideMark/>
          </w:tcPr>
          <w:p w14:paraId="2D428A1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570,000</w:t>
            </w:r>
          </w:p>
        </w:tc>
        <w:tc>
          <w:tcPr>
            <w:tcW w:w="0" w:type="auto"/>
            <w:tcBorders>
              <w:top w:val="nil"/>
              <w:left w:val="nil"/>
              <w:bottom w:val="single" w:sz="4" w:space="0" w:color="B8CCE4"/>
              <w:right w:val="single" w:sz="4" w:space="0" w:color="B8CCE4"/>
            </w:tcBorders>
            <w:vAlign w:val="center"/>
            <w:hideMark/>
          </w:tcPr>
          <w:p w14:paraId="6CB8664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 </w:t>
            </w:r>
          </w:p>
        </w:tc>
        <w:tc>
          <w:tcPr>
            <w:tcW w:w="0" w:type="auto"/>
            <w:tcBorders>
              <w:top w:val="nil"/>
              <w:left w:val="nil"/>
              <w:bottom w:val="single" w:sz="4" w:space="0" w:color="B8CCE4"/>
              <w:right w:val="single" w:sz="4" w:space="0" w:color="B8CCE4"/>
            </w:tcBorders>
            <w:vAlign w:val="center"/>
            <w:hideMark/>
          </w:tcPr>
          <w:p w14:paraId="7937938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334,770</w:t>
            </w:r>
          </w:p>
        </w:tc>
        <w:tc>
          <w:tcPr>
            <w:tcW w:w="0" w:type="auto"/>
            <w:tcBorders>
              <w:top w:val="nil"/>
              <w:left w:val="nil"/>
              <w:bottom w:val="single" w:sz="4" w:space="0" w:color="B8CCE4"/>
              <w:right w:val="single" w:sz="4" w:space="0" w:color="B8CCE4"/>
            </w:tcBorders>
            <w:vAlign w:val="center"/>
            <w:hideMark/>
          </w:tcPr>
          <w:p w14:paraId="642423B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4" w:space="0" w:color="B8CCE4"/>
            </w:tcBorders>
            <w:vAlign w:val="center"/>
            <w:hideMark/>
          </w:tcPr>
          <w:p w14:paraId="597B3D28"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59%</w:t>
            </w:r>
          </w:p>
        </w:tc>
        <w:tc>
          <w:tcPr>
            <w:tcW w:w="0" w:type="auto"/>
            <w:tcBorders>
              <w:top w:val="nil"/>
              <w:left w:val="nil"/>
              <w:bottom w:val="single" w:sz="4" w:space="0" w:color="B8CCE4"/>
              <w:right w:val="single" w:sz="4" w:space="0" w:color="B8CCE4"/>
            </w:tcBorders>
            <w:vAlign w:val="center"/>
            <w:hideMark/>
          </w:tcPr>
          <w:p w14:paraId="67E6164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w:t>
            </w:r>
          </w:p>
        </w:tc>
        <w:tc>
          <w:tcPr>
            <w:tcW w:w="0" w:type="auto"/>
            <w:tcBorders>
              <w:top w:val="nil"/>
              <w:left w:val="nil"/>
              <w:bottom w:val="single" w:sz="4" w:space="0" w:color="B8CCE4"/>
              <w:right w:val="single" w:sz="8" w:space="0" w:color="B8CCE4"/>
            </w:tcBorders>
            <w:vAlign w:val="center"/>
            <w:hideMark/>
          </w:tcPr>
          <w:p w14:paraId="00F1671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59%</w:t>
            </w:r>
          </w:p>
        </w:tc>
      </w:tr>
      <w:tr w:rsidR="008A6B67" w:rsidRPr="00C156A0" w14:paraId="43571B8F" w14:textId="77777777" w:rsidTr="00C95685">
        <w:trPr>
          <w:trHeight w:val="159"/>
          <w:jc w:val="center"/>
        </w:trPr>
        <w:tc>
          <w:tcPr>
            <w:tcW w:w="2484" w:type="dxa"/>
            <w:tcBorders>
              <w:top w:val="nil"/>
              <w:left w:val="single" w:sz="8" w:space="0" w:color="B8CCE4"/>
              <w:bottom w:val="single" w:sz="4" w:space="0" w:color="B8CCE4"/>
              <w:right w:val="single" w:sz="4" w:space="0" w:color="B8CCE4"/>
            </w:tcBorders>
            <w:vAlign w:val="center"/>
            <w:hideMark/>
          </w:tcPr>
          <w:p w14:paraId="3C35E307" w14:textId="77777777" w:rsidR="00C156A0" w:rsidRPr="00C156A0" w:rsidRDefault="00C156A0" w:rsidP="009C048C">
            <w:pPr>
              <w:spacing w:before="0" w:line="240" w:lineRule="auto"/>
              <w:jc w:val="left"/>
              <w:rPr>
                <w:rFonts w:cs="Calibri"/>
                <w:b/>
                <w:bCs/>
                <w:color w:val="000000"/>
                <w:sz w:val="16"/>
                <w:szCs w:val="16"/>
                <w:lang w:val="sq-AL"/>
              </w:rPr>
            </w:pPr>
            <w:r w:rsidRPr="00C156A0">
              <w:rPr>
                <w:rFonts w:cs="Calibri"/>
                <w:b/>
                <w:bCs/>
                <w:color w:val="000000"/>
                <w:sz w:val="16"/>
                <w:szCs w:val="16"/>
                <w:lang w:val="sq-AL"/>
              </w:rPr>
              <w:t>Strehimi</w:t>
            </w:r>
          </w:p>
        </w:tc>
        <w:tc>
          <w:tcPr>
            <w:tcW w:w="0" w:type="auto"/>
            <w:tcBorders>
              <w:top w:val="nil"/>
              <w:left w:val="nil"/>
              <w:bottom w:val="single" w:sz="4" w:space="0" w:color="B8CCE4"/>
              <w:right w:val="single" w:sz="4" w:space="0" w:color="B8CCE4"/>
            </w:tcBorders>
            <w:vAlign w:val="center"/>
            <w:hideMark/>
          </w:tcPr>
          <w:p w14:paraId="7A5369AB"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745,000</w:t>
            </w:r>
          </w:p>
        </w:tc>
        <w:tc>
          <w:tcPr>
            <w:tcW w:w="0" w:type="auto"/>
            <w:tcBorders>
              <w:top w:val="nil"/>
              <w:left w:val="nil"/>
              <w:bottom w:val="single" w:sz="4" w:space="0" w:color="B8CCE4"/>
              <w:right w:val="single" w:sz="4" w:space="0" w:color="B8CCE4"/>
            </w:tcBorders>
            <w:vAlign w:val="center"/>
            <w:hideMark/>
          </w:tcPr>
          <w:p w14:paraId="6D09B51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550,000</w:t>
            </w:r>
          </w:p>
        </w:tc>
        <w:tc>
          <w:tcPr>
            <w:tcW w:w="0" w:type="auto"/>
            <w:tcBorders>
              <w:top w:val="nil"/>
              <w:left w:val="nil"/>
              <w:bottom w:val="single" w:sz="4" w:space="0" w:color="B8CCE4"/>
              <w:right w:val="single" w:sz="4" w:space="0" w:color="B8CCE4"/>
            </w:tcBorders>
            <w:vAlign w:val="center"/>
            <w:hideMark/>
          </w:tcPr>
          <w:p w14:paraId="28740F0A"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535,018</w:t>
            </w:r>
          </w:p>
        </w:tc>
        <w:tc>
          <w:tcPr>
            <w:tcW w:w="0" w:type="auto"/>
            <w:tcBorders>
              <w:top w:val="nil"/>
              <w:left w:val="nil"/>
              <w:bottom w:val="single" w:sz="4" w:space="0" w:color="B8CCE4"/>
              <w:right w:val="single" w:sz="4" w:space="0" w:color="B8CCE4"/>
            </w:tcBorders>
            <w:vAlign w:val="center"/>
            <w:hideMark/>
          </w:tcPr>
          <w:p w14:paraId="0771BF97"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570,095</w:t>
            </w:r>
          </w:p>
        </w:tc>
        <w:tc>
          <w:tcPr>
            <w:tcW w:w="0" w:type="auto"/>
            <w:tcBorders>
              <w:top w:val="nil"/>
              <w:left w:val="nil"/>
              <w:bottom w:val="single" w:sz="4" w:space="0" w:color="B8CCE4"/>
              <w:right w:val="single" w:sz="4" w:space="0" w:color="B8CCE4"/>
            </w:tcBorders>
            <w:vAlign w:val="center"/>
            <w:hideMark/>
          </w:tcPr>
          <w:p w14:paraId="31CFA5E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511,424</w:t>
            </w:r>
          </w:p>
        </w:tc>
        <w:tc>
          <w:tcPr>
            <w:tcW w:w="0" w:type="auto"/>
            <w:tcBorders>
              <w:top w:val="nil"/>
              <w:left w:val="nil"/>
              <w:bottom w:val="single" w:sz="4" w:space="0" w:color="B8CCE4"/>
              <w:right w:val="single" w:sz="4" w:space="0" w:color="B8CCE4"/>
            </w:tcBorders>
            <w:vAlign w:val="center"/>
            <w:hideMark/>
          </w:tcPr>
          <w:p w14:paraId="061B47B0"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554,741</w:t>
            </w:r>
          </w:p>
        </w:tc>
        <w:tc>
          <w:tcPr>
            <w:tcW w:w="0" w:type="auto"/>
            <w:tcBorders>
              <w:top w:val="nil"/>
              <w:left w:val="nil"/>
              <w:bottom w:val="single" w:sz="4" w:space="0" w:color="B8CCE4"/>
              <w:right w:val="single" w:sz="4" w:space="0" w:color="B8CCE4"/>
            </w:tcBorders>
            <w:vAlign w:val="center"/>
            <w:hideMark/>
          </w:tcPr>
          <w:p w14:paraId="5F99DF16"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69%</w:t>
            </w:r>
          </w:p>
        </w:tc>
        <w:tc>
          <w:tcPr>
            <w:tcW w:w="0" w:type="auto"/>
            <w:tcBorders>
              <w:top w:val="nil"/>
              <w:left w:val="nil"/>
              <w:bottom w:val="single" w:sz="4" w:space="0" w:color="B8CCE4"/>
              <w:right w:val="single" w:sz="4" w:space="0" w:color="B8CCE4"/>
            </w:tcBorders>
            <w:vAlign w:val="center"/>
            <w:hideMark/>
          </w:tcPr>
          <w:p w14:paraId="2D103904"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101%</w:t>
            </w:r>
          </w:p>
        </w:tc>
        <w:tc>
          <w:tcPr>
            <w:tcW w:w="0" w:type="auto"/>
            <w:tcBorders>
              <w:top w:val="nil"/>
              <w:left w:val="nil"/>
              <w:bottom w:val="single" w:sz="4" w:space="0" w:color="B8CCE4"/>
              <w:right w:val="single" w:sz="4" w:space="0" w:color="B8CCE4"/>
            </w:tcBorders>
            <w:vAlign w:val="center"/>
            <w:hideMark/>
          </w:tcPr>
          <w:p w14:paraId="6268291D"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96%</w:t>
            </w:r>
          </w:p>
        </w:tc>
        <w:tc>
          <w:tcPr>
            <w:tcW w:w="0" w:type="auto"/>
            <w:tcBorders>
              <w:top w:val="nil"/>
              <w:left w:val="nil"/>
              <w:bottom w:val="single" w:sz="4" w:space="0" w:color="B8CCE4"/>
              <w:right w:val="single" w:sz="8" w:space="0" w:color="B8CCE4"/>
            </w:tcBorders>
            <w:vAlign w:val="center"/>
            <w:hideMark/>
          </w:tcPr>
          <w:p w14:paraId="50FE357F" w14:textId="77777777" w:rsidR="00C156A0" w:rsidRPr="00C156A0" w:rsidRDefault="00C156A0" w:rsidP="00C156A0">
            <w:pPr>
              <w:spacing w:before="0" w:line="240" w:lineRule="auto"/>
              <w:jc w:val="center"/>
              <w:rPr>
                <w:rFonts w:cs="Calibri"/>
                <w:color w:val="000000"/>
                <w:sz w:val="16"/>
                <w:szCs w:val="16"/>
                <w:lang w:val="sq-AL"/>
              </w:rPr>
            </w:pPr>
            <w:r w:rsidRPr="00C156A0">
              <w:rPr>
                <w:rFonts w:cs="Calibri"/>
                <w:color w:val="000000"/>
                <w:sz w:val="16"/>
                <w:szCs w:val="16"/>
                <w:lang w:val="sq-AL"/>
              </w:rPr>
              <w:t>97%</w:t>
            </w:r>
          </w:p>
        </w:tc>
      </w:tr>
      <w:tr w:rsidR="00C95685" w:rsidRPr="00C156A0" w14:paraId="3E8DAB9E" w14:textId="77777777" w:rsidTr="00C95685">
        <w:trPr>
          <w:trHeight w:val="185"/>
          <w:jc w:val="center"/>
        </w:trPr>
        <w:tc>
          <w:tcPr>
            <w:tcW w:w="2484" w:type="dxa"/>
            <w:tcBorders>
              <w:top w:val="nil"/>
              <w:left w:val="single" w:sz="4" w:space="0" w:color="B8CCE4"/>
              <w:bottom w:val="single" w:sz="4" w:space="0" w:color="B8CCE4"/>
              <w:right w:val="single" w:sz="4" w:space="0" w:color="B8CCE4"/>
            </w:tcBorders>
            <w:shd w:val="clear" w:color="000000" w:fill="366092"/>
            <w:vAlign w:val="center"/>
            <w:hideMark/>
          </w:tcPr>
          <w:p w14:paraId="7FC90F4B"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 sipas natyrës</w:t>
            </w:r>
          </w:p>
        </w:tc>
        <w:tc>
          <w:tcPr>
            <w:tcW w:w="0" w:type="auto"/>
            <w:tcBorders>
              <w:top w:val="nil"/>
              <w:left w:val="nil"/>
              <w:bottom w:val="single" w:sz="4" w:space="0" w:color="B8CCE4"/>
              <w:right w:val="single" w:sz="4" w:space="0" w:color="B8CCE4"/>
            </w:tcBorders>
            <w:shd w:val="clear" w:color="000000" w:fill="366092"/>
            <w:vAlign w:val="center"/>
            <w:hideMark/>
          </w:tcPr>
          <w:p w14:paraId="5F5CA1F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49,194,821</w:t>
            </w:r>
          </w:p>
        </w:tc>
        <w:tc>
          <w:tcPr>
            <w:tcW w:w="0" w:type="auto"/>
            <w:tcBorders>
              <w:top w:val="nil"/>
              <w:left w:val="nil"/>
              <w:bottom w:val="single" w:sz="4" w:space="0" w:color="B8CCE4"/>
              <w:right w:val="single" w:sz="4" w:space="0" w:color="B8CCE4"/>
            </w:tcBorders>
            <w:shd w:val="clear" w:color="000000" w:fill="366092"/>
            <w:vAlign w:val="center"/>
            <w:hideMark/>
          </w:tcPr>
          <w:p w14:paraId="7FBF368E"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2,570,159</w:t>
            </w:r>
          </w:p>
        </w:tc>
        <w:tc>
          <w:tcPr>
            <w:tcW w:w="0" w:type="auto"/>
            <w:tcBorders>
              <w:top w:val="nil"/>
              <w:left w:val="nil"/>
              <w:bottom w:val="single" w:sz="4" w:space="0" w:color="B8CCE4"/>
              <w:right w:val="single" w:sz="4" w:space="0" w:color="B8CCE4"/>
            </w:tcBorders>
            <w:shd w:val="clear" w:color="000000" w:fill="366092"/>
            <w:vAlign w:val="center"/>
            <w:hideMark/>
          </w:tcPr>
          <w:p w14:paraId="659CE90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54,150,638</w:t>
            </w:r>
          </w:p>
        </w:tc>
        <w:tc>
          <w:tcPr>
            <w:tcW w:w="0" w:type="auto"/>
            <w:tcBorders>
              <w:top w:val="nil"/>
              <w:left w:val="nil"/>
              <w:bottom w:val="single" w:sz="4" w:space="0" w:color="B8CCE4"/>
              <w:right w:val="single" w:sz="4" w:space="0" w:color="B8CCE4"/>
            </w:tcBorders>
            <w:shd w:val="clear" w:color="000000" w:fill="366092"/>
            <w:vAlign w:val="center"/>
            <w:hideMark/>
          </w:tcPr>
          <w:p w14:paraId="4FA3E2A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2,545,468</w:t>
            </w:r>
          </w:p>
        </w:tc>
        <w:tc>
          <w:tcPr>
            <w:tcW w:w="0" w:type="auto"/>
            <w:tcBorders>
              <w:top w:val="nil"/>
              <w:left w:val="nil"/>
              <w:bottom w:val="single" w:sz="4" w:space="0" w:color="B8CCE4"/>
              <w:right w:val="single" w:sz="4" w:space="0" w:color="B8CCE4"/>
            </w:tcBorders>
            <w:shd w:val="clear" w:color="000000" w:fill="366092"/>
            <w:vAlign w:val="center"/>
            <w:hideMark/>
          </w:tcPr>
          <w:p w14:paraId="5D3AA384"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53,904,436</w:t>
            </w:r>
          </w:p>
        </w:tc>
        <w:tc>
          <w:tcPr>
            <w:tcW w:w="0" w:type="auto"/>
            <w:tcBorders>
              <w:top w:val="nil"/>
              <w:left w:val="nil"/>
              <w:bottom w:val="single" w:sz="4" w:space="0" w:color="B8CCE4"/>
              <w:right w:val="single" w:sz="4" w:space="0" w:color="B8CCE4"/>
            </w:tcBorders>
            <w:shd w:val="clear" w:color="000000" w:fill="366092"/>
            <w:vAlign w:val="center"/>
            <w:hideMark/>
          </w:tcPr>
          <w:p w14:paraId="2D9FD50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2,198,543</w:t>
            </w:r>
          </w:p>
        </w:tc>
        <w:tc>
          <w:tcPr>
            <w:tcW w:w="0" w:type="auto"/>
            <w:tcBorders>
              <w:top w:val="nil"/>
              <w:left w:val="nil"/>
              <w:bottom w:val="single" w:sz="4" w:space="0" w:color="B8CCE4"/>
              <w:right w:val="single" w:sz="4" w:space="0" w:color="B8CCE4"/>
            </w:tcBorders>
            <w:shd w:val="clear" w:color="000000" w:fill="366092"/>
            <w:vAlign w:val="center"/>
            <w:hideMark/>
          </w:tcPr>
          <w:p w14:paraId="67BCFBE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110%</w:t>
            </w:r>
          </w:p>
        </w:tc>
        <w:tc>
          <w:tcPr>
            <w:tcW w:w="0" w:type="auto"/>
            <w:tcBorders>
              <w:top w:val="nil"/>
              <w:left w:val="nil"/>
              <w:bottom w:val="single" w:sz="4" w:space="0" w:color="B8CCE4"/>
              <w:right w:val="single" w:sz="4" w:space="0" w:color="B8CCE4"/>
            </w:tcBorders>
            <w:shd w:val="clear" w:color="000000" w:fill="366092"/>
            <w:vAlign w:val="center"/>
            <w:hideMark/>
          </w:tcPr>
          <w:p w14:paraId="5817F4B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86%</w:t>
            </w:r>
          </w:p>
        </w:tc>
        <w:tc>
          <w:tcPr>
            <w:tcW w:w="0" w:type="auto"/>
            <w:tcBorders>
              <w:top w:val="nil"/>
              <w:left w:val="nil"/>
              <w:bottom w:val="single" w:sz="4" w:space="0" w:color="B8CCE4"/>
              <w:right w:val="single" w:sz="4" w:space="0" w:color="B8CCE4"/>
            </w:tcBorders>
            <w:shd w:val="clear" w:color="000000" w:fill="366092"/>
            <w:vAlign w:val="center"/>
            <w:hideMark/>
          </w:tcPr>
          <w:p w14:paraId="2A14656E"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100%</w:t>
            </w:r>
          </w:p>
        </w:tc>
        <w:tc>
          <w:tcPr>
            <w:tcW w:w="0" w:type="auto"/>
            <w:tcBorders>
              <w:top w:val="nil"/>
              <w:left w:val="nil"/>
              <w:bottom w:val="single" w:sz="4" w:space="0" w:color="B8CCE4"/>
              <w:right w:val="single" w:sz="8" w:space="0" w:color="B8CCE4"/>
            </w:tcBorders>
            <w:shd w:val="clear" w:color="000000" w:fill="366092"/>
            <w:vAlign w:val="center"/>
            <w:hideMark/>
          </w:tcPr>
          <w:p w14:paraId="6B83E8F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86%</w:t>
            </w:r>
          </w:p>
        </w:tc>
      </w:tr>
      <w:tr w:rsidR="00C95685" w:rsidRPr="00C156A0" w14:paraId="41AA9FC3" w14:textId="77777777" w:rsidTr="00C95685">
        <w:trPr>
          <w:trHeight w:val="153"/>
          <w:jc w:val="center"/>
        </w:trPr>
        <w:tc>
          <w:tcPr>
            <w:tcW w:w="2484" w:type="dxa"/>
            <w:tcBorders>
              <w:top w:val="nil"/>
              <w:left w:val="single" w:sz="4" w:space="0" w:color="B8CCE4"/>
              <w:bottom w:val="single" w:sz="4" w:space="0" w:color="B8CCE4"/>
              <w:right w:val="single" w:sz="4" w:space="0" w:color="B8CCE4"/>
            </w:tcBorders>
            <w:shd w:val="clear" w:color="000000" w:fill="365F91"/>
            <w:vAlign w:val="center"/>
            <w:hideMark/>
          </w:tcPr>
          <w:p w14:paraId="5BFD9C5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Gjithsej</w:t>
            </w:r>
          </w:p>
        </w:tc>
        <w:tc>
          <w:tcPr>
            <w:tcW w:w="0" w:type="auto"/>
            <w:gridSpan w:val="2"/>
            <w:tcBorders>
              <w:top w:val="single" w:sz="4" w:space="0" w:color="B8CCE4"/>
              <w:left w:val="nil"/>
              <w:bottom w:val="single" w:sz="4" w:space="0" w:color="B8CCE4"/>
              <w:right w:val="single" w:sz="4" w:space="0" w:color="B8CCE4"/>
            </w:tcBorders>
            <w:shd w:val="clear" w:color="000000" w:fill="365F91"/>
            <w:vAlign w:val="center"/>
            <w:hideMark/>
          </w:tcPr>
          <w:p w14:paraId="2B63D4E8"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51,764,980</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2FEB8234"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56,696,106</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78EEC80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56,102,979</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7B7C84C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108%</w:t>
            </w:r>
          </w:p>
        </w:tc>
        <w:tc>
          <w:tcPr>
            <w:tcW w:w="0" w:type="auto"/>
            <w:gridSpan w:val="2"/>
            <w:tcBorders>
              <w:top w:val="single" w:sz="4" w:space="0" w:color="B8CCE4"/>
              <w:left w:val="nil"/>
              <w:bottom w:val="single" w:sz="8" w:space="0" w:color="B8CCE4"/>
              <w:right w:val="single" w:sz="8" w:space="0" w:color="B8CCE4"/>
            </w:tcBorders>
            <w:shd w:val="clear" w:color="000000" w:fill="365F91"/>
            <w:vAlign w:val="center"/>
            <w:hideMark/>
          </w:tcPr>
          <w:p w14:paraId="72FF27E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99%</w:t>
            </w:r>
          </w:p>
        </w:tc>
      </w:tr>
    </w:tbl>
    <w:p w14:paraId="5CB7E570" w14:textId="31AF7871" w:rsidR="00C156A0" w:rsidRPr="00C156A0" w:rsidRDefault="00C156A0" w:rsidP="00C13136">
      <w:pPr>
        <w:spacing w:line="240" w:lineRule="auto"/>
        <w:rPr>
          <w:rFonts w:eastAsia="MS Mincho" w:cs="Calibri"/>
          <w:noProof/>
          <w:szCs w:val="22"/>
          <w:lang w:val="sq-AL"/>
        </w:rPr>
      </w:pPr>
      <w:r w:rsidRPr="00C156A0">
        <w:rPr>
          <w:noProof/>
          <w:color w:val="000000"/>
          <w:lang w:val="sq-AL"/>
        </w:rPr>
        <w:t xml:space="preserve">Buxheti i Ministrisë së Ekonomisë dhe Inovacionit gjatë vitit 2025 u rishikua në rritje (prej 9.5%), ose 4.9 </w:t>
      </w:r>
      <w:r w:rsidR="0056260B">
        <w:rPr>
          <w:noProof/>
          <w:color w:val="000000"/>
          <w:lang w:val="sq-AL"/>
        </w:rPr>
        <w:t>miliardë</w:t>
      </w:r>
      <w:r w:rsidRPr="00C156A0">
        <w:rPr>
          <w:noProof/>
          <w:color w:val="000000"/>
          <w:lang w:val="sq-AL"/>
        </w:rPr>
        <w:t xml:space="preserve"> LEK në krahasim me planin fillestar të përgjithshëm. Realizimi faktik ishte 56 </w:t>
      </w:r>
      <w:r w:rsidR="0056260B">
        <w:rPr>
          <w:noProof/>
          <w:color w:val="000000"/>
          <w:lang w:val="sq-AL"/>
        </w:rPr>
        <w:t>miliardë</w:t>
      </w:r>
      <w:r w:rsidRPr="00C156A0">
        <w:rPr>
          <w:noProof/>
          <w:color w:val="000000"/>
          <w:lang w:val="sq-AL"/>
        </w:rPr>
        <w:t xml:space="preserve"> LEK, ose 108% e buxhetit fillestar dhe 99% e buxhetit të rishikuar. Realizimi i shpenzimeve përkundrejt planit fillestar ishte 110% për shpenzimet korente dhe 86% për shpenzimet kapitale. Në krahasim me buxhetin e rishikuar, realizimi ishte 100% për shpenzimet korente dhe 86% për investimet. </w:t>
      </w:r>
      <w:r w:rsidRPr="00C156A0">
        <w:rPr>
          <w:rFonts w:cs="Calibri"/>
          <w:noProof/>
          <w:color w:val="000000"/>
          <w:szCs w:val="22"/>
          <w:lang w:val="sq-AL"/>
        </w:rPr>
        <w:t xml:space="preserve">Ndryshimet kanë ardhur si pasojë e </w:t>
      </w:r>
      <w:r w:rsidRPr="00C156A0">
        <w:rPr>
          <w:rFonts w:eastAsia="MS Mincho" w:cs="Calibri"/>
          <w:noProof/>
          <w:szCs w:val="22"/>
          <w:lang w:val="sq-AL"/>
        </w:rPr>
        <w:t xml:space="preserve">ndarjes së fushave të përgjegjësisë së Ministrisë së Ekonomisë, Kulturës, Inovacionit në zbatim të VKM nr.512, datë 25.9.2025 </w:t>
      </w:r>
      <w:r w:rsidRPr="00C156A0">
        <w:rPr>
          <w:rFonts w:eastAsia="MS Mincho" w:cs="Calibri"/>
          <w:i/>
          <w:iCs/>
          <w:noProof/>
          <w:szCs w:val="22"/>
          <w:lang w:val="sq-AL"/>
        </w:rPr>
        <w:t>“Për përcaktimin e fushës së përgjegjësisë shtetërore të Ministrisë së Turizmit, Kulturës dhe Sportit”</w:t>
      </w:r>
      <w:r w:rsidRPr="00C156A0">
        <w:rPr>
          <w:rFonts w:eastAsia="MS Mincho" w:cs="Calibri"/>
          <w:noProof/>
          <w:szCs w:val="22"/>
          <w:lang w:val="sq-AL"/>
        </w:rPr>
        <w:t xml:space="preserve">, dhe VKM nr.516, datë 25.9.2025 </w:t>
      </w:r>
      <w:r w:rsidRPr="00C156A0">
        <w:rPr>
          <w:rFonts w:eastAsia="MS Mincho" w:cs="Calibri"/>
          <w:i/>
          <w:iCs/>
          <w:noProof/>
          <w:szCs w:val="22"/>
          <w:lang w:val="sq-AL"/>
        </w:rPr>
        <w:t>“Për përcaktimin e fushës së përgjegjësisë shtetërore të Ministrisë së Ekonomisë dhe Inovacionit”</w:t>
      </w:r>
      <w:r w:rsidRPr="00C156A0">
        <w:rPr>
          <w:rFonts w:eastAsia="MS Mincho" w:cs="Calibri"/>
          <w:noProof/>
          <w:szCs w:val="22"/>
          <w:lang w:val="sq-AL"/>
        </w:rPr>
        <w:t xml:space="preserve">, si dhe Aktit Normativ nr.10, datë 08.10.2025 </w:t>
      </w:r>
      <w:r w:rsidRPr="00C156A0">
        <w:rPr>
          <w:rFonts w:eastAsia="MS Mincho" w:cs="Calibri"/>
          <w:i/>
          <w:iCs/>
          <w:noProof/>
          <w:szCs w:val="22"/>
          <w:lang w:val="sq-AL"/>
        </w:rPr>
        <w:t>“Për disa ndryshime dhe shtesa në ligjin nr.115/2024, “Për buxhetin e vitit 2025”, i ndryshuar”</w:t>
      </w:r>
      <w:r w:rsidRPr="00C156A0">
        <w:rPr>
          <w:rFonts w:eastAsia="MS Mincho" w:cs="Calibri"/>
          <w:noProof/>
          <w:szCs w:val="22"/>
          <w:lang w:val="sq-AL"/>
        </w:rPr>
        <w:t>.</w:t>
      </w:r>
    </w:p>
    <w:p w14:paraId="15E9DB2C" w14:textId="1BA511F5" w:rsidR="00C156A0" w:rsidRPr="00C156A0" w:rsidRDefault="00C156A0" w:rsidP="00C156A0">
      <w:pPr>
        <w:spacing w:line="240" w:lineRule="auto"/>
        <w:rPr>
          <w:noProof/>
          <w:lang w:val="sq-AL"/>
        </w:rPr>
      </w:pPr>
      <w:r w:rsidRPr="00C156A0">
        <w:rPr>
          <w:noProof/>
          <w:lang w:val="sq-AL"/>
        </w:rPr>
        <w:t>Në programin “</w:t>
      </w:r>
      <w:r w:rsidRPr="00C156A0">
        <w:rPr>
          <w:b/>
          <w:noProof/>
          <w:lang w:val="sq-AL"/>
        </w:rPr>
        <w:t>Tregu i Punës</w:t>
      </w:r>
      <w:r w:rsidRPr="00C156A0">
        <w:rPr>
          <w:noProof/>
          <w:lang w:val="sq-AL"/>
        </w:rPr>
        <w:t xml:space="preserve">, i cili synon nxitjen e mundësive për punë të denjë dhe rritjen e punësueshmërisë së forcave të punës, fondet për shpenzime korente sipas planit vjetor të rishikuar janë në vlerën e 2.5 </w:t>
      </w:r>
      <w:r w:rsidR="0056260B">
        <w:rPr>
          <w:noProof/>
          <w:lang w:val="sq-AL"/>
        </w:rPr>
        <w:t>miliardë</w:t>
      </w:r>
      <w:r w:rsidRPr="00C156A0">
        <w:rPr>
          <w:noProof/>
          <w:lang w:val="sq-AL"/>
        </w:rPr>
        <w:t xml:space="preserve"> LEK, nga 2.7 </w:t>
      </w:r>
      <w:r w:rsidR="0056260B">
        <w:rPr>
          <w:noProof/>
          <w:lang w:val="sq-AL"/>
        </w:rPr>
        <w:t>miliardë</w:t>
      </w:r>
      <w:r w:rsidRPr="00C156A0">
        <w:rPr>
          <w:noProof/>
          <w:lang w:val="sq-AL"/>
        </w:rPr>
        <w:t xml:space="preserve"> LEK të parashikuara në planin fillestar</w:t>
      </w:r>
      <w:r w:rsidRPr="00C156A0">
        <w:rPr>
          <w:i/>
          <w:noProof/>
          <w:lang w:val="sq-AL"/>
        </w:rPr>
        <w:t>.</w:t>
      </w:r>
      <w:r w:rsidRPr="00C156A0">
        <w:rPr>
          <w:noProof/>
          <w:lang w:val="sq-AL"/>
        </w:rPr>
        <w:t xml:space="preserve"> Gjatë vitit 2025, shpenzimet në këtë program janë realizuar në masën 96% të buxhetit të rishikuar dhe 88% të planit fillestar. Në veçanti, disa nga rezultatet kryesore të arritura nëpërmjet këtij programi ishin:</w:t>
      </w:r>
    </w:p>
    <w:p w14:paraId="4789E686" w14:textId="537736E8" w:rsidR="00C156A0" w:rsidRPr="00C156A0" w:rsidRDefault="00C156A0" w:rsidP="00A955AC">
      <w:pPr>
        <w:numPr>
          <w:ilvl w:val="0"/>
          <w:numId w:val="10"/>
        </w:numPr>
        <w:shd w:val="clear" w:color="auto" w:fill="FFFFFF"/>
        <w:spacing w:before="0" w:after="160" w:line="240" w:lineRule="auto"/>
        <w:contextualSpacing/>
        <w:rPr>
          <w:rFonts w:cs="Calibri Light"/>
          <w:bCs/>
          <w:i/>
          <w:noProof/>
          <w:sz w:val="20"/>
          <w:szCs w:val="20"/>
          <w:lang w:val="sq-AL" w:eastAsia="en-GB"/>
        </w:rPr>
      </w:pPr>
      <w:r w:rsidRPr="00C156A0">
        <w:rPr>
          <w:rFonts w:cs="Calibri Light"/>
          <w:bCs/>
          <w:i/>
          <w:noProof/>
          <w:sz w:val="20"/>
          <w:szCs w:val="20"/>
          <w:lang w:val="sq-AL" w:eastAsia="en-GB"/>
        </w:rPr>
        <w:t xml:space="preserve">Janë  trajtuar 2,597 punëkërkues të papunë me pagesë papunësie, realizuar në vlerën 692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r w:rsidR="00C13136">
        <w:rPr>
          <w:rFonts w:cs="Calibri Light"/>
          <w:bCs/>
          <w:i/>
          <w:noProof/>
          <w:sz w:val="20"/>
          <w:szCs w:val="20"/>
          <w:lang w:val="sq-AL" w:eastAsia="en-GB"/>
        </w:rPr>
        <w:t>;</w:t>
      </w:r>
    </w:p>
    <w:p w14:paraId="59E995F0" w14:textId="65D2BA32" w:rsidR="00C13136" w:rsidRPr="00C156A0" w:rsidRDefault="00C13136" w:rsidP="00C13136">
      <w:pPr>
        <w:numPr>
          <w:ilvl w:val="0"/>
          <w:numId w:val="10"/>
        </w:numPr>
        <w:shd w:val="clear" w:color="auto" w:fill="FFFFFF"/>
        <w:spacing w:before="0" w:after="160" w:line="240" w:lineRule="auto"/>
        <w:contextualSpacing/>
        <w:rPr>
          <w:rFonts w:cs="Calibri"/>
          <w:bCs/>
          <w:i/>
          <w:noProof/>
          <w:sz w:val="20"/>
          <w:szCs w:val="20"/>
          <w:lang w:val="sq-AL" w:eastAsia="en-GB"/>
        </w:rPr>
      </w:pPr>
      <w:r w:rsidRPr="00C156A0">
        <w:rPr>
          <w:rFonts w:cs="Calibri"/>
          <w:i/>
          <w:noProof/>
          <w:sz w:val="20"/>
          <w:szCs w:val="20"/>
          <w:lang w:val="sq-AL"/>
        </w:rPr>
        <w:t xml:space="preserve">Janë punësuar nëpërmjet programeve te nxitjes se punësimit 2,816 punëkërkues, në vlerën 567 </w:t>
      </w:r>
      <w:r w:rsidR="0056260B">
        <w:rPr>
          <w:rFonts w:cs="Calibri"/>
          <w:i/>
          <w:noProof/>
          <w:sz w:val="20"/>
          <w:szCs w:val="20"/>
          <w:lang w:val="sq-AL"/>
        </w:rPr>
        <w:t>milionë</w:t>
      </w:r>
      <w:r w:rsidRPr="00C156A0">
        <w:rPr>
          <w:rFonts w:cs="Calibri"/>
          <w:i/>
          <w:noProof/>
          <w:sz w:val="20"/>
          <w:szCs w:val="20"/>
          <w:lang w:val="sq-AL"/>
        </w:rPr>
        <w:t xml:space="preserve"> LEK</w:t>
      </w:r>
      <w:r>
        <w:rPr>
          <w:rFonts w:cs="Calibri"/>
          <w:i/>
          <w:noProof/>
          <w:sz w:val="20"/>
          <w:szCs w:val="20"/>
          <w:lang w:val="sq-AL"/>
        </w:rPr>
        <w:t>;</w:t>
      </w:r>
    </w:p>
    <w:p w14:paraId="105D7DB9" w14:textId="43245014" w:rsidR="00C156A0" w:rsidRPr="00C156A0" w:rsidRDefault="00C156A0" w:rsidP="00A955AC">
      <w:pPr>
        <w:numPr>
          <w:ilvl w:val="0"/>
          <w:numId w:val="10"/>
        </w:numPr>
        <w:shd w:val="clear" w:color="auto" w:fill="FFFFFF"/>
        <w:spacing w:before="0" w:after="160" w:line="240" w:lineRule="auto"/>
        <w:contextualSpacing/>
        <w:rPr>
          <w:rFonts w:cs="Calibri Light"/>
          <w:bCs/>
          <w:i/>
          <w:noProof/>
          <w:sz w:val="20"/>
          <w:szCs w:val="20"/>
          <w:lang w:val="sq-AL" w:eastAsia="en-GB"/>
        </w:rPr>
      </w:pPr>
      <w:r w:rsidRPr="00C156A0">
        <w:rPr>
          <w:rFonts w:cs="Calibri Light"/>
          <w:bCs/>
          <w:i/>
          <w:noProof/>
          <w:sz w:val="20"/>
          <w:szCs w:val="20"/>
          <w:lang w:val="sq-AL" w:eastAsia="en-GB"/>
        </w:rPr>
        <w:t xml:space="preserve">Janë realizuar 22,539 ndërmjetësime për punëkërkues të papunë të punësuar, në vlerën 480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r w:rsidR="00C13136">
        <w:rPr>
          <w:rFonts w:cs="Calibri Light"/>
          <w:bCs/>
          <w:i/>
          <w:noProof/>
          <w:sz w:val="20"/>
          <w:szCs w:val="20"/>
          <w:lang w:val="sq-AL" w:eastAsia="en-GB"/>
        </w:rPr>
        <w:t>;</w:t>
      </w:r>
    </w:p>
    <w:p w14:paraId="5B10B375" w14:textId="7EFAB53B" w:rsidR="00C13136" w:rsidRPr="00C156A0" w:rsidRDefault="00C13136" w:rsidP="00C13136">
      <w:pPr>
        <w:numPr>
          <w:ilvl w:val="0"/>
          <w:numId w:val="10"/>
        </w:numPr>
        <w:shd w:val="clear" w:color="auto" w:fill="FFFFFF"/>
        <w:spacing w:before="0" w:after="120" w:line="240" w:lineRule="auto"/>
        <w:contextualSpacing/>
        <w:rPr>
          <w:rFonts w:cs="Calibri"/>
          <w:i/>
          <w:noProof/>
          <w:sz w:val="20"/>
          <w:szCs w:val="20"/>
          <w:lang w:val="sq-AL"/>
        </w:rPr>
      </w:pPr>
      <w:r w:rsidRPr="00C156A0">
        <w:rPr>
          <w:rFonts w:cs="Calibri"/>
          <w:i/>
          <w:noProof/>
          <w:sz w:val="20"/>
          <w:szCs w:val="20"/>
          <w:lang w:val="sq-AL"/>
        </w:rPr>
        <w:t xml:space="preserve">Janë trajnuar 11,872  persona në qëndrat e formimit profesional publik, në vlerën 412 </w:t>
      </w:r>
      <w:r w:rsidR="0056260B">
        <w:rPr>
          <w:rFonts w:cs="Calibri"/>
          <w:i/>
          <w:noProof/>
          <w:sz w:val="20"/>
          <w:szCs w:val="20"/>
          <w:lang w:val="sq-AL"/>
        </w:rPr>
        <w:t>milionë</w:t>
      </w:r>
      <w:r w:rsidRPr="00C156A0">
        <w:rPr>
          <w:rFonts w:cs="Calibri"/>
          <w:i/>
          <w:noProof/>
          <w:sz w:val="20"/>
          <w:szCs w:val="20"/>
          <w:lang w:val="sq-AL"/>
        </w:rPr>
        <w:t xml:space="preserve"> LEK</w:t>
      </w:r>
      <w:r>
        <w:rPr>
          <w:rFonts w:cs="Calibri"/>
          <w:i/>
          <w:noProof/>
          <w:sz w:val="20"/>
          <w:szCs w:val="20"/>
          <w:lang w:val="sq-AL"/>
        </w:rPr>
        <w:t>;</w:t>
      </w:r>
    </w:p>
    <w:p w14:paraId="18CB208E" w14:textId="02F673BB" w:rsidR="00C156A0" w:rsidRPr="00C156A0" w:rsidRDefault="00C156A0" w:rsidP="00A955AC">
      <w:pPr>
        <w:numPr>
          <w:ilvl w:val="0"/>
          <w:numId w:val="10"/>
        </w:numPr>
        <w:shd w:val="clear" w:color="auto" w:fill="FFFFFF"/>
        <w:spacing w:before="0" w:after="120" w:line="240" w:lineRule="auto"/>
        <w:contextualSpacing/>
        <w:rPr>
          <w:rFonts w:cs="Calibri"/>
          <w:i/>
          <w:noProof/>
          <w:sz w:val="20"/>
          <w:szCs w:val="20"/>
          <w:lang w:val="sq-AL"/>
        </w:rPr>
      </w:pPr>
      <w:r w:rsidRPr="00C156A0">
        <w:rPr>
          <w:rFonts w:cs="Calibri"/>
          <w:i/>
          <w:noProof/>
          <w:sz w:val="20"/>
          <w:szCs w:val="20"/>
          <w:lang w:val="sq-AL"/>
        </w:rPr>
        <w:t xml:space="preserve">Kanë përfituar 1,692 të rinj nga nisma “Garancia Rinore”, në vlerën 98 </w:t>
      </w:r>
      <w:r w:rsidR="0056260B">
        <w:rPr>
          <w:rFonts w:cs="Calibri"/>
          <w:i/>
          <w:noProof/>
          <w:sz w:val="20"/>
          <w:szCs w:val="20"/>
          <w:lang w:val="sq-AL"/>
        </w:rPr>
        <w:t>milionë</w:t>
      </w:r>
      <w:r w:rsidRPr="00C156A0">
        <w:rPr>
          <w:rFonts w:cs="Calibri"/>
          <w:i/>
          <w:noProof/>
          <w:sz w:val="20"/>
          <w:szCs w:val="20"/>
          <w:lang w:val="sq-AL"/>
        </w:rPr>
        <w:t xml:space="preserve"> LEK</w:t>
      </w:r>
      <w:r w:rsidR="00C13136">
        <w:rPr>
          <w:rFonts w:cs="Calibri"/>
          <w:i/>
          <w:noProof/>
          <w:sz w:val="20"/>
          <w:szCs w:val="20"/>
          <w:lang w:val="sq-AL"/>
        </w:rPr>
        <w:t>;</w:t>
      </w:r>
      <w:r w:rsidRPr="00C156A0">
        <w:rPr>
          <w:rFonts w:cs="Calibri"/>
          <w:i/>
          <w:noProof/>
          <w:sz w:val="20"/>
          <w:szCs w:val="20"/>
          <w:lang w:val="sq-AL"/>
        </w:rPr>
        <w:t xml:space="preserve"> </w:t>
      </w:r>
    </w:p>
    <w:p w14:paraId="43AC9584" w14:textId="17749171" w:rsidR="00C156A0" w:rsidRPr="00C156A0" w:rsidRDefault="00C156A0" w:rsidP="00A955AC">
      <w:pPr>
        <w:numPr>
          <w:ilvl w:val="0"/>
          <w:numId w:val="10"/>
        </w:numPr>
        <w:shd w:val="clear" w:color="auto" w:fill="FFFFFF"/>
        <w:spacing w:before="0" w:after="160" w:line="240" w:lineRule="auto"/>
        <w:contextualSpacing/>
        <w:rPr>
          <w:rFonts w:cs="Calibri"/>
          <w:bCs/>
          <w:i/>
          <w:noProof/>
          <w:sz w:val="20"/>
          <w:szCs w:val="20"/>
          <w:lang w:val="sq-AL" w:eastAsia="en-GB"/>
        </w:rPr>
      </w:pPr>
      <w:r w:rsidRPr="00C156A0">
        <w:rPr>
          <w:rFonts w:cs="Calibri"/>
          <w:i/>
          <w:noProof/>
          <w:sz w:val="20"/>
          <w:szCs w:val="20"/>
          <w:lang w:val="sq-AL"/>
        </w:rPr>
        <w:t xml:space="preserve">456 persona ndjekin nje kurs formimi për kodimin (Java, Cyber security, python etj), në vlerën 52 </w:t>
      </w:r>
      <w:r w:rsidR="0056260B">
        <w:rPr>
          <w:rFonts w:cs="Calibri"/>
          <w:i/>
          <w:noProof/>
          <w:sz w:val="20"/>
          <w:szCs w:val="20"/>
          <w:lang w:val="sq-AL"/>
        </w:rPr>
        <w:t>milionë</w:t>
      </w:r>
      <w:r w:rsidRPr="00C156A0">
        <w:rPr>
          <w:rFonts w:cs="Calibri"/>
          <w:i/>
          <w:noProof/>
          <w:sz w:val="20"/>
          <w:szCs w:val="20"/>
          <w:lang w:val="sq-AL"/>
        </w:rPr>
        <w:t xml:space="preserve"> LEK.</w:t>
      </w:r>
    </w:p>
    <w:p w14:paraId="076A8088" w14:textId="77777777" w:rsidR="00C156A0" w:rsidRPr="00C156A0" w:rsidRDefault="00C156A0" w:rsidP="00C156A0">
      <w:pPr>
        <w:spacing w:line="240" w:lineRule="auto"/>
        <w:rPr>
          <w:noProof/>
          <w:sz w:val="2"/>
          <w:szCs w:val="4"/>
          <w:lang w:val="sq-AL"/>
        </w:rPr>
      </w:pPr>
    </w:p>
    <w:p w14:paraId="52241574" w14:textId="51304E5C" w:rsidR="00C156A0" w:rsidRPr="00C156A0" w:rsidRDefault="00C156A0" w:rsidP="00C156A0">
      <w:pPr>
        <w:spacing w:line="240" w:lineRule="auto"/>
        <w:rPr>
          <w:noProof/>
          <w:lang w:val="sq-AL"/>
        </w:rPr>
      </w:pPr>
      <w:r w:rsidRPr="00C156A0">
        <w:rPr>
          <w:noProof/>
          <w:lang w:val="sq-AL"/>
        </w:rPr>
        <w:t>Në programin “</w:t>
      </w:r>
      <w:r w:rsidRPr="00C156A0">
        <w:rPr>
          <w:b/>
          <w:noProof/>
          <w:lang w:val="sq-AL"/>
        </w:rPr>
        <w:t>Strehimi</w:t>
      </w:r>
      <w:r w:rsidRPr="00C156A0">
        <w:rPr>
          <w:noProof/>
          <w:lang w:val="sq-AL"/>
        </w:rPr>
        <w:t xml:space="preserve">”, i cili mbështet zbatimin dhe monitorimin e politikave për sigurimin e strehimit të përballueshëm dhe të përshtatshëm për kategoritë në nevojë; fondet e parashikuara u ulën në 1.1 </w:t>
      </w:r>
      <w:r w:rsidR="0056260B">
        <w:rPr>
          <w:noProof/>
          <w:lang w:val="sq-AL"/>
        </w:rPr>
        <w:t>miliardë</w:t>
      </w:r>
      <w:r w:rsidRPr="00C156A0">
        <w:rPr>
          <w:noProof/>
          <w:lang w:val="sq-AL"/>
        </w:rPr>
        <w:t xml:space="preserve"> LEK,  nga 1.29 </w:t>
      </w:r>
      <w:r w:rsidR="0056260B">
        <w:rPr>
          <w:noProof/>
          <w:lang w:val="sq-AL"/>
        </w:rPr>
        <w:t>miliardë</w:t>
      </w:r>
      <w:r w:rsidRPr="00C156A0">
        <w:rPr>
          <w:noProof/>
          <w:lang w:val="sq-AL"/>
        </w:rPr>
        <w:t xml:space="preserve"> LEK në buxhetin fillestar. Gjatë vitit 2025 u shpenzuan 1 </w:t>
      </w:r>
      <w:r w:rsidR="0056260B">
        <w:rPr>
          <w:noProof/>
          <w:lang w:val="sq-AL"/>
        </w:rPr>
        <w:t>miliardë</w:t>
      </w:r>
      <w:r w:rsidRPr="00C156A0">
        <w:rPr>
          <w:noProof/>
          <w:lang w:val="sq-AL"/>
        </w:rPr>
        <w:t xml:space="preserve"> LEK, ose 96% e buxhetit të rishikuar, ose 82% e buxhetit fillestar. Në përputhje me objektivat e programit të strehimit janë realizuar:</w:t>
      </w:r>
    </w:p>
    <w:p w14:paraId="76FAB290" w14:textId="2186F05A" w:rsidR="00C13136" w:rsidRPr="00C156A0" w:rsidRDefault="00C13136" w:rsidP="00C13136">
      <w:pPr>
        <w:numPr>
          <w:ilvl w:val="0"/>
          <w:numId w:val="10"/>
        </w:numPr>
        <w:shd w:val="clear" w:color="auto" w:fill="FFFFFF"/>
        <w:spacing w:before="0" w:after="160" w:line="240" w:lineRule="auto"/>
        <w:contextualSpacing/>
        <w:rPr>
          <w:i/>
          <w:noProof/>
          <w:sz w:val="20"/>
          <w:szCs w:val="20"/>
          <w:lang w:val="sq-AL"/>
        </w:rPr>
      </w:pPr>
      <w:r w:rsidRPr="00C156A0">
        <w:rPr>
          <w:i/>
          <w:noProof/>
          <w:sz w:val="20"/>
          <w:szCs w:val="20"/>
          <w:lang w:val="sq-AL"/>
        </w:rPr>
        <w:t>2,297 familje kanë përfituar subvencionim të qirasë në tregun e lirë sipas Ligjit nr.22/2018, me vlerë 247</w:t>
      </w:r>
      <w:r w:rsidR="00C95685">
        <w:rPr>
          <w:i/>
          <w:noProof/>
          <w:sz w:val="20"/>
          <w:szCs w:val="20"/>
          <w:lang w:val="sq-AL"/>
        </w:rPr>
        <w:t>mln</w:t>
      </w:r>
      <w:r w:rsidRPr="00C156A0">
        <w:rPr>
          <w:i/>
          <w:noProof/>
          <w:sz w:val="20"/>
          <w:szCs w:val="20"/>
          <w:lang w:val="sq-AL"/>
        </w:rPr>
        <w:t xml:space="preserve"> LEK</w:t>
      </w:r>
      <w:r>
        <w:rPr>
          <w:i/>
          <w:noProof/>
          <w:sz w:val="20"/>
          <w:szCs w:val="20"/>
          <w:lang w:val="sq-AL"/>
        </w:rPr>
        <w:t>;</w:t>
      </w:r>
      <w:r w:rsidRPr="00C156A0">
        <w:rPr>
          <w:i/>
          <w:noProof/>
          <w:sz w:val="20"/>
          <w:szCs w:val="20"/>
          <w:lang w:val="sq-AL"/>
        </w:rPr>
        <w:t xml:space="preserve"> </w:t>
      </w:r>
    </w:p>
    <w:p w14:paraId="4D57EBBD" w14:textId="686FAEF3" w:rsidR="00C156A0" w:rsidRPr="00C156A0" w:rsidRDefault="00C156A0" w:rsidP="00A955AC">
      <w:pPr>
        <w:numPr>
          <w:ilvl w:val="0"/>
          <w:numId w:val="10"/>
        </w:numPr>
        <w:shd w:val="clear" w:color="auto" w:fill="FFFFFF"/>
        <w:spacing w:before="0" w:after="160" w:line="240" w:lineRule="auto"/>
        <w:contextualSpacing/>
        <w:rPr>
          <w:rFonts w:cs="Calibri Light"/>
          <w:bCs/>
          <w:i/>
          <w:noProof/>
          <w:sz w:val="20"/>
          <w:szCs w:val="20"/>
          <w:lang w:val="sq-AL" w:eastAsia="en-GB"/>
        </w:rPr>
      </w:pPr>
      <w:r w:rsidRPr="00C156A0">
        <w:rPr>
          <w:rFonts w:cs="Calibri Light"/>
          <w:bCs/>
          <w:i/>
          <w:noProof/>
          <w:sz w:val="20"/>
          <w:szCs w:val="20"/>
          <w:lang w:val="sq-AL" w:eastAsia="en-GB"/>
        </w:rPr>
        <w:t xml:space="preserve">5,313 familje kanë përfituar “Subvencion të interesave për kreditë ekzistuese” me vlerë 153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r w:rsidR="00C13136">
        <w:rPr>
          <w:rFonts w:cs="Calibri Light"/>
          <w:bCs/>
          <w:i/>
          <w:noProof/>
          <w:sz w:val="20"/>
          <w:szCs w:val="20"/>
          <w:lang w:val="sq-AL" w:eastAsia="en-GB"/>
        </w:rPr>
        <w:t>;</w:t>
      </w:r>
    </w:p>
    <w:p w14:paraId="3DC54099" w14:textId="143CBFA8" w:rsidR="00C13136" w:rsidRPr="00C156A0" w:rsidRDefault="00C13136" w:rsidP="00C13136">
      <w:pPr>
        <w:numPr>
          <w:ilvl w:val="0"/>
          <w:numId w:val="10"/>
        </w:numPr>
        <w:shd w:val="clear" w:color="auto" w:fill="FFFFFF"/>
        <w:spacing w:before="0" w:after="160" w:line="240" w:lineRule="auto"/>
        <w:contextualSpacing/>
        <w:rPr>
          <w:noProof/>
          <w:sz w:val="20"/>
          <w:szCs w:val="20"/>
          <w:lang w:val="sq-AL"/>
        </w:rPr>
      </w:pPr>
      <w:r w:rsidRPr="00C156A0">
        <w:rPr>
          <w:i/>
          <w:noProof/>
          <w:sz w:val="20"/>
          <w:szCs w:val="20"/>
          <w:lang w:val="sq-AL"/>
        </w:rPr>
        <w:t xml:space="preserve">490 familje kanë përfituar subvencionim të interesave për kredi të reja me vlerën 86 </w:t>
      </w:r>
      <w:r w:rsidR="0056260B">
        <w:rPr>
          <w:i/>
          <w:noProof/>
          <w:sz w:val="20"/>
          <w:szCs w:val="20"/>
          <w:lang w:val="sq-AL"/>
        </w:rPr>
        <w:t>milionë</w:t>
      </w:r>
      <w:r w:rsidRPr="00C156A0">
        <w:rPr>
          <w:i/>
          <w:noProof/>
          <w:sz w:val="20"/>
          <w:szCs w:val="20"/>
          <w:lang w:val="sq-AL"/>
        </w:rPr>
        <w:t xml:space="preserve"> LEK</w:t>
      </w:r>
      <w:r>
        <w:rPr>
          <w:i/>
          <w:noProof/>
          <w:sz w:val="20"/>
          <w:szCs w:val="20"/>
          <w:lang w:val="sq-AL"/>
        </w:rPr>
        <w:t>;</w:t>
      </w:r>
      <w:r w:rsidRPr="00C156A0">
        <w:rPr>
          <w:i/>
          <w:noProof/>
          <w:sz w:val="20"/>
          <w:szCs w:val="20"/>
          <w:lang w:val="sq-AL"/>
        </w:rPr>
        <w:t xml:space="preserve"> </w:t>
      </w:r>
    </w:p>
    <w:p w14:paraId="0CA344A2" w14:textId="54C0A4EF" w:rsidR="00C13136" w:rsidRPr="00C156A0" w:rsidRDefault="00C13136" w:rsidP="00C13136">
      <w:pPr>
        <w:numPr>
          <w:ilvl w:val="0"/>
          <w:numId w:val="10"/>
        </w:numPr>
        <w:shd w:val="clear" w:color="auto" w:fill="FFFFFF"/>
        <w:spacing w:before="0" w:after="160" w:line="240" w:lineRule="auto"/>
        <w:contextualSpacing/>
        <w:rPr>
          <w:noProof/>
          <w:sz w:val="20"/>
          <w:szCs w:val="20"/>
          <w:lang w:val="sq-AL"/>
        </w:rPr>
      </w:pPr>
      <w:r w:rsidRPr="00C156A0">
        <w:rPr>
          <w:i/>
          <w:noProof/>
          <w:sz w:val="20"/>
          <w:szCs w:val="20"/>
          <w:lang w:val="sq-AL"/>
        </w:rPr>
        <w:t>218 familje janë trajtuar me “</w:t>
      </w:r>
      <w:r w:rsidRPr="00C156A0">
        <w:rPr>
          <w:rFonts w:cs="Calibri Light"/>
          <w:bCs/>
          <w:i/>
          <w:noProof/>
          <w:sz w:val="20"/>
          <w:szCs w:val="20"/>
          <w:lang w:val="sq-AL" w:eastAsia="en-GB"/>
        </w:rPr>
        <w:t>Subvencionim qiraje për banorë të shpronësuar nga Unaza Madhe, Tiranë”, me kosto faktike</w:t>
      </w:r>
      <w:r w:rsidRPr="00C156A0">
        <w:rPr>
          <w:i/>
          <w:noProof/>
          <w:sz w:val="20"/>
          <w:szCs w:val="20"/>
          <w:lang w:val="sq-AL"/>
        </w:rPr>
        <w:t xml:space="preserve"> 20 </w:t>
      </w:r>
      <w:r w:rsidR="0056260B">
        <w:rPr>
          <w:i/>
          <w:noProof/>
          <w:sz w:val="20"/>
          <w:szCs w:val="20"/>
          <w:lang w:val="sq-AL"/>
        </w:rPr>
        <w:t>milionë</w:t>
      </w:r>
      <w:r w:rsidRPr="00C156A0">
        <w:rPr>
          <w:i/>
          <w:noProof/>
          <w:sz w:val="20"/>
          <w:szCs w:val="20"/>
          <w:lang w:val="sq-AL"/>
        </w:rPr>
        <w:t xml:space="preserve"> LEK</w:t>
      </w:r>
      <w:r>
        <w:rPr>
          <w:i/>
          <w:noProof/>
          <w:sz w:val="20"/>
          <w:szCs w:val="20"/>
          <w:lang w:val="sq-AL"/>
        </w:rPr>
        <w:t>;</w:t>
      </w:r>
    </w:p>
    <w:p w14:paraId="2D466CD0" w14:textId="548A5B42" w:rsidR="00A955AC" w:rsidRPr="00927725" w:rsidRDefault="00C156A0" w:rsidP="00927725">
      <w:pPr>
        <w:numPr>
          <w:ilvl w:val="0"/>
          <w:numId w:val="10"/>
        </w:numPr>
        <w:shd w:val="clear" w:color="auto" w:fill="FFFFFF"/>
        <w:spacing w:before="0" w:line="240" w:lineRule="auto"/>
        <w:contextualSpacing/>
        <w:rPr>
          <w:rFonts w:cs="Calibri Light"/>
          <w:bCs/>
          <w:i/>
          <w:noProof/>
          <w:sz w:val="20"/>
          <w:szCs w:val="20"/>
          <w:lang w:val="sq-AL" w:eastAsia="en-GB"/>
        </w:rPr>
      </w:pPr>
      <w:r w:rsidRPr="00C156A0">
        <w:rPr>
          <w:rFonts w:cs="Calibri Light"/>
          <w:bCs/>
          <w:i/>
          <w:noProof/>
          <w:sz w:val="20"/>
          <w:szCs w:val="20"/>
          <w:lang w:val="sq-AL" w:eastAsia="en-GB"/>
        </w:rPr>
        <w:t xml:space="preserve">17 përfitues të përgjedhur për “Grant të Menjëhershëm, me kosto faktike 3.5 </w:t>
      </w:r>
      <w:r w:rsidR="0056260B">
        <w:rPr>
          <w:rFonts w:cs="Calibri Light"/>
          <w:bCs/>
          <w:i/>
          <w:noProof/>
          <w:sz w:val="20"/>
          <w:szCs w:val="20"/>
          <w:lang w:val="sq-AL" w:eastAsia="en-GB"/>
        </w:rPr>
        <w:t>milionë</w:t>
      </w:r>
      <w:r w:rsidRPr="00C156A0">
        <w:rPr>
          <w:rFonts w:cs="Calibri Light"/>
          <w:bCs/>
          <w:i/>
          <w:noProof/>
          <w:sz w:val="20"/>
          <w:szCs w:val="20"/>
          <w:lang w:val="sq-AL" w:eastAsia="en-GB"/>
        </w:rPr>
        <w:t xml:space="preserve"> LEK.</w:t>
      </w:r>
    </w:p>
    <w:p w14:paraId="224759F2" w14:textId="06140780" w:rsidR="00C156A0" w:rsidRPr="00C156A0" w:rsidRDefault="00C156A0" w:rsidP="00927725">
      <w:pPr>
        <w:spacing w:line="240" w:lineRule="auto"/>
        <w:rPr>
          <w:noProof/>
          <w:lang w:val="sq-AL"/>
        </w:rPr>
      </w:pPr>
      <w:r w:rsidRPr="00C156A0">
        <w:rPr>
          <w:noProof/>
          <w:lang w:val="sq-AL"/>
        </w:rPr>
        <w:lastRenderedPageBreak/>
        <w:t>Në programin “</w:t>
      </w:r>
      <w:r w:rsidRPr="00C156A0">
        <w:rPr>
          <w:b/>
          <w:noProof/>
          <w:lang w:val="sq-AL"/>
        </w:rPr>
        <w:t>Sigurimi Shoqëror</w:t>
      </w:r>
      <w:r w:rsidRPr="00C156A0">
        <w:rPr>
          <w:noProof/>
          <w:lang w:val="sq-AL"/>
        </w:rPr>
        <w:t>”,</w:t>
      </w:r>
      <w:r w:rsidRPr="00C156A0">
        <w:rPr>
          <w:rFonts w:ascii="Times New Roman" w:hAnsi="Times New Roman"/>
          <w:bCs/>
          <w:noProof/>
          <w:spacing w:val="-10"/>
          <w:lang w:val="sq-AL"/>
        </w:rPr>
        <w:t xml:space="preserve"> </w:t>
      </w:r>
      <w:r w:rsidRPr="00C156A0">
        <w:rPr>
          <w:noProof/>
          <w:lang w:val="sq-AL"/>
        </w:rPr>
        <w:t xml:space="preserve">synimi i së cilit është mbulimi me elementë të sigurimeve shoqërore, i gjithë popullsisë së vendit e i rezidentëve ekonomikisht aktiv dhe akordimi për këta persona i përfitimeve pensionale, përfitime në rast sëmundje, në rast të aksidentit në punë, në rast barrëlindje, përfitime suplementare apo nga programe të veçanta të Qeverise, në momentin e lindjes së  të drejtës dhe nevojës për ato; fondet e parashikuara sipas planit vjetor të rishikuar janë në vlerën 46.2 </w:t>
      </w:r>
      <w:r w:rsidR="0056260B">
        <w:rPr>
          <w:noProof/>
          <w:lang w:val="sq-AL"/>
        </w:rPr>
        <w:t>miliardë</w:t>
      </w:r>
      <w:r w:rsidRPr="00C156A0">
        <w:rPr>
          <w:noProof/>
          <w:lang w:val="sq-AL"/>
        </w:rPr>
        <w:t xml:space="preserve"> LEK nga 40.8 milirad LEK të parashikuar në planin fillestar. Për 12 mujorin 2025 janë realizuar 100% e fondeve të buxhetit të ndryshuar apo 113% të buxhetit fillestar. Nëpërmjet këtij programi është realizuar:</w:t>
      </w:r>
    </w:p>
    <w:p w14:paraId="49573369" w14:textId="7BFA02FE"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Transfertë buxhetore për të mbuluar diferencën midis të ardhurave dhe shpenzimeve të skemës së pensioneve publike, me kosto faktike 32.9 </w:t>
      </w:r>
      <w:r w:rsidR="0056260B" w:rsidRPr="00C95685">
        <w:rPr>
          <w:rFonts w:cs="Calibri Light"/>
          <w:bCs/>
          <w:i/>
          <w:noProof/>
          <w:szCs w:val="22"/>
          <w:lang w:val="sq-AL" w:eastAsia="en-GB"/>
        </w:rPr>
        <w:t>miliardë</w:t>
      </w:r>
      <w:r w:rsidRPr="00C95685">
        <w:rPr>
          <w:rFonts w:cs="Calibri Light"/>
          <w:bCs/>
          <w:i/>
          <w:noProof/>
          <w:szCs w:val="22"/>
          <w:lang w:val="sq-AL" w:eastAsia="en-GB"/>
        </w:rPr>
        <w:t xml:space="preserve"> LEK;</w:t>
      </w:r>
    </w:p>
    <w:p w14:paraId="7C0D9898" w14:textId="24F2CFFA"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Përfitime të llogaritura dhe shpërndara për kompensime të çmimeve, me kosto faktike 4.7 milard LEK;</w:t>
      </w:r>
    </w:p>
    <w:p w14:paraId="4A4AC8BF" w14:textId="7AC5D0FF"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Transferte buxhetore per kompesime për të ardhurat e pensionistëve, me kosto faktike 3.2 </w:t>
      </w:r>
      <w:r w:rsidR="0056260B" w:rsidRPr="00C95685">
        <w:rPr>
          <w:rFonts w:cs="Calibri Light"/>
          <w:bCs/>
          <w:i/>
          <w:noProof/>
          <w:szCs w:val="22"/>
          <w:lang w:val="sq-AL" w:eastAsia="en-GB"/>
        </w:rPr>
        <w:t>miliardë</w:t>
      </w:r>
      <w:r w:rsidRPr="00C95685">
        <w:rPr>
          <w:rFonts w:cs="Calibri Light"/>
          <w:bCs/>
          <w:i/>
          <w:noProof/>
          <w:szCs w:val="22"/>
          <w:lang w:val="sq-AL" w:eastAsia="en-GB"/>
        </w:rPr>
        <w:t xml:space="preserve"> LEK;</w:t>
      </w:r>
    </w:p>
    <w:p w14:paraId="26526B30" w14:textId="3E333541" w:rsidR="00C156A0" w:rsidRPr="00C95685" w:rsidRDefault="00C156A0" w:rsidP="00927725">
      <w:pPr>
        <w:numPr>
          <w:ilvl w:val="0"/>
          <w:numId w:val="10"/>
        </w:numPr>
        <w:shd w:val="clear" w:color="auto" w:fill="FFFFFF"/>
        <w:spacing w:before="0" w:line="240" w:lineRule="auto"/>
        <w:contextualSpacing/>
        <w:rPr>
          <w:rFonts w:cs="Calibri Light"/>
          <w:bCs/>
          <w:i/>
          <w:noProof/>
          <w:szCs w:val="22"/>
          <w:lang w:val="sq-AL" w:eastAsia="en-GB"/>
        </w:rPr>
      </w:pPr>
      <w:r w:rsidRPr="00C95685">
        <w:rPr>
          <w:rFonts w:cs="Calibri Light"/>
          <w:bCs/>
          <w:i/>
          <w:noProof/>
          <w:szCs w:val="22"/>
          <w:lang w:val="sq-AL" w:eastAsia="en-GB"/>
        </w:rPr>
        <w:t xml:space="preserve">14,919 Përfitime të llogaritura dhe shpërndara për kompensime për "Trajtim i vecantë i punonjësve të nëntokës",  me kosto faktike rreth 508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r w:rsidR="00E0433F" w:rsidRPr="00C95685">
        <w:rPr>
          <w:rFonts w:cs="Calibri Light"/>
          <w:bCs/>
          <w:i/>
          <w:noProof/>
          <w:szCs w:val="22"/>
          <w:lang w:val="sq-AL" w:eastAsia="en-GB"/>
        </w:rPr>
        <w:t>;</w:t>
      </w:r>
    </w:p>
    <w:p w14:paraId="490EFBD8" w14:textId="789793E6"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9,982 Përfitime dhe pagesa të llogaritura dhe shpërndara për sigurimin suplementar për persona nën statusin "Naftëtar", me kosto faktike 448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w:t>
      </w:r>
    </w:p>
    <w:p w14:paraId="482458C8" w14:textId="37154E5B"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3,357 përfitime llogaritur</w:t>
      </w:r>
      <w:r w:rsidR="00C95685">
        <w:rPr>
          <w:rFonts w:cs="Calibri Light"/>
          <w:bCs/>
          <w:i/>
          <w:noProof/>
          <w:szCs w:val="22"/>
          <w:lang w:val="sq-AL" w:eastAsia="en-GB"/>
        </w:rPr>
        <w:t>/</w:t>
      </w:r>
      <w:r w:rsidRPr="00C95685">
        <w:rPr>
          <w:rFonts w:cs="Calibri Light"/>
          <w:bCs/>
          <w:i/>
          <w:noProof/>
          <w:szCs w:val="22"/>
          <w:lang w:val="sq-AL" w:eastAsia="en-GB"/>
        </w:rPr>
        <w:t>shpërndar për sigurimin suplementar të ish policeve, kosto faktike</w:t>
      </w:r>
      <w:r w:rsidR="00C95685" w:rsidRPr="00C95685">
        <w:rPr>
          <w:rFonts w:cs="Calibri Light"/>
          <w:bCs/>
          <w:i/>
          <w:noProof/>
          <w:szCs w:val="22"/>
          <w:lang w:val="sq-AL" w:eastAsia="en-GB"/>
        </w:rPr>
        <w:t xml:space="preserve"> </w:t>
      </w:r>
      <w:r w:rsidRPr="00C95685">
        <w:rPr>
          <w:rFonts w:cs="Calibri Light"/>
          <w:bCs/>
          <w:i/>
          <w:noProof/>
          <w:szCs w:val="22"/>
          <w:lang w:val="sq-AL" w:eastAsia="en-GB"/>
        </w:rPr>
        <w:t>311</w:t>
      </w:r>
      <w:r w:rsidR="00C95685" w:rsidRPr="00C95685">
        <w:rPr>
          <w:rFonts w:cs="Calibri Light"/>
          <w:bCs/>
          <w:i/>
          <w:noProof/>
          <w:szCs w:val="22"/>
          <w:lang w:val="sq-AL" w:eastAsia="en-GB"/>
        </w:rPr>
        <w:t>mln</w:t>
      </w:r>
      <w:r w:rsidRPr="00C95685">
        <w:rPr>
          <w:rFonts w:cs="Calibri Light"/>
          <w:bCs/>
          <w:i/>
          <w:noProof/>
          <w:szCs w:val="22"/>
          <w:lang w:val="sq-AL" w:eastAsia="en-GB"/>
        </w:rPr>
        <w:t xml:space="preserve"> LEK;</w:t>
      </w:r>
    </w:p>
    <w:p w14:paraId="34D35CC9" w14:textId="66D8ED4A" w:rsidR="00E0433F" w:rsidRPr="00C95685" w:rsidRDefault="00E0433F" w:rsidP="00E0433F">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1,079 Përfitues dhe pagesa të llogaritura e të shpërndara për sigurimin suplementar të personave me statusin "Profesor”, me kosto faktike 136.4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p>
    <w:p w14:paraId="29CB5248" w14:textId="3B192C21" w:rsidR="00E0433F" w:rsidRPr="00C95685" w:rsidRDefault="00E0433F" w:rsidP="009C1A66">
      <w:pPr>
        <w:numPr>
          <w:ilvl w:val="0"/>
          <w:numId w:val="10"/>
        </w:numPr>
        <w:shd w:val="clear" w:color="auto" w:fill="FFFFFF"/>
        <w:spacing w:after="240" w:line="240" w:lineRule="auto"/>
        <w:contextualSpacing/>
        <w:rPr>
          <w:rFonts w:cs="Calibri Light"/>
          <w:bCs/>
          <w:i/>
          <w:noProof/>
          <w:szCs w:val="22"/>
          <w:lang w:val="sq-AL" w:eastAsia="en-GB"/>
        </w:rPr>
      </w:pPr>
      <w:r w:rsidRPr="00C95685">
        <w:rPr>
          <w:rFonts w:cs="Calibri Light"/>
          <w:bCs/>
          <w:i/>
          <w:noProof/>
          <w:szCs w:val="22"/>
          <w:lang w:val="sq-AL" w:eastAsia="en-GB"/>
        </w:rPr>
        <w:t xml:space="preserve">1,930 Përfitues dhe pagesa të llogaritura e shpërndara për sigurimin suplementar për persona me statusin "Metalurg", me kosto faktike 55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w:t>
      </w:r>
    </w:p>
    <w:p w14:paraId="45B95B74" w14:textId="1B9FAC5C" w:rsidR="00B716CC" w:rsidRPr="00C95685" w:rsidRDefault="00C156A0" w:rsidP="00C147C4">
      <w:pPr>
        <w:numPr>
          <w:ilvl w:val="0"/>
          <w:numId w:val="10"/>
        </w:numPr>
        <w:shd w:val="clear" w:color="auto" w:fill="FFFFFF"/>
        <w:spacing w:before="0" w:line="240" w:lineRule="auto"/>
        <w:contextualSpacing/>
        <w:rPr>
          <w:rFonts w:cs="Calibri Light"/>
          <w:bCs/>
          <w:i/>
          <w:noProof/>
          <w:szCs w:val="22"/>
          <w:lang w:val="sq-AL" w:eastAsia="en-GB"/>
        </w:rPr>
      </w:pPr>
      <w:r w:rsidRPr="00C95685">
        <w:rPr>
          <w:rFonts w:cs="Calibri Light"/>
          <w:bCs/>
          <w:i/>
          <w:noProof/>
          <w:szCs w:val="22"/>
          <w:lang w:val="sq-AL" w:eastAsia="en-GB"/>
        </w:rPr>
        <w:t>317 Përfitime llogaritur</w:t>
      </w:r>
      <w:r w:rsidR="00C95685" w:rsidRPr="00C95685">
        <w:rPr>
          <w:rFonts w:cs="Calibri Light"/>
          <w:bCs/>
          <w:i/>
          <w:noProof/>
          <w:szCs w:val="22"/>
          <w:lang w:val="sq-AL" w:eastAsia="en-GB"/>
        </w:rPr>
        <w:t>/</w:t>
      </w:r>
      <w:r w:rsidRPr="00C95685">
        <w:rPr>
          <w:rFonts w:cs="Calibri Light"/>
          <w:bCs/>
          <w:i/>
          <w:noProof/>
          <w:szCs w:val="22"/>
          <w:lang w:val="sq-AL" w:eastAsia="en-GB"/>
        </w:rPr>
        <w:t>shpërndar</w:t>
      </w:r>
      <w:r w:rsidR="00C95685" w:rsidRPr="00C95685">
        <w:rPr>
          <w:rFonts w:cs="Calibri Light"/>
          <w:bCs/>
          <w:i/>
          <w:noProof/>
          <w:szCs w:val="22"/>
          <w:lang w:val="sq-AL" w:eastAsia="en-GB"/>
        </w:rPr>
        <w:t>ë</w:t>
      </w:r>
      <w:r w:rsidRPr="00C95685">
        <w:rPr>
          <w:rFonts w:cs="Calibri Light"/>
          <w:bCs/>
          <w:i/>
          <w:noProof/>
          <w:szCs w:val="22"/>
          <w:lang w:val="sq-AL" w:eastAsia="en-GB"/>
        </w:rPr>
        <w:t xml:space="preserve"> për kompensim</w:t>
      </w:r>
      <w:r w:rsidR="00C95685">
        <w:rPr>
          <w:rFonts w:cs="Calibri Light"/>
          <w:bCs/>
          <w:i/>
          <w:noProof/>
          <w:szCs w:val="22"/>
          <w:lang w:val="sq-AL" w:eastAsia="en-GB"/>
        </w:rPr>
        <w:t>in</w:t>
      </w:r>
      <w:r w:rsidRPr="00C95685">
        <w:rPr>
          <w:rFonts w:cs="Calibri Light"/>
          <w:bCs/>
          <w:i/>
          <w:noProof/>
          <w:szCs w:val="22"/>
          <w:lang w:val="sq-AL" w:eastAsia="en-GB"/>
        </w:rPr>
        <w:t xml:space="preserve"> </w:t>
      </w:r>
      <w:r w:rsidR="00C95685">
        <w:rPr>
          <w:rFonts w:cs="Calibri Light"/>
          <w:bCs/>
          <w:i/>
          <w:noProof/>
          <w:szCs w:val="22"/>
          <w:lang w:val="sq-AL" w:eastAsia="en-GB"/>
        </w:rPr>
        <w:t>e</w:t>
      </w:r>
      <w:r w:rsidRPr="00C95685">
        <w:rPr>
          <w:rFonts w:cs="Calibri Light"/>
          <w:bCs/>
          <w:i/>
          <w:noProof/>
          <w:szCs w:val="22"/>
          <w:lang w:val="sq-AL" w:eastAsia="en-GB"/>
        </w:rPr>
        <w:t xml:space="preserve"> statusi</w:t>
      </w:r>
      <w:r w:rsidR="00C95685">
        <w:rPr>
          <w:rFonts w:cs="Calibri Light"/>
          <w:bCs/>
          <w:i/>
          <w:noProof/>
          <w:szCs w:val="22"/>
          <w:lang w:val="sq-AL" w:eastAsia="en-GB"/>
        </w:rPr>
        <w:t>t</w:t>
      </w:r>
      <w:r w:rsidRPr="00C95685">
        <w:rPr>
          <w:rFonts w:cs="Calibri Light"/>
          <w:bCs/>
          <w:i/>
          <w:noProof/>
          <w:szCs w:val="22"/>
          <w:lang w:val="sq-AL" w:eastAsia="en-GB"/>
        </w:rPr>
        <w:t xml:space="preserve"> "Dëshmor i Atdheut", </w:t>
      </w:r>
      <w:r w:rsidR="00C95685" w:rsidRPr="00C95685">
        <w:rPr>
          <w:rFonts w:cs="Calibri Light"/>
          <w:bCs/>
          <w:i/>
          <w:noProof/>
          <w:szCs w:val="22"/>
          <w:lang w:val="sq-AL" w:eastAsia="en-GB"/>
        </w:rPr>
        <w:t>k</w:t>
      </w:r>
      <w:r w:rsidRPr="00C95685">
        <w:rPr>
          <w:rFonts w:cs="Calibri Light"/>
          <w:bCs/>
          <w:i/>
          <w:noProof/>
          <w:szCs w:val="22"/>
          <w:lang w:val="sq-AL" w:eastAsia="en-GB"/>
        </w:rPr>
        <w:t>osto faktike 27.2</w:t>
      </w:r>
      <w:r w:rsidR="00C95685" w:rsidRPr="00C95685">
        <w:rPr>
          <w:rFonts w:cs="Calibri Light"/>
          <w:bCs/>
          <w:i/>
          <w:noProof/>
          <w:szCs w:val="22"/>
          <w:lang w:val="sq-AL" w:eastAsia="en-GB"/>
        </w:rPr>
        <w:t>mln</w:t>
      </w:r>
      <w:r w:rsidRPr="00C95685">
        <w:rPr>
          <w:rFonts w:cs="Calibri Light"/>
          <w:bCs/>
          <w:i/>
          <w:noProof/>
          <w:szCs w:val="22"/>
          <w:lang w:val="sq-AL" w:eastAsia="en-GB"/>
        </w:rPr>
        <w:t xml:space="preserve"> LEK</w:t>
      </w:r>
      <w:r w:rsidR="00E0433F" w:rsidRPr="00C95685">
        <w:rPr>
          <w:rFonts w:cs="Calibri Light"/>
          <w:bCs/>
          <w:i/>
          <w:noProof/>
          <w:szCs w:val="22"/>
          <w:lang w:val="sq-AL" w:eastAsia="en-GB"/>
        </w:rPr>
        <w:t>;</w:t>
      </w:r>
    </w:p>
    <w:p w14:paraId="79B77160" w14:textId="5DF62A4A" w:rsidR="00C156A0" w:rsidRPr="00C156A0" w:rsidRDefault="00C156A0" w:rsidP="00C147C4">
      <w:pPr>
        <w:spacing w:line="240" w:lineRule="auto"/>
        <w:rPr>
          <w:noProof/>
          <w:lang w:val="sq-AL"/>
        </w:rPr>
      </w:pPr>
      <w:r w:rsidRPr="00B716CC">
        <w:rPr>
          <w:rFonts w:eastAsia="Cambria" w:cs="Calibri"/>
          <w:noProof/>
          <w:szCs w:val="22"/>
          <w:lang w:val="sq-AL"/>
        </w:rPr>
        <w:t xml:space="preserve">Fondet e parashikuara për programin e </w:t>
      </w:r>
      <w:r w:rsidRPr="009C1A66">
        <w:rPr>
          <w:rFonts w:eastAsia="Cambria" w:cs="Calibri"/>
          <w:b/>
          <w:bCs/>
          <w:noProof/>
          <w:szCs w:val="22"/>
          <w:lang w:val="sq-AL"/>
        </w:rPr>
        <w:t>“Arsimit të mesëm profesional”</w:t>
      </w:r>
      <w:r w:rsidRPr="00B716CC">
        <w:rPr>
          <w:rFonts w:eastAsia="Cambria" w:cs="Calibri"/>
          <w:noProof/>
          <w:szCs w:val="22"/>
          <w:lang w:val="sq-AL"/>
        </w:rPr>
        <w:t>, sipas planit vjetor të rishikuar janë në vlerën</w:t>
      </w:r>
      <w:r w:rsidRPr="00C156A0">
        <w:rPr>
          <w:noProof/>
          <w:lang w:val="sq-AL"/>
        </w:rPr>
        <w:t xml:space="preserve"> e 3 </w:t>
      </w:r>
      <w:r w:rsidR="0056260B">
        <w:rPr>
          <w:noProof/>
          <w:lang w:val="sq-AL"/>
        </w:rPr>
        <w:t>miliardë</w:t>
      </w:r>
      <w:r w:rsidRPr="00C156A0">
        <w:rPr>
          <w:noProof/>
          <w:lang w:val="sq-AL"/>
        </w:rPr>
        <w:t xml:space="preserve"> LEK për shpenzime korente, nga 3.13 </w:t>
      </w:r>
      <w:r w:rsidR="0056260B">
        <w:rPr>
          <w:noProof/>
          <w:lang w:val="sq-AL"/>
        </w:rPr>
        <w:t>miliardë</w:t>
      </w:r>
      <w:r w:rsidRPr="00C156A0">
        <w:rPr>
          <w:noProof/>
          <w:lang w:val="sq-AL"/>
        </w:rPr>
        <w:t xml:space="preserve"> LEK të parashikuara në planin fillestar</w:t>
      </w:r>
      <w:r w:rsidRPr="00C156A0">
        <w:rPr>
          <w:i/>
          <w:noProof/>
          <w:lang w:val="sq-AL"/>
        </w:rPr>
        <w:t>.</w:t>
      </w:r>
      <w:r w:rsidRPr="00C156A0">
        <w:rPr>
          <w:noProof/>
          <w:lang w:val="sq-AL"/>
        </w:rPr>
        <w:t xml:space="preserve"> Për 12</w:t>
      </w:r>
      <w:r w:rsidR="00653C22">
        <w:rPr>
          <w:noProof/>
          <w:lang w:val="sq-AL"/>
        </w:rPr>
        <w:t>M</w:t>
      </w:r>
      <w:r w:rsidRPr="00C156A0">
        <w:rPr>
          <w:noProof/>
          <w:lang w:val="sq-AL"/>
        </w:rPr>
        <w:t xml:space="preserve"> 2025 janë realizuar fondet në masën 95 % të buxhetit të akorduar në fillim të vitit dhe 97% të planit të ndryshuar. Për sigurimin e aksesit të nxënësve në Arsimin Profesional për 2025, janë mundësuar kushtet për:</w:t>
      </w:r>
    </w:p>
    <w:p w14:paraId="0D855734" w14:textId="4982E463" w:rsidR="00C156A0" w:rsidRPr="00C95685" w:rsidRDefault="00C156A0" w:rsidP="00A955AC">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15,459 nxënës kanë ndjekur shkollat publike te ars</w:t>
      </w:r>
      <w:r w:rsidR="00653C22" w:rsidRPr="00C95685">
        <w:rPr>
          <w:rFonts w:cs="Calibri Light"/>
          <w:bCs/>
          <w:i/>
          <w:noProof/>
          <w:szCs w:val="22"/>
          <w:lang w:val="sq-AL" w:eastAsia="en-GB"/>
        </w:rPr>
        <w:t>.</w:t>
      </w:r>
      <w:r w:rsidRPr="00C95685">
        <w:rPr>
          <w:rFonts w:cs="Calibri Light"/>
          <w:bCs/>
          <w:i/>
          <w:noProof/>
          <w:szCs w:val="22"/>
          <w:lang w:val="sq-AL" w:eastAsia="en-GB"/>
        </w:rPr>
        <w:t xml:space="preserve">profesional, </w:t>
      </w:r>
      <w:r w:rsidR="005F7A9A" w:rsidRPr="00C95685">
        <w:rPr>
          <w:rFonts w:cs="Calibri Light"/>
          <w:bCs/>
          <w:i/>
          <w:noProof/>
          <w:szCs w:val="22"/>
          <w:lang w:val="sq-AL" w:eastAsia="en-GB"/>
        </w:rPr>
        <w:t>ku</w:t>
      </w:r>
      <w:r w:rsidRPr="00C95685">
        <w:rPr>
          <w:rFonts w:cs="Calibri Light"/>
          <w:bCs/>
          <w:i/>
          <w:noProof/>
          <w:szCs w:val="22"/>
          <w:lang w:val="sq-AL" w:eastAsia="en-GB"/>
        </w:rPr>
        <w:t xml:space="preserve"> 2616 va</w:t>
      </w:r>
      <w:r w:rsidR="00653C22" w:rsidRPr="00C95685">
        <w:rPr>
          <w:rFonts w:cs="Calibri Light"/>
          <w:bCs/>
          <w:i/>
          <w:noProof/>
          <w:szCs w:val="22"/>
          <w:lang w:val="sq-AL" w:eastAsia="en-GB"/>
        </w:rPr>
        <w:t>j</w:t>
      </w:r>
      <w:r w:rsidRPr="00C95685">
        <w:rPr>
          <w:rFonts w:cs="Calibri Light"/>
          <w:bCs/>
          <w:i/>
          <w:noProof/>
          <w:szCs w:val="22"/>
          <w:lang w:val="sq-AL" w:eastAsia="en-GB"/>
        </w:rPr>
        <w:t>za, kosto faktike 2.6</w:t>
      </w:r>
      <w:r w:rsidR="00C95685">
        <w:rPr>
          <w:rFonts w:cs="Calibri Light"/>
          <w:bCs/>
          <w:i/>
          <w:noProof/>
          <w:szCs w:val="22"/>
          <w:lang w:val="sq-AL" w:eastAsia="en-GB"/>
        </w:rPr>
        <w:t>mld</w:t>
      </w:r>
      <w:r w:rsidRPr="00C95685">
        <w:rPr>
          <w:rFonts w:cs="Calibri Light"/>
          <w:bCs/>
          <w:i/>
          <w:noProof/>
          <w:szCs w:val="22"/>
          <w:lang w:val="sq-AL" w:eastAsia="en-GB"/>
        </w:rPr>
        <w:t xml:space="preserve"> LEK.</w:t>
      </w:r>
    </w:p>
    <w:p w14:paraId="4F6F2BF3" w14:textId="4D2DA402" w:rsidR="00C156A0" w:rsidRPr="00C95685" w:rsidRDefault="00C156A0" w:rsidP="00A955AC">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Janë hartuar dhe miratuar 57 standarte profesionesh dhe kualifikimesh me kosto faktike 21.4</w:t>
      </w:r>
      <w:r w:rsidR="00C95685">
        <w:rPr>
          <w:rFonts w:cs="Calibri Light"/>
          <w:bCs/>
          <w:i/>
          <w:noProof/>
          <w:szCs w:val="22"/>
          <w:lang w:val="sq-AL" w:eastAsia="en-GB"/>
        </w:rPr>
        <w:t>mln</w:t>
      </w:r>
      <w:r w:rsidRPr="00C95685">
        <w:rPr>
          <w:rFonts w:cs="Calibri Light"/>
          <w:bCs/>
          <w:i/>
          <w:noProof/>
          <w:szCs w:val="22"/>
          <w:lang w:val="sq-AL" w:eastAsia="en-GB"/>
        </w:rPr>
        <w:t xml:space="preserve"> LEK.</w:t>
      </w:r>
    </w:p>
    <w:p w14:paraId="76F5DCBF" w14:textId="0FDBA75B" w:rsidR="00C156A0" w:rsidRPr="00C95685" w:rsidRDefault="00C156A0" w:rsidP="00A955AC">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4,741 nxënës kanë përfituar bursa në AP me kosto faktike 274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Nxënësit i përkasin grupeve në nevojë, vajzat që zgjedhin AP, nxënësit me nevoja të veçanta, nxënësit rome dhe egjytianë.</w:t>
      </w:r>
    </w:p>
    <w:p w14:paraId="51227290" w14:textId="134615CC" w:rsidR="00C156A0" w:rsidRPr="00C95685" w:rsidRDefault="00C156A0" w:rsidP="00A955AC">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Janë hartuar 40 skelet</w:t>
      </w:r>
      <w:r w:rsidR="00D41EC5" w:rsidRPr="00C95685">
        <w:rPr>
          <w:rFonts w:cs="Calibri Light"/>
          <w:bCs/>
          <w:i/>
          <w:noProof/>
          <w:szCs w:val="22"/>
          <w:lang w:val="sq-AL" w:eastAsia="en-GB"/>
        </w:rPr>
        <w:t>-</w:t>
      </w:r>
      <w:r w:rsidRPr="00C95685">
        <w:rPr>
          <w:rFonts w:cs="Calibri Light"/>
          <w:bCs/>
          <w:i/>
          <w:noProof/>
          <w:szCs w:val="22"/>
          <w:lang w:val="sq-AL" w:eastAsia="en-GB"/>
        </w:rPr>
        <w:t xml:space="preserve">kurrikula dhe programe të kurseve të unifikuara dhe 20 materiale mësimore, me kosto faktike 25.5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p>
    <w:p w14:paraId="3191DCCC" w14:textId="733BBC28" w:rsidR="00C156A0" w:rsidRPr="00C95685" w:rsidRDefault="00C156A0" w:rsidP="00A955AC">
      <w:pPr>
        <w:numPr>
          <w:ilvl w:val="0"/>
          <w:numId w:val="10"/>
        </w:numPr>
        <w:shd w:val="clear" w:color="auto" w:fill="FFFFFF"/>
        <w:spacing w:before="0" w:after="160" w:line="240" w:lineRule="auto"/>
        <w:contextualSpacing/>
        <w:rPr>
          <w:rFonts w:cs="Calibri Light"/>
          <w:bCs/>
          <w:i/>
          <w:noProof/>
          <w:szCs w:val="22"/>
          <w:lang w:val="sq-AL" w:eastAsia="en-GB"/>
        </w:rPr>
      </w:pPr>
      <w:r w:rsidRPr="00C95685">
        <w:rPr>
          <w:rFonts w:cs="Calibri Light"/>
          <w:bCs/>
          <w:i/>
          <w:noProof/>
          <w:szCs w:val="22"/>
          <w:lang w:val="sq-AL" w:eastAsia="en-GB"/>
        </w:rPr>
        <w:t xml:space="preserve">Janë mbështetur 43 ofrues të AFP nga AKAPF për sigurimin e cilësisë dhe për procesin e vetëvlerësimit  dhe ka hartuar raportin kombëtar të vetëvlerësimit, me kosto faktike 1.2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w:t>
      </w:r>
    </w:p>
    <w:p w14:paraId="43D059D2" w14:textId="0A960BB5" w:rsidR="00C156A0" w:rsidRPr="00C95685" w:rsidRDefault="00C156A0" w:rsidP="009C1A66">
      <w:pPr>
        <w:numPr>
          <w:ilvl w:val="0"/>
          <w:numId w:val="10"/>
        </w:numPr>
        <w:shd w:val="clear" w:color="auto" w:fill="FFFFFF"/>
        <w:spacing w:line="240" w:lineRule="auto"/>
        <w:contextualSpacing/>
        <w:rPr>
          <w:rFonts w:cs="Calibri Light"/>
          <w:bCs/>
          <w:i/>
          <w:noProof/>
          <w:szCs w:val="22"/>
          <w:lang w:val="sq-AL" w:eastAsia="en-GB"/>
        </w:rPr>
      </w:pPr>
      <w:r w:rsidRPr="00C95685">
        <w:rPr>
          <w:rFonts w:cs="Calibri Light"/>
          <w:bCs/>
          <w:i/>
          <w:noProof/>
          <w:szCs w:val="22"/>
          <w:lang w:val="sq-AL" w:eastAsia="en-GB"/>
        </w:rPr>
        <w:t>Janë kryer 9 inspektime të ofruesve AFP për garantimin e standateve të cilësisë, kosto faktike 6</w:t>
      </w:r>
      <w:r w:rsidR="00C95685" w:rsidRPr="00C95685">
        <w:rPr>
          <w:rFonts w:cs="Calibri Light"/>
          <w:bCs/>
          <w:i/>
          <w:noProof/>
          <w:szCs w:val="22"/>
          <w:lang w:val="sq-AL" w:eastAsia="en-GB"/>
        </w:rPr>
        <w:t>mln</w:t>
      </w:r>
      <w:r w:rsidRPr="00C95685">
        <w:rPr>
          <w:rFonts w:cs="Calibri Light"/>
          <w:bCs/>
          <w:i/>
          <w:noProof/>
          <w:szCs w:val="22"/>
          <w:lang w:val="sq-AL" w:eastAsia="en-GB"/>
        </w:rPr>
        <w:t xml:space="preserve"> LEK.</w:t>
      </w:r>
    </w:p>
    <w:p w14:paraId="21B1A06B" w14:textId="1AD7B294" w:rsidR="00C156A0" w:rsidRDefault="00C156A0" w:rsidP="009C1A66">
      <w:pPr>
        <w:numPr>
          <w:ilvl w:val="0"/>
          <w:numId w:val="10"/>
        </w:numPr>
        <w:shd w:val="clear" w:color="auto" w:fill="FFFFFF"/>
        <w:spacing w:line="240" w:lineRule="auto"/>
        <w:contextualSpacing/>
        <w:rPr>
          <w:rFonts w:cs="Calibri Light"/>
          <w:bCs/>
          <w:i/>
          <w:noProof/>
          <w:szCs w:val="22"/>
          <w:lang w:val="sq-AL" w:eastAsia="en-GB"/>
        </w:rPr>
      </w:pPr>
      <w:r w:rsidRPr="00C95685">
        <w:rPr>
          <w:rFonts w:cs="Calibri Light"/>
          <w:bCs/>
          <w:i/>
          <w:noProof/>
          <w:szCs w:val="22"/>
          <w:lang w:val="sq-AL" w:eastAsia="en-GB"/>
        </w:rPr>
        <w:t xml:space="preserve">Janë trajnuar dhe atestuar 114 mësimdhënës, me kosto faktike 8.8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w:t>
      </w:r>
    </w:p>
    <w:p w14:paraId="6758AB67" w14:textId="77777777" w:rsidR="00634371" w:rsidRPr="00C95685" w:rsidRDefault="00634371" w:rsidP="00634371">
      <w:pPr>
        <w:shd w:val="clear" w:color="auto" w:fill="FFFFFF"/>
        <w:spacing w:line="240" w:lineRule="auto"/>
        <w:ind w:left="720"/>
        <w:contextualSpacing/>
        <w:rPr>
          <w:rFonts w:cs="Calibri Light"/>
          <w:bCs/>
          <w:i/>
          <w:noProof/>
          <w:szCs w:val="22"/>
          <w:lang w:val="sq-AL" w:eastAsia="en-GB"/>
        </w:rPr>
      </w:pPr>
    </w:p>
    <w:p w14:paraId="36A0ED38" w14:textId="3C3C65AA" w:rsidR="00D0642E" w:rsidRPr="00D0642E" w:rsidRDefault="00634371" w:rsidP="009C1A66">
      <w:pPr>
        <w:spacing w:line="240" w:lineRule="auto"/>
        <w:rPr>
          <w:rFonts w:asciiTheme="majorHAnsi" w:hAnsiTheme="majorHAnsi" w:cs="Calibri Light"/>
          <w:noProof/>
          <w:szCs w:val="22"/>
          <w:lang w:val="sq-AL"/>
        </w:rPr>
      </w:pPr>
      <w:r>
        <w:rPr>
          <w:rFonts w:eastAsia="Cambria" w:cs="Calibri"/>
          <w:noProof/>
          <w:szCs w:val="22"/>
          <w:lang w:val="sq-AL"/>
        </w:rPr>
        <w:t>S</w:t>
      </w:r>
      <w:r w:rsidR="00C156A0" w:rsidRPr="00D0642E">
        <w:rPr>
          <w:rFonts w:eastAsia="Cambria" w:cs="Calibri"/>
          <w:noProof/>
          <w:szCs w:val="22"/>
          <w:lang w:val="sq-AL"/>
        </w:rPr>
        <w:t xml:space="preserve">a i përket </w:t>
      </w:r>
      <w:r w:rsidR="00C156A0" w:rsidRPr="00D0642E">
        <w:rPr>
          <w:rFonts w:eastAsia="Cambria" w:cs="Calibri"/>
          <w:b/>
          <w:bCs/>
          <w:noProof/>
          <w:szCs w:val="22"/>
          <w:lang w:val="sq-AL"/>
        </w:rPr>
        <w:t>investimeve publike</w:t>
      </w:r>
      <w:r w:rsidR="00D0642E" w:rsidRPr="00D0642E">
        <w:rPr>
          <w:rFonts w:asciiTheme="majorHAnsi" w:hAnsiTheme="majorHAnsi" w:cs="Calibri"/>
          <w:noProof/>
          <w:szCs w:val="22"/>
          <w:lang w:val="sq-AL"/>
        </w:rPr>
        <w:t xml:space="preserve"> realizimi në vitin 2025 ishte 74.3% e buxhetit fillestar për projektet me financim të brendshëm (1.8 </w:t>
      </w:r>
      <w:r w:rsidR="0056260B">
        <w:rPr>
          <w:rFonts w:asciiTheme="majorHAnsi" w:hAnsiTheme="majorHAnsi" w:cs="Calibri"/>
          <w:noProof/>
          <w:szCs w:val="22"/>
          <w:lang w:val="sq-AL"/>
        </w:rPr>
        <w:t>miliardë</w:t>
      </w:r>
      <w:r w:rsidR="00D0642E" w:rsidRPr="00D0642E">
        <w:rPr>
          <w:rFonts w:asciiTheme="majorHAnsi" w:hAnsiTheme="majorHAnsi" w:cs="Calibri"/>
          <w:noProof/>
          <w:szCs w:val="22"/>
          <w:lang w:val="sq-AL"/>
        </w:rPr>
        <w:t xml:space="preserve"> LEK)</w:t>
      </w:r>
      <w:r w:rsidR="00D0642E" w:rsidRPr="00D0642E">
        <w:rPr>
          <w:rFonts w:asciiTheme="majorHAnsi" w:hAnsiTheme="majorHAnsi" w:cs="Calibri"/>
          <w:bCs/>
          <w:iCs/>
          <w:noProof/>
          <w:szCs w:val="22"/>
          <w:lang w:val="sq-AL"/>
        </w:rPr>
        <w:t xml:space="preserve"> (97.9% të planit vjetor të ndryshuar me AN nr.11/2025) </w:t>
      </w:r>
      <w:r w:rsidR="00D0642E" w:rsidRPr="00D0642E">
        <w:rPr>
          <w:rFonts w:asciiTheme="majorHAnsi" w:hAnsiTheme="majorHAnsi" w:cs="Calibri"/>
          <w:noProof/>
          <w:szCs w:val="22"/>
          <w:lang w:val="sq-AL"/>
        </w:rPr>
        <w:t xml:space="preserve">dhe 42.2% e buxhetit fillestar për projektet me financim të huaj (0.35 </w:t>
      </w:r>
      <w:r w:rsidR="0056260B">
        <w:rPr>
          <w:rFonts w:asciiTheme="majorHAnsi" w:hAnsiTheme="majorHAnsi" w:cs="Calibri"/>
          <w:noProof/>
          <w:szCs w:val="22"/>
          <w:lang w:val="sq-AL"/>
        </w:rPr>
        <w:t>miliardë</w:t>
      </w:r>
      <w:r w:rsidR="00D0642E" w:rsidRPr="00D0642E">
        <w:rPr>
          <w:rFonts w:asciiTheme="majorHAnsi" w:hAnsiTheme="majorHAnsi" w:cs="Calibri"/>
          <w:noProof/>
          <w:szCs w:val="22"/>
          <w:lang w:val="sq-AL"/>
        </w:rPr>
        <w:t xml:space="preserve"> LEK) dhe 53%</w:t>
      </w:r>
      <w:r w:rsidR="00D0642E" w:rsidRPr="00D0642E">
        <w:rPr>
          <w:rFonts w:asciiTheme="majorHAnsi" w:hAnsiTheme="majorHAnsi" w:cs="Calibri"/>
          <w:bCs/>
          <w:iCs/>
          <w:noProof/>
          <w:szCs w:val="22"/>
          <w:lang w:val="sq-AL"/>
        </w:rPr>
        <w:t xml:space="preserve"> të planit vjetor të ndryshuar me AN nr.11/2025</w:t>
      </w:r>
      <w:r w:rsidR="00D0642E" w:rsidRPr="00D0642E">
        <w:rPr>
          <w:rFonts w:asciiTheme="majorHAnsi" w:hAnsiTheme="majorHAnsi" w:cs="Calibri"/>
          <w:noProof/>
          <w:szCs w:val="22"/>
          <w:lang w:val="sq-AL"/>
        </w:rPr>
        <w:t xml:space="preserve"> .</w:t>
      </w:r>
      <w:r w:rsidR="00D0642E" w:rsidRPr="00D0642E">
        <w:rPr>
          <w:rFonts w:asciiTheme="majorHAnsi" w:hAnsiTheme="majorHAnsi" w:cs="Calibri"/>
          <w:bCs/>
          <w:iCs/>
          <w:noProof/>
          <w:szCs w:val="22"/>
          <w:lang w:val="sq-AL"/>
        </w:rPr>
        <w:t xml:space="preserve"> </w:t>
      </w:r>
      <w:r w:rsidR="00D0642E" w:rsidRPr="00D0642E">
        <w:rPr>
          <w:rFonts w:asciiTheme="majorHAnsi" w:eastAsiaTheme="minorHAnsi" w:hAnsiTheme="majorHAnsi" w:cs="Calibri Light"/>
          <w:noProof/>
          <w:szCs w:val="22"/>
          <w:lang w:val="sq-AL"/>
        </w:rPr>
        <w:t xml:space="preserve">Janë mbyllur 17 </w:t>
      </w:r>
      <w:r w:rsidR="00D0642E" w:rsidRPr="00D0642E">
        <w:rPr>
          <w:rFonts w:asciiTheme="majorHAnsi" w:eastAsia="SimSun" w:hAnsiTheme="majorHAnsi" w:cs="Calibri Light"/>
          <w:noProof/>
          <w:szCs w:val="22"/>
          <w:lang w:val="sq-AL"/>
        </w:rPr>
        <w:t>projekte</w:t>
      </w:r>
      <w:r w:rsidR="00D0642E" w:rsidRPr="00D0642E">
        <w:rPr>
          <w:rFonts w:asciiTheme="majorHAnsi" w:eastAsiaTheme="minorHAnsi" w:hAnsiTheme="majorHAnsi" w:cs="Calibri Light"/>
          <w:noProof/>
          <w:szCs w:val="22"/>
          <w:lang w:val="sq-AL"/>
        </w:rPr>
        <w:t xml:space="preserve"> të investimit me vlerë 0.11 </w:t>
      </w:r>
      <w:r w:rsidR="0056260B">
        <w:rPr>
          <w:rFonts w:asciiTheme="majorHAnsi" w:eastAsiaTheme="minorHAnsi" w:hAnsiTheme="majorHAnsi" w:cs="Calibri Light"/>
          <w:noProof/>
          <w:szCs w:val="22"/>
          <w:lang w:val="sq-AL"/>
        </w:rPr>
        <w:t>miliardë</w:t>
      </w:r>
      <w:r w:rsidR="00D0642E" w:rsidRPr="00D0642E">
        <w:rPr>
          <w:rFonts w:asciiTheme="majorHAnsi" w:eastAsiaTheme="minorHAnsi" w:hAnsiTheme="majorHAnsi" w:cs="Calibri Light"/>
          <w:noProof/>
          <w:szCs w:val="22"/>
          <w:lang w:val="sq-AL"/>
        </w:rPr>
        <w:t xml:space="preserve"> LEK, ku </w:t>
      </w:r>
      <w:bookmarkStart w:id="287" w:name="_Hlk40881858"/>
      <w:r w:rsidR="00D0642E" w:rsidRPr="00D0642E">
        <w:rPr>
          <w:rFonts w:asciiTheme="majorHAnsi" w:hAnsiTheme="majorHAnsi" w:cs="Calibri Light"/>
          <w:noProof/>
          <w:szCs w:val="22"/>
          <w:lang w:val="sq-AL"/>
        </w:rPr>
        <w:t>nga të cilat veçojmë:</w:t>
      </w:r>
    </w:p>
    <w:bookmarkEnd w:id="287"/>
    <w:p w14:paraId="56B959E1" w14:textId="252D5747" w:rsidR="00D0642E" w:rsidRPr="00B716CC" w:rsidRDefault="00D0642E" w:rsidP="00D0642E">
      <w:pPr>
        <w:pStyle w:val="ListParagraph"/>
        <w:numPr>
          <w:ilvl w:val="0"/>
          <w:numId w:val="10"/>
        </w:numPr>
        <w:shd w:val="clear" w:color="auto" w:fill="FFFFFF" w:themeFill="background1"/>
        <w:spacing w:before="0" w:line="240" w:lineRule="auto"/>
        <w:ind w:left="630"/>
        <w:rPr>
          <w:rFonts w:asciiTheme="majorHAnsi" w:hAnsiTheme="majorHAnsi" w:cstheme="majorHAnsi"/>
          <w:bCs/>
          <w:i/>
          <w:iCs/>
          <w:noProof/>
          <w:szCs w:val="22"/>
          <w:lang w:val="sq-AL" w:eastAsia="en-GB"/>
        </w:rPr>
      </w:pPr>
      <w:r w:rsidRPr="00B716CC">
        <w:rPr>
          <w:rFonts w:asciiTheme="majorHAnsi" w:hAnsiTheme="majorHAnsi" w:cstheme="majorHAnsi"/>
          <w:i/>
          <w:iCs/>
          <w:noProof/>
          <w:szCs w:val="22"/>
          <w:lang w:val="sq-AL"/>
        </w:rPr>
        <w:t xml:space="preserve">Në programin Strehimi, </w:t>
      </w:r>
      <w:r w:rsidRPr="00B716CC">
        <w:rPr>
          <w:rFonts w:asciiTheme="majorHAnsi" w:hAnsiTheme="majorHAnsi" w:cstheme="majorHAnsi"/>
          <w:bCs/>
          <w:i/>
          <w:iCs/>
          <w:noProof/>
          <w:szCs w:val="22"/>
          <w:lang w:val="sq-AL" w:eastAsia="en-GB"/>
        </w:rPr>
        <w:t xml:space="preserve">i cili konsiston në sigurimin e strehimit të përballueshëm dhe të përshtatshëm për individë e familje që nuk përballojnë dot kostot e strehimit në treg, </w:t>
      </w:r>
      <w:r w:rsidRPr="00B716CC">
        <w:rPr>
          <w:rFonts w:asciiTheme="majorHAnsi" w:hAnsiTheme="majorHAnsi" w:cstheme="majorHAnsi"/>
          <w:i/>
          <w:iCs/>
          <w:noProof/>
          <w:szCs w:val="22"/>
          <w:lang w:val="sq-AL"/>
        </w:rPr>
        <w:t xml:space="preserve">gjatë vitit 2025 përfunduan 17 </w:t>
      </w:r>
      <w:r w:rsidRPr="00B716CC">
        <w:rPr>
          <w:rFonts w:asciiTheme="majorHAnsi" w:eastAsia="SimSun" w:hAnsiTheme="majorHAnsi" w:cstheme="majorHAnsi"/>
          <w:i/>
          <w:iCs/>
          <w:noProof/>
          <w:szCs w:val="22"/>
          <w:lang w:val="sq-AL"/>
        </w:rPr>
        <w:t>projekte</w:t>
      </w:r>
      <w:r w:rsidRPr="00B716CC">
        <w:rPr>
          <w:rFonts w:asciiTheme="majorHAnsi" w:hAnsiTheme="majorHAnsi" w:cstheme="majorHAnsi"/>
          <w:i/>
          <w:iCs/>
          <w:noProof/>
          <w:szCs w:val="22"/>
          <w:lang w:val="sq-AL"/>
        </w:rPr>
        <w:t xml:space="preserve"> investimi me vlerë 0.11 </w:t>
      </w:r>
      <w:r w:rsidR="0056260B">
        <w:rPr>
          <w:rFonts w:asciiTheme="majorHAnsi" w:hAnsiTheme="majorHAnsi" w:cstheme="majorHAnsi"/>
          <w:i/>
          <w:iCs/>
          <w:noProof/>
          <w:szCs w:val="22"/>
          <w:lang w:val="sq-AL"/>
        </w:rPr>
        <w:t>miliardë</w:t>
      </w:r>
      <w:r w:rsidRPr="00B716CC">
        <w:rPr>
          <w:rFonts w:asciiTheme="majorHAnsi" w:hAnsiTheme="majorHAnsi" w:cstheme="majorHAnsi"/>
          <w:i/>
          <w:iCs/>
          <w:noProof/>
          <w:szCs w:val="22"/>
          <w:lang w:val="sq-AL"/>
        </w:rPr>
        <w:t xml:space="preserve"> LEK (projekte në vazhdim nga 2024). Në përputhje me objektivat e programit të strehimit u mundësua </w:t>
      </w:r>
      <w:r w:rsidRPr="00B716CC">
        <w:rPr>
          <w:rFonts w:asciiTheme="majorHAnsi" w:hAnsiTheme="majorHAnsi" w:cstheme="majorHAnsi"/>
          <w:bCs/>
          <w:i/>
          <w:iCs/>
          <w:noProof/>
          <w:szCs w:val="22"/>
          <w:lang w:val="sq-AL" w:eastAsia="en-GB"/>
        </w:rPr>
        <w:t>përmirësim i kushteve të banimit për komunitetin Rom/Egjiptian  në bashkitë Delvinë, Librazhd, Vau i Dejës, Selenicë, Dimal, Roskovec, Vlorë, Memaliaj, Gramsh, Mat, Dropul, Fier, Kolonjë</w:t>
      </w:r>
      <w:r w:rsidRPr="00B716CC">
        <w:rPr>
          <w:rFonts w:asciiTheme="majorHAnsi" w:hAnsiTheme="majorHAnsi" w:cstheme="majorHAnsi"/>
          <w:bCs/>
          <w:i/>
          <w:iCs/>
          <w:noProof/>
          <w:szCs w:val="22"/>
          <w:lang w:val="sq-AL" w:eastAsia="ja-JP"/>
        </w:rPr>
        <w:t xml:space="preserve">, </w:t>
      </w:r>
      <w:r w:rsidRPr="00B716CC">
        <w:rPr>
          <w:rFonts w:asciiTheme="majorHAnsi" w:hAnsiTheme="majorHAnsi" w:cstheme="majorHAnsi"/>
          <w:bCs/>
          <w:i/>
          <w:iCs/>
          <w:noProof/>
          <w:szCs w:val="22"/>
          <w:lang w:val="sq-AL"/>
        </w:rPr>
        <w:t>Sarandë, Rrogozhinë, Pogradec, Shkodër</w:t>
      </w:r>
      <w:r w:rsidRPr="00B716CC">
        <w:rPr>
          <w:rFonts w:asciiTheme="majorHAnsi" w:hAnsiTheme="majorHAnsi" w:cstheme="majorHAnsi"/>
          <w:bCs/>
          <w:i/>
          <w:iCs/>
          <w:noProof/>
          <w:szCs w:val="22"/>
          <w:lang w:val="sq-AL" w:eastAsia="en-GB"/>
        </w:rPr>
        <w:t>.</w:t>
      </w:r>
    </w:p>
    <w:p w14:paraId="2028016C" w14:textId="77777777" w:rsidR="00C156A0" w:rsidRDefault="00C156A0" w:rsidP="0057032E">
      <w:pPr>
        <w:shd w:val="clear" w:color="auto" w:fill="FFFFFF"/>
        <w:spacing w:before="0" w:line="240" w:lineRule="auto"/>
        <w:contextualSpacing/>
        <w:rPr>
          <w:rFonts w:cs="Calibri Light"/>
          <w:bCs/>
          <w:i/>
          <w:noProof/>
          <w:szCs w:val="22"/>
          <w:lang w:val="sq-AL" w:eastAsia="en-GB"/>
        </w:rPr>
      </w:pPr>
    </w:p>
    <w:p w14:paraId="53E1B436" w14:textId="77777777" w:rsidR="00C95685" w:rsidRDefault="00C95685" w:rsidP="0057032E">
      <w:pPr>
        <w:shd w:val="clear" w:color="auto" w:fill="FFFFFF"/>
        <w:spacing w:before="0" w:line="240" w:lineRule="auto"/>
        <w:contextualSpacing/>
        <w:rPr>
          <w:rFonts w:cs="Calibri Light"/>
          <w:bCs/>
          <w:i/>
          <w:noProof/>
          <w:szCs w:val="22"/>
          <w:lang w:val="sq-AL" w:eastAsia="en-GB"/>
        </w:rPr>
      </w:pPr>
    </w:p>
    <w:p w14:paraId="464DFA8A" w14:textId="77777777" w:rsidR="00C95685" w:rsidRDefault="00C95685" w:rsidP="0057032E">
      <w:pPr>
        <w:shd w:val="clear" w:color="auto" w:fill="FFFFFF"/>
        <w:spacing w:before="0" w:line="240" w:lineRule="auto"/>
        <w:contextualSpacing/>
        <w:rPr>
          <w:rFonts w:cs="Calibri Light"/>
          <w:bCs/>
          <w:i/>
          <w:noProof/>
          <w:szCs w:val="22"/>
          <w:lang w:val="sq-AL" w:eastAsia="en-GB"/>
        </w:rPr>
      </w:pPr>
    </w:p>
    <w:p w14:paraId="44F84DCB" w14:textId="77777777" w:rsidR="00C95685" w:rsidRDefault="00C95685" w:rsidP="0057032E">
      <w:pPr>
        <w:shd w:val="clear" w:color="auto" w:fill="FFFFFF"/>
        <w:spacing w:before="0" w:line="240" w:lineRule="auto"/>
        <w:contextualSpacing/>
        <w:rPr>
          <w:rFonts w:cs="Calibri Light"/>
          <w:bCs/>
          <w:i/>
          <w:noProof/>
          <w:szCs w:val="22"/>
          <w:lang w:val="sq-AL" w:eastAsia="en-GB"/>
        </w:rPr>
      </w:pPr>
    </w:p>
    <w:p w14:paraId="2DC156F1" w14:textId="77777777" w:rsidR="00C95685" w:rsidRDefault="00C95685" w:rsidP="0057032E">
      <w:pPr>
        <w:shd w:val="clear" w:color="auto" w:fill="FFFFFF"/>
        <w:spacing w:before="0" w:line="240" w:lineRule="auto"/>
        <w:contextualSpacing/>
        <w:rPr>
          <w:rFonts w:cs="Calibri Light"/>
          <w:bCs/>
          <w:i/>
          <w:noProof/>
          <w:szCs w:val="22"/>
          <w:lang w:val="sq-AL" w:eastAsia="en-GB"/>
        </w:rPr>
      </w:pPr>
    </w:p>
    <w:p w14:paraId="5DECAA02" w14:textId="77777777" w:rsidR="00C95685" w:rsidRDefault="00C95685" w:rsidP="0057032E">
      <w:pPr>
        <w:shd w:val="clear" w:color="auto" w:fill="FFFFFF"/>
        <w:spacing w:before="0" w:line="240" w:lineRule="auto"/>
        <w:contextualSpacing/>
        <w:rPr>
          <w:rFonts w:cs="Calibri Light"/>
          <w:bCs/>
          <w:i/>
          <w:noProof/>
          <w:szCs w:val="22"/>
          <w:lang w:val="sq-AL" w:eastAsia="en-GB"/>
        </w:rPr>
      </w:pPr>
    </w:p>
    <w:p w14:paraId="39CB4D7F" w14:textId="77777777" w:rsidR="00C156A0" w:rsidRPr="00B14F86" w:rsidRDefault="00C156A0" w:rsidP="00B14F86">
      <w:pPr>
        <w:pStyle w:val="Heading3"/>
        <w:rPr>
          <w:b/>
          <w:bCs/>
        </w:rPr>
      </w:pPr>
      <w:bookmarkStart w:id="288" w:name="_Toc10033301"/>
      <w:bookmarkStart w:id="289" w:name="_Toc10721437"/>
      <w:bookmarkStart w:id="290" w:name="_Toc229390848"/>
      <w:bookmarkEnd w:id="285"/>
      <w:r w:rsidRPr="00B14F86">
        <w:rPr>
          <w:b/>
          <w:bCs/>
        </w:rPr>
        <w:lastRenderedPageBreak/>
        <w:t xml:space="preserve">Rendi </w:t>
      </w:r>
      <w:proofErr w:type="spellStart"/>
      <w:r w:rsidRPr="00B14F86">
        <w:rPr>
          <w:b/>
          <w:bCs/>
        </w:rPr>
        <w:t>dhe</w:t>
      </w:r>
      <w:proofErr w:type="spellEnd"/>
      <w:r w:rsidRPr="00B14F86">
        <w:rPr>
          <w:b/>
          <w:bCs/>
        </w:rPr>
        <w:t xml:space="preserve"> </w:t>
      </w:r>
      <w:proofErr w:type="spellStart"/>
      <w:r w:rsidRPr="00B14F86">
        <w:rPr>
          <w:b/>
          <w:bCs/>
        </w:rPr>
        <w:t>Siguria</w:t>
      </w:r>
      <w:proofErr w:type="spellEnd"/>
      <w:r w:rsidRPr="00B14F86">
        <w:rPr>
          <w:b/>
          <w:bCs/>
        </w:rPr>
        <w:t xml:space="preserve"> </w:t>
      </w:r>
      <w:proofErr w:type="spellStart"/>
      <w:r w:rsidRPr="00B14F86">
        <w:rPr>
          <w:b/>
          <w:bCs/>
        </w:rPr>
        <w:t>Publike</w:t>
      </w:r>
      <w:bookmarkEnd w:id="288"/>
      <w:bookmarkEnd w:id="289"/>
      <w:bookmarkEnd w:id="290"/>
      <w:proofErr w:type="spellEnd"/>
    </w:p>
    <w:p w14:paraId="4768E2FE" w14:textId="77777777" w:rsidR="00C156A0" w:rsidRPr="00C156A0" w:rsidRDefault="00C156A0" w:rsidP="00C156A0">
      <w:pPr>
        <w:spacing w:line="240" w:lineRule="auto"/>
        <w:rPr>
          <w:rFonts w:cs="Calibri"/>
          <w:noProof/>
          <w:color w:val="000000"/>
          <w:lang w:val="sq-AL"/>
        </w:rPr>
      </w:pPr>
      <w:r w:rsidRPr="00C156A0">
        <w:rPr>
          <w:rFonts w:cs="Calibri"/>
          <w:noProof/>
          <w:color w:val="000000"/>
          <w:lang w:val="sq-AL"/>
        </w:rPr>
        <w:t>Performanca e treguesve buxhetorë për programet kryesore të Ministrisë së Brendshme paraqitet si mëposhtë:</w:t>
      </w:r>
    </w:p>
    <w:p w14:paraId="1DD90CA8" w14:textId="58433609" w:rsidR="00C156A0" w:rsidRPr="00C156A0" w:rsidRDefault="00C156A0" w:rsidP="00C156A0">
      <w:pPr>
        <w:rPr>
          <w:i/>
          <w:iCs/>
          <w:noProof/>
          <w:color w:val="17406D"/>
          <w:sz w:val="18"/>
          <w:szCs w:val="18"/>
          <w:lang w:val="sq-AL"/>
        </w:rPr>
      </w:pPr>
      <w:bookmarkStart w:id="291" w:name="_Toc229130016"/>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41</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Ministrinë e Brendshme</w:t>
      </w:r>
      <w:bookmarkEnd w:id="291"/>
    </w:p>
    <w:tbl>
      <w:tblPr>
        <w:tblW w:w="9880" w:type="dxa"/>
        <w:jc w:val="center"/>
        <w:tblLook w:val="04A0" w:firstRow="1" w:lastRow="0" w:firstColumn="1" w:lastColumn="0" w:noHBand="0" w:noVBand="1"/>
      </w:tblPr>
      <w:tblGrid>
        <w:gridCol w:w="1884"/>
        <w:gridCol w:w="948"/>
        <w:gridCol w:w="871"/>
        <w:gridCol w:w="948"/>
        <w:gridCol w:w="871"/>
        <w:gridCol w:w="948"/>
        <w:gridCol w:w="871"/>
        <w:gridCol w:w="632"/>
        <w:gridCol w:w="629"/>
        <w:gridCol w:w="640"/>
        <w:gridCol w:w="638"/>
      </w:tblGrid>
      <w:tr w:rsidR="00C156A0" w:rsidRPr="00C147C4" w14:paraId="657D7804" w14:textId="77777777" w:rsidTr="00C95685">
        <w:trPr>
          <w:trHeight w:val="355"/>
          <w:jc w:val="center"/>
        </w:trPr>
        <w:tc>
          <w:tcPr>
            <w:tcW w:w="1884" w:type="dxa"/>
            <w:vMerge w:val="restart"/>
            <w:tcBorders>
              <w:top w:val="single" w:sz="8" w:space="0" w:color="B8CCE4"/>
              <w:left w:val="single" w:sz="8" w:space="0" w:color="B8CCE4"/>
              <w:bottom w:val="single" w:sz="4" w:space="0" w:color="B8CCE4"/>
              <w:right w:val="single" w:sz="4" w:space="0" w:color="B8CCE4"/>
            </w:tcBorders>
            <w:shd w:val="clear" w:color="000000" w:fill="366092"/>
            <w:vAlign w:val="center"/>
            <w:hideMark/>
          </w:tcPr>
          <w:p w14:paraId="2AC74F77"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Programi buxhetor</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3B40582E"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Plani fillestar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2E83AF49"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Plani i rishikuar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0CE83D71"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Fakti 2025</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4489DB30"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Realizimi në % me planin fillestar</w:t>
            </w:r>
          </w:p>
        </w:tc>
        <w:tc>
          <w:tcPr>
            <w:tcW w:w="0" w:type="auto"/>
            <w:gridSpan w:val="2"/>
            <w:tcBorders>
              <w:top w:val="single" w:sz="8" w:space="0" w:color="B8CCE4"/>
              <w:left w:val="nil"/>
              <w:bottom w:val="single" w:sz="4" w:space="0" w:color="B8CCE4"/>
              <w:right w:val="single" w:sz="8" w:space="0" w:color="B8CCE4"/>
            </w:tcBorders>
            <w:shd w:val="clear" w:color="000000" w:fill="365F91"/>
            <w:vAlign w:val="center"/>
            <w:hideMark/>
          </w:tcPr>
          <w:p w14:paraId="77AA90AF"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Realizimi në % me planin e rishikuar</w:t>
            </w:r>
          </w:p>
        </w:tc>
      </w:tr>
      <w:tr w:rsidR="00C156A0" w:rsidRPr="00C156A0" w14:paraId="18220AC1" w14:textId="77777777" w:rsidTr="00C95685">
        <w:trPr>
          <w:trHeight w:val="236"/>
          <w:jc w:val="center"/>
        </w:trPr>
        <w:tc>
          <w:tcPr>
            <w:tcW w:w="1884" w:type="dxa"/>
            <w:vMerge/>
            <w:tcBorders>
              <w:top w:val="single" w:sz="8" w:space="0" w:color="B8CCE4"/>
              <w:left w:val="single" w:sz="8" w:space="0" w:color="B8CCE4"/>
              <w:bottom w:val="single" w:sz="4" w:space="0" w:color="B8CCE4"/>
              <w:right w:val="single" w:sz="4" w:space="0" w:color="B8CCE4"/>
            </w:tcBorders>
            <w:vAlign w:val="center"/>
            <w:hideMark/>
          </w:tcPr>
          <w:p w14:paraId="197227C4" w14:textId="77777777" w:rsidR="00C156A0" w:rsidRPr="00C156A0" w:rsidRDefault="00C156A0" w:rsidP="00C156A0">
            <w:pPr>
              <w:spacing w:before="0" w:line="240" w:lineRule="auto"/>
              <w:jc w:val="center"/>
              <w:rPr>
                <w:rFonts w:cs="Calibri"/>
                <w:b/>
                <w:bCs/>
                <w:noProof/>
                <w:color w:val="FFFFFF"/>
                <w:sz w:val="16"/>
                <w:szCs w:val="16"/>
                <w:lang w:val="sq-AL"/>
              </w:rPr>
            </w:pPr>
          </w:p>
        </w:tc>
        <w:tc>
          <w:tcPr>
            <w:tcW w:w="0" w:type="auto"/>
            <w:tcBorders>
              <w:top w:val="nil"/>
              <w:left w:val="nil"/>
              <w:bottom w:val="single" w:sz="4" w:space="0" w:color="B8CCE4"/>
              <w:right w:val="single" w:sz="4" w:space="0" w:color="B8CCE4"/>
            </w:tcBorders>
            <w:shd w:val="clear" w:color="000000" w:fill="365F91"/>
            <w:vAlign w:val="center"/>
            <w:hideMark/>
          </w:tcPr>
          <w:p w14:paraId="4B6C5CC6" w14:textId="701A4209" w:rsidR="00C156A0" w:rsidRPr="00C156A0" w:rsidRDefault="0056260B" w:rsidP="00C156A0">
            <w:pPr>
              <w:spacing w:before="0" w:line="240" w:lineRule="auto"/>
              <w:jc w:val="center"/>
              <w:rPr>
                <w:rFonts w:cs="Calibri"/>
                <w:b/>
                <w:bCs/>
                <w:noProof/>
                <w:color w:val="FFFFFF"/>
                <w:sz w:val="16"/>
                <w:szCs w:val="16"/>
                <w:lang w:val="sq-AL"/>
              </w:rPr>
            </w:pPr>
            <w:r>
              <w:rPr>
                <w:rFonts w:cs="Calibri"/>
                <w:b/>
                <w:bCs/>
                <w:noProof/>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172FF837"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2652191E" w14:textId="3647B641" w:rsidR="00C156A0" w:rsidRPr="00C156A0" w:rsidRDefault="0056260B" w:rsidP="00C156A0">
            <w:pPr>
              <w:spacing w:before="0" w:line="240" w:lineRule="auto"/>
              <w:jc w:val="center"/>
              <w:rPr>
                <w:rFonts w:cs="Calibri"/>
                <w:b/>
                <w:bCs/>
                <w:noProof/>
                <w:color w:val="FFFFFF"/>
                <w:sz w:val="16"/>
                <w:szCs w:val="16"/>
                <w:lang w:val="sq-AL"/>
              </w:rPr>
            </w:pPr>
            <w:r>
              <w:rPr>
                <w:rFonts w:cs="Calibri"/>
                <w:b/>
                <w:bCs/>
                <w:noProof/>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369A6426"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5C00CDE2" w14:textId="24102FD8" w:rsidR="00C156A0" w:rsidRPr="00C156A0" w:rsidRDefault="0056260B" w:rsidP="00C156A0">
            <w:pPr>
              <w:spacing w:before="0" w:line="240" w:lineRule="auto"/>
              <w:jc w:val="center"/>
              <w:rPr>
                <w:rFonts w:cs="Calibri"/>
                <w:b/>
                <w:bCs/>
                <w:noProof/>
                <w:color w:val="FFFFFF"/>
                <w:sz w:val="16"/>
                <w:szCs w:val="16"/>
                <w:lang w:val="sq-AL"/>
              </w:rPr>
            </w:pPr>
            <w:r>
              <w:rPr>
                <w:rFonts w:cs="Calibri"/>
                <w:b/>
                <w:bCs/>
                <w:noProof/>
                <w:color w:val="FFFFFF"/>
                <w:sz w:val="16"/>
                <w:szCs w:val="16"/>
                <w:lang w:val="sq-AL"/>
              </w:rPr>
              <w:t>Korente</w:t>
            </w:r>
          </w:p>
        </w:tc>
        <w:tc>
          <w:tcPr>
            <w:tcW w:w="0" w:type="auto"/>
            <w:tcBorders>
              <w:top w:val="nil"/>
              <w:left w:val="nil"/>
              <w:bottom w:val="single" w:sz="4" w:space="0" w:color="B8CCE4"/>
              <w:right w:val="single" w:sz="4" w:space="0" w:color="B8CCE4"/>
            </w:tcBorders>
            <w:shd w:val="clear" w:color="000000" w:fill="365F91"/>
            <w:vAlign w:val="center"/>
            <w:hideMark/>
          </w:tcPr>
          <w:p w14:paraId="25E74D44"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358BEE57"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Korr.</w:t>
            </w:r>
          </w:p>
        </w:tc>
        <w:tc>
          <w:tcPr>
            <w:tcW w:w="0" w:type="auto"/>
            <w:tcBorders>
              <w:top w:val="nil"/>
              <w:left w:val="nil"/>
              <w:bottom w:val="single" w:sz="4" w:space="0" w:color="B8CCE4"/>
              <w:right w:val="single" w:sz="4" w:space="0" w:color="B8CCE4"/>
            </w:tcBorders>
            <w:shd w:val="clear" w:color="000000" w:fill="365F91"/>
            <w:vAlign w:val="center"/>
            <w:hideMark/>
          </w:tcPr>
          <w:p w14:paraId="544341C4"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Inv.</w:t>
            </w:r>
          </w:p>
        </w:tc>
        <w:tc>
          <w:tcPr>
            <w:tcW w:w="0" w:type="auto"/>
            <w:tcBorders>
              <w:top w:val="nil"/>
              <w:left w:val="nil"/>
              <w:bottom w:val="single" w:sz="4" w:space="0" w:color="B8CCE4"/>
              <w:right w:val="single" w:sz="4" w:space="0" w:color="B8CCE4"/>
            </w:tcBorders>
            <w:shd w:val="clear" w:color="000000" w:fill="365F91"/>
            <w:vAlign w:val="center"/>
            <w:hideMark/>
          </w:tcPr>
          <w:p w14:paraId="333EE4F4"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Korr.</w:t>
            </w:r>
          </w:p>
        </w:tc>
        <w:tc>
          <w:tcPr>
            <w:tcW w:w="0" w:type="auto"/>
            <w:tcBorders>
              <w:top w:val="nil"/>
              <w:left w:val="nil"/>
              <w:bottom w:val="single" w:sz="4" w:space="0" w:color="B8CCE4"/>
              <w:right w:val="single" w:sz="8" w:space="0" w:color="B8CCE4"/>
            </w:tcBorders>
            <w:shd w:val="clear" w:color="000000" w:fill="365F91"/>
            <w:vAlign w:val="center"/>
            <w:hideMark/>
          </w:tcPr>
          <w:p w14:paraId="0EE23BEF"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Inv.</w:t>
            </w:r>
          </w:p>
        </w:tc>
      </w:tr>
      <w:tr w:rsidR="00C156A0" w:rsidRPr="00C156A0" w14:paraId="35988E97" w14:textId="77777777" w:rsidTr="00C95685">
        <w:trPr>
          <w:trHeight w:val="355"/>
          <w:jc w:val="center"/>
        </w:trPr>
        <w:tc>
          <w:tcPr>
            <w:tcW w:w="1884" w:type="dxa"/>
            <w:tcBorders>
              <w:top w:val="nil"/>
              <w:left w:val="single" w:sz="8" w:space="0" w:color="B8CCE4"/>
              <w:bottom w:val="single" w:sz="4" w:space="0" w:color="B8CCE4"/>
              <w:right w:val="single" w:sz="4" w:space="0" w:color="B8CCE4"/>
            </w:tcBorders>
            <w:vAlign w:val="center"/>
            <w:hideMark/>
          </w:tcPr>
          <w:p w14:paraId="6D035A2A" w14:textId="77777777" w:rsidR="00C156A0" w:rsidRPr="00C156A0" w:rsidRDefault="00C156A0" w:rsidP="009C048C">
            <w:pPr>
              <w:spacing w:before="0" w:line="240" w:lineRule="auto"/>
              <w:jc w:val="left"/>
              <w:rPr>
                <w:rFonts w:cs="Calibri"/>
                <w:b/>
                <w:bCs/>
                <w:noProof/>
                <w:sz w:val="16"/>
                <w:szCs w:val="16"/>
                <w:lang w:val="sq-AL"/>
              </w:rPr>
            </w:pPr>
            <w:r w:rsidRPr="00C156A0">
              <w:rPr>
                <w:rFonts w:cs="Calibri"/>
                <w:b/>
                <w:bCs/>
                <w:noProof/>
                <w:sz w:val="16"/>
                <w:szCs w:val="16"/>
                <w:lang w:val="sq-AL"/>
              </w:rPr>
              <w:t>Planifikimi, Menaxhimi dhe Administrimi</w:t>
            </w:r>
          </w:p>
        </w:tc>
        <w:tc>
          <w:tcPr>
            <w:tcW w:w="0" w:type="auto"/>
            <w:tcBorders>
              <w:top w:val="nil"/>
              <w:left w:val="nil"/>
              <w:bottom w:val="single" w:sz="4" w:space="0" w:color="B8CCE4"/>
              <w:right w:val="single" w:sz="4" w:space="0" w:color="B8CCE4"/>
            </w:tcBorders>
          </w:tcPr>
          <w:p w14:paraId="34A6E51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1,582,495</w:t>
            </w:r>
          </w:p>
        </w:tc>
        <w:tc>
          <w:tcPr>
            <w:tcW w:w="0" w:type="auto"/>
            <w:tcBorders>
              <w:top w:val="nil"/>
              <w:left w:val="nil"/>
              <w:bottom w:val="single" w:sz="4" w:space="0" w:color="B8CCE4"/>
              <w:right w:val="single" w:sz="4" w:space="0" w:color="B8CCE4"/>
            </w:tcBorders>
          </w:tcPr>
          <w:p w14:paraId="01B033B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92,849</w:t>
            </w:r>
          </w:p>
        </w:tc>
        <w:tc>
          <w:tcPr>
            <w:tcW w:w="0" w:type="auto"/>
            <w:tcBorders>
              <w:top w:val="nil"/>
              <w:left w:val="nil"/>
              <w:bottom w:val="single" w:sz="4" w:space="0" w:color="B8CCE4"/>
              <w:right w:val="single" w:sz="4" w:space="0" w:color="B8CCE4"/>
            </w:tcBorders>
          </w:tcPr>
          <w:p w14:paraId="5FBCFDC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2,181,870</w:t>
            </w:r>
          </w:p>
        </w:tc>
        <w:tc>
          <w:tcPr>
            <w:tcW w:w="0" w:type="auto"/>
            <w:tcBorders>
              <w:top w:val="nil"/>
              <w:left w:val="nil"/>
              <w:bottom w:val="single" w:sz="4" w:space="0" w:color="B8CCE4"/>
              <w:right w:val="single" w:sz="4" w:space="0" w:color="B8CCE4"/>
            </w:tcBorders>
          </w:tcPr>
          <w:p w14:paraId="706160C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70,778</w:t>
            </w:r>
          </w:p>
        </w:tc>
        <w:tc>
          <w:tcPr>
            <w:tcW w:w="0" w:type="auto"/>
            <w:tcBorders>
              <w:top w:val="nil"/>
              <w:left w:val="nil"/>
              <w:bottom w:val="single" w:sz="4" w:space="0" w:color="B8CCE4"/>
              <w:right w:val="single" w:sz="4" w:space="0" w:color="B8CCE4"/>
            </w:tcBorders>
          </w:tcPr>
          <w:p w14:paraId="62CB0284"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2,145,196</w:t>
            </w:r>
          </w:p>
        </w:tc>
        <w:tc>
          <w:tcPr>
            <w:tcW w:w="0" w:type="auto"/>
            <w:tcBorders>
              <w:top w:val="nil"/>
              <w:left w:val="nil"/>
              <w:bottom w:val="single" w:sz="4" w:space="0" w:color="B8CCE4"/>
              <w:right w:val="single" w:sz="4" w:space="0" w:color="B8CCE4"/>
            </w:tcBorders>
          </w:tcPr>
          <w:p w14:paraId="212C79C4"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38,444</w:t>
            </w:r>
          </w:p>
        </w:tc>
        <w:tc>
          <w:tcPr>
            <w:tcW w:w="0" w:type="auto"/>
            <w:tcBorders>
              <w:top w:val="nil"/>
              <w:left w:val="nil"/>
              <w:bottom w:val="single" w:sz="4" w:space="0" w:color="B8CCE4"/>
              <w:right w:val="single" w:sz="4" w:space="0" w:color="B8CCE4"/>
            </w:tcBorders>
          </w:tcPr>
          <w:p w14:paraId="424818B0"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136%</w:t>
            </w:r>
          </w:p>
        </w:tc>
        <w:tc>
          <w:tcPr>
            <w:tcW w:w="0" w:type="auto"/>
            <w:tcBorders>
              <w:top w:val="nil"/>
              <w:left w:val="nil"/>
              <w:bottom w:val="single" w:sz="4" w:space="0" w:color="B8CCE4"/>
              <w:right w:val="single" w:sz="4" w:space="0" w:color="B8CCE4"/>
            </w:tcBorders>
          </w:tcPr>
          <w:p w14:paraId="62E7F286"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41%</w:t>
            </w:r>
          </w:p>
        </w:tc>
        <w:tc>
          <w:tcPr>
            <w:tcW w:w="0" w:type="auto"/>
            <w:tcBorders>
              <w:top w:val="nil"/>
              <w:left w:val="nil"/>
              <w:bottom w:val="single" w:sz="4" w:space="0" w:color="B8CCE4"/>
              <w:right w:val="single" w:sz="4" w:space="0" w:color="B8CCE4"/>
            </w:tcBorders>
          </w:tcPr>
          <w:p w14:paraId="774FEFAB"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98%</w:t>
            </w:r>
          </w:p>
        </w:tc>
        <w:tc>
          <w:tcPr>
            <w:tcW w:w="0" w:type="auto"/>
            <w:tcBorders>
              <w:top w:val="nil"/>
              <w:left w:val="nil"/>
              <w:bottom w:val="single" w:sz="4" w:space="0" w:color="B8CCE4"/>
              <w:right w:val="single" w:sz="8" w:space="0" w:color="B8CCE4"/>
            </w:tcBorders>
          </w:tcPr>
          <w:p w14:paraId="50AA7007"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54%</w:t>
            </w:r>
          </w:p>
        </w:tc>
      </w:tr>
      <w:tr w:rsidR="00C156A0" w:rsidRPr="00C156A0" w14:paraId="66261D21" w14:textId="77777777" w:rsidTr="00C95685">
        <w:trPr>
          <w:trHeight w:val="355"/>
          <w:jc w:val="center"/>
        </w:trPr>
        <w:tc>
          <w:tcPr>
            <w:tcW w:w="1884" w:type="dxa"/>
            <w:tcBorders>
              <w:top w:val="nil"/>
              <w:left w:val="single" w:sz="8" w:space="0" w:color="B8CCE4"/>
              <w:bottom w:val="single" w:sz="4" w:space="0" w:color="B8CCE4"/>
              <w:right w:val="single" w:sz="4" w:space="0" w:color="B8CCE4"/>
            </w:tcBorders>
            <w:vAlign w:val="center"/>
            <w:hideMark/>
          </w:tcPr>
          <w:p w14:paraId="38A30CB9" w14:textId="77777777" w:rsidR="00C156A0" w:rsidRPr="00C156A0" w:rsidRDefault="00C156A0" w:rsidP="009C048C">
            <w:pPr>
              <w:spacing w:before="0" w:line="240" w:lineRule="auto"/>
              <w:jc w:val="left"/>
              <w:rPr>
                <w:rFonts w:cs="Calibri"/>
                <w:b/>
                <w:bCs/>
                <w:noProof/>
                <w:sz w:val="16"/>
                <w:szCs w:val="16"/>
                <w:lang w:val="sq-AL"/>
              </w:rPr>
            </w:pPr>
            <w:r w:rsidRPr="00C156A0">
              <w:rPr>
                <w:rFonts w:cs="Calibri"/>
                <w:b/>
                <w:bCs/>
                <w:noProof/>
                <w:sz w:val="16"/>
                <w:szCs w:val="16"/>
                <w:lang w:val="sq-AL"/>
              </w:rPr>
              <w:t>Prefekturat dhe funksionet e deleguara</w:t>
            </w:r>
          </w:p>
        </w:tc>
        <w:tc>
          <w:tcPr>
            <w:tcW w:w="0" w:type="auto"/>
            <w:tcBorders>
              <w:top w:val="nil"/>
              <w:left w:val="nil"/>
              <w:bottom w:val="single" w:sz="4" w:space="0" w:color="B8CCE4"/>
              <w:right w:val="single" w:sz="4" w:space="0" w:color="B8CCE4"/>
            </w:tcBorders>
          </w:tcPr>
          <w:p w14:paraId="622BF530"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671,327</w:t>
            </w:r>
          </w:p>
        </w:tc>
        <w:tc>
          <w:tcPr>
            <w:tcW w:w="0" w:type="auto"/>
            <w:tcBorders>
              <w:top w:val="nil"/>
              <w:left w:val="nil"/>
              <w:bottom w:val="single" w:sz="4" w:space="0" w:color="B8CCE4"/>
              <w:right w:val="single" w:sz="4" w:space="0" w:color="B8CCE4"/>
            </w:tcBorders>
          </w:tcPr>
          <w:p w14:paraId="4B6A266D"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32,000</w:t>
            </w:r>
          </w:p>
        </w:tc>
        <w:tc>
          <w:tcPr>
            <w:tcW w:w="0" w:type="auto"/>
            <w:tcBorders>
              <w:top w:val="nil"/>
              <w:left w:val="nil"/>
              <w:bottom w:val="single" w:sz="4" w:space="0" w:color="B8CCE4"/>
              <w:right w:val="single" w:sz="4" w:space="0" w:color="B8CCE4"/>
            </w:tcBorders>
          </w:tcPr>
          <w:p w14:paraId="42510455"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674,887</w:t>
            </w:r>
          </w:p>
        </w:tc>
        <w:tc>
          <w:tcPr>
            <w:tcW w:w="0" w:type="auto"/>
            <w:tcBorders>
              <w:top w:val="nil"/>
              <w:left w:val="nil"/>
              <w:bottom w:val="single" w:sz="4" w:space="0" w:color="B8CCE4"/>
              <w:right w:val="single" w:sz="4" w:space="0" w:color="B8CCE4"/>
            </w:tcBorders>
          </w:tcPr>
          <w:p w14:paraId="391FF776"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12,093</w:t>
            </w:r>
          </w:p>
        </w:tc>
        <w:tc>
          <w:tcPr>
            <w:tcW w:w="0" w:type="auto"/>
            <w:tcBorders>
              <w:top w:val="nil"/>
              <w:left w:val="nil"/>
              <w:bottom w:val="single" w:sz="4" w:space="0" w:color="B8CCE4"/>
              <w:right w:val="single" w:sz="4" w:space="0" w:color="B8CCE4"/>
            </w:tcBorders>
          </w:tcPr>
          <w:p w14:paraId="1A6547C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629,551</w:t>
            </w:r>
          </w:p>
        </w:tc>
        <w:tc>
          <w:tcPr>
            <w:tcW w:w="0" w:type="auto"/>
            <w:tcBorders>
              <w:top w:val="nil"/>
              <w:left w:val="nil"/>
              <w:bottom w:val="single" w:sz="4" w:space="0" w:color="B8CCE4"/>
              <w:right w:val="single" w:sz="4" w:space="0" w:color="B8CCE4"/>
            </w:tcBorders>
          </w:tcPr>
          <w:p w14:paraId="3A7E817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11,411</w:t>
            </w:r>
          </w:p>
        </w:tc>
        <w:tc>
          <w:tcPr>
            <w:tcW w:w="0" w:type="auto"/>
            <w:tcBorders>
              <w:top w:val="nil"/>
              <w:left w:val="nil"/>
              <w:bottom w:val="single" w:sz="4" w:space="0" w:color="B8CCE4"/>
              <w:right w:val="single" w:sz="4" w:space="0" w:color="B8CCE4"/>
            </w:tcBorders>
          </w:tcPr>
          <w:p w14:paraId="2238AD16"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94%</w:t>
            </w:r>
          </w:p>
        </w:tc>
        <w:tc>
          <w:tcPr>
            <w:tcW w:w="0" w:type="auto"/>
            <w:tcBorders>
              <w:top w:val="nil"/>
              <w:left w:val="nil"/>
              <w:bottom w:val="single" w:sz="4" w:space="0" w:color="B8CCE4"/>
              <w:right w:val="single" w:sz="4" w:space="0" w:color="B8CCE4"/>
            </w:tcBorders>
          </w:tcPr>
          <w:p w14:paraId="7354E115"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36%</w:t>
            </w:r>
          </w:p>
        </w:tc>
        <w:tc>
          <w:tcPr>
            <w:tcW w:w="0" w:type="auto"/>
            <w:tcBorders>
              <w:top w:val="nil"/>
              <w:left w:val="nil"/>
              <w:bottom w:val="single" w:sz="4" w:space="0" w:color="B8CCE4"/>
              <w:right w:val="single" w:sz="4" w:space="0" w:color="B8CCE4"/>
            </w:tcBorders>
          </w:tcPr>
          <w:p w14:paraId="1A4BD665"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93%</w:t>
            </w:r>
          </w:p>
        </w:tc>
        <w:tc>
          <w:tcPr>
            <w:tcW w:w="0" w:type="auto"/>
            <w:tcBorders>
              <w:top w:val="nil"/>
              <w:left w:val="nil"/>
              <w:bottom w:val="single" w:sz="4" w:space="0" w:color="B8CCE4"/>
              <w:right w:val="single" w:sz="8" w:space="0" w:color="B8CCE4"/>
            </w:tcBorders>
          </w:tcPr>
          <w:p w14:paraId="6A6CAC97"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94%</w:t>
            </w:r>
          </w:p>
        </w:tc>
      </w:tr>
      <w:tr w:rsidR="00C156A0" w:rsidRPr="00C156A0" w14:paraId="4763DF83" w14:textId="77777777" w:rsidTr="00C95685">
        <w:trPr>
          <w:trHeight w:val="236"/>
          <w:jc w:val="center"/>
        </w:trPr>
        <w:tc>
          <w:tcPr>
            <w:tcW w:w="1884" w:type="dxa"/>
            <w:tcBorders>
              <w:top w:val="nil"/>
              <w:left w:val="single" w:sz="8" w:space="0" w:color="B8CCE4"/>
              <w:bottom w:val="single" w:sz="4" w:space="0" w:color="B8CCE4"/>
              <w:right w:val="single" w:sz="4" w:space="0" w:color="B8CCE4"/>
            </w:tcBorders>
            <w:vAlign w:val="center"/>
            <w:hideMark/>
          </w:tcPr>
          <w:p w14:paraId="5F3879FD" w14:textId="77777777" w:rsidR="00C156A0" w:rsidRPr="00C156A0" w:rsidRDefault="00C156A0" w:rsidP="009C048C">
            <w:pPr>
              <w:spacing w:before="0" w:line="240" w:lineRule="auto"/>
              <w:jc w:val="left"/>
              <w:rPr>
                <w:rFonts w:cs="Calibri"/>
                <w:b/>
                <w:bCs/>
                <w:noProof/>
                <w:sz w:val="16"/>
                <w:szCs w:val="16"/>
                <w:lang w:val="sq-AL"/>
              </w:rPr>
            </w:pPr>
            <w:r w:rsidRPr="00C156A0">
              <w:rPr>
                <w:rFonts w:cs="Calibri"/>
                <w:b/>
                <w:bCs/>
                <w:noProof/>
                <w:sz w:val="16"/>
                <w:szCs w:val="16"/>
                <w:lang w:val="sq-AL"/>
              </w:rPr>
              <w:t>Shërbimi i Gjendjes Civile</w:t>
            </w:r>
          </w:p>
        </w:tc>
        <w:tc>
          <w:tcPr>
            <w:tcW w:w="0" w:type="auto"/>
            <w:tcBorders>
              <w:top w:val="nil"/>
              <w:left w:val="nil"/>
              <w:bottom w:val="single" w:sz="4" w:space="0" w:color="B8CCE4"/>
              <w:right w:val="single" w:sz="4" w:space="0" w:color="B8CCE4"/>
            </w:tcBorders>
          </w:tcPr>
          <w:p w14:paraId="14ACDA8B"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628,742</w:t>
            </w:r>
          </w:p>
        </w:tc>
        <w:tc>
          <w:tcPr>
            <w:tcW w:w="0" w:type="auto"/>
            <w:tcBorders>
              <w:top w:val="nil"/>
              <w:left w:val="nil"/>
              <w:bottom w:val="single" w:sz="4" w:space="0" w:color="B8CCE4"/>
              <w:right w:val="single" w:sz="4" w:space="0" w:color="B8CCE4"/>
            </w:tcBorders>
          </w:tcPr>
          <w:p w14:paraId="4648D51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202,000</w:t>
            </w:r>
          </w:p>
        </w:tc>
        <w:tc>
          <w:tcPr>
            <w:tcW w:w="0" w:type="auto"/>
            <w:tcBorders>
              <w:top w:val="nil"/>
              <w:left w:val="nil"/>
              <w:bottom w:val="single" w:sz="4" w:space="0" w:color="B8CCE4"/>
              <w:right w:val="single" w:sz="4" w:space="0" w:color="B8CCE4"/>
            </w:tcBorders>
          </w:tcPr>
          <w:p w14:paraId="7323E84F"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766,277</w:t>
            </w:r>
          </w:p>
        </w:tc>
        <w:tc>
          <w:tcPr>
            <w:tcW w:w="0" w:type="auto"/>
            <w:tcBorders>
              <w:top w:val="nil"/>
              <w:left w:val="nil"/>
              <w:bottom w:val="single" w:sz="4" w:space="0" w:color="B8CCE4"/>
              <w:right w:val="single" w:sz="4" w:space="0" w:color="B8CCE4"/>
            </w:tcBorders>
          </w:tcPr>
          <w:p w14:paraId="439422C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202,000</w:t>
            </w:r>
          </w:p>
        </w:tc>
        <w:tc>
          <w:tcPr>
            <w:tcW w:w="0" w:type="auto"/>
            <w:tcBorders>
              <w:top w:val="nil"/>
              <w:left w:val="nil"/>
              <w:bottom w:val="single" w:sz="4" w:space="0" w:color="B8CCE4"/>
              <w:right w:val="single" w:sz="4" w:space="0" w:color="B8CCE4"/>
            </w:tcBorders>
          </w:tcPr>
          <w:p w14:paraId="2507CEF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740,701</w:t>
            </w:r>
          </w:p>
        </w:tc>
        <w:tc>
          <w:tcPr>
            <w:tcW w:w="0" w:type="auto"/>
            <w:tcBorders>
              <w:top w:val="nil"/>
              <w:left w:val="nil"/>
              <w:bottom w:val="single" w:sz="4" w:space="0" w:color="B8CCE4"/>
              <w:right w:val="single" w:sz="4" w:space="0" w:color="B8CCE4"/>
            </w:tcBorders>
          </w:tcPr>
          <w:p w14:paraId="379ABD6E"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202,000</w:t>
            </w:r>
          </w:p>
        </w:tc>
        <w:tc>
          <w:tcPr>
            <w:tcW w:w="0" w:type="auto"/>
            <w:tcBorders>
              <w:top w:val="nil"/>
              <w:left w:val="nil"/>
              <w:bottom w:val="single" w:sz="4" w:space="0" w:color="B8CCE4"/>
              <w:right w:val="single" w:sz="4" w:space="0" w:color="B8CCE4"/>
            </w:tcBorders>
          </w:tcPr>
          <w:p w14:paraId="4662028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118%</w:t>
            </w:r>
          </w:p>
        </w:tc>
        <w:tc>
          <w:tcPr>
            <w:tcW w:w="0" w:type="auto"/>
            <w:tcBorders>
              <w:top w:val="nil"/>
              <w:left w:val="nil"/>
              <w:bottom w:val="single" w:sz="4" w:space="0" w:color="B8CCE4"/>
              <w:right w:val="single" w:sz="4" w:space="0" w:color="B8CCE4"/>
            </w:tcBorders>
          </w:tcPr>
          <w:p w14:paraId="390889AE"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w:t>
            </w:r>
          </w:p>
        </w:tc>
        <w:tc>
          <w:tcPr>
            <w:tcW w:w="0" w:type="auto"/>
            <w:tcBorders>
              <w:top w:val="nil"/>
              <w:left w:val="nil"/>
              <w:bottom w:val="single" w:sz="4" w:space="0" w:color="B8CCE4"/>
              <w:right w:val="single" w:sz="4" w:space="0" w:color="B8CCE4"/>
            </w:tcBorders>
          </w:tcPr>
          <w:p w14:paraId="1796A35E"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97%</w:t>
            </w:r>
          </w:p>
        </w:tc>
        <w:tc>
          <w:tcPr>
            <w:tcW w:w="0" w:type="auto"/>
            <w:tcBorders>
              <w:top w:val="nil"/>
              <w:left w:val="nil"/>
              <w:bottom w:val="single" w:sz="4" w:space="0" w:color="B8CCE4"/>
              <w:right w:val="single" w:sz="8" w:space="0" w:color="B8CCE4"/>
            </w:tcBorders>
          </w:tcPr>
          <w:p w14:paraId="090607BF"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w:t>
            </w:r>
          </w:p>
        </w:tc>
      </w:tr>
      <w:tr w:rsidR="00C156A0" w:rsidRPr="00C156A0" w14:paraId="7C5C6F9B" w14:textId="77777777" w:rsidTr="00C95685">
        <w:trPr>
          <w:trHeight w:val="236"/>
          <w:jc w:val="center"/>
        </w:trPr>
        <w:tc>
          <w:tcPr>
            <w:tcW w:w="1884" w:type="dxa"/>
            <w:tcBorders>
              <w:top w:val="nil"/>
              <w:left w:val="single" w:sz="8" w:space="0" w:color="B8CCE4"/>
              <w:bottom w:val="single" w:sz="4" w:space="0" w:color="B8CCE4"/>
              <w:right w:val="single" w:sz="4" w:space="0" w:color="B8CCE4"/>
            </w:tcBorders>
            <w:vAlign w:val="center"/>
            <w:hideMark/>
          </w:tcPr>
          <w:p w14:paraId="5D82761C" w14:textId="77777777" w:rsidR="00C156A0" w:rsidRPr="00C156A0" w:rsidRDefault="00C156A0" w:rsidP="009C048C">
            <w:pPr>
              <w:spacing w:before="0" w:line="240" w:lineRule="auto"/>
              <w:jc w:val="left"/>
              <w:rPr>
                <w:rFonts w:cs="Calibri"/>
                <w:b/>
                <w:bCs/>
                <w:noProof/>
                <w:sz w:val="16"/>
                <w:szCs w:val="16"/>
                <w:lang w:val="sq-AL"/>
              </w:rPr>
            </w:pPr>
            <w:r w:rsidRPr="00C156A0">
              <w:rPr>
                <w:rFonts w:cs="Calibri"/>
                <w:b/>
                <w:bCs/>
                <w:noProof/>
                <w:sz w:val="16"/>
                <w:szCs w:val="16"/>
                <w:lang w:val="sq-AL"/>
              </w:rPr>
              <w:t>Policia e Shtetit</w:t>
            </w:r>
          </w:p>
        </w:tc>
        <w:tc>
          <w:tcPr>
            <w:tcW w:w="0" w:type="auto"/>
            <w:tcBorders>
              <w:top w:val="nil"/>
              <w:left w:val="nil"/>
              <w:bottom w:val="single" w:sz="4" w:space="0" w:color="B8CCE4"/>
              <w:right w:val="single" w:sz="4" w:space="0" w:color="B8CCE4"/>
            </w:tcBorders>
          </w:tcPr>
          <w:p w14:paraId="70FA01F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22,863,012</w:t>
            </w:r>
          </w:p>
        </w:tc>
        <w:tc>
          <w:tcPr>
            <w:tcW w:w="0" w:type="auto"/>
            <w:tcBorders>
              <w:top w:val="nil"/>
              <w:left w:val="nil"/>
              <w:bottom w:val="single" w:sz="4" w:space="0" w:color="B8CCE4"/>
              <w:right w:val="single" w:sz="4" w:space="0" w:color="B8CCE4"/>
            </w:tcBorders>
          </w:tcPr>
          <w:p w14:paraId="422B1D6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694,127</w:t>
            </w:r>
          </w:p>
        </w:tc>
        <w:tc>
          <w:tcPr>
            <w:tcW w:w="0" w:type="auto"/>
            <w:tcBorders>
              <w:top w:val="nil"/>
              <w:left w:val="nil"/>
              <w:bottom w:val="single" w:sz="4" w:space="0" w:color="B8CCE4"/>
              <w:right w:val="single" w:sz="4" w:space="0" w:color="B8CCE4"/>
            </w:tcBorders>
          </w:tcPr>
          <w:p w14:paraId="0B12DD65"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23,776,493</w:t>
            </w:r>
          </w:p>
        </w:tc>
        <w:tc>
          <w:tcPr>
            <w:tcW w:w="0" w:type="auto"/>
            <w:tcBorders>
              <w:top w:val="nil"/>
              <w:left w:val="nil"/>
              <w:bottom w:val="single" w:sz="4" w:space="0" w:color="B8CCE4"/>
              <w:right w:val="single" w:sz="4" w:space="0" w:color="B8CCE4"/>
            </w:tcBorders>
          </w:tcPr>
          <w:p w14:paraId="6DC42648"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1,105,517</w:t>
            </w:r>
          </w:p>
        </w:tc>
        <w:tc>
          <w:tcPr>
            <w:tcW w:w="0" w:type="auto"/>
            <w:tcBorders>
              <w:top w:val="nil"/>
              <w:left w:val="nil"/>
              <w:bottom w:val="single" w:sz="4" w:space="0" w:color="B8CCE4"/>
              <w:right w:val="single" w:sz="4" w:space="0" w:color="B8CCE4"/>
            </w:tcBorders>
          </w:tcPr>
          <w:p w14:paraId="18FD9A02"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23,746,508</w:t>
            </w:r>
          </w:p>
        </w:tc>
        <w:tc>
          <w:tcPr>
            <w:tcW w:w="0" w:type="auto"/>
            <w:tcBorders>
              <w:top w:val="nil"/>
              <w:left w:val="nil"/>
              <w:bottom w:val="single" w:sz="4" w:space="0" w:color="B8CCE4"/>
              <w:right w:val="single" w:sz="4" w:space="0" w:color="B8CCE4"/>
            </w:tcBorders>
          </w:tcPr>
          <w:p w14:paraId="540A1053"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1,099,413</w:t>
            </w:r>
          </w:p>
        </w:tc>
        <w:tc>
          <w:tcPr>
            <w:tcW w:w="0" w:type="auto"/>
            <w:tcBorders>
              <w:top w:val="nil"/>
              <w:left w:val="nil"/>
              <w:bottom w:val="single" w:sz="4" w:space="0" w:color="B8CCE4"/>
              <w:right w:val="single" w:sz="4" w:space="0" w:color="B8CCE4"/>
            </w:tcBorders>
          </w:tcPr>
          <w:p w14:paraId="21211293"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104%</w:t>
            </w:r>
          </w:p>
        </w:tc>
        <w:tc>
          <w:tcPr>
            <w:tcW w:w="0" w:type="auto"/>
            <w:tcBorders>
              <w:top w:val="nil"/>
              <w:left w:val="nil"/>
              <w:bottom w:val="single" w:sz="4" w:space="0" w:color="B8CCE4"/>
              <w:right w:val="single" w:sz="4" w:space="0" w:color="B8CCE4"/>
            </w:tcBorders>
          </w:tcPr>
          <w:p w14:paraId="0CD263C1"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158%</w:t>
            </w:r>
          </w:p>
        </w:tc>
        <w:tc>
          <w:tcPr>
            <w:tcW w:w="0" w:type="auto"/>
            <w:tcBorders>
              <w:top w:val="nil"/>
              <w:left w:val="nil"/>
              <w:bottom w:val="single" w:sz="4" w:space="0" w:color="B8CCE4"/>
              <w:right w:val="single" w:sz="4" w:space="0" w:color="B8CCE4"/>
            </w:tcBorders>
          </w:tcPr>
          <w:p w14:paraId="7E498820"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w:t>
            </w:r>
          </w:p>
        </w:tc>
        <w:tc>
          <w:tcPr>
            <w:tcW w:w="0" w:type="auto"/>
            <w:tcBorders>
              <w:top w:val="nil"/>
              <w:left w:val="nil"/>
              <w:bottom w:val="single" w:sz="4" w:space="0" w:color="B8CCE4"/>
              <w:right w:val="single" w:sz="8" w:space="0" w:color="B8CCE4"/>
            </w:tcBorders>
          </w:tcPr>
          <w:p w14:paraId="65F8297C"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99%</w:t>
            </w:r>
          </w:p>
        </w:tc>
      </w:tr>
      <w:tr w:rsidR="00C156A0" w:rsidRPr="00C156A0" w14:paraId="103A69C3" w14:textId="77777777" w:rsidTr="00C95685">
        <w:trPr>
          <w:trHeight w:val="236"/>
          <w:jc w:val="center"/>
        </w:trPr>
        <w:tc>
          <w:tcPr>
            <w:tcW w:w="1884" w:type="dxa"/>
            <w:tcBorders>
              <w:top w:val="nil"/>
              <w:left w:val="single" w:sz="8" w:space="0" w:color="B8CCE4"/>
              <w:bottom w:val="single" w:sz="4" w:space="0" w:color="B8CCE4"/>
              <w:right w:val="single" w:sz="4" w:space="0" w:color="B8CCE4"/>
            </w:tcBorders>
            <w:vAlign w:val="center"/>
          </w:tcPr>
          <w:p w14:paraId="01328D4A" w14:textId="77777777" w:rsidR="00C156A0" w:rsidRPr="00C156A0" w:rsidRDefault="00C156A0" w:rsidP="009C048C">
            <w:pPr>
              <w:spacing w:before="0" w:line="240" w:lineRule="auto"/>
              <w:jc w:val="right"/>
              <w:rPr>
                <w:rFonts w:cs="Calibri"/>
                <w:b/>
                <w:bCs/>
                <w:noProof/>
                <w:sz w:val="16"/>
                <w:szCs w:val="16"/>
                <w:lang w:val="sq-AL"/>
              </w:rPr>
            </w:pPr>
            <w:r w:rsidRPr="00C156A0">
              <w:rPr>
                <w:rFonts w:cs="Calibri"/>
                <w:b/>
                <w:bCs/>
                <w:noProof/>
                <w:sz w:val="16"/>
                <w:szCs w:val="16"/>
                <w:lang w:val="sq-AL"/>
              </w:rPr>
              <w:t>Financim i Huaj</w:t>
            </w:r>
          </w:p>
        </w:tc>
        <w:tc>
          <w:tcPr>
            <w:tcW w:w="0" w:type="auto"/>
            <w:tcBorders>
              <w:top w:val="nil"/>
              <w:left w:val="nil"/>
              <w:bottom w:val="single" w:sz="4" w:space="0" w:color="B8CCE4"/>
              <w:right w:val="single" w:sz="4" w:space="0" w:color="B8CCE4"/>
            </w:tcBorders>
          </w:tcPr>
          <w:p w14:paraId="0B630CA7" w14:textId="77777777" w:rsidR="00C156A0" w:rsidRPr="00C156A0" w:rsidRDefault="00C156A0" w:rsidP="00C156A0">
            <w:pPr>
              <w:spacing w:before="0" w:line="240" w:lineRule="auto"/>
              <w:jc w:val="center"/>
              <w:rPr>
                <w:rFonts w:cs="Calibri"/>
                <w:sz w:val="16"/>
                <w:szCs w:val="16"/>
                <w:lang w:val="sq-AL"/>
              </w:rPr>
            </w:pPr>
          </w:p>
        </w:tc>
        <w:tc>
          <w:tcPr>
            <w:tcW w:w="0" w:type="auto"/>
            <w:tcBorders>
              <w:top w:val="nil"/>
              <w:left w:val="nil"/>
              <w:bottom w:val="single" w:sz="4" w:space="0" w:color="B8CCE4"/>
              <w:right w:val="single" w:sz="4" w:space="0" w:color="B8CCE4"/>
            </w:tcBorders>
          </w:tcPr>
          <w:p w14:paraId="71E9220E"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1,700,000</w:t>
            </w:r>
          </w:p>
        </w:tc>
        <w:tc>
          <w:tcPr>
            <w:tcW w:w="0" w:type="auto"/>
            <w:tcBorders>
              <w:top w:val="nil"/>
              <w:left w:val="nil"/>
              <w:bottom w:val="single" w:sz="4" w:space="0" w:color="B8CCE4"/>
              <w:right w:val="single" w:sz="4" w:space="0" w:color="B8CCE4"/>
            </w:tcBorders>
          </w:tcPr>
          <w:p w14:paraId="17CC720E" w14:textId="77777777" w:rsidR="00C156A0" w:rsidRPr="00C156A0" w:rsidRDefault="00C156A0" w:rsidP="00C156A0">
            <w:pPr>
              <w:spacing w:before="0" w:line="240" w:lineRule="auto"/>
              <w:jc w:val="center"/>
              <w:rPr>
                <w:rFonts w:cs="Calibri"/>
                <w:sz w:val="16"/>
                <w:szCs w:val="16"/>
                <w:lang w:val="sq-AL"/>
              </w:rPr>
            </w:pPr>
          </w:p>
        </w:tc>
        <w:tc>
          <w:tcPr>
            <w:tcW w:w="0" w:type="auto"/>
            <w:tcBorders>
              <w:top w:val="nil"/>
              <w:left w:val="nil"/>
              <w:bottom w:val="single" w:sz="4" w:space="0" w:color="B8CCE4"/>
              <w:right w:val="single" w:sz="4" w:space="0" w:color="B8CCE4"/>
            </w:tcBorders>
          </w:tcPr>
          <w:p w14:paraId="194041CE"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98,547</w:t>
            </w:r>
          </w:p>
        </w:tc>
        <w:tc>
          <w:tcPr>
            <w:tcW w:w="0" w:type="auto"/>
            <w:tcBorders>
              <w:top w:val="nil"/>
              <w:left w:val="nil"/>
              <w:bottom w:val="single" w:sz="4" w:space="0" w:color="B8CCE4"/>
              <w:right w:val="single" w:sz="4" w:space="0" w:color="B8CCE4"/>
            </w:tcBorders>
          </w:tcPr>
          <w:p w14:paraId="51293096" w14:textId="77777777" w:rsidR="00C156A0" w:rsidRPr="00C156A0" w:rsidRDefault="00C156A0" w:rsidP="00C156A0">
            <w:pPr>
              <w:spacing w:before="0" w:line="240" w:lineRule="auto"/>
              <w:jc w:val="center"/>
              <w:rPr>
                <w:rFonts w:cs="Calibri"/>
                <w:sz w:val="16"/>
                <w:szCs w:val="16"/>
                <w:lang w:val="sq-AL"/>
              </w:rPr>
            </w:pPr>
          </w:p>
        </w:tc>
        <w:tc>
          <w:tcPr>
            <w:tcW w:w="0" w:type="auto"/>
            <w:tcBorders>
              <w:top w:val="nil"/>
              <w:left w:val="nil"/>
              <w:bottom w:val="single" w:sz="4" w:space="0" w:color="B8CCE4"/>
              <w:right w:val="single" w:sz="4" w:space="0" w:color="B8CCE4"/>
            </w:tcBorders>
          </w:tcPr>
          <w:p w14:paraId="3439BF8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100,837</w:t>
            </w:r>
          </w:p>
        </w:tc>
        <w:tc>
          <w:tcPr>
            <w:tcW w:w="0" w:type="auto"/>
            <w:tcBorders>
              <w:top w:val="nil"/>
              <w:left w:val="nil"/>
              <w:bottom w:val="single" w:sz="4" w:space="0" w:color="B8CCE4"/>
              <w:right w:val="single" w:sz="4" w:space="0" w:color="B8CCE4"/>
            </w:tcBorders>
          </w:tcPr>
          <w:p w14:paraId="2675CAD4" w14:textId="77777777" w:rsidR="00C156A0" w:rsidRPr="00C156A0" w:rsidRDefault="00C156A0" w:rsidP="00C156A0">
            <w:pPr>
              <w:spacing w:before="0" w:line="240" w:lineRule="auto"/>
              <w:jc w:val="center"/>
              <w:rPr>
                <w:rFonts w:cs="Calibri"/>
                <w:sz w:val="16"/>
                <w:szCs w:val="16"/>
                <w:lang w:val="sq-AL"/>
              </w:rPr>
            </w:pPr>
          </w:p>
        </w:tc>
        <w:tc>
          <w:tcPr>
            <w:tcW w:w="0" w:type="auto"/>
            <w:tcBorders>
              <w:top w:val="nil"/>
              <w:left w:val="nil"/>
              <w:bottom w:val="single" w:sz="4" w:space="0" w:color="B8CCE4"/>
              <w:right w:val="single" w:sz="4" w:space="0" w:color="B8CCE4"/>
            </w:tcBorders>
          </w:tcPr>
          <w:p w14:paraId="0FF2FB9D"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w:t>
            </w:r>
          </w:p>
        </w:tc>
        <w:tc>
          <w:tcPr>
            <w:tcW w:w="0" w:type="auto"/>
            <w:tcBorders>
              <w:top w:val="nil"/>
              <w:left w:val="nil"/>
              <w:bottom w:val="single" w:sz="4" w:space="0" w:color="B8CCE4"/>
              <w:right w:val="single" w:sz="4" w:space="0" w:color="B8CCE4"/>
            </w:tcBorders>
          </w:tcPr>
          <w:p w14:paraId="77AB6C48" w14:textId="77777777" w:rsidR="00C156A0" w:rsidRPr="00C156A0" w:rsidRDefault="00C156A0" w:rsidP="00C156A0">
            <w:pPr>
              <w:spacing w:before="0" w:line="240" w:lineRule="auto"/>
              <w:jc w:val="center"/>
              <w:rPr>
                <w:rFonts w:cs="Calibri"/>
                <w:sz w:val="16"/>
                <w:szCs w:val="16"/>
                <w:lang w:val="sq-AL"/>
              </w:rPr>
            </w:pPr>
          </w:p>
        </w:tc>
        <w:tc>
          <w:tcPr>
            <w:tcW w:w="0" w:type="auto"/>
            <w:tcBorders>
              <w:top w:val="nil"/>
              <w:left w:val="nil"/>
              <w:bottom w:val="single" w:sz="4" w:space="0" w:color="B8CCE4"/>
              <w:right w:val="single" w:sz="8" w:space="0" w:color="B8CCE4"/>
            </w:tcBorders>
          </w:tcPr>
          <w:p w14:paraId="0665F37B"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102%</w:t>
            </w:r>
          </w:p>
        </w:tc>
      </w:tr>
      <w:tr w:rsidR="00C156A0" w:rsidRPr="00C156A0" w14:paraId="0D2C4BD2" w14:textId="77777777" w:rsidTr="00C95685">
        <w:trPr>
          <w:trHeight w:val="236"/>
          <w:jc w:val="center"/>
        </w:trPr>
        <w:tc>
          <w:tcPr>
            <w:tcW w:w="1884" w:type="dxa"/>
            <w:tcBorders>
              <w:top w:val="nil"/>
              <w:left w:val="single" w:sz="8" w:space="0" w:color="B8CCE4"/>
              <w:bottom w:val="single" w:sz="4" w:space="0" w:color="B8CCE4"/>
              <w:right w:val="single" w:sz="4" w:space="0" w:color="B8CCE4"/>
            </w:tcBorders>
            <w:vAlign w:val="center"/>
            <w:hideMark/>
          </w:tcPr>
          <w:p w14:paraId="2BF81A89" w14:textId="77777777" w:rsidR="00C156A0" w:rsidRPr="00C156A0" w:rsidRDefault="00C156A0" w:rsidP="009C048C">
            <w:pPr>
              <w:spacing w:before="0" w:line="240" w:lineRule="auto"/>
              <w:jc w:val="left"/>
              <w:rPr>
                <w:rFonts w:cs="Calibri"/>
                <w:b/>
                <w:bCs/>
                <w:noProof/>
                <w:sz w:val="16"/>
                <w:szCs w:val="16"/>
                <w:lang w:val="sq-AL"/>
              </w:rPr>
            </w:pPr>
            <w:r w:rsidRPr="00C156A0">
              <w:rPr>
                <w:rFonts w:cs="Calibri"/>
                <w:b/>
                <w:bCs/>
                <w:noProof/>
                <w:sz w:val="16"/>
                <w:szCs w:val="16"/>
                <w:lang w:val="sq-AL"/>
              </w:rPr>
              <w:t>Garda e Republikës</w:t>
            </w:r>
          </w:p>
        </w:tc>
        <w:tc>
          <w:tcPr>
            <w:tcW w:w="0" w:type="auto"/>
            <w:tcBorders>
              <w:top w:val="nil"/>
              <w:left w:val="nil"/>
              <w:bottom w:val="single" w:sz="4" w:space="0" w:color="B8CCE4"/>
              <w:right w:val="single" w:sz="4" w:space="0" w:color="B8CCE4"/>
            </w:tcBorders>
          </w:tcPr>
          <w:p w14:paraId="681EB230"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2,480,000</w:t>
            </w:r>
          </w:p>
        </w:tc>
        <w:tc>
          <w:tcPr>
            <w:tcW w:w="0" w:type="auto"/>
            <w:tcBorders>
              <w:top w:val="nil"/>
              <w:left w:val="nil"/>
              <w:bottom w:val="single" w:sz="4" w:space="0" w:color="B8CCE4"/>
              <w:right w:val="single" w:sz="4" w:space="0" w:color="B8CCE4"/>
            </w:tcBorders>
          </w:tcPr>
          <w:p w14:paraId="7CA6D305"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60,000</w:t>
            </w:r>
          </w:p>
        </w:tc>
        <w:tc>
          <w:tcPr>
            <w:tcW w:w="0" w:type="auto"/>
            <w:tcBorders>
              <w:top w:val="nil"/>
              <w:left w:val="nil"/>
              <w:bottom w:val="single" w:sz="4" w:space="0" w:color="B8CCE4"/>
              <w:right w:val="single" w:sz="4" w:space="0" w:color="B8CCE4"/>
            </w:tcBorders>
          </w:tcPr>
          <w:p w14:paraId="26FA6320"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2,561,500</w:t>
            </w:r>
          </w:p>
        </w:tc>
        <w:tc>
          <w:tcPr>
            <w:tcW w:w="0" w:type="auto"/>
            <w:tcBorders>
              <w:top w:val="nil"/>
              <w:left w:val="nil"/>
              <w:bottom w:val="single" w:sz="4" w:space="0" w:color="B8CCE4"/>
              <w:right w:val="single" w:sz="4" w:space="0" w:color="B8CCE4"/>
            </w:tcBorders>
          </w:tcPr>
          <w:p w14:paraId="6EB9834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160,200</w:t>
            </w:r>
          </w:p>
        </w:tc>
        <w:tc>
          <w:tcPr>
            <w:tcW w:w="0" w:type="auto"/>
            <w:tcBorders>
              <w:top w:val="nil"/>
              <w:left w:val="nil"/>
              <w:bottom w:val="single" w:sz="4" w:space="0" w:color="B8CCE4"/>
              <w:right w:val="single" w:sz="4" w:space="0" w:color="B8CCE4"/>
            </w:tcBorders>
          </w:tcPr>
          <w:p w14:paraId="5DEE7E5B"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2,555,196</w:t>
            </w:r>
          </w:p>
        </w:tc>
        <w:tc>
          <w:tcPr>
            <w:tcW w:w="0" w:type="auto"/>
            <w:tcBorders>
              <w:top w:val="nil"/>
              <w:left w:val="nil"/>
              <w:bottom w:val="single" w:sz="4" w:space="0" w:color="B8CCE4"/>
              <w:right w:val="single" w:sz="4" w:space="0" w:color="B8CCE4"/>
            </w:tcBorders>
          </w:tcPr>
          <w:p w14:paraId="21724632"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160,059</w:t>
            </w:r>
          </w:p>
        </w:tc>
        <w:tc>
          <w:tcPr>
            <w:tcW w:w="0" w:type="auto"/>
            <w:tcBorders>
              <w:top w:val="nil"/>
              <w:left w:val="nil"/>
              <w:bottom w:val="single" w:sz="4" w:space="0" w:color="B8CCE4"/>
              <w:right w:val="single" w:sz="4" w:space="0" w:color="B8CCE4"/>
            </w:tcBorders>
          </w:tcPr>
          <w:p w14:paraId="37FBBD89"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103%</w:t>
            </w:r>
          </w:p>
        </w:tc>
        <w:tc>
          <w:tcPr>
            <w:tcW w:w="0" w:type="auto"/>
            <w:tcBorders>
              <w:top w:val="nil"/>
              <w:left w:val="nil"/>
              <w:bottom w:val="single" w:sz="4" w:space="0" w:color="B8CCE4"/>
              <w:right w:val="single" w:sz="4" w:space="0" w:color="B8CCE4"/>
            </w:tcBorders>
          </w:tcPr>
          <w:p w14:paraId="4FA314A6"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267%</w:t>
            </w:r>
          </w:p>
        </w:tc>
        <w:tc>
          <w:tcPr>
            <w:tcW w:w="0" w:type="auto"/>
            <w:tcBorders>
              <w:top w:val="nil"/>
              <w:left w:val="nil"/>
              <w:bottom w:val="single" w:sz="4" w:space="0" w:color="B8CCE4"/>
              <w:right w:val="single" w:sz="4" w:space="0" w:color="B8CCE4"/>
            </w:tcBorders>
          </w:tcPr>
          <w:p w14:paraId="3E5C0304"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w:t>
            </w:r>
          </w:p>
        </w:tc>
        <w:tc>
          <w:tcPr>
            <w:tcW w:w="0" w:type="auto"/>
            <w:tcBorders>
              <w:top w:val="nil"/>
              <w:left w:val="nil"/>
              <w:bottom w:val="single" w:sz="4" w:space="0" w:color="B8CCE4"/>
              <w:right w:val="single" w:sz="8" w:space="0" w:color="B8CCE4"/>
            </w:tcBorders>
          </w:tcPr>
          <w:p w14:paraId="6AEC7AB4" w14:textId="77777777" w:rsidR="00C156A0" w:rsidRPr="00C156A0" w:rsidRDefault="00C156A0" w:rsidP="00C156A0">
            <w:pPr>
              <w:spacing w:before="0" w:line="240" w:lineRule="auto"/>
              <w:jc w:val="center"/>
              <w:rPr>
                <w:rFonts w:cs="Calibri"/>
                <w:sz w:val="16"/>
                <w:szCs w:val="16"/>
                <w:lang w:val="sq-AL"/>
              </w:rPr>
            </w:pPr>
            <w:r w:rsidRPr="00C156A0">
              <w:rPr>
                <w:rFonts w:cs="Calibri"/>
                <w:sz w:val="16"/>
                <w:szCs w:val="16"/>
                <w:lang w:val="sq-AL"/>
              </w:rPr>
              <w:t>100%</w:t>
            </w:r>
          </w:p>
        </w:tc>
      </w:tr>
      <w:tr w:rsidR="00C156A0" w:rsidRPr="00C156A0" w14:paraId="7240C932" w14:textId="77777777" w:rsidTr="00C95685">
        <w:trPr>
          <w:trHeight w:val="236"/>
          <w:jc w:val="center"/>
        </w:trPr>
        <w:tc>
          <w:tcPr>
            <w:tcW w:w="1884" w:type="dxa"/>
            <w:tcBorders>
              <w:top w:val="nil"/>
              <w:left w:val="single" w:sz="8" w:space="0" w:color="B8CCE4"/>
              <w:bottom w:val="single" w:sz="4" w:space="0" w:color="B8CCE4"/>
              <w:right w:val="single" w:sz="4" w:space="0" w:color="B8CCE4"/>
            </w:tcBorders>
            <w:shd w:val="clear" w:color="000000" w:fill="366092"/>
            <w:vAlign w:val="center"/>
            <w:hideMark/>
          </w:tcPr>
          <w:p w14:paraId="776577A6"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Gjithsej sipas natyrës</w:t>
            </w:r>
          </w:p>
        </w:tc>
        <w:tc>
          <w:tcPr>
            <w:tcW w:w="0" w:type="auto"/>
            <w:tcBorders>
              <w:top w:val="nil"/>
              <w:left w:val="nil"/>
              <w:bottom w:val="single" w:sz="4" w:space="0" w:color="B8CCE4"/>
              <w:right w:val="single" w:sz="4" w:space="0" w:color="B8CCE4"/>
            </w:tcBorders>
            <w:shd w:val="clear" w:color="000000" w:fill="366092"/>
          </w:tcPr>
          <w:p w14:paraId="0AAC1CA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28,225,576</w:t>
            </w:r>
          </w:p>
        </w:tc>
        <w:tc>
          <w:tcPr>
            <w:tcW w:w="0" w:type="auto"/>
            <w:tcBorders>
              <w:top w:val="nil"/>
              <w:left w:val="nil"/>
              <w:bottom w:val="single" w:sz="4" w:space="0" w:color="B8CCE4"/>
              <w:right w:val="single" w:sz="4" w:space="0" w:color="B8CCE4"/>
            </w:tcBorders>
            <w:shd w:val="clear" w:color="000000" w:fill="366092"/>
          </w:tcPr>
          <w:p w14:paraId="07D33A1D"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2,780,976</w:t>
            </w:r>
          </w:p>
        </w:tc>
        <w:tc>
          <w:tcPr>
            <w:tcW w:w="0" w:type="auto"/>
            <w:tcBorders>
              <w:top w:val="nil"/>
              <w:left w:val="nil"/>
              <w:bottom w:val="single" w:sz="4" w:space="0" w:color="B8CCE4"/>
              <w:right w:val="single" w:sz="4" w:space="0" w:color="B8CCE4"/>
            </w:tcBorders>
            <w:shd w:val="clear" w:color="000000" w:fill="366092"/>
          </w:tcPr>
          <w:p w14:paraId="4D69140C"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29,961,026</w:t>
            </w:r>
          </w:p>
        </w:tc>
        <w:tc>
          <w:tcPr>
            <w:tcW w:w="0" w:type="auto"/>
            <w:tcBorders>
              <w:top w:val="nil"/>
              <w:left w:val="nil"/>
              <w:bottom w:val="single" w:sz="4" w:space="0" w:color="B8CCE4"/>
              <w:right w:val="single" w:sz="4" w:space="0" w:color="B8CCE4"/>
            </w:tcBorders>
            <w:shd w:val="clear" w:color="000000" w:fill="366092"/>
          </w:tcPr>
          <w:p w14:paraId="5332DBF6"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1,649,135</w:t>
            </w:r>
          </w:p>
        </w:tc>
        <w:tc>
          <w:tcPr>
            <w:tcW w:w="0" w:type="auto"/>
            <w:tcBorders>
              <w:top w:val="nil"/>
              <w:left w:val="nil"/>
              <w:bottom w:val="single" w:sz="4" w:space="0" w:color="B8CCE4"/>
              <w:right w:val="single" w:sz="4" w:space="0" w:color="B8CCE4"/>
            </w:tcBorders>
            <w:shd w:val="clear" w:color="000000" w:fill="366092"/>
          </w:tcPr>
          <w:p w14:paraId="612D50C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29,817,153</w:t>
            </w:r>
          </w:p>
        </w:tc>
        <w:tc>
          <w:tcPr>
            <w:tcW w:w="0" w:type="auto"/>
            <w:tcBorders>
              <w:top w:val="nil"/>
              <w:left w:val="nil"/>
              <w:bottom w:val="single" w:sz="4" w:space="0" w:color="B8CCE4"/>
              <w:right w:val="single" w:sz="4" w:space="0" w:color="B8CCE4"/>
            </w:tcBorders>
            <w:shd w:val="clear" w:color="000000" w:fill="366092"/>
          </w:tcPr>
          <w:p w14:paraId="22807EB1"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1,612,163</w:t>
            </w:r>
          </w:p>
        </w:tc>
        <w:tc>
          <w:tcPr>
            <w:tcW w:w="0" w:type="auto"/>
            <w:tcBorders>
              <w:top w:val="nil"/>
              <w:left w:val="nil"/>
              <w:bottom w:val="single" w:sz="4" w:space="0" w:color="B8CCE4"/>
              <w:right w:val="single" w:sz="4" w:space="0" w:color="B8CCE4"/>
            </w:tcBorders>
            <w:shd w:val="clear" w:color="000000" w:fill="366092"/>
          </w:tcPr>
          <w:p w14:paraId="3689201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106%</w:t>
            </w:r>
          </w:p>
        </w:tc>
        <w:tc>
          <w:tcPr>
            <w:tcW w:w="0" w:type="auto"/>
            <w:tcBorders>
              <w:top w:val="nil"/>
              <w:left w:val="nil"/>
              <w:bottom w:val="single" w:sz="4" w:space="0" w:color="B8CCE4"/>
              <w:right w:val="single" w:sz="4" w:space="0" w:color="B8CCE4"/>
            </w:tcBorders>
            <w:shd w:val="clear" w:color="000000" w:fill="366092"/>
          </w:tcPr>
          <w:p w14:paraId="45A02F3A"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58%</w:t>
            </w:r>
          </w:p>
        </w:tc>
        <w:tc>
          <w:tcPr>
            <w:tcW w:w="0" w:type="auto"/>
            <w:tcBorders>
              <w:top w:val="nil"/>
              <w:left w:val="nil"/>
              <w:bottom w:val="single" w:sz="4" w:space="0" w:color="B8CCE4"/>
              <w:right w:val="single" w:sz="4" w:space="0" w:color="B8CCE4"/>
            </w:tcBorders>
            <w:shd w:val="clear" w:color="000000" w:fill="366092"/>
          </w:tcPr>
          <w:p w14:paraId="2D4091FF"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100%</w:t>
            </w:r>
          </w:p>
        </w:tc>
        <w:tc>
          <w:tcPr>
            <w:tcW w:w="0" w:type="auto"/>
            <w:tcBorders>
              <w:top w:val="nil"/>
              <w:left w:val="nil"/>
              <w:bottom w:val="single" w:sz="4" w:space="0" w:color="B8CCE4"/>
              <w:right w:val="single" w:sz="8" w:space="0" w:color="B8CCE4"/>
            </w:tcBorders>
            <w:shd w:val="clear" w:color="000000" w:fill="366092"/>
          </w:tcPr>
          <w:p w14:paraId="212DB9E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98%</w:t>
            </w:r>
          </w:p>
        </w:tc>
      </w:tr>
      <w:tr w:rsidR="00C156A0" w:rsidRPr="00C156A0" w14:paraId="40130AC3" w14:textId="77777777" w:rsidTr="00C95685">
        <w:trPr>
          <w:trHeight w:val="248"/>
          <w:jc w:val="center"/>
        </w:trPr>
        <w:tc>
          <w:tcPr>
            <w:tcW w:w="1884" w:type="dxa"/>
            <w:tcBorders>
              <w:top w:val="nil"/>
              <w:left w:val="single" w:sz="8" w:space="0" w:color="B8CCE4"/>
              <w:bottom w:val="single" w:sz="8" w:space="0" w:color="B8CCE4"/>
              <w:right w:val="single" w:sz="4" w:space="0" w:color="B8CCE4"/>
            </w:tcBorders>
            <w:shd w:val="clear" w:color="000000" w:fill="365F91"/>
            <w:vAlign w:val="center"/>
            <w:hideMark/>
          </w:tcPr>
          <w:p w14:paraId="3A7388E9" w14:textId="77777777" w:rsidR="00C156A0" w:rsidRPr="00C156A0" w:rsidRDefault="00C156A0" w:rsidP="00C156A0">
            <w:pPr>
              <w:spacing w:before="0" w:line="240" w:lineRule="auto"/>
              <w:jc w:val="center"/>
              <w:rPr>
                <w:rFonts w:cs="Calibri"/>
                <w:b/>
                <w:bCs/>
                <w:noProof/>
                <w:color w:val="FFFFFF"/>
                <w:sz w:val="16"/>
                <w:szCs w:val="16"/>
                <w:lang w:val="sq-AL"/>
              </w:rPr>
            </w:pPr>
            <w:r w:rsidRPr="00C156A0">
              <w:rPr>
                <w:rFonts w:cs="Calibri"/>
                <w:b/>
                <w:bCs/>
                <w:noProof/>
                <w:color w:val="FFFFFF"/>
                <w:sz w:val="16"/>
                <w:szCs w:val="16"/>
                <w:lang w:val="sq-AL"/>
              </w:rPr>
              <w:t>Gjithsej</w:t>
            </w:r>
          </w:p>
        </w:tc>
        <w:tc>
          <w:tcPr>
            <w:tcW w:w="0" w:type="auto"/>
            <w:gridSpan w:val="2"/>
            <w:tcBorders>
              <w:top w:val="single" w:sz="4" w:space="0" w:color="B8CCE4"/>
              <w:left w:val="nil"/>
              <w:bottom w:val="single" w:sz="8" w:space="0" w:color="B8CCE4"/>
              <w:right w:val="single" w:sz="4" w:space="0" w:color="B8CCE4"/>
            </w:tcBorders>
            <w:shd w:val="clear" w:color="000000" w:fill="365F91"/>
          </w:tcPr>
          <w:p w14:paraId="7D583552"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31,006,552</w:t>
            </w:r>
          </w:p>
        </w:tc>
        <w:tc>
          <w:tcPr>
            <w:tcW w:w="0" w:type="auto"/>
            <w:gridSpan w:val="2"/>
            <w:tcBorders>
              <w:top w:val="single" w:sz="4" w:space="0" w:color="B8CCE4"/>
              <w:left w:val="nil"/>
              <w:bottom w:val="single" w:sz="8" w:space="0" w:color="B8CCE4"/>
              <w:right w:val="single" w:sz="4" w:space="0" w:color="B8CCE4"/>
            </w:tcBorders>
            <w:shd w:val="clear" w:color="000000" w:fill="365F91"/>
          </w:tcPr>
          <w:p w14:paraId="3C02937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31,610,161</w:t>
            </w:r>
          </w:p>
        </w:tc>
        <w:tc>
          <w:tcPr>
            <w:tcW w:w="0" w:type="auto"/>
            <w:gridSpan w:val="2"/>
            <w:tcBorders>
              <w:top w:val="single" w:sz="4" w:space="0" w:color="B8CCE4"/>
              <w:left w:val="nil"/>
              <w:bottom w:val="single" w:sz="8" w:space="0" w:color="B8CCE4"/>
              <w:right w:val="single" w:sz="4" w:space="0" w:color="B8CCE4"/>
            </w:tcBorders>
            <w:shd w:val="clear" w:color="000000" w:fill="365F91"/>
          </w:tcPr>
          <w:p w14:paraId="49DFD555"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31,429,315</w:t>
            </w:r>
          </w:p>
        </w:tc>
        <w:tc>
          <w:tcPr>
            <w:tcW w:w="0" w:type="auto"/>
            <w:gridSpan w:val="2"/>
            <w:tcBorders>
              <w:top w:val="single" w:sz="4" w:space="0" w:color="B8CCE4"/>
              <w:left w:val="nil"/>
              <w:bottom w:val="single" w:sz="8" w:space="0" w:color="B8CCE4"/>
              <w:right w:val="single" w:sz="4" w:space="0" w:color="B8CCE4"/>
            </w:tcBorders>
            <w:shd w:val="clear" w:color="000000" w:fill="365F91"/>
          </w:tcPr>
          <w:p w14:paraId="2B07F1F3"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101%</w:t>
            </w:r>
          </w:p>
        </w:tc>
        <w:tc>
          <w:tcPr>
            <w:tcW w:w="0" w:type="auto"/>
            <w:gridSpan w:val="2"/>
            <w:tcBorders>
              <w:top w:val="single" w:sz="4" w:space="0" w:color="B8CCE4"/>
              <w:left w:val="nil"/>
              <w:bottom w:val="single" w:sz="8" w:space="0" w:color="B8CCE4"/>
              <w:right w:val="single" w:sz="8" w:space="0" w:color="B8CCE4"/>
            </w:tcBorders>
            <w:shd w:val="clear" w:color="000000" w:fill="365F91"/>
          </w:tcPr>
          <w:p w14:paraId="6AD9C979" w14:textId="77777777" w:rsidR="00C156A0" w:rsidRPr="00C156A0" w:rsidRDefault="00C156A0" w:rsidP="00C156A0">
            <w:pPr>
              <w:spacing w:before="0" w:line="240" w:lineRule="auto"/>
              <w:jc w:val="center"/>
              <w:rPr>
                <w:rFonts w:cs="Calibri"/>
                <w:b/>
                <w:bCs/>
                <w:color w:val="FFFFFF"/>
                <w:sz w:val="16"/>
                <w:szCs w:val="16"/>
                <w:lang w:val="sq-AL"/>
              </w:rPr>
            </w:pPr>
            <w:r w:rsidRPr="00C156A0">
              <w:rPr>
                <w:rFonts w:cs="Calibri"/>
                <w:b/>
                <w:bCs/>
                <w:color w:val="FFFFFF"/>
                <w:sz w:val="16"/>
                <w:szCs w:val="16"/>
                <w:lang w:val="sq-AL"/>
              </w:rPr>
              <w:t>99%</w:t>
            </w:r>
          </w:p>
        </w:tc>
      </w:tr>
    </w:tbl>
    <w:p w14:paraId="3590B295" w14:textId="40424535" w:rsidR="00C156A0" w:rsidRPr="00C156A0" w:rsidRDefault="00C156A0" w:rsidP="00C156A0">
      <w:pPr>
        <w:spacing w:line="240" w:lineRule="auto"/>
        <w:rPr>
          <w:rFonts w:cs="Calibri"/>
          <w:noProof/>
          <w:lang w:val="sq-AL"/>
        </w:rPr>
      </w:pPr>
      <w:r w:rsidRPr="00C156A0">
        <w:rPr>
          <w:noProof/>
          <w:lang w:val="sq-AL"/>
        </w:rPr>
        <w:t xml:space="preserve">Buxheti i Ministrisë së Brendshme u rishikua në rritje gjatë vitit 2025 me rreth 2% duke arritur në 31.6 </w:t>
      </w:r>
      <w:r w:rsidR="0056260B">
        <w:rPr>
          <w:noProof/>
          <w:lang w:val="sq-AL"/>
        </w:rPr>
        <w:t>miliardë</w:t>
      </w:r>
      <w:r w:rsidRPr="00C156A0">
        <w:rPr>
          <w:noProof/>
          <w:lang w:val="sq-AL"/>
        </w:rPr>
        <w:t xml:space="preserve"> LEK, nga të cilat u realizuan 31.4 </w:t>
      </w:r>
      <w:r w:rsidR="0056260B">
        <w:rPr>
          <w:noProof/>
          <w:lang w:val="sq-AL"/>
        </w:rPr>
        <w:t>miliardë</w:t>
      </w:r>
      <w:r w:rsidRPr="00C156A0">
        <w:rPr>
          <w:noProof/>
          <w:lang w:val="sq-AL"/>
        </w:rPr>
        <w:t xml:space="preserve"> LEK, ose 99% e planit të rrishikuar. </w:t>
      </w:r>
    </w:p>
    <w:p w14:paraId="0B1FCC82" w14:textId="77777777" w:rsidR="00C156A0" w:rsidRPr="00C156A0" w:rsidRDefault="00C156A0" w:rsidP="00C156A0">
      <w:pPr>
        <w:spacing w:line="240" w:lineRule="auto"/>
        <w:rPr>
          <w:rFonts w:cs="Calibri"/>
          <w:noProof/>
          <w:lang w:val="sq-AL"/>
        </w:rPr>
      </w:pPr>
      <w:r w:rsidRPr="00C156A0">
        <w:rPr>
          <w:rFonts w:cs="Calibri"/>
          <w:noProof/>
          <w:lang w:val="sq-AL"/>
        </w:rPr>
        <w:t>Në programin</w:t>
      </w:r>
      <w:r w:rsidRPr="00C156A0">
        <w:rPr>
          <w:rFonts w:cs="Calibri"/>
          <w:b/>
          <w:noProof/>
          <w:lang w:val="sq-AL"/>
        </w:rPr>
        <w:t xml:space="preserve"> “Policia e Shtetit</w:t>
      </w:r>
      <w:r w:rsidRPr="00C156A0">
        <w:rPr>
          <w:rFonts w:cs="Calibri"/>
          <w:noProof/>
          <w:lang w:val="sq-AL"/>
        </w:rPr>
        <w:t xml:space="preserve">”, u realizuan 100% e shpenzimeve për të realizuar qëllimin e programit që është lufta pa kompromis dhe ndëshkimi i ashpër penal ndaj grupeve dhe/ ose organizatave kriminale të ndryshme, si dhe i grupeve me axhenda ekstremiste të dhunshme edhe terroriste duke shënjestruar dhe goditur veprimtarinë e krimit të organizuar e rrjetet kriminale, sekuestruar dhe konfiskuar çdo aset ekonomik të paligjshëm; Përforcimi i zbatimit të ligjit për rritjen e nivelit të sigurisë publike dhe asaj rrugore; Menaxhimi efektiv, eficent dhe i integruar i kufijve nëpërmjet mirëfunksionimit të 27 pikave të kalimit kufitar në RSH; Forcimi i kapaciteteve institucionale, garantimi i pavarësisë operacionale të policisë së shtetit dhe Konsolidimi i arsimit, kualifikimit dhe veçanërisht trajnimit të vazhdueshëm e të profilizuartë strukturave të Policisë së Shtetit. </w:t>
      </w:r>
    </w:p>
    <w:p w14:paraId="5DF54A8D" w14:textId="77777777" w:rsidR="00C156A0" w:rsidRPr="00C156A0" w:rsidRDefault="00C156A0" w:rsidP="00C156A0">
      <w:pPr>
        <w:spacing w:line="240" w:lineRule="auto"/>
        <w:rPr>
          <w:rFonts w:cs="Calibri"/>
          <w:noProof/>
          <w:lang w:val="sq-AL"/>
        </w:rPr>
      </w:pPr>
      <w:r w:rsidRPr="00C156A0">
        <w:rPr>
          <w:rFonts w:cs="Calibri"/>
          <w:noProof/>
          <w:lang w:val="sq-AL"/>
        </w:rPr>
        <w:t>Kështu përgjatë vitit 2025, janë realizuar produktet e renditura sa më poshtë:</w:t>
      </w:r>
    </w:p>
    <w:p w14:paraId="2639ED53" w14:textId="64714E1D"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38,195 operacione policore të hetuara apo shërbime, me kosto faktike 12.2 </w:t>
      </w:r>
      <w:r w:rsidR="0056260B" w:rsidRPr="00C95685">
        <w:rPr>
          <w:rFonts w:cs="Calibri Light"/>
          <w:bCs/>
          <w:i/>
          <w:noProof/>
          <w:szCs w:val="22"/>
          <w:lang w:val="sq-AL" w:eastAsia="en-GB"/>
        </w:rPr>
        <w:t>miliardë</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1752446C" w14:textId="33F9550C"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685 shërbime të Forcave Speciale/NSH për sigurimin e rendit publik, me kosto totale 1.3 </w:t>
      </w:r>
      <w:r w:rsidR="0056260B" w:rsidRPr="00C95685">
        <w:rPr>
          <w:rFonts w:cs="Calibri Light"/>
          <w:bCs/>
          <w:i/>
          <w:noProof/>
          <w:szCs w:val="22"/>
          <w:lang w:val="sq-AL" w:eastAsia="en-GB"/>
        </w:rPr>
        <w:t>miliardë</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4A17B0B6" w14:textId="5A17E5C3"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279 operacione të posaçme konvencionale </w:t>
      </w:r>
      <w:r w:rsidR="00C95685">
        <w:rPr>
          <w:rFonts w:cs="Calibri Light"/>
          <w:bCs/>
          <w:i/>
          <w:noProof/>
          <w:szCs w:val="22"/>
          <w:lang w:val="sq-AL" w:eastAsia="en-GB"/>
        </w:rPr>
        <w:t>për</w:t>
      </w:r>
      <w:r w:rsidRPr="00C95685">
        <w:rPr>
          <w:rFonts w:cs="Calibri Light"/>
          <w:bCs/>
          <w:i/>
          <w:noProof/>
          <w:szCs w:val="22"/>
          <w:lang w:val="sq-AL" w:eastAsia="en-GB"/>
        </w:rPr>
        <w:t xml:space="preserve"> rrit</w:t>
      </w:r>
      <w:r w:rsidR="00C95685">
        <w:rPr>
          <w:rFonts w:cs="Calibri Light"/>
          <w:bCs/>
          <w:i/>
          <w:noProof/>
          <w:szCs w:val="22"/>
          <w:lang w:val="sq-AL" w:eastAsia="en-GB"/>
        </w:rPr>
        <w:t>j</w:t>
      </w:r>
      <w:r w:rsidRPr="00C95685">
        <w:rPr>
          <w:rFonts w:cs="Calibri Light"/>
          <w:bCs/>
          <w:i/>
          <w:noProof/>
          <w:szCs w:val="22"/>
          <w:lang w:val="sq-AL" w:eastAsia="en-GB"/>
        </w:rPr>
        <w:t>en e hetimeve proaktive në luftën kundër krimit të organizuar,</w:t>
      </w:r>
      <w:r w:rsidR="00C95685">
        <w:rPr>
          <w:rFonts w:cs="Calibri Light"/>
          <w:bCs/>
          <w:i/>
          <w:noProof/>
          <w:szCs w:val="22"/>
          <w:lang w:val="sq-AL" w:eastAsia="en-GB"/>
        </w:rPr>
        <w:t xml:space="preserve"> </w:t>
      </w:r>
      <w:r w:rsidRPr="00C95685">
        <w:rPr>
          <w:rFonts w:cs="Calibri Light"/>
          <w:bCs/>
          <w:i/>
          <w:noProof/>
          <w:szCs w:val="22"/>
          <w:lang w:val="sq-AL" w:eastAsia="en-GB"/>
        </w:rPr>
        <w:t>trafiqeve, korrupsionit, terrorizmit si dhe forcimi i koordinimit ndërinstitucional ndërkombëtar në luftën kundër krimit të organizuar e terrorizmit, me kosto faktike 484</w:t>
      </w:r>
      <w:r w:rsidR="00C95685">
        <w:rPr>
          <w:rFonts w:cs="Calibri Light"/>
          <w:bCs/>
          <w:i/>
          <w:noProof/>
          <w:szCs w:val="22"/>
          <w:lang w:val="sq-AL" w:eastAsia="en-GB"/>
        </w:rPr>
        <w:t>mln</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09E308EB" w14:textId="6F66F123"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67 objekte dhe personalitete të siguruara,  me kosto totale 425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65D9C7D5" w14:textId="292A57F8"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7,796  shërbime të policisë rrugore të kryera në rrugët nacionale me kosto totale 411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 që kontribuojnë tek rritja e sigurisë publike dhe sigurisë rrugore përmes patrullimeve në rrugë dhe forcimi i kontrollit të territorit me policimin në komunitet</w:t>
      </w:r>
      <w:r w:rsidR="00F409F4" w:rsidRPr="00C95685">
        <w:rPr>
          <w:rFonts w:cs="Calibri Light"/>
          <w:bCs/>
          <w:i/>
          <w:noProof/>
          <w:szCs w:val="22"/>
          <w:lang w:val="sq-AL" w:eastAsia="en-GB"/>
        </w:rPr>
        <w:t>;</w:t>
      </w:r>
    </w:p>
    <w:p w14:paraId="6ED41383" w14:textId="61957E8D"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206 persona me cilësin e  veçantë të mbrojtur, me kosto faktike 323.5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58FD8053" w14:textId="2F2CD05E"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65 operacione të sigurisë në kufirin blu </w:t>
      </w:r>
      <w:r w:rsidR="00C95685">
        <w:rPr>
          <w:rFonts w:cs="Calibri Light"/>
          <w:bCs/>
          <w:i/>
          <w:noProof/>
          <w:szCs w:val="22"/>
          <w:lang w:val="sq-AL" w:eastAsia="en-GB"/>
        </w:rPr>
        <w:t>për</w:t>
      </w:r>
      <w:r w:rsidRPr="00C95685">
        <w:rPr>
          <w:rFonts w:cs="Calibri Light"/>
          <w:bCs/>
          <w:i/>
          <w:noProof/>
          <w:szCs w:val="22"/>
          <w:lang w:val="sq-AL" w:eastAsia="en-GB"/>
        </w:rPr>
        <w:t xml:space="preserve"> forcimi</w:t>
      </w:r>
      <w:r w:rsidR="00C95685">
        <w:rPr>
          <w:rFonts w:cs="Calibri Light"/>
          <w:bCs/>
          <w:i/>
          <w:noProof/>
          <w:szCs w:val="22"/>
          <w:lang w:val="sq-AL" w:eastAsia="en-GB"/>
        </w:rPr>
        <w:t>n</w:t>
      </w:r>
      <w:r w:rsidRPr="00C95685">
        <w:rPr>
          <w:rFonts w:cs="Calibri Light"/>
          <w:bCs/>
          <w:i/>
          <w:noProof/>
          <w:szCs w:val="22"/>
          <w:lang w:val="sq-AL" w:eastAsia="en-GB"/>
        </w:rPr>
        <w:t xml:space="preserve"> </w:t>
      </w:r>
      <w:r w:rsidR="00C95685">
        <w:rPr>
          <w:rFonts w:cs="Calibri Light"/>
          <w:bCs/>
          <w:i/>
          <w:noProof/>
          <w:szCs w:val="22"/>
          <w:lang w:val="sq-AL" w:eastAsia="en-GB"/>
        </w:rPr>
        <w:t>e</w:t>
      </w:r>
      <w:r w:rsidRPr="00C95685">
        <w:rPr>
          <w:rFonts w:cs="Calibri Light"/>
          <w:bCs/>
          <w:i/>
          <w:noProof/>
          <w:szCs w:val="22"/>
          <w:lang w:val="sq-AL" w:eastAsia="en-GB"/>
        </w:rPr>
        <w:t xml:space="preserve"> masave </w:t>
      </w:r>
      <w:r w:rsidR="00C95685">
        <w:rPr>
          <w:rFonts w:cs="Calibri Light"/>
          <w:bCs/>
          <w:i/>
          <w:noProof/>
          <w:szCs w:val="22"/>
          <w:lang w:val="sq-AL" w:eastAsia="en-GB"/>
        </w:rPr>
        <w:t>n</w:t>
      </w:r>
      <w:r w:rsidRPr="00C95685">
        <w:rPr>
          <w:rFonts w:cs="Calibri Light"/>
          <w:bCs/>
          <w:i/>
          <w:noProof/>
          <w:szCs w:val="22"/>
          <w:lang w:val="sq-AL" w:eastAsia="en-GB"/>
        </w:rPr>
        <w:t>ë luftën kundë</w:t>
      </w:r>
      <w:r w:rsidR="00C95685">
        <w:rPr>
          <w:rFonts w:cs="Calibri Light"/>
          <w:bCs/>
          <w:i/>
          <w:noProof/>
          <w:szCs w:val="22"/>
          <w:lang w:val="sq-AL" w:eastAsia="en-GB"/>
        </w:rPr>
        <w:t>r</w:t>
      </w:r>
      <w:r w:rsidRPr="00C95685">
        <w:rPr>
          <w:rFonts w:cs="Calibri Light"/>
          <w:bCs/>
          <w:i/>
          <w:noProof/>
          <w:szCs w:val="22"/>
          <w:lang w:val="sq-AL" w:eastAsia="en-GB"/>
        </w:rPr>
        <w:t xml:space="preserve"> krimit ndërkufitar dhe trafiqeve të paligjshme me synim rritjen e standardeve të sigurisë së kufijve, kosto 175.5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r w:rsidR="00F409F4" w:rsidRPr="00C95685">
        <w:rPr>
          <w:rFonts w:cs="Calibri Light"/>
          <w:bCs/>
          <w:i/>
          <w:noProof/>
          <w:szCs w:val="22"/>
          <w:lang w:val="sq-AL" w:eastAsia="en-GB"/>
        </w:rPr>
        <w:t>;</w:t>
      </w:r>
    </w:p>
    <w:p w14:paraId="1030D42F" w14:textId="08D85D61" w:rsidR="00C156A0" w:rsidRPr="00C95685" w:rsidRDefault="00C156A0" w:rsidP="00C95685">
      <w:pPr>
        <w:numPr>
          <w:ilvl w:val="0"/>
          <w:numId w:val="10"/>
        </w:numPr>
        <w:shd w:val="clear" w:color="auto" w:fill="FFFFFF"/>
        <w:spacing w:before="0" w:after="160" w:line="240" w:lineRule="auto"/>
        <w:ind w:left="630"/>
        <w:contextualSpacing/>
        <w:rPr>
          <w:rFonts w:cs="Calibri Light"/>
          <w:bCs/>
          <w:i/>
          <w:noProof/>
          <w:szCs w:val="22"/>
          <w:lang w:val="sq-AL" w:eastAsia="en-GB"/>
        </w:rPr>
      </w:pPr>
      <w:r w:rsidRPr="00C95685">
        <w:rPr>
          <w:rFonts w:cs="Calibri Light"/>
          <w:bCs/>
          <w:i/>
          <w:noProof/>
          <w:szCs w:val="22"/>
          <w:lang w:val="sq-AL" w:eastAsia="en-GB"/>
        </w:rPr>
        <w:t xml:space="preserve">58 operacione policore ndaj ekstremisteve e grupeve terroriste, me kosto faktike 171.5 </w:t>
      </w:r>
      <w:r w:rsidR="0056260B" w:rsidRPr="00C95685">
        <w:rPr>
          <w:rFonts w:cs="Calibri Light"/>
          <w:bCs/>
          <w:i/>
          <w:noProof/>
          <w:szCs w:val="22"/>
          <w:lang w:val="sq-AL" w:eastAsia="en-GB"/>
        </w:rPr>
        <w:t>milionë</w:t>
      </w:r>
      <w:r w:rsidRPr="00C95685">
        <w:rPr>
          <w:rFonts w:cs="Calibri Light"/>
          <w:bCs/>
          <w:i/>
          <w:noProof/>
          <w:szCs w:val="22"/>
          <w:lang w:val="sq-AL" w:eastAsia="en-GB"/>
        </w:rPr>
        <w:t xml:space="preserve"> LEK.</w:t>
      </w:r>
    </w:p>
    <w:p w14:paraId="413255BB" w14:textId="77777777" w:rsidR="00C95685" w:rsidRPr="00C95685" w:rsidRDefault="00C95685" w:rsidP="00C95685">
      <w:pPr>
        <w:spacing w:before="0" w:line="240" w:lineRule="auto"/>
        <w:rPr>
          <w:rFonts w:cs="Calibri"/>
          <w:noProof/>
          <w:sz w:val="8"/>
          <w:szCs w:val="10"/>
          <w:lang w:val="sq-AL"/>
        </w:rPr>
      </w:pPr>
    </w:p>
    <w:p w14:paraId="512DEC6F" w14:textId="65427293" w:rsidR="00C156A0" w:rsidRPr="00C156A0" w:rsidRDefault="00C156A0" w:rsidP="00C95685">
      <w:pPr>
        <w:spacing w:before="0" w:line="240" w:lineRule="auto"/>
        <w:rPr>
          <w:rFonts w:cs="Calibri"/>
          <w:noProof/>
          <w:lang w:val="sq-AL"/>
        </w:rPr>
      </w:pPr>
      <w:r w:rsidRPr="00C156A0">
        <w:rPr>
          <w:rFonts w:cs="Calibri"/>
          <w:noProof/>
          <w:lang w:val="sq-AL"/>
        </w:rPr>
        <w:t xml:space="preserve">Programi </w:t>
      </w:r>
      <w:r w:rsidRPr="00C156A0">
        <w:rPr>
          <w:rFonts w:cs="Calibri"/>
          <w:b/>
          <w:bCs/>
          <w:noProof/>
          <w:lang w:val="sq-AL"/>
        </w:rPr>
        <w:t>“Garda e Republikës”</w:t>
      </w:r>
      <w:r w:rsidRPr="00C156A0">
        <w:rPr>
          <w:rFonts w:cs="Calibri"/>
          <w:noProof/>
          <w:lang w:val="sq-AL"/>
        </w:rPr>
        <w:t xml:space="preserve"> ka për qëllim të kontribuojë në përmirësimin e vazhdueshëm të sigurisë së personaliteteve vendas dhe të huaj, si dhe të objekteve të rëndësisë së veçantë, përmes rritjes së kapaciteteve menaxhuese dhe përafrimit me standardet europiane në fushën e sigurisë, duke synuar arritjen e një niveli sigurie 100%. Për vitin 2025, programi ka realizuar fondet në masën rreth 100% të planit vjetor të rishikuar, duke garantuar mbrojtjen e 149 personaliteteve VIP vendas dhe të huaj, me një kosto faktike prej 2.6 </w:t>
      </w:r>
      <w:r w:rsidR="0056260B">
        <w:rPr>
          <w:rFonts w:cs="Calibri"/>
          <w:noProof/>
          <w:lang w:val="sq-AL"/>
        </w:rPr>
        <w:t>miliardë</w:t>
      </w:r>
      <w:r w:rsidRPr="00C156A0">
        <w:rPr>
          <w:rFonts w:cs="Calibri"/>
          <w:noProof/>
          <w:lang w:val="sq-AL"/>
        </w:rPr>
        <w:t xml:space="preserve"> </w:t>
      </w:r>
      <w:r w:rsidR="0056260B">
        <w:rPr>
          <w:rFonts w:cs="Calibri"/>
          <w:noProof/>
          <w:lang w:val="sq-AL"/>
        </w:rPr>
        <w:t>LEK</w:t>
      </w:r>
      <w:r w:rsidRPr="00C156A0">
        <w:rPr>
          <w:rFonts w:cs="Calibri"/>
          <w:noProof/>
          <w:lang w:val="sq-AL"/>
        </w:rPr>
        <w:t>.</w:t>
      </w:r>
    </w:p>
    <w:p w14:paraId="0DA0D340" w14:textId="30D7F3CD" w:rsidR="00C156A0" w:rsidRPr="00C156A0" w:rsidRDefault="00C156A0" w:rsidP="00C156A0">
      <w:pPr>
        <w:spacing w:line="240" w:lineRule="auto"/>
        <w:rPr>
          <w:rFonts w:cs="Calibri"/>
          <w:noProof/>
          <w:lang w:val="sq-AL"/>
        </w:rPr>
      </w:pPr>
      <w:r w:rsidRPr="00C156A0">
        <w:rPr>
          <w:rFonts w:cs="Calibri"/>
          <w:noProof/>
          <w:lang w:val="sq-AL"/>
        </w:rPr>
        <w:t xml:space="preserve">Programi </w:t>
      </w:r>
      <w:r w:rsidRPr="00C156A0">
        <w:rPr>
          <w:rFonts w:cs="Calibri"/>
          <w:b/>
          <w:bCs/>
          <w:noProof/>
          <w:lang w:val="sq-AL"/>
        </w:rPr>
        <w:t>“Shërbimi i Gjendjes Civile”</w:t>
      </w:r>
      <w:r w:rsidRPr="00C156A0">
        <w:rPr>
          <w:rFonts w:cs="Calibri"/>
          <w:noProof/>
          <w:lang w:val="sq-AL"/>
        </w:rPr>
        <w:t xml:space="preserve"> synon konsolidimin e mëtejshëm të një sistemi të dixhitalizuar të Regjistrit Kombëtar të Gjendjes Civile (RKGJC) dhe të Regjistrit Kombëtar të Adresave (RKA), si dhe regjistrimin dhe përditësimin në kohë reale dhe me saktësi të të dhënave të shtetasve në Republikën e Shqipërisë.</w:t>
      </w:r>
      <w:r w:rsidR="007637DE">
        <w:rPr>
          <w:rFonts w:cs="Calibri"/>
          <w:noProof/>
          <w:lang w:val="sq-AL"/>
        </w:rPr>
        <w:t xml:space="preserve"> </w:t>
      </w:r>
      <w:r w:rsidRPr="00C156A0">
        <w:rPr>
          <w:rFonts w:cs="Calibri"/>
          <w:noProof/>
          <w:lang w:val="sq-AL"/>
        </w:rPr>
        <w:t>Për vitin 2025, programi ka realizuar rreth 97% të fondeve krahasuar me planin vjetor të rishikuar, duke mundësuar regjistrimin e 1,055,000 akteve dhe dokumenteve të lëshuara nga shërbimi i Gjendjes Civile, me kosto faktike 721</w:t>
      </w:r>
      <w:r w:rsidR="00C95685">
        <w:rPr>
          <w:rFonts w:cs="Calibri"/>
          <w:noProof/>
          <w:lang w:val="sq-AL"/>
        </w:rPr>
        <w:t>mln</w:t>
      </w:r>
      <w:r w:rsidRPr="00C156A0">
        <w:rPr>
          <w:rFonts w:cs="Calibri"/>
          <w:noProof/>
          <w:lang w:val="sq-AL"/>
        </w:rPr>
        <w:t xml:space="preserve"> </w:t>
      </w:r>
      <w:r w:rsidR="0056260B">
        <w:rPr>
          <w:rFonts w:cs="Calibri"/>
          <w:noProof/>
          <w:lang w:val="sq-AL"/>
        </w:rPr>
        <w:t>LEK</w:t>
      </w:r>
      <w:r w:rsidRPr="00C156A0">
        <w:rPr>
          <w:rFonts w:cs="Calibri"/>
          <w:noProof/>
          <w:lang w:val="sq-AL"/>
        </w:rPr>
        <w:t>.</w:t>
      </w:r>
    </w:p>
    <w:p w14:paraId="20B1370F" w14:textId="6B8B46F2" w:rsidR="00C156A0" w:rsidRPr="00C156A0" w:rsidRDefault="00C156A0" w:rsidP="00634371">
      <w:pPr>
        <w:spacing w:line="240" w:lineRule="auto"/>
        <w:rPr>
          <w:rFonts w:cs="Calibri"/>
          <w:noProof/>
          <w:lang w:val="sq-AL"/>
        </w:rPr>
      </w:pPr>
      <w:r w:rsidRPr="00C156A0">
        <w:rPr>
          <w:rFonts w:cs="Calibri"/>
          <w:noProof/>
          <w:lang w:val="sq-AL"/>
        </w:rPr>
        <w:lastRenderedPageBreak/>
        <w:t xml:space="preserve">Programi </w:t>
      </w:r>
      <w:r w:rsidRPr="00C156A0">
        <w:rPr>
          <w:rFonts w:cs="Calibri"/>
          <w:b/>
          <w:bCs/>
          <w:noProof/>
          <w:lang w:val="sq-AL"/>
        </w:rPr>
        <w:t xml:space="preserve">“Prefektura dhe Funksionet e Deleguara” </w:t>
      </w:r>
      <w:r w:rsidRPr="00C156A0">
        <w:rPr>
          <w:rFonts w:cs="Calibri"/>
          <w:noProof/>
          <w:lang w:val="sq-AL"/>
        </w:rPr>
        <w:t>synon ndjekjen e zbatimit të programit të qeverisë në nivel vendor, në rolin e përfaqësuesit të saj.</w:t>
      </w:r>
      <w:r w:rsidR="007637DE">
        <w:rPr>
          <w:rFonts w:cs="Calibri"/>
          <w:noProof/>
          <w:lang w:val="sq-AL"/>
        </w:rPr>
        <w:t xml:space="preserve"> </w:t>
      </w:r>
      <w:r w:rsidRPr="00C156A0">
        <w:rPr>
          <w:rFonts w:cs="Calibri"/>
          <w:noProof/>
          <w:lang w:val="sq-AL"/>
        </w:rPr>
        <w:t>Për vitin 2025, programi ka realizuar fondet në masën 93% të planit vjetor të rishikuar, duke arritur:</w:t>
      </w:r>
    </w:p>
    <w:p w14:paraId="4999FEDC" w14:textId="2B79B865" w:rsidR="00C156A0" w:rsidRPr="00634371" w:rsidRDefault="00C156A0" w:rsidP="00634371">
      <w:pPr>
        <w:numPr>
          <w:ilvl w:val="0"/>
          <w:numId w:val="10"/>
        </w:numPr>
        <w:shd w:val="clear" w:color="auto" w:fill="FFFFFF"/>
        <w:tabs>
          <w:tab w:val="num" w:pos="720"/>
        </w:tabs>
        <w:spacing w:before="0" w:after="160" w:line="240" w:lineRule="auto"/>
        <w:ind w:left="630"/>
        <w:contextualSpacing/>
        <w:rPr>
          <w:rFonts w:eastAsia="Cambria" w:cs="Calibri"/>
          <w:i/>
          <w:iCs/>
          <w:noProof/>
        </w:rPr>
      </w:pPr>
      <w:r w:rsidRPr="00634371">
        <w:rPr>
          <w:rFonts w:eastAsia="Cambria" w:cs="Calibri"/>
          <w:i/>
          <w:iCs/>
          <w:noProof/>
        </w:rPr>
        <w:t xml:space="preserve">Verifikimin e 14,460 akteve normative, me një kosto faktike prej 448 </w:t>
      </w:r>
      <w:r w:rsidR="0056260B" w:rsidRPr="00634371">
        <w:rPr>
          <w:rFonts w:eastAsia="Cambria" w:cs="Calibri"/>
          <w:i/>
          <w:iCs/>
          <w:noProof/>
        </w:rPr>
        <w:t>milionë</w:t>
      </w:r>
      <w:r w:rsidRPr="00634371">
        <w:rPr>
          <w:rFonts w:eastAsia="Cambria" w:cs="Calibri"/>
          <w:i/>
          <w:iCs/>
          <w:noProof/>
        </w:rPr>
        <w:t xml:space="preserve"> </w:t>
      </w:r>
      <w:r w:rsidR="00793F4A" w:rsidRPr="00634371">
        <w:rPr>
          <w:rFonts w:eastAsia="Cambria" w:cs="Calibri"/>
          <w:i/>
          <w:iCs/>
          <w:noProof/>
        </w:rPr>
        <w:t>LEK</w:t>
      </w:r>
      <w:r w:rsidRPr="00634371">
        <w:rPr>
          <w:rFonts w:eastAsia="Cambria" w:cs="Calibri"/>
          <w:i/>
          <w:iCs/>
          <w:noProof/>
        </w:rPr>
        <w:t xml:space="preserve">; </w:t>
      </w:r>
    </w:p>
    <w:p w14:paraId="63F5E77D" w14:textId="3E79A806" w:rsidR="00793F4A" w:rsidRPr="00634371" w:rsidRDefault="00793F4A" w:rsidP="00634371">
      <w:pPr>
        <w:numPr>
          <w:ilvl w:val="0"/>
          <w:numId w:val="10"/>
        </w:numPr>
        <w:shd w:val="clear" w:color="auto" w:fill="FFFFFF"/>
        <w:tabs>
          <w:tab w:val="num" w:pos="720"/>
        </w:tabs>
        <w:spacing w:after="160" w:line="240" w:lineRule="auto"/>
        <w:ind w:left="630"/>
        <w:contextualSpacing/>
        <w:rPr>
          <w:rFonts w:eastAsia="Cambria" w:cs="Calibri"/>
          <w:i/>
          <w:iCs/>
          <w:noProof/>
        </w:rPr>
      </w:pPr>
      <w:r w:rsidRPr="00634371">
        <w:rPr>
          <w:rFonts w:eastAsia="Cambria" w:cs="Calibri"/>
          <w:i/>
          <w:iCs/>
          <w:noProof/>
        </w:rPr>
        <w:t>Trajtimin e 655 kërkesave për administrimin dhe mbrojtjen e tokës, me kosto faktike prej 108.5</w:t>
      </w:r>
      <w:r w:rsidR="00634371">
        <w:rPr>
          <w:rFonts w:eastAsia="Cambria" w:cs="Calibri"/>
          <w:i/>
          <w:iCs/>
          <w:noProof/>
        </w:rPr>
        <w:t>mln</w:t>
      </w:r>
      <w:r w:rsidRPr="00634371">
        <w:rPr>
          <w:rFonts w:eastAsia="Cambria" w:cs="Calibri"/>
          <w:i/>
          <w:iCs/>
          <w:noProof/>
        </w:rPr>
        <w:t xml:space="preserve"> LEK</w:t>
      </w:r>
      <w:r w:rsidR="00F409F4" w:rsidRPr="00634371">
        <w:rPr>
          <w:rFonts w:eastAsia="Cambria" w:cs="Calibri"/>
          <w:i/>
          <w:iCs/>
          <w:noProof/>
        </w:rPr>
        <w:t>;</w:t>
      </w:r>
    </w:p>
    <w:p w14:paraId="0B887DD7" w14:textId="2D43A94C" w:rsidR="00793F4A" w:rsidRPr="00634371" w:rsidRDefault="00C156A0" w:rsidP="00634371">
      <w:pPr>
        <w:numPr>
          <w:ilvl w:val="0"/>
          <w:numId w:val="10"/>
        </w:numPr>
        <w:shd w:val="clear" w:color="auto" w:fill="FFFFFF"/>
        <w:tabs>
          <w:tab w:val="num" w:pos="720"/>
        </w:tabs>
        <w:spacing w:after="160" w:line="240" w:lineRule="auto"/>
        <w:ind w:left="630"/>
        <w:contextualSpacing/>
        <w:rPr>
          <w:rFonts w:eastAsia="Cambria" w:cs="Calibri"/>
          <w:i/>
          <w:iCs/>
          <w:noProof/>
          <w:lang w:val="pt-PT"/>
        </w:rPr>
      </w:pPr>
      <w:r w:rsidRPr="00634371">
        <w:rPr>
          <w:rFonts w:eastAsia="Cambria" w:cs="Calibri"/>
          <w:i/>
          <w:iCs/>
          <w:noProof/>
          <w:lang w:val="pt-PT"/>
        </w:rPr>
        <w:t xml:space="preserve">Kryerjen e 1,785 monitorimeve në nivel qarku, me një kosto faktike prej 73.3 </w:t>
      </w:r>
      <w:r w:rsidR="0056260B" w:rsidRPr="00634371">
        <w:rPr>
          <w:rFonts w:eastAsia="Cambria" w:cs="Calibri"/>
          <w:i/>
          <w:iCs/>
          <w:noProof/>
          <w:lang w:val="pt-PT"/>
        </w:rPr>
        <w:t>milionë</w:t>
      </w:r>
      <w:r w:rsidRPr="00634371">
        <w:rPr>
          <w:rFonts w:eastAsia="Cambria" w:cs="Calibri"/>
          <w:i/>
          <w:iCs/>
          <w:noProof/>
          <w:lang w:val="pt-PT"/>
        </w:rPr>
        <w:t xml:space="preserve"> </w:t>
      </w:r>
      <w:r w:rsidR="00793F4A" w:rsidRPr="00634371">
        <w:rPr>
          <w:rFonts w:eastAsia="Cambria" w:cs="Calibri"/>
          <w:i/>
          <w:iCs/>
          <w:noProof/>
          <w:lang w:val="pt-PT"/>
        </w:rPr>
        <w:t>LEK</w:t>
      </w:r>
      <w:r w:rsidR="00F409F4" w:rsidRPr="00634371">
        <w:rPr>
          <w:rFonts w:eastAsia="Cambria" w:cs="Calibri"/>
          <w:i/>
          <w:iCs/>
          <w:noProof/>
          <w:lang w:val="pt-PT"/>
        </w:rPr>
        <w:t>.</w:t>
      </w:r>
    </w:p>
    <w:p w14:paraId="3453E277" w14:textId="77777777" w:rsidR="00793F4A" w:rsidRPr="00793F4A" w:rsidRDefault="00793F4A" w:rsidP="00634371">
      <w:pPr>
        <w:shd w:val="clear" w:color="auto" w:fill="FFFFFF"/>
        <w:spacing w:after="160" w:line="240" w:lineRule="auto"/>
        <w:ind w:left="270"/>
        <w:contextualSpacing/>
        <w:rPr>
          <w:rFonts w:eastAsia="Cambria" w:cs="Calibri"/>
          <w:i/>
          <w:iCs/>
          <w:noProof/>
          <w:sz w:val="20"/>
          <w:szCs w:val="22"/>
          <w:lang w:val="pt-PT"/>
        </w:rPr>
      </w:pPr>
    </w:p>
    <w:p w14:paraId="6A0E355F" w14:textId="1BEF2ED5" w:rsidR="00D0642E" w:rsidRPr="00D0642E" w:rsidRDefault="00C156A0" w:rsidP="00634371">
      <w:pPr>
        <w:spacing w:line="240" w:lineRule="auto"/>
        <w:rPr>
          <w:rFonts w:asciiTheme="majorHAnsi" w:hAnsiTheme="majorHAnsi" w:cs="Calibri Light"/>
          <w:noProof/>
          <w:szCs w:val="22"/>
          <w:lang w:val="sq-AL"/>
        </w:rPr>
      </w:pPr>
      <w:r w:rsidRPr="00D0642E">
        <w:rPr>
          <w:rFonts w:eastAsia="Cambria" w:cs="Calibri"/>
          <w:noProof/>
          <w:lang w:val="sq-AL"/>
        </w:rPr>
        <w:t xml:space="preserve">Për sa u përket </w:t>
      </w:r>
      <w:r w:rsidRPr="00D0642E">
        <w:rPr>
          <w:rFonts w:eastAsia="Cambria" w:cs="Calibri"/>
          <w:b/>
          <w:bCs/>
          <w:noProof/>
          <w:lang w:val="sq-AL"/>
        </w:rPr>
        <w:t>investimeve publike</w:t>
      </w:r>
      <w:r w:rsidRPr="00D0642E">
        <w:rPr>
          <w:rFonts w:eastAsia="Cambria" w:cs="Calibri"/>
          <w:noProof/>
          <w:lang w:val="sq-AL"/>
        </w:rPr>
        <w:t xml:space="preserve"> </w:t>
      </w:r>
      <w:r w:rsidR="00D0642E" w:rsidRPr="00D0642E">
        <w:rPr>
          <w:rFonts w:cs="Calibri"/>
          <w:noProof/>
          <w:lang w:val="sq-AL"/>
        </w:rPr>
        <w:t xml:space="preserve">realizimi në vitin 2025 ishte 142.1% e buxhetit fillestar për projektet me financim të brendshëm (1.5 </w:t>
      </w:r>
      <w:r w:rsidR="0056260B">
        <w:rPr>
          <w:rFonts w:cs="Calibri"/>
          <w:noProof/>
          <w:lang w:val="sq-AL"/>
        </w:rPr>
        <w:t>miliardë</w:t>
      </w:r>
      <w:r w:rsidR="00D0642E" w:rsidRPr="00D0642E">
        <w:rPr>
          <w:rFonts w:cs="Calibri"/>
          <w:noProof/>
          <w:lang w:val="sq-AL"/>
        </w:rPr>
        <w:t xml:space="preserve"> LEK)</w:t>
      </w:r>
      <w:r w:rsidR="00D0642E" w:rsidRPr="00D0642E">
        <w:rPr>
          <w:rFonts w:cs="Calibri"/>
          <w:bCs/>
          <w:iCs/>
          <w:noProof/>
          <w:lang w:val="sq-AL"/>
        </w:rPr>
        <w:t xml:space="preserve"> (97.6 % të planit vjetor të ndryshuar me AN nr.11/2025)</w:t>
      </w:r>
      <w:r w:rsidR="00D0642E" w:rsidRPr="00D0642E">
        <w:rPr>
          <w:rFonts w:cs="Calibri"/>
          <w:noProof/>
          <w:lang w:val="sq-AL"/>
        </w:rPr>
        <w:t xml:space="preserve"> dhe 6.1% e buxhetit fillestar dhe 99.7% </w:t>
      </w:r>
      <w:r w:rsidR="00D0642E" w:rsidRPr="00D0642E">
        <w:rPr>
          <w:rFonts w:cs="Calibri"/>
          <w:bCs/>
          <w:iCs/>
          <w:noProof/>
          <w:lang w:val="sq-AL"/>
        </w:rPr>
        <w:t xml:space="preserve">të planit vjetor të ndryshuar me AN nr.11/2025 </w:t>
      </w:r>
      <w:r w:rsidR="00D0642E" w:rsidRPr="00D0642E">
        <w:rPr>
          <w:rFonts w:cs="Calibri"/>
          <w:noProof/>
          <w:lang w:val="sq-AL"/>
        </w:rPr>
        <w:t xml:space="preserve">për projektet me financim të huaj (0.10 </w:t>
      </w:r>
      <w:r w:rsidR="0056260B">
        <w:rPr>
          <w:rFonts w:cs="Calibri"/>
          <w:noProof/>
          <w:lang w:val="sq-AL"/>
        </w:rPr>
        <w:t>miliardë</w:t>
      </w:r>
      <w:r w:rsidR="00D0642E" w:rsidRPr="00D0642E">
        <w:rPr>
          <w:rFonts w:cs="Calibri"/>
          <w:noProof/>
          <w:lang w:val="sq-AL"/>
        </w:rPr>
        <w:t xml:space="preserve"> LEK)</w:t>
      </w:r>
      <w:r w:rsidR="00D0642E" w:rsidRPr="00D0642E">
        <w:rPr>
          <w:rFonts w:cs="Calibri"/>
          <w:bCs/>
          <w:iCs/>
          <w:noProof/>
          <w:lang w:val="sq-AL"/>
        </w:rPr>
        <w:t>.</w:t>
      </w:r>
      <w:r w:rsidR="00D0642E" w:rsidRPr="00D0642E">
        <w:rPr>
          <w:rFonts w:cs="Calibri"/>
          <w:noProof/>
          <w:lang w:val="sq-AL"/>
        </w:rPr>
        <w:t xml:space="preserve"> Buxheti i shpenzimeve kapitale pësoi ndryshime gjatë vitit 2025, duke rritur shpenzimet me financim të brendshëm dhe duke pakësuar ato me financim të huaj</w:t>
      </w:r>
      <w:r w:rsidR="00D0642E" w:rsidRPr="00D0642E">
        <w:rPr>
          <w:rFonts w:cs="Calibri"/>
          <w:lang w:val="sq-AL"/>
        </w:rPr>
        <w:t xml:space="preserve">. </w:t>
      </w:r>
      <w:r w:rsidR="00D0642E" w:rsidRPr="00D0642E">
        <w:rPr>
          <w:rFonts w:asciiTheme="majorHAnsi" w:eastAsiaTheme="minorHAnsi" w:hAnsiTheme="majorHAnsi" w:cs="Calibri Light"/>
          <w:noProof/>
          <w:szCs w:val="22"/>
          <w:lang w:val="sq-AL"/>
        </w:rPr>
        <w:t xml:space="preserve">Janë mbyllur 4 </w:t>
      </w:r>
      <w:r w:rsidR="00D0642E" w:rsidRPr="00D0642E">
        <w:rPr>
          <w:rFonts w:asciiTheme="majorHAnsi" w:eastAsia="SimSun" w:hAnsiTheme="majorHAnsi" w:cs="Calibri Light"/>
          <w:noProof/>
          <w:szCs w:val="22"/>
          <w:lang w:val="sq-AL"/>
        </w:rPr>
        <w:t>projekte</w:t>
      </w:r>
      <w:r w:rsidR="00D0642E" w:rsidRPr="00D0642E">
        <w:rPr>
          <w:rFonts w:asciiTheme="majorHAnsi" w:eastAsiaTheme="minorHAnsi" w:hAnsiTheme="majorHAnsi" w:cs="Calibri Light"/>
          <w:noProof/>
          <w:szCs w:val="22"/>
          <w:lang w:val="sq-AL"/>
        </w:rPr>
        <w:t xml:space="preserve"> investimi me vlerë rreth 0.60 </w:t>
      </w:r>
      <w:r w:rsidR="0056260B">
        <w:rPr>
          <w:rFonts w:asciiTheme="majorHAnsi" w:eastAsiaTheme="minorHAnsi" w:hAnsiTheme="majorHAnsi" w:cs="Calibri Light"/>
          <w:noProof/>
          <w:szCs w:val="22"/>
          <w:lang w:val="sq-AL"/>
        </w:rPr>
        <w:t>miliardë</w:t>
      </w:r>
      <w:r w:rsidR="00D0642E" w:rsidRPr="00D0642E">
        <w:rPr>
          <w:rFonts w:asciiTheme="majorHAnsi" w:eastAsiaTheme="minorHAnsi" w:hAnsiTheme="majorHAnsi" w:cs="Calibri Light"/>
          <w:noProof/>
          <w:szCs w:val="22"/>
          <w:lang w:val="sq-AL"/>
        </w:rPr>
        <w:t xml:space="preserve"> LEK, ku ndër më kryesoret veçojmë</w:t>
      </w:r>
      <w:r w:rsidR="00D0642E" w:rsidRPr="00D0642E">
        <w:rPr>
          <w:rFonts w:asciiTheme="majorHAnsi" w:hAnsiTheme="majorHAnsi" w:cs="Calibri Light"/>
          <w:noProof/>
          <w:szCs w:val="22"/>
          <w:lang w:val="sq-AL"/>
        </w:rPr>
        <w:t>:</w:t>
      </w:r>
    </w:p>
    <w:p w14:paraId="3E2273F9" w14:textId="218B5FB1" w:rsidR="00D0642E" w:rsidRPr="00793F4A" w:rsidRDefault="00D0642E" w:rsidP="00634371">
      <w:pPr>
        <w:numPr>
          <w:ilvl w:val="0"/>
          <w:numId w:val="10"/>
        </w:numPr>
        <w:shd w:val="clear" w:color="auto" w:fill="FFFFFF"/>
        <w:spacing w:line="240" w:lineRule="auto"/>
        <w:ind w:left="630"/>
        <w:contextualSpacing/>
        <w:rPr>
          <w:rFonts w:cs="Calibri"/>
          <w:i/>
          <w:iCs/>
          <w:noProof/>
          <w:szCs w:val="22"/>
          <w:lang w:val="sq-AL"/>
        </w:rPr>
      </w:pPr>
      <w:r w:rsidRPr="00793F4A">
        <w:rPr>
          <w:rFonts w:cs="Calibri"/>
          <w:i/>
          <w:iCs/>
          <w:noProof/>
          <w:szCs w:val="22"/>
          <w:lang w:val="sq-AL"/>
        </w:rPr>
        <w:t xml:space="preserve">Ndërtim/rikonstruksion të objekteve të Drejtorisë Vendore Policisë Berat me vlerë rreth 256.4 </w:t>
      </w:r>
      <w:r w:rsidR="0056260B">
        <w:rPr>
          <w:rFonts w:cs="Calibri"/>
          <w:i/>
          <w:iCs/>
          <w:noProof/>
          <w:szCs w:val="22"/>
          <w:lang w:val="sq-AL"/>
        </w:rPr>
        <w:t>milionë</w:t>
      </w:r>
      <w:r w:rsidRPr="00793F4A">
        <w:rPr>
          <w:rFonts w:cs="Calibri"/>
          <w:i/>
          <w:iCs/>
          <w:noProof/>
          <w:szCs w:val="22"/>
          <w:lang w:val="sq-AL"/>
        </w:rPr>
        <w:t xml:space="preserve"> LEK</w:t>
      </w:r>
      <w:r w:rsidRPr="00793F4A">
        <w:rPr>
          <w:rFonts w:cs="Calibri Light"/>
          <w:bCs/>
          <w:iCs/>
          <w:noProof/>
          <w:szCs w:val="22"/>
          <w:lang w:val="sq-AL" w:eastAsia="en-GB"/>
        </w:rPr>
        <w:t>;</w:t>
      </w:r>
    </w:p>
    <w:p w14:paraId="4AC7F7F7" w14:textId="6A900C03" w:rsidR="00D0642E" w:rsidRPr="00793F4A" w:rsidRDefault="00D0642E" w:rsidP="00634371">
      <w:pPr>
        <w:numPr>
          <w:ilvl w:val="0"/>
          <w:numId w:val="10"/>
        </w:numPr>
        <w:shd w:val="clear" w:color="auto" w:fill="FFFFFF"/>
        <w:spacing w:line="240" w:lineRule="auto"/>
        <w:ind w:left="630"/>
        <w:contextualSpacing/>
        <w:rPr>
          <w:rFonts w:cs="Calibri"/>
          <w:i/>
          <w:iCs/>
          <w:noProof/>
          <w:szCs w:val="22"/>
          <w:lang w:val="sq-AL"/>
        </w:rPr>
      </w:pPr>
      <w:r w:rsidRPr="00793F4A">
        <w:rPr>
          <w:rFonts w:cs="Calibri"/>
          <w:i/>
          <w:iCs/>
          <w:noProof/>
          <w:szCs w:val="22"/>
          <w:lang w:val="sq-AL"/>
        </w:rPr>
        <w:t xml:space="preserve">Përmirësimi i sistemit TIMS dhe modulit të kontrollit kufitar me vlerë rreth 151.2 </w:t>
      </w:r>
      <w:r w:rsidR="0056260B">
        <w:rPr>
          <w:rFonts w:cs="Calibri"/>
          <w:i/>
          <w:iCs/>
          <w:noProof/>
          <w:szCs w:val="22"/>
          <w:lang w:val="sq-AL"/>
        </w:rPr>
        <w:t>milionë</w:t>
      </w:r>
      <w:r w:rsidRPr="00793F4A">
        <w:rPr>
          <w:rFonts w:cs="Calibri"/>
          <w:i/>
          <w:iCs/>
          <w:noProof/>
          <w:szCs w:val="22"/>
          <w:lang w:val="sq-AL"/>
        </w:rPr>
        <w:t xml:space="preserve"> LEK</w:t>
      </w:r>
      <w:r w:rsidRPr="00793F4A">
        <w:rPr>
          <w:rFonts w:cs="Calibri Light"/>
          <w:bCs/>
          <w:iCs/>
          <w:noProof/>
          <w:szCs w:val="22"/>
          <w:lang w:val="sq-AL" w:eastAsia="en-GB"/>
        </w:rPr>
        <w:t>;</w:t>
      </w:r>
    </w:p>
    <w:p w14:paraId="748096C5" w14:textId="60FA7BDB" w:rsidR="00D0642E" w:rsidRPr="00793F4A" w:rsidRDefault="00D0642E" w:rsidP="00634371">
      <w:pPr>
        <w:numPr>
          <w:ilvl w:val="0"/>
          <w:numId w:val="10"/>
        </w:numPr>
        <w:shd w:val="clear" w:color="auto" w:fill="FFFFFF"/>
        <w:spacing w:line="240" w:lineRule="auto"/>
        <w:ind w:left="630"/>
        <w:contextualSpacing/>
        <w:rPr>
          <w:rFonts w:cs="Calibri"/>
          <w:i/>
          <w:iCs/>
          <w:noProof/>
          <w:szCs w:val="22"/>
          <w:lang w:val="sq-AL"/>
        </w:rPr>
      </w:pPr>
      <w:r w:rsidRPr="00793F4A">
        <w:rPr>
          <w:rFonts w:cs="Calibri"/>
          <w:i/>
          <w:iCs/>
          <w:noProof/>
          <w:szCs w:val="22"/>
          <w:lang w:val="sq-AL"/>
        </w:rPr>
        <w:t xml:space="preserve">Përmirësimi i moduleve Menaxhim i Çështjes, salla Operative me vlerë rreth 140 </w:t>
      </w:r>
      <w:r w:rsidR="0056260B">
        <w:rPr>
          <w:rFonts w:cs="Calibri"/>
          <w:i/>
          <w:iCs/>
          <w:noProof/>
          <w:szCs w:val="22"/>
          <w:lang w:val="sq-AL"/>
        </w:rPr>
        <w:t>milionë</w:t>
      </w:r>
      <w:r w:rsidRPr="00793F4A">
        <w:rPr>
          <w:rFonts w:cs="Calibri"/>
          <w:i/>
          <w:iCs/>
          <w:noProof/>
          <w:szCs w:val="22"/>
          <w:lang w:val="sq-AL"/>
        </w:rPr>
        <w:t xml:space="preserve"> LEK</w:t>
      </w:r>
      <w:r w:rsidRPr="00793F4A">
        <w:rPr>
          <w:rFonts w:cs="Calibri Light"/>
          <w:bCs/>
          <w:iCs/>
          <w:noProof/>
          <w:szCs w:val="22"/>
          <w:lang w:val="sq-AL" w:eastAsia="en-GB"/>
        </w:rPr>
        <w:t>;</w:t>
      </w:r>
    </w:p>
    <w:p w14:paraId="0424EDD2" w14:textId="1935853A" w:rsidR="00D0642E" w:rsidRPr="00793F4A" w:rsidRDefault="00D0642E" w:rsidP="00634371">
      <w:pPr>
        <w:numPr>
          <w:ilvl w:val="0"/>
          <w:numId w:val="10"/>
        </w:numPr>
        <w:shd w:val="clear" w:color="auto" w:fill="FFFFFF"/>
        <w:spacing w:line="240" w:lineRule="auto"/>
        <w:ind w:left="630"/>
        <w:contextualSpacing/>
        <w:rPr>
          <w:rFonts w:cs="Calibri Light"/>
          <w:bCs/>
          <w:iCs/>
          <w:noProof/>
          <w:szCs w:val="22"/>
          <w:lang w:val="sq-AL" w:eastAsia="en-GB"/>
        </w:rPr>
      </w:pPr>
      <w:r w:rsidRPr="00793F4A">
        <w:rPr>
          <w:rFonts w:cs="Calibri"/>
          <w:i/>
          <w:iCs/>
          <w:noProof/>
          <w:szCs w:val="22"/>
          <w:lang w:val="sq-AL"/>
        </w:rPr>
        <w:t xml:space="preserve">Ndërtim i godinës së Postës së Policisë Roskovec me vlerë rreth 53.4 </w:t>
      </w:r>
      <w:r w:rsidR="0056260B">
        <w:rPr>
          <w:rFonts w:cs="Calibri"/>
          <w:i/>
          <w:iCs/>
          <w:noProof/>
          <w:szCs w:val="22"/>
          <w:lang w:val="sq-AL"/>
        </w:rPr>
        <w:t>milionë</w:t>
      </w:r>
      <w:r w:rsidRPr="00793F4A">
        <w:rPr>
          <w:rFonts w:cs="Calibri"/>
          <w:i/>
          <w:iCs/>
          <w:noProof/>
          <w:szCs w:val="22"/>
          <w:lang w:val="sq-AL"/>
        </w:rPr>
        <w:t xml:space="preserve"> LEK</w:t>
      </w:r>
      <w:r w:rsidR="00F409F4">
        <w:rPr>
          <w:rFonts w:cs="Calibri Light"/>
          <w:bCs/>
          <w:iCs/>
          <w:noProof/>
          <w:szCs w:val="22"/>
          <w:lang w:val="sq-AL" w:eastAsia="en-GB"/>
        </w:rPr>
        <w:t>.</w:t>
      </w:r>
    </w:p>
    <w:p w14:paraId="17C43449" w14:textId="77777777" w:rsidR="00D0642E" w:rsidRPr="00AF504A" w:rsidRDefault="00D0642E" w:rsidP="00634371">
      <w:pPr>
        <w:shd w:val="clear" w:color="auto" w:fill="FFFFFF"/>
        <w:spacing w:line="240" w:lineRule="auto"/>
        <w:contextualSpacing/>
        <w:rPr>
          <w:rFonts w:cs="Calibri Light"/>
          <w:bCs/>
          <w:i/>
          <w:noProof/>
          <w:szCs w:val="22"/>
          <w:lang w:val="sq-AL" w:eastAsia="en-GB"/>
        </w:rPr>
      </w:pPr>
      <w:r w:rsidRPr="00D0642E">
        <w:rPr>
          <w:rFonts w:cs="Calibri Light"/>
          <w:bCs/>
          <w:iCs/>
          <w:noProof/>
          <w:szCs w:val="22"/>
          <w:lang w:val="sq-AL" w:eastAsia="en-GB"/>
        </w:rPr>
        <w:t>Në programin “Policia e Shtetit” janë financuar projekte të cilat konsistojnë në ndërtim, rikonstruksion godinash si dhe armatime.</w:t>
      </w:r>
    </w:p>
    <w:p w14:paraId="680B9651" w14:textId="77777777" w:rsidR="007637DE" w:rsidRDefault="007637DE" w:rsidP="00C156A0">
      <w:pPr>
        <w:shd w:val="clear" w:color="auto" w:fill="FFFFFF"/>
        <w:spacing w:before="0" w:line="240" w:lineRule="auto"/>
        <w:rPr>
          <w:rFonts w:cs="Calibri Light"/>
          <w:bCs/>
          <w:iCs/>
          <w:noProof/>
          <w:szCs w:val="22"/>
          <w:lang w:val="sq-AL" w:eastAsia="en-GB"/>
        </w:rPr>
      </w:pPr>
    </w:p>
    <w:p w14:paraId="06CCE0E5" w14:textId="77777777" w:rsidR="00C95685" w:rsidRDefault="00C95685" w:rsidP="00C156A0">
      <w:pPr>
        <w:shd w:val="clear" w:color="auto" w:fill="FFFFFF"/>
        <w:spacing w:before="0" w:line="240" w:lineRule="auto"/>
        <w:rPr>
          <w:rFonts w:cs="Calibri Light"/>
          <w:bCs/>
          <w:iCs/>
          <w:noProof/>
          <w:szCs w:val="22"/>
          <w:lang w:val="sq-AL" w:eastAsia="en-GB"/>
        </w:rPr>
      </w:pPr>
    </w:p>
    <w:p w14:paraId="2BE6DEA0" w14:textId="77777777" w:rsidR="00C95685" w:rsidRPr="00C156A0" w:rsidRDefault="00C95685" w:rsidP="00C156A0">
      <w:pPr>
        <w:shd w:val="clear" w:color="auto" w:fill="FFFFFF"/>
        <w:spacing w:before="0" w:line="240" w:lineRule="auto"/>
        <w:rPr>
          <w:rFonts w:cs="Calibri Light"/>
          <w:bCs/>
          <w:iCs/>
          <w:noProof/>
          <w:szCs w:val="22"/>
          <w:lang w:val="sq-AL" w:eastAsia="en-GB"/>
        </w:rPr>
      </w:pPr>
    </w:p>
    <w:p w14:paraId="1B85BCD8" w14:textId="77777777" w:rsidR="00C156A0" w:rsidRPr="00B14F86" w:rsidRDefault="00C156A0" w:rsidP="00B14F86">
      <w:pPr>
        <w:pStyle w:val="Heading3"/>
        <w:rPr>
          <w:b/>
          <w:bCs/>
        </w:rPr>
      </w:pPr>
      <w:bookmarkStart w:id="292" w:name="_Toc10033300"/>
      <w:bookmarkStart w:id="293" w:name="_Toc10721436"/>
      <w:bookmarkStart w:id="294" w:name="_Toc229390849"/>
      <w:r w:rsidRPr="00B14F86">
        <w:rPr>
          <w:b/>
          <w:bCs/>
        </w:rPr>
        <w:t xml:space="preserve">Politika e </w:t>
      </w:r>
      <w:proofErr w:type="spellStart"/>
      <w:r w:rsidRPr="00B14F86">
        <w:rPr>
          <w:b/>
          <w:bCs/>
        </w:rPr>
        <w:t>Jashtme</w:t>
      </w:r>
      <w:bookmarkEnd w:id="292"/>
      <w:bookmarkEnd w:id="293"/>
      <w:bookmarkEnd w:id="294"/>
      <w:proofErr w:type="spellEnd"/>
    </w:p>
    <w:p w14:paraId="74AA6B6E" w14:textId="2EA82B66" w:rsidR="00C156A0" w:rsidRPr="00C156A0" w:rsidRDefault="00C156A0" w:rsidP="00C156A0">
      <w:pPr>
        <w:spacing w:line="240" w:lineRule="auto"/>
        <w:rPr>
          <w:rFonts w:cs="Calibri"/>
          <w:lang w:val="sq-AL"/>
        </w:rPr>
      </w:pPr>
      <w:r w:rsidRPr="00C156A0">
        <w:rPr>
          <w:rFonts w:cs="Calibri"/>
          <w:lang w:val="sq-AL"/>
        </w:rPr>
        <w:t xml:space="preserve">Performanca e treguesve buxhetorë për </w:t>
      </w:r>
      <w:r w:rsidR="00031E3C">
        <w:rPr>
          <w:rFonts w:cs="Calibri"/>
          <w:lang w:val="sq-AL"/>
        </w:rPr>
        <w:t>tre</w:t>
      </w:r>
      <w:r w:rsidRPr="00C156A0">
        <w:rPr>
          <w:rFonts w:cs="Calibri"/>
          <w:lang w:val="sq-AL"/>
        </w:rPr>
        <w:t xml:space="preserve"> programet kryesore në Ministrinë për Evropën dhe Punët e Jashtme paraqitet si më poshtë:</w:t>
      </w:r>
    </w:p>
    <w:p w14:paraId="48E8474F" w14:textId="706CB0C7" w:rsidR="00C156A0" w:rsidRPr="00C156A0" w:rsidRDefault="00C156A0" w:rsidP="00C156A0">
      <w:pPr>
        <w:rPr>
          <w:i/>
          <w:iCs/>
          <w:color w:val="17406D"/>
          <w:sz w:val="18"/>
          <w:szCs w:val="18"/>
          <w:lang w:val="sq-AL"/>
        </w:rPr>
      </w:pPr>
      <w:bookmarkStart w:id="295" w:name="_Toc229130017"/>
      <w:r w:rsidRPr="00C156A0">
        <w:rPr>
          <w:i/>
          <w:iCs/>
          <w:color w:val="17406D"/>
          <w:sz w:val="18"/>
          <w:szCs w:val="18"/>
          <w:lang w:val="sq-AL"/>
        </w:rPr>
        <w:t xml:space="preserve">Tabela </w:t>
      </w:r>
      <w:r w:rsidRPr="00C156A0">
        <w:rPr>
          <w:i/>
          <w:iCs/>
          <w:color w:val="17406D"/>
          <w:sz w:val="18"/>
          <w:szCs w:val="18"/>
          <w:lang w:val="sq-AL"/>
        </w:rPr>
        <w:fldChar w:fldCharType="begin"/>
      </w:r>
      <w:r w:rsidRPr="00C156A0">
        <w:rPr>
          <w:i/>
          <w:iCs/>
          <w:color w:val="17406D"/>
          <w:sz w:val="18"/>
          <w:szCs w:val="18"/>
          <w:lang w:val="sq-AL"/>
        </w:rPr>
        <w:instrText xml:space="preserve"> SEQ Tabela \* ARABIC </w:instrText>
      </w:r>
      <w:r w:rsidRPr="00C156A0">
        <w:rPr>
          <w:i/>
          <w:iCs/>
          <w:color w:val="17406D"/>
          <w:sz w:val="18"/>
          <w:szCs w:val="18"/>
          <w:lang w:val="sq-AL"/>
        </w:rPr>
        <w:fldChar w:fldCharType="separate"/>
      </w:r>
      <w:r w:rsidR="00CB4DE6">
        <w:rPr>
          <w:i/>
          <w:iCs/>
          <w:noProof/>
          <w:color w:val="17406D"/>
          <w:sz w:val="18"/>
          <w:szCs w:val="18"/>
          <w:lang w:val="sq-AL"/>
        </w:rPr>
        <w:t>42</w:t>
      </w:r>
      <w:r w:rsidRPr="00C156A0">
        <w:rPr>
          <w:i/>
          <w:iCs/>
          <w:color w:val="17406D"/>
          <w:sz w:val="18"/>
          <w:szCs w:val="18"/>
          <w:lang w:val="sq-AL"/>
        </w:rPr>
        <w:fldChar w:fldCharType="end"/>
      </w:r>
      <w:r w:rsidRPr="00C156A0">
        <w:rPr>
          <w:i/>
          <w:iCs/>
          <w:color w:val="17406D"/>
          <w:sz w:val="18"/>
          <w:szCs w:val="18"/>
          <w:lang w:val="sq-AL"/>
        </w:rPr>
        <w:t xml:space="preserve"> Realizimi i buxhetit 2025 për Ministrinë për Evropën dhe Punët e Jashtme</w:t>
      </w:r>
      <w:bookmarkEnd w:id="295"/>
    </w:p>
    <w:tbl>
      <w:tblPr>
        <w:tblW w:w="9990" w:type="dxa"/>
        <w:tblInd w:w="-90" w:type="dxa"/>
        <w:tblLook w:val="04A0" w:firstRow="1" w:lastRow="0" w:firstColumn="1" w:lastColumn="0" w:noHBand="0" w:noVBand="1"/>
      </w:tblPr>
      <w:tblGrid>
        <w:gridCol w:w="1841"/>
        <w:gridCol w:w="867"/>
        <w:gridCol w:w="871"/>
        <w:gridCol w:w="867"/>
        <w:gridCol w:w="950"/>
        <w:gridCol w:w="1041"/>
        <w:gridCol w:w="871"/>
        <w:gridCol w:w="683"/>
        <w:gridCol w:w="655"/>
        <w:gridCol w:w="720"/>
        <w:gridCol w:w="624"/>
      </w:tblGrid>
      <w:tr w:rsidR="00C156A0" w:rsidRPr="00C147C4" w14:paraId="1B111D8A" w14:textId="77777777" w:rsidTr="00031E3C">
        <w:trPr>
          <w:trHeight w:val="450"/>
        </w:trPr>
        <w:tc>
          <w:tcPr>
            <w:tcW w:w="1841" w:type="dxa"/>
            <w:vMerge w:val="restart"/>
            <w:tcBorders>
              <w:top w:val="nil"/>
              <w:left w:val="nil"/>
              <w:bottom w:val="single" w:sz="8" w:space="0" w:color="B8CCE4"/>
              <w:right w:val="single" w:sz="8" w:space="0" w:color="B8CCE4"/>
            </w:tcBorders>
            <w:shd w:val="clear" w:color="000000" w:fill="366092"/>
            <w:vAlign w:val="center"/>
            <w:hideMark/>
          </w:tcPr>
          <w:p w14:paraId="12046E5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Programi buxhetor</w:t>
            </w:r>
          </w:p>
        </w:tc>
        <w:tc>
          <w:tcPr>
            <w:tcW w:w="173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F0A4591"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Plani fillestar 2025</w:t>
            </w:r>
          </w:p>
        </w:tc>
        <w:tc>
          <w:tcPr>
            <w:tcW w:w="1817"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81BA178"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Plani i rishikuar 2025</w:t>
            </w:r>
          </w:p>
        </w:tc>
        <w:tc>
          <w:tcPr>
            <w:tcW w:w="1912"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70E519C"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Fakti 2025</w:t>
            </w:r>
          </w:p>
        </w:tc>
        <w:tc>
          <w:tcPr>
            <w:tcW w:w="133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B5D9F6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Realizimi në % me planin fillestar</w:t>
            </w:r>
          </w:p>
        </w:tc>
        <w:tc>
          <w:tcPr>
            <w:tcW w:w="1344"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1B9AC3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Realizimi në % me planin e rishikuar</w:t>
            </w:r>
          </w:p>
        </w:tc>
      </w:tr>
      <w:tr w:rsidR="00C156A0" w:rsidRPr="00C156A0" w14:paraId="685AB734" w14:textId="77777777" w:rsidTr="00031E3C">
        <w:trPr>
          <w:trHeight w:val="315"/>
        </w:trPr>
        <w:tc>
          <w:tcPr>
            <w:tcW w:w="1841" w:type="dxa"/>
            <w:vMerge/>
            <w:tcBorders>
              <w:top w:val="nil"/>
              <w:left w:val="nil"/>
              <w:bottom w:val="single" w:sz="8" w:space="0" w:color="B8CCE4"/>
              <w:right w:val="single" w:sz="8" w:space="0" w:color="B8CCE4"/>
            </w:tcBorders>
            <w:vAlign w:val="center"/>
            <w:hideMark/>
          </w:tcPr>
          <w:p w14:paraId="7AA70342" w14:textId="77777777" w:rsidR="00C156A0" w:rsidRPr="00C156A0" w:rsidRDefault="00C156A0" w:rsidP="00C156A0">
            <w:pPr>
              <w:spacing w:before="0" w:line="240" w:lineRule="auto"/>
              <w:jc w:val="left"/>
              <w:rPr>
                <w:rFonts w:cs="Calibri"/>
                <w:b/>
                <w:bCs/>
                <w:color w:val="FFFFFF"/>
                <w:sz w:val="16"/>
                <w:szCs w:val="16"/>
                <w:lang w:val="sq-AL" w:eastAsia="en-GB"/>
              </w:rPr>
            </w:pPr>
          </w:p>
        </w:tc>
        <w:tc>
          <w:tcPr>
            <w:tcW w:w="867" w:type="dxa"/>
            <w:tcBorders>
              <w:top w:val="nil"/>
              <w:left w:val="nil"/>
              <w:bottom w:val="single" w:sz="8" w:space="0" w:color="B8CCE4"/>
              <w:right w:val="single" w:sz="8" w:space="0" w:color="B8CCE4"/>
            </w:tcBorders>
            <w:shd w:val="clear" w:color="000000" w:fill="365F91"/>
            <w:vAlign w:val="center"/>
            <w:hideMark/>
          </w:tcPr>
          <w:p w14:paraId="7434E9CB" w14:textId="0207CC5D"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871" w:type="dxa"/>
            <w:tcBorders>
              <w:top w:val="nil"/>
              <w:left w:val="nil"/>
              <w:bottom w:val="single" w:sz="8" w:space="0" w:color="B8CCE4"/>
              <w:right w:val="single" w:sz="8" w:space="0" w:color="B8CCE4"/>
            </w:tcBorders>
            <w:shd w:val="clear" w:color="000000" w:fill="365F91"/>
            <w:vAlign w:val="center"/>
            <w:hideMark/>
          </w:tcPr>
          <w:p w14:paraId="2CFA0376"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867" w:type="dxa"/>
            <w:tcBorders>
              <w:top w:val="nil"/>
              <w:left w:val="nil"/>
              <w:bottom w:val="single" w:sz="8" w:space="0" w:color="B8CCE4"/>
              <w:right w:val="single" w:sz="8" w:space="0" w:color="B8CCE4"/>
            </w:tcBorders>
            <w:shd w:val="clear" w:color="000000" w:fill="365F91"/>
            <w:vAlign w:val="center"/>
            <w:hideMark/>
          </w:tcPr>
          <w:p w14:paraId="0E63A34E" w14:textId="7407D227"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950" w:type="dxa"/>
            <w:tcBorders>
              <w:top w:val="nil"/>
              <w:left w:val="nil"/>
              <w:bottom w:val="single" w:sz="8" w:space="0" w:color="B8CCE4"/>
              <w:right w:val="single" w:sz="8" w:space="0" w:color="B8CCE4"/>
            </w:tcBorders>
            <w:shd w:val="clear" w:color="000000" w:fill="365F91"/>
            <w:vAlign w:val="center"/>
            <w:hideMark/>
          </w:tcPr>
          <w:p w14:paraId="1F7CAE38"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1041" w:type="dxa"/>
            <w:tcBorders>
              <w:top w:val="nil"/>
              <w:left w:val="nil"/>
              <w:bottom w:val="single" w:sz="8" w:space="0" w:color="B8CCE4"/>
              <w:right w:val="single" w:sz="8" w:space="0" w:color="B8CCE4"/>
            </w:tcBorders>
            <w:shd w:val="clear" w:color="000000" w:fill="365F91"/>
            <w:vAlign w:val="center"/>
            <w:hideMark/>
          </w:tcPr>
          <w:p w14:paraId="0D346DBE" w14:textId="483D33A6" w:rsidR="00C156A0" w:rsidRPr="00C156A0" w:rsidRDefault="0056260B" w:rsidP="00C156A0">
            <w:pPr>
              <w:spacing w:before="0" w:line="240" w:lineRule="auto"/>
              <w:jc w:val="center"/>
              <w:rPr>
                <w:rFonts w:cs="Calibri"/>
                <w:b/>
                <w:bCs/>
                <w:color w:val="FFFFFF"/>
                <w:sz w:val="16"/>
                <w:szCs w:val="16"/>
                <w:lang w:val="sq-AL" w:eastAsia="en-GB"/>
              </w:rPr>
            </w:pPr>
            <w:r>
              <w:rPr>
                <w:rFonts w:cs="Calibri"/>
                <w:b/>
                <w:bCs/>
                <w:color w:val="FFFFFF"/>
                <w:sz w:val="16"/>
                <w:szCs w:val="16"/>
                <w:lang w:val="sq-AL" w:eastAsia="en-GB"/>
              </w:rPr>
              <w:t>Korente</w:t>
            </w:r>
          </w:p>
        </w:tc>
        <w:tc>
          <w:tcPr>
            <w:tcW w:w="871" w:type="dxa"/>
            <w:tcBorders>
              <w:top w:val="nil"/>
              <w:left w:val="nil"/>
              <w:bottom w:val="single" w:sz="8" w:space="0" w:color="B8CCE4"/>
              <w:right w:val="single" w:sz="8" w:space="0" w:color="B8CCE4"/>
            </w:tcBorders>
            <w:shd w:val="clear" w:color="000000" w:fill="365F91"/>
            <w:vAlign w:val="center"/>
            <w:hideMark/>
          </w:tcPr>
          <w:p w14:paraId="2F62CBDF"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Investime</w:t>
            </w:r>
          </w:p>
        </w:tc>
        <w:tc>
          <w:tcPr>
            <w:tcW w:w="683" w:type="dxa"/>
            <w:tcBorders>
              <w:top w:val="nil"/>
              <w:left w:val="nil"/>
              <w:bottom w:val="single" w:sz="8" w:space="0" w:color="B8CCE4"/>
              <w:right w:val="single" w:sz="8" w:space="0" w:color="B8CCE4"/>
            </w:tcBorders>
            <w:shd w:val="clear" w:color="000000" w:fill="365F91"/>
            <w:vAlign w:val="center"/>
            <w:hideMark/>
          </w:tcPr>
          <w:p w14:paraId="7C33E62D"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Korr.</w:t>
            </w:r>
          </w:p>
        </w:tc>
        <w:tc>
          <w:tcPr>
            <w:tcW w:w="655" w:type="dxa"/>
            <w:tcBorders>
              <w:top w:val="nil"/>
              <w:left w:val="nil"/>
              <w:bottom w:val="single" w:sz="8" w:space="0" w:color="B8CCE4"/>
              <w:right w:val="single" w:sz="8" w:space="0" w:color="B8CCE4"/>
            </w:tcBorders>
            <w:shd w:val="clear" w:color="000000" w:fill="365F91"/>
            <w:vAlign w:val="center"/>
            <w:hideMark/>
          </w:tcPr>
          <w:p w14:paraId="6E124714"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w:t>
            </w:r>
          </w:p>
        </w:tc>
        <w:tc>
          <w:tcPr>
            <w:tcW w:w="720" w:type="dxa"/>
            <w:tcBorders>
              <w:top w:val="nil"/>
              <w:left w:val="nil"/>
              <w:bottom w:val="single" w:sz="8" w:space="0" w:color="B8CCE4"/>
              <w:right w:val="single" w:sz="8" w:space="0" w:color="B8CCE4"/>
            </w:tcBorders>
            <w:shd w:val="clear" w:color="000000" w:fill="365F91"/>
            <w:vAlign w:val="center"/>
            <w:hideMark/>
          </w:tcPr>
          <w:p w14:paraId="4E3DB87C"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Korr.</w:t>
            </w:r>
          </w:p>
        </w:tc>
        <w:tc>
          <w:tcPr>
            <w:tcW w:w="624" w:type="dxa"/>
            <w:tcBorders>
              <w:top w:val="nil"/>
              <w:left w:val="nil"/>
              <w:bottom w:val="single" w:sz="8" w:space="0" w:color="B8CCE4"/>
              <w:right w:val="single" w:sz="8" w:space="0" w:color="B8CCE4"/>
            </w:tcBorders>
            <w:shd w:val="clear" w:color="000000" w:fill="365F91"/>
            <w:vAlign w:val="center"/>
            <w:hideMark/>
          </w:tcPr>
          <w:p w14:paraId="30DB4E61"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Inv.</w:t>
            </w:r>
          </w:p>
        </w:tc>
      </w:tr>
      <w:tr w:rsidR="00C156A0" w:rsidRPr="00C156A0" w14:paraId="46B0E606" w14:textId="77777777" w:rsidTr="00031E3C">
        <w:trPr>
          <w:trHeight w:val="465"/>
        </w:trPr>
        <w:tc>
          <w:tcPr>
            <w:tcW w:w="1841" w:type="dxa"/>
            <w:tcBorders>
              <w:top w:val="nil"/>
              <w:left w:val="single" w:sz="8" w:space="0" w:color="B8CCE4"/>
              <w:bottom w:val="single" w:sz="8" w:space="0" w:color="B8CCE4"/>
              <w:right w:val="single" w:sz="8" w:space="0" w:color="B8CCE4"/>
            </w:tcBorders>
            <w:vAlign w:val="center"/>
            <w:hideMark/>
          </w:tcPr>
          <w:p w14:paraId="7B33292B"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Planifikimi, Menaxhimi dhe Administrimi</w:t>
            </w:r>
          </w:p>
        </w:tc>
        <w:tc>
          <w:tcPr>
            <w:tcW w:w="867" w:type="dxa"/>
            <w:tcBorders>
              <w:top w:val="nil"/>
              <w:left w:val="nil"/>
              <w:bottom w:val="single" w:sz="8" w:space="0" w:color="B8CCE4"/>
              <w:right w:val="single" w:sz="8" w:space="0" w:color="B8CCE4"/>
            </w:tcBorders>
            <w:vAlign w:val="center"/>
            <w:hideMark/>
          </w:tcPr>
          <w:p w14:paraId="74BF4A4F"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338,490 </w:t>
            </w:r>
          </w:p>
        </w:tc>
        <w:tc>
          <w:tcPr>
            <w:tcW w:w="871" w:type="dxa"/>
            <w:tcBorders>
              <w:top w:val="nil"/>
              <w:left w:val="nil"/>
              <w:bottom w:val="single" w:sz="8" w:space="0" w:color="B8CCE4"/>
              <w:right w:val="single" w:sz="8" w:space="0" w:color="B8CCE4"/>
            </w:tcBorders>
            <w:vAlign w:val="center"/>
            <w:hideMark/>
          </w:tcPr>
          <w:p w14:paraId="6992A3EB"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260,000 </w:t>
            </w:r>
          </w:p>
        </w:tc>
        <w:tc>
          <w:tcPr>
            <w:tcW w:w="867" w:type="dxa"/>
            <w:tcBorders>
              <w:top w:val="nil"/>
              <w:left w:val="nil"/>
              <w:bottom w:val="single" w:sz="8" w:space="0" w:color="B8CCE4"/>
              <w:right w:val="single" w:sz="8" w:space="0" w:color="B8CCE4"/>
            </w:tcBorders>
            <w:vAlign w:val="center"/>
            <w:hideMark/>
          </w:tcPr>
          <w:p w14:paraId="39A76BE0"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290,890 </w:t>
            </w:r>
          </w:p>
        </w:tc>
        <w:tc>
          <w:tcPr>
            <w:tcW w:w="950" w:type="dxa"/>
            <w:tcBorders>
              <w:top w:val="nil"/>
              <w:left w:val="nil"/>
              <w:bottom w:val="single" w:sz="8" w:space="0" w:color="B8CCE4"/>
              <w:right w:val="single" w:sz="8" w:space="0" w:color="B8CCE4"/>
            </w:tcBorders>
            <w:vAlign w:val="center"/>
            <w:hideMark/>
          </w:tcPr>
          <w:p w14:paraId="66E253BA"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5,100 </w:t>
            </w:r>
          </w:p>
        </w:tc>
        <w:tc>
          <w:tcPr>
            <w:tcW w:w="1041" w:type="dxa"/>
            <w:tcBorders>
              <w:top w:val="nil"/>
              <w:left w:val="nil"/>
              <w:bottom w:val="single" w:sz="8" w:space="0" w:color="B8CCE4"/>
              <w:right w:val="single" w:sz="8" w:space="0" w:color="B8CCE4"/>
            </w:tcBorders>
            <w:vAlign w:val="center"/>
            <w:hideMark/>
          </w:tcPr>
          <w:p w14:paraId="13B3013B"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278,882 </w:t>
            </w:r>
          </w:p>
        </w:tc>
        <w:tc>
          <w:tcPr>
            <w:tcW w:w="871" w:type="dxa"/>
            <w:tcBorders>
              <w:top w:val="nil"/>
              <w:left w:val="nil"/>
              <w:bottom w:val="single" w:sz="8" w:space="0" w:color="B8CCE4"/>
              <w:right w:val="single" w:sz="8" w:space="0" w:color="B8CCE4"/>
            </w:tcBorders>
            <w:vAlign w:val="center"/>
            <w:hideMark/>
          </w:tcPr>
          <w:p w14:paraId="5542F52C"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1,542 </w:t>
            </w:r>
          </w:p>
        </w:tc>
        <w:tc>
          <w:tcPr>
            <w:tcW w:w="683" w:type="dxa"/>
            <w:tcBorders>
              <w:top w:val="nil"/>
              <w:left w:val="nil"/>
              <w:bottom w:val="single" w:sz="8" w:space="0" w:color="B8CCE4"/>
              <w:right w:val="single" w:sz="8" w:space="0" w:color="B8CCE4"/>
            </w:tcBorders>
            <w:vAlign w:val="center"/>
            <w:hideMark/>
          </w:tcPr>
          <w:p w14:paraId="04C4706E"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82%</w:t>
            </w:r>
          </w:p>
        </w:tc>
        <w:tc>
          <w:tcPr>
            <w:tcW w:w="655" w:type="dxa"/>
            <w:tcBorders>
              <w:top w:val="nil"/>
              <w:left w:val="nil"/>
              <w:bottom w:val="single" w:sz="8" w:space="0" w:color="B8CCE4"/>
              <w:right w:val="single" w:sz="8" w:space="0" w:color="B8CCE4"/>
            </w:tcBorders>
            <w:vAlign w:val="center"/>
            <w:hideMark/>
          </w:tcPr>
          <w:p w14:paraId="7F19DE76"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1%</w:t>
            </w:r>
          </w:p>
        </w:tc>
        <w:tc>
          <w:tcPr>
            <w:tcW w:w="720" w:type="dxa"/>
            <w:tcBorders>
              <w:top w:val="nil"/>
              <w:left w:val="nil"/>
              <w:bottom w:val="single" w:sz="8" w:space="0" w:color="B8CCE4"/>
              <w:right w:val="single" w:sz="8" w:space="0" w:color="B8CCE4"/>
            </w:tcBorders>
            <w:vAlign w:val="center"/>
            <w:hideMark/>
          </w:tcPr>
          <w:p w14:paraId="1E783F0B"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96%</w:t>
            </w:r>
          </w:p>
        </w:tc>
        <w:tc>
          <w:tcPr>
            <w:tcW w:w="624" w:type="dxa"/>
            <w:tcBorders>
              <w:top w:val="nil"/>
              <w:left w:val="nil"/>
              <w:bottom w:val="single" w:sz="8" w:space="0" w:color="B8CCE4"/>
              <w:right w:val="single" w:sz="8" w:space="0" w:color="B8CCE4"/>
            </w:tcBorders>
            <w:vAlign w:val="center"/>
            <w:hideMark/>
          </w:tcPr>
          <w:p w14:paraId="06174B50"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30%</w:t>
            </w:r>
          </w:p>
        </w:tc>
      </w:tr>
      <w:tr w:rsidR="00C156A0" w:rsidRPr="00C156A0" w14:paraId="08316B64" w14:textId="77777777" w:rsidTr="00031E3C">
        <w:trPr>
          <w:trHeight w:val="300"/>
        </w:trPr>
        <w:tc>
          <w:tcPr>
            <w:tcW w:w="1841" w:type="dxa"/>
            <w:tcBorders>
              <w:top w:val="nil"/>
              <w:left w:val="single" w:sz="8" w:space="0" w:color="B8CCE4"/>
              <w:bottom w:val="single" w:sz="8" w:space="0" w:color="B8CCE4"/>
              <w:right w:val="single" w:sz="8" w:space="0" w:color="B8CCE4"/>
            </w:tcBorders>
            <w:vAlign w:val="center"/>
            <w:hideMark/>
          </w:tcPr>
          <w:p w14:paraId="0B75433C"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Mbështetje diplomatike jashtë shtetit</w:t>
            </w:r>
          </w:p>
        </w:tc>
        <w:tc>
          <w:tcPr>
            <w:tcW w:w="867" w:type="dxa"/>
            <w:tcBorders>
              <w:top w:val="nil"/>
              <w:left w:val="nil"/>
              <w:bottom w:val="single" w:sz="8" w:space="0" w:color="B8CCE4"/>
              <w:right w:val="single" w:sz="8" w:space="0" w:color="B8CCE4"/>
            </w:tcBorders>
            <w:vAlign w:val="center"/>
            <w:hideMark/>
          </w:tcPr>
          <w:p w14:paraId="2CA0FA1D"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2,907,230 </w:t>
            </w:r>
          </w:p>
        </w:tc>
        <w:tc>
          <w:tcPr>
            <w:tcW w:w="871" w:type="dxa"/>
            <w:tcBorders>
              <w:top w:val="nil"/>
              <w:left w:val="nil"/>
              <w:bottom w:val="single" w:sz="8" w:space="0" w:color="B8CCE4"/>
              <w:right w:val="single" w:sz="8" w:space="0" w:color="B8CCE4"/>
            </w:tcBorders>
            <w:vAlign w:val="center"/>
            <w:hideMark/>
          </w:tcPr>
          <w:p w14:paraId="36A7EF8C"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50,000 </w:t>
            </w:r>
          </w:p>
        </w:tc>
        <w:tc>
          <w:tcPr>
            <w:tcW w:w="867" w:type="dxa"/>
            <w:tcBorders>
              <w:top w:val="nil"/>
              <w:left w:val="nil"/>
              <w:bottom w:val="single" w:sz="8" w:space="0" w:color="B8CCE4"/>
              <w:right w:val="single" w:sz="8" w:space="0" w:color="B8CCE4"/>
            </w:tcBorders>
            <w:vAlign w:val="center"/>
            <w:hideMark/>
          </w:tcPr>
          <w:p w14:paraId="639D8C7F"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2,612,230 </w:t>
            </w:r>
          </w:p>
        </w:tc>
        <w:tc>
          <w:tcPr>
            <w:tcW w:w="950" w:type="dxa"/>
            <w:tcBorders>
              <w:top w:val="nil"/>
              <w:left w:val="nil"/>
              <w:bottom w:val="single" w:sz="8" w:space="0" w:color="B8CCE4"/>
              <w:right w:val="single" w:sz="8" w:space="0" w:color="B8CCE4"/>
            </w:tcBorders>
            <w:vAlign w:val="center"/>
            <w:hideMark/>
          </w:tcPr>
          <w:p w14:paraId="2E23DEA5"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601,000 </w:t>
            </w:r>
          </w:p>
        </w:tc>
        <w:tc>
          <w:tcPr>
            <w:tcW w:w="1041" w:type="dxa"/>
            <w:tcBorders>
              <w:top w:val="nil"/>
              <w:left w:val="nil"/>
              <w:bottom w:val="single" w:sz="8" w:space="0" w:color="B8CCE4"/>
              <w:right w:val="single" w:sz="8" w:space="0" w:color="B8CCE4"/>
            </w:tcBorders>
            <w:vAlign w:val="center"/>
            <w:hideMark/>
          </w:tcPr>
          <w:p w14:paraId="3121391B"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2,349,131 </w:t>
            </w:r>
          </w:p>
        </w:tc>
        <w:tc>
          <w:tcPr>
            <w:tcW w:w="871" w:type="dxa"/>
            <w:tcBorders>
              <w:top w:val="nil"/>
              <w:left w:val="nil"/>
              <w:bottom w:val="single" w:sz="8" w:space="0" w:color="B8CCE4"/>
              <w:right w:val="single" w:sz="8" w:space="0" w:color="B8CCE4"/>
            </w:tcBorders>
            <w:vAlign w:val="center"/>
            <w:hideMark/>
          </w:tcPr>
          <w:p w14:paraId="6298A07E"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597,452 </w:t>
            </w:r>
          </w:p>
        </w:tc>
        <w:tc>
          <w:tcPr>
            <w:tcW w:w="683" w:type="dxa"/>
            <w:tcBorders>
              <w:top w:val="nil"/>
              <w:left w:val="nil"/>
              <w:bottom w:val="single" w:sz="8" w:space="0" w:color="B8CCE4"/>
              <w:right w:val="single" w:sz="8" w:space="0" w:color="B8CCE4"/>
            </w:tcBorders>
            <w:vAlign w:val="center"/>
            <w:hideMark/>
          </w:tcPr>
          <w:p w14:paraId="1451D9E4"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81%</w:t>
            </w:r>
          </w:p>
        </w:tc>
        <w:tc>
          <w:tcPr>
            <w:tcW w:w="655" w:type="dxa"/>
            <w:tcBorders>
              <w:top w:val="nil"/>
              <w:left w:val="nil"/>
              <w:bottom w:val="single" w:sz="8" w:space="0" w:color="B8CCE4"/>
              <w:right w:val="single" w:sz="8" w:space="0" w:color="B8CCE4"/>
            </w:tcBorders>
            <w:vAlign w:val="center"/>
            <w:hideMark/>
          </w:tcPr>
          <w:p w14:paraId="2320CAAF"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1195%</w:t>
            </w:r>
          </w:p>
        </w:tc>
        <w:tc>
          <w:tcPr>
            <w:tcW w:w="720" w:type="dxa"/>
            <w:tcBorders>
              <w:top w:val="nil"/>
              <w:left w:val="nil"/>
              <w:bottom w:val="single" w:sz="8" w:space="0" w:color="B8CCE4"/>
              <w:right w:val="single" w:sz="8" w:space="0" w:color="B8CCE4"/>
            </w:tcBorders>
            <w:vAlign w:val="center"/>
            <w:hideMark/>
          </w:tcPr>
          <w:p w14:paraId="3C0C60A9"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90%</w:t>
            </w:r>
          </w:p>
        </w:tc>
        <w:tc>
          <w:tcPr>
            <w:tcW w:w="624" w:type="dxa"/>
            <w:tcBorders>
              <w:top w:val="nil"/>
              <w:left w:val="nil"/>
              <w:bottom w:val="single" w:sz="8" w:space="0" w:color="B8CCE4"/>
              <w:right w:val="single" w:sz="8" w:space="0" w:color="B8CCE4"/>
            </w:tcBorders>
            <w:vAlign w:val="center"/>
            <w:hideMark/>
          </w:tcPr>
          <w:p w14:paraId="41E4F901"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99%</w:t>
            </w:r>
          </w:p>
        </w:tc>
      </w:tr>
      <w:tr w:rsidR="00C156A0" w:rsidRPr="00C156A0" w14:paraId="562891B6" w14:textId="77777777" w:rsidTr="00031E3C">
        <w:trPr>
          <w:trHeight w:val="465"/>
        </w:trPr>
        <w:tc>
          <w:tcPr>
            <w:tcW w:w="1841" w:type="dxa"/>
            <w:tcBorders>
              <w:top w:val="nil"/>
              <w:left w:val="single" w:sz="8" w:space="0" w:color="B8CCE4"/>
              <w:bottom w:val="single" w:sz="8" w:space="0" w:color="B8CCE4"/>
              <w:right w:val="single" w:sz="8" w:space="0" w:color="B8CCE4"/>
            </w:tcBorders>
            <w:vAlign w:val="center"/>
            <w:hideMark/>
          </w:tcPr>
          <w:p w14:paraId="6AF18E80" w14:textId="77777777" w:rsidR="00C156A0" w:rsidRPr="00C156A0" w:rsidRDefault="00C156A0" w:rsidP="009C048C">
            <w:pPr>
              <w:spacing w:before="0" w:line="240" w:lineRule="auto"/>
              <w:jc w:val="left"/>
              <w:rPr>
                <w:rFonts w:cs="Calibri"/>
                <w:b/>
                <w:bCs/>
                <w:color w:val="000000"/>
                <w:sz w:val="16"/>
                <w:szCs w:val="16"/>
                <w:lang w:val="sq-AL" w:eastAsia="en-GB"/>
              </w:rPr>
            </w:pPr>
            <w:r w:rsidRPr="00C156A0">
              <w:rPr>
                <w:rFonts w:cs="Calibri"/>
                <w:b/>
                <w:bCs/>
                <w:color w:val="000000"/>
                <w:sz w:val="16"/>
                <w:szCs w:val="16"/>
                <w:lang w:val="sq-AL" w:eastAsia="en-GB"/>
              </w:rPr>
              <w:t>Aktiviteti diplomatik dhe konsullor i MPJ</w:t>
            </w:r>
          </w:p>
        </w:tc>
        <w:tc>
          <w:tcPr>
            <w:tcW w:w="867" w:type="dxa"/>
            <w:tcBorders>
              <w:top w:val="nil"/>
              <w:left w:val="nil"/>
              <w:bottom w:val="single" w:sz="8" w:space="0" w:color="B8CCE4"/>
              <w:right w:val="single" w:sz="8" w:space="0" w:color="B8CCE4"/>
            </w:tcBorders>
            <w:vAlign w:val="center"/>
            <w:hideMark/>
          </w:tcPr>
          <w:p w14:paraId="4FF4C706"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318,580 </w:t>
            </w:r>
          </w:p>
        </w:tc>
        <w:tc>
          <w:tcPr>
            <w:tcW w:w="871" w:type="dxa"/>
            <w:tcBorders>
              <w:top w:val="nil"/>
              <w:left w:val="nil"/>
              <w:bottom w:val="single" w:sz="8" w:space="0" w:color="B8CCE4"/>
              <w:right w:val="single" w:sz="8" w:space="0" w:color="B8CCE4"/>
            </w:tcBorders>
            <w:vAlign w:val="center"/>
            <w:hideMark/>
          </w:tcPr>
          <w:p w14:paraId="7C841B33"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 xml:space="preserve">                     -   </w:t>
            </w:r>
          </w:p>
        </w:tc>
        <w:tc>
          <w:tcPr>
            <w:tcW w:w="867" w:type="dxa"/>
            <w:tcBorders>
              <w:top w:val="nil"/>
              <w:left w:val="nil"/>
              <w:bottom w:val="single" w:sz="8" w:space="0" w:color="B8CCE4"/>
              <w:right w:val="single" w:sz="8" w:space="0" w:color="B8CCE4"/>
            </w:tcBorders>
            <w:vAlign w:val="center"/>
            <w:hideMark/>
          </w:tcPr>
          <w:p w14:paraId="7314748D"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301,580 </w:t>
            </w:r>
          </w:p>
        </w:tc>
        <w:tc>
          <w:tcPr>
            <w:tcW w:w="950" w:type="dxa"/>
            <w:tcBorders>
              <w:top w:val="nil"/>
              <w:left w:val="nil"/>
              <w:bottom w:val="single" w:sz="8" w:space="0" w:color="B8CCE4"/>
              <w:right w:val="single" w:sz="8" w:space="0" w:color="B8CCE4"/>
            </w:tcBorders>
            <w:vAlign w:val="center"/>
            <w:hideMark/>
          </w:tcPr>
          <w:p w14:paraId="72C83D54"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 xml:space="preserve">                      -   </w:t>
            </w:r>
          </w:p>
        </w:tc>
        <w:tc>
          <w:tcPr>
            <w:tcW w:w="1041" w:type="dxa"/>
            <w:tcBorders>
              <w:top w:val="nil"/>
              <w:left w:val="nil"/>
              <w:bottom w:val="single" w:sz="8" w:space="0" w:color="B8CCE4"/>
              <w:right w:val="single" w:sz="8" w:space="0" w:color="B8CCE4"/>
            </w:tcBorders>
            <w:vAlign w:val="center"/>
            <w:hideMark/>
          </w:tcPr>
          <w:p w14:paraId="06E5C651" w14:textId="77777777" w:rsidR="00C156A0" w:rsidRPr="00031E3C" w:rsidRDefault="00C156A0" w:rsidP="00C156A0">
            <w:pPr>
              <w:spacing w:before="0" w:line="240" w:lineRule="auto"/>
              <w:jc w:val="right"/>
              <w:rPr>
                <w:rFonts w:cs="Calibri"/>
                <w:color w:val="000000"/>
                <w:sz w:val="16"/>
                <w:szCs w:val="16"/>
                <w:lang w:val="sq-AL" w:eastAsia="en-GB"/>
              </w:rPr>
            </w:pPr>
            <w:r w:rsidRPr="00031E3C">
              <w:rPr>
                <w:rFonts w:cs="Calibri"/>
                <w:color w:val="000000"/>
                <w:sz w:val="16"/>
                <w:szCs w:val="16"/>
                <w:lang w:val="sq-AL" w:eastAsia="en-GB"/>
              </w:rPr>
              <w:t xml:space="preserve">        299,648 </w:t>
            </w:r>
          </w:p>
        </w:tc>
        <w:tc>
          <w:tcPr>
            <w:tcW w:w="871" w:type="dxa"/>
            <w:tcBorders>
              <w:top w:val="nil"/>
              <w:left w:val="nil"/>
              <w:bottom w:val="single" w:sz="8" w:space="0" w:color="B8CCE4"/>
              <w:right w:val="single" w:sz="8" w:space="0" w:color="B8CCE4"/>
            </w:tcBorders>
            <w:vAlign w:val="center"/>
            <w:hideMark/>
          </w:tcPr>
          <w:p w14:paraId="37F5BC36"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 xml:space="preserve">                     -   </w:t>
            </w:r>
          </w:p>
        </w:tc>
        <w:tc>
          <w:tcPr>
            <w:tcW w:w="683" w:type="dxa"/>
            <w:tcBorders>
              <w:top w:val="nil"/>
              <w:left w:val="nil"/>
              <w:bottom w:val="single" w:sz="8" w:space="0" w:color="B8CCE4"/>
              <w:right w:val="single" w:sz="8" w:space="0" w:color="B8CCE4"/>
            </w:tcBorders>
            <w:vAlign w:val="center"/>
            <w:hideMark/>
          </w:tcPr>
          <w:p w14:paraId="69423297"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94%</w:t>
            </w:r>
          </w:p>
        </w:tc>
        <w:tc>
          <w:tcPr>
            <w:tcW w:w="655" w:type="dxa"/>
            <w:tcBorders>
              <w:top w:val="nil"/>
              <w:left w:val="nil"/>
              <w:bottom w:val="single" w:sz="8" w:space="0" w:color="B8CCE4"/>
              <w:right w:val="single" w:sz="8" w:space="0" w:color="B8CCE4"/>
            </w:tcBorders>
            <w:vAlign w:val="center"/>
            <w:hideMark/>
          </w:tcPr>
          <w:p w14:paraId="2B9BB5EE"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w:t>
            </w:r>
          </w:p>
        </w:tc>
        <w:tc>
          <w:tcPr>
            <w:tcW w:w="720" w:type="dxa"/>
            <w:tcBorders>
              <w:top w:val="nil"/>
              <w:left w:val="nil"/>
              <w:bottom w:val="single" w:sz="8" w:space="0" w:color="B8CCE4"/>
              <w:right w:val="single" w:sz="8" w:space="0" w:color="B8CCE4"/>
            </w:tcBorders>
            <w:vAlign w:val="center"/>
            <w:hideMark/>
          </w:tcPr>
          <w:p w14:paraId="0F9F3498"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99%</w:t>
            </w:r>
          </w:p>
        </w:tc>
        <w:tc>
          <w:tcPr>
            <w:tcW w:w="624" w:type="dxa"/>
            <w:tcBorders>
              <w:top w:val="nil"/>
              <w:left w:val="nil"/>
              <w:bottom w:val="single" w:sz="8" w:space="0" w:color="B8CCE4"/>
              <w:right w:val="single" w:sz="8" w:space="0" w:color="B8CCE4"/>
            </w:tcBorders>
            <w:vAlign w:val="center"/>
            <w:hideMark/>
          </w:tcPr>
          <w:p w14:paraId="69B1697B" w14:textId="77777777" w:rsidR="00C156A0" w:rsidRPr="00031E3C" w:rsidRDefault="00C156A0" w:rsidP="00C156A0">
            <w:pPr>
              <w:spacing w:before="0" w:line="240" w:lineRule="auto"/>
              <w:jc w:val="center"/>
              <w:rPr>
                <w:rFonts w:cs="Calibri"/>
                <w:color w:val="000000"/>
                <w:sz w:val="16"/>
                <w:szCs w:val="16"/>
                <w:lang w:val="sq-AL" w:eastAsia="en-GB"/>
              </w:rPr>
            </w:pPr>
            <w:r w:rsidRPr="00031E3C">
              <w:rPr>
                <w:rFonts w:cs="Calibri"/>
                <w:color w:val="000000"/>
                <w:sz w:val="16"/>
                <w:szCs w:val="16"/>
                <w:lang w:val="sq-AL" w:eastAsia="en-GB"/>
              </w:rPr>
              <w:t>-</w:t>
            </w:r>
          </w:p>
        </w:tc>
      </w:tr>
      <w:tr w:rsidR="00C156A0" w:rsidRPr="00C156A0" w14:paraId="1D2ABA0C" w14:textId="77777777" w:rsidTr="00031E3C">
        <w:trPr>
          <w:trHeight w:val="300"/>
        </w:trPr>
        <w:tc>
          <w:tcPr>
            <w:tcW w:w="1841" w:type="dxa"/>
            <w:tcBorders>
              <w:top w:val="nil"/>
              <w:left w:val="nil"/>
              <w:bottom w:val="single" w:sz="8" w:space="0" w:color="B8CCE4"/>
              <w:right w:val="single" w:sz="8" w:space="0" w:color="B8CCE4"/>
            </w:tcBorders>
            <w:shd w:val="clear" w:color="000000" w:fill="366092"/>
            <w:vAlign w:val="center"/>
            <w:hideMark/>
          </w:tcPr>
          <w:p w14:paraId="6D6AE0E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Totali sipas natyrës</w:t>
            </w:r>
          </w:p>
        </w:tc>
        <w:tc>
          <w:tcPr>
            <w:tcW w:w="867" w:type="dxa"/>
            <w:tcBorders>
              <w:top w:val="nil"/>
              <w:left w:val="nil"/>
              <w:bottom w:val="single" w:sz="8" w:space="0" w:color="B8CCE4"/>
              <w:right w:val="single" w:sz="8" w:space="0" w:color="B8CCE4"/>
            </w:tcBorders>
            <w:shd w:val="clear" w:color="000000" w:fill="366092"/>
            <w:vAlign w:val="center"/>
            <w:hideMark/>
          </w:tcPr>
          <w:p w14:paraId="3842424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3,564,300</w:t>
            </w:r>
          </w:p>
        </w:tc>
        <w:tc>
          <w:tcPr>
            <w:tcW w:w="871" w:type="dxa"/>
            <w:tcBorders>
              <w:top w:val="nil"/>
              <w:left w:val="nil"/>
              <w:bottom w:val="single" w:sz="8" w:space="0" w:color="B8CCE4"/>
              <w:right w:val="single" w:sz="8" w:space="0" w:color="B8CCE4"/>
            </w:tcBorders>
            <w:shd w:val="clear" w:color="000000" w:fill="366092"/>
            <w:vAlign w:val="center"/>
            <w:hideMark/>
          </w:tcPr>
          <w:p w14:paraId="60F5612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310,000</w:t>
            </w:r>
          </w:p>
        </w:tc>
        <w:tc>
          <w:tcPr>
            <w:tcW w:w="867" w:type="dxa"/>
            <w:tcBorders>
              <w:top w:val="nil"/>
              <w:left w:val="nil"/>
              <w:bottom w:val="single" w:sz="8" w:space="0" w:color="B8CCE4"/>
              <w:right w:val="single" w:sz="8" w:space="0" w:color="B8CCE4"/>
            </w:tcBorders>
            <w:shd w:val="clear" w:color="000000" w:fill="366092"/>
            <w:vAlign w:val="center"/>
            <w:hideMark/>
          </w:tcPr>
          <w:p w14:paraId="409CFA5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3,204,700</w:t>
            </w:r>
          </w:p>
        </w:tc>
        <w:tc>
          <w:tcPr>
            <w:tcW w:w="950" w:type="dxa"/>
            <w:tcBorders>
              <w:top w:val="nil"/>
              <w:left w:val="nil"/>
              <w:bottom w:val="single" w:sz="8" w:space="0" w:color="B8CCE4"/>
              <w:right w:val="single" w:sz="8" w:space="0" w:color="B8CCE4"/>
            </w:tcBorders>
            <w:shd w:val="clear" w:color="000000" w:fill="366092"/>
            <w:vAlign w:val="center"/>
            <w:hideMark/>
          </w:tcPr>
          <w:p w14:paraId="613BFDDE"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606,100</w:t>
            </w:r>
          </w:p>
        </w:tc>
        <w:tc>
          <w:tcPr>
            <w:tcW w:w="1041" w:type="dxa"/>
            <w:tcBorders>
              <w:top w:val="nil"/>
              <w:left w:val="nil"/>
              <w:bottom w:val="single" w:sz="8" w:space="0" w:color="B8CCE4"/>
              <w:right w:val="single" w:sz="8" w:space="0" w:color="B8CCE4"/>
            </w:tcBorders>
            <w:shd w:val="clear" w:color="000000" w:fill="366092"/>
            <w:vAlign w:val="center"/>
            <w:hideMark/>
          </w:tcPr>
          <w:p w14:paraId="558724EF"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2,927,661</w:t>
            </w:r>
          </w:p>
        </w:tc>
        <w:tc>
          <w:tcPr>
            <w:tcW w:w="871" w:type="dxa"/>
            <w:tcBorders>
              <w:top w:val="nil"/>
              <w:left w:val="nil"/>
              <w:bottom w:val="single" w:sz="8" w:space="0" w:color="B8CCE4"/>
              <w:right w:val="single" w:sz="8" w:space="0" w:color="B8CCE4"/>
            </w:tcBorders>
            <w:shd w:val="clear" w:color="000000" w:fill="366092"/>
            <w:vAlign w:val="center"/>
            <w:hideMark/>
          </w:tcPr>
          <w:p w14:paraId="3CA0C542"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598,995</w:t>
            </w:r>
          </w:p>
        </w:tc>
        <w:tc>
          <w:tcPr>
            <w:tcW w:w="683" w:type="dxa"/>
            <w:tcBorders>
              <w:top w:val="nil"/>
              <w:left w:val="nil"/>
              <w:bottom w:val="single" w:sz="8" w:space="0" w:color="B8CCE4"/>
              <w:right w:val="single" w:sz="8" w:space="0" w:color="B8CCE4"/>
            </w:tcBorders>
            <w:shd w:val="clear" w:color="000000" w:fill="366092"/>
            <w:vAlign w:val="center"/>
            <w:hideMark/>
          </w:tcPr>
          <w:p w14:paraId="7EBC460C"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82%</w:t>
            </w:r>
          </w:p>
        </w:tc>
        <w:tc>
          <w:tcPr>
            <w:tcW w:w="655" w:type="dxa"/>
            <w:tcBorders>
              <w:top w:val="nil"/>
              <w:left w:val="nil"/>
              <w:bottom w:val="single" w:sz="8" w:space="0" w:color="B8CCE4"/>
              <w:right w:val="single" w:sz="8" w:space="0" w:color="B8CCE4"/>
            </w:tcBorders>
            <w:shd w:val="clear" w:color="000000" w:fill="366092"/>
            <w:vAlign w:val="center"/>
            <w:hideMark/>
          </w:tcPr>
          <w:p w14:paraId="17D828BB"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99%</w:t>
            </w:r>
          </w:p>
        </w:tc>
        <w:tc>
          <w:tcPr>
            <w:tcW w:w="720" w:type="dxa"/>
            <w:tcBorders>
              <w:top w:val="nil"/>
              <w:left w:val="nil"/>
              <w:bottom w:val="single" w:sz="8" w:space="0" w:color="B8CCE4"/>
              <w:right w:val="single" w:sz="8" w:space="0" w:color="B8CCE4"/>
            </w:tcBorders>
            <w:shd w:val="clear" w:color="000000" w:fill="366092"/>
            <w:vAlign w:val="center"/>
            <w:hideMark/>
          </w:tcPr>
          <w:p w14:paraId="5A9F56D6"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91%</w:t>
            </w:r>
          </w:p>
        </w:tc>
        <w:tc>
          <w:tcPr>
            <w:tcW w:w="624" w:type="dxa"/>
            <w:tcBorders>
              <w:top w:val="nil"/>
              <w:left w:val="nil"/>
              <w:bottom w:val="single" w:sz="8" w:space="0" w:color="B8CCE4"/>
              <w:right w:val="single" w:sz="8" w:space="0" w:color="B8CCE4"/>
            </w:tcBorders>
            <w:shd w:val="clear" w:color="000000" w:fill="366092"/>
            <w:vAlign w:val="center"/>
            <w:hideMark/>
          </w:tcPr>
          <w:p w14:paraId="2DD345D5"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99%</w:t>
            </w:r>
          </w:p>
        </w:tc>
      </w:tr>
      <w:tr w:rsidR="00C156A0" w:rsidRPr="00C156A0" w14:paraId="4B890CEA" w14:textId="77777777" w:rsidTr="00031E3C">
        <w:trPr>
          <w:trHeight w:val="315"/>
        </w:trPr>
        <w:tc>
          <w:tcPr>
            <w:tcW w:w="1841" w:type="dxa"/>
            <w:tcBorders>
              <w:top w:val="nil"/>
              <w:left w:val="single" w:sz="8" w:space="0" w:color="B8CCE4"/>
              <w:bottom w:val="single" w:sz="8" w:space="0" w:color="B8CCE4"/>
              <w:right w:val="single" w:sz="8" w:space="0" w:color="B8CCE4"/>
            </w:tcBorders>
            <w:shd w:val="clear" w:color="000000" w:fill="365F91"/>
            <w:vAlign w:val="center"/>
            <w:hideMark/>
          </w:tcPr>
          <w:p w14:paraId="0B3024A5"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Totali</w:t>
            </w:r>
          </w:p>
        </w:tc>
        <w:tc>
          <w:tcPr>
            <w:tcW w:w="1738"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0FA8FF4"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3,874,300</w:t>
            </w:r>
          </w:p>
        </w:tc>
        <w:tc>
          <w:tcPr>
            <w:tcW w:w="1817"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7715E74"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3,810,800</w:t>
            </w:r>
          </w:p>
        </w:tc>
        <w:tc>
          <w:tcPr>
            <w:tcW w:w="1912"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34167AD"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3,526,656</w:t>
            </w:r>
          </w:p>
        </w:tc>
        <w:tc>
          <w:tcPr>
            <w:tcW w:w="1338"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4F332207"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91%</w:t>
            </w:r>
          </w:p>
        </w:tc>
        <w:tc>
          <w:tcPr>
            <w:tcW w:w="1344"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77AD39A3" w14:textId="77777777" w:rsidR="00C156A0" w:rsidRPr="00C156A0" w:rsidRDefault="00C156A0" w:rsidP="00C156A0">
            <w:pPr>
              <w:spacing w:before="0" w:line="240" w:lineRule="auto"/>
              <w:jc w:val="center"/>
              <w:rPr>
                <w:rFonts w:cs="Calibri"/>
                <w:b/>
                <w:bCs/>
                <w:color w:val="FFFFFF"/>
                <w:sz w:val="16"/>
                <w:szCs w:val="16"/>
                <w:lang w:val="sq-AL" w:eastAsia="en-GB"/>
              </w:rPr>
            </w:pPr>
            <w:r w:rsidRPr="00C156A0">
              <w:rPr>
                <w:rFonts w:cs="Calibri"/>
                <w:b/>
                <w:bCs/>
                <w:color w:val="FFFFFF"/>
                <w:sz w:val="16"/>
                <w:szCs w:val="16"/>
                <w:lang w:val="sq-AL" w:eastAsia="en-GB"/>
              </w:rPr>
              <w:t>93%</w:t>
            </w:r>
          </w:p>
        </w:tc>
      </w:tr>
    </w:tbl>
    <w:p w14:paraId="22619580" w14:textId="6FA0C6D7" w:rsidR="00C156A0" w:rsidRPr="00C156A0" w:rsidRDefault="00C156A0" w:rsidP="00C156A0">
      <w:pPr>
        <w:spacing w:line="240" w:lineRule="auto"/>
        <w:rPr>
          <w:lang w:val="sq-AL"/>
        </w:rPr>
      </w:pPr>
      <w:r w:rsidRPr="00C156A0">
        <w:rPr>
          <w:lang w:val="sq-AL"/>
        </w:rPr>
        <w:t xml:space="preserve">Buxheti vjetor i Ministrisë për Evropën dhe Punët e Jashtme u rishikua me një ulje të lehte prej 1.6% gjatë vitit 2025. Realizimi faktik ishte 3.5 </w:t>
      </w:r>
      <w:r w:rsidR="0056260B">
        <w:rPr>
          <w:lang w:val="sq-AL"/>
        </w:rPr>
        <w:t>miliardë</w:t>
      </w:r>
      <w:r w:rsidRPr="00C156A0">
        <w:rPr>
          <w:lang w:val="sq-AL"/>
        </w:rPr>
        <w:t xml:space="preserve"> LEK ose 91% e buxhetit fillestar dhe 93% e buxhetit të rishikuar. Realizimi i shpenzimeve korente krahasuar me planin fillesara ishte 82% dhe i shpenzimeve për investime 99%. Ndërsa realizimi i shpenzimeve korente rezultoi 91% dhe 99% e shpenzimeve kapitale krahasuar me planin e rishikuar.</w:t>
      </w:r>
    </w:p>
    <w:p w14:paraId="7F891E1F" w14:textId="4053EC7C" w:rsidR="00F409F4" w:rsidRDefault="00C156A0" w:rsidP="00C156A0">
      <w:pPr>
        <w:spacing w:line="240" w:lineRule="auto"/>
        <w:rPr>
          <w:lang w:val="sq-AL"/>
        </w:rPr>
      </w:pPr>
      <w:r w:rsidRPr="00F409F4">
        <w:rPr>
          <w:lang w:val="sq-AL"/>
        </w:rPr>
        <w:t xml:space="preserve">Programi </w:t>
      </w:r>
      <w:r w:rsidRPr="00F409F4">
        <w:rPr>
          <w:b/>
          <w:bCs/>
          <w:lang w:val="sq-AL"/>
        </w:rPr>
        <w:t>“Mbështetje diplomatike jashtë shtetit”</w:t>
      </w:r>
      <w:r w:rsidRPr="00F409F4">
        <w:rPr>
          <w:lang w:val="sq-AL"/>
        </w:rPr>
        <w:t xml:space="preserve">, zë vendin kryesor në realizimin e shpenzimeve për MEPJ me një vlerë prej 2.3 </w:t>
      </w:r>
      <w:r w:rsidR="0056260B">
        <w:rPr>
          <w:lang w:val="sq-AL"/>
        </w:rPr>
        <w:t>miliardë</w:t>
      </w:r>
      <w:r w:rsidRPr="00F409F4">
        <w:rPr>
          <w:lang w:val="sq-AL"/>
        </w:rPr>
        <w:t xml:space="preserve"> LEK. </w:t>
      </w:r>
    </w:p>
    <w:p w14:paraId="14B10228" w14:textId="168FC75E" w:rsidR="00C156A0" w:rsidRPr="00F409F4" w:rsidRDefault="00C156A0" w:rsidP="00C156A0">
      <w:pPr>
        <w:spacing w:line="240" w:lineRule="auto"/>
        <w:rPr>
          <w:lang w:val="sq-AL"/>
        </w:rPr>
      </w:pPr>
      <w:r w:rsidRPr="00F409F4">
        <w:rPr>
          <w:lang w:val="sq-AL"/>
        </w:rPr>
        <w:t>Në përmbushje të objektivave të këtij programi gjatë vitit 202</w:t>
      </w:r>
      <w:r w:rsidR="00811906">
        <w:rPr>
          <w:lang w:val="sq-AL"/>
        </w:rPr>
        <w:t>5</w:t>
      </w:r>
      <w:r w:rsidRPr="00F409F4">
        <w:rPr>
          <w:lang w:val="sq-AL"/>
        </w:rPr>
        <w:t>, janë realizuar aktivitetet si mëposhtë:</w:t>
      </w:r>
    </w:p>
    <w:p w14:paraId="65AC63EA" w14:textId="2D1C2079" w:rsidR="00C156A0" w:rsidRPr="00C95685" w:rsidRDefault="00C156A0">
      <w:pPr>
        <w:pStyle w:val="ListParagraph"/>
        <w:numPr>
          <w:ilvl w:val="0"/>
          <w:numId w:val="61"/>
        </w:numPr>
        <w:spacing w:before="0" w:line="240" w:lineRule="auto"/>
        <w:rPr>
          <w:i/>
          <w:iCs/>
          <w:szCs w:val="22"/>
          <w:lang w:val="sq-AL"/>
        </w:rPr>
      </w:pPr>
      <w:r w:rsidRPr="00C95685">
        <w:rPr>
          <w:i/>
          <w:iCs/>
          <w:szCs w:val="22"/>
          <w:lang w:val="sq-AL"/>
        </w:rPr>
        <w:t xml:space="preserve">350 punonjës të trajtuar me “Mbështetje e përfaqësive diplomatike dhe konsullore me personel dhe kushte të përshtatshme pune dhe jetese”, me kosto faktike 1.8 </w:t>
      </w:r>
      <w:r w:rsidR="0056260B" w:rsidRPr="00C95685">
        <w:rPr>
          <w:i/>
          <w:iCs/>
          <w:szCs w:val="22"/>
          <w:lang w:val="sq-AL"/>
        </w:rPr>
        <w:t>miliardë</w:t>
      </w:r>
      <w:r w:rsidRPr="00C95685">
        <w:rPr>
          <w:i/>
          <w:iCs/>
          <w:szCs w:val="22"/>
          <w:lang w:val="sq-AL"/>
        </w:rPr>
        <w:t xml:space="preserve"> LEK</w:t>
      </w:r>
      <w:r w:rsidR="00F409F4" w:rsidRPr="00C95685">
        <w:rPr>
          <w:i/>
          <w:iCs/>
          <w:szCs w:val="22"/>
          <w:lang w:val="sq-AL"/>
        </w:rPr>
        <w:t>;</w:t>
      </w:r>
    </w:p>
    <w:p w14:paraId="2181E85E" w14:textId="2C50DB5B" w:rsidR="00C156A0" w:rsidRPr="00C95685" w:rsidRDefault="00C156A0">
      <w:pPr>
        <w:pStyle w:val="ListParagraph"/>
        <w:numPr>
          <w:ilvl w:val="0"/>
          <w:numId w:val="61"/>
        </w:numPr>
        <w:spacing w:before="0" w:line="240" w:lineRule="auto"/>
        <w:rPr>
          <w:i/>
          <w:iCs/>
          <w:szCs w:val="22"/>
          <w:lang w:val="sq-AL"/>
        </w:rPr>
      </w:pPr>
      <w:r w:rsidRPr="00C95685">
        <w:rPr>
          <w:i/>
          <w:iCs/>
          <w:szCs w:val="22"/>
          <w:lang w:val="sq-AL"/>
        </w:rPr>
        <w:t xml:space="preserve">53 “Kuota ndërkombëtare” të paguara ku vendi ynë është palë, si detyrimet ndaj Organizatës së Kombeve të Bashkuara; Misioneve Paqeruajtëse; Frankofonisë; ANEA; UNIDO; UNESCO; Këshilli i Evropës, NATO; OSBE, etj, me kosto faktike 229 </w:t>
      </w:r>
      <w:r w:rsidR="0056260B" w:rsidRPr="00C95685">
        <w:rPr>
          <w:i/>
          <w:iCs/>
          <w:szCs w:val="22"/>
          <w:lang w:val="sq-AL"/>
        </w:rPr>
        <w:t>milionë</w:t>
      </w:r>
      <w:r w:rsidRPr="00C95685">
        <w:rPr>
          <w:i/>
          <w:iCs/>
          <w:szCs w:val="22"/>
          <w:lang w:val="sq-AL"/>
        </w:rPr>
        <w:t xml:space="preserve"> LEK</w:t>
      </w:r>
      <w:r w:rsidR="00F409F4" w:rsidRPr="00C95685">
        <w:rPr>
          <w:i/>
          <w:iCs/>
          <w:szCs w:val="22"/>
          <w:lang w:val="sq-AL"/>
        </w:rPr>
        <w:t>;</w:t>
      </w:r>
    </w:p>
    <w:p w14:paraId="1A2B34A6" w14:textId="4067B602" w:rsidR="00F409F4" w:rsidRPr="00C95685" w:rsidRDefault="00C156A0">
      <w:pPr>
        <w:pStyle w:val="ListParagraph"/>
        <w:numPr>
          <w:ilvl w:val="0"/>
          <w:numId w:val="61"/>
        </w:numPr>
        <w:spacing w:before="0" w:line="240" w:lineRule="auto"/>
        <w:rPr>
          <w:i/>
          <w:iCs/>
          <w:szCs w:val="22"/>
          <w:lang w:val="sq-AL"/>
        </w:rPr>
      </w:pPr>
      <w:r w:rsidRPr="00C95685">
        <w:rPr>
          <w:i/>
          <w:iCs/>
          <w:szCs w:val="22"/>
          <w:lang w:val="sq-AL"/>
        </w:rPr>
        <w:t xml:space="preserve">290 “Familjar të diplomatëve të trajtuar sipas ligjit”, me kosto faktike 71 </w:t>
      </w:r>
      <w:r w:rsidR="0056260B" w:rsidRPr="00C95685">
        <w:rPr>
          <w:i/>
          <w:iCs/>
          <w:szCs w:val="22"/>
          <w:lang w:val="sq-AL"/>
        </w:rPr>
        <w:t>milionë</w:t>
      </w:r>
      <w:r w:rsidRPr="00C95685">
        <w:rPr>
          <w:i/>
          <w:iCs/>
          <w:szCs w:val="22"/>
          <w:lang w:val="sq-AL"/>
        </w:rPr>
        <w:t xml:space="preserve"> LEK</w:t>
      </w:r>
      <w:r w:rsidR="00F409F4" w:rsidRPr="00C95685">
        <w:rPr>
          <w:i/>
          <w:iCs/>
          <w:szCs w:val="22"/>
          <w:lang w:val="sq-AL"/>
        </w:rPr>
        <w:t>.</w:t>
      </w:r>
    </w:p>
    <w:p w14:paraId="406111BE" w14:textId="4F703F50" w:rsidR="00C156A0" w:rsidRPr="00F409F4" w:rsidRDefault="00C156A0" w:rsidP="00AA6664">
      <w:pPr>
        <w:spacing w:line="240" w:lineRule="auto"/>
        <w:rPr>
          <w:lang w:val="sq-AL"/>
        </w:rPr>
      </w:pPr>
      <w:r w:rsidRPr="00F409F4">
        <w:rPr>
          <w:lang w:val="sq-AL"/>
        </w:rPr>
        <w:lastRenderedPageBreak/>
        <w:t xml:space="preserve">Programi </w:t>
      </w:r>
      <w:r w:rsidRPr="00F409F4">
        <w:rPr>
          <w:b/>
          <w:bCs/>
          <w:lang w:val="sq-AL"/>
        </w:rPr>
        <w:t>“Aktiviteti diplomatik dhe konsullor”</w:t>
      </w:r>
      <w:r w:rsidRPr="00F409F4">
        <w:rPr>
          <w:lang w:val="sq-AL"/>
        </w:rPr>
        <w:t xml:space="preserve">, ka për qëllim zgjerimin, intensifikimin, diversifikimin, thellimin dhe pasurimin e marrëdhënieve dypalëshe me vendet fqinje, partnerët strategjikë, në rajon, Europë, dhe vende të tjera të botës. Në këtë program janë realizuar disa produkte me kosto faktike 299.6 </w:t>
      </w:r>
      <w:r w:rsidR="0056260B">
        <w:rPr>
          <w:lang w:val="sq-AL"/>
        </w:rPr>
        <w:t>milionë</w:t>
      </w:r>
      <w:r w:rsidRPr="00F409F4">
        <w:rPr>
          <w:lang w:val="sq-AL"/>
        </w:rPr>
        <w:t xml:space="preserve"> LEK, ku përmendim:</w:t>
      </w:r>
    </w:p>
    <w:p w14:paraId="66F26E7A" w14:textId="625B5C0D" w:rsidR="00C156A0" w:rsidRPr="00C95685" w:rsidRDefault="00C156A0">
      <w:pPr>
        <w:pStyle w:val="ListParagraph"/>
        <w:numPr>
          <w:ilvl w:val="0"/>
          <w:numId w:val="68"/>
        </w:numPr>
        <w:spacing w:before="0" w:line="240" w:lineRule="auto"/>
        <w:rPr>
          <w:i/>
          <w:iCs/>
          <w:szCs w:val="22"/>
          <w:lang w:val="sq-AL"/>
        </w:rPr>
      </w:pPr>
      <w:r w:rsidRPr="00C95685">
        <w:rPr>
          <w:i/>
          <w:iCs/>
          <w:szCs w:val="22"/>
          <w:lang w:val="sq-AL"/>
        </w:rPr>
        <w:t xml:space="preserve">24 akte ligjore dhe nënligjore të hartuara në kuadër të intensifikimit të punës, përpjekjeve dhe koordinimit ndërinstitucional në procesin e përmbushjes së detyrimeve për hapjen e negociatave të anëtarësimit në BE me kosto faktike 204 </w:t>
      </w:r>
      <w:r w:rsidR="0056260B" w:rsidRPr="00C95685">
        <w:rPr>
          <w:i/>
          <w:iCs/>
          <w:szCs w:val="22"/>
          <w:lang w:val="sq-AL"/>
        </w:rPr>
        <w:t>milionë</w:t>
      </w:r>
      <w:r w:rsidRPr="00C95685">
        <w:rPr>
          <w:i/>
          <w:iCs/>
          <w:szCs w:val="22"/>
          <w:lang w:val="sq-AL"/>
        </w:rPr>
        <w:t xml:space="preserve"> LEK</w:t>
      </w:r>
      <w:r w:rsidR="00F409F4" w:rsidRPr="00C95685">
        <w:rPr>
          <w:i/>
          <w:iCs/>
          <w:szCs w:val="22"/>
          <w:lang w:val="sq-AL"/>
        </w:rPr>
        <w:t>;</w:t>
      </w:r>
    </w:p>
    <w:p w14:paraId="7D8530F5" w14:textId="779C027E" w:rsidR="00C156A0" w:rsidRPr="00C95685" w:rsidRDefault="00C156A0">
      <w:pPr>
        <w:pStyle w:val="ListParagraph"/>
        <w:numPr>
          <w:ilvl w:val="0"/>
          <w:numId w:val="68"/>
        </w:numPr>
        <w:spacing w:before="0" w:line="240" w:lineRule="auto"/>
        <w:rPr>
          <w:i/>
          <w:iCs/>
          <w:szCs w:val="22"/>
          <w:lang w:val="sq-AL"/>
        </w:rPr>
      </w:pPr>
      <w:r w:rsidRPr="00C95685">
        <w:rPr>
          <w:i/>
          <w:iCs/>
          <w:szCs w:val="22"/>
          <w:lang w:val="sq-AL"/>
        </w:rPr>
        <w:t xml:space="preserve">260 takime të zhvilluara dypalëshe dhe shumëpalëshe, në kuadër të zhvillimit dhe forcimit të marrëdhënieve me partnerë strategjik, vendet e rajonit, me kosto faktike 59.6 </w:t>
      </w:r>
      <w:r w:rsidR="0056260B" w:rsidRPr="00C95685">
        <w:rPr>
          <w:i/>
          <w:iCs/>
          <w:szCs w:val="22"/>
          <w:lang w:val="sq-AL"/>
        </w:rPr>
        <w:t>milionë</w:t>
      </w:r>
      <w:r w:rsidRPr="00C95685">
        <w:rPr>
          <w:i/>
          <w:iCs/>
          <w:szCs w:val="22"/>
          <w:lang w:val="sq-AL"/>
        </w:rPr>
        <w:t xml:space="preserve"> LEK</w:t>
      </w:r>
      <w:r w:rsidR="00F409F4" w:rsidRPr="00C95685">
        <w:rPr>
          <w:i/>
          <w:iCs/>
          <w:szCs w:val="22"/>
          <w:lang w:val="sq-AL"/>
        </w:rPr>
        <w:t>;</w:t>
      </w:r>
    </w:p>
    <w:p w14:paraId="0ECCB3F4" w14:textId="43B1F3C3" w:rsidR="00C156A0" w:rsidRPr="00C95685" w:rsidRDefault="00C156A0">
      <w:pPr>
        <w:pStyle w:val="ListParagraph"/>
        <w:numPr>
          <w:ilvl w:val="0"/>
          <w:numId w:val="68"/>
        </w:numPr>
        <w:spacing w:before="0" w:line="240" w:lineRule="auto"/>
        <w:rPr>
          <w:i/>
          <w:iCs/>
          <w:szCs w:val="22"/>
          <w:lang w:val="sq-AL"/>
        </w:rPr>
      </w:pPr>
      <w:r w:rsidRPr="00C95685">
        <w:rPr>
          <w:i/>
          <w:iCs/>
          <w:szCs w:val="22"/>
          <w:lang w:val="sq-AL"/>
        </w:rPr>
        <w:t xml:space="preserve">157 aktivitete promovuese brenda dhe jashtë vendit në funksion të objektivave të diplomacisë ekonomike publike dhe diasporës, me kosto faktike 12 </w:t>
      </w:r>
      <w:r w:rsidR="0056260B" w:rsidRPr="00C95685">
        <w:rPr>
          <w:i/>
          <w:iCs/>
          <w:szCs w:val="22"/>
          <w:lang w:val="sq-AL"/>
        </w:rPr>
        <w:t>milionë</w:t>
      </w:r>
      <w:r w:rsidRPr="00C95685">
        <w:rPr>
          <w:i/>
          <w:iCs/>
          <w:szCs w:val="22"/>
          <w:lang w:val="sq-AL"/>
        </w:rPr>
        <w:t xml:space="preserve"> LEK.</w:t>
      </w:r>
    </w:p>
    <w:p w14:paraId="7BA1D31D" w14:textId="6886813C" w:rsidR="00D0642E" w:rsidRPr="00D0642E" w:rsidRDefault="00C156A0" w:rsidP="00D0642E">
      <w:pPr>
        <w:spacing w:line="240" w:lineRule="auto"/>
        <w:rPr>
          <w:rFonts w:cs="Calibri"/>
          <w:noProof/>
          <w:lang w:val="sq-AL"/>
        </w:rPr>
      </w:pPr>
      <w:r w:rsidRPr="00D0642E">
        <w:rPr>
          <w:rFonts w:cs="Calibri"/>
          <w:lang w:val="sq-AL"/>
        </w:rPr>
        <w:t xml:space="preserve">Për sa i përket </w:t>
      </w:r>
      <w:r w:rsidRPr="00D0642E">
        <w:rPr>
          <w:rFonts w:cs="Calibri"/>
          <w:b/>
          <w:lang w:val="sq-AL"/>
        </w:rPr>
        <w:t>investimeve publike</w:t>
      </w:r>
      <w:r w:rsidRPr="00D0642E">
        <w:rPr>
          <w:rFonts w:cs="Calibri"/>
          <w:lang w:val="sq-AL"/>
        </w:rPr>
        <w:t xml:space="preserve">, </w:t>
      </w:r>
      <w:r w:rsidR="00D0642E" w:rsidRPr="00D0642E">
        <w:rPr>
          <w:rFonts w:cs="Calibri"/>
          <w:noProof/>
          <w:lang w:val="sq-AL"/>
        </w:rPr>
        <w:t xml:space="preserve">realizimi në vitin 2025 ishte 193.2% e buxhetit fillestar për projektet me financim të brendshëm (0.60 </w:t>
      </w:r>
      <w:r w:rsidR="0056260B">
        <w:rPr>
          <w:rFonts w:cs="Calibri"/>
          <w:noProof/>
          <w:lang w:val="sq-AL"/>
        </w:rPr>
        <w:t>miliardë</w:t>
      </w:r>
      <w:r w:rsidR="00D0642E" w:rsidRPr="00D0642E">
        <w:rPr>
          <w:rFonts w:cs="Calibri"/>
          <w:noProof/>
          <w:lang w:val="sq-AL"/>
        </w:rPr>
        <w:t xml:space="preserve"> LEK) (98.8% të planit vjetor të ndryshuar me AN nr.11/2025. Buxheti i shpenzimeve kapitale pësoi ndryshime gjatë vitit 2025, duke rritur ndjeshëm shpenzimet me financim të brendshëm. Janë paguar disa projekte për blerje paisjesh për përfaqësitë diplomatike, dhe pagesa në kuadër të projekteve të asistencës teknike</w:t>
      </w:r>
      <w:r w:rsidR="00D0642E" w:rsidRPr="00D0642E">
        <w:rPr>
          <w:rFonts w:asciiTheme="majorHAnsi" w:eastAsiaTheme="minorHAnsi" w:hAnsiTheme="majorHAnsi" w:cs="Calibri Light"/>
          <w:noProof/>
          <w:szCs w:val="22"/>
          <w:lang w:val="sq-AL"/>
        </w:rPr>
        <w:t>.</w:t>
      </w:r>
      <w:r w:rsidR="00D0642E" w:rsidRPr="00D0642E">
        <w:rPr>
          <w:rFonts w:cs="Calibri"/>
          <w:noProof/>
          <w:lang w:val="sq-AL"/>
        </w:rPr>
        <w:t xml:space="preserve"> Janë mbyllur 2 projekte investimi me vlerë 0.57 </w:t>
      </w:r>
      <w:r w:rsidR="0056260B">
        <w:rPr>
          <w:rFonts w:cs="Calibri"/>
          <w:noProof/>
          <w:lang w:val="sq-AL"/>
        </w:rPr>
        <w:t>miliardë</w:t>
      </w:r>
      <w:r w:rsidR="00D0642E" w:rsidRPr="00D0642E">
        <w:rPr>
          <w:rFonts w:cs="Calibri"/>
          <w:noProof/>
          <w:lang w:val="sq-AL"/>
        </w:rPr>
        <w:t xml:space="preserve"> LEK:</w:t>
      </w:r>
    </w:p>
    <w:p w14:paraId="0A2D00A4" w14:textId="09DBB52D" w:rsidR="00D0642E" w:rsidRPr="00C95685" w:rsidRDefault="00D0642E">
      <w:pPr>
        <w:pStyle w:val="ListParagraph"/>
        <w:numPr>
          <w:ilvl w:val="0"/>
          <w:numId w:val="65"/>
        </w:numPr>
        <w:spacing w:before="0" w:line="240" w:lineRule="auto"/>
        <w:rPr>
          <w:rFonts w:cs="Calibri"/>
          <w:i/>
          <w:iCs/>
          <w:noProof/>
          <w:szCs w:val="22"/>
          <w:lang w:val="sq-AL"/>
        </w:rPr>
      </w:pPr>
      <w:r w:rsidRPr="00C95685">
        <w:rPr>
          <w:rFonts w:cs="Calibri"/>
          <w:i/>
          <w:iCs/>
          <w:noProof/>
          <w:szCs w:val="22"/>
          <w:lang w:val="sq-AL"/>
        </w:rPr>
        <w:t xml:space="preserve">Blerje Seli Diplomatike me vlerë 520 </w:t>
      </w:r>
      <w:r w:rsidR="0056260B" w:rsidRPr="00C95685">
        <w:rPr>
          <w:rFonts w:cs="Calibri"/>
          <w:i/>
          <w:iCs/>
          <w:noProof/>
          <w:szCs w:val="22"/>
          <w:lang w:val="sq-AL"/>
        </w:rPr>
        <w:t>milionë</w:t>
      </w:r>
      <w:r w:rsidRPr="00C95685">
        <w:rPr>
          <w:rFonts w:cs="Calibri"/>
          <w:i/>
          <w:iCs/>
          <w:noProof/>
          <w:szCs w:val="22"/>
          <w:lang w:val="sq-AL"/>
        </w:rPr>
        <w:t xml:space="preserve"> LEK;</w:t>
      </w:r>
    </w:p>
    <w:p w14:paraId="7B7E45DA" w14:textId="4F27D137" w:rsidR="00D0642E" w:rsidRPr="00C95685" w:rsidRDefault="00D0642E">
      <w:pPr>
        <w:pStyle w:val="ListParagraph"/>
        <w:numPr>
          <w:ilvl w:val="0"/>
          <w:numId w:val="65"/>
        </w:numPr>
        <w:spacing w:before="0" w:line="240" w:lineRule="auto"/>
        <w:rPr>
          <w:rFonts w:cs="Calibri"/>
          <w:noProof/>
          <w:szCs w:val="22"/>
          <w:lang w:val="sq-AL"/>
        </w:rPr>
      </w:pPr>
      <w:r w:rsidRPr="00C95685">
        <w:rPr>
          <w:rFonts w:cs="Calibri"/>
          <w:i/>
          <w:iCs/>
          <w:noProof/>
          <w:szCs w:val="22"/>
          <w:lang w:val="sq-AL"/>
        </w:rPr>
        <w:t xml:space="preserve">Automjete të blera për misionet diplomatike me vlerë 50 </w:t>
      </w:r>
      <w:r w:rsidR="0056260B" w:rsidRPr="00C95685">
        <w:rPr>
          <w:rFonts w:cs="Calibri"/>
          <w:i/>
          <w:iCs/>
          <w:noProof/>
          <w:szCs w:val="22"/>
          <w:lang w:val="sq-AL"/>
        </w:rPr>
        <w:t>milionë</w:t>
      </w:r>
      <w:r w:rsidRPr="00C95685">
        <w:rPr>
          <w:rFonts w:cs="Calibri"/>
          <w:i/>
          <w:iCs/>
          <w:noProof/>
          <w:szCs w:val="22"/>
          <w:lang w:val="sq-AL"/>
        </w:rPr>
        <w:t xml:space="preserve"> LEK</w:t>
      </w:r>
      <w:r w:rsidRPr="00C95685">
        <w:rPr>
          <w:rFonts w:cs="Calibri"/>
          <w:noProof/>
          <w:szCs w:val="22"/>
          <w:lang w:val="sq-AL"/>
        </w:rPr>
        <w:t>.</w:t>
      </w:r>
    </w:p>
    <w:p w14:paraId="18954812" w14:textId="364AB7D4" w:rsidR="00C156A0" w:rsidRDefault="00C156A0" w:rsidP="00D0642E">
      <w:pPr>
        <w:spacing w:before="0" w:line="240" w:lineRule="auto"/>
        <w:rPr>
          <w:rFonts w:eastAsia="SimSun" w:cs="Calibri"/>
          <w:noProof/>
          <w:sz w:val="20"/>
          <w:lang w:val="sq-AL"/>
        </w:rPr>
      </w:pPr>
    </w:p>
    <w:p w14:paraId="06E672E8" w14:textId="77777777" w:rsidR="00C95685" w:rsidRDefault="00C95685" w:rsidP="00D0642E">
      <w:pPr>
        <w:spacing w:before="0" w:line="240" w:lineRule="auto"/>
        <w:rPr>
          <w:rFonts w:eastAsia="SimSun" w:cs="Calibri"/>
          <w:noProof/>
          <w:sz w:val="20"/>
          <w:lang w:val="sq-AL"/>
        </w:rPr>
      </w:pPr>
    </w:p>
    <w:p w14:paraId="2000DA1C" w14:textId="77777777" w:rsidR="00C95685" w:rsidRDefault="00C95685" w:rsidP="00D0642E">
      <w:pPr>
        <w:spacing w:before="0" w:line="240" w:lineRule="auto"/>
        <w:rPr>
          <w:rFonts w:eastAsia="SimSun" w:cs="Calibri"/>
          <w:noProof/>
          <w:sz w:val="20"/>
          <w:lang w:val="sq-AL"/>
        </w:rPr>
      </w:pPr>
    </w:p>
    <w:p w14:paraId="5E08BD41" w14:textId="77777777" w:rsidR="00C95685" w:rsidRDefault="00C95685" w:rsidP="00D0642E">
      <w:pPr>
        <w:spacing w:before="0" w:line="240" w:lineRule="auto"/>
        <w:rPr>
          <w:rFonts w:eastAsia="SimSun" w:cs="Calibri"/>
          <w:noProof/>
          <w:sz w:val="20"/>
          <w:lang w:val="sq-AL"/>
        </w:rPr>
      </w:pPr>
    </w:p>
    <w:p w14:paraId="17FDD662" w14:textId="77777777" w:rsidR="00C95685" w:rsidRPr="00B14F86" w:rsidRDefault="00C95685" w:rsidP="00C95685">
      <w:pPr>
        <w:pStyle w:val="Heading3"/>
        <w:rPr>
          <w:b/>
          <w:bCs/>
        </w:rPr>
      </w:pPr>
      <w:bookmarkStart w:id="296" w:name="_Toc10721442"/>
      <w:bookmarkStart w:id="297" w:name="_Toc229390850"/>
      <w:proofErr w:type="spellStart"/>
      <w:r w:rsidRPr="00B14F86">
        <w:rPr>
          <w:b/>
          <w:bCs/>
        </w:rPr>
        <w:t>Institucionet</w:t>
      </w:r>
      <w:proofErr w:type="spellEnd"/>
      <w:r w:rsidRPr="00B14F86">
        <w:rPr>
          <w:b/>
          <w:bCs/>
        </w:rPr>
        <w:t xml:space="preserve"> e </w:t>
      </w:r>
      <w:proofErr w:type="spellStart"/>
      <w:r w:rsidRPr="00B14F86">
        <w:rPr>
          <w:b/>
          <w:bCs/>
        </w:rPr>
        <w:t>Sistemit</w:t>
      </w:r>
      <w:proofErr w:type="spellEnd"/>
      <w:r w:rsidRPr="00B14F86">
        <w:rPr>
          <w:b/>
          <w:bCs/>
        </w:rPr>
        <w:t xml:space="preserve"> </w:t>
      </w:r>
      <w:proofErr w:type="spellStart"/>
      <w:r w:rsidRPr="00B14F86">
        <w:rPr>
          <w:b/>
          <w:bCs/>
        </w:rPr>
        <w:t>të</w:t>
      </w:r>
      <w:proofErr w:type="spellEnd"/>
      <w:r w:rsidRPr="00B14F86">
        <w:rPr>
          <w:b/>
          <w:bCs/>
        </w:rPr>
        <w:t xml:space="preserve"> </w:t>
      </w:r>
      <w:proofErr w:type="spellStart"/>
      <w:r w:rsidRPr="00B14F86">
        <w:rPr>
          <w:b/>
          <w:bCs/>
        </w:rPr>
        <w:t>Drejtësisë</w:t>
      </w:r>
      <w:bookmarkEnd w:id="296"/>
      <w:bookmarkEnd w:id="297"/>
      <w:proofErr w:type="spellEnd"/>
    </w:p>
    <w:p w14:paraId="0016322A" w14:textId="77777777" w:rsidR="00C95685" w:rsidRPr="00C156A0" w:rsidRDefault="00C95685" w:rsidP="00C95685">
      <w:pPr>
        <w:spacing w:line="240" w:lineRule="auto"/>
        <w:rPr>
          <w:rFonts w:cs="Calibri"/>
          <w:noProof/>
          <w:szCs w:val="22"/>
          <w:lang w:val="sq-AL"/>
        </w:rPr>
      </w:pPr>
      <w:r w:rsidRPr="00C156A0">
        <w:rPr>
          <w:rFonts w:cs="Calibri"/>
          <w:noProof/>
          <w:szCs w:val="22"/>
          <w:lang w:val="sq-AL"/>
        </w:rPr>
        <w:t xml:space="preserve">Shpenzimet e planifikuara dhe ato faktike si dhe realizimi për vitin 2025 për </w:t>
      </w:r>
      <w:r w:rsidRPr="00C156A0">
        <w:rPr>
          <w:rFonts w:cs="Calibri"/>
          <w:bCs/>
          <w:noProof/>
          <w:szCs w:val="22"/>
          <w:lang w:val="sq-AL"/>
        </w:rPr>
        <w:t>Institucionet e Mbikqyrjes dhe Rivlerësimit në sistemin e Drejtësisë,</w:t>
      </w:r>
      <w:r w:rsidRPr="00C156A0">
        <w:rPr>
          <w:rFonts w:cs="Calibri"/>
          <w:noProof/>
          <w:szCs w:val="22"/>
          <w:lang w:val="sq-AL"/>
        </w:rPr>
        <w:t xml:space="preserve"> paraqiten si më poshtë:</w:t>
      </w:r>
    </w:p>
    <w:p w14:paraId="6E8F3073" w14:textId="67C4B694" w:rsidR="00C95685" w:rsidRPr="00C156A0" w:rsidRDefault="00C95685" w:rsidP="00C95685">
      <w:pPr>
        <w:rPr>
          <w:i/>
          <w:iCs/>
          <w:noProof/>
          <w:color w:val="17406D"/>
          <w:sz w:val="18"/>
          <w:szCs w:val="18"/>
          <w:lang w:val="sq-AL"/>
        </w:rPr>
      </w:pPr>
      <w:bookmarkStart w:id="298" w:name="_Toc229130012"/>
      <w:r w:rsidRPr="00C156A0">
        <w:rPr>
          <w:i/>
          <w:iCs/>
          <w:noProof/>
          <w:color w:val="17406D"/>
          <w:sz w:val="18"/>
          <w:szCs w:val="18"/>
          <w:lang w:val="sq-AL"/>
        </w:rPr>
        <w:t xml:space="preserve">Tabela </w:t>
      </w:r>
      <w:r w:rsidRPr="00C156A0">
        <w:rPr>
          <w:i/>
          <w:iCs/>
          <w:noProof/>
          <w:color w:val="17406D"/>
          <w:sz w:val="18"/>
          <w:szCs w:val="18"/>
          <w:lang w:val="sq-AL"/>
        </w:rPr>
        <w:fldChar w:fldCharType="begin"/>
      </w:r>
      <w:r w:rsidRPr="00C156A0">
        <w:rPr>
          <w:i/>
          <w:iCs/>
          <w:noProof/>
          <w:color w:val="17406D"/>
          <w:sz w:val="18"/>
          <w:szCs w:val="18"/>
          <w:lang w:val="sq-AL"/>
        </w:rPr>
        <w:instrText xml:space="preserve"> SEQ Tabela \* ARABIC </w:instrText>
      </w:r>
      <w:r w:rsidRPr="00C156A0">
        <w:rPr>
          <w:i/>
          <w:iCs/>
          <w:noProof/>
          <w:color w:val="17406D"/>
          <w:sz w:val="18"/>
          <w:szCs w:val="18"/>
          <w:lang w:val="sq-AL"/>
        </w:rPr>
        <w:fldChar w:fldCharType="separate"/>
      </w:r>
      <w:r w:rsidR="00CB4DE6">
        <w:rPr>
          <w:i/>
          <w:iCs/>
          <w:noProof/>
          <w:color w:val="17406D"/>
          <w:sz w:val="18"/>
          <w:szCs w:val="18"/>
          <w:lang w:val="sq-AL"/>
        </w:rPr>
        <w:t>43</w:t>
      </w:r>
      <w:r w:rsidRPr="00C156A0">
        <w:rPr>
          <w:i/>
          <w:iCs/>
          <w:noProof/>
          <w:color w:val="17406D"/>
          <w:sz w:val="18"/>
          <w:szCs w:val="18"/>
          <w:lang w:val="sq-AL"/>
        </w:rPr>
        <w:fldChar w:fldCharType="end"/>
      </w:r>
      <w:r w:rsidRPr="00C156A0">
        <w:rPr>
          <w:i/>
          <w:iCs/>
          <w:noProof/>
          <w:color w:val="17406D"/>
          <w:sz w:val="18"/>
          <w:szCs w:val="18"/>
          <w:lang w:val="sq-AL"/>
        </w:rPr>
        <w:t xml:space="preserve"> Realizimi i buxhetit 2025 për Institucionet e Drejtësisë</w:t>
      </w:r>
      <w:bookmarkEnd w:id="298"/>
    </w:p>
    <w:tbl>
      <w:tblPr>
        <w:tblW w:w="10275" w:type="dxa"/>
        <w:jc w:val="center"/>
        <w:tblLook w:val="04A0" w:firstRow="1" w:lastRow="0" w:firstColumn="1" w:lastColumn="0" w:noHBand="0" w:noVBand="1"/>
      </w:tblPr>
      <w:tblGrid>
        <w:gridCol w:w="1642"/>
        <w:gridCol w:w="939"/>
        <w:gridCol w:w="922"/>
        <w:gridCol w:w="998"/>
        <w:gridCol w:w="1040"/>
        <w:gridCol w:w="1036"/>
        <w:gridCol w:w="883"/>
        <w:gridCol w:w="722"/>
        <w:gridCol w:w="647"/>
        <w:gridCol w:w="684"/>
        <w:gridCol w:w="762"/>
      </w:tblGrid>
      <w:tr w:rsidR="00C95685" w:rsidRPr="00F409F4" w14:paraId="07A8EFCA" w14:textId="77777777" w:rsidTr="00B24406">
        <w:trPr>
          <w:trHeight w:val="76"/>
          <w:jc w:val="center"/>
        </w:trPr>
        <w:tc>
          <w:tcPr>
            <w:tcW w:w="1642" w:type="dxa"/>
            <w:vMerge w:val="restart"/>
            <w:tcBorders>
              <w:top w:val="nil"/>
              <w:left w:val="nil"/>
              <w:bottom w:val="nil"/>
              <w:right w:val="nil"/>
            </w:tcBorders>
            <w:shd w:val="clear" w:color="000000" w:fill="366092"/>
            <w:vAlign w:val="center"/>
            <w:hideMark/>
          </w:tcPr>
          <w:p w14:paraId="064298A7"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Programi buxhetor</w:t>
            </w:r>
          </w:p>
        </w:tc>
        <w:tc>
          <w:tcPr>
            <w:tcW w:w="1861"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43E6FCEF"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Plani fillestar 2025</w:t>
            </w:r>
          </w:p>
        </w:tc>
        <w:tc>
          <w:tcPr>
            <w:tcW w:w="203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F82347E"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Plani i rishikuar 2025</w:t>
            </w:r>
          </w:p>
        </w:tc>
        <w:tc>
          <w:tcPr>
            <w:tcW w:w="19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1248D2F"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Fakti 2025</w:t>
            </w:r>
          </w:p>
        </w:tc>
        <w:tc>
          <w:tcPr>
            <w:tcW w:w="136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248FB85"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Realizimi në % me planin fillestar</w:t>
            </w:r>
          </w:p>
        </w:tc>
        <w:tc>
          <w:tcPr>
            <w:tcW w:w="144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4E6070B"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Realizimi në % me planin e rishikuar</w:t>
            </w:r>
          </w:p>
        </w:tc>
      </w:tr>
      <w:tr w:rsidR="00C95685" w:rsidRPr="00C156A0" w14:paraId="1335AF32" w14:textId="77777777" w:rsidTr="00B24406">
        <w:trPr>
          <w:trHeight w:val="56"/>
          <w:jc w:val="center"/>
        </w:trPr>
        <w:tc>
          <w:tcPr>
            <w:tcW w:w="1642" w:type="dxa"/>
            <w:vMerge/>
            <w:tcBorders>
              <w:top w:val="nil"/>
              <w:left w:val="nil"/>
              <w:bottom w:val="nil"/>
              <w:right w:val="nil"/>
            </w:tcBorders>
            <w:vAlign w:val="center"/>
            <w:hideMark/>
          </w:tcPr>
          <w:p w14:paraId="7703D419" w14:textId="77777777" w:rsidR="00C95685" w:rsidRPr="00C156A0" w:rsidRDefault="00C95685" w:rsidP="00B24406">
            <w:pPr>
              <w:spacing w:before="0" w:line="240" w:lineRule="auto"/>
              <w:jc w:val="center"/>
              <w:rPr>
                <w:b/>
                <w:bCs/>
                <w:noProof/>
                <w:color w:val="FFFFFF"/>
                <w:sz w:val="16"/>
                <w:szCs w:val="16"/>
                <w:lang w:val="sq-AL" w:eastAsia="sq-AL"/>
              </w:rPr>
            </w:pPr>
          </w:p>
        </w:tc>
        <w:tc>
          <w:tcPr>
            <w:tcW w:w="939" w:type="dxa"/>
            <w:tcBorders>
              <w:top w:val="nil"/>
              <w:left w:val="nil"/>
              <w:bottom w:val="single" w:sz="8" w:space="0" w:color="B8CCE4"/>
              <w:right w:val="single" w:sz="8" w:space="0" w:color="B8CCE4"/>
            </w:tcBorders>
            <w:shd w:val="clear" w:color="000000" w:fill="365F91"/>
            <w:vAlign w:val="center"/>
            <w:hideMark/>
          </w:tcPr>
          <w:p w14:paraId="68ECBA5E" w14:textId="77777777" w:rsidR="00C95685" w:rsidRPr="00C156A0" w:rsidRDefault="00C95685" w:rsidP="00B24406">
            <w:pPr>
              <w:spacing w:before="0" w:line="240" w:lineRule="auto"/>
              <w:jc w:val="center"/>
              <w:rPr>
                <w:b/>
                <w:bCs/>
                <w:noProof/>
                <w:color w:val="FFFFFF"/>
                <w:sz w:val="16"/>
                <w:szCs w:val="16"/>
                <w:lang w:val="sq-AL" w:eastAsia="sq-AL"/>
              </w:rPr>
            </w:pPr>
            <w:r>
              <w:rPr>
                <w:b/>
                <w:bCs/>
                <w:noProof/>
                <w:color w:val="FFFFFF"/>
                <w:sz w:val="16"/>
                <w:szCs w:val="16"/>
                <w:lang w:val="sq-AL" w:eastAsia="sq-AL"/>
              </w:rPr>
              <w:t>Korente</w:t>
            </w:r>
          </w:p>
        </w:tc>
        <w:tc>
          <w:tcPr>
            <w:tcW w:w="922" w:type="dxa"/>
            <w:tcBorders>
              <w:top w:val="nil"/>
              <w:left w:val="nil"/>
              <w:bottom w:val="single" w:sz="8" w:space="0" w:color="B8CCE4"/>
              <w:right w:val="single" w:sz="8" w:space="0" w:color="B8CCE4"/>
            </w:tcBorders>
            <w:shd w:val="clear" w:color="000000" w:fill="365F91"/>
            <w:vAlign w:val="center"/>
            <w:hideMark/>
          </w:tcPr>
          <w:p w14:paraId="5CB68894"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Investime</w:t>
            </w:r>
          </w:p>
        </w:tc>
        <w:tc>
          <w:tcPr>
            <w:tcW w:w="998" w:type="dxa"/>
            <w:tcBorders>
              <w:top w:val="nil"/>
              <w:left w:val="nil"/>
              <w:bottom w:val="single" w:sz="8" w:space="0" w:color="B8CCE4"/>
              <w:right w:val="single" w:sz="8" w:space="0" w:color="B8CCE4"/>
            </w:tcBorders>
            <w:shd w:val="clear" w:color="000000" w:fill="365F91"/>
            <w:vAlign w:val="center"/>
            <w:hideMark/>
          </w:tcPr>
          <w:p w14:paraId="61A28D33" w14:textId="77777777" w:rsidR="00C95685" w:rsidRPr="00C156A0" w:rsidRDefault="00C95685" w:rsidP="00B24406">
            <w:pPr>
              <w:spacing w:before="0" w:line="240" w:lineRule="auto"/>
              <w:jc w:val="center"/>
              <w:rPr>
                <w:b/>
                <w:bCs/>
                <w:noProof/>
                <w:color w:val="FFFFFF"/>
                <w:sz w:val="16"/>
                <w:szCs w:val="16"/>
                <w:lang w:val="sq-AL" w:eastAsia="sq-AL"/>
              </w:rPr>
            </w:pPr>
            <w:r>
              <w:rPr>
                <w:b/>
                <w:bCs/>
                <w:noProof/>
                <w:color w:val="FFFFFF"/>
                <w:sz w:val="16"/>
                <w:szCs w:val="16"/>
                <w:lang w:val="sq-AL" w:eastAsia="sq-AL"/>
              </w:rPr>
              <w:t>Korente</w:t>
            </w:r>
          </w:p>
        </w:tc>
        <w:tc>
          <w:tcPr>
            <w:tcW w:w="1040" w:type="dxa"/>
            <w:tcBorders>
              <w:top w:val="nil"/>
              <w:left w:val="nil"/>
              <w:bottom w:val="single" w:sz="8" w:space="0" w:color="B8CCE4"/>
              <w:right w:val="single" w:sz="8" w:space="0" w:color="B8CCE4"/>
            </w:tcBorders>
            <w:shd w:val="clear" w:color="000000" w:fill="365F91"/>
            <w:vAlign w:val="center"/>
            <w:hideMark/>
          </w:tcPr>
          <w:p w14:paraId="340FCBE6"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Investime</w:t>
            </w:r>
          </w:p>
        </w:tc>
        <w:tc>
          <w:tcPr>
            <w:tcW w:w="1036" w:type="dxa"/>
            <w:tcBorders>
              <w:top w:val="nil"/>
              <w:left w:val="nil"/>
              <w:bottom w:val="single" w:sz="8" w:space="0" w:color="B8CCE4"/>
              <w:right w:val="single" w:sz="8" w:space="0" w:color="B8CCE4"/>
            </w:tcBorders>
            <w:shd w:val="clear" w:color="000000" w:fill="365F91"/>
            <w:vAlign w:val="center"/>
            <w:hideMark/>
          </w:tcPr>
          <w:p w14:paraId="5D0DFF62" w14:textId="77777777" w:rsidR="00C95685" w:rsidRPr="00C156A0" w:rsidRDefault="00C95685" w:rsidP="00B24406">
            <w:pPr>
              <w:spacing w:before="0" w:line="240" w:lineRule="auto"/>
              <w:jc w:val="center"/>
              <w:rPr>
                <w:b/>
                <w:bCs/>
                <w:noProof/>
                <w:color w:val="FFFFFF"/>
                <w:sz w:val="16"/>
                <w:szCs w:val="16"/>
                <w:lang w:val="sq-AL" w:eastAsia="sq-AL"/>
              </w:rPr>
            </w:pPr>
            <w:r>
              <w:rPr>
                <w:b/>
                <w:bCs/>
                <w:noProof/>
                <w:color w:val="FFFFFF"/>
                <w:sz w:val="16"/>
                <w:szCs w:val="16"/>
                <w:lang w:val="sq-AL" w:eastAsia="sq-AL"/>
              </w:rPr>
              <w:t>Korente</w:t>
            </w:r>
          </w:p>
        </w:tc>
        <w:tc>
          <w:tcPr>
            <w:tcW w:w="883" w:type="dxa"/>
            <w:tcBorders>
              <w:top w:val="nil"/>
              <w:left w:val="nil"/>
              <w:bottom w:val="single" w:sz="8" w:space="0" w:color="B8CCE4"/>
              <w:right w:val="single" w:sz="8" w:space="0" w:color="B8CCE4"/>
            </w:tcBorders>
            <w:shd w:val="clear" w:color="000000" w:fill="365F91"/>
            <w:vAlign w:val="center"/>
            <w:hideMark/>
          </w:tcPr>
          <w:p w14:paraId="7D0B41B8"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Investime</w:t>
            </w:r>
          </w:p>
        </w:tc>
        <w:tc>
          <w:tcPr>
            <w:tcW w:w="722" w:type="dxa"/>
            <w:tcBorders>
              <w:top w:val="nil"/>
              <w:left w:val="nil"/>
              <w:bottom w:val="single" w:sz="8" w:space="0" w:color="B8CCE4"/>
              <w:right w:val="single" w:sz="8" w:space="0" w:color="B8CCE4"/>
            </w:tcBorders>
            <w:shd w:val="clear" w:color="000000" w:fill="365F91"/>
            <w:vAlign w:val="center"/>
            <w:hideMark/>
          </w:tcPr>
          <w:p w14:paraId="33E517FF"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Korr.</w:t>
            </w:r>
          </w:p>
        </w:tc>
        <w:tc>
          <w:tcPr>
            <w:tcW w:w="647" w:type="dxa"/>
            <w:tcBorders>
              <w:top w:val="nil"/>
              <w:left w:val="nil"/>
              <w:bottom w:val="single" w:sz="8" w:space="0" w:color="B8CCE4"/>
              <w:right w:val="single" w:sz="8" w:space="0" w:color="B8CCE4"/>
            </w:tcBorders>
            <w:shd w:val="clear" w:color="000000" w:fill="365F91"/>
            <w:vAlign w:val="center"/>
            <w:hideMark/>
          </w:tcPr>
          <w:p w14:paraId="76D657B1"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Inv.</w:t>
            </w:r>
          </w:p>
        </w:tc>
        <w:tc>
          <w:tcPr>
            <w:tcW w:w="684" w:type="dxa"/>
            <w:tcBorders>
              <w:top w:val="nil"/>
              <w:left w:val="nil"/>
              <w:bottom w:val="single" w:sz="8" w:space="0" w:color="B8CCE4"/>
              <w:right w:val="single" w:sz="8" w:space="0" w:color="B8CCE4"/>
            </w:tcBorders>
            <w:shd w:val="clear" w:color="000000" w:fill="365F91"/>
            <w:vAlign w:val="center"/>
            <w:hideMark/>
          </w:tcPr>
          <w:p w14:paraId="17EF1B23"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Korr.</w:t>
            </w:r>
          </w:p>
        </w:tc>
        <w:tc>
          <w:tcPr>
            <w:tcW w:w="762" w:type="dxa"/>
            <w:tcBorders>
              <w:top w:val="nil"/>
              <w:left w:val="nil"/>
              <w:bottom w:val="single" w:sz="8" w:space="0" w:color="B8CCE4"/>
              <w:right w:val="single" w:sz="8" w:space="0" w:color="B8CCE4"/>
            </w:tcBorders>
            <w:shd w:val="clear" w:color="000000" w:fill="365F91"/>
            <w:vAlign w:val="center"/>
            <w:hideMark/>
          </w:tcPr>
          <w:p w14:paraId="4AF0CEAD"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Inv.</w:t>
            </w:r>
          </w:p>
        </w:tc>
      </w:tr>
      <w:tr w:rsidR="00C95685" w:rsidRPr="00C156A0" w14:paraId="6325232B" w14:textId="77777777" w:rsidTr="00B24406">
        <w:trPr>
          <w:trHeight w:val="79"/>
          <w:jc w:val="center"/>
        </w:trPr>
        <w:tc>
          <w:tcPr>
            <w:tcW w:w="1642" w:type="dxa"/>
            <w:tcBorders>
              <w:top w:val="nil"/>
              <w:left w:val="single" w:sz="8" w:space="0" w:color="B8CCE4"/>
              <w:bottom w:val="single" w:sz="8" w:space="0" w:color="B8CCE4"/>
              <w:right w:val="single" w:sz="8" w:space="0" w:color="B8CCE4"/>
            </w:tcBorders>
            <w:vAlign w:val="center"/>
            <w:hideMark/>
          </w:tcPr>
          <w:p w14:paraId="0D8EDDAB" w14:textId="77777777" w:rsidR="00C95685" w:rsidRPr="00C156A0" w:rsidRDefault="00C95685" w:rsidP="00B24406">
            <w:pPr>
              <w:spacing w:before="0" w:line="240" w:lineRule="auto"/>
              <w:jc w:val="left"/>
              <w:rPr>
                <w:b/>
                <w:bCs/>
                <w:noProof/>
                <w:sz w:val="16"/>
                <w:szCs w:val="16"/>
                <w:lang w:val="sq-AL" w:eastAsia="sq-AL"/>
              </w:rPr>
            </w:pPr>
            <w:r w:rsidRPr="00C156A0">
              <w:rPr>
                <w:b/>
                <w:bCs/>
                <w:noProof/>
                <w:sz w:val="16"/>
                <w:szCs w:val="16"/>
                <w:lang w:val="sq-AL" w:eastAsia="sq-AL"/>
              </w:rPr>
              <w:t>Inspektoriati i Larte i Drejtesise</w:t>
            </w:r>
          </w:p>
        </w:tc>
        <w:tc>
          <w:tcPr>
            <w:tcW w:w="939" w:type="dxa"/>
            <w:tcBorders>
              <w:top w:val="nil"/>
              <w:left w:val="nil"/>
              <w:bottom w:val="single" w:sz="8" w:space="0" w:color="B8CCE4"/>
              <w:right w:val="single" w:sz="8" w:space="0" w:color="B8CCE4"/>
            </w:tcBorders>
          </w:tcPr>
          <w:p w14:paraId="3CDAAE0E"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302,900</w:t>
            </w:r>
          </w:p>
        </w:tc>
        <w:tc>
          <w:tcPr>
            <w:tcW w:w="922" w:type="dxa"/>
            <w:tcBorders>
              <w:top w:val="nil"/>
              <w:left w:val="nil"/>
              <w:bottom w:val="single" w:sz="8" w:space="0" w:color="B8CCE4"/>
              <w:right w:val="single" w:sz="8" w:space="0" w:color="B8CCE4"/>
            </w:tcBorders>
          </w:tcPr>
          <w:p w14:paraId="2C542D1F"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51,700</w:t>
            </w:r>
          </w:p>
        </w:tc>
        <w:tc>
          <w:tcPr>
            <w:tcW w:w="998" w:type="dxa"/>
            <w:tcBorders>
              <w:top w:val="nil"/>
              <w:left w:val="nil"/>
              <w:bottom w:val="single" w:sz="8" w:space="0" w:color="B8CCE4"/>
              <w:right w:val="single" w:sz="8" w:space="0" w:color="B8CCE4"/>
            </w:tcBorders>
          </w:tcPr>
          <w:p w14:paraId="3453D687"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228,200</w:t>
            </w:r>
          </w:p>
        </w:tc>
        <w:tc>
          <w:tcPr>
            <w:tcW w:w="1040" w:type="dxa"/>
            <w:tcBorders>
              <w:top w:val="nil"/>
              <w:left w:val="nil"/>
              <w:bottom w:val="single" w:sz="8" w:space="0" w:color="B8CCE4"/>
              <w:right w:val="single" w:sz="8" w:space="0" w:color="B8CCE4"/>
            </w:tcBorders>
          </w:tcPr>
          <w:p w14:paraId="0F59D1D6"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35,919</w:t>
            </w:r>
          </w:p>
        </w:tc>
        <w:tc>
          <w:tcPr>
            <w:tcW w:w="1036" w:type="dxa"/>
            <w:tcBorders>
              <w:top w:val="nil"/>
              <w:left w:val="nil"/>
              <w:bottom w:val="single" w:sz="8" w:space="0" w:color="B8CCE4"/>
              <w:right w:val="single" w:sz="8" w:space="0" w:color="B8CCE4"/>
            </w:tcBorders>
          </w:tcPr>
          <w:p w14:paraId="03D3BB97"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224,400</w:t>
            </w:r>
          </w:p>
        </w:tc>
        <w:tc>
          <w:tcPr>
            <w:tcW w:w="883" w:type="dxa"/>
            <w:tcBorders>
              <w:top w:val="nil"/>
              <w:left w:val="nil"/>
              <w:bottom w:val="single" w:sz="8" w:space="0" w:color="B8CCE4"/>
              <w:right w:val="single" w:sz="8" w:space="0" w:color="B8CCE4"/>
            </w:tcBorders>
          </w:tcPr>
          <w:p w14:paraId="6CD02FD9"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23,417</w:t>
            </w:r>
          </w:p>
        </w:tc>
        <w:tc>
          <w:tcPr>
            <w:tcW w:w="722" w:type="dxa"/>
            <w:tcBorders>
              <w:top w:val="nil"/>
              <w:left w:val="nil"/>
              <w:bottom w:val="single" w:sz="8" w:space="0" w:color="B8CCE4"/>
              <w:right w:val="single" w:sz="8" w:space="0" w:color="B8CCE4"/>
            </w:tcBorders>
          </w:tcPr>
          <w:p w14:paraId="09C8872E"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74%</w:t>
            </w:r>
          </w:p>
        </w:tc>
        <w:tc>
          <w:tcPr>
            <w:tcW w:w="647" w:type="dxa"/>
            <w:tcBorders>
              <w:top w:val="nil"/>
              <w:left w:val="nil"/>
              <w:bottom w:val="single" w:sz="8" w:space="0" w:color="B8CCE4"/>
              <w:right w:val="single" w:sz="8" w:space="0" w:color="B8CCE4"/>
            </w:tcBorders>
          </w:tcPr>
          <w:p w14:paraId="6CF6A030"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45%</w:t>
            </w:r>
          </w:p>
        </w:tc>
        <w:tc>
          <w:tcPr>
            <w:tcW w:w="684" w:type="dxa"/>
            <w:tcBorders>
              <w:top w:val="nil"/>
              <w:left w:val="nil"/>
              <w:bottom w:val="single" w:sz="8" w:space="0" w:color="B8CCE4"/>
              <w:right w:val="single" w:sz="8" w:space="0" w:color="B8CCE4"/>
            </w:tcBorders>
          </w:tcPr>
          <w:p w14:paraId="4C6C3F48"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98%</w:t>
            </w:r>
          </w:p>
        </w:tc>
        <w:tc>
          <w:tcPr>
            <w:tcW w:w="762" w:type="dxa"/>
            <w:tcBorders>
              <w:top w:val="nil"/>
              <w:left w:val="nil"/>
              <w:bottom w:val="single" w:sz="8" w:space="0" w:color="B8CCE4"/>
              <w:right w:val="single" w:sz="8" w:space="0" w:color="B8CCE4"/>
            </w:tcBorders>
          </w:tcPr>
          <w:p w14:paraId="6FC49215"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65%</w:t>
            </w:r>
          </w:p>
        </w:tc>
      </w:tr>
      <w:tr w:rsidR="00C95685" w:rsidRPr="00C156A0" w14:paraId="78E9A700" w14:textId="77777777" w:rsidTr="00B24406">
        <w:trPr>
          <w:trHeight w:val="119"/>
          <w:jc w:val="center"/>
        </w:trPr>
        <w:tc>
          <w:tcPr>
            <w:tcW w:w="1642" w:type="dxa"/>
            <w:tcBorders>
              <w:top w:val="nil"/>
              <w:left w:val="single" w:sz="8" w:space="0" w:color="B8CCE4"/>
              <w:bottom w:val="single" w:sz="8" w:space="0" w:color="B8CCE4"/>
              <w:right w:val="single" w:sz="8" w:space="0" w:color="B8CCE4"/>
            </w:tcBorders>
            <w:vAlign w:val="center"/>
            <w:hideMark/>
          </w:tcPr>
          <w:p w14:paraId="22C3060F" w14:textId="77777777" w:rsidR="00C95685" w:rsidRPr="00C156A0" w:rsidRDefault="00C95685" w:rsidP="00B24406">
            <w:pPr>
              <w:spacing w:before="0" w:line="240" w:lineRule="auto"/>
              <w:jc w:val="left"/>
              <w:rPr>
                <w:b/>
                <w:bCs/>
                <w:noProof/>
                <w:sz w:val="16"/>
                <w:szCs w:val="16"/>
                <w:lang w:val="sq-AL" w:eastAsia="sq-AL"/>
              </w:rPr>
            </w:pPr>
            <w:r w:rsidRPr="00C156A0">
              <w:rPr>
                <w:b/>
                <w:bCs/>
                <w:noProof/>
                <w:sz w:val="16"/>
                <w:szCs w:val="16"/>
                <w:lang w:val="sq-AL" w:eastAsia="sq-AL"/>
              </w:rPr>
              <w:t>Veprimtaria e apelimit të rivlerësimit kalimtar</w:t>
            </w:r>
          </w:p>
        </w:tc>
        <w:tc>
          <w:tcPr>
            <w:tcW w:w="939" w:type="dxa"/>
            <w:tcBorders>
              <w:top w:val="nil"/>
              <w:left w:val="nil"/>
              <w:bottom w:val="single" w:sz="8" w:space="0" w:color="B8CCE4"/>
              <w:right w:val="single" w:sz="8" w:space="0" w:color="B8CCE4"/>
            </w:tcBorders>
          </w:tcPr>
          <w:p w14:paraId="2ECC3455"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286,000</w:t>
            </w:r>
          </w:p>
        </w:tc>
        <w:tc>
          <w:tcPr>
            <w:tcW w:w="922" w:type="dxa"/>
            <w:tcBorders>
              <w:top w:val="nil"/>
              <w:left w:val="nil"/>
              <w:bottom w:val="single" w:sz="8" w:space="0" w:color="B8CCE4"/>
              <w:right w:val="single" w:sz="8" w:space="0" w:color="B8CCE4"/>
            </w:tcBorders>
          </w:tcPr>
          <w:p w14:paraId="6B007446"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2,000</w:t>
            </w:r>
          </w:p>
        </w:tc>
        <w:tc>
          <w:tcPr>
            <w:tcW w:w="998" w:type="dxa"/>
            <w:tcBorders>
              <w:top w:val="nil"/>
              <w:left w:val="nil"/>
              <w:bottom w:val="single" w:sz="8" w:space="0" w:color="B8CCE4"/>
              <w:right w:val="single" w:sz="8" w:space="0" w:color="B8CCE4"/>
            </w:tcBorders>
          </w:tcPr>
          <w:p w14:paraId="0B7981A4"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289,950</w:t>
            </w:r>
          </w:p>
        </w:tc>
        <w:tc>
          <w:tcPr>
            <w:tcW w:w="1040" w:type="dxa"/>
            <w:tcBorders>
              <w:top w:val="nil"/>
              <w:left w:val="nil"/>
              <w:bottom w:val="single" w:sz="8" w:space="0" w:color="B8CCE4"/>
              <w:right w:val="single" w:sz="8" w:space="0" w:color="B8CCE4"/>
            </w:tcBorders>
          </w:tcPr>
          <w:p w14:paraId="4F6F2CBF"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2,000</w:t>
            </w:r>
          </w:p>
        </w:tc>
        <w:tc>
          <w:tcPr>
            <w:tcW w:w="1036" w:type="dxa"/>
            <w:tcBorders>
              <w:top w:val="nil"/>
              <w:left w:val="nil"/>
              <w:bottom w:val="single" w:sz="8" w:space="0" w:color="B8CCE4"/>
              <w:right w:val="single" w:sz="8" w:space="0" w:color="B8CCE4"/>
            </w:tcBorders>
          </w:tcPr>
          <w:p w14:paraId="77146FC1"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277,353</w:t>
            </w:r>
          </w:p>
        </w:tc>
        <w:tc>
          <w:tcPr>
            <w:tcW w:w="883" w:type="dxa"/>
            <w:tcBorders>
              <w:top w:val="nil"/>
              <w:left w:val="nil"/>
              <w:bottom w:val="single" w:sz="8" w:space="0" w:color="B8CCE4"/>
              <w:right w:val="single" w:sz="8" w:space="0" w:color="B8CCE4"/>
            </w:tcBorders>
          </w:tcPr>
          <w:p w14:paraId="66102D2E"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890</w:t>
            </w:r>
          </w:p>
        </w:tc>
        <w:tc>
          <w:tcPr>
            <w:tcW w:w="722" w:type="dxa"/>
            <w:tcBorders>
              <w:top w:val="nil"/>
              <w:left w:val="nil"/>
              <w:bottom w:val="single" w:sz="8" w:space="0" w:color="B8CCE4"/>
              <w:right w:val="single" w:sz="8" w:space="0" w:color="B8CCE4"/>
            </w:tcBorders>
          </w:tcPr>
          <w:p w14:paraId="15A23779"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97%</w:t>
            </w:r>
          </w:p>
        </w:tc>
        <w:tc>
          <w:tcPr>
            <w:tcW w:w="647" w:type="dxa"/>
            <w:tcBorders>
              <w:top w:val="nil"/>
              <w:left w:val="nil"/>
              <w:bottom w:val="single" w:sz="8" w:space="0" w:color="B8CCE4"/>
              <w:right w:val="single" w:sz="8" w:space="0" w:color="B8CCE4"/>
            </w:tcBorders>
          </w:tcPr>
          <w:p w14:paraId="0B36D6CE"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45%</w:t>
            </w:r>
          </w:p>
        </w:tc>
        <w:tc>
          <w:tcPr>
            <w:tcW w:w="684" w:type="dxa"/>
            <w:tcBorders>
              <w:top w:val="nil"/>
              <w:left w:val="nil"/>
              <w:bottom w:val="single" w:sz="8" w:space="0" w:color="B8CCE4"/>
              <w:right w:val="single" w:sz="8" w:space="0" w:color="B8CCE4"/>
            </w:tcBorders>
          </w:tcPr>
          <w:p w14:paraId="51DB5901"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96%</w:t>
            </w:r>
          </w:p>
        </w:tc>
        <w:tc>
          <w:tcPr>
            <w:tcW w:w="762" w:type="dxa"/>
            <w:tcBorders>
              <w:top w:val="nil"/>
              <w:left w:val="nil"/>
              <w:bottom w:val="single" w:sz="8" w:space="0" w:color="B8CCE4"/>
              <w:right w:val="single" w:sz="8" w:space="0" w:color="B8CCE4"/>
            </w:tcBorders>
          </w:tcPr>
          <w:p w14:paraId="66F24FBB" w14:textId="77777777" w:rsidR="00C95685" w:rsidRPr="00C156A0" w:rsidRDefault="00C95685" w:rsidP="00B24406">
            <w:pPr>
              <w:spacing w:before="0" w:line="240" w:lineRule="auto"/>
              <w:jc w:val="center"/>
              <w:rPr>
                <w:noProof/>
                <w:sz w:val="16"/>
                <w:szCs w:val="16"/>
                <w:lang w:val="sq-AL" w:eastAsia="sq-AL"/>
              </w:rPr>
            </w:pPr>
            <w:r w:rsidRPr="00C156A0">
              <w:rPr>
                <w:noProof/>
                <w:sz w:val="16"/>
                <w:szCs w:val="16"/>
                <w:lang w:val="sq-AL" w:eastAsia="sq-AL"/>
              </w:rPr>
              <w:t>45%</w:t>
            </w:r>
          </w:p>
        </w:tc>
      </w:tr>
      <w:tr w:rsidR="00C95685" w:rsidRPr="00C156A0" w14:paraId="4508CB44" w14:textId="77777777" w:rsidTr="00B24406">
        <w:trPr>
          <w:trHeight w:val="79"/>
          <w:jc w:val="center"/>
        </w:trPr>
        <w:tc>
          <w:tcPr>
            <w:tcW w:w="1642" w:type="dxa"/>
            <w:tcBorders>
              <w:top w:val="nil"/>
              <w:left w:val="nil"/>
              <w:bottom w:val="single" w:sz="8" w:space="0" w:color="B8CCE4"/>
              <w:right w:val="single" w:sz="8" w:space="0" w:color="B8CCE4"/>
            </w:tcBorders>
            <w:shd w:val="clear" w:color="000000" w:fill="366092"/>
            <w:vAlign w:val="center"/>
            <w:hideMark/>
          </w:tcPr>
          <w:p w14:paraId="36B8A4AF"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Gjithsej sipas natyrës</w:t>
            </w:r>
          </w:p>
        </w:tc>
        <w:tc>
          <w:tcPr>
            <w:tcW w:w="939" w:type="dxa"/>
            <w:tcBorders>
              <w:top w:val="nil"/>
              <w:left w:val="nil"/>
              <w:bottom w:val="single" w:sz="8" w:space="0" w:color="B8CCE4"/>
              <w:right w:val="single" w:sz="8" w:space="0" w:color="B8CCE4"/>
            </w:tcBorders>
            <w:shd w:val="clear" w:color="000000" w:fill="366092"/>
          </w:tcPr>
          <w:p w14:paraId="6492A6D0"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588,900</w:t>
            </w:r>
          </w:p>
        </w:tc>
        <w:tc>
          <w:tcPr>
            <w:tcW w:w="922" w:type="dxa"/>
            <w:tcBorders>
              <w:top w:val="nil"/>
              <w:left w:val="nil"/>
              <w:bottom w:val="single" w:sz="8" w:space="0" w:color="B8CCE4"/>
              <w:right w:val="single" w:sz="8" w:space="0" w:color="B8CCE4"/>
            </w:tcBorders>
            <w:shd w:val="clear" w:color="000000" w:fill="366092"/>
          </w:tcPr>
          <w:p w14:paraId="69166036"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53,700</w:t>
            </w:r>
          </w:p>
        </w:tc>
        <w:tc>
          <w:tcPr>
            <w:tcW w:w="998" w:type="dxa"/>
            <w:tcBorders>
              <w:top w:val="nil"/>
              <w:left w:val="nil"/>
              <w:bottom w:val="nil"/>
              <w:right w:val="single" w:sz="8" w:space="0" w:color="B8CCE4"/>
            </w:tcBorders>
            <w:shd w:val="clear" w:color="000000" w:fill="366092"/>
          </w:tcPr>
          <w:p w14:paraId="1A75F1FA"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518,150</w:t>
            </w:r>
          </w:p>
        </w:tc>
        <w:tc>
          <w:tcPr>
            <w:tcW w:w="1040" w:type="dxa"/>
            <w:tcBorders>
              <w:top w:val="nil"/>
              <w:left w:val="nil"/>
              <w:bottom w:val="nil"/>
              <w:right w:val="single" w:sz="8" w:space="0" w:color="B8CCE4"/>
            </w:tcBorders>
            <w:shd w:val="clear" w:color="000000" w:fill="366092"/>
          </w:tcPr>
          <w:p w14:paraId="39D0CF0D"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37,919</w:t>
            </w:r>
          </w:p>
        </w:tc>
        <w:tc>
          <w:tcPr>
            <w:tcW w:w="1036" w:type="dxa"/>
            <w:tcBorders>
              <w:top w:val="nil"/>
              <w:left w:val="nil"/>
              <w:bottom w:val="nil"/>
              <w:right w:val="single" w:sz="8" w:space="0" w:color="B8CCE4"/>
            </w:tcBorders>
            <w:shd w:val="clear" w:color="000000" w:fill="366092"/>
          </w:tcPr>
          <w:p w14:paraId="1AA3E74A"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501,753</w:t>
            </w:r>
          </w:p>
        </w:tc>
        <w:tc>
          <w:tcPr>
            <w:tcW w:w="883" w:type="dxa"/>
            <w:tcBorders>
              <w:top w:val="nil"/>
              <w:left w:val="nil"/>
              <w:bottom w:val="nil"/>
              <w:right w:val="single" w:sz="8" w:space="0" w:color="B8CCE4"/>
            </w:tcBorders>
            <w:shd w:val="clear" w:color="000000" w:fill="366092"/>
          </w:tcPr>
          <w:p w14:paraId="1CECB2E3"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24,308</w:t>
            </w:r>
          </w:p>
        </w:tc>
        <w:tc>
          <w:tcPr>
            <w:tcW w:w="722" w:type="dxa"/>
            <w:tcBorders>
              <w:top w:val="nil"/>
              <w:left w:val="nil"/>
              <w:bottom w:val="single" w:sz="8" w:space="0" w:color="B8CCE4"/>
              <w:right w:val="single" w:sz="8" w:space="0" w:color="B8CCE4"/>
            </w:tcBorders>
            <w:shd w:val="clear" w:color="000000" w:fill="366092"/>
          </w:tcPr>
          <w:p w14:paraId="3F97805D"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85%</w:t>
            </w:r>
          </w:p>
        </w:tc>
        <w:tc>
          <w:tcPr>
            <w:tcW w:w="647" w:type="dxa"/>
            <w:tcBorders>
              <w:top w:val="nil"/>
              <w:left w:val="nil"/>
              <w:bottom w:val="single" w:sz="8" w:space="0" w:color="B8CCE4"/>
              <w:right w:val="single" w:sz="8" w:space="0" w:color="B8CCE4"/>
            </w:tcBorders>
            <w:shd w:val="clear" w:color="000000" w:fill="366092"/>
          </w:tcPr>
          <w:p w14:paraId="322437B8"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45%</w:t>
            </w:r>
          </w:p>
        </w:tc>
        <w:tc>
          <w:tcPr>
            <w:tcW w:w="684" w:type="dxa"/>
            <w:tcBorders>
              <w:top w:val="nil"/>
              <w:left w:val="nil"/>
              <w:bottom w:val="single" w:sz="8" w:space="0" w:color="B8CCE4"/>
              <w:right w:val="single" w:sz="8" w:space="0" w:color="B8CCE4"/>
            </w:tcBorders>
            <w:shd w:val="clear" w:color="000000" w:fill="366092"/>
          </w:tcPr>
          <w:p w14:paraId="327A4FB5"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97%</w:t>
            </w:r>
          </w:p>
        </w:tc>
        <w:tc>
          <w:tcPr>
            <w:tcW w:w="762" w:type="dxa"/>
            <w:tcBorders>
              <w:top w:val="nil"/>
              <w:left w:val="nil"/>
              <w:bottom w:val="single" w:sz="8" w:space="0" w:color="B8CCE4"/>
              <w:right w:val="single" w:sz="8" w:space="0" w:color="B8CCE4"/>
            </w:tcBorders>
            <w:shd w:val="clear" w:color="000000" w:fill="366092"/>
          </w:tcPr>
          <w:p w14:paraId="19509FA2"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64%</w:t>
            </w:r>
          </w:p>
        </w:tc>
      </w:tr>
      <w:tr w:rsidR="00C95685" w:rsidRPr="00C156A0" w14:paraId="228A18CC" w14:textId="77777777" w:rsidTr="00B24406">
        <w:trPr>
          <w:trHeight w:val="53"/>
          <w:jc w:val="center"/>
        </w:trPr>
        <w:tc>
          <w:tcPr>
            <w:tcW w:w="1642" w:type="dxa"/>
            <w:tcBorders>
              <w:top w:val="nil"/>
              <w:left w:val="single" w:sz="8" w:space="0" w:color="B8CCE4"/>
              <w:bottom w:val="single" w:sz="8" w:space="0" w:color="B8CCE4"/>
              <w:right w:val="single" w:sz="8" w:space="0" w:color="B8CCE4"/>
            </w:tcBorders>
            <w:shd w:val="clear" w:color="000000" w:fill="365F91"/>
            <w:vAlign w:val="center"/>
            <w:hideMark/>
          </w:tcPr>
          <w:p w14:paraId="7D6AB921"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Totali</w:t>
            </w:r>
          </w:p>
        </w:tc>
        <w:tc>
          <w:tcPr>
            <w:tcW w:w="1861" w:type="dxa"/>
            <w:gridSpan w:val="2"/>
            <w:tcBorders>
              <w:top w:val="single" w:sz="8" w:space="0" w:color="BFBFBF"/>
              <w:left w:val="nil"/>
              <w:bottom w:val="single" w:sz="8" w:space="0" w:color="B8CCE4"/>
              <w:right w:val="single" w:sz="8" w:space="0" w:color="B8CCE4"/>
            </w:tcBorders>
            <w:shd w:val="clear" w:color="000000" w:fill="365F91"/>
            <w:vAlign w:val="center"/>
          </w:tcPr>
          <w:p w14:paraId="024D277F"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642,600</w:t>
            </w:r>
            <w:r w:rsidRPr="00C156A0">
              <w:rPr>
                <w:b/>
                <w:bCs/>
                <w:noProof/>
                <w:color w:val="FFFFFF"/>
                <w:sz w:val="16"/>
                <w:szCs w:val="16"/>
                <w:lang w:val="sq-AL" w:eastAsia="sq-AL"/>
              </w:rPr>
              <w:tab/>
            </w:r>
          </w:p>
        </w:tc>
        <w:tc>
          <w:tcPr>
            <w:tcW w:w="2038" w:type="dxa"/>
            <w:gridSpan w:val="2"/>
            <w:tcBorders>
              <w:top w:val="single" w:sz="8" w:space="0" w:color="BFBFBF"/>
              <w:left w:val="nil"/>
              <w:bottom w:val="single" w:sz="8" w:space="0" w:color="B8CCE4"/>
              <w:right w:val="single" w:sz="8" w:space="0" w:color="B8CCE4"/>
            </w:tcBorders>
            <w:shd w:val="clear" w:color="000000" w:fill="365F91"/>
            <w:vAlign w:val="center"/>
          </w:tcPr>
          <w:p w14:paraId="64F0D407"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556,069</w:t>
            </w:r>
            <w:r w:rsidRPr="00C156A0">
              <w:rPr>
                <w:b/>
                <w:bCs/>
                <w:noProof/>
                <w:color w:val="FFFFFF"/>
                <w:sz w:val="16"/>
                <w:szCs w:val="16"/>
                <w:lang w:val="sq-AL" w:eastAsia="sq-AL"/>
              </w:rPr>
              <w:tab/>
            </w:r>
          </w:p>
        </w:tc>
        <w:tc>
          <w:tcPr>
            <w:tcW w:w="1919" w:type="dxa"/>
            <w:gridSpan w:val="2"/>
            <w:tcBorders>
              <w:top w:val="single" w:sz="8" w:space="0" w:color="BFBFBF"/>
              <w:left w:val="nil"/>
              <w:bottom w:val="single" w:sz="8" w:space="0" w:color="B8CCE4"/>
              <w:right w:val="single" w:sz="8" w:space="0" w:color="B8CCE4"/>
            </w:tcBorders>
            <w:shd w:val="clear" w:color="000000" w:fill="365F91"/>
            <w:vAlign w:val="center"/>
          </w:tcPr>
          <w:p w14:paraId="060306C9"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526,061</w:t>
            </w:r>
            <w:r w:rsidRPr="00C156A0">
              <w:rPr>
                <w:b/>
                <w:bCs/>
                <w:noProof/>
                <w:color w:val="FFFFFF"/>
                <w:sz w:val="16"/>
                <w:szCs w:val="16"/>
                <w:lang w:val="sq-AL" w:eastAsia="sq-AL"/>
              </w:rPr>
              <w:tab/>
            </w:r>
          </w:p>
        </w:tc>
        <w:tc>
          <w:tcPr>
            <w:tcW w:w="1369" w:type="dxa"/>
            <w:gridSpan w:val="2"/>
            <w:tcBorders>
              <w:top w:val="single" w:sz="8" w:space="0" w:color="BFBFBF"/>
              <w:left w:val="nil"/>
              <w:bottom w:val="single" w:sz="8" w:space="0" w:color="B8CCE4"/>
              <w:right w:val="single" w:sz="8" w:space="0" w:color="B8CCE4"/>
            </w:tcBorders>
            <w:shd w:val="clear" w:color="000000" w:fill="365F91"/>
            <w:vAlign w:val="center"/>
          </w:tcPr>
          <w:p w14:paraId="3D280943"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82%</w:t>
            </w:r>
          </w:p>
        </w:tc>
        <w:tc>
          <w:tcPr>
            <w:tcW w:w="1446" w:type="dxa"/>
            <w:gridSpan w:val="2"/>
            <w:tcBorders>
              <w:top w:val="single" w:sz="8" w:space="0" w:color="BFBFBF"/>
              <w:left w:val="nil"/>
              <w:bottom w:val="single" w:sz="8" w:space="0" w:color="B8CCE4"/>
              <w:right w:val="single" w:sz="8" w:space="0" w:color="B8CCE4"/>
            </w:tcBorders>
            <w:shd w:val="clear" w:color="000000" w:fill="365F91"/>
            <w:vAlign w:val="center"/>
          </w:tcPr>
          <w:p w14:paraId="43F82AAD" w14:textId="77777777" w:rsidR="00C95685" w:rsidRPr="00C156A0" w:rsidRDefault="00C95685" w:rsidP="00B24406">
            <w:pPr>
              <w:spacing w:before="0" w:line="240" w:lineRule="auto"/>
              <w:jc w:val="center"/>
              <w:rPr>
                <w:b/>
                <w:bCs/>
                <w:noProof/>
                <w:color w:val="FFFFFF"/>
                <w:sz w:val="16"/>
                <w:szCs w:val="16"/>
                <w:lang w:val="sq-AL" w:eastAsia="sq-AL"/>
              </w:rPr>
            </w:pPr>
            <w:r w:rsidRPr="00C156A0">
              <w:rPr>
                <w:b/>
                <w:bCs/>
                <w:noProof/>
                <w:color w:val="FFFFFF"/>
                <w:sz w:val="16"/>
                <w:szCs w:val="16"/>
                <w:lang w:val="sq-AL" w:eastAsia="sq-AL"/>
              </w:rPr>
              <w:t>95%</w:t>
            </w:r>
          </w:p>
        </w:tc>
      </w:tr>
    </w:tbl>
    <w:p w14:paraId="26E61DCE" w14:textId="77777777" w:rsidR="00C95685" w:rsidRPr="008A6B67" w:rsidRDefault="00C95685" w:rsidP="00C95685">
      <w:pPr>
        <w:jc w:val="center"/>
        <w:rPr>
          <w:rFonts w:cs="Calibri"/>
          <w:noProof/>
          <w:sz w:val="2"/>
          <w:szCs w:val="14"/>
          <w:lang w:val="sq-AL"/>
        </w:rPr>
      </w:pPr>
    </w:p>
    <w:p w14:paraId="65123D8D" w14:textId="688C74FB" w:rsidR="00C95685" w:rsidRPr="008A6B67" w:rsidRDefault="00C95685" w:rsidP="00C95685">
      <w:pPr>
        <w:numPr>
          <w:ilvl w:val="0"/>
          <w:numId w:val="10"/>
        </w:numPr>
        <w:shd w:val="clear" w:color="auto" w:fill="FFFFFF"/>
        <w:spacing w:before="0" w:after="160" w:line="240" w:lineRule="auto"/>
        <w:ind w:left="360"/>
        <w:contextualSpacing/>
        <w:rPr>
          <w:rFonts w:cs="Calibri"/>
          <w:i/>
          <w:iCs/>
          <w:noProof/>
          <w:szCs w:val="22"/>
          <w:lang w:val="sq-AL"/>
        </w:rPr>
      </w:pPr>
      <w:r w:rsidRPr="008A6B67">
        <w:rPr>
          <w:rFonts w:cs="Calibri"/>
          <w:i/>
          <w:iCs/>
          <w:noProof/>
          <w:szCs w:val="22"/>
          <w:lang w:val="sq-AL"/>
        </w:rPr>
        <w:t xml:space="preserve">Janë shqyrtuar 97 çështje nga </w:t>
      </w:r>
      <w:r w:rsidRPr="008A6B67">
        <w:rPr>
          <w:rFonts w:cs="Calibri"/>
          <w:i/>
          <w:iCs/>
          <w:color w:val="000000"/>
          <w:szCs w:val="22"/>
          <w:lang w:val="sq-AL" w:eastAsia="sq-AL"/>
        </w:rPr>
        <w:t xml:space="preserve">Kolegji i Posaçëm i Apelimit për vitin 2025 apo 45 % me shume së një vit më parë, </w:t>
      </w:r>
      <w:r w:rsidRPr="008A6B67">
        <w:rPr>
          <w:rFonts w:cs="Calibri"/>
          <w:b/>
          <w:bCs/>
          <w:i/>
          <w:iCs/>
          <w:color w:val="000000"/>
          <w:szCs w:val="22"/>
          <w:lang w:val="sq-AL" w:eastAsia="sq-AL"/>
        </w:rPr>
        <w:t xml:space="preserve"> </w:t>
      </w:r>
      <w:r w:rsidRPr="008A6B67">
        <w:rPr>
          <w:rFonts w:cs="Calibri"/>
          <w:i/>
          <w:iCs/>
          <w:noProof/>
          <w:szCs w:val="22"/>
          <w:lang w:val="sq-AL"/>
        </w:rPr>
        <w:t>shoqëruar me kosto faktike 277.3 milionë LEK;</w:t>
      </w:r>
    </w:p>
    <w:p w14:paraId="07D042A3" w14:textId="5052AAA7" w:rsidR="00C95685" w:rsidRPr="008A6B67" w:rsidRDefault="00C95685" w:rsidP="00C95685">
      <w:pPr>
        <w:numPr>
          <w:ilvl w:val="0"/>
          <w:numId w:val="10"/>
        </w:numPr>
        <w:shd w:val="clear" w:color="auto" w:fill="FFFFFF"/>
        <w:spacing w:before="0" w:after="160" w:line="240" w:lineRule="auto"/>
        <w:ind w:left="360"/>
        <w:contextualSpacing/>
        <w:rPr>
          <w:rFonts w:cs="Calibri"/>
          <w:bCs/>
          <w:i/>
          <w:iCs/>
          <w:noProof/>
          <w:szCs w:val="22"/>
          <w:lang w:val="sq-AL" w:eastAsia="en-GB"/>
        </w:rPr>
      </w:pPr>
      <w:r w:rsidRPr="008A6B67">
        <w:rPr>
          <w:rFonts w:cs="Calibri"/>
          <w:bCs/>
          <w:i/>
          <w:iCs/>
          <w:noProof/>
          <w:szCs w:val="22"/>
          <w:lang w:val="sq-AL" w:eastAsia="en-GB"/>
        </w:rPr>
        <w:t xml:space="preserve">Janë trajtuar në total 1635 ankesa nga zyra e </w:t>
      </w:r>
      <w:r w:rsidRPr="008A6B67">
        <w:rPr>
          <w:rFonts w:cs="Calibri"/>
          <w:i/>
          <w:iCs/>
          <w:noProof/>
          <w:szCs w:val="22"/>
          <w:lang w:val="sq-AL" w:eastAsia="en-GB"/>
        </w:rPr>
        <w:t>Inspektoriatit të Lartë të Drejtësisë</w:t>
      </w:r>
      <w:r w:rsidRPr="008A6B67">
        <w:rPr>
          <w:rFonts w:cs="Calibri"/>
          <w:bCs/>
          <w:i/>
          <w:iCs/>
          <w:noProof/>
          <w:szCs w:val="22"/>
          <w:lang w:val="sq-AL" w:eastAsia="en-GB"/>
        </w:rPr>
        <w:t xml:space="preserve"> apo 315 ankesa më shumë në krahasim me vitin 2024 si dhe kanë përfunduar 7 inspektime tematike</w:t>
      </w:r>
      <w:r>
        <w:rPr>
          <w:rFonts w:cs="Calibri"/>
          <w:bCs/>
          <w:i/>
          <w:iCs/>
          <w:noProof/>
          <w:szCs w:val="22"/>
          <w:lang w:val="sq-AL" w:eastAsia="en-GB"/>
        </w:rPr>
        <w:t xml:space="preserve">, </w:t>
      </w:r>
      <w:r w:rsidRPr="008A6B67">
        <w:rPr>
          <w:rFonts w:cs="Calibri"/>
          <w:bCs/>
          <w:i/>
          <w:iCs/>
          <w:noProof/>
          <w:szCs w:val="22"/>
          <w:lang w:val="sq-AL" w:eastAsia="en-GB"/>
        </w:rPr>
        <w:t>me kosto faktike 224.4</w:t>
      </w:r>
      <w:r>
        <w:rPr>
          <w:rFonts w:cs="Calibri"/>
          <w:bCs/>
          <w:i/>
          <w:iCs/>
          <w:noProof/>
          <w:szCs w:val="22"/>
          <w:lang w:val="sq-AL" w:eastAsia="en-GB"/>
        </w:rPr>
        <w:t>mln</w:t>
      </w:r>
      <w:r w:rsidRPr="008A6B67">
        <w:rPr>
          <w:rFonts w:cs="Calibri"/>
          <w:bCs/>
          <w:i/>
          <w:iCs/>
          <w:noProof/>
          <w:szCs w:val="22"/>
          <w:lang w:val="sq-AL" w:eastAsia="en-GB"/>
        </w:rPr>
        <w:t xml:space="preserve"> LEK.</w:t>
      </w:r>
    </w:p>
    <w:p w14:paraId="5B9916B8" w14:textId="77777777" w:rsidR="00C95685" w:rsidRPr="00A955AC" w:rsidRDefault="00C95685" w:rsidP="00C95685">
      <w:pPr>
        <w:shd w:val="clear" w:color="auto" w:fill="FFFFFF"/>
        <w:spacing w:before="0" w:after="160" w:line="240" w:lineRule="auto"/>
        <w:ind w:left="360"/>
        <w:contextualSpacing/>
        <w:jc w:val="left"/>
        <w:rPr>
          <w:rFonts w:cs="Calibri"/>
          <w:bCs/>
          <w:i/>
          <w:iCs/>
          <w:noProof/>
          <w:sz w:val="8"/>
          <w:szCs w:val="8"/>
          <w:lang w:val="sq-AL" w:eastAsia="en-GB"/>
        </w:rPr>
      </w:pPr>
    </w:p>
    <w:p w14:paraId="1B0970D4" w14:textId="77777777" w:rsidR="00C95685" w:rsidRPr="00C156A0" w:rsidRDefault="00C95685" w:rsidP="00C95685">
      <w:pPr>
        <w:rPr>
          <w:rFonts w:cs="Calibri"/>
          <w:noProof/>
          <w:sz w:val="2"/>
          <w:szCs w:val="2"/>
          <w:lang w:val="sq-AL"/>
        </w:rPr>
      </w:pPr>
    </w:p>
    <w:p w14:paraId="543A42A4" w14:textId="77777777" w:rsidR="00C95685" w:rsidRDefault="00C95685" w:rsidP="00C95685">
      <w:pPr>
        <w:spacing w:before="0" w:line="240" w:lineRule="auto"/>
        <w:rPr>
          <w:rFonts w:cs="Calibri"/>
          <w:noProof/>
          <w:lang w:val="sq-AL"/>
        </w:rPr>
      </w:pPr>
      <w:r w:rsidRPr="00724A4F">
        <w:rPr>
          <w:rFonts w:cs="Calibri"/>
          <w:noProof/>
          <w:lang w:val="sq-AL"/>
        </w:rPr>
        <w:t xml:space="preserve">Për sa u përket </w:t>
      </w:r>
      <w:r w:rsidRPr="00724A4F">
        <w:rPr>
          <w:rFonts w:cs="Calibri"/>
          <w:b/>
          <w:bCs/>
          <w:noProof/>
          <w:lang w:val="sq-AL"/>
        </w:rPr>
        <w:t>investimeve publike</w:t>
      </w:r>
      <w:r w:rsidRPr="00724A4F">
        <w:rPr>
          <w:rFonts w:cs="Calibri"/>
          <w:noProof/>
          <w:lang w:val="sq-AL"/>
        </w:rPr>
        <w:t xml:space="preserve">, me fondet e realizuara për investime (në total për 2 institucione) prej 0.24 </w:t>
      </w:r>
      <w:r>
        <w:rPr>
          <w:rFonts w:cs="Calibri"/>
          <w:noProof/>
          <w:lang w:val="sq-AL"/>
        </w:rPr>
        <w:t>miliardë</w:t>
      </w:r>
      <w:r w:rsidRPr="00724A4F">
        <w:rPr>
          <w:rFonts w:cs="Calibri"/>
          <w:noProof/>
          <w:lang w:val="sq-AL"/>
        </w:rPr>
        <w:t xml:space="preserve"> LEK në vitin 2025, ë</w:t>
      </w:r>
      <w:r>
        <w:rPr>
          <w:rFonts w:cs="Calibri"/>
          <w:noProof/>
          <w:lang w:val="sq-AL"/>
        </w:rPr>
        <w:t>shtë</w:t>
      </w:r>
      <w:r w:rsidRPr="00724A4F">
        <w:rPr>
          <w:rFonts w:cs="Calibri"/>
          <w:noProof/>
          <w:lang w:val="sq-AL"/>
        </w:rPr>
        <w:t xml:space="preserve"> realizuar ndërtim ambientesh dhe blerje pajisje kompjuterike.</w:t>
      </w:r>
    </w:p>
    <w:p w14:paraId="1A24FCAA" w14:textId="77777777" w:rsidR="00C95685" w:rsidRDefault="00C95685" w:rsidP="00D0642E">
      <w:pPr>
        <w:spacing w:before="0" w:line="240" w:lineRule="auto"/>
        <w:rPr>
          <w:rFonts w:eastAsia="SimSun" w:cs="Calibri"/>
          <w:noProof/>
          <w:sz w:val="20"/>
          <w:lang w:val="sq-AL"/>
        </w:rPr>
      </w:pPr>
    </w:p>
    <w:p w14:paraId="08D940E1" w14:textId="77777777" w:rsidR="00C95685" w:rsidRDefault="00C95685" w:rsidP="00D0642E">
      <w:pPr>
        <w:spacing w:before="0" w:line="240" w:lineRule="auto"/>
        <w:rPr>
          <w:rFonts w:eastAsia="SimSun" w:cs="Calibri"/>
          <w:noProof/>
          <w:sz w:val="20"/>
          <w:lang w:val="sq-AL"/>
        </w:rPr>
      </w:pPr>
    </w:p>
    <w:p w14:paraId="77FD13C0" w14:textId="77777777" w:rsidR="00C95685" w:rsidRDefault="00C95685" w:rsidP="00D0642E">
      <w:pPr>
        <w:spacing w:before="0" w:line="240" w:lineRule="auto"/>
        <w:rPr>
          <w:rFonts w:eastAsia="SimSun" w:cs="Calibri"/>
          <w:noProof/>
          <w:sz w:val="20"/>
          <w:lang w:val="sq-AL"/>
        </w:rPr>
      </w:pPr>
    </w:p>
    <w:p w14:paraId="31864911" w14:textId="77777777" w:rsidR="00634371" w:rsidRDefault="00634371" w:rsidP="00D0642E">
      <w:pPr>
        <w:spacing w:before="0" w:line="240" w:lineRule="auto"/>
        <w:rPr>
          <w:rFonts w:eastAsia="SimSun" w:cs="Calibri"/>
          <w:noProof/>
          <w:sz w:val="20"/>
          <w:lang w:val="sq-AL"/>
        </w:rPr>
      </w:pPr>
    </w:p>
    <w:p w14:paraId="644BB5EC" w14:textId="77777777" w:rsidR="00C95685" w:rsidRPr="00C156A0" w:rsidRDefault="00C95685" w:rsidP="00D0642E">
      <w:pPr>
        <w:spacing w:before="0" w:line="240" w:lineRule="auto"/>
        <w:rPr>
          <w:rFonts w:eastAsia="SimSun" w:cs="Calibri"/>
          <w:noProof/>
          <w:sz w:val="20"/>
          <w:lang w:val="sq-AL"/>
        </w:rPr>
      </w:pPr>
    </w:p>
    <w:p w14:paraId="25FD9E40" w14:textId="78B81DB7" w:rsidR="00BA7A3D" w:rsidRPr="00003636" w:rsidRDefault="00C156A0" w:rsidP="00634371">
      <w:pPr>
        <w:shd w:val="clear" w:color="auto" w:fill="D9D9D9" w:themeFill="background1" w:themeFillShade="D9"/>
        <w:rPr>
          <w:rFonts w:cs="Calibri"/>
          <w:i/>
          <w:noProof/>
          <w:szCs w:val="22"/>
          <w:lang w:val="sq-AL"/>
        </w:rPr>
      </w:pPr>
      <w:r w:rsidRPr="00C156A0">
        <w:rPr>
          <w:rFonts w:cs="Calibri"/>
          <w:i/>
          <w:noProof/>
          <w:szCs w:val="22"/>
          <w:lang w:val="sq-AL"/>
        </w:rPr>
        <w:t xml:space="preserve">Informacion më i detajuar analitik sa i takon realizimit të shpenzimeve buxhetore në nivel programi/produkti për ministritë e linjës, gjendet në </w:t>
      </w:r>
      <w:r w:rsidRPr="00C156A0">
        <w:rPr>
          <w:rFonts w:cs="Calibri"/>
          <w:b/>
          <w:i/>
          <w:noProof/>
          <w:szCs w:val="22"/>
          <w:lang w:val="sq-AL"/>
        </w:rPr>
        <w:t xml:space="preserve">Anekset 2.0 </w:t>
      </w:r>
      <w:r w:rsidRPr="00C156A0">
        <w:rPr>
          <w:rFonts w:cs="Calibri"/>
          <w:b/>
          <w:bCs/>
          <w:i/>
          <w:noProof/>
          <w:szCs w:val="22"/>
          <w:lang w:val="sq-AL"/>
        </w:rPr>
        <w:t>shoqëruese</w:t>
      </w:r>
      <w:r w:rsidRPr="00C156A0">
        <w:rPr>
          <w:rFonts w:cs="Calibri"/>
          <w:i/>
          <w:noProof/>
          <w:szCs w:val="22"/>
          <w:lang w:val="sq-AL"/>
        </w:rPr>
        <w:t xml:space="preserve"> të këtij Raporti. </w:t>
      </w:r>
    </w:p>
    <w:sectPr w:rsidR="00BA7A3D" w:rsidRPr="00003636" w:rsidSect="00D60122">
      <w:headerReference w:type="even" r:id="rId62"/>
      <w:headerReference w:type="default" r:id="rId63"/>
      <w:footerReference w:type="even" r:id="rId64"/>
      <w:footerReference w:type="default" r:id="rId65"/>
      <w:headerReference w:type="first" r:id="rId66"/>
      <w:footerReference w:type="first" r:id="rId67"/>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1EBDA" w14:textId="77777777" w:rsidR="00592606" w:rsidRDefault="00592606" w:rsidP="00BC6AC3">
      <w:r>
        <w:separator/>
      </w:r>
    </w:p>
  </w:endnote>
  <w:endnote w:type="continuationSeparator" w:id="0">
    <w:p w14:paraId="525C607F" w14:textId="77777777" w:rsidR="00592606" w:rsidRDefault="00592606"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725484"/>
      <w:docPartObj>
        <w:docPartGallery w:val="Page Numbers (Bottom of Page)"/>
        <w:docPartUnique/>
      </w:docPartObj>
    </w:sdtPr>
    <w:sdtEndPr>
      <w:rPr>
        <w:noProof/>
      </w:rPr>
    </w:sdtEndPr>
    <w:sdtContent>
      <w:p w14:paraId="673A0C84" w14:textId="77777777" w:rsidR="00A75E63" w:rsidRDefault="00A75E63">
        <w:pPr>
          <w:pStyle w:val="Footer"/>
          <w:jc w:val="right"/>
        </w:pPr>
        <w:r>
          <w:fldChar w:fldCharType="begin"/>
        </w:r>
        <w:r>
          <w:instrText xml:space="preserve"> PAGE   \* MERGEFORMAT </w:instrText>
        </w:r>
        <w:r>
          <w:fldChar w:fldCharType="separate"/>
        </w:r>
        <w:r>
          <w:rPr>
            <w:noProof/>
          </w:rPr>
          <w:t>64</w:t>
        </w:r>
        <w:r>
          <w:rPr>
            <w:noProof/>
          </w:rPr>
          <w:fldChar w:fldCharType="end"/>
        </w:r>
      </w:p>
    </w:sdtContent>
  </w:sdt>
  <w:p w14:paraId="38FF0968" w14:textId="77777777" w:rsidR="00A75E63" w:rsidRDefault="00A75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918616"/>
      <w:docPartObj>
        <w:docPartGallery w:val="Page Numbers (Bottom of Page)"/>
        <w:docPartUnique/>
      </w:docPartObj>
    </w:sdtPr>
    <w:sdtEndPr>
      <w:rPr>
        <w:noProof/>
      </w:rPr>
    </w:sdtEndPr>
    <w:sdtContent>
      <w:p w14:paraId="2A3C2B86" w14:textId="06C221D0" w:rsidR="00025B13" w:rsidRDefault="00025B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F457FE" w14:textId="77777777" w:rsidR="00A75E63" w:rsidRDefault="00A75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38892"/>
      <w:docPartObj>
        <w:docPartGallery w:val="Page Numbers (Bottom of Page)"/>
        <w:docPartUnique/>
      </w:docPartObj>
    </w:sdtPr>
    <w:sdtEndPr>
      <w:rPr>
        <w:noProof/>
      </w:rPr>
    </w:sdtEndPr>
    <w:sdtContent>
      <w:p w14:paraId="01846C69" w14:textId="77777777" w:rsidR="00A75E63" w:rsidRDefault="00A75E63">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503FA7CC" w14:textId="77777777" w:rsidR="00A75E63" w:rsidRDefault="00A75E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415599"/>
      <w:docPartObj>
        <w:docPartGallery w:val="Page Numbers (Bottom of Page)"/>
        <w:docPartUnique/>
      </w:docPartObj>
    </w:sdtPr>
    <w:sdtEndPr/>
    <w:sdtContent>
      <w:p w14:paraId="0820A2C2" w14:textId="77777777" w:rsidR="00A75E63" w:rsidRDefault="00A75E6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p w14:paraId="67109F93" w14:textId="77777777" w:rsidR="00A75E63" w:rsidRDefault="00A75E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843409"/>
      <w:docPartObj>
        <w:docPartGallery w:val="Page Numbers (Bottom of Page)"/>
        <w:docPartUnique/>
      </w:docPartObj>
    </w:sdtPr>
    <w:sdtEndPr>
      <w:rPr>
        <w:noProof/>
      </w:rPr>
    </w:sdtEndPr>
    <w:sdtContent>
      <w:p w14:paraId="71581F02" w14:textId="6578108C" w:rsidR="008907A1" w:rsidRDefault="008907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A78803" w14:textId="77777777" w:rsidR="00A75E63" w:rsidRDefault="00A75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EA5B9" w14:textId="77777777" w:rsidR="00592606" w:rsidRDefault="00592606" w:rsidP="00BC6AC3">
      <w:r>
        <w:separator/>
      </w:r>
    </w:p>
  </w:footnote>
  <w:footnote w:type="continuationSeparator" w:id="0">
    <w:p w14:paraId="22D16BC1" w14:textId="77777777" w:rsidR="00592606" w:rsidRDefault="00592606" w:rsidP="00BC6AC3">
      <w:r>
        <w:continuationSeparator/>
      </w:r>
    </w:p>
  </w:footnote>
  <w:footnote w:id="1">
    <w:p w14:paraId="52AB18D7" w14:textId="196B309D" w:rsidR="00D31F37" w:rsidRPr="001C1F7E" w:rsidRDefault="00D31F37" w:rsidP="00D31F37">
      <w:pPr>
        <w:spacing w:before="0" w:line="240" w:lineRule="auto"/>
        <w:rPr>
          <w:rFonts w:eastAsia="MS Mincho" w:cs="Calibri"/>
          <w:i/>
          <w:sz w:val="16"/>
          <w:szCs w:val="18"/>
          <w:lang w:val="sq-AL"/>
        </w:rPr>
      </w:pPr>
      <w:r>
        <w:rPr>
          <w:rStyle w:val="FootnoteReference"/>
        </w:rPr>
        <w:footnoteRef/>
      </w:r>
      <w:r w:rsidRPr="0047103F">
        <w:rPr>
          <w:lang w:val="sq-AL"/>
        </w:rPr>
        <w:t xml:space="preserve"> </w:t>
      </w:r>
      <w:r w:rsidRPr="0077529F">
        <w:rPr>
          <w:rFonts w:eastAsia="MS Mincho" w:cs="Calibri"/>
          <w:b/>
          <w:i/>
          <w:sz w:val="16"/>
          <w:szCs w:val="18"/>
          <w:u w:val="single"/>
          <w:lang w:val="sq-AL"/>
        </w:rPr>
        <w:t>Shënim</w:t>
      </w:r>
      <w:r w:rsidRPr="001C1F7E">
        <w:rPr>
          <w:rFonts w:eastAsia="MS Mincho" w:cs="Calibri"/>
          <w:i/>
          <w:sz w:val="16"/>
          <w:szCs w:val="18"/>
          <w:lang w:val="sq-AL"/>
        </w:rPr>
        <w:t xml:space="preserve">: </w:t>
      </w:r>
      <w:r w:rsidR="0035122C" w:rsidRPr="00F940EA">
        <w:rPr>
          <w:rFonts w:eastAsia="MS Mincho" w:cs="Calibri"/>
          <w:i/>
          <w:sz w:val="16"/>
          <w:szCs w:val="18"/>
        </w:rPr>
        <w:t>Taksa mbi biznesin e vogël, pas ndryshimeve fiskale ligjore më të fundit, është bërë zero (ligji nr.112/2020 “Për disa ndryshime në ligjin nr.9632 datë 30.10.2006 “Për sistemin e taksave vendore”, të ndryshuar”). Nga realizimi faktik gjatë vitit 202</w:t>
      </w:r>
      <w:r w:rsidR="0035122C">
        <w:rPr>
          <w:rFonts w:eastAsia="MS Mincho" w:cs="Calibri"/>
          <w:i/>
          <w:sz w:val="16"/>
          <w:szCs w:val="18"/>
        </w:rPr>
        <w:t>5</w:t>
      </w:r>
      <w:r w:rsidR="0035122C" w:rsidRPr="00F940EA">
        <w:rPr>
          <w:rFonts w:eastAsia="MS Mincho" w:cs="Calibri"/>
          <w:i/>
          <w:sz w:val="16"/>
          <w:szCs w:val="18"/>
        </w:rPr>
        <w:t xml:space="preserve">, rezulton se nga ky zë janë mbledhur rreth </w:t>
      </w:r>
      <w:r w:rsidR="0035122C">
        <w:rPr>
          <w:rFonts w:eastAsia="MS Mincho" w:cs="Calibri"/>
          <w:i/>
          <w:sz w:val="16"/>
          <w:szCs w:val="18"/>
        </w:rPr>
        <w:t>36</w:t>
      </w:r>
      <w:r w:rsidR="0035122C" w:rsidRPr="00F940EA">
        <w:rPr>
          <w:rFonts w:eastAsia="MS Mincho" w:cs="Calibri"/>
          <w:i/>
          <w:sz w:val="16"/>
          <w:szCs w:val="18"/>
        </w:rPr>
        <w:t xml:space="preserve"> </w:t>
      </w:r>
      <w:r w:rsidR="0035122C">
        <w:rPr>
          <w:rFonts w:eastAsia="MS Mincho" w:cs="Calibri"/>
          <w:i/>
          <w:sz w:val="16"/>
          <w:szCs w:val="18"/>
        </w:rPr>
        <w:t>milionë</w:t>
      </w:r>
      <w:r w:rsidR="0035122C" w:rsidRPr="00F940EA">
        <w:rPr>
          <w:rFonts w:eastAsia="MS Mincho" w:cs="Calibri"/>
          <w:i/>
          <w:sz w:val="16"/>
          <w:szCs w:val="18"/>
        </w:rPr>
        <w:t xml:space="preserve"> LEK, që përbëjnë vetëm 0.</w:t>
      </w:r>
      <w:r w:rsidR="0035122C">
        <w:rPr>
          <w:rFonts w:eastAsia="MS Mincho" w:cs="Calibri"/>
          <w:i/>
          <w:sz w:val="16"/>
          <w:szCs w:val="18"/>
        </w:rPr>
        <w:t>09</w:t>
      </w:r>
      <w:r w:rsidR="0035122C" w:rsidRPr="00F940EA">
        <w:rPr>
          <w:rFonts w:eastAsia="MS Mincho" w:cs="Calibri"/>
          <w:i/>
          <w:sz w:val="16"/>
          <w:szCs w:val="18"/>
        </w:rPr>
        <w:t>% të totalit të burimeve tatimore të pushtetit vendor, të cilat përfaqësojnë detyrime të paguara me vones</w:t>
      </w:r>
      <w:r w:rsidR="0035122C">
        <w:rPr>
          <w:rFonts w:eastAsia="MS Mincho" w:cs="Calibri"/>
          <w:i/>
          <w:sz w:val="16"/>
          <w:szCs w:val="18"/>
        </w:rPr>
        <w:t>ë</w:t>
      </w:r>
      <w:r w:rsidRPr="001C1F7E">
        <w:rPr>
          <w:rFonts w:eastAsia="MS Mincho" w:cs="Calibri"/>
          <w:i/>
          <w:sz w:val="16"/>
          <w:szCs w:val="18"/>
          <w:lang w:val="sq-AL"/>
        </w:rPr>
        <w:t>.</w:t>
      </w:r>
    </w:p>
  </w:footnote>
  <w:footnote w:id="2">
    <w:p w14:paraId="4BBE55FB" w14:textId="77777777" w:rsidR="0033375A" w:rsidRPr="00CF6A7A" w:rsidRDefault="0033375A" w:rsidP="0033375A">
      <w:pPr>
        <w:pStyle w:val="FootnoteText"/>
        <w:spacing w:before="0" w:line="240" w:lineRule="auto"/>
        <w:rPr>
          <w:i/>
          <w:sz w:val="16"/>
          <w:lang w:val="sq-AL"/>
        </w:rPr>
      </w:pPr>
      <w:r w:rsidRPr="00CF6A7A">
        <w:rPr>
          <w:rStyle w:val="FootnoteReference"/>
          <w:i/>
          <w:sz w:val="16"/>
        </w:rPr>
        <w:footnoteRef/>
      </w:r>
      <w:r w:rsidRPr="00CF6A7A">
        <w:rPr>
          <w:i/>
          <w:sz w:val="16"/>
          <w:lang w:val="sq-AL"/>
        </w:rPr>
        <w:t xml:space="preserve"> </w:t>
      </w:r>
      <w:r w:rsidRPr="004A607C">
        <w:rPr>
          <w:i/>
          <w:sz w:val="16"/>
          <w:lang w:val="sq-AL"/>
        </w:rPr>
        <w:t>Deri në përfundimin e procesit të auditimit, të dhënat financiare janë paraprake për OSHEE Group sh.a (vitet 2023-2024), KESH sh.a (vitet 2022-2024) dhe OST sh.a (viti 2024). Këto të dhëna mund të jenë subjekt i ndryshimeve në vijim.</w:t>
      </w:r>
    </w:p>
  </w:footnote>
  <w:footnote w:id="3">
    <w:p w14:paraId="0ABC035A" w14:textId="77777777" w:rsidR="008448A3" w:rsidRPr="004F4BDA" w:rsidRDefault="008448A3" w:rsidP="008448A3">
      <w:pPr>
        <w:pStyle w:val="FootnoteText"/>
        <w:spacing w:before="0" w:line="240" w:lineRule="auto"/>
        <w:rPr>
          <w:i/>
          <w:sz w:val="16"/>
          <w:lang w:val="sq-AL"/>
        </w:rPr>
      </w:pPr>
      <w:r w:rsidRPr="004F4BDA">
        <w:rPr>
          <w:rStyle w:val="FootnoteReference"/>
          <w:i/>
          <w:sz w:val="16"/>
        </w:rPr>
        <w:footnoteRef/>
      </w:r>
      <w:r w:rsidRPr="004F4BDA">
        <w:rPr>
          <w:i/>
          <w:sz w:val="16"/>
          <w:lang w:val="sq-AL"/>
        </w:rPr>
        <w:t xml:space="preserve"> Pa përfshirë detyrimet e prapambetura të Ujësjellës</w:t>
      </w:r>
      <w:r>
        <w:rPr>
          <w:i/>
          <w:sz w:val="16"/>
          <w:lang w:val="sq-AL"/>
        </w:rPr>
        <w:t>-</w:t>
      </w:r>
      <w:r w:rsidRPr="004F4BDA">
        <w:rPr>
          <w:i/>
          <w:sz w:val="16"/>
          <w:lang w:val="sq-AL"/>
        </w:rPr>
        <w:t>Kanalizime dhe Universiteteve</w:t>
      </w:r>
    </w:p>
  </w:footnote>
  <w:footnote w:id="4">
    <w:p w14:paraId="69D94B5D" w14:textId="77777777" w:rsidR="008448A3" w:rsidRPr="0047103F" w:rsidRDefault="008448A3" w:rsidP="008448A3">
      <w:pPr>
        <w:pStyle w:val="FootnoteText"/>
        <w:spacing w:before="0" w:line="240" w:lineRule="auto"/>
        <w:rPr>
          <w:rFonts w:asciiTheme="majorHAnsi" w:hAnsiTheme="majorHAnsi" w:cstheme="majorHAnsi"/>
          <w:i/>
          <w:sz w:val="18"/>
          <w:lang w:val="sq-AL"/>
        </w:rPr>
      </w:pPr>
      <w:r w:rsidRPr="005749F1">
        <w:rPr>
          <w:rStyle w:val="FootnoteReference"/>
          <w:rFonts w:asciiTheme="majorHAnsi" w:hAnsiTheme="majorHAnsi" w:cstheme="majorHAnsi"/>
          <w:sz w:val="18"/>
        </w:rPr>
        <w:footnoteRef/>
      </w:r>
      <w:r w:rsidRPr="0047103F">
        <w:rPr>
          <w:rFonts w:asciiTheme="majorHAnsi" w:hAnsiTheme="majorHAnsi" w:cstheme="majorHAnsi"/>
          <w:sz w:val="18"/>
          <w:lang w:val="sq-AL"/>
        </w:rPr>
        <w:t xml:space="preserve"> </w:t>
      </w:r>
      <w:r w:rsidRPr="00C51432">
        <w:rPr>
          <w:rFonts w:asciiTheme="majorHAnsi" w:hAnsiTheme="majorHAnsi" w:cstheme="majorHAnsi"/>
          <w:i/>
          <w:sz w:val="16"/>
          <w:lang w:val="sq-AL"/>
        </w:rPr>
        <w:t xml:space="preserve">Për kontratën “Për projektimin, ndërtimin dhe mirëmbajtjen e ‘Portit të Integruar’ në Triport Vlorë”, referuar modelit financiar të kësaj kontrate, </w:t>
      </w:r>
      <w:r>
        <w:rPr>
          <w:rFonts w:asciiTheme="majorHAnsi" w:hAnsiTheme="majorHAnsi" w:cstheme="majorHAnsi"/>
          <w:i/>
          <w:sz w:val="16"/>
          <w:lang w:val="sq-AL"/>
        </w:rPr>
        <w:t xml:space="preserve">pagesat nga Autoriteti Kontraktor </w:t>
      </w:r>
      <w:r w:rsidRPr="00364FAD">
        <w:rPr>
          <w:rFonts w:asciiTheme="majorHAnsi" w:hAnsiTheme="majorHAnsi" w:cstheme="majorHAnsi"/>
          <w:i/>
          <w:sz w:val="16"/>
          <w:lang w:val="sq-AL"/>
        </w:rPr>
        <w:t>do të kryhen jo më parë se tre vite nga data efektive e kontratës</w:t>
      </w:r>
      <w:r>
        <w:rPr>
          <w:rFonts w:asciiTheme="majorHAnsi" w:hAnsiTheme="majorHAnsi" w:cstheme="majorHAnsi"/>
          <w:i/>
          <w:sz w:val="16"/>
          <w:lang w:val="sq-AL"/>
        </w:rPr>
        <w:t xml:space="preserve">, </w:t>
      </w:r>
      <w:r w:rsidRPr="00364FAD">
        <w:rPr>
          <w:rFonts w:asciiTheme="majorHAnsi" w:hAnsiTheme="majorHAnsi" w:cstheme="majorHAnsi"/>
          <w:i/>
          <w:sz w:val="16"/>
          <w:lang w:val="sq-AL"/>
        </w:rPr>
        <w:t xml:space="preserve">pasi të jenë kryer 100% të volumit të punimeve. </w:t>
      </w:r>
    </w:p>
  </w:footnote>
  <w:footnote w:id="5">
    <w:p w14:paraId="7405D5F5" w14:textId="313EFD73" w:rsidR="00B966EF" w:rsidRPr="00E859C3" w:rsidRDefault="00B966EF" w:rsidP="00B966EF">
      <w:pPr>
        <w:pStyle w:val="FootnoteText"/>
        <w:spacing w:before="0" w:line="240" w:lineRule="auto"/>
        <w:jc w:val="left"/>
        <w:rPr>
          <w:i/>
          <w:sz w:val="18"/>
          <w:szCs w:val="18"/>
        </w:rPr>
      </w:pPr>
      <w:r w:rsidRPr="005F74F3">
        <w:rPr>
          <w:rStyle w:val="FootnoteReference"/>
          <w:i/>
          <w:sz w:val="18"/>
          <w:szCs w:val="18"/>
        </w:rPr>
        <w:footnoteRef/>
      </w:r>
      <w:r w:rsidRPr="005F74F3">
        <w:rPr>
          <w:i/>
          <w:sz w:val="18"/>
          <w:szCs w:val="18"/>
        </w:rPr>
        <w:t xml:space="preserve"> </w:t>
      </w:r>
      <w:r w:rsidR="001824B9" w:rsidRPr="005F74F3">
        <w:rPr>
          <w:i/>
          <w:sz w:val="18"/>
          <w:szCs w:val="18"/>
        </w:rPr>
        <w:t>W</w:t>
      </w:r>
      <w:r w:rsidRPr="005F74F3">
        <w:rPr>
          <w:i/>
          <w:sz w:val="18"/>
          <w:szCs w:val="18"/>
        </w:rPr>
        <w:t xml:space="preserve">orld Economic Outlook, 14 October 2024, </w:t>
      </w:r>
      <w:hyperlink r:id="rId1" w:history="1">
        <w:r w:rsidR="009C7207" w:rsidRPr="00F45244">
          <w:rPr>
            <w:rStyle w:val="Hyperlink"/>
            <w:i/>
            <w:color w:val="0000FF"/>
            <w:sz w:val="18"/>
            <w:szCs w:val="18"/>
          </w:rPr>
          <w:t>W</w:t>
        </w:r>
        <w:r w:rsidRPr="00F45244">
          <w:rPr>
            <w:rStyle w:val="Hyperlink"/>
            <w:i/>
            <w:color w:val="0000FF"/>
            <w:sz w:val="18"/>
            <w:szCs w:val="18"/>
          </w:rPr>
          <w:t>orld Economic Outlook, October 2025; Global Economy in Flux, Prospects Remain Dim</w:t>
        </w:r>
      </w:hyperlink>
      <w:r w:rsidRPr="00F24E3E">
        <w:rPr>
          <w: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A75E63" w:rsidRPr="005B570E" w14:paraId="394C446B"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9692004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24BD0592" w14:textId="77777777" w:rsidR="00A75E63" w:rsidRPr="008E7E7B" w:rsidRDefault="00A75E63"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28B691E" w14:textId="66769D16" w:rsidR="00A75E63" w:rsidRPr="00D0175F" w:rsidRDefault="00A75E63" w:rsidP="006469E4">
          <w:pPr>
            <w:pStyle w:val="Header"/>
            <w:rPr>
              <w:rFonts w:asciiTheme="majorHAnsi" w:eastAsiaTheme="majorEastAsia" w:hAnsiTheme="majorHAnsi" w:cstheme="majorBidi"/>
              <w:b/>
              <w:bCs/>
              <w:color w:val="A6A6A6" w:themeColor="background1" w:themeShade="A6"/>
              <w:sz w:val="18"/>
              <w:szCs w:val="18"/>
            </w:rPr>
          </w:pPr>
          <w:proofErr w:type="spellStart"/>
          <w:r w:rsidRPr="00D0175F">
            <w:rPr>
              <w:rFonts w:asciiTheme="majorHAnsi" w:eastAsiaTheme="majorEastAsia" w:hAnsiTheme="majorHAnsi" w:cstheme="majorBidi"/>
              <w:b/>
              <w:bCs/>
              <w:color w:val="A6A6A6" w:themeColor="background1" w:themeShade="A6"/>
              <w:sz w:val="18"/>
              <w:szCs w:val="18"/>
            </w:rPr>
            <w:t>Buxheti</w:t>
          </w:r>
          <w:proofErr w:type="spellEnd"/>
          <w:r w:rsidRPr="00D0175F">
            <w:rPr>
              <w:rFonts w:asciiTheme="majorHAnsi" w:eastAsiaTheme="majorEastAsia" w:hAnsiTheme="majorHAnsi" w:cstheme="majorBidi"/>
              <w:b/>
              <w:bCs/>
              <w:color w:val="A6A6A6" w:themeColor="background1" w:themeShade="A6"/>
              <w:sz w:val="18"/>
              <w:szCs w:val="18"/>
            </w:rPr>
            <w:t xml:space="preserve"> </w:t>
          </w:r>
          <w:proofErr w:type="spellStart"/>
          <w:r w:rsidRPr="00D0175F">
            <w:rPr>
              <w:rFonts w:asciiTheme="majorHAnsi" w:eastAsiaTheme="majorEastAsia" w:hAnsiTheme="majorHAnsi" w:cstheme="majorBidi"/>
              <w:b/>
              <w:bCs/>
              <w:color w:val="A6A6A6" w:themeColor="background1" w:themeShade="A6"/>
              <w:sz w:val="18"/>
              <w:szCs w:val="18"/>
            </w:rPr>
            <w:t>Faktik</w:t>
          </w:r>
          <w:proofErr w:type="spellEnd"/>
          <w:r w:rsidRPr="00D0175F">
            <w:rPr>
              <w:rFonts w:asciiTheme="majorHAnsi" w:eastAsiaTheme="majorEastAsia" w:hAnsiTheme="majorHAnsi" w:cstheme="majorBidi"/>
              <w:b/>
              <w:bCs/>
              <w:color w:val="A6A6A6" w:themeColor="background1" w:themeShade="A6"/>
              <w:sz w:val="18"/>
              <w:szCs w:val="18"/>
            </w:rPr>
            <w:t xml:space="preserve"> 20</w:t>
          </w:r>
          <w:r>
            <w:rPr>
              <w:rFonts w:asciiTheme="majorHAnsi" w:eastAsiaTheme="majorEastAsia" w:hAnsiTheme="majorHAnsi" w:cstheme="majorBidi"/>
              <w:b/>
              <w:bCs/>
              <w:color w:val="A6A6A6" w:themeColor="background1" w:themeShade="A6"/>
              <w:sz w:val="18"/>
              <w:szCs w:val="18"/>
            </w:rPr>
            <w:t>2</w:t>
          </w:r>
          <w:r w:rsidR="00781C30">
            <w:rPr>
              <w:rFonts w:asciiTheme="majorHAnsi" w:eastAsiaTheme="majorEastAsia" w:hAnsiTheme="majorHAnsi" w:cstheme="majorBidi"/>
              <w:b/>
              <w:bCs/>
              <w:color w:val="A6A6A6" w:themeColor="background1" w:themeShade="A6"/>
              <w:sz w:val="18"/>
              <w:szCs w:val="18"/>
            </w:rPr>
            <w:t>5</w:t>
          </w:r>
        </w:p>
      </w:tc>
    </w:tr>
  </w:tbl>
  <w:p w14:paraId="3DE99045" w14:textId="77777777" w:rsidR="00A75E63" w:rsidRDefault="00A75E63" w:rsidP="00D01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E48A" w14:textId="530AA853" w:rsidR="008907A1" w:rsidRDefault="008907A1">
    <w:pPr>
      <w:pStyle w:val="Header"/>
      <w:jc w:val="right"/>
    </w:pPr>
  </w:p>
  <w:p w14:paraId="7F85EFD2" w14:textId="77777777" w:rsidR="00A75E63" w:rsidRDefault="00A75E63" w:rsidP="00D01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A75E63" w:rsidRPr="005B570E" w14:paraId="157C6716" w14:textId="77777777"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67218368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44B5604F" w14:textId="77777777" w:rsidR="00A75E63" w:rsidRPr="008E7E7B" w:rsidRDefault="00A75E63"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D3C830C" w14:textId="09A94B78" w:rsidR="00A75E63" w:rsidRPr="00D0175F" w:rsidRDefault="00A75E63" w:rsidP="00CC123A">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B930C1">
            <w:rPr>
              <w:rFonts w:asciiTheme="majorHAnsi" w:eastAsiaTheme="majorEastAsia" w:hAnsiTheme="majorHAnsi" w:cstheme="majorBidi"/>
              <w:b/>
              <w:bCs/>
              <w:color w:val="A6A6A6" w:themeColor="background1" w:themeShade="A6"/>
              <w:sz w:val="18"/>
              <w:szCs w:val="18"/>
            </w:rPr>
            <w:t>5</w:t>
          </w:r>
        </w:p>
      </w:tc>
    </w:tr>
  </w:tbl>
  <w:p w14:paraId="608B770E" w14:textId="77777777" w:rsidR="00A75E63" w:rsidRDefault="00A75E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A75E63" w:rsidRPr="005B570E" w14:paraId="2E89D8A9" w14:textId="77777777" w:rsidTr="00D0175F">
      <w:trPr>
        <w:trHeight w:val="155"/>
      </w:trPr>
      <w:sdt>
        <w:sdtPr>
          <w:rPr>
            <w:rFonts w:asciiTheme="majorHAnsi" w:eastAsiaTheme="majorEastAsia" w:hAnsiTheme="majorHAnsi" w:cstheme="majorBidi"/>
            <w:color w:val="A6A6A6" w:themeColor="background1" w:themeShade="A6"/>
            <w:sz w:val="18"/>
            <w:szCs w:val="18"/>
          </w:rPr>
          <w:alias w:val="Title"/>
          <w:id w:val="127978099"/>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36A33ABA" w14:textId="77777777" w:rsidR="00A75E63" w:rsidRPr="008E7E7B" w:rsidRDefault="00A75E63"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2F10B203" w14:textId="280C4F12" w:rsidR="00A75E63" w:rsidRPr="00D0175F" w:rsidRDefault="00A75E63" w:rsidP="00374BB8">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B930C1">
            <w:rPr>
              <w:rFonts w:asciiTheme="majorHAnsi" w:eastAsiaTheme="majorEastAsia" w:hAnsiTheme="majorHAnsi" w:cstheme="majorBidi"/>
              <w:b/>
              <w:bCs/>
              <w:color w:val="A6A6A6" w:themeColor="background1" w:themeShade="A6"/>
              <w:sz w:val="18"/>
              <w:szCs w:val="18"/>
            </w:rPr>
            <w:t>5</w:t>
          </w:r>
        </w:p>
      </w:tc>
    </w:tr>
  </w:tbl>
  <w:p w14:paraId="79498E61" w14:textId="77777777" w:rsidR="00A75E63" w:rsidRDefault="00A75E63" w:rsidP="003734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A75E63" w:rsidRPr="005B570E" w14:paraId="2C9DDC22" w14:textId="77777777"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2055081775"/>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7BA535FF" w14:textId="77777777" w:rsidR="00A75E63" w:rsidRPr="008E7E7B" w:rsidRDefault="00A75E63"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C156A5B" w14:textId="3BEF0FB0" w:rsidR="00A75E63" w:rsidRPr="00D0175F" w:rsidRDefault="00A75E63" w:rsidP="00DD1FAF">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B930C1">
            <w:rPr>
              <w:rFonts w:asciiTheme="majorHAnsi" w:eastAsiaTheme="majorEastAsia" w:hAnsiTheme="majorHAnsi" w:cstheme="majorBidi"/>
              <w:b/>
              <w:bCs/>
              <w:color w:val="A6A6A6" w:themeColor="background1" w:themeShade="A6"/>
              <w:sz w:val="18"/>
              <w:szCs w:val="18"/>
            </w:rPr>
            <w:t>5</w:t>
          </w:r>
        </w:p>
      </w:tc>
    </w:tr>
  </w:tbl>
  <w:p w14:paraId="3F12CB3C" w14:textId="77777777" w:rsidR="00A75E63" w:rsidRDefault="00A75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3C2E46"/>
    <w:lvl w:ilvl="0">
      <w:start w:val="1"/>
      <w:numFmt w:val="bullet"/>
      <w:pStyle w:val="ListBullet"/>
      <w:lvlText w:val=""/>
      <w:lvlJc w:val="left"/>
      <w:pPr>
        <w:tabs>
          <w:tab w:val="num" w:pos="360"/>
        </w:tabs>
        <w:ind w:left="360" w:hanging="360"/>
      </w:pPr>
      <w:rPr>
        <w:rFonts w:ascii="Symbol" w:hAnsi="Symbol" w:hint="default"/>
        <w:color w:val="0075A2" w:themeColor="accent2" w:themeShade="BF"/>
      </w:rPr>
    </w:lvl>
  </w:abstractNum>
  <w:abstractNum w:abstractNumId="1" w15:restartNumberingAfterBreak="0">
    <w:nsid w:val="00A43AA0"/>
    <w:multiLevelType w:val="hybridMultilevel"/>
    <w:tmpl w:val="7CC4C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1651"/>
    <w:multiLevelType w:val="hybridMultilevel"/>
    <w:tmpl w:val="0420977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41721AF"/>
    <w:multiLevelType w:val="hybridMultilevel"/>
    <w:tmpl w:val="C2C49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53F02"/>
    <w:multiLevelType w:val="hybridMultilevel"/>
    <w:tmpl w:val="C2BA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A74AF"/>
    <w:multiLevelType w:val="hybridMultilevel"/>
    <w:tmpl w:val="3FDC66A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23394"/>
    <w:multiLevelType w:val="hybridMultilevel"/>
    <w:tmpl w:val="047A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D6791"/>
    <w:multiLevelType w:val="hybridMultilevel"/>
    <w:tmpl w:val="E3E2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319E6"/>
    <w:multiLevelType w:val="hybridMultilevel"/>
    <w:tmpl w:val="7714AB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C2610"/>
    <w:multiLevelType w:val="multilevel"/>
    <w:tmpl w:val="BDF01870"/>
    <w:lvl w:ilvl="0">
      <w:start w:val="1"/>
      <w:numFmt w:val="decimal"/>
      <w:pStyle w:val="Fiskale1"/>
      <w:lvlText w:val="%1."/>
      <w:lvlJc w:val="left"/>
      <w:pPr>
        <w:ind w:left="45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380410C"/>
    <w:multiLevelType w:val="hybridMultilevel"/>
    <w:tmpl w:val="0E62272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E8609B"/>
    <w:multiLevelType w:val="hybridMultilevel"/>
    <w:tmpl w:val="B7D862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05CA9"/>
    <w:multiLevelType w:val="hybridMultilevel"/>
    <w:tmpl w:val="EEEEB8D6"/>
    <w:lvl w:ilvl="0" w:tplc="31525EE0">
      <w:start w:val="1"/>
      <w:numFmt w:val="decimal"/>
      <w:pStyle w:val="ParagraphNumbering"/>
      <w:lvlText w:val="%1.     "/>
      <w:lvlJc w:val="left"/>
      <w:pPr>
        <w:tabs>
          <w:tab w:val="num" w:pos="720"/>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CA35F2"/>
    <w:multiLevelType w:val="hybridMultilevel"/>
    <w:tmpl w:val="C0F03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5B85F02"/>
    <w:multiLevelType w:val="hybridMultilevel"/>
    <w:tmpl w:val="F4AE5376"/>
    <w:lvl w:ilvl="0" w:tplc="66F0827A">
      <w:start w:val="1"/>
      <w:numFmt w:val="bullet"/>
      <w:lvlText w:val="o"/>
      <w:lvlJc w:val="left"/>
      <w:pPr>
        <w:ind w:left="1455" w:hanging="360"/>
      </w:pPr>
      <w:rPr>
        <w:rFonts w:ascii="Courier New" w:hAnsi="Courier New" w:cs="Courier New" w:hint="default"/>
        <w:b w:val="0"/>
        <w:i w:val="0"/>
        <w:strike w:val="0"/>
        <w:dstrike w:val="0"/>
        <w:color w:val="000000"/>
        <w:sz w:val="20"/>
        <w:szCs w:val="20"/>
        <w:u w:val="none" w:color="000000"/>
        <w:effect w:val="none"/>
        <w:bdr w:val="none" w:sz="0" w:space="0" w:color="auto" w:frame="1"/>
        <w:vertAlign w:val="baseline"/>
      </w:rPr>
    </w:lvl>
    <w:lvl w:ilvl="1" w:tplc="FFFFFFFF" w:tentative="1">
      <w:start w:val="1"/>
      <w:numFmt w:val="bullet"/>
      <w:lvlText w:val="o"/>
      <w:lvlJc w:val="left"/>
      <w:pPr>
        <w:ind w:left="2175" w:hanging="360"/>
      </w:pPr>
      <w:rPr>
        <w:rFonts w:ascii="Courier New" w:hAnsi="Courier New" w:cs="Courier New" w:hint="default"/>
      </w:rPr>
    </w:lvl>
    <w:lvl w:ilvl="2" w:tplc="FFFFFFFF" w:tentative="1">
      <w:start w:val="1"/>
      <w:numFmt w:val="bullet"/>
      <w:lvlText w:val=""/>
      <w:lvlJc w:val="left"/>
      <w:pPr>
        <w:ind w:left="2895" w:hanging="360"/>
      </w:pPr>
      <w:rPr>
        <w:rFonts w:ascii="Wingdings" w:hAnsi="Wingdings" w:hint="default"/>
      </w:rPr>
    </w:lvl>
    <w:lvl w:ilvl="3" w:tplc="FFFFFFFF" w:tentative="1">
      <w:start w:val="1"/>
      <w:numFmt w:val="bullet"/>
      <w:lvlText w:val=""/>
      <w:lvlJc w:val="left"/>
      <w:pPr>
        <w:ind w:left="3615" w:hanging="360"/>
      </w:pPr>
      <w:rPr>
        <w:rFonts w:ascii="Symbol" w:hAnsi="Symbol" w:hint="default"/>
      </w:rPr>
    </w:lvl>
    <w:lvl w:ilvl="4" w:tplc="FFFFFFFF" w:tentative="1">
      <w:start w:val="1"/>
      <w:numFmt w:val="bullet"/>
      <w:lvlText w:val="o"/>
      <w:lvlJc w:val="left"/>
      <w:pPr>
        <w:ind w:left="4335" w:hanging="360"/>
      </w:pPr>
      <w:rPr>
        <w:rFonts w:ascii="Courier New" w:hAnsi="Courier New" w:cs="Courier New" w:hint="default"/>
      </w:rPr>
    </w:lvl>
    <w:lvl w:ilvl="5" w:tplc="FFFFFFFF" w:tentative="1">
      <w:start w:val="1"/>
      <w:numFmt w:val="bullet"/>
      <w:lvlText w:val=""/>
      <w:lvlJc w:val="left"/>
      <w:pPr>
        <w:ind w:left="5055" w:hanging="360"/>
      </w:pPr>
      <w:rPr>
        <w:rFonts w:ascii="Wingdings" w:hAnsi="Wingdings" w:hint="default"/>
      </w:rPr>
    </w:lvl>
    <w:lvl w:ilvl="6" w:tplc="FFFFFFFF" w:tentative="1">
      <w:start w:val="1"/>
      <w:numFmt w:val="bullet"/>
      <w:lvlText w:val=""/>
      <w:lvlJc w:val="left"/>
      <w:pPr>
        <w:ind w:left="5775" w:hanging="360"/>
      </w:pPr>
      <w:rPr>
        <w:rFonts w:ascii="Symbol" w:hAnsi="Symbol" w:hint="default"/>
      </w:rPr>
    </w:lvl>
    <w:lvl w:ilvl="7" w:tplc="FFFFFFFF" w:tentative="1">
      <w:start w:val="1"/>
      <w:numFmt w:val="bullet"/>
      <w:lvlText w:val="o"/>
      <w:lvlJc w:val="left"/>
      <w:pPr>
        <w:ind w:left="6495" w:hanging="360"/>
      </w:pPr>
      <w:rPr>
        <w:rFonts w:ascii="Courier New" w:hAnsi="Courier New" w:cs="Courier New" w:hint="default"/>
      </w:rPr>
    </w:lvl>
    <w:lvl w:ilvl="8" w:tplc="FFFFFFFF" w:tentative="1">
      <w:start w:val="1"/>
      <w:numFmt w:val="bullet"/>
      <w:lvlText w:val=""/>
      <w:lvlJc w:val="left"/>
      <w:pPr>
        <w:ind w:left="7215" w:hanging="360"/>
      </w:pPr>
      <w:rPr>
        <w:rFonts w:ascii="Wingdings" w:hAnsi="Wingdings" w:hint="default"/>
      </w:rPr>
    </w:lvl>
  </w:abstractNum>
  <w:abstractNum w:abstractNumId="16" w15:restartNumberingAfterBreak="0">
    <w:nsid w:val="197D13C9"/>
    <w:multiLevelType w:val="hybridMultilevel"/>
    <w:tmpl w:val="0E4238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721034"/>
    <w:multiLevelType w:val="hybridMultilevel"/>
    <w:tmpl w:val="82824D16"/>
    <w:lvl w:ilvl="0" w:tplc="04090003">
      <w:start w:val="1"/>
      <w:numFmt w:val="bullet"/>
      <w:lvlText w:val="o"/>
      <w:lvlJc w:val="left"/>
      <w:pPr>
        <w:ind w:left="1170" w:hanging="360"/>
      </w:pPr>
      <w:rPr>
        <w:rFonts w:ascii="Courier New" w:hAnsi="Courier New" w:cs="Courier New"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8" w15:restartNumberingAfterBreak="0">
    <w:nsid w:val="1D782C62"/>
    <w:multiLevelType w:val="hybridMultilevel"/>
    <w:tmpl w:val="F300E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975CC"/>
    <w:multiLevelType w:val="hybridMultilevel"/>
    <w:tmpl w:val="F7BC950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267C20B8"/>
    <w:multiLevelType w:val="hybridMultilevel"/>
    <w:tmpl w:val="C9903F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B32E70"/>
    <w:multiLevelType w:val="hybridMultilevel"/>
    <w:tmpl w:val="8BBAE3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7A3CCE"/>
    <w:multiLevelType w:val="multilevel"/>
    <w:tmpl w:val="D09EF5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543C70"/>
    <w:multiLevelType w:val="hybridMultilevel"/>
    <w:tmpl w:val="8F484D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5955DB"/>
    <w:multiLevelType w:val="hybridMultilevel"/>
    <w:tmpl w:val="E69A3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113758"/>
    <w:multiLevelType w:val="hybridMultilevel"/>
    <w:tmpl w:val="C406A3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2D2A37"/>
    <w:multiLevelType w:val="hybridMultilevel"/>
    <w:tmpl w:val="7A520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B2B22"/>
    <w:multiLevelType w:val="hybridMultilevel"/>
    <w:tmpl w:val="DAFA3BC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480C4A"/>
    <w:multiLevelType w:val="hybridMultilevel"/>
    <w:tmpl w:val="2E3ACAA2"/>
    <w:lvl w:ilvl="0" w:tplc="08090003">
      <w:start w:val="1"/>
      <w:numFmt w:val="bullet"/>
      <w:lvlText w:val="o"/>
      <w:lvlJc w:val="left"/>
      <w:pPr>
        <w:ind w:left="1521" w:hanging="360"/>
      </w:pPr>
      <w:rPr>
        <w:rFonts w:ascii="Courier New" w:hAnsi="Courier New" w:cs="Courier New" w:hint="default"/>
      </w:rPr>
    </w:lvl>
    <w:lvl w:ilvl="1" w:tplc="08090003" w:tentative="1">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29" w15:restartNumberingAfterBreak="0">
    <w:nsid w:val="37ED339A"/>
    <w:multiLevelType w:val="hybridMultilevel"/>
    <w:tmpl w:val="97922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012349"/>
    <w:multiLevelType w:val="hybridMultilevel"/>
    <w:tmpl w:val="A1920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492FFD"/>
    <w:multiLevelType w:val="multilevel"/>
    <w:tmpl w:val="815414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3D511A13"/>
    <w:multiLevelType w:val="hybridMultilevel"/>
    <w:tmpl w:val="577EF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DC311C6"/>
    <w:multiLevelType w:val="hybridMultilevel"/>
    <w:tmpl w:val="1C4A83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19072BD"/>
    <w:multiLevelType w:val="hybridMultilevel"/>
    <w:tmpl w:val="00DE9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B33002"/>
    <w:multiLevelType w:val="hybridMultilevel"/>
    <w:tmpl w:val="83B8955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C57D86"/>
    <w:multiLevelType w:val="hybridMultilevel"/>
    <w:tmpl w:val="8536D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E07949"/>
    <w:multiLevelType w:val="hybridMultilevel"/>
    <w:tmpl w:val="804E972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B3E5562"/>
    <w:multiLevelType w:val="hybridMultilevel"/>
    <w:tmpl w:val="9200A914"/>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CD14037"/>
    <w:multiLevelType w:val="hybridMultilevel"/>
    <w:tmpl w:val="D4EABB82"/>
    <w:lvl w:ilvl="0" w:tplc="0809000D">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1" w15:restartNumberingAfterBreak="0">
    <w:nsid w:val="4E596298"/>
    <w:multiLevelType w:val="hybridMultilevel"/>
    <w:tmpl w:val="13A88DFC"/>
    <w:lvl w:ilvl="0" w:tplc="04090001">
      <w:start w:val="1"/>
      <w:numFmt w:val="bullet"/>
      <w:lvlText w:val=""/>
      <w:lvlJc w:val="left"/>
      <w:pPr>
        <w:ind w:left="720" w:hanging="360"/>
      </w:pPr>
      <w:rPr>
        <w:rFonts w:ascii="Symbol" w:hAnsi="Symbol" w:hint="default"/>
        <w:b w:val="0"/>
        <w:color w:val="auto"/>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FF66652"/>
    <w:multiLevelType w:val="hybridMultilevel"/>
    <w:tmpl w:val="6B68E04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53885BAF"/>
    <w:multiLevelType w:val="hybridMultilevel"/>
    <w:tmpl w:val="607018F0"/>
    <w:lvl w:ilvl="0" w:tplc="04090003">
      <w:start w:val="1"/>
      <w:numFmt w:val="bullet"/>
      <w:lvlText w:val="o"/>
      <w:lvlJc w:val="left"/>
      <w:pPr>
        <w:tabs>
          <w:tab w:val="num" w:pos="900"/>
        </w:tabs>
        <w:ind w:left="900" w:hanging="360"/>
      </w:pPr>
      <w:rPr>
        <w:rFonts w:ascii="Courier New" w:hAnsi="Courier New" w:cs="Courier New" w:hint="default"/>
      </w:rPr>
    </w:lvl>
    <w:lvl w:ilvl="1" w:tplc="FFFFFFFF" w:tentative="1">
      <w:start w:val="1"/>
      <w:numFmt w:val="bullet"/>
      <w:lvlText w:val=""/>
      <w:lvlJc w:val="left"/>
      <w:pPr>
        <w:tabs>
          <w:tab w:val="num" w:pos="1530"/>
        </w:tabs>
        <w:ind w:left="1530" w:hanging="360"/>
      </w:pPr>
      <w:rPr>
        <w:rFonts w:ascii="Wingdings" w:hAnsi="Wingdings" w:hint="default"/>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Wingdings" w:hAnsi="Wingdings" w:hint="default"/>
      </w:rPr>
    </w:lvl>
    <w:lvl w:ilvl="4" w:tplc="FFFFFFFF" w:tentative="1">
      <w:start w:val="1"/>
      <w:numFmt w:val="bullet"/>
      <w:lvlText w:val=""/>
      <w:lvlJc w:val="left"/>
      <w:pPr>
        <w:tabs>
          <w:tab w:val="num" w:pos="3690"/>
        </w:tabs>
        <w:ind w:left="3690" w:hanging="360"/>
      </w:pPr>
      <w:rPr>
        <w:rFonts w:ascii="Wingdings" w:hAnsi="Wingdings"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Wingdings" w:hAnsi="Wingdings" w:hint="default"/>
      </w:rPr>
    </w:lvl>
    <w:lvl w:ilvl="7" w:tplc="FFFFFFFF" w:tentative="1">
      <w:start w:val="1"/>
      <w:numFmt w:val="bullet"/>
      <w:lvlText w:val=""/>
      <w:lvlJc w:val="left"/>
      <w:pPr>
        <w:tabs>
          <w:tab w:val="num" w:pos="5850"/>
        </w:tabs>
        <w:ind w:left="5850" w:hanging="360"/>
      </w:pPr>
      <w:rPr>
        <w:rFonts w:ascii="Wingdings" w:hAnsi="Wingdings"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44" w15:restartNumberingAfterBreak="0">
    <w:nsid w:val="53FA6F43"/>
    <w:multiLevelType w:val="hybridMultilevel"/>
    <w:tmpl w:val="5F605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45294F"/>
    <w:multiLevelType w:val="hybridMultilevel"/>
    <w:tmpl w:val="F35489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60298D"/>
    <w:multiLevelType w:val="hybridMultilevel"/>
    <w:tmpl w:val="5C50BE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542E8D"/>
    <w:multiLevelType w:val="hybridMultilevel"/>
    <w:tmpl w:val="A88CB17E"/>
    <w:lvl w:ilvl="0" w:tplc="31526588">
      <w:start w:val="1"/>
      <w:numFmt w:val="bullet"/>
      <w:lvlText w:val=""/>
      <w:lvlJc w:val="left"/>
      <w:pPr>
        <w:ind w:left="360" w:hanging="360"/>
      </w:pPr>
      <w:rPr>
        <w:rFonts w:ascii="Symbol" w:hAnsi="Symbol" w:hint="default"/>
        <w:color w:val="auto"/>
      </w:rPr>
    </w:lvl>
    <w:lvl w:ilvl="1" w:tplc="CD9EB0F2">
      <w:start w:val="1"/>
      <w:numFmt w:val="bullet"/>
      <w:lvlText w:val="o"/>
      <w:lvlJc w:val="left"/>
      <w:pPr>
        <w:ind w:left="1080" w:hanging="360"/>
      </w:pPr>
      <w:rPr>
        <w:rFonts w:ascii="Courier New" w:hAnsi="Courier New" w:cs="Courier New"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AA3C51"/>
    <w:multiLevelType w:val="hybridMultilevel"/>
    <w:tmpl w:val="6AEC691A"/>
    <w:lvl w:ilvl="0" w:tplc="04090001">
      <w:start w:val="1"/>
      <w:numFmt w:val="bullet"/>
      <w:lvlText w:val=""/>
      <w:lvlJc w:val="left"/>
      <w:pPr>
        <w:ind w:left="45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E4706EE"/>
    <w:multiLevelType w:val="hybridMultilevel"/>
    <w:tmpl w:val="1BA876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2" w15:restartNumberingAfterBreak="0">
    <w:nsid w:val="603652C7"/>
    <w:multiLevelType w:val="hybridMultilevel"/>
    <w:tmpl w:val="F1BC6F82"/>
    <w:lvl w:ilvl="0" w:tplc="04090003">
      <w:start w:val="1"/>
      <w:numFmt w:val="bullet"/>
      <w:lvlText w:val="o"/>
      <w:lvlJc w:val="left"/>
      <w:pPr>
        <w:ind w:left="1395" w:hanging="360"/>
      </w:pPr>
      <w:rPr>
        <w:rFonts w:ascii="Courier New" w:hAnsi="Courier New" w:cs="Courier New" w:hint="default"/>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53" w15:restartNumberingAfterBreak="0">
    <w:nsid w:val="64236EF1"/>
    <w:multiLevelType w:val="hybridMultilevel"/>
    <w:tmpl w:val="D0328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4C4E3E"/>
    <w:multiLevelType w:val="hybridMultilevel"/>
    <w:tmpl w:val="EC704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D0536A"/>
    <w:multiLevelType w:val="hybridMultilevel"/>
    <w:tmpl w:val="C3BEC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0E7915"/>
    <w:multiLevelType w:val="hybridMultilevel"/>
    <w:tmpl w:val="429A60C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15:restartNumberingAfterBreak="0">
    <w:nsid w:val="6AA46D75"/>
    <w:multiLevelType w:val="hybridMultilevel"/>
    <w:tmpl w:val="04CA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94610C"/>
    <w:multiLevelType w:val="hybridMultilevel"/>
    <w:tmpl w:val="949A7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DF19CA"/>
    <w:multiLevelType w:val="hybridMultilevel"/>
    <w:tmpl w:val="7F9CE456"/>
    <w:lvl w:ilvl="0" w:tplc="04090001">
      <w:start w:val="1"/>
      <w:numFmt w:val="bullet"/>
      <w:lvlText w:val=""/>
      <w:lvlJc w:val="left"/>
      <w:pPr>
        <w:ind w:left="180" w:hanging="360"/>
      </w:pPr>
      <w:rPr>
        <w:rFonts w:ascii="Symbol" w:hAnsi="Symbol" w:hint="default"/>
      </w:rPr>
    </w:lvl>
    <w:lvl w:ilvl="1" w:tplc="FFFFFFFF" w:tentative="1">
      <w:start w:val="1"/>
      <w:numFmt w:val="bullet"/>
      <w:lvlText w:val="o"/>
      <w:lvlJc w:val="left"/>
      <w:pPr>
        <w:ind w:left="810" w:hanging="360"/>
      </w:pPr>
      <w:rPr>
        <w:rFonts w:ascii="Courier New" w:hAnsi="Courier New" w:cs="Courier New" w:hint="default"/>
      </w:rPr>
    </w:lvl>
    <w:lvl w:ilvl="2" w:tplc="FFFFFFFF" w:tentative="1">
      <w:start w:val="1"/>
      <w:numFmt w:val="bullet"/>
      <w:lvlText w:val=""/>
      <w:lvlJc w:val="left"/>
      <w:pPr>
        <w:ind w:left="1530" w:hanging="360"/>
      </w:pPr>
      <w:rPr>
        <w:rFonts w:ascii="Wingdings" w:hAnsi="Wingdings"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60" w15:restartNumberingAfterBreak="0">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A66301"/>
    <w:multiLevelType w:val="hybridMultilevel"/>
    <w:tmpl w:val="B1A8FC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4C1D72"/>
    <w:multiLevelType w:val="hybridMultilevel"/>
    <w:tmpl w:val="9AB0F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0B4AC9"/>
    <w:multiLevelType w:val="hybridMultilevel"/>
    <w:tmpl w:val="6136C7DE"/>
    <w:lvl w:ilvl="0" w:tplc="201C18C0">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32A6245"/>
    <w:multiLevelType w:val="hybridMultilevel"/>
    <w:tmpl w:val="6DEEA1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FB3451"/>
    <w:multiLevelType w:val="hybridMultilevel"/>
    <w:tmpl w:val="85384340"/>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6" w15:restartNumberingAfterBreak="0">
    <w:nsid w:val="7BBF3149"/>
    <w:multiLevelType w:val="hybridMultilevel"/>
    <w:tmpl w:val="D3EED2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C0B017B"/>
    <w:multiLevelType w:val="hybridMultilevel"/>
    <w:tmpl w:val="0CE4C888"/>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8" w15:restartNumberingAfterBreak="0">
    <w:nsid w:val="7F1C3BBC"/>
    <w:multiLevelType w:val="hybridMultilevel"/>
    <w:tmpl w:val="A1E083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5559772">
    <w:abstractNumId w:val="9"/>
  </w:num>
  <w:num w:numId="2" w16cid:durableId="664012980">
    <w:abstractNumId w:val="31"/>
  </w:num>
  <w:num w:numId="3" w16cid:durableId="2098167617">
    <w:abstractNumId w:val="38"/>
  </w:num>
  <w:num w:numId="4" w16cid:durableId="1953702647">
    <w:abstractNumId w:val="60"/>
  </w:num>
  <w:num w:numId="5" w16cid:durableId="207036693">
    <w:abstractNumId w:val="14"/>
  </w:num>
  <w:num w:numId="6" w16cid:durableId="890846790">
    <w:abstractNumId w:val="49"/>
  </w:num>
  <w:num w:numId="7" w16cid:durableId="1894776992">
    <w:abstractNumId w:val="47"/>
  </w:num>
  <w:num w:numId="8" w16cid:durableId="1593394330">
    <w:abstractNumId w:val="44"/>
  </w:num>
  <w:num w:numId="9" w16cid:durableId="1540242958">
    <w:abstractNumId w:val="24"/>
  </w:num>
  <w:num w:numId="10" w16cid:durableId="1867869314">
    <w:abstractNumId w:val="27"/>
  </w:num>
  <w:num w:numId="11" w16cid:durableId="700016693">
    <w:abstractNumId w:val="18"/>
  </w:num>
  <w:num w:numId="12" w16cid:durableId="1227642005">
    <w:abstractNumId w:val="67"/>
  </w:num>
  <w:num w:numId="13" w16cid:durableId="1751613019">
    <w:abstractNumId w:val="8"/>
  </w:num>
  <w:num w:numId="14" w16cid:durableId="792744868">
    <w:abstractNumId w:val="26"/>
  </w:num>
  <w:num w:numId="15" w16cid:durableId="337929506">
    <w:abstractNumId w:val="3"/>
  </w:num>
  <w:num w:numId="16" w16cid:durableId="2099523773">
    <w:abstractNumId w:val="58"/>
  </w:num>
  <w:num w:numId="17" w16cid:durableId="341443613">
    <w:abstractNumId w:val="66"/>
  </w:num>
  <w:num w:numId="18" w16cid:durableId="1582325454">
    <w:abstractNumId w:val="33"/>
  </w:num>
  <w:num w:numId="19" w16cid:durableId="800809134">
    <w:abstractNumId w:val="65"/>
  </w:num>
  <w:num w:numId="20" w16cid:durableId="557936486">
    <w:abstractNumId w:val="42"/>
  </w:num>
  <w:num w:numId="21" w16cid:durableId="1609777644">
    <w:abstractNumId w:val="29"/>
  </w:num>
  <w:num w:numId="22" w16cid:durableId="1009915327">
    <w:abstractNumId w:val="0"/>
  </w:num>
  <w:num w:numId="23" w16cid:durableId="1284578337">
    <w:abstractNumId w:val="12"/>
  </w:num>
  <w:num w:numId="24" w16cid:durableId="401409133">
    <w:abstractNumId w:val="30"/>
  </w:num>
  <w:num w:numId="25" w16cid:durableId="1091854240">
    <w:abstractNumId w:val="54"/>
  </w:num>
  <w:num w:numId="26" w16cid:durableId="924538917">
    <w:abstractNumId w:val="32"/>
  </w:num>
  <w:num w:numId="27" w16cid:durableId="559747786">
    <w:abstractNumId w:val="41"/>
  </w:num>
  <w:num w:numId="28" w16cid:durableId="1941452171">
    <w:abstractNumId w:val="46"/>
  </w:num>
  <w:num w:numId="29" w16cid:durableId="730813449">
    <w:abstractNumId w:val="55"/>
  </w:num>
  <w:num w:numId="30" w16cid:durableId="1585913871">
    <w:abstractNumId w:val="6"/>
  </w:num>
  <w:num w:numId="31" w16cid:durableId="1216620329">
    <w:abstractNumId w:val="22"/>
  </w:num>
  <w:num w:numId="32" w16cid:durableId="182136960">
    <w:abstractNumId w:val="63"/>
    <w:lvlOverride w:ilvl="0">
      <w:startOverride w:val="1"/>
    </w:lvlOverride>
    <w:lvlOverride w:ilvl="1"/>
    <w:lvlOverride w:ilvl="2"/>
    <w:lvlOverride w:ilvl="3"/>
    <w:lvlOverride w:ilvl="4"/>
    <w:lvlOverride w:ilvl="5"/>
    <w:lvlOverride w:ilvl="6"/>
    <w:lvlOverride w:ilvl="7"/>
    <w:lvlOverride w:ilvl="8"/>
  </w:num>
  <w:num w:numId="33" w16cid:durableId="206170587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30391010">
    <w:abstractNumId w:val="59"/>
  </w:num>
  <w:num w:numId="35" w16cid:durableId="272438313">
    <w:abstractNumId w:val="43"/>
  </w:num>
  <w:num w:numId="36" w16cid:durableId="753749526">
    <w:abstractNumId w:val="51"/>
  </w:num>
  <w:num w:numId="37" w16cid:durableId="411970451">
    <w:abstractNumId w:val="56"/>
  </w:num>
  <w:num w:numId="38" w16cid:durableId="1749574920">
    <w:abstractNumId w:val="19"/>
  </w:num>
  <w:num w:numId="39" w16cid:durableId="1513061681">
    <w:abstractNumId w:val="13"/>
  </w:num>
  <w:num w:numId="40" w16cid:durableId="97263933">
    <w:abstractNumId w:val="57"/>
  </w:num>
  <w:num w:numId="41" w16cid:durableId="947585465">
    <w:abstractNumId w:val="36"/>
  </w:num>
  <w:num w:numId="42" w16cid:durableId="102648371">
    <w:abstractNumId w:val="34"/>
  </w:num>
  <w:num w:numId="43" w16cid:durableId="1371029364">
    <w:abstractNumId w:val="1"/>
  </w:num>
  <w:num w:numId="44" w16cid:durableId="700861450">
    <w:abstractNumId w:val="53"/>
  </w:num>
  <w:num w:numId="45" w16cid:durableId="282418451">
    <w:abstractNumId w:val="64"/>
  </w:num>
  <w:num w:numId="46" w16cid:durableId="445469499">
    <w:abstractNumId w:val="25"/>
  </w:num>
  <w:num w:numId="47" w16cid:durableId="1623076985">
    <w:abstractNumId w:val="62"/>
  </w:num>
  <w:num w:numId="48" w16cid:durableId="1331256367">
    <w:abstractNumId w:val="17"/>
  </w:num>
  <w:num w:numId="49" w16cid:durableId="261105517">
    <w:abstractNumId w:val="48"/>
  </w:num>
  <w:num w:numId="50" w16cid:durableId="409887733">
    <w:abstractNumId w:val="39"/>
  </w:num>
  <w:num w:numId="51" w16cid:durableId="464394523">
    <w:abstractNumId w:val="45"/>
  </w:num>
  <w:num w:numId="52" w16cid:durableId="2065641704">
    <w:abstractNumId w:val="61"/>
  </w:num>
  <w:num w:numId="53" w16cid:durableId="1708874580">
    <w:abstractNumId w:val="2"/>
  </w:num>
  <w:num w:numId="54" w16cid:durableId="1269894062">
    <w:abstractNumId w:val="40"/>
  </w:num>
  <w:num w:numId="55" w16cid:durableId="1090279275">
    <w:abstractNumId w:val="37"/>
  </w:num>
  <w:num w:numId="56" w16cid:durableId="846136738">
    <w:abstractNumId w:val="5"/>
  </w:num>
  <w:num w:numId="57" w16cid:durableId="948665555">
    <w:abstractNumId w:val="10"/>
  </w:num>
  <w:num w:numId="58" w16cid:durableId="1708603766">
    <w:abstractNumId w:val="23"/>
  </w:num>
  <w:num w:numId="59" w16cid:durableId="480194189">
    <w:abstractNumId w:val="15"/>
  </w:num>
  <w:num w:numId="60" w16cid:durableId="486438802">
    <w:abstractNumId w:val="52"/>
  </w:num>
  <w:num w:numId="61" w16cid:durableId="697899953">
    <w:abstractNumId w:val="16"/>
  </w:num>
  <w:num w:numId="62" w16cid:durableId="350686010">
    <w:abstractNumId w:val="21"/>
  </w:num>
  <w:num w:numId="63" w16cid:durableId="1973559119">
    <w:abstractNumId w:val="28"/>
  </w:num>
  <w:num w:numId="64" w16cid:durableId="284120356">
    <w:abstractNumId w:val="20"/>
  </w:num>
  <w:num w:numId="65" w16cid:durableId="971977335">
    <w:abstractNumId w:val="68"/>
  </w:num>
  <w:num w:numId="66" w16cid:durableId="1378310386">
    <w:abstractNumId w:val="4"/>
  </w:num>
  <w:num w:numId="67" w16cid:durableId="892890016">
    <w:abstractNumId w:val="50"/>
  </w:num>
  <w:num w:numId="68" w16cid:durableId="1302346188">
    <w:abstractNumId w:val="11"/>
  </w:num>
  <w:num w:numId="69" w16cid:durableId="1133987460">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670"/>
    <w:rsid w:val="00000518"/>
    <w:rsid w:val="00001C2B"/>
    <w:rsid w:val="00001FA5"/>
    <w:rsid w:val="00003636"/>
    <w:rsid w:val="00004DA4"/>
    <w:rsid w:val="000064FD"/>
    <w:rsid w:val="00006CC0"/>
    <w:rsid w:val="0000713F"/>
    <w:rsid w:val="000077B5"/>
    <w:rsid w:val="00007D36"/>
    <w:rsid w:val="000103C4"/>
    <w:rsid w:val="000124AC"/>
    <w:rsid w:val="00012DFB"/>
    <w:rsid w:val="00013BB5"/>
    <w:rsid w:val="00013C25"/>
    <w:rsid w:val="000151AD"/>
    <w:rsid w:val="000156B7"/>
    <w:rsid w:val="00015B80"/>
    <w:rsid w:val="000168EF"/>
    <w:rsid w:val="00016A79"/>
    <w:rsid w:val="00017DE1"/>
    <w:rsid w:val="00020AB0"/>
    <w:rsid w:val="00020F57"/>
    <w:rsid w:val="00024F4E"/>
    <w:rsid w:val="000255A6"/>
    <w:rsid w:val="00025B13"/>
    <w:rsid w:val="00025D7B"/>
    <w:rsid w:val="000279F1"/>
    <w:rsid w:val="00030985"/>
    <w:rsid w:val="00030C57"/>
    <w:rsid w:val="00030ED6"/>
    <w:rsid w:val="00031470"/>
    <w:rsid w:val="00031CAC"/>
    <w:rsid w:val="00031E3C"/>
    <w:rsid w:val="00032B8A"/>
    <w:rsid w:val="00035363"/>
    <w:rsid w:val="000361D8"/>
    <w:rsid w:val="0003624D"/>
    <w:rsid w:val="00036B4F"/>
    <w:rsid w:val="00040978"/>
    <w:rsid w:val="00040AAB"/>
    <w:rsid w:val="00042892"/>
    <w:rsid w:val="00043D27"/>
    <w:rsid w:val="00044EFE"/>
    <w:rsid w:val="0004548D"/>
    <w:rsid w:val="000501DD"/>
    <w:rsid w:val="0005125A"/>
    <w:rsid w:val="000527CB"/>
    <w:rsid w:val="00052968"/>
    <w:rsid w:val="0005367A"/>
    <w:rsid w:val="0005408D"/>
    <w:rsid w:val="000547A0"/>
    <w:rsid w:val="00054809"/>
    <w:rsid w:val="0005486A"/>
    <w:rsid w:val="0005537C"/>
    <w:rsid w:val="00055B55"/>
    <w:rsid w:val="00057746"/>
    <w:rsid w:val="00060EC4"/>
    <w:rsid w:val="000610C3"/>
    <w:rsid w:val="00061195"/>
    <w:rsid w:val="0006149D"/>
    <w:rsid w:val="00062D5D"/>
    <w:rsid w:val="000641F7"/>
    <w:rsid w:val="000643E7"/>
    <w:rsid w:val="000652B3"/>
    <w:rsid w:val="00065CCC"/>
    <w:rsid w:val="000661E2"/>
    <w:rsid w:val="0006747C"/>
    <w:rsid w:val="0006797B"/>
    <w:rsid w:val="00067A2D"/>
    <w:rsid w:val="000703F6"/>
    <w:rsid w:val="00070C55"/>
    <w:rsid w:val="00070F3E"/>
    <w:rsid w:val="00071D89"/>
    <w:rsid w:val="00072BA1"/>
    <w:rsid w:val="00076DF5"/>
    <w:rsid w:val="0007775A"/>
    <w:rsid w:val="00077771"/>
    <w:rsid w:val="00077A25"/>
    <w:rsid w:val="000804E3"/>
    <w:rsid w:val="000804FA"/>
    <w:rsid w:val="000807FD"/>
    <w:rsid w:val="00080DC8"/>
    <w:rsid w:val="00082067"/>
    <w:rsid w:val="00083EB3"/>
    <w:rsid w:val="00085074"/>
    <w:rsid w:val="000853C2"/>
    <w:rsid w:val="00085C53"/>
    <w:rsid w:val="00086007"/>
    <w:rsid w:val="00086626"/>
    <w:rsid w:val="00087712"/>
    <w:rsid w:val="00090BD1"/>
    <w:rsid w:val="0009233B"/>
    <w:rsid w:val="000936EC"/>
    <w:rsid w:val="00093E30"/>
    <w:rsid w:val="0009433B"/>
    <w:rsid w:val="00095B84"/>
    <w:rsid w:val="000963F7"/>
    <w:rsid w:val="000964B4"/>
    <w:rsid w:val="0009715F"/>
    <w:rsid w:val="0009791D"/>
    <w:rsid w:val="00097BD7"/>
    <w:rsid w:val="000A00DD"/>
    <w:rsid w:val="000A14BC"/>
    <w:rsid w:val="000A15FD"/>
    <w:rsid w:val="000A20C1"/>
    <w:rsid w:val="000A215B"/>
    <w:rsid w:val="000A275E"/>
    <w:rsid w:val="000A3917"/>
    <w:rsid w:val="000A3CFA"/>
    <w:rsid w:val="000A4074"/>
    <w:rsid w:val="000A44A9"/>
    <w:rsid w:val="000A65F7"/>
    <w:rsid w:val="000A661C"/>
    <w:rsid w:val="000A6CB0"/>
    <w:rsid w:val="000A6E33"/>
    <w:rsid w:val="000A6FCE"/>
    <w:rsid w:val="000A70B6"/>
    <w:rsid w:val="000A737D"/>
    <w:rsid w:val="000A7445"/>
    <w:rsid w:val="000B1D3A"/>
    <w:rsid w:val="000B2F0D"/>
    <w:rsid w:val="000B327D"/>
    <w:rsid w:val="000B4919"/>
    <w:rsid w:val="000B4A64"/>
    <w:rsid w:val="000B4BAA"/>
    <w:rsid w:val="000B5D5E"/>
    <w:rsid w:val="000B7167"/>
    <w:rsid w:val="000C0EDB"/>
    <w:rsid w:val="000C1E84"/>
    <w:rsid w:val="000C27BF"/>
    <w:rsid w:val="000C2F27"/>
    <w:rsid w:val="000C49C1"/>
    <w:rsid w:val="000C4C42"/>
    <w:rsid w:val="000C55BB"/>
    <w:rsid w:val="000C7A4E"/>
    <w:rsid w:val="000D0539"/>
    <w:rsid w:val="000D1F68"/>
    <w:rsid w:val="000D25D8"/>
    <w:rsid w:val="000D490A"/>
    <w:rsid w:val="000D5728"/>
    <w:rsid w:val="000D79FB"/>
    <w:rsid w:val="000E085A"/>
    <w:rsid w:val="000E093D"/>
    <w:rsid w:val="000E10C1"/>
    <w:rsid w:val="000E34AF"/>
    <w:rsid w:val="000E45B8"/>
    <w:rsid w:val="000E5EB1"/>
    <w:rsid w:val="000E6B77"/>
    <w:rsid w:val="000E6D69"/>
    <w:rsid w:val="000F0056"/>
    <w:rsid w:val="000F0D9E"/>
    <w:rsid w:val="000F27FD"/>
    <w:rsid w:val="000F3F3E"/>
    <w:rsid w:val="000F6099"/>
    <w:rsid w:val="0010054F"/>
    <w:rsid w:val="001007C6"/>
    <w:rsid w:val="001012FE"/>
    <w:rsid w:val="0010282F"/>
    <w:rsid w:val="00102D8C"/>
    <w:rsid w:val="00102F0D"/>
    <w:rsid w:val="00103D33"/>
    <w:rsid w:val="00104106"/>
    <w:rsid w:val="001043CF"/>
    <w:rsid w:val="00104E5D"/>
    <w:rsid w:val="00106407"/>
    <w:rsid w:val="00106495"/>
    <w:rsid w:val="0010678E"/>
    <w:rsid w:val="0011008C"/>
    <w:rsid w:val="001106AA"/>
    <w:rsid w:val="00110CDC"/>
    <w:rsid w:val="001114A6"/>
    <w:rsid w:val="001119D4"/>
    <w:rsid w:val="00112782"/>
    <w:rsid w:val="00113685"/>
    <w:rsid w:val="00114F72"/>
    <w:rsid w:val="00115D05"/>
    <w:rsid w:val="001167F1"/>
    <w:rsid w:val="0011785A"/>
    <w:rsid w:val="00120491"/>
    <w:rsid w:val="00120DD5"/>
    <w:rsid w:val="001216DB"/>
    <w:rsid w:val="001219F6"/>
    <w:rsid w:val="00122D93"/>
    <w:rsid w:val="0012563B"/>
    <w:rsid w:val="00126520"/>
    <w:rsid w:val="00127222"/>
    <w:rsid w:val="00127317"/>
    <w:rsid w:val="00127994"/>
    <w:rsid w:val="00127C01"/>
    <w:rsid w:val="00130001"/>
    <w:rsid w:val="00130577"/>
    <w:rsid w:val="001319B0"/>
    <w:rsid w:val="001323FC"/>
    <w:rsid w:val="00132646"/>
    <w:rsid w:val="00133A19"/>
    <w:rsid w:val="00134139"/>
    <w:rsid w:val="0013438C"/>
    <w:rsid w:val="001348DF"/>
    <w:rsid w:val="00135292"/>
    <w:rsid w:val="001364FD"/>
    <w:rsid w:val="00140052"/>
    <w:rsid w:val="00140346"/>
    <w:rsid w:val="0014089E"/>
    <w:rsid w:val="001409FB"/>
    <w:rsid w:val="0014173E"/>
    <w:rsid w:val="00141BDB"/>
    <w:rsid w:val="0014208D"/>
    <w:rsid w:val="00142C19"/>
    <w:rsid w:val="00143F2B"/>
    <w:rsid w:val="0014600B"/>
    <w:rsid w:val="00146BA4"/>
    <w:rsid w:val="00146CA5"/>
    <w:rsid w:val="00146E22"/>
    <w:rsid w:val="001509BA"/>
    <w:rsid w:val="00151804"/>
    <w:rsid w:val="001523E9"/>
    <w:rsid w:val="001529C4"/>
    <w:rsid w:val="001535B2"/>
    <w:rsid w:val="00153CD6"/>
    <w:rsid w:val="00154BAE"/>
    <w:rsid w:val="001550B0"/>
    <w:rsid w:val="00155A6B"/>
    <w:rsid w:val="00155ADA"/>
    <w:rsid w:val="00156B9F"/>
    <w:rsid w:val="00162011"/>
    <w:rsid w:val="001628DB"/>
    <w:rsid w:val="00163A5D"/>
    <w:rsid w:val="00163E58"/>
    <w:rsid w:val="001642B3"/>
    <w:rsid w:val="00164344"/>
    <w:rsid w:val="00165883"/>
    <w:rsid w:val="001662E1"/>
    <w:rsid w:val="00166B1B"/>
    <w:rsid w:val="00167219"/>
    <w:rsid w:val="00170585"/>
    <w:rsid w:val="00171404"/>
    <w:rsid w:val="00172213"/>
    <w:rsid w:val="00172846"/>
    <w:rsid w:val="0017428F"/>
    <w:rsid w:val="00175F54"/>
    <w:rsid w:val="001760A1"/>
    <w:rsid w:val="001766F3"/>
    <w:rsid w:val="00176A40"/>
    <w:rsid w:val="00176A9A"/>
    <w:rsid w:val="00176C9F"/>
    <w:rsid w:val="001779A0"/>
    <w:rsid w:val="00177F3C"/>
    <w:rsid w:val="001808E9"/>
    <w:rsid w:val="00181D61"/>
    <w:rsid w:val="001823BA"/>
    <w:rsid w:val="001824B9"/>
    <w:rsid w:val="001845B8"/>
    <w:rsid w:val="001846AE"/>
    <w:rsid w:val="001854AF"/>
    <w:rsid w:val="00185A66"/>
    <w:rsid w:val="00186099"/>
    <w:rsid w:val="00186E78"/>
    <w:rsid w:val="00186E95"/>
    <w:rsid w:val="00187EEE"/>
    <w:rsid w:val="001916CC"/>
    <w:rsid w:val="0019308C"/>
    <w:rsid w:val="00194883"/>
    <w:rsid w:val="001949C8"/>
    <w:rsid w:val="00194B3B"/>
    <w:rsid w:val="001956E4"/>
    <w:rsid w:val="00195EEB"/>
    <w:rsid w:val="00196232"/>
    <w:rsid w:val="00197B2E"/>
    <w:rsid w:val="001A13A5"/>
    <w:rsid w:val="001A1B6A"/>
    <w:rsid w:val="001A1CA9"/>
    <w:rsid w:val="001A3391"/>
    <w:rsid w:val="001A5052"/>
    <w:rsid w:val="001A5183"/>
    <w:rsid w:val="001A68C5"/>
    <w:rsid w:val="001A7510"/>
    <w:rsid w:val="001B0EBB"/>
    <w:rsid w:val="001B123B"/>
    <w:rsid w:val="001B16B9"/>
    <w:rsid w:val="001B3BA4"/>
    <w:rsid w:val="001B491F"/>
    <w:rsid w:val="001B5558"/>
    <w:rsid w:val="001B5814"/>
    <w:rsid w:val="001B6B1A"/>
    <w:rsid w:val="001B7769"/>
    <w:rsid w:val="001B7BED"/>
    <w:rsid w:val="001C1F7E"/>
    <w:rsid w:val="001C245C"/>
    <w:rsid w:val="001C2548"/>
    <w:rsid w:val="001C259E"/>
    <w:rsid w:val="001C2B47"/>
    <w:rsid w:val="001C3070"/>
    <w:rsid w:val="001C3103"/>
    <w:rsid w:val="001C3F86"/>
    <w:rsid w:val="001C5BC6"/>
    <w:rsid w:val="001C5EC0"/>
    <w:rsid w:val="001C66D4"/>
    <w:rsid w:val="001C6F84"/>
    <w:rsid w:val="001D05F8"/>
    <w:rsid w:val="001D0791"/>
    <w:rsid w:val="001D1053"/>
    <w:rsid w:val="001D1528"/>
    <w:rsid w:val="001D1FB4"/>
    <w:rsid w:val="001D35B2"/>
    <w:rsid w:val="001D3D8F"/>
    <w:rsid w:val="001D4BD5"/>
    <w:rsid w:val="001D536D"/>
    <w:rsid w:val="001D54B0"/>
    <w:rsid w:val="001D56FA"/>
    <w:rsid w:val="001D7413"/>
    <w:rsid w:val="001D7807"/>
    <w:rsid w:val="001D7ECF"/>
    <w:rsid w:val="001E15AC"/>
    <w:rsid w:val="001E236B"/>
    <w:rsid w:val="001E236F"/>
    <w:rsid w:val="001E5167"/>
    <w:rsid w:val="001E63C0"/>
    <w:rsid w:val="001E681B"/>
    <w:rsid w:val="001E7467"/>
    <w:rsid w:val="001E78CF"/>
    <w:rsid w:val="001F026B"/>
    <w:rsid w:val="001F05DF"/>
    <w:rsid w:val="001F0EA8"/>
    <w:rsid w:val="001F12F7"/>
    <w:rsid w:val="001F1435"/>
    <w:rsid w:val="001F2244"/>
    <w:rsid w:val="001F256B"/>
    <w:rsid w:val="001F28BA"/>
    <w:rsid w:val="001F3D1A"/>
    <w:rsid w:val="001F4108"/>
    <w:rsid w:val="001F4829"/>
    <w:rsid w:val="001F5636"/>
    <w:rsid w:val="001F63FF"/>
    <w:rsid w:val="001F6930"/>
    <w:rsid w:val="001F6B60"/>
    <w:rsid w:val="001F709A"/>
    <w:rsid w:val="001F75C7"/>
    <w:rsid w:val="001F7E47"/>
    <w:rsid w:val="00200343"/>
    <w:rsid w:val="00200A44"/>
    <w:rsid w:val="00201B36"/>
    <w:rsid w:val="00201E9C"/>
    <w:rsid w:val="00203A54"/>
    <w:rsid w:val="00203B24"/>
    <w:rsid w:val="002051A5"/>
    <w:rsid w:val="002059F2"/>
    <w:rsid w:val="00206876"/>
    <w:rsid w:val="00206937"/>
    <w:rsid w:val="00206AB0"/>
    <w:rsid w:val="00207711"/>
    <w:rsid w:val="00207749"/>
    <w:rsid w:val="0020776D"/>
    <w:rsid w:val="00207D8E"/>
    <w:rsid w:val="00207EB8"/>
    <w:rsid w:val="002100DE"/>
    <w:rsid w:val="002108AB"/>
    <w:rsid w:val="002109DC"/>
    <w:rsid w:val="002111DF"/>
    <w:rsid w:val="0021138B"/>
    <w:rsid w:val="00211835"/>
    <w:rsid w:val="002122A2"/>
    <w:rsid w:val="00213041"/>
    <w:rsid w:val="0021306B"/>
    <w:rsid w:val="00213EFC"/>
    <w:rsid w:val="00214036"/>
    <w:rsid w:val="00214886"/>
    <w:rsid w:val="0021491A"/>
    <w:rsid w:val="00214DF1"/>
    <w:rsid w:val="002152C7"/>
    <w:rsid w:val="00215A42"/>
    <w:rsid w:val="00215ABD"/>
    <w:rsid w:val="00216CAC"/>
    <w:rsid w:val="00216E70"/>
    <w:rsid w:val="00217395"/>
    <w:rsid w:val="002174D9"/>
    <w:rsid w:val="00221442"/>
    <w:rsid w:val="00221E18"/>
    <w:rsid w:val="002225E2"/>
    <w:rsid w:val="00223645"/>
    <w:rsid w:val="002236B7"/>
    <w:rsid w:val="00223F0D"/>
    <w:rsid w:val="00224CEA"/>
    <w:rsid w:val="00225D45"/>
    <w:rsid w:val="00226516"/>
    <w:rsid w:val="00226751"/>
    <w:rsid w:val="00226833"/>
    <w:rsid w:val="0023003F"/>
    <w:rsid w:val="00230977"/>
    <w:rsid w:val="00232A9B"/>
    <w:rsid w:val="00232B0E"/>
    <w:rsid w:val="00232F76"/>
    <w:rsid w:val="00233E4A"/>
    <w:rsid w:val="00233F66"/>
    <w:rsid w:val="00233F9C"/>
    <w:rsid w:val="00234461"/>
    <w:rsid w:val="00234465"/>
    <w:rsid w:val="00234E3A"/>
    <w:rsid w:val="00235006"/>
    <w:rsid w:val="002350D2"/>
    <w:rsid w:val="00235F4C"/>
    <w:rsid w:val="002361F4"/>
    <w:rsid w:val="00236222"/>
    <w:rsid w:val="00237441"/>
    <w:rsid w:val="0023750F"/>
    <w:rsid w:val="0023797C"/>
    <w:rsid w:val="00237AD3"/>
    <w:rsid w:val="002400BB"/>
    <w:rsid w:val="0024069E"/>
    <w:rsid w:val="00241417"/>
    <w:rsid w:val="00241BB6"/>
    <w:rsid w:val="00242217"/>
    <w:rsid w:val="002425B4"/>
    <w:rsid w:val="00242E33"/>
    <w:rsid w:val="00243DA8"/>
    <w:rsid w:val="0024447E"/>
    <w:rsid w:val="0024541C"/>
    <w:rsid w:val="002464D3"/>
    <w:rsid w:val="00250349"/>
    <w:rsid w:val="00250A3D"/>
    <w:rsid w:val="00251573"/>
    <w:rsid w:val="00251B6B"/>
    <w:rsid w:val="00251DB0"/>
    <w:rsid w:val="002521DC"/>
    <w:rsid w:val="00252B3C"/>
    <w:rsid w:val="00252CB2"/>
    <w:rsid w:val="002560F1"/>
    <w:rsid w:val="0025634D"/>
    <w:rsid w:val="00257F1A"/>
    <w:rsid w:val="0026040E"/>
    <w:rsid w:val="00261182"/>
    <w:rsid w:val="00261811"/>
    <w:rsid w:val="00261FA8"/>
    <w:rsid w:val="002645F7"/>
    <w:rsid w:val="00264B90"/>
    <w:rsid w:val="002654D7"/>
    <w:rsid w:val="00265528"/>
    <w:rsid w:val="00266A2D"/>
    <w:rsid w:val="00266B38"/>
    <w:rsid w:val="00271177"/>
    <w:rsid w:val="002719F2"/>
    <w:rsid w:val="00271BDD"/>
    <w:rsid w:val="0027265C"/>
    <w:rsid w:val="00272B0C"/>
    <w:rsid w:val="00273F12"/>
    <w:rsid w:val="002755E8"/>
    <w:rsid w:val="002758B7"/>
    <w:rsid w:val="00276062"/>
    <w:rsid w:val="002762F0"/>
    <w:rsid w:val="00276D93"/>
    <w:rsid w:val="0027735E"/>
    <w:rsid w:val="00277CFC"/>
    <w:rsid w:val="00280A5C"/>
    <w:rsid w:val="00281910"/>
    <w:rsid w:val="00281C6E"/>
    <w:rsid w:val="002822DF"/>
    <w:rsid w:val="00282C32"/>
    <w:rsid w:val="00282C6F"/>
    <w:rsid w:val="0028312F"/>
    <w:rsid w:val="00283A0A"/>
    <w:rsid w:val="00283D5D"/>
    <w:rsid w:val="00284FFE"/>
    <w:rsid w:val="00285A98"/>
    <w:rsid w:val="002903DC"/>
    <w:rsid w:val="002919B9"/>
    <w:rsid w:val="00293720"/>
    <w:rsid w:val="00294099"/>
    <w:rsid w:val="00295E3D"/>
    <w:rsid w:val="0029601A"/>
    <w:rsid w:val="0029617C"/>
    <w:rsid w:val="0029730B"/>
    <w:rsid w:val="002A00BD"/>
    <w:rsid w:val="002A0464"/>
    <w:rsid w:val="002A1A05"/>
    <w:rsid w:val="002A27D5"/>
    <w:rsid w:val="002A51F0"/>
    <w:rsid w:val="002A593E"/>
    <w:rsid w:val="002A65F4"/>
    <w:rsid w:val="002A6746"/>
    <w:rsid w:val="002A72D2"/>
    <w:rsid w:val="002A74B0"/>
    <w:rsid w:val="002A780E"/>
    <w:rsid w:val="002B200F"/>
    <w:rsid w:val="002B21AB"/>
    <w:rsid w:val="002B2414"/>
    <w:rsid w:val="002B318B"/>
    <w:rsid w:val="002B34A1"/>
    <w:rsid w:val="002B365E"/>
    <w:rsid w:val="002B370B"/>
    <w:rsid w:val="002B4496"/>
    <w:rsid w:val="002B4FE4"/>
    <w:rsid w:val="002B5B6C"/>
    <w:rsid w:val="002B740E"/>
    <w:rsid w:val="002C01FC"/>
    <w:rsid w:val="002C152C"/>
    <w:rsid w:val="002C2DD9"/>
    <w:rsid w:val="002C4463"/>
    <w:rsid w:val="002C4DD7"/>
    <w:rsid w:val="002C4FAF"/>
    <w:rsid w:val="002C600D"/>
    <w:rsid w:val="002C7095"/>
    <w:rsid w:val="002D01B2"/>
    <w:rsid w:val="002D2658"/>
    <w:rsid w:val="002D3766"/>
    <w:rsid w:val="002D600A"/>
    <w:rsid w:val="002D674F"/>
    <w:rsid w:val="002D6FA3"/>
    <w:rsid w:val="002E04FB"/>
    <w:rsid w:val="002E06C4"/>
    <w:rsid w:val="002E0B24"/>
    <w:rsid w:val="002E0B72"/>
    <w:rsid w:val="002E113D"/>
    <w:rsid w:val="002E135E"/>
    <w:rsid w:val="002E1EE1"/>
    <w:rsid w:val="002E2899"/>
    <w:rsid w:val="002E3117"/>
    <w:rsid w:val="002E4773"/>
    <w:rsid w:val="002E4BAD"/>
    <w:rsid w:val="002E50F4"/>
    <w:rsid w:val="002E54E0"/>
    <w:rsid w:val="002E579C"/>
    <w:rsid w:val="002E6CA1"/>
    <w:rsid w:val="002F029D"/>
    <w:rsid w:val="002F0D82"/>
    <w:rsid w:val="002F1649"/>
    <w:rsid w:val="002F31B6"/>
    <w:rsid w:val="002F3257"/>
    <w:rsid w:val="002F50D2"/>
    <w:rsid w:val="002F538E"/>
    <w:rsid w:val="002F6176"/>
    <w:rsid w:val="002F6311"/>
    <w:rsid w:val="002F6ACA"/>
    <w:rsid w:val="002F7048"/>
    <w:rsid w:val="002F71CA"/>
    <w:rsid w:val="002F7463"/>
    <w:rsid w:val="002F75BC"/>
    <w:rsid w:val="002F7DBC"/>
    <w:rsid w:val="00300910"/>
    <w:rsid w:val="003039FA"/>
    <w:rsid w:val="00304DF6"/>
    <w:rsid w:val="003069C7"/>
    <w:rsid w:val="00307C6F"/>
    <w:rsid w:val="003101B1"/>
    <w:rsid w:val="00310F88"/>
    <w:rsid w:val="003135D4"/>
    <w:rsid w:val="00313D60"/>
    <w:rsid w:val="0031402C"/>
    <w:rsid w:val="0031599C"/>
    <w:rsid w:val="00315EAD"/>
    <w:rsid w:val="00316336"/>
    <w:rsid w:val="00316381"/>
    <w:rsid w:val="00316AE2"/>
    <w:rsid w:val="00317AD6"/>
    <w:rsid w:val="00320526"/>
    <w:rsid w:val="00320584"/>
    <w:rsid w:val="00320D28"/>
    <w:rsid w:val="00321F99"/>
    <w:rsid w:val="003221E6"/>
    <w:rsid w:val="0032228E"/>
    <w:rsid w:val="003228F8"/>
    <w:rsid w:val="00322905"/>
    <w:rsid w:val="00323E94"/>
    <w:rsid w:val="003256DA"/>
    <w:rsid w:val="00325806"/>
    <w:rsid w:val="00326412"/>
    <w:rsid w:val="00327853"/>
    <w:rsid w:val="003326D4"/>
    <w:rsid w:val="0033375A"/>
    <w:rsid w:val="00333852"/>
    <w:rsid w:val="00333B0E"/>
    <w:rsid w:val="00334B7C"/>
    <w:rsid w:val="0033511C"/>
    <w:rsid w:val="0033539C"/>
    <w:rsid w:val="0033564E"/>
    <w:rsid w:val="00335A3A"/>
    <w:rsid w:val="00335DB8"/>
    <w:rsid w:val="00341932"/>
    <w:rsid w:val="00341B3C"/>
    <w:rsid w:val="00342123"/>
    <w:rsid w:val="00343C90"/>
    <w:rsid w:val="0034438D"/>
    <w:rsid w:val="00350A9F"/>
    <w:rsid w:val="00350CF6"/>
    <w:rsid w:val="0035122C"/>
    <w:rsid w:val="00351572"/>
    <w:rsid w:val="0035195B"/>
    <w:rsid w:val="0035253D"/>
    <w:rsid w:val="0035390C"/>
    <w:rsid w:val="003560F2"/>
    <w:rsid w:val="00356552"/>
    <w:rsid w:val="00357FD1"/>
    <w:rsid w:val="00360473"/>
    <w:rsid w:val="00360A79"/>
    <w:rsid w:val="003620B0"/>
    <w:rsid w:val="0036334C"/>
    <w:rsid w:val="00364143"/>
    <w:rsid w:val="00364D41"/>
    <w:rsid w:val="00364ED1"/>
    <w:rsid w:val="00364F55"/>
    <w:rsid w:val="003655B3"/>
    <w:rsid w:val="00365BD3"/>
    <w:rsid w:val="00366408"/>
    <w:rsid w:val="00366E32"/>
    <w:rsid w:val="00367A4C"/>
    <w:rsid w:val="00370140"/>
    <w:rsid w:val="0037038F"/>
    <w:rsid w:val="0037062D"/>
    <w:rsid w:val="003712D3"/>
    <w:rsid w:val="00371C02"/>
    <w:rsid w:val="00371EF3"/>
    <w:rsid w:val="00371F22"/>
    <w:rsid w:val="00372C43"/>
    <w:rsid w:val="00372CDC"/>
    <w:rsid w:val="00372F41"/>
    <w:rsid w:val="0037316F"/>
    <w:rsid w:val="003734A7"/>
    <w:rsid w:val="003739C3"/>
    <w:rsid w:val="00374BB8"/>
    <w:rsid w:val="00375A25"/>
    <w:rsid w:val="00375AA1"/>
    <w:rsid w:val="0037617D"/>
    <w:rsid w:val="00376C0C"/>
    <w:rsid w:val="00377806"/>
    <w:rsid w:val="00377962"/>
    <w:rsid w:val="0038045C"/>
    <w:rsid w:val="00380C50"/>
    <w:rsid w:val="00382115"/>
    <w:rsid w:val="00382236"/>
    <w:rsid w:val="003842CF"/>
    <w:rsid w:val="00384A75"/>
    <w:rsid w:val="00384E5B"/>
    <w:rsid w:val="003854C2"/>
    <w:rsid w:val="00386342"/>
    <w:rsid w:val="00386C45"/>
    <w:rsid w:val="00390006"/>
    <w:rsid w:val="00390EC5"/>
    <w:rsid w:val="00391699"/>
    <w:rsid w:val="00392139"/>
    <w:rsid w:val="00392522"/>
    <w:rsid w:val="003933CD"/>
    <w:rsid w:val="00393657"/>
    <w:rsid w:val="0039456F"/>
    <w:rsid w:val="00394B34"/>
    <w:rsid w:val="003956FF"/>
    <w:rsid w:val="0039583E"/>
    <w:rsid w:val="00395FC6"/>
    <w:rsid w:val="00397741"/>
    <w:rsid w:val="00397B6A"/>
    <w:rsid w:val="00397BE8"/>
    <w:rsid w:val="003A0F36"/>
    <w:rsid w:val="003A4E50"/>
    <w:rsid w:val="003A4FF8"/>
    <w:rsid w:val="003A69E9"/>
    <w:rsid w:val="003A7E93"/>
    <w:rsid w:val="003B1EE3"/>
    <w:rsid w:val="003B22D8"/>
    <w:rsid w:val="003B247C"/>
    <w:rsid w:val="003B2AF7"/>
    <w:rsid w:val="003B2EA8"/>
    <w:rsid w:val="003B39CA"/>
    <w:rsid w:val="003B3A33"/>
    <w:rsid w:val="003B4382"/>
    <w:rsid w:val="003B53E4"/>
    <w:rsid w:val="003B5B12"/>
    <w:rsid w:val="003B65F9"/>
    <w:rsid w:val="003B6EC7"/>
    <w:rsid w:val="003B6F24"/>
    <w:rsid w:val="003B75A6"/>
    <w:rsid w:val="003C0BE3"/>
    <w:rsid w:val="003C1C01"/>
    <w:rsid w:val="003C40CA"/>
    <w:rsid w:val="003C4271"/>
    <w:rsid w:val="003C43F9"/>
    <w:rsid w:val="003C5CDD"/>
    <w:rsid w:val="003C5EDE"/>
    <w:rsid w:val="003C7BC8"/>
    <w:rsid w:val="003C7D14"/>
    <w:rsid w:val="003D0C75"/>
    <w:rsid w:val="003D1223"/>
    <w:rsid w:val="003D1811"/>
    <w:rsid w:val="003D1D2D"/>
    <w:rsid w:val="003D1D3B"/>
    <w:rsid w:val="003D2134"/>
    <w:rsid w:val="003D27AD"/>
    <w:rsid w:val="003D3302"/>
    <w:rsid w:val="003D3813"/>
    <w:rsid w:val="003D4730"/>
    <w:rsid w:val="003D5164"/>
    <w:rsid w:val="003D7D6D"/>
    <w:rsid w:val="003E010E"/>
    <w:rsid w:val="003E09A9"/>
    <w:rsid w:val="003E0C23"/>
    <w:rsid w:val="003E24EE"/>
    <w:rsid w:val="003E3C6E"/>
    <w:rsid w:val="003E4F38"/>
    <w:rsid w:val="003E52B1"/>
    <w:rsid w:val="003E54CE"/>
    <w:rsid w:val="003E5F73"/>
    <w:rsid w:val="003E608B"/>
    <w:rsid w:val="003F1A83"/>
    <w:rsid w:val="003F24DF"/>
    <w:rsid w:val="003F3B2D"/>
    <w:rsid w:val="003F488B"/>
    <w:rsid w:val="003F4E8B"/>
    <w:rsid w:val="003F5ECF"/>
    <w:rsid w:val="003F6966"/>
    <w:rsid w:val="003F7EC0"/>
    <w:rsid w:val="00400FC0"/>
    <w:rsid w:val="00401CD5"/>
    <w:rsid w:val="00402DA8"/>
    <w:rsid w:val="004036D4"/>
    <w:rsid w:val="0040396E"/>
    <w:rsid w:val="00405A27"/>
    <w:rsid w:val="00405E64"/>
    <w:rsid w:val="004101C5"/>
    <w:rsid w:val="004116F3"/>
    <w:rsid w:val="00411FB7"/>
    <w:rsid w:val="00412120"/>
    <w:rsid w:val="0041306E"/>
    <w:rsid w:val="00413093"/>
    <w:rsid w:val="00413B5B"/>
    <w:rsid w:val="00413C45"/>
    <w:rsid w:val="004143A0"/>
    <w:rsid w:val="004163D4"/>
    <w:rsid w:val="004167C8"/>
    <w:rsid w:val="00416B32"/>
    <w:rsid w:val="00416CDD"/>
    <w:rsid w:val="00417902"/>
    <w:rsid w:val="00417AAD"/>
    <w:rsid w:val="00417F43"/>
    <w:rsid w:val="004217E3"/>
    <w:rsid w:val="00421C4B"/>
    <w:rsid w:val="00423B3A"/>
    <w:rsid w:val="00424B54"/>
    <w:rsid w:val="004251C6"/>
    <w:rsid w:val="00426784"/>
    <w:rsid w:val="00426D6A"/>
    <w:rsid w:val="00430C1D"/>
    <w:rsid w:val="00430DCC"/>
    <w:rsid w:val="00431095"/>
    <w:rsid w:val="00432FAC"/>
    <w:rsid w:val="00434793"/>
    <w:rsid w:val="004348F2"/>
    <w:rsid w:val="00434988"/>
    <w:rsid w:val="00434B08"/>
    <w:rsid w:val="0043521D"/>
    <w:rsid w:val="00435492"/>
    <w:rsid w:val="00437CC4"/>
    <w:rsid w:val="004418D3"/>
    <w:rsid w:val="00441FF6"/>
    <w:rsid w:val="004421B2"/>
    <w:rsid w:val="00442452"/>
    <w:rsid w:val="0044331B"/>
    <w:rsid w:val="004437B8"/>
    <w:rsid w:val="00443A7E"/>
    <w:rsid w:val="00444461"/>
    <w:rsid w:val="00444AED"/>
    <w:rsid w:val="00445C7D"/>
    <w:rsid w:val="004479DD"/>
    <w:rsid w:val="00447A3B"/>
    <w:rsid w:val="00450CC7"/>
    <w:rsid w:val="00450CD8"/>
    <w:rsid w:val="004517B8"/>
    <w:rsid w:val="00452070"/>
    <w:rsid w:val="0045266E"/>
    <w:rsid w:val="00452D1B"/>
    <w:rsid w:val="00452F00"/>
    <w:rsid w:val="00453142"/>
    <w:rsid w:val="00453DA8"/>
    <w:rsid w:val="00455DB6"/>
    <w:rsid w:val="0046078E"/>
    <w:rsid w:val="00461F83"/>
    <w:rsid w:val="0046289A"/>
    <w:rsid w:val="00462AAA"/>
    <w:rsid w:val="0046374E"/>
    <w:rsid w:val="00463755"/>
    <w:rsid w:val="00464A3C"/>
    <w:rsid w:val="00465D43"/>
    <w:rsid w:val="00466B20"/>
    <w:rsid w:val="004671AF"/>
    <w:rsid w:val="00467E1C"/>
    <w:rsid w:val="00470455"/>
    <w:rsid w:val="0047103F"/>
    <w:rsid w:val="0047194D"/>
    <w:rsid w:val="0047328B"/>
    <w:rsid w:val="00473B07"/>
    <w:rsid w:val="00473E24"/>
    <w:rsid w:val="004741E3"/>
    <w:rsid w:val="00474274"/>
    <w:rsid w:val="00474F9D"/>
    <w:rsid w:val="00475B98"/>
    <w:rsid w:val="00476D2E"/>
    <w:rsid w:val="00476DCB"/>
    <w:rsid w:val="00477915"/>
    <w:rsid w:val="00480C69"/>
    <w:rsid w:val="00481F1A"/>
    <w:rsid w:val="004820FF"/>
    <w:rsid w:val="004821A6"/>
    <w:rsid w:val="00482E89"/>
    <w:rsid w:val="004832C9"/>
    <w:rsid w:val="00483509"/>
    <w:rsid w:val="00483CF6"/>
    <w:rsid w:val="00484AAA"/>
    <w:rsid w:val="0048554D"/>
    <w:rsid w:val="0048642D"/>
    <w:rsid w:val="00487444"/>
    <w:rsid w:val="00487791"/>
    <w:rsid w:val="004878D4"/>
    <w:rsid w:val="00490709"/>
    <w:rsid w:val="00491584"/>
    <w:rsid w:val="0049229A"/>
    <w:rsid w:val="00492B15"/>
    <w:rsid w:val="0049325D"/>
    <w:rsid w:val="00494EAD"/>
    <w:rsid w:val="0049548B"/>
    <w:rsid w:val="00496815"/>
    <w:rsid w:val="00497022"/>
    <w:rsid w:val="00497861"/>
    <w:rsid w:val="00497997"/>
    <w:rsid w:val="00497A19"/>
    <w:rsid w:val="004A1CD7"/>
    <w:rsid w:val="004A3109"/>
    <w:rsid w:val="004A3BCC"/>
    <w:rsid w:val="004A5CBB"/>
    <w:rsid w:val="004A607C"/>
    <w:rsid w:val="004A640D"/>
    <w:rsid w:val="004A6673"/>
    <w:rsid w:val="004A6E7A"/>
    <w:rsid w:val="004A708A"/>
    <w:rsid w:val="004B06BA"/>
    <w:rsid w:val="004B2FC0"/>
    <w:rsid w:val="004B3959"/>
    <w:rsid w:val="004B41B1"/>
    <w:rsid w:val="004B57C3"/>
    <w:rsid w:val="004B5A14"/>
    <w:rsid w:val="004B69BA"/>
    <w:rsid w:val="004B7008"/>
    <w:rsid w:val="004B7C48"/>
    <w:rsid w:val="004C1EB3"/>
    <w:rsid w:val="004C217D"/>
    <w:rsid w:val="004C2202"/>
    <w:rsid w:val="004C250E"/>
    <w:rsid w:val="004C2B76"/>
    <w:rsid w:val="004C380C"/>
    <w:rsid w:val="004C4B71"/>
    <w:rsid w:val="004C5626"/>
    <w:rsid w:val="004C5DBF"/>
    <w:rsid w:val="004C6434"/>
    <w:rsid w:val="004C6696"/>
    <w:rsid w:val="004C6892"/>
    <w:rsid w:val="004C6DC7"/>
    <w:rsid w:val="004C70E7"/>
    <w:rsid w:val="004C7506"/>
    <w:rsid w:val="004C7D78"/>
    <w:rsid w:val="004D03CD"/>
    <w:rsid w:val="004D0CC0"/>
    <w:rsid w:val="004D114F"/>
    <w:rsid w:val="004D1D1D"/>
    <w:rsid w:val="004D27FD"/>
    <w:rsid w:val="004D2D98"/>
    <w:rsid w:val="004D2E8B"/>
    <w:rsid w:val="004D343D"/>
    <w:rsid w:val="004D353D"/>
    <w:rsid w:val="004D3D10"/>
    <w:rsid w:val="004D43B0"/>
    <w:rsid w:val="004D4ADB"/>
    <w:rsid w:val="004D5069"/>
    <w:rsid w:val="004D5227"/>
    <w:rsid w:val="004D5C3A"/>
    <w:rsid w:val="004D6548"/>
    <w:rsid w:val="004D657B"/>
    <w:rsid w:val="004E017B"/>
    <w:rsid w:val="004E027F"/>
    <w:rsid w:val="004E056E"/>
    <w:rsid w:val="004E0C42"/>
    <w:rsid w:val="004E0DC2"/>
    <w:rsid w:val="004E15B6"/>
    <w:rsid w:val="004E22C1"/>
    <w:rsid w:val="004E25CC"/>
    <w:rsid w:val="004E2DD7"/>
    <w:rsid w:val="004E3D1C"/>
    <w:rsid w:val="004E4116"/>
    <w:rsid w:val="004E451A"/>
    <w:rsid w:val="004E4AF0"/>
    <w:rsid w:val="004E53AB"/>
    <w:rsid w:val="004E5E8E"/>
    <w:rsid w:val="004E6AAA"/>
    <w:rsid w:val="004E7254"/>
    <w:rsid w:val="004E75E2"/>
    <w:rsid w:val="004F00B7"/>
    <w:rsid w:val="004F05D2"/>
    <w:rsid w:val="004F0E2B"/>
    <w:rsid w:val="004F0FA0"/>
    <w:rsid w:val="004F1049"/>
    <w:rsid w:val="004F15E5"/>
    <w:rsid w:val="004F21F1"/>
    <w:rsid w:val="004F226E"/>
    <w:rsid w:val="004F2FEF"/>
    <w:rsid w:val="004F319B"/>
    <w:rsid w:val="004F4BDA"/>
    <w:rsid w:val="004F698A"/>
    <w:rsid w:val="004F73D2"/>
    <w:rsid w:val="004F77A0"/>
    <w:rsid w:val="004F77D1"/>
    <w:rsid w:val="004F78E1"/>
    <w:rsid w:val="004F78E5"/>
    <w:rsid w:val="00502E37"/>
    <w:rsid w:val="00502F1A"/>
    <w:rsid w:val="005032C8"/>
    <w:rsid w:val="00503385"/>
    <w:rsid w:val="00503ED1"/>
    <w:rsid w:val="00504D51"/>
    <w:rsid w:val="00504FC9"/>
    <w:rsid w:val="0050555B"/>
    <w:rsid w:val="005057DC"/>
    <w:rsid w:val="00505854"/>
    <w:rsid w:val="0050611D"/>
    <w:rsid w:val="00506277"/>
    <w:rsid w:val="0051084E"/>
    <w:rsid w:val="0051101D"/>
    <w:rsid w:val="00512034"/>
    <w:rsid w:val="005128F1"/>
    <w:rsid w:val="00512A7B"/>
    <w:rsid w:val="005139C5"/>
    <w:rsid w:val="00513D2E"/>
    <w:rsid w:val="005140E3"/>
    <w:rsid w:val="0051438E"/>
    <w:rsid w:val="005150A4"/>
    <w:rsid w:val="0051589C"/>
    <w:rsid w:val="005163CA"/>
    <w:rsid w:val="00516438"/>
    <w:rsid w:val="0051644E"/>
    <w:rsid w:val="005168D3"/>
    <w:rsid w:val="0051705D"/>
    <w:rsid w:val="00517BE0"/>
    <w:rsid w:val="00520560"/>
    <w:rsid w:val="005209FF"/>
    <w:rsid w:val="0052275F"/>
    <w:rsid w:val="0052393C"/>
    <w:rsid w:val="005245F0"/>
    <w:rsid w:val="00524D6E"/>
    <w:rsid w:val="0052551F"/>
    <w:rsid w:val="00526AC7"/>
    <w:rsid w:val="00526C04"/>
    <w:rsid w:val="00531015"/>
    <w:rsid w:val="005338B2"/>
    <w:rsid w:val="00533EB1"/>
    <w:rsid w:val="00535D7A"/>
    <w:rsid w:val="0053605E"/>
    <w:rsid w:val="00536998"/>
    <w:rsid w:val="0053750B"/>
    <w:rsid w:val="00537BF7"/>
    <w:rsid w:val="00540920"/>
    <w:rsid w:val="00541A45"/>
    <w:rsid w:val="00543C22"/>
    <w:rsid w:val="00543C81"/>
    <w:rsid w:val="00544538"/>
    <w:rsid w:val="005447D8"/>
    <w:rsid w:val="00544B7D"/>
    <w:rsid w:val="00545459"/>
    <w:rsid w:val="00545E5E"/>
    <w:rsid w:val="0054609E"/>
    <w:rsid w:val="005462A9"/>
    <w:rsid w:val="005465D6"/>
    <w:rsid w:val="00546C92"/>
    <w:rsid w:val="00551351"/>
    <w:rsid w:val="00551EC1"/>
    <w:rsid w:val="00552F70"/>
    <w:rsid w:val="00553C04"/>
    <w:rsid w:val="00554B94"/>
    <w:rsid w:val="00554CDD"/>
    <w:rsid w:val="00554F56"/>
    <w:rsid w:val="00556319"/>
    <w:rsid w:val="00556872"/>
    <w:rsid w:val="00556E22"/>
    <w:rsid w:val="0055755A"/>
    <w:rsid w:val="00557D34"/>
    <w:rsid w:val="00560062"/>
    <w:rsid w:val="005616CC"/>
    <w:rsid w:val="005624B6"/>
    <w:rsid w:val="0056260B"/>
    <w:rsid w:val="00562D7C"/>
    <w:rsid w:val="0056303A"/>
    <w:rsid w:val="005642D4"/>
    <w:rsid w:val="005650DF"/>
    <w:rsid w:val="00567675"/>
    <w:rsid w:val="0057032E"/>
    <w:rsid w:val="005712B9"/>
    <w:rsid w:val="00571A04"/>
    <w:rsid w:val="0057232E"/>
    <w:rsid w:val="0057238C"/>
    <w:rsid w:val="0057488D"/>
    <w:rsid w:val="005749F1"/>
    <w:rsid w:val="005756E6"/>
    <w:rsid w:val="00575D3C"/>
    <w:rsid w:val="00575DE7"/>
    <w:rsid w:val="005772D9"/>
    <w:rsid w:val="00577E9F"/>
    <w:rsid w:val="005814D4"/>
    <w:rsid w:val="00581819"/>
    <w:rsid w:val="00581B53"/>
    <w:rsid w:val="005827FC"/>
    <w:rsid w:val="005835BC"/>
    <w:rsid w:val="00584AC2"/>
    <w:rsid w:val="00584F66"/>
    <w:rsid w:val="0058527B"/>
    <w:rsid w:val="005860B4"/>
    <w:rsid w:val="00586F0B"/>
    <w:rsid w:val="005870A7"/>
    <w:rsid w:val="00591488"/>
    <w:rsid w:val="005915C5"/>
    <w:rsid w:val="00592606"/>
    <w:rsid w:val="005931B3"/>
    <w:rsid w:val="00593E3B"/>
    <w:rsid w:val="00593F3B"/>
    <w:rsid w:val="00595F27"/>
    <w:rsid w:val="005A06E2"/>
    <w:rsid w:val="005A0F02"/>
    <w:rsid w:val="005A184C"/>
    <w:rsid w:val="005A1EC1"/>
    <w:rsid w:val="005A1F52"/>
    <w:rsid w:val="005A2B25"/>
    <w:rsid w:val="005A340A"/>
    <w:rsid w:val="005A34D3"/>
    <w:rsid w:val="005A3996"/>
    <w:rsid w:val="005A3AB9"/>
    <w:rsid w:val="005A3EE8"/>
    <w:rsid w:val="005A48B8"/>
    <w:rsid w:val="005A57B2"/>
    <w:rsid w:val="005A5874"/>
    <w:rsid w:val="005A5D0D"/>
    <w:rsid w:val="005A6F99"/>
    <w:rsid w:val="005A7BA7"/>
    <w:rsid w:val="005B0142"/>
    <w:rsid w:val="005B1BD0"/>
    <w:rsid w:val="005B3083"/>
    <w:rsid w:val="005B410D"/>
    <w:rsid w:val="005B52B4"/>
    <w:rsid w:val="005B591F"/>
    <w:rsid w:val="005B5BD5"/>
    <w:rsid w:val="005B63C7"/>
    <w:rsid w:val="005B6F8D"/>
    <w:rsid w:val="005B70B6"/>
    <w:rsid w:val="005C0A17"/>
    <w:rsid w:val="005C3555"/>
    <w:rsid w:val="005C4D37"/>
    <w:rsid w:val="005C51CF"/>
    <w:rsid w:val="005C579A"/>
    <w:rsid w:val="005C5D00"/>
    <w:rsid w:val="005C6E2E"/>
    <w:rsid w:val="005C6FA4"/>
    <w:rsid w:val="005D3AB6"/>
    <w:rsid w:val="005D608C"/>
    <w:rsid w:val="005D634B"/>
    <w:rsid w:val="005D645F"/>
    <w:rsid w:val="005D67DD"/>
    <w:rsid w:val="005D6C18"/>
    <w:rsid w:val="005D7763"/>
    <w:rsid w:val="005E0E19"/>
    <w:rsid w:val="005E1DA5"/>
    <w:rsid w:val="005E1F7E"/>
    <w:rsid w:val="005E343F"/>
    <w:rsid w:val="005E4DB1"/>
    <w:rsid w:val="005E54DC"/>
    <w:rsid w:val="005E54EB"/>
    <w:rsid w:val="005E5EF5"/>
    <w:rsid w:val="005E6CFD"/>
    <w:rsid w:val="005E78DC"/>
    <w:rsid w:val="005F0C89"/>
    <w:rsid w:val="005F0D6E"/>
    <w:rsid w:val="005F0DAE"/>
    <w:rsid w:val="005F0ECE"/>
    <w:rsid w:val="005F12D1"/>
    <w:rsid w:val="005F1700"/>
    <w:rsid w:val="005F189D"/>
    <w:rsid w:val="005F21B4"/>
    <w:rsid w:val="005F6C69"/>
    <w:rsid w:val="005F74F3"/>
    <w:rsid w:val="005F7576"/>
    <w:rsid w:val="005F773F"/>
    <w:rsid w:val="005F7A9A"/>
    <w:rsid w:val="00605DAF"/>
    <w:rsid w:val="00610215"/>
    <w:rsid w:val="006137BF"/>
    <w:rsid w:val="0061384E"/>
    <w:rsid w:val="006139AB"/>
    <w:rsid w:val="00613BA1"/>
    <w:rsid w:val="00614FE6"/>
    <w:rsid w:val="006158FC"/>
    <w:rsid w:val="00616BC2"/>
    <w:rsid w:val="0061709A"/>
    <w:rsid w:val="00617B1B"/>
    <w:rsid w:val="00622DE1"/>
    <w:rsid w:val="00623CE1"/>
    <w:rsid w:val="0062455C"/>
    <w:rsid w:val="006257B7"/>
    <w:rsid w:val="00626069"/>
    <w:rsid w:val="00627ACA"/>
    <w:rsid w:val="00627D0F"/>
    <w:rsid w:val="00627FF9"/>
    <w:rsid w:val="0063053C"/>
    <w:rsid w:val="006308C7"/>
    <w:rsid w:val="00630904"/>
    <w:rsid w:val="006310A3"/>
    <w:rsid w:val="00631B41"/>
    <w:rsid w:val="006325DB"/>
    <w:rsid w:val="006335AB"/>
    <w:rsid w:val="00633A7A"/>
    <w:rsid w:val="00634371"/>
    <w:rsid w:val="00635D0E"/>
    <w:rsid w:val="006360DC"/>
    <w:rsid w:val="006366DF"/>
    <w:rsid w:val="00636D95"/>
    <w:rsid w:val="00637CCA"/>
    <w:rsid w:val="0064011A"/>
    <w:rsid w:val="0064074A"/>
    <w:rsid w:val="00641116"/>
    <w:rsid w:val="00641278"/>
    <w:rsid w:val="00641747"/>
    <w:rsid w:val="00642782"/>
    <w:rsid w:val="00643305"/>
    <w:rsid w:val="006465CC"/>
    <w:rsid w:val="006469E4"/>
    <w:rsid w:val="00647042"/>
    <w:rsid w:val="0065135E"/>
    <w:rsid w:val="00651DF4"/>
    <w:rsid w:val="00652441"/>
    <w:rsid w:val="00653C22"/>
    <w:rsid w:val="00653F58"/>
    <w:rsid w:val="00654365"/>
    <w:rsid w:val="0065593B"/>
    <w:rsid w:val="006559C4"/>
    <w:rsid w:val="00655B74"/>
    <w:rsid w:val="006562E3"/>
    <w:rsid w:val="0065721A"/>
    <w:rsid w:val="00660056"/>
    <w:rsid w:val="00662FCB"/>
    <w:rsid w:val="0066327E"/>
    <w:rsid w:val="00663DB1"/>
    <w:rsid w:val="0066571B"/>
    <w:rsid w:val="00665D96"/>
    <w:rsid w:val="0066605F"/>
    <w:rsid w:val="0066618F"/>
    <w:rsid w:val="00667223"/>
    <w:rsid w:val="00670DB5"/>
    <w:rsid w:val="006715A1"/>
    <w:rsid w:val="00671D4B"/>
    <w:rsid w:val="00672CFB"/>
    <w:rsid w:val="00672F62"/>
    <w:rsid w:val="006739B9"/>
    <w:rsid w:val="00673FA6"/>
    <w:rsid w:val="00674235"/>
    <w:rsid w:val="00675507"/>
    <w:rsid w:val="00676366"/>
    <w:rsid w:val="006764A7"/>
    <w:rsid w:val="00676751"/>
    <w:rsid w:val="0067722F"/>
    <w:rsid w:val="00677F0E"/>
    <w:rsid w:val="0068003C"/>
    <w:rsid w:val="006801BB"/>
    <w:rsid w:val="00680D98"/>
    <w:rsid w:val="0068175B"/>
    <w:rsid w:val="00683EED"/>
    <w:rsid w:val="006841DB"/>
    <w:rsid w:val="006851CE"/>
    <w:rsid w:val="006855EC"/>
    <w:rsid w:val="00686F1F"/>
    <w:rsid w:val="00687CA0"/>
    <w:rsid w:val="00691C1E"/>
    <w:rsid w:val="00691D8F"/>
    <w:rsid w:val="00692262"/>
    <w:rsid w:val="0069237D"/>
    <w:rsid w:val="0069258E"/>
    <w:rsid w:val="00693614"/>
    <w:rsid w:val="00694021"/>
    <w:rsid w:val="006960DB"/>
    <w:rsid w:val="00696131"/>
    <w:rsid w:val="00696F23"/>
    <w:rsid w:val="006A1D2A"/>
    <w:rsid w:val="006A20A9"/>
    <w:rsid w:val="006A24CE"/>
    <w:rsid w:val="006A2BEC"/>
    <w:rsid w:val="006A2EC9"/>
    <w:rsid w:val="006A4362"/>
    <w:rsid w:val="006A57F3"/>
    <w:rsid w:val="006A619D"/>
    <w:rsid w:val="006A69AA"/>
    <w:rsid w:val="006A69B9"/>
    <w:rsid w:val="006A7A4A"/>
    <w:rsid w:val="006A7D7B"/>
    <w:rsid w:val="006B0654"/>
    <w:rsid w:val="006B1099"/>
    <w:rsid w:val="006B157D"/>
    <w:rsid w:val="006B1705"/>
    <w:rsid w:val="006B227D"/>
    <w:rsid w:val="006B3031"/>
    <w:rsid w:val="006B3CB4"/>
    <w:rsid w:val="006B4944"/>
    <w:rsid w:val="006B5C51"/>
    <w:rsid w:val="006B6B5D"/>
    <w:rsid w:val="006B7133"/>
    <w:rsid w:val="006B7599"/>
    <w:rsid w:val="006B7863"/>
    <w:rsid w:val="006B7890"/>
    <w:rsid w:val="006C0253"/>
    <w:rsid w:val="006C0443"/>
    <w:rsid w:val="006C152A"/>
    <w:rsid w:val="006C1CEA"/>
    <w:rsid w:val="006C1DC6"/>
    <w:rsid w:val="006C27F0"/>
    <w:rsid w:val="006C45B3"/>
    <w:rsid w:val="006C5937"/>
    <w:rsid w:val="006C630D"/>
    <w:rsid w:val="006C637C"/>
    <w:rsid w:val="006C653F"/>
    <w:rsid w:val="006C679C"/>
    <w:rsid w:val="006D005D"/>
    <w:rsid w:val="006D089B"/>
    <w:rsid w:val="006D0AA9"/>
    <w:rsid w:val="006D0F8B"/>
    <w:rsid w:val="006D2CC4"/>
    <w:rsid w:val="006D2F9F"/>
    <w:rsid w:val="006D3C14"/>
    <w:rsid w:val="006D5155"/>
    <w:rsid w:val="006D573A"/>
    <w:rsid w:val="006D577E"/>
    <w:rsid w:val="006D58CD"/>
    <w:rsid w:val="006D6CD5"/>
    <w:rsid w:val="006D6D0A"/>
    <w:rsid w:val="006D7370"/>
    <w:rsid w:val="006D7BFE"/>
    <w:rsid w:val="006E055E"/>
    <w:rsid w:val="006E1920"/>
    <w:rsid w:val="006E3070"/>
    <w:rsid w:val="006E4EB6"/>
    <w:rsid w:val="006E5463"/>
    <w:rsid w:val="006E5C89"/>
    <w:rsid w:val="006E5E97"/>
    <w:rsid w:val="006E7BF6"/>
    <w:rsid w:val="006F10EA"/>
    <w:rsid w:val="006F13B1"/>
    <w:rsid w:val="006F2305"/>
    <w:rsid w:val="006F2EE9"/>
    <w:rsid w:val="006F4CE8"/>
    <w:rsid w:val="006F5B5B"/>
    <w:rsid w:val="006F5C44"/>
    <w:rsid w:val="006F5EFF"/>
    <w:rsid w:val="006F657B"/>
    <w:rsid w:val="006F65C8"/>
    <w:rsid w:val="006F69EC"/>
    <w:rsid w:val="007005C1"/>
    <w:rsid w:val="00700B4B"/>
    <w:rsid w:val="00700EA3"/>
    <w:rsid w:val="00701758"/>
    <w:rsid w:val="0070205E"/>
    <w:rsid w:val="007022F8"/>
    <w:rsid w:val="00702893"/>
    <w:rsid w:val="00703D97"/>
    <w:rsid w:val="00704164"/>
    <w:rsid w:val="007041DB"/>
    <w:rsid w:val="007047DE"/>
    <w:rsid w:val="007048F7"/>
    <w:rsid w:val="00704EC5"/>
    <w:rsid w:val="007061CC"/>
    <w:rsid w:val="00706958"/>
    <w:rsid w:val="00707AC5"/>
    <w:rsid w:val="00711B9D"/>
    <w:rsid w:val="00711D30"/>
    <w:rsid w:val="0071248C"/>
    <w:rsid w:val="00712B64"/>
    <w:rsid w:val="00713C28"/>
    <w:rsid w:val="00714029"/>
    <w:rsid w:val="00714180"/>
    <w:rsid w:val="00714B16"/>
    <w:rsid w:val="00720638"/>
    <w:rsid w:val="0072111D"/>
    <w:rsid w:val="00721657"/>
    <w:rsid w:val="007223E1"/>
    <w:rsid w:val="00724A4F"/>
    <w:rsid w:val="007253E8"/>
    <w:rsid w:val="00725BDC"/>
    <w:rsid w:val="007263D2"/>
    <w:rsid w:val="00726DE8"/>
    <w:rsid w:val="007302EB"/>
    <w:rsid w:val="00731151"/>
    <w:rsid w:val="0073216C"/>
    <w:rsid w:val="007331F3"/>
    <w:rsid w:val="00733C08"/>
    <w:rsid w:val="0073493E"/>
    <w:rsid w:val="00734BC6"/>
    <w:rsid w:val="0073567B"/>
    <w:rsid w:val="00735CC6"/>
    <w:rsid w:val="00736013"/>
    <w:rsid w:val="0073639F"/>
    <w:rsid w:val="00737045"/>
    <w:rsid w:val="00737253"/>
    <w:rsid w:val="00737F08"/>
    <w:rsid w:val="00741C6D"/>
    <w:rsid w:val="00744978"/>
    <w:rsid w:val="00746150"/>
    <w:rsid w:val="0074673D"/>
    <w:rsid w:val="00746995"/>
    <w:rsid w:val="00746FCF"/>
    <w:rsid w:val="007479D8"/>
    <w:rsid w:val="00751B28"/>
    <w:rsid w:val="00751B54"/>
    <w:rsid w:val="00752031"/>
    <w:rsid w:val="0075228B"/>
    <w:rsid w:val="0075268F"/>
    <w:rsid w:val="00754769"/>
    <w:rsid w:val="00755004"/>
    <w:rsid w:val="00757148"/>
    <w:rsid w:val="00760093"/>
    <w:rsid w:val="00760B09"/>
    <w:rsid w:val="00760C46"/>
    <w:rsid w:val="00762818"/>
    <w:rsid w:val="007632A1"/>
    <w:rsid w:val="0076336C"/>
    <w:rsid w:val="007637DE"/>
    <w:rsid w:val="0076564D"/>
    <w:rsid w:val="007704A6"/>
    <w:rsid w:val="00770DC8"/>
    <w:rsid w:val="00772BF0"/>
    <w:rsid w:val="007739F3"/>
    <w:rsid w:val="0077529F"/>
    <w:rsid w:val="00775580"/>
    <w:rsid w:val="007760EB"/>
    <w:rsid w:val="0077678B"/>
    <w:rsid w:val="00777EB2"/>
    <w:rsid w:val="00781C30"/>
    <w:rsid w:val="0078246F"/>
    <w:rsid w:val="0078341E"/>
    <w:rsid w:val="007834A2"/>
    <w:rsid w:val="0078429B"/>
    <w:rsid w:val="00786E22"/>
    <w:rsid w:val="00787063"/>
    <w:rsid w:val="00787591"/>
    <w:rsid w:val="00787F0C"/>
    <w:rsid w:val="00790724"/>
    <w:rsid w:val="00790A8E"/>
    <w:rsid w:val="0079121D"/>
    <w:rsid w:val="0079130E"/>
    <w:rsid w:val="00791A65"/>
    <w:rsid w:val="00792564"/>
    <w:rsid w:val="00792A3B"/>
    <w:rsid w:val="007933C7"/>
    <w:rsid w:val="00793D5D"/>
    <w:rsid w:val="00793F4A"/>
    <w:rsid w:val="00794895"/>
    <w:rsid w:val="00795885"/>
    <w:rsid w:val="0079635F"/>
    <w:rsid w:val="00796BF1"/>
    <w:rsid w:val="0079735C"/>
    <w:rsid w:val="00797534"/>
    <w:rsid w:val="007A05C1"/>
    <w:rsid w:val="007A1627"/>
    <w:rsid w:val="007A259F"/>
    <w:rsid w:val="007A2684"/>
    <w:rsid w:val="007A3DB6"/>
    <w:rsid w:val="007A5192"/>
    <w:rsid w:val="007A5DCB"/>
    <w:rsid w:val="007B0DB8"/>
    <w:rsid w:val="007B1A0A"/>
    <w:rsid w:val="007B22C4"/>
    <w:rsid w:val="007B3DF7"/>
    <w:rsid w:val="007B5DED"/>
    <w:rsid w:val="007B5FA8"/>
    <w:rsid w:val="007B6437"/>
    <w:rsid w:val="007B7B50"/>
    <w:rsid w:val="007C0BCB"/>
    <w:rsid w:val="007C2A51"/>
    <w:rsid w:val="007C2D1E"/>
    <w:rsid w:val="007C51DF"/>
    <w:rsid w:val="007C609F"/>
    <w:rsid w:val="007C6413"/>
    <w:rsid w:val="007D083F"/>
    <w:rsid w:val="007D2EA4"/>
    <w:rsid w:val="007D3088"/>
    <w:rsid w:val="007D3B5F"/>
    <w:rsid w:val="007D4685"/>
    <w:rsid w:val="007D4C4E"/>
    <w:rsid w:val="007D5C9A"/>
    <w:rsid w:val="007D6E17"/>
    <w:rsid w:val="007D7D97"/>
    <w:rsid w:val="007E08AA"/>
    <w:rsid w:val="007E0F26"/>
    <w:rsid w:val="007E15E3"/>
    <w:rsid w:val="007E1B92"/>
    <w:rsid w:val="007E1BCD"/>
    <w:rsid w:val="007E29D9"/>
    <w:rsid w:val="007E3116"/>
    <w:rsid w:val="007E397B"/>
    <w:rsid w:val="007E53C1"/>
    <w:rsid w:val="007E6010"/>
    <w:rsid w:val="007E65B0"/>
    <w:rsid w:val="007E67EA"/>
    <w:rsid w:val="007E683E"/>
    <w:rsid w:val="007E68C1"/>
    <w:rsid w:val="007E774E"/>
    <w:rsid w:val="007F11D7"/>
    <w:rsid w:val="007F2203"/>
    <w:rsid w:val="007F25C9"/>
    <w:rsid w:val="007F2A17"/>
    <w:rsid w:val="007F2B8C"/>
    <w:rsid w:val="007F3128"/>
    <w:rsid w:val="007F3A35"/>
    <w:rsid w:val="007F40F2"/>
    <w:rsid w:val="007F44B9"/>
    <w:rsid w:val="007F5D05"/>
    <w:rsid w:val="007F68A7"/>
    <w:rsid w:val="007F6A96"/>
    <w:rsid w:val="007F737B"/>
    <w:rsid w:val="007F7B21"/>
    <w:rsid w:val="0080198A"/>
    <w:rsid w:val="00801A1A"/>
    <w:rsid w:val="00801A29"/>
    <w:rsid w:val="00802414"/>
    <w:rsid w:val="00802F87"/>
    <w:rsid w:val="008032E6"/>
    <w:rsid w:val="008034A3"/>
    <w:rsid w:val="008043A0"/>
    <w:rsid w:val="0080471C"/>
    <w:rsid w:val="0080499B"/>
    <w:rsid w:val="00805195"/>
    <w:rsid w:val="0080628C"/>
    <w:rsid w:val="008066B6"/>
    <w:rsid w:val="00807E1E"/>
    <w:rsid w:val="00810C22"/>
    <w:rsid w:val="00811906"/>
    <w:rsid w:val="0081272B"/>
    <w:rsid w:val="008134E0"/>
    <w:rsid w:val="008136C0"/>
    <w:rsid w:val="00813C19"/>
    <w:rsid w:val="00814B55"/>
    <w:rsid w:val="00815C0C"/>
    <w:rsid w:val="0082016A"/>
    <w:rsid w:val="008205C2"/>
    <w:rsid w:val="008216B6"/>
    <w:rsid w:val="0082321F"/>
    <w:rsid w:val="00823AEE"/>
    <w:rsid w:val="0082464B"/>
    <w:rsid w:val="008249D9"/>
    <w:rsid w:val="00824B19"/>
    <w:rsid w:val="0082521A"/>
    <w:rsid w:val="00825612"/>
    <w:rsid w:val="00825A85"/>
    <w:rsid w:val="008260A8"/>
    <w:rsid w:val="008261B1"/>
    <w:rsid w:val="00827AEB"/>
    <w:rsid w:val="00827FA0"/>
    <w:rsid w:val="00830E13"/>
    <w:rsid w:val="008312AD"/>
    <w:rsid w:val="00831899"/>
    <w:rsid w:val="0083288B"/>
    <w:rsid w:val="00833EC1"/>
    <w:rsid w:val="0083420F"/>
    <w:rsid w:val="00835D0F"/>
    <w:rsid w:val="00836636"/>
    <w:rsid w:val="0083794F"/>
    <w:rsid w:val="008404BA"/>
    <w:rsid w:val="00840C91"/>
    <w:rsid w:val="00840E27"/>
    <w:rsid w:val="00842D6E"/>
    <w:rsid w:val="00842F80"/>
    <w:rsid w:val="00844486"/>
    <w:rsid w:val="008447BF"/>
    <w:rsid w:val="008448A3"/>
    <w:rsid w:val="00845C50"/>
    <w:rsid w:val="0084689F"/>
    <w:rsid w:val="00850001"/>
    <w:rsid w:val="00850AED"/>
    <w:rsid w:val="00850BFB"/>
    <w:rsid w:val="00850F2A"/>
    <w:rsid w:val="00851D57"/>
    <w:rsid w:val="0085397E"/>
    <w:rsid w:val="00854DE1"/>
    <w:rsid w:val="00854F96"/>
    <w:rsid w:val="00857F60"/>
    <w:rsid w:val="00860251"/>
    <w:rsid w:val="0086346E"/>
    <w:rsid w:val="00865F63"/>
    <w:rsid w:val="00866102"/>
    <w:rsid w:val="008666EF"/>
    <w:rsid w:val="0086688C"/>
    <w:rsid w:val="00867347"/>
    <w:rsid w:val="00867D58"/>
    <w:rsid w:val="00871529"/>
    <w:rsid w:val="008718E2"/>
    <w:rsid w:val="00872676"/>
    <w:rsid w:val="00873CD5"/>
    <w:rsid w:val="00873DE8"/>
    <w:rsid w:val="00875E7E"/>
    <w:rsid w:val="00876BCA"/>
    <w:rsid w:val="00877EBC"/>
    <w:rsid w:val="008810C6"/>
    <w:rsid w:val="00881259"/>
    <w:rsid w:val="00882763"/>
    <w:rsid w:val="008868EB"/>
    <w:rsid w:val="00887CC8"/>
    <w:rsid w:val="008902B7"/>
    <w:rsid w:val="008907A1"/>
    <w:rsid w:val="00891C97"/>
    <w:rsid w:val="00891E8D"/>
    <w:rsid w:val="00891ECB"/>
    <w:rsid w:val="008939F4"/>
    <w:rsid w:val="0089454D"/>
    <w:rsid w:val="00895670"/>
    <w:rsid w:val="00895B3A"/>
    <w:rsid w:val="008961B4"/>
    <w:rsid w:val="00897758"/>
    <w:rsid w:val="008A03FF"/>
    <w:rsid w:val="008A24EC"/>
    <w:rsid w:val="008A2AE6"/>
    <w:rsid w:val="008A32EC"/>
    <w:rsid w:val="008A3A82"/>
    <w:rsid w:val="008A6B67"/>
    <w:rsid w:val="008A7EB7"/>
    <w:rsid w:val="008B00DE"/>
    <w:rsid w:val="008B12E4"/>
    <w:rsid w:val="008B136E"/>
    <w:rsid w:val="008B22A8"/>
    <w:rsid w:val="008B38B8"/>
    <w:rsid w:val="008B4882"/>
    <w:rsid w:val="008B4E6E"/>
    <w:rsid w:val="008B52A6"/>
    <w:rsid w:val="008B6729"/>
    <w:rsid w:val="008B6B58"/>
    <w:rsid w:val="008B709D"/>
    <w:rsid w:val="008C194B"/>
    <w:rsid w:val="008C1AA6"/>
    <w:rsid w:val="008C2787"/>
    <w:rsid w:val="008C3C77"/>
    <w:rsid w:val="008C3E07"/>
    <w:rsid w:val="008C4812"/>
    <w:rsid w:val="008C5430"/>
    <w:rsid w:val="008D19CE"/>
    <w:rsid w:val="008D1DA1"/>
    <w:rsid w:val="008D1DE6"/>
    <w:rsid w:val="008D3175"/>
    <w:rsid w:val="008D3462"/>
    <w:rsid w:val="008D6216"/>
    <w:rsid w:val="008D628E"/>
    <w:rsid w:val="008D7A39"/>
    <w:rsid w:val="008D7D08"/>
    <w:rsid w:val="008E17FC"/>
    <w:rsid w:val="008E1CBE"/>
    <w:rsid w:val="008E253E"/>
    <w:rsid w:val="008E299F"/>
    <w:rsid w:val="008E3043"/>
    <w:rsid w:val="008E3181"/>
    <w:rsid w:val="008E527B"/>
    <w:rsid w:val="008E5AD8"/>
    <w:rsid w:val="008E71D2"/>
    <w:rsid w:val="008E73FF"/>
    <w:rsid w:val="008F10E8"/>
    <w:rsid w:val="008F2419"/>
    <w:rsid w:val="008F3D09"/>
    <w:rsid w:val="008F404A"/>
    <w:rsid w:val="008F46E7"/>
    <w:rsid w:val="008F4AF9"/>
    <w:rsid w:val="008F4BCF"/>
    <w:rsid w:val="008F4BD8"/>
    <w:rsid w:val="008F4F9E"/>
    <w:rsid w:val="008F52F3"/>
    <w:rsid w:val="008F59CB"/>
    <w:rsid w:val="008F621A"/>
    <w:rsid w:val="008F65C7"/>
    <w:rsid w:val="008F6F59"/>
    <w:rsid w:val="00900762"/>
    <w:rsid w:val="00900887"/>
    <w:rsid w:val="00900D65"/>
    <w:rsid w:val="00900FAD"/>
    <w:rsid w:val="00901AFE"/>
    <w:rsid w:val="00902F77"/>
    <w:rsid w:val="0090391B"/>
    <w:rsid w:val="009047E7"/>
    <w:rsid w:val="00904889"/>
    <w:rsid w:val="009062F2"/>
    <w:rsid w:val="00906C01"/>
    <w:rsid w:val="00907261"/>
    <w:rsid w:val="009073D4"/>
    <w:rsid w:val="00907CDE"/>
    <w:rsid w:val="0091204A"/>
    <w:rsid w:val="009124A8"/>
    <w:rsid w:val="0091361C"/>
    <w:rsid w:val="00915690"/>
    <w:rsid w:val="00915768"/>
    <w:rsid w:val="009158B4"/>
    <w:rsid w:val="00916F40"/>
    <w:rsid w:val="00917E81"/>
    <w:rsid w:val="0092055B"/>
    <w:rsid w:val="00921530"/>
    <w:rsid w:val="009218BC"/>
    <w:rsid w:val="009219BC"/>
    <w:rsid w:val="00921C57"/>
    <w:rsid w:val="00923139"/>
    <w:rsid w:val="00924303"/>
    <w:rsid w:val="00924A35"/>
    <w:rsid w:val="00925051"/>
    <w:rsid w:val="0092506C"/>
    <w:rsid w:val="00925174"/>
    <w:rsid w:val="009270BF"/>
    <w:rsid w:val="00927725"/>
    <w:rsid w:val="009300CB"/>
    <w:rsid w:val="00933441"/>
    <w:rsid w:val="009334DE"/>
    <w:rsid w:val="0093415F"/>
    <w:rsid w:val="00934ACD"/>
    <w:rsid w:val="00935449"/>
    <w:rsid w:val="0093551A"/>
    <w:rsid w:val="0093676D"/>
    <w:rsid w:val="00937DB4"/>
    <w:rsid w:val="009418FC"/>
    <w:rsid w:val="00941B68"/>
    <w:rsid w:val="00942265"/>
    <w:rsid w:val="00943BE2"/>
    <w:rsid w:val="00943E6E"/>
    <w:rsid w:val="00944546"/>
    <w:rsid w:val="00944EA2"/>
    <w:rsid w:val="00945B7D"/>
    <w:rsid w:val="009471FF"/>
    <w:rsid w:val="00947471"/>
    <w:rsid w:val="009475E3"/>
    <w:rsid w:val="00947B41"/>
    <w:rsid w:val="00947CED"/>
    <w:rsid w:val="009506CD"/>
    <w:rsid w:val="009517A4"/>
    <w:rsid w:val="00951C73"/>
    <w:rsid w:val="009528D6"/>
    <w:rsid w:val="00953C0C"/>
    <w:rsid w:val="00957700"/>
    <w:rsid w:val="00960760"/>
    <w:rsid w:val="00960A6A"/>
    <w:rsid w:val="0096391A"/>
    <w:rsid w:val="009640A1"/>
    <w:rsid w:val="009652AA"/>
    <w:rsid w:val="00965E89"/>
    <w:rsid w:val="00965ECE"/>
    <w:rsid w:val="0096722A"/>
    <w:rsid w:val="00971CDE"/>
    <w:rsid w:val="009721FD"/>
    <w:rsid w:val="00972538"/>
    <w:rsid w:val="0097273A"/>
    <w:rsid w:val="00973B4A"/>
    <w:rsid w:val="00974140"/>
    <w:rsid w:val="00974A19"/>
    <w:rsid w:val="00975151"/>
    <w:rsid w:val="00975E90"/>
    <w:rsid w:val="00977C9F"/>
    <w:rsid w:val="00980972"/>
    <w:rsid w:val="00981B5B"/>
    <w:rsid w:val="00981D9B"/>
    <w:rsid w:val="00981E8B"/>
    <w:rsid w:val="00983049"/>
    <w:rsid w:val="00983808"/>
    <w:rsid w:val="00983833"/>
    <w:rsid w:val="00987E13"/>
    <w:rsid w:val="00991536"/>
    <w:rsid w:val="009918EF"/>
    <w:rsid w:val="00991D2C"/>
    <w:rsid w:val="00991D6E"/>
    <w:rsid w:val="00992E51"/>
    <w:rsid w:val="00992E93"/>
    <w:rsid w:val="0099405B"/>
    <w:rsid w:val="00994393"/>
    <w:rsid w:val="009947C8"/>
    <w:rsid w:val="00995EFF"/>
    <w:rsid w:val="00996193"/>
    <w:rsid w:val="00996342"/>
    <w:rsid w:val="00996ADE"/>
    <w:rsid w:val="00996D95"/>
    <w:rsid w:val="0099711F"/>
    <w:rsid w:val="00997145"/>
    <w:rsid w:val="009973BD"/>
    <w:rsid w:val="00997B29"/>
    <w:rsid w:val="009A101A"/>
    <w:rsid w:val="009A2497"/>
    <w:rsid w:val="009A26AF"/>
    <w:rsid w:val="009A4089"/>
    <w:rsid w:val="009A4294"/>
    <w:rsid w:val="009A43C4"/>
    <w:rsid w:val="009A526E"/>
    <w:rsid w:val="009A53A7"/>
    <w:rsid w:val="009A63FB"/>
    <w:rsid w:val="009A6F16"/>
    <w:rsid w:val="009B0724"/>
    <w:rsid w:val="009B07E1"/>
    <w:rsid w:val="009B211D"/>
    <w:rsid w:val="009B39DF"/>
    <w:rsid w:val="009B5557"/>
    <w:rsid w:val="009B55E1"/>
    <w:rsid w:val="009B5CB0"/>
    <w:rsid w:val="009B6CF8"/>
    <w:rsid w:val="009B6FF6"/>
    <w:rsid w:val="009B7905"/>
    <w:rsid w:val="009C048C"/>
    <w:rsid w:val="009C06A1"/>
    <w:rsid w:val="009C1A66"/>
    <w:rsid w:val="009C25C7"/>
    <w:rsid w:val="009C26BF"/>
    <w:rsid w:val="009C34EF"/>
    <w:rsid w:val="009C466A"/>
    <w:rsid w:val="009C49F5"/>
    <w:rsid w:val="009C50AD"/>
    <w:rsid w:val="009C625B"/>
    <w:rsid w:val="009C7207"/>
    <w:rsid w:val="009D3195"/>
    <w:rsid w:val="009D39D6"/>
    <w:rsid w:val="009D3A52"/>
    <w:rsid w:val="009D40FA"/>
    <w:rsid w:val="009D524F"/>
    <w:rsid w:val="009D5A0F"/>
    <w:rsid w:val="009D690D"/>
    <w:rsid w:val="009D6C55"/>
    <w:rsid w:val="009D731B"/>
    <w:rsid w:val="009D76ED"/>
    <w:rsid w:val="009E1009"/>
    <w:rsid w:val="009E1CC7"/>
    <w:rsid w:val="009E2F9F"/>
    <w:rsid w:val="009E3AA7"/>
    <w:rsid w:val="009E465B"/>
    <w:rsid w:val="009E604E"/>
    <w:rsid w:val="009E64BA"/>
    <w:rsid w:val="009E68D0"/>
    <w:rsid w:val="009E6FC7"/>
    <w:rsid w:val="009E7292"/>
    <w:rsid w:val="009F07BB"/>
    <w:rsid w:val="009F086A"/>
    <w:rsid w:val="009F1802"/>
    <w:rsid w:val="009F1868"/>
    <w:rsid w:val="009F2179"/>
    <w:rsid w:val="009F2B80"/>
    <w:rsid w:val="009F3541"/>
    <w:rsid w:val="009F360B"/>
    <w:rsid w:val="009F3F84"/>
    <w:rsid w:val="009F5E92"/>
    <w:rsid w:val="009F630C"/>
    <w:rsid w:val="009F732C"/>
    <w:rsid w:val="009F7E20"/>
    <w:rsid w:val="00A01253"/>
    <w:rsid w:val="00A01F96"/>
    <w:rsid w:val="00A0345C"/>
    <w:rsid w:val="00A05448"/>
    <w:rsid w:val="00A06CDF"/>
    <w:rsid w:val="00A06D8C"/>
    <w:rsid w:val="00A0796A"/>
    <w:rsid w:val="00A10334"/>
    <w:rsid w:val="00A11249"/>
    <w:rsid w:val="00A11F89"/>
    <w:rsid w:val="00A12B47"/>
    <w:rsid w:val="00A13597"/>
    <w:rsid w:val="00A13DB0"/>
    <w:rsid w:val="00A13ECC"/>
    <w:rsid w:val="00A151EB"/>
    <w:rsid w:val="00A16E2C"/>
    <w:rsid w:val="00A17736"/>
    <w:rsid w:val="00A2035E"/>
    <w:rsid w:val="00A2193A"/>
    <w:rsid w:val="00A21AF4"/>
    <w:rsid w:val="00A21F8D"/>
    <w:rsid w:val="00A221FC"/>
    <w:rsid w:val="00A23AD2"/>
    <w:rsid w:val="00A2716B"/>
    <w:rsid w:val="00A275D9"/>
    <w:rsid w:val="00A30F16"/>
    <w:rsid w:val="00A3115A"/>
    <w:rsid w:val="00A33A30"/>
    <w:rsid w:val="00A35358"/>
    <w:rsid w:val="00A353F3"/>
    <w:rsid w:val="00A36306"/>
    <w:rsid w:val="00A366EC"/>
    <w:rsid w:val="00A36AF4"/>
    <w:rsid w:val="00A37874"/>
    <w:rsid w:val="00A37E3F"/>
    <w:rsid w:val="00A40618"/>
    <w:rsid w:val="00A4106D"/>
    <w:rsid w:val="00A41D44"/>
    <w:rsid w:val="00A42FC0"/>
    <w:rsid w:val="00A43AB4"/>
    <w:rsid w:val="00A4409C"/>
    <w:rsid w:val="00A44495"/>
    <w:rsid w:val="00A45283"/>
    <w:rsid w:val="00A470C0"/>
    <w:rsid w:val="00A478E2"/>
    <w:rsid w:val="00A47C87"/>
    <w:rsid w:val="00A5026D"/>
    <w:rsid w:val="00A5095F"/>
    <w:rsid w:val="00A50ADB"/>
    <w:rsid w:val="00A50D31"/>
    <w:rsid w:val="00A52C02"/>
    <w:rsid w:val="00A538D2"/>
    <w:rsid w:val="00A53D29"/>
    <w:rsid w:val="00A5416C"/>
    <w:rsid w:val="00A5479E"/>
    <w:rsid w:val="00A551A4"/>
    <w:rsid w:val="00A555E0"/>
    <w:rsid w:val="00A57647"/>
    <w:rsid w:val="00A60938"/>
    <w:rsid w:val="00A62F05"/>
    <w:rsid w:val="00A6320F"/>
    <w:rsid w:val="00A6459F"/>
    <w:rsid w:val="00A64602"/>
    <w:rsid w:val="00A664DE"/>
    <w:rsid w:val="00A679FE"/>
    <w:rsid w:val="00A67A55"/>
    <w:rsid w:val="00A70E29"/>
    <w:rsid w:val="00A70F54"/>
    <w:rsid w:val="00A711C8"/>
    <w:rsid w:val="00A7344E"/>
    <w:rsid w:val="00A73B69"/>
    <w:rsid w:val="00A743AC"/>
    <w:rsid w:val="00A74A4D"/>
    <w:rsid w:val="00A74FA2"/>
    <w:rsid w:val="00A758DC"/>
    <w:rsid w:val="00A75E63"/>
    <w:rsid w:val="00A75FE0"/>
    <w:rsid w:val="00A77924"/>
    <w:rsid w:val="00A8013C"/>
    <w:rsid w:val="00A814D4"/>
    <w:rsid w:val="00A81E0A"/>
    <w:rsid w:val="00A837D2"/>
    <w:rsid w:val="00A85766"/>
    <w:rsid w:val="00A85CC8"/>
    <w:rsid w:val="00A86634"/>
    <w:rsid w:val="00A86857"/>
    <w:rsid w:val="00A86D83"/>
    <w:rsid w:val="00A91283"/>
    <w:rsid w:val="00A91575"/>
    <w:rsid w:val="00A92C47"/>
    <w:rsid w:val="00A938B3"/>
    <w:rsid w:val="00A940A5"/>
    <w:rsid w:val="00A94670"/>
    <w:rsid w:val="00A94C6B"/>
    <w:rsid w:val="00A94F2C"/>
    <w:rsid w:val="00A955AC"/>
    <w:rsid w:val="00A959E1"/>
    <w:rsid w:val="00A96B96"/>
    <w:rsid w:val="00A97E29"/>
    <w:rsid w:val="00AA0674"/>
    <w:rsid w:val="00AA06F2"/>
    <w:rsid w:val="00AA0E86"/>
    <w:rsid w:val="00AA2795"/>
    <w:rsid w:val="00AA33B8"/>
    <w:rsid w:val="00AA4467"/>
    <w:rsid w:val="00AA6664"/>
    <w:rsid w:val="00AA6B07"/>
    <w:rsid w:val="00AB0F32"/>
    <w:rsid w:val="00AB222B"/>
    <w:rsid w:val="00AB22B6"/>
    <w:rsid w:val="00AB2A11"/>
    <w:rsid w:val="00AB34EE"/>
    <w:rsid w:val="00AB4236"/>
    <w:rsid w:val="00AB4424"/>
    <w:rsid w:val="00AB609E"/>
    <w:rsid w:val="00AB7A2C"/>
    <w:rsid w:val="00AB7A7C"/>
    <w:rsid w:val="00AB7A9F"/>
    <w:rsid w:val="00AC045F"/>
    <w:rsid w:val="00AC0971"/>
    <w:rsid w:val="00AC21A7"/>
    <w:rsid w:val="00AC2DD4"/>
    <w:rsid w:val="00AC3A82"/>
    <w:rsid w:val="00AC50ED"/>
    <w:rsid w:val="00AC51AD"/>
    <w:rsid w:val="00AC5EFC"/>
    <w:rsid w:val="00AC62AF"/>
    <w:rsid w:val="00AC7AF3"/>
    <w:rsid w:val="00AC7CD6"/>
    <w:rsid w:val="00AD14BF"/>
    <w:rsid w:val="00AD1A25"/>
    <w:rsid w:val="00AD1F13"/>
    <w:rsid w:val="00AD32CD"/>
    <w:rsid w:val="00AD34DD"/>
    <w:rsid w:val="00AD39D7"/>
    <w:rsid w:val="00AD518A"/>
    <w:rsid w:val="00AD5800"/>
    <w:rsid w:val="00AD5BF5"/>
    <w:rsid w:val="00AD5C81"/>
    <w:rsid w:val="00AD5E49"/>
    <w:rsid w:val="00AD5E77"/>
    <w:rsid w:val="00AD60EB"/>
    <w:rsid w:val="00AE0384"/>
    <w:rsid w:val="00AE12D9"/>
    <w:rsid w:val="00AE30D0"/>
    <w:rsid w:val="00AE36FF"/>
    <w:rsid w:val="00AE438D"/>
    <w:rsid w:val="00AE53DF"/>
    <w:rsid w:val="00AE6D34"/>
    <w:rsid w:val="00AE7093"/>
    <w:rsid w:val="00AE7CD7"/>
    <w:rsid w:val="00AF1C20"/>
    <w:rsid w:val="00AF1CAF"/>
    <w:rsid w:val="00AF230B"/>
    <w:rsid w:val="00AF3944"/>
    <w:rsid w:val="00AF4241"/>
    <w:rsid w:val="00AF441E"/>
    <w:rsid w:val="00AF5C5D"/>
    <w:rsid w:val="00AF5F07"/>
    <w:rsid w:val="00AF6BAB"/>
    <w:rsid w:val="00AF7139"/>
    <w:rsid w:val="00B00535"/>
    <w:rsid w:val="00B022E2"/>
    <w:rsid w:val="00B04FB7"/>
    <w:rsid w:val="00B0563E"/>
    <w:rsid w:val="00B059C1"/>
    <w:rsid w:val="00B05CE2"/>
    <w:rsid w:val="00B0678B"/>
    <w:rsid w:val="00B06D74"/>
    <w:rsid w:val="00B07356"/>
    <w:rsid w:val="00B07461"/>
    <w:rsid w:val="00B07582"/>
    <w:rsid w:val="00B102F9"/>
    <w:rsid w:val="00B11087"/>
    <w:rsid w:val="00B111BF"/>
    <w:rsid w:val="00B1170D"/>
    <w:rsid w:val="00B11CB6"/>
    <w:rsid w:val="00B12251"/>
    <w:rsid w:val="00B1463C"/>
    <w:rsid w:val="00B148CB"/>
    <w:rsid w:val="00B14F86"/>
    <w:rsid w:val="00B16C4A"/>
    <w:rsid w:val="00B17070"/>
    <w:rsid w:val="00B203A6"/>
    <w:rsid w:val="00B20A3C"/>
    <w:rsid w:val="00B234EE"/>
    <w:rsid w:val="00B2369F"/>
    <w:rsid w:val="00B25057"/>
    <w:rsid w:val="00B25FD8"/>
    <w:rsid w:val="00B26489"/>
    <w:rsid w:val="00B265AB"/>
    <w:rsid w:val="00B275FD"/>
    <w:rsid w:val="00B307A1"/>
    <w:rsid w:val="00B30B0E"/>
    <w:rsid w:val="00B31402"/>
    <w:rsid w:val="00B3225B"/>
    <w:rsid w:val="00B32769"/>
    <w:rsid w:val="00B32C4A"/>
    <w:rsid w:val="00B336DB"/>
    <w:rsid w:val="00B33EAF"/>
    <w:rsid w:val="00B36A44"/>
    <w:rsid w:val="00B36E81"/>
    <w:rsid w:val="00B40107"/>
    <w:rsid w:val="00B41DC6"/>
    <w:rsid w:val="00B421BD"/>
    <w:rsid w:val="00B42681"/>
    <w:rsid w:val="00B4447A"/>
    <w:rsid w:val="00B47B01"/>
    <w:rsid w:val="00B47C1F"/>
    <w:rsid w:val="00B5018C"/>
    <w:rsid w:val="00B518A4"/>
    <w:rsid w:val="00B51B87"/>
    <w:rsid w:val="00B5286F"/>
    <w:rsid w:val="00B52B0B"/>
    <w:rsid w:val="00B5322F"/>
    <w:rsid w:val="00B53427"/>
    <w:rsid w:val="00B534F8"/>
    <w:rsid w:val="00B538BA"/>
    <w:rsid w:val="00B538DD"/>
    <w:rsid w:val="00B54029"/>
    <w:rsid w:val="00B552CA"/>
    <w:rsid w:val="00B553D1"/>
    <w:rsid w:val="00B55C95"/>
    <w:rsid w:val="00B55D13"/>
    <w:rsid w:val="00B564F9"/>
    <w:rsid w:val="00B56560"/>
    <w:rsid w:val="00B572CD"/>
    <w:rsid w:val="00B573F4"/>
    <w:rsid w:val="00B60778"/>
    <w:rsid w:val="00B60D22"/>
    <w:rsid w:val="00B611D2"/>
    <w:rsid w:val="00B62E82"/>
    <w:rsid w:val="00B63EFB"/>
    <w:rsid w:val="00B644BE"/>
    <w:rsid w:val="00B64B30"/>
    <w:rsid w:val="00B652E8"/>
    <w:rsid w:val="00B66C03"/>
    <w:rsid w:val="00B66C0B"/>
    <w:rsid w:val="00B67E2B"/>
    <w:rsid w:val="00B70037"/>
    <w:rsid w:val="00B70516"/>
    <w:rsid w:val="00B70B1A"/>
    <w:rsid w:val="00B70BE3"/>
    <w:rsid w:val="00B711F9"/>
    <w:rsid w:val="00B716CC"/>
    <w:rsid w:val="00B7221F"/>
    <w:rsid w:val="00B7415B"/>
    <w:rsid w:val="00B7482B"/>
    <w:rsid w:val="00B75870"/>
    <w:rsid w:val="00B75F45"/>
    <w:rsid w:val="00B7647A"/>
    <w:rsid w:val="00B7698C"/>
    <w:rsid w:val="00B77671"/>
    <w:rsid w:val="00B80738"/>
    <w:rsid w:val="00B81FA0"/>
    <w:rsid w:val="00B82E67"/>
    <w:rsid w:val="00B83536"/>
    <w:rsid w:val="00B83D4A"/>
    <w:rsid w:val="00B84895"/>
    <w:rsid w:val="00B84ED2"/>
    <w:rsid w:val="00B85445"/>
    <w:rsid w:val="00B863AA"/>
    <w:rsid w:val="00B86DDD"/>
    <w:rsid w:val="00B8721D"/>
    <w:rsid w:val="00B87C4C"/>
    <w:rsid w:val="00B87D5F"/>
    <w:rsid w:val="00B9148C"/>
    <w:rsid w:val="00B930B1"/>
    <w:rsid w:val="00B930C1"/>
    <w:rsid w:val="00B9341E"/>
    <w:rsid w:val="00B9433C"/>
    <w:rsid w:val="00B949A2"/>
    <w:rsid w:val="00B95AFA"/>
    <w:rsid w:val="00B966EF"/>
    <w:rsid w:val="00B96A8D"/>
    <w:rsid w:val="00B97847"/>
    <w:rsid w:val="00B97DC7"/>
    <w:rsid w:val="00BA04E1"/>
    <w:rsid w:val="00BA2CF0"/>
    <w:rsid w:val="00BA308C"/>
    <w:rsid w:val="00BA3882"/>
    <w:rsid w:val="00BA41F2"/>
    <w:rsid w:val="00BA7A3D"/>
    <w:rsid w:val="00BB4893"/>
    <w:rsid w:val="00BB4AF5"/>
    <w:rsid w:val="00BB54B8"/>
    <w:rsid w:val="00BB7030"/>
    <w:rsid w:val="00BB7CDC"/>
    <w:rsid w:val="00BB7DD5"/>
    <w:rsid w:val="00BC02E6"/>
    <w:rsid w:val="00BC1672"/>
    <w:rsid w:val="00BC176A"/>
    <w:rsid w:val="00BC23B7"/>
    <w:rsid w:val="00BC24E0"/>
    <w:rsid w:val="00BC25A0"/>
    <w:rsid w:val="00BC3D2E"/>
    <w:rsid w:val="00BC40AF"/>
    <w:rsid w:val="00BC41C3"/>
    <w:rsid w:val="00BC4603"/>
    <w:rsid w:val="00BC505F"/>
    <w:rsid w:val="00BC59AE"/>
    <w:rsid w:val="00BC59F2"/>
    <w:rsid w:val="00BC6AC3"/>
    <w:rsid w:val="00BC71CC"/>
    <w:rsid w:val="00BC7829"/>
    <w:rsid w:val="00BC7971"/>
    <w:rsid w:val="00BD03E1"/>
    <w:rsid w:val="00BD08C6"/>
    <w:rsid w:val="00BD0BC1"/>
    <w:rsid w:val="00BD1FA0"/>
    <w:rsid w:val="00BD2DFC"/>
    <w:rsid w:val="00BD43DB"/>
    <w:rsid w:val="00BD566A"/>
    <w:rsid w:val="00BD696C"/>
    <w:rsid w:val="00BD6F71"/>
    <w:rsid w:val="00BE0185"/>
    <w:rsid w:val="00BE0E06"/>
    <w:rsid w:val="00BE129B"/>
    <w:rsid w:val="00BE21B4"/>
    <w:rsid w:val="00BE31BC"/>
    <w:rsid w:val="00BE3757"/>
    <w:rsid w:val="00BE40B1"/>
    <w:rsid w:val="00BE5CC6"/>
    <w:rsid w:val="00BE6326"/>
    <w:rsid w:val="00BE72B0"/>
    <w:rsid w:val="00BE77BB"/>
    <w:rsid w:val="00BF0575"/>
    <w:rsid w:val="00BF0874"/>
    <w:rsid w:val="00BF2EC5"/>
    <w:rsid w:val="00BF350A"/>
    <w:rsid w:val="00BF386B"/>
    <w:rsid w:val="00BF4111"/>
    <w:rsid w:val="00BF422F"/>
    <w:rsid w:val="00BF5548"/>
    <w:rsid w:val="00BF6197"/>
    <w:rsid w:val="00C0016B"/>
    <w:rsid w:val="00C0085E"/>
    <w:rsid w:val="00C00CB7"/>
    <w:rsid w:val="00C03105"/>
    <w:rsid w:val="00C033ED"/>
    <w:rsid w:val="00C03938"/>
    <w:rsid w:val="00C039B8"/>
    <w:rsid w:val="00C03DE4"/>
    <w:rsid w:val="00C0459D"/>
    <w:rsid w:val="00C05553"/>
    <w:rsid w:val="00C06BAD"/>
    <w:rsid w:val="00C07CC2"/>
    <w:rsid w:val="00C10249"/>
    <w:rsid w:val="00C10558"/>
    <w:rsid w:val="00C1141E"/>
    <w:rsid w:val="00C13136"/>
    <w:rsid w:val="00C138F7"/>
    <w:rsid w:val="00C13D03"/>
    <w:rsid w:val="00C147C4"/>
    <w:rsid w:val="00C14D61"/>
    <w:rsid w:val="00C14EDF"/>
    <w:rsid w:val="00C156A0"/>
    <w:rsid w:val="00C15DC3"/>
    <w:rsid w:val="00C161B0"/>
    <w:rsid w:val="00C16428"/>
    <w:rsid w:val="00C16FCE"/>
    <w:rsid w:val="00C17F18"/>
    <w:rsid w:val="00C22687"/>
    <w:rsid w:val="00C244E2"/>
    <w:rsid w:val="00C247F9"/>
    <w:rsid w:val="00C249D3"/>
    <w:rsid w:val="00C24A4F"/>
    <w:rsid w:val="00C26AE9"/>
    <w:rsid w:val="00C2766F"/>
    <w:rsid w:val="00C3051C"/>
    <w:rsid w:val="00C317F8"/>
    <w:rsid w:val="00C31EBF"/>
    <w:rsid w:val="00C3266F"/>
    <w:rsid w:val="00C3304C"/>
    <w:rsid w:val="00C33365"/>
    <w:rsid w:val="00C33B16"/>
    <w:rsid w:val="00C3449B"/>
    <w:rsid w:val="00C3489F"/>
    <w:rsid w:val="00C354C5"/>
    <w:rsid w:val="00C35845"/>
    <w:rsid w:val="00C358E8"/>
    <w:rsid w:val="00C35AE6"/>
    <w:rsid w:val="00C367BA"/>
    <w:rsid w:val="00C37319"/>
    <w:rsid w:val="00C375B8"/>
    <w:rsid w:val="00C37F3E"/>
    <w:rsid w:val="00C40531"/>
    <w:rsid w:val="00C40AFA"/>
    <w:rsid w:val="00C41A0C"/>
    <w:rsid w:val="00C4258E"/>
    <w:rsid w:val="00C44DD9"/>
    <w:rsid w:val="00C45CA1"/>
    <w:rsid w:val="00C46329"/>
    <w:rsid w:val="00C50099"/>
    <w:rsid w:val="00C5057E"/>
    <w:rsid w:val="00C51102"/>
    <w:rsid w:val="00C51CD4"/>
    <w:rsid w:val="00C52218"/>
    <w:rsid w:val="00C52DFD"/>
    <w:rsid w:val="00C5408D"/>
    <w:rsid w:val="00C54373"/>
    <w:rsid w:val="00C548A3"/>
    <w:rsid w:val="00C55233"/>
    <w:rsid w:val="00C55AB6"/>
    <w:rsid w:val="00C57ACD"/>
    <w:rsid w:val="00C6090D"/>
    <w:rsid w:val="00C611E7"/>
    <w:rsid w:val="00C61536"/>
    <w:rsid w:val="00C617AD"/>
    <w:rsid w:val="00C6193F"/>
    <w:rsid w:val="00C61A7A"/>
    <w:rsid w:val="00C61DCA"/>
    <w:rsid w:val="00C62713"/>
    <w:rsid w:val="00C627B0"/>
    <w:rsid w:val="00C63717"/>
    <w:rsid w:val="00C64978"/>
    <w:rsid w:val="00C64C48"/>
    <w:rsid w:val="00C664CB"/>
    <w:rsid w:val="00C673CA"/>
    <w:rsid w:val="00C67F27"/>
    <w:rsid w:val="00C7102B"/>
    <w:rsid w:val="00C71069"/>
    <w:rsid w:val="00C72C07"/>
    <w:rsid w:val="00C73387"/>
    <w:rsid w:val="00C73E72"/>
    <w:rsid w:val="00C73EE9"/>
    <w:rsid w:val="00C73F4F"/>
    <w:rsid w:val="00C74005"/>
    <w:rsid w:val="00C752BA"/>
    <w:rsid w:val="00C75B77"/>
    <w:rsid w:val="00C766DB"/>
    <w:rsid w:val="00C76A56"/>
    <w:rsid w:val="00C77061"/>
    <w:rsid w:val="00C80779"/>
    <w:rsid w:val="00C84A9E"/>
    <w:rsid w:val="00C86485"/>
    <w:rsid w:val="00C87230"/>
    <w:rsid w:val="00C8789F"/>
    <w:rsid w:val="00C878DB"/>
    <w:rsid w:val="00C87F41"/>
    <w:rsid w:val="00C904F8"/>
    <w:rsid w:val="00C9116F"/>
    <w:rsid w:val="00C92F51"/>
    <w:rsid w:val="00C92F8B"/>
    <w:rsid w:val="00C93227"/>
    <w:rsid w:val="00C94117"/>
    <w:rsid w:val="00C94495"/>
    <w:rsid w:val="00C9479F"/>
    <w:rsid w:val="00C94BC7"/>
    <w:rsid w:val="00C95685"/>
    <w:rsid w:val="00C961AC"/>
    <w:rsid w:val="00C962C0"/>
    <w:rsid w:val="00C97456"/>
    <w:rsid w:val="00CA0B15"/>
    <w:rsid w:val="00CA3AFB"/>
    <w:rsid w:val="00CA3D28"/>
    <w:rsid w:val="00CA43B5"/>
    <w:rsid w:val="00CA4D3D"/>
    <w:rsid w:val="00CA7BEA"/>
    <w:rsid w:val="00CB1FA7"/>
    <w:rsid w:val="00CB23CE"/>
    <w:rsid w:val="00CB28E1"/>
    <w:rsid w:val="00CB4134"/>
    <w:rsid w:val="00CB4DE6"/>
    <w:rsid w:val="00CB5DB7"/>
    <w:rsid w:val="00CB5DF2"/>
    <w:rsid w:val="00CB7E96"/>
    <w:rsid w:val="00CC0147"/>
    <w:rsid w:val="00CC09B9"/>
    <w:rsid w:val="00CC0F51"/>
    <w:rsid w:val="00CC0FAB"/>
    <w:rsid w:val="00CC123A"/>
    <w:rsid w:val="00CC1C5C"/>
    <w:rsid w:val="00CC1DAE"/>
    <w:rsid w:val="00CC3A4B"/>
    <w:rsid w:val="00CC462F"/>
    <w:rsid w:val="00CC4902"/>
    <w:rsid w:val="00CC50CE"/>
    <w:rsid w:val="00CC54CB"/>
    <w:rsid w:val="00CC7023"/>
    <w:rsid w:val="00CD1F59"/>
    <w:rsid w:val="00CD2B0A"/>
    <w:rsid w:val="00CD42C3"/>
    <w:rsid w:val="00CD52E9"/>
    <w:rsid w:val="00CD720B"/>
    <w:rsid w:val="00CE0719"/>
    <w:rsid w:val="00CE0DF1"/>
    <w:rsid w:val="00CE26F7"/>
    <w:rsid w:val="00CE4878"/>
    <w:rsid w:val="00CE4AB3"/>
    <w:rsid w:val="00CE4D4F"/>
    <w:rsid w:val="00CE5074"/>
    <w:rsid w:val="00CE6E28"/>
    <w:rsid w:val="00CE6E44"/>
    <w:rsid w:val="00CE77D0"/>
    <w:rsid w:val="00CF1C75"/>
    <w:rsid w:val="00CF1DAE"/>
    <w:rsid w:val="00CF3000"/>
    <w:rsid w:val="00CF305C"/>
    <w:rsid w:val="00CF3933"/>
    <w:rsid w:val="00CF4BD1"/>
    <w:rsid w:val="00CF5422"/>
    <w:rsid w:val="00CF660F"/>
    <w:rsid w:val="00CF6A7A"/>
    <w:rsid w:val="00D00DA1"/>
    <w:rsid w:val="00D0175F"/>
    <w:rsid w:val="00D01A51"/>
    <w:rsid w:val="00D01DD0"/>
    <w:rsid w:val="00D02C67"/>
    <w:rsid w:val="00D02CAB"/>
    <w:rsid w:val="00D03900"/>
    <w:rsid w:val="00D03EA1"/>
    <w:rsid w:val="00D0519A"/>
    <w:rsid w:val="00D06183"/>
    <w:rsid w:val="00D0642E"/>
    <w:rsid w:val="00D068F4"/>
    <w:rsid w:val="00D071D8"/>
    <w:rsid w:val="00D073F8"/>
    <w:rsid w:val="00D07982"/>
    <w:rsid w:val="00D10121"/>
    <w:rsid w:val="00D12A38"/>
    <w:rsid w:val="00D14633"/>
    <w:rsid w:val="00D14D15"/>
    <w:rsid w:val="00D153EC"/>
    <w:rsid w:val="00D22221"/>
    <w:rsid w:val="00D22A37"/>
    <w:rsid w:val="00D2317E"/>
    <w:rsid w:val="00D23258"/>
    <w:rsid w:val="00D23FBB"/>
    <w:rsid w:val="00D24A0F"/>
    <w:rsid w:val="00D24CB3"/>
    <w:rsid w:val="00D24DC4"/>
    <w:rsid w:val="00D263FD"/>
    <w:rsid w:val="00D27DD1"/>
    <w:rsid w:val="00D30931"/>
    <w:rsid w:val="00D31891"/>
    <w:rsid w:val="00D3198F"/>
    <w:rsid w:val="00D31F37"/>
    <w:rsid w:val="00D32366"/>
    <w:rsid w:val="00D341DE"/>
    <w:rsid w:val="00D34511"/>
    <w:rsid w:val="00D353D8"/>
    <w:rsid w:val="00D356C8"/>
    <w:rsid w:val="00D35710"/>
    <w:rsid w:val="00D359FF"/>
    <w:rsid w:val="00D36022"/>
    <w:rsid w:val="00D374AC"/>
    <w:rsid w:val="00D3796C"/>
    <w:rsid w:val="00D400F3"/>
    <w:rsid w:val="00D40A6E"/>
    <w:rsid w:val="00D41529"/>
    <w:rsid w:val="00D41EC5"/>
    <w:rsid w:val="00D437B6"/>
    <w:rsid w:val="00D45157"/>
    <w:rsid w:val="00D460C4"/>
    <w:rsid w:val="00D46685"/>
    <w:rsid w:val="00D4683F"/>
    <w:rsid w:val="00D468EE"/>
    <w:rsid w:val="00D46A5E"/>
    <w:rsid w:val="00D475BD"/>
    <w:rsid w:val="00D479B4"/>
    <w:rsid w:val="00D47A33"/>
    <w:rsid w:val="00D50F63"/>
    <w:rsid w:val="00D510BD"/>
    <w:rsid w:val="00D51350"/>
    <w:rsid w:val="00D5205C"/>
    <w:rsid w:val="00D5285F"/>
    <w:rsid w:val="00D529C8"/>
    <w:rsid w:val="00D53A8B"/>
    <w:rsid w:val="00D551AA"/>
    <w:rsid w:val="00D554AB"/>
    <w:rsid w:val="00D55647"/>
    <w:rsid w:val="00D55C88"/>
    <w:rsid w:val="00D55E5C"/>
    <w:rsid w:val="00D572C7"/>
    <w:rsid w:val="00D60122"/>
    <w:rsid w:val="00D613F6"/>
    <w:rsid w:val="00D61C01"/>
    <w:rsid w:val="00D62CAB"/>
    <w:rsid w:val="00D638C1"/>
    <w:rsid w:val="00D64464"/>
    <w:rsid w:val="00D647B5"/>
    <w:rsid w:val="00D64DBD"/>
    <w:rsid w:val="00D654BF"/>
    <w:rsid w:val="00D65B13"/>
    <w:rsid w:val="00D65C9E"/>
    <w:rsid w:val="00D664C1"/>
    <w:rsid w:val="00D66723"/>
    <w:rsid w:val="00D70B2B"/>
    <w:rsid w:val="00D71DB3"/>
    <w:rsid w:val="00D7441F"/>
    <w:rsid w:val="00D74E6F"/>
    <w:rsid w:val="00D753F6"/>
    <w:rsid w:val="00D76212"/>
    <w:rsid w:val="00D77478"/>
    <w:rsid w:val="00D80370"/>
    <w:rsid w:val="00D80393"/>
    <w:rsid w:val="00D80404"/>
    <w:rsid w:val="00D805E0"/>
    <w:rsid w:val="00D80BC1"/>
    <w:rsid w:val="00D80FD8"/>
    <w:rsid w:val="00D84A96"/>
    <w:rsid w:val="00D85E35"/>
    <w:rsid w:val="00D86088"/>
    <w:rsid w:val="00D860A0"/>
    <w:rsid w:val="00D86491"/>
    <w:rsid w:val="00D86700"/>
    <w:rsid w:val="00D87C34"/>
    <w:rsid w:val="00D90F7B"/>
    <w:rsid w:val="00D92766"/>
    <w:rsid w:val="00D9348D"/>
    <w:rsid w:val="00D94496"/>
    <w:rsid w:val="00D944BC"/>
    <w:rsid w:val="00D971C7"/>
    <w:rsid w:val="00D978DA"/>
    <w:rsid w:val="00DA1587"/>
    <w:rsid w:val="00DA2076"/>
    <w:rsid w:val="00DA2BE8"/>
    <w:rsid w:val="00DA3A08"/>
    <w:rsid w:val="00DA3BA6"/>
    <w:rsid w:val="00DA4AE7"/>
    <w:rsid w:val="00DA5997"/>
    <w:rsid w:val="00DA6046"/>
    <w:rsid w:val="00DA636E"/>
    <w:rsid w:val="00DA712C"/>
    <w:rsid w:val="00DB0038"/>
    <w:rsid w:val="00DB1A32"/>
    <w:rsid w:val="00DB1E60"/>
    <w:rsid w:val="00DB1F40"/>
    <w:rsid w:val="00DB304D"/>
    <w:rsid w:val="00DB381A"/>
    <w:rsid w:val="00DB4671"/>
    <w:rsid w:val="00DB5097"/>
    <w:rsid w:val="00DB619C"/>
    <w:rsid w:val="00DB6854"/>
    <w:rsid w:val="00DB689F"/>
    <w:rsid w:val="00DB7C25"/>
    <w:rsid w:val="00DB7E09"/>
    <w:rsid w:val="00DC0C6F"/>
    <w:rsid w:val="00DC15F4"/>
    <w:rsid w:val="00DC19C4"/>
    <w:rsid w:val="00DC1EAE"/>
    <w:rsid w:val="00DC1ED4"/>
    <w:rsid w:val="00DC2B59"/>
    <w:rsid w:val="00DC30B2"/>
    <w:rsid w:val="00DC382E"/>
    <w:rsid w:val="00DC6319"/>
    <w:rsid w:val="00DC78AE"/>
    <w:rsid w:val="00DD0558"/>
    <w:rsid w:val="00DD078A"/>
    <w:rsid w:val="00DD1171"/>
    <w:rsid w:val="00DD139E"/>
    <w:rsid w:val="00DD1551"/>
    <w:rsid w:val="00DD17C6"/>
    <w:rsid w:val="00DD1FAF"/>
    <w:rsid w:val="00DD2182"/>
    <w:rsid w:val="00DD24CD"/>
    <w:rsid w:val="00DD2A89"/>
    <w:rsid w:val="00DD369F"/>
    <w:rsid w:val="00DD41D2"/>
    <w:rsid w:val="00DD51F5"/>
    <w:rsid w:val="00DD5520"/>
    <w:rsid w:val="00DD76EF"/>
    <w:rsid w:val="00DD7D21"/>
    <w:rsid w:val="00DE09CA"/>
    <w:rsid w:val="00DE0B52"/>
    <w:rsid w:val="00DE0B90"/>
    <w:rsid w:val="00DE124E"/>
    <w:rsid w:val="00DE138F"/>
    <w:rsid w:val="00DE24DE"/>
    <w:rsid w:val="00DE3483"/>
    <w:rsid w:val="00DE3CDE"/>
    <w:rsid w:val="00DE3E3B"/>
    <w:rsid w:val="00DE4579"/>
    <w:rsid w:val="00DE49E2"/>
    <w:rsid w:val="00DE5664"/>
    <w:rsid w:val="00DE5CAD"/>
    <w:rsid w:val="00DF0CA4"/>
    <w:rsid w:val="00DF0EA3"/>
    <w:rsid w:val="00DF1136"/>
    <w:rsid w:val="00DF11EF"/>
    <w:rsid w:val="00DF1ED6"/>
    <w:rsid w:val="00DF2457"/>
    <w:rsid w:val="00DF2877"/>
    <w:rsid w:val="00DF3748"/>
    <w:rsid w:val="00DF5F3E"/>
    <w:rsid w:val="00DF734A"/>
    <w:rsid w:val="00DF77FF"/>
    <w:rsid w:val="00DF7B1D"/>
    <w:rsid w:val="00E007DD"/>
    <w:rsid w:val="00E0091E"/>
    <w:rsid w:val="00E01307"/>
    <w:rsid w:val="00E02348"/>
    <w:rsid w:val="00E03144"/>
    <w:rsid w:val="00E0365D"/>
    <w:rsid w:val="00E0433F"/>
    <w:rsid w:val="00E04811"/>
    <w:rsid w:val="00E04EF3"/>
    <w:rsid w:val="00E05F56"/>
    <w:rsid w:val="00E07090"/>
    <w:rsid w:val="00E10720"/>
    <w:rsid w:val="00E1111C"/>
    <w:rsid w:val="00E1413C"/>
    <w:rsid w:val="00E1477C"/>
    <w:rsid w:val="00E1483F"/>
    <w:rsid w:val="00E16B1D"/>
    <w:rsid w:val="00E17082"/>
    <w:rsid w:val="00E2041B"/>
    <w:rsid w:val="00E20B9A"/>
    <w:rsid w:val="00E22422"/>
    <w:rsid w:val="00E226E8"/>
    <w:rsid w:val="00E22D5C"/>
    <w:rsid w:val="00E22DED"/>
    <w:rsid w:val="00E24196"/>
    <w:rsid w:val="00E27DDF"/>
    <w:rsid w:val="00E3018C"/>
    <w:rsid w:val="00E3134E"/>
    <w:rsid w:val="00E315BE"/>
    <w:rsid w:val="00E32068"/>
    <w:rsid w:val="00E3248F"/>
    <w:rsid w:val="00E32FFB"/>
    <w:rsid w:val="00E342AB"/>
    <w:rsid w:val="00E346B9"/>
    <w:rsid w:val="00E3556F"/>
    <w:rsid w:val="00E367A2"/>
    <w:rsid w:val="00E369EA"/>
    <w:rsid w:val="00E37806"/>
    <w:rsid w:val="00E37D7D"/>
    <w:rsid w:val="00E40422"/>
    <w:rsid w:val="00E40AFC"/>
    <w:rsid w:val="00E4310E"/>
    <w:rsid w:val="00E4475E"/>
    <w:rsid w:val="00E448D2"/>
    <w:rsid w:val="00E45519"/>
    <w:rsid w:val="00E45A1E"/>
    <w:rsid w:val="00E473BD"/>
    <w:rsid w:val="00E55964"/>
    <w:rsid w:val="00E60624"/>
    <w:rsid w:val="00E60B0A"/>
    <w:rsid w:val="00E61050"/>
    <w:rsid w:val="00E61810"/>
    <w:rsid w:val="00E62872"/>
    <w:rsid w:val="00E63079"/>
    <w:rsid w:val="00E638DE"/>
    <w:rsid w:val="00E6747D"/>
    <w:rsid w:val="00E703B0"/>
    <w:rsid w:val="00E7195C"/>
    <w:rsid w:val="00E72080"/>
    <w:rsid w:val="00E737DD"/>
    <w:rsid w:val="00E74270"/>
    <w:rsid w:val="00E75A4C"/>
    <w:rsid w:val="00E76173"/>
    <w:rsid w:val="00E777A6"/>
    <w:rsid w:val="00E7785B"/>
    <w:rsid w:val="00E77DC7"/>
    <w:rsid w:val="00E807CB"/>
    <w:rsid w:val="00E81459"/>
    <w:rsid w:val="00E81F0C"/>
    <w:rsid w:val="00E8207D"/>
    <w:rsid w:val="00E825C5"/>
    <w:rsid w:val="00E83343"/>
    <w:rsid w:val="00E8360D"/>
    <w:rsid w:val="00E8414C"/>
    <w:rsid w:val="00E841D1"/>
    <w:rsid w:val="00E84DCD"/>
    <w:rsid w:val="00E84F24"/>
    <w:rsid w:val="00E855AC"/>
    <w:rsid w:val="00E859C3"/>
    <w:rsid w:val="00E870ED"/>
    <w:rsid w:val="00E87752"/>
    <w:rsid w:val="00E87F6B"/>
    <w:rsid w:val="00E90120"/>
    <w:rsid w:val="00E913DF"/>
    <w:rsid w:val="00E92B09"/>
    <w:rsid w:val="00E943E0"/>
    <w:rsid w:val="00E957EB"/>
    <w:rsid w:val="00E95FBE"/>
    <w:rsid w:val="00EA0749"/>
    <w:rsid w:val="00EA1E1E"/>
    <w:rsid w:val="00EA28E4"/>
    <w:rsid w:val="00EA2E68"/>
    <w:rsid w:val="00EA3493"/>
    <w:rsid w:val="00EA3861"/>
    <w:rsid w:val="00EA45EC"/>
    <w:rsid w:val="00EA51C8"/>
    <w:rsid w:val="00EA5A89"/>
    <w:rsid w:val="00EA65E0"/>
    <w:rsid w:val="00EA69A7"/>
    <w:rsid w:val="00EA7019"/>
    <w:rsid w:val="00EA73DE"/>
    <w:rsid w:val="00EA7802"/>
    <w:rsid w:val="00EB0713"/>
    <w:rsid w:val="00EB0AF4"/>
    <w:rsid w:val="00EB0DB3"/>
    <w:rsid w:val="00EB1E75"/>
    <w:rsid w:val="00EB250F"/>
    <w:rsid w:val="00EB3521"/>
    <w:rsid w:val="00EB35B4"/>
    <w:rsid w:val="00EB3D5E"/>
    <w:rsid w:val="00EB48E7"/>
    <w:rsid w:val="00EB5163"/>
    <w:rsid w:val="00EB525F"/>
    <w:rsid w:val="00EB7648"/>
    <w:rsid w:val="00EB7837"/>
    <w:rsid w:val="00EC05E8"/>
    <w:rsid w:val="00EC0844"/>
    <w:rsid w:val="00EC0EAA"/>
    <w:rsid w:val="00EC2CD7"/>
    <w:rsid w:val="00EC33B8"/>
    <w:rsid w:val="00EC35CB"/>
    <w:rsid w:val="00EC41D1"/>
    <w:rsid w:val="00EC5756"/>
    <w:rsid w:val="00EC631F"/>
    <w:rsid w:val="00EC655B"/>
    <w:rsid w:val="00EC65D6"/>
    <w:rsid w:val="00EC6E95"/>
    <w:rsid w:val="00EC70BF"/>
    <w:rsid w:val="00EC7349"/>
    <w:rsid w:val="00EC7A21"/>
    <w:rsid w:val="00ED0086"/>
    <w:rsid w:val="00ED06EB"/>
    <w:rsid w:val="00ED1B33"/>
    <w:rsid w:val="00ED218A"/>
    <w:rsid w:val="00ED403D"/>
    <w:rsid w:val="00ED6BAE"/>
    <w:rsid w:val="00ED75BE"/>
    <w:rsid w:val="00EE01ED"/>
    <w:rsid w:val="00EE1763"/>
    <w:rsid w:val="00EE2B58"/>
    <w:rsid w:val="00EE3A9E"/>
    <w:rsid w:val="00EE419E"/>
    <w:rsid w:val="00EE5EF3"/>
    <w:rsid w:val="00EE6974"/>
    <w:rsid w:val="00EE6F52"/>
    <w:rsid w:val="00EE7216"/>
    <w:rsid w:val="00EE7537"/>
    <w:rsid w:val="00EE7966"/>
    <w:rsid w:val="00EF0DBC"/>
    <w:rsid w:val="00EF1477"/>
    <w:rsid w:val="00EF1752"/>
    <w:rsid w:val="00EF1EEE"/>
    <w:rsid w:val="00EF20CF"/>
    <w:rsid w:val="00EF2DA0"/>
    <w:rsid w:val="00EF3798"/>
    <w:rsid w:val="00EF3A1E"/>
    <w:rsid w:val="00EF3A26"/>
    <w:rsid w:val="00EF464F"/>
    <w:rsid w:val="00EF48A6"/>
    <w:rsid w:val="00EF505C"/>
    <w:rsid w:val="00EF546F"/>
    <w:rsid w:val="00EF547E"/>
    <w:rsid w:val="00EF645B"/>
    <w:rsid w:val="00EF6A5A"/>
    <w:rsid w:val="00EF6C9B"/>
    <w:rsid w:val="00EF75ED"/>
    <w:rsid w:val="00EF7C8D"/>
    <w:rsid w:val="00EF7D18"/>
    <w:rsid w:val="00F00AB8"/>
    <w:rsid w:val="00F01AFF"/>
    <w:rsid w:val="00F023A7"/>
    <w:rsid w:val="00F04310"/>
    <w:rsid w:val="00F04395"/>
    <w:rsid w:val="00F04A00"/>
    <w:rsid w:val="00F04B32"/>
    <w:rsid w:val="00F11720"/>
    <w:rsid w:val="00F13663"/>
    <w:rsid w:val="00F13C92"/>
    <w:rsid w:val="00F1402E"/>
    <w:rsid w:val="00F14166"/>
    <w:rsid w:val="00F14D33"/>
    <w:rsid w:val="00F14DD0"/>
    <w:rsid w:val="00F1540C"/>
    <w:rsid w:val="00F156E3"/>
    <w:rsid w:val="00F1685B"/>
    <w:rsid w:val="00F1746C"/>
    <w:rsid w:val="00F20CE9"/>
    <w:rsid w:val="00F20FBD"/>
    <w:rsid w:val="00F21132"/>
    <w:rsid w:val="00F2132D"/>
    <w:rsid w:val="00F21636"/>
    <w:rsid w:val="00F22706"/>
    <w:rsid w:val="00F22EAD"/>
    <w:rsid w:val="00F231D2"/>
    <w:rsid w:val="00F243F1"/>
    <w:rsid w:val="00F25566"/>
    <w:rsid w:val="00F25A6D"/>
    <w:rsid w:val="00F263AD"/>
    <w:rsid w:val="00F2680F"/>
    <w:rsid w:val="00F325BB"/>
    <w:rsid w:val="00F32D2E"/>
    <w:rsid w:val="00F33212"/>
    <w:rsid w:val="00F33EE9"/>
    <w:rsid w:val="00F34167"/>
    <w:rsid w:val="00F34DE2"/>
    <w:rsid w:val="00F34E32"/>
    <w:rsid w:val="00F35311"/>
    <w:rsid w:val="00F360C4"/>
    <w:rsid w:val="00F37714"/>
    <w:rsid w:val="00F3796D"/>
    <w:rsid w:val="00F409F4"/>
    <w:rsid w:val="00F40F7F"/>
    <w:rsid w:val="00F428CE"/>
    <w:rsid w:val="00F43A08"/>
    <w:rsid w:val="00F44EB9"/>
    <w:rsid w:val="00F45244"/>
    <w:rsid w:val="00F452D8"/>
    <w:rsid w:val="00F45604"/>
    <w:rsid w:val="00F45816"/>
    <w:rsid w:val="00F45B6C"/>
    <w:rsid w:val="00F46757"/>
    <w:rsid w:val="00F46CBE"/>
    <w:rsid w:val="00F46CD5"/>
    <w:rsid w:val="00F47266"/>
    <w:rsid w:val="00F47646"/>
    <w:rsid w:val="00F4790D"/>
    <w:rsid w:val="00F50E4A"/>
    <w:rsid w:val="00F51BD6"/>
    <w:rsid w:val="00F5379B"/>
    <w:rsid w:val="00F53FF5"/>
    <w:rsid w:val="00F541AA"/>
    <w:rsid w:val="00F55284"/>
    <w:rsid w:val="00F55D8C"/>
    <w:rsid w:val="00F55F62"/>
    <w:rsid w:val="00F562A2"/>
    <w:rsid w:val="00F5773C"/>
    <w:rsid w:val="00F57859"/>
    <w:rsid w:val="00F60A28"/>
    <w:rsid w:val="00F61B77"/>
    <w:rsid w:val="00F61F6A"/>
    <w:rsid w:val="00F634CD"/>
    <w:rsid w:val="00F64793"/>
    <w:rsid w:val="00F6501B"/>
    <w:rsid w:val="00F652FF"/>
    <w:rsid w:val="00F6684C"/>
    <w:rsid w:val="00F675D4"/>
    <w:rsid w:val="00F67E09"/>
    <w:rsid w:val="00F7046E"/>
    <w:rsid w:val="00F71724"/>
    <w:rsid w:val="00F7307D"/>
    <w:rsid w:val="00F73BF0"/>
    <w:rsid w:val="00F7400E"/>
    <w:rsid w:val="00F746E1"/>
    <w:rsid w:val="00F74CA9"/>
    <w:rsid w:val="00F753FC"/>
    <w:rsid w:val="00F76656"/>
    <w:rsid w:val="00F76C40"/>
    <w:rsid w:val="00F77305"/>
    <w:rsid w:val="00F775ED"/>
    <w:rsid w:val="00F7775C"/>
    <w:rsid w:val="00F80DAB"/>
    <w:rsid w:val="00F80DB6"/>
    <w:rsid w:val="00F8213A"/>
    <w:rsid w:val="00F82416"/>
    <w:rsid w:val="00F82491"/>
    <w:rsid w:val="00F8274C"/>
    <w:rsid w:val="00F827AD"/>
    <w:rsid w:val="00F82F26"/>
    <w:rsid w:val="00F82F45"/>
    <w:rsid w:val="00F83EE8"/>
    <w:rsid w:val="00F86BD0"/>
    <w:rsid w:val="00F8779D"/>
    <w:rsid w:val="00F90F81"/>
    <w:rsid w:val="00F91005"/>
    <w:rsid w:val="00F93319"/>
    <w:rsid w:val="00F933B2"/>
    <w:rsid w:val="00F93DEA"/>
    <w:rsid w:val="00F940EA"/>
    <w:rsid w:val="00F943F8"/>
    <w:rsid w:val="00F9502C"/>
    <w:rsid w:val="00F960A9"/>
    <w:rsid w:val="00F96249"/>
    <w:rsid w:val="00F969E2"/>
    <w:rsid w:val="00F971AB"/>
    <w:rsid w:val="00F977B7"/>
    <w:rsid w:val="00F97AB9"/>
    <w:rsid w:val="00F97E2A"/>
    <w:rsid w:val="00FA0BF8"/>
    <w:rsid w:val="00FA1136"/>
    <w:rsid w:val="00FA68A6"/>
    <w:rsid w:val="00FA70E8"/>
    <w:rsid w:val="00FA7698"/>
    <w:rsid w:val="00FB0054"/>
    <w:rsid w:val="00FB34AC"/>
    <w:rsid w:val="00FB4015"/>
    <w:rsid w:val="00FB5AD8"/>
    <w:rsid w:val="00FB7254"/>
    <w:rsid w:val="00FB730A"/>
    <w:rsid w:val="00FB73CC"/>
    <w:rsid w:val="00FC0A43"/>
    <w:rsid w:val="00FC14A7"/>
    <w:rsid w:val="00FC175F"/>
    <w:rsid w:val="00FC1B2F"/>
    <w:rsid w:val="00FC441B"/>
    <w:rsid w:val="00FC729E"/>
    <w:rsid w:val="00FD0D71"/>
    <w:rsid w:val="00FD1603"/>
    <w:rsid w:val="00FD1884"/>
    <w:rsid w:val="00FD1FFC"/>
    <w:rsid w:val="00FD2966"/>
    <w:rsid w:val="00FD4292"/>
    <w:rsid w:val="00FD477B"/>
    <w:rsid w:val="00FD59D8"/>
    <w:rsid w:val="00FD5B8E"/>
    <w:rsid w:val="00FD62C9"/>
    <w:rsid w:val="00FD78DE"/>
    <w:rsid w:val="00FD7D86"/>
    <w:rsid w:val="00FE08B9"/>
    <w:rsid w:val="00FE16D4"/>
    <w:rsid w:val="00FE3043"/>
    <w:rsid w:val="00FE30FC"/>
    <w:rsid w:val="00FE388D"/>
    <w:rsid w:val="00FE405A"/>
    <w:rsid w:val="00FE45AE"/>
    <w:rsid w:val="00FE523F"/>
    <w:rsid w:val="00FE6049"/>
    <w:rsid w:val="00FE66EC"/>
    <w:rsid w:val="00FE7270"/>
    <w:rsid w:val="00FE77FC"/>
    <w:rsid w:val="00FF189E"/>
    <w:rsid w:val="00FF1ACE"/>
    <w:rsid w:val="00FF247A"/>
    <w:rsid w:val="00FF2732"/>
    <w:rsid w:val="00FF3BAF"/>
    <w:rsid w:val="00FF5928"/>
    <w:rsid w:val="00FF602B"/>
    <w:rsid w:val="00FF61B7"/>
    <w:rsid w:val="00FF622F"/>
    <w:rsid w:val="00FF6331"/>
    <w:rsid w:val="00FF68C7"/>
    <w:rsid w:val="00FF7045"/>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5D217"/>
  <w14:defaultImageDpi w14:val="300"/>
  <w15:docId w15:val="{E4EB0446-5678-48A6-B8E2-AF11FBFE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870"/>
    <w:pPr>
      <w:spacing w:before="120" w:line="276"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C86485"/>
    <w:pPr>
      <w:keepNext/>
      <w:keepLines/>
      <w:numPr>
        <w:numId w:val="2"/>
      </w:numPr>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2"/>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2"/>
      </w:numPr>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nhideWhenUsed/>
    <w:qFormat/>
    <w:rsid w:val="00DA2076"/>
    <w:pPr>
      <w:keepNext/>
      <w:keepLines/>
      <w:numPr>
        <w:ilvl w:val="3"/>
        <w:numId w:val="2"/>
      </w:numPr>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2"/>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2"/>
      </w:numPr>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2"/>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Graphic,L"/>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 w:val="22"/>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0B5294"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rPr>
  </w:style>
  <w:style w:type="paragraph" w:styleId="Quote">
    <w:name w:val="Quote"/>
    <w:basedOn w:val="Normal"/>
    <w:next w:val="Normal"/>
    <w:link w:val="QuoteChar"/>
    <w:uiPriority w:val="29"/>
    <w:qFormat/>
    <w:rsid w:val="00C86485"/>
    <w:rPr>
      <w:rFonts w:ascii="Times New Roman" w:hAnsi="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073662" w:themeColor="accent1" w:themeShade="7F"/>
      <w:sz w:val="22"/>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0B5294" w:themeColor="accent1" w:themeShade="BF"/>
      <w:sz w:val="22"/>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0B5294" w:themeColor="accent1" w:themeShade="BF"/>
      <w:sz w:val="22"/>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073662" w:themeColor="accent1" w:themeShade="7F"/>
      <w:sz w:val="22"/>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073662" w:themeColor="accent1" w:themeShade="7F"/>
      <w:sz w:val="22"/>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Footnote,FA"/>
    <w:basedOn w:val="Normal"/>
    <w:link w:val="FootnoteTextChar"/>
    <w:uiPriority w:val="99"/>
    <w:unhideWhenUsed/>
    <w:qFormat/>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qFormat/>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R"/>
    <w:basedOn w:val="DefaultParagraphFont"/>
    <w:link w:val="BVIfnrCarCarCarCarChar"/>
    <w:uiPriority w:val="99"/>
    <w:unhideWhenUsed/>
    <w:qFormat/>
    <w:rsid w:val="00BC6AC3"/>
    <w:rPr>
      <w:vertAlign w:val="superscript"/>
    </w:rPr>
  </w:style>
  <w:style w:type="paragraph" w:styleId="Caption">
    <w:name w:val="caption"/>
    <w:basedOn w:val="Normal"/>
    <w:next w:val="Normal"/>
    <w:uiPriority w:val="35"/>
    <w:unhideWhenUsed/>
    <w:qFormat/>
    <w:rsid w:val="00172213"/>
    <w:rPr>
      <w:i/>
      <w:iCs/>
      <w:color w:val="17406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unhideWhenUsed/>
    <w:rsid w:val="00787591"/>
    <w:rPr>
      <w:sz w:val="20"/>
      <w:szCs w:val="20"/>
    </w:rPr>
  </w:style>
  <w:style w:type="character" w:customStyle="1" w:styleId="CommentTextChar">
    <w:name w:val="Comment Text Char"/>
    <w:basedOn w:val="DefaultParagraphFont"/>
    <w:link w:val="CommentText"/>
    <w:uiPriority w:val="99"/>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link">
    <w:name w:val="Hyperlink"/>
    <w:basedOn w:val="DefaultParagraphFont"/>
    <w:uiPriority w:val="99"/>
    <w:unhideWhenUsed/>
    <w:rsid w:val="002350D2"/>
    <w:rPr>
      <w:color w:val="F49100"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hAnsi="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outlineLvl w:val="9"/>
    </w:pPr>
    <w:rPr>
      <w:b/>
      <w:bCs/>
      <w:sz w:val="28"/>
      <w:szCs w:val="28"/>
    </w:rPr>
  </w:style>
  <w:style w:type="paragraph" w:styleId="TOC1">
    <w:name w:val="toc 1"/>
    <w:basedOn w:val="Normal"/>
    <w:next w:val="Normal"/>
    <w:autoRedefine/>
    <w:uiPriority w:val="39"/>
    <w:qFormat/>
    <w:rsid w:val="00FC729E"/>
    <w:pPr>
      <w:tabs>
        <w:tab w:val="right" w:leader="dot" w:pos="480"/>
        <w:tab w:val="right" w:leader="dot" w:pos="9090"/>
        <w:tab w:val="right" w:leader="dot" w:pos="10518"/>
      </w:tabs>
      <w:spacing w:before="0" w:line="240" w:lineRule="auto"/>
    </w:pPr>
    <w:rPr>
      <w:rFonts w:asciiTheme="majorHAnsi" w:hAnsiTheme="majorHAnsi"/>
      <w:b/>
      <w:noProof/>
      <w:color w:val="0070C0"/>
      <w:sz w:val="28"/>
      <w:lang w:val="sq-AL"/>
    </w:rPr>
  </w:style>
  <w:style w:type="paragraph" w:styleId="TOC2">
    <w:name w:val="toc 2"/>
    <w:basedOn w:val="Normal"/>
    <w:next w:val="Normal"/>
    <w:autoRedefine/>
    <w:uiPriority w:val="39"/>
    <w:qFormat/>
    <w:rsid w:val="00C247F9"/>
    <w:pPr>
      <w:tabs>
        <w:tab w:val="left" w:pos="880"/>
        <w:tab w:val="right" w:leader="dot" w:pos="9270"/>
        <w:tab w:val="right" w:leader="dot" w:pos="10518"/>
      </w:tabs>
      <w:spacing w:after="100" w:line="240" w:lineRule="auto"/>
    </w:pPr>
    <w:rPr>
      <w:rFonts w:cs="Calibri"/>
      <w:b/>
      <w:noProof/>
      <w:szCs w:val="22"/>
      <w:lang w:val="sq-AL"/>
    </w:rPr>
  </w:style>
  <w:style w:type="paragraph" w:styleId="TOC3">
    <w:name w:val="toc 3"/>
    <w:basedOn w:val="Normal"/>
    <w:next w:val="Normal"/>
    <w:autoRedefine/>
    <w:uiPriority w:val="39"/>
    <w:qFormat/>
    <w:rsid w:val="001D56FA"/>
    <w:pPr>
      <w:tabs>
        <w:tab w:val="left" w:pos="1320"/>
        <w:tab w:val="left" w:pos="4706"/>
        <w:tab w:val="right" w:leader="dot" w:pos="10520"/>
      </w:tabs>
      <w:spacing w:after="100" w:line="240" w:lineRule="auto"/>
    </w:pPr>
    <w:rPr>
      <w:rFonts w:asciiTheme="majorHAnsi" w:hAnsiTheme="majorHAnsi" w:cs="Calibri"/>
      <w:b/>
      <w:i/>
      <w:noProof/>
      <w:color w:val="0070C0"/>
      <w:sz w:val="20"/>
    </w:rPr>
  </w:style>
  <w:style w:type="paragraph" w:styleId="TOC4">
    <w:name w:val="toc 4"/>
    <w:basedOn w:val="Normal"/>
    <w:next w:val="Normal"/>
    <w:autoRedefine/>
    <w:uiPriority w:val="39"/>
    <w:rsid w:val="003734A7"/>
    <w:pPr>
      <w:spacing w:after="100"/>
      <w:ind w:left="720"/>
    </w:pPr>
    <w:rPr>
      <w:rFonts w:ascii="Times New Roman" w:hAnsi="Times New Roman"/>
    </w:rPr>
  </w:style>
  <w:style w:type="paragraph" w:styleId="NoSpacing">
    <w:name w:val="No Spacing"/>
    <w:link w:val="NoSpacingChar"/>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734A7"/>
    <w:pPr>
      <w:pBdr>
        <w:top w:val="nil"/>
        <w:left w:val="nil"/>
        <w:bottom w:val="single" w:sz="8" w:space="4" w:color="0F6FC6" w:themeColor="accent1"/>
        <w:right w:val="nil"/>
        <w:between w:val="nil"/>
        <w:bar w:val="nil"/>
      </w:pBdr>
      <w:spacing w:after="300"/>
      <w:contextualSpacing/>
    </w:pPr>
    <w:rPr>
      <w:rFonts w:asciiTheme="majorHAnsi" w:eastAsiaTheme="majorEastAsia" w:hAnsiTheme="majorHAnsi" w:cstheme="majorBidi"/>
      <w:color w:val="112F51"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12F51"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hAnsi="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0B5294"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next w:val="TableNormal"/>
    <w:uiPriority w:val="40"/>
    <w:rsid w:val="00C611E7"/>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next w:val="TableNormal"/>
    <w:uiPriority w:val="40"/>
    <w:rsid w:val="00AD5C81"/>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next w:val="TableNormal"/>
    <w:uiPriority w:val="40"/>
    <w:rsid w:val="009D3195"/>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7372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1"/>
      </w:numPr>
      <w:spacing w:before="0"/>
    </w:pPr>
    <w:rPr>
      <w:rFonts w:ascii="Calibri Light" w:hAnsi="Calibri Light" w:cs="Times New Roman"/>
      <w:noProof/>
      <w:color w:val="0F6FC6" w:themeColor="accent1"/>
      <w:lang w:val="sq-AL"/>
    </w:rPr>
  </w:style>
  <w:style w:type="paragraph" w:customStyle="1" w:styleId="Fiskale1">
    <w:name w:val="Fiskale 1"/>
    <w:basedOn w:val="Heading1"/>
    <w:link w:val="Fiskale1Char"/>
    <w:qFormat/>
    <w:rsid w:val="00B77671"/>
    <w:pPr>
      <w:numPr>
        <w:numId w:val="1"/>
      </w:numPr>
      <w:spacing w:before="0"/>
      <w:ind w:left="72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0F6FC6" w:themeColor="accent1"/>
      <w:sz w:val="22"/>
      <w:szCs w:val="26"/>
      <w:lang w:val="sq-AL"/>
    </w:rPr>
  </w:style>
  <w:style w:type="paragraph" w:customStyle="1" w:styleId="fiskale3">
    <w:name w:val="fiskale 3"/>
    <w:basedOn w:val="Heading3"/>
    <w:link w:val="fiskale3Char"/>
    <w:qFormat/>
    <w:rsid w:val="008A03FF"/>
    <w:pPr>
      <w:numPr>
        <w:numId w:val="1"/>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0B5294"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073662" w:themeColor="accent1" w:themeShade="7F"/>
      <w:sz w:val="22"/>
      <w:lang w:val="sq-AL"/>
    </w:rPr>
  </w:style>
  <w:style w:type="table" w:customStyle="1" w:styleId="ListTable3-Accent12">
    <w:name w:val="List Table 3 - Accent 12"/>
    <w:basedOn w:val="TableNormal"/>
    <w:uiPriority w:val="48"/>
    <w:rsid w:val="00752031"/>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2">
    <w:name w:val="Grid Table 5 Dark - Accent 12"/>
    <w:basedOn w:val="TableNormal"/>
    <w:uiPriority w:val="50"/>
    <w:rsid w:val="006A2E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4-Accent12">
    <w:name w:val="Grid Table 4 - Accent 12"/>
    <w:basedOn w:val="TableNormal"/>
    <w:uiPriority w:val="49"/>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1">
    <w:name w:val="Grid Table 21"/>
    <w:basedOn w:val="TableNormal"/>
    <w:uiPriority w:val="47"/>
    <w:rsid w:val="006A2EC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6A2E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6A2E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2-Accent11">
    <w:name w:val="Grid Table 2 - Accent 11"/>
    <w:basedOn w:val="TableNormal"/>
    <w:uiPriority w:val="47"/>
    <w:rsid w:val="006A2EC9"/>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3-Accent61">
    <w:name w:val="Grid Table 3 - Accent 61"/>
    <w:basedOn w:val="TableNormal"/>
    <w:uiPriority w:val="48"/>
    <w:rsid w:val="006A2EC9"/>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1Light-Accent12">
    <w:name w:val="Grid Table 1 Light - Accent 12"/>
    <w:basedOn w:val="TableNormal"/>
    <w:uiPriority w:val="46"/>
    <w:rsid w:val="00497022"/>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qFormat/>
    <w:rsid w:val="00FF247A"/>
    <w:pPr>
      <w:spacing w:before="0" w:after="160" w:line="240" w:lineRule="exact"/>
    </w:pPr>
    <w:rPr>
      <w:rFonts w:asciiTheme="minorHAnsi" w:eastAsiaTheme="minorEastAsia" w:hAnsiTheme="minorHAnsi" w:cstheme="minorBidi"/>
      <w:sz w:val="24"/>
      <w:vertAlign w:val="superscript"/>
    </w:rPr>
  </w:style>
  <w:style w:type="character" w:customStyle="1" w:styleId="viiyi">
    <w:name w:val="viiyi"/>
    <w:basedOn w:val="DefaultParagraphFont"/>
    <w:rsid w:val="00A97E29"/>
  </w:style>
  <w:style w:type="character" w:customStyle="1" w:styleId="q4iawc">
    <w:name w:val="q4iawc"/>
    <w:basedOn w:val="DefaultParagraphFont"/>
    <w:rsid w:val="00A97E29"/>
  </w:style>
  <w:style w:type="table" w:customStyle="1" w:styleId="TableGridLight16">
    <w:name w:val="Table Grid Light16"/>
    <w:basedOn w:val="TableNormal"/>
    <w:uiPriority w:val="40"/>
    <w:rsid w:val="0034438D"/>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1">
    <w:name w:val="Grid Table 1 Light - Accent 111"/>
    <w:basedOn w:val="TableNormal"/>
    <w:uiPriority w:val="46"/>
    <w:rsid w:val="009C50AD"/>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0B327D"/>
    <w:rPr>
      <w:rFonts w:eastAsia="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basedOn w:val="DefaultParagraphFont"/>
    <w:uiPriority w:val="99"/>
    <w:semiHidden/>
    <w:unhideWhenUsed/>
    <w:rsid w:val="00F1746C"/>
    <w:rPr>
      <w:color w:val="605E5C"/>
      <w:shd w:val="clear" w:color="auto" w:fill="E1DFDD"/>
    </w:rPr>
  </w:style>
  <w:style w:type="table" w:customStyle="1" w:styleId="GridTable4-Accent112">
    <w:name w:val="Grid Table 4 - Accent 112"/>
    <w:basedOn w:val="TableNormal"/>
    <w:uiPriority w:val="49"/>
    <w:rsid w:val="00A366EC"/>
    <w:rPr>
      <w:rFonts w:ascii="Cambria" w:eastAsia="MS Mincho" w:hAnsi="Cambria" w:cs="Times New Roman"/>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ListTable3-Accent121">
    <w:name w:val="List Table 3 - Accent 121"/>
    <w:basedOn w:val="TableNormal"/>
    <w:uiPriority w:val="48"/>
    <w:rsid w:val="00C37F3E"/>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character" w:customStyle="1" w:styleId="contentpasted0">
    <w:name w:val="contentpasted0"/>
    <w:basedOn w:val="DefaultParagraphFont"/>
    <w:rsid w:val="00AF3944"/>
  </w:style>
  <w:style w:type="character" w:customStyle="1" w:styleId="contentpasted1">
    <w:name w:val="contentpasted1"/>
    <w:basedOn w:val="DefaultParagraphFont"/>
    <w:rsid w:val="00AF3944"/>
  </w:style>
  <w:style w:type="character" w:customStyle="1" w:styleId="elementtoproof">
    <w:name w:val="elementtoproof"/>
    <w:basedOn w:val="DefaultParagraphFont"/>
    <w:rsid w:val="00AF3944"/>
  </w:style>
  <w:style w:type="character" w:customStyle="1" w:styleId="contentpasted3">
    <w:name w:val="contentpasted3"/>
    <w:basedOn w:val="DefaultParagraphFont"/>
    <w:rsid w:val="00AF3944"/>
  </w:style>
  <w:style w:type="character" w:customStyle="1" w:styleId="contentpasted4">
    <w:name w:val="contentpasted4"/>
    <w:basedOn w:val="DefaultParagraphFont"/>
    <w:rsid w:val="00AF3944"/>
  </w:style>
  <w:style w:type="paragraph" w:styleId="ListBullet">
    <w:name w:val="List Bullet"/>
    <w:basedOn w:val="Normal"/>
    <w:uiPriority w:val="2"/>
    <w:qFormat/>
    <w:rsid w:val="00B85445"/>
    <w:pPr>
      <w:numPr>
        <w:numId w:val="22"/>
      </w:numPr>
      <w:tabs>
        <w:tab w:val="clear" w:pos="360"/>
      </w:tabs>
      <w:spacing w:before="0" w:after="240" w:line="264" w:lineRule="auto"/>
      <w:jc w:val="left"/>
    </w:pPr>
    <w:rPr>
      <w:rFonts w:ascii="Segoe UI" w:eastAsia="SimSun" w:hAnsi="Segoe UI"/>
      <w:sz w:val="21"/>
      <w:szCs w:val="20"/>
      <w:lang w:val="sq-AL"/>
    </w:rPr>
  </w:style>
  <w:style w:type="paragraph" w:customStyle="1" w:styleId="ParagraphNumbering">
    <w:name w:val="Paragraph Numbering"/>
    <w:basedOn w:val="Normal"/>
    <w:link w:val="ParagraphNumberingChar"/>
    <w:uiPriority w:val="99"/>
    <w:qFormat/>
    <w:rsid w:val="00B85445"/>
    <w:pPr>
      <w:numPr>
        <w:numId w:val="23"/>
      </w:numPr>
      <w:spacing w:before="0" w:after="240" w:line="264" w:lineRule="auto"/>
      <w:jc w:val="left"/>
    </w:pPr>
    <w:rPr>
      <w:rFonts w:ascii="Segoe UI" w:eastAsia="SimSun" w:hAnsi="Segoe UI"/>
      <w:sz w:val="21"/>
      <w:lang w:val="sq-AL"/>
    </w:rPr>
  </w:style>
  <w:style w:type="character" w:customStyle="1" w:styleId="ParagraphNumberingChar">
    <w:name w:val="Paragraph Numbering Char"/>
    <w:link w:val="ParagraphNumbering"/>
    <w:uiPriority w:val="99"/>
    <w:locked/>
    <w:rsid w:val="00B85445"/>
    <w:rPr>
      <w:rFonts w:ascii="Segoe UI" w:eastAsia="SimSun" w:hAnsi="Segoe UI" w:cs="Times New Roman"/>
      <w:sz w:val="21"/>
      <w:lang w:val="sq-AL"/>
    </w:rPr>
  </w:style>
  <w:style w:type="character" w:customStyle="1" w:styleId="NoSpacingChar">
    <w:name w:val="No Spacing Char"/>
    <w:link w:val="NoSpacing"/>
    <w:uiPriority w:val="1"/>
    <w:rsid w:val="004B7008"/>
    <w:rPr>
      <w:rFonts w:eastAsiaTheme="minorHAnsi"/>
      <w:sz w:val="22"/>
      <w:szCs w:val="22"/>
    </w:rPr>
  </w:style>
  <w:style w:type="table" w:styleId="PlainTable1">
    <w:name w:val="Plain Table 1"/>
    <w:basedOn w:val="TableNormal"/>
    <w:uiPriority w:val="41"/>
    <w:rsid w:val="004B7008"/>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4B7008"/>
    <w:rPr>
      <w:rFonts w:ascii="Garamond" w:hAnsi="Garamond" w:hint="default"/>
      <w:b w:val="0"/>
      <w:bCs w:val="0"/>
      <w:i w:val="0"/>
      <w:iCs w:val="0"/>
      <w:color w:val="000000"/>
      <w:sz w:val="20"/>
      <w:szCs w:val="20"/>
    </w:rPr>
  </w:style>
  <w:style w:type="table" w:styleId="GridTable1Light-Accent1">
    <w:name w:val="Grid Table 1 Light Accent 1"/>
    <w:basedOn w:val="TableNormal"/>
    <w:uiPriority w:val="46"/>
    <w:rsid w:val="00E04EF3"/>
    <w:rPr>
      <w:rFonts w:eastAsiaTheme="minorHAnsi"/>
      <w:sz w:val="22"/>
      <w:szCs w:val="22"/>
      <w:lang w:val="sq-AL"/>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jlqj4b">
    <w:name w:val="jlqj4b"/>
    <w:basedOn w:val="DefaultParagraphFont"/>
    <w:rsid w:val="00751B28"/>
  </w:style>
  <w:style w:type="table" w:customStyle="1" w:styleId="ListTable3-Accent122">
    <w:name w:val="List Table 3 - Accent 122"/>
    <w:basedOn w:val="TableNormal"/>
    <w:uiPriority w:val="48"/>
    <w:rsid w:val="0031599C"/>
    <w:rPr>
      <w:rFonts w:eastAsiaTheme="minorHAnsi"/>
      <w:sz w:val="22"/>
      <w:szCs w:val="22"/>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character" w:styleId="Emphasis">
    <w:name w:val="Emphasis"/>
    <w:basedOn w:val="DefaultParagraphFont"/>
    <w:uiPriority w:val="20"/>
    <w:qFormat/>
    <w:rsid w:val="00320526"/>
    <w:rPr>
      <w:i/>
      <w:iCs/>
    </w:rPr>
  </w:style>
  <w:style w:type="table" w:customStyle="1" w:styleId="GridTable1Light-Accent21">
    <w:name w:val="Grid Table 1 Light - Accent 21"/>
    <w:basedOn w:val="TableNormal"/>
    <w:next w:val="GridTable1Light-Accent2"/>
    <w:uiPriority w:val="46"/>
    <w:rsid w:val="00D31F37"/>
    <w:rPr>
      <w:rFonts w:ascii="Aptos" w:eastAsia="Aptos" w:hAnsi="Aptos" w:cs="Times New Roman"/>
      <w:sz w:val="22"/>
      <w:szCs w:val="22"/>
    </w:rPr>
    <w:tblPr>
      <w:tblStyleRowBandSize w:val="1"/>
      <w:tblStyleColBandSize w:val="1"/>
      <w:tblInd w:w="0" w:type="nil"/>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1F37"/>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D31F37"/>
    <w:rPr>
      <w:b/>
      <w:bCs/>
    </w:rPr>
  </w:style>
  <w:style w:type="numbering" w:customStyle="1" w:styleId="NoList1">
    <w:name w:val="No List1"/>
    <w:next w:val="NoList"/>
    <w:uiPriority w:val="99"/>
    <w:semiHidden/>
    <w:unhideWhenUsed/>
    <w:rsid w:val="00C156A0"/>
  </w:style>
  <w:style w:type="character" w:customStyle="1" w:styleId="IntenseEmphasis1">
    <w:name w:val="Intense Emphasis1"/>
    <w:basedOn w:val="DefaultParagraphFont"/>
    <w:uiPriority w:val="21"/>
    <w:qFormat/>
    <w:rsid w:val="00C156A0"/>
    <w:rPr>
      <w:i/>
      <w:iCs/>
      <w:color w:val="0F4761"/>
    </w:rPr>
  </w:style>
  <w:style w:type="paragraph" w:customStyle="1" w:styleId="IntenseQuote1">
    <w:name w:val="Intense Quote1"/>
    <w:basedOn w:val="Normal"/>
    <w:next w:val="Normal"/>
    <w:uiPriority w:val="30"/>
    <w:qFormat/>
    <w:rsid w:val="00C156A0"/>
    <w:pPr>
      <w:pBdr>
        <w:top w:val="single" w:sz="4" w:space="10" w:color="0F4761"/>
        <w:bottom w:val="single" w:sz="4" w:space="10" w:color="0F4761"/>
      </w:pBdr>
      <w:spacing w:before="360" w:after="360" w:line="278" w:lineRule="auto"/>
      <w:ind w:left="864" w:right="864"/>
      <w:jc w:val="center"/>
    </w:pPr>
    <w:rPr>
      <w:rFonts w:ascii="Aptos" w:eastAsia="MS Mincho" w:hAnsi="Aptos"/>
      <w:i/>
      <w:iCs/>
      <w:color w:val="0F4761"/>
      <w:kern w:val="2"/>
      <w:sz w:val="24"/>
      <w14:ligatures w14:val="standardContextual"/>
    </w:rPr>
  </w:style>
  <w:style w:type="character" w:customStyle="1" w:styleId="IntenseQuoteChar">
    <w:name w:val="Intense Quote Char"/>
    <w:basedOn w:val="DefaultParagraphFont"/>
    <w:link w:val="IntenseQuote"/>
    <w:uiPriority w:val="30"/>
    <w:rsid w:val="00C156A0"/>
    <w:rPr>
      <w:i/>
      <w:iCs/>
      <w:color w:val="0F4761"/>
    </w:rPr>
  </w:style>
  <w:style w:type="character" w:customStyle="1" w:styleId="IntenseReference1">
    <w:name w:val="Intense Reference1"/>
    <w:basedOn w:val="DefaultParagraphFont"/>
    <w:uiPriority w:val="32"/>
    <w:qFormat/>
    <w:rsid w:val="00C156A0"/>
    <w:rPr>
      <w:b/>
      <w:bCs/>
      <w:smallCaps/>
      <w:color w:val="0F4761"/>
      <w:spacing w:val="5"/>
    </w:rPr>
  </w:style>
  <w:style w:type="numbering" w:customStyle="1" w:styleId="NoList11">
    <w:name w:val="No List11"/>
    <w:next w:val="NoList"/>
    <w:uiPriority w:val="99"/>
    <w:semiHidden/>
    <w:unhideWhenUsed/>
    <w:rsid w:val="00C156A0"/>
  </w:style>
  <w:style w:type="paragraph" w:customStyle="1" w:styleId="Caption1">
    <w:name w:val="Caption1"/>
    <w:basedOn w:val="Normal"/>
    <w:next w:val="Normal"/>
    <w:uiPriority w:val="35"/>
    <w:unhideWhenUsed/>
    <w:qFormat/>
    <w:rsid w:val="00C156A0"/>
    <w:rPr>
      <w:i/>
      <w:iCs/>
      <w:color w:val="17406D"/>
      <w:sz w:val="18"/>
      <w:szCs w:val="18"/>
    </w:rPr>
  </w:style>
  <w:style w:type="table" w:customStyle="1" w:styleId="TableGrid1">
    <w:name w:val="Table Grid1"/>
    <w:basedOn w:val="TableNormal"/>
    <w:next w:val="TableGrid"/>
    <w:uiPriority w:val="59"/>
    <w:rsid w:val="00C156A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C156A0"/>
    <w:rPr>
      <w:rFonts w:eastAsia="MS Mincho"/>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Hyperlink1">
    <w:name w:val="Hyperlink1"/>
    <w:basedOn w:val="DefaultParagraphFont"/>
    <w:uiPriority w:val="99"/>
    <w:unhideWhenUsed/>
    <w:rsid w:val="00C156A0"/>
    <w:rPr>
      <w:color w:val="F49100"/>
      <w:u w:val="single"/>
    </w:rPr>
  </w:style>
  <w:style w:type="table" w:customStyle="1" w:styleId="ListTable3-Accent511">
    <w:name w:val="List Table 3 - Accent 511"/>
    <w:basedOn w:val="TableNormal"/>
    <w:next w:val="ListTable3-Accent52"/>
    <w:uiPriority w:val="48"/>
    <w:rsid w:val="00C156A0"/>
    <w:rPr>
      <w:rFonts w:ascii="Times New Roman" w:eastAsia="MS Mincho" w:hAnsi="Times New Roman"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1">
    <w:name w:val="List Table 3 - Accent 521"/>
    <w:basedOn w:val="TableNormal"/>
    <w:uiPriority w:val="48"/>
    <w:rsid w:val="00C156A0"/>
    <w:rPr>
      <w:rFonts w:eastAsia="MS Mincho"/>
    </w:rPr>
    <w:tblPr>
      <w:tblStyleRowBandSize w:val="1"/>
      <w:tblStyleColBandSize w:val="1"/>
      <w:tblBorders>
        <w:top w:val="single" w:sz="4" w:space="0" w:color="7CCA62"/>
        <w:left w:val="single" w:sz="4" w:space="0" w:color="7CCA62"/>
        <w:bottom w:val="single" w:sz="4" w:space="0" w:color="7CCA62"/>
        <w:right w:val="single" w:sz="4" w:space="0" w:color="7CCA62"/>
      </w:tblBorders>
    </w:tblPr>
    <w:tblStylePr w:type="firstRow">
      <w:rPr>
        <w:b/>
        <w:bCs/>
        <w:color w:val="FFFFFF"/>
      </w:rPr>
      <w:tblPr/>
      <w:tcPr>
        <w:shd w:val="clear" w:color="auto" w:fill="7CCA62"/>
      </w:tcPr>
    </w:tblStylePr>
    <w:tblStylePr w:type="lastRow">
      <w:rPr>
        <w:b/>
        <w:bCs/>
      </w:rPr>
      <w:tblPr/>
      <w:tcPr>
        <w:tcBorders>
          <w:top w:val="double" w:sz="4" w:space="0" w:color="7CCA6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CCA62"/>
          <w:right w:val="single" w:sz="4" w:space="0" w:color="7CCA62"/>
        </w:tcBorders>
      </w:tcPr>
    </w:tblStylePr>
    <w:tblStylePr w:type="band1Horz">
      <w:tblPr/>
      <w:tcPr>
        <w:tcBorders>
          <w:top w:val="single" w:sz="4" w:space="0" w:color="7CCA62"/>
          <w:bottom w:val="single" w:sz="4" w:space="0" w:color="7CCA6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left w:val="nil"/>
        </w:tcBorders>
      </w:tcPr>
    </w:tblStylePr>
    <w:tblStylePr w:type="swCell">
      <w:tblPr/>
      <w:tcPr>
        <w:tcBorders>
          <w:top w:val="double" w:sz="4" w:space="0" w:color="7CCA62"/>
          <w:right w:val="nil"/>
        </w:tcBorders>
      </w:tcPr>
    </w:tblStylePr>
  </w:style>
  <w:style w:type="paragraph" w:customStyle="1" w:styleId="TOCHeading1">
    <w:name w:val="TOC Heading1"/>
    <w:basedOn w:val="Heading1"/>
    <w:next w:val="Normal"/>
    <w:uiPriority w:val="39"/>
    <w:unhideWhenUsed/>
    <w:qFormat/>
    <w:rsid w:val="00C156A0"/>
    <w:pPr>
      <w:numPr>
        <w:numId w:val="0"/>
      </w:numPr>
      <w:spacing w:before="480"/>
      <w:outlineLvl w:val="9"/>
    </w:pPr>
    <w:rPr>
      <w:b/>
      <w:bCs/>
      <w:sz w:val="28"/>
      <w:szCs w:val="28"/>
    </w:rPr>
  </w:style>
  <w:style w:type="paragraph" w:customStyle="1" w:styleId="TOC11">
    <w:name w:val="TOC 11"/>
    <w:basedOn w:val="Normal"/>
    <w:next w:val="Normal"/>
    <w:autoRedefine/>
    <w:uiPriority w:val="39"/>
    <w:qFormat/>
    <w:rsid w:val="00C156A0"/>
    <w:pPr>
      <w:tabs>
        <w:tab w:val="right" w:leader="dot" w:pos="480"/>
        <w:tab w:val="right" w:leader="dot" w:pos="9090"/>
        <w:tab w:val="right" w:leader="dot" w:pos="10518"/>
      </w:tabs>
      <w:spacing w:before="0" w:line="240" w:lineRule="auto"/>
    </w:pPr>
    <w:rPr>
      <w:b/>
      <w:noProof/>
      <w:color w:val="0070C0"/>
      <w:sz w:val="28"/>
      <w:lang w:val="sq-AL"/>
    </w:rPr>
  </w:style>
  <w:style w:type="paragraph" w:customStyle="1" w:styleId="TOC31">
    <w:name w:val="TOC 31"/>
    <w:basedOn w:val="Normal"/>
    <w:next w:val="Normal"/>
    <w:autoRedefine/>
    <w:uiPriority w:val="39"/>
    <w:qFormat/>
    <w:rsid w:val="00C156A0"/>
    <w:pPr>
      <w:tabs>
        <w:tab w:val="left" w:pos="1320"/>
        <w:tab w:val="left" w:pos="4706"/>
        <w:tab w:val="right" w:leader="dot" w:pos="10520"/>
      </w:tabs>
      <w:spacing w:after="100" w:line="240" w:lineRule="auto"/>
    </w:pPr>
    <w:rPr>
      <w:rFonts w:cs="Calibri"/>
      <w:b/>
      <w:i/>
      <w:noProof/>
      <w:color w:val="0070C0"/>
      <w:sz w:val="20"/>
    </w:rPr>
  </w:style>
  <w:style w:type="paragraph" w:customStyle="1" w:styleId="NoSpacing1">
    <w:name w:val="No Spacing1"/>
    <w:next w:val="NoSpacing"/>
    <w:uiPriority w:val="1"/>
    <w:qFormat/>
    <w:rsid w:val="00C156A0"/>
    <w:rPr>
      <w:rFonts w:eastAsia="MS Mincho"/>
      <w:sz w:val="22"/>
      <w:szCs w:val="22"/>
    </w:rPr>
  </w:style>
  <w:style w:type="table" w:customStyle="1" w:styleId="TableGridLight17">
    <w:name w:val="Table Grid Light17"/>
    <w:basedOn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C156A0"/>
    <w:rPr>
      <w:rFonts w:ascii="Times New Roman" w:eastAsia="MS Mincho"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1">
    <w:name w:val="List Table 3 - Accent 111"/>
    <w:basedOn w:val="TableNormal"/>
    <w:uiPriority w:val="48"/>
    <w:rsid w:val="00C156A0"/>
    <w:rPr>
      <w:rFonts w:eastAsia="MS Mincho"/>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GridTable5Dark-Accent111">
    <w:name w:val="Grid Table 5 Dark - Accent 111"/>
    <w:basedOn w:val="TableNormal"/>
    <w:uiPriority w:val="50"/>
    <w:rsid w:val="00C156A0"/>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E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5F6"/>
      </w:tcPr>
    </w:tblStylePr>
    <w:tblStylePr w:type="band1Horz">
      <w:tblPr/>
      <w:tcPr>
        <w:shd w:val="clear" w:color="auto" w:fill="90C5F6"/>
      </w:tcPr>
    </w:tblStylePr>
  </w:style>
  <w:style w:type="table" w:customStyle="1" w:styleId="GridTable1Light-Accent112">
    <w:name w:val="Grid Table 1 Light - Accent 112"/>
    <w:basedOn w:val="TableNormal"/>
    <w:uiPriority w:val="46"/>
    <w:rsid w:val="00C156A0"/>
    <w:rPr>
      <w:rFonts w:eastAsia="MS Mincho"/>
    </w:r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4-Accent511">
    <w:name w:val="Grid Table 4 - Accent 511"/>
    <w:basedOn w:val="TableNormal"/>
    <w:uiPriority w:val="49"/>
    <w:rsid w:val="00C156A0"/>
    <w:rPr>
      <w:rFonts w:eastAsia="MS Mincho"/>
    </w:rPr>
    <w:tblPr>
      <w:tblStyleRowBandSize w:val="1"/>
      <w:tblStyleColBandSize w:val="1"/>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insideV w:val="nil"/>
        </w:tcBorders>
        <w:shd w:val="clear" w:color="auto" w:fill="7CCA62"/>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TableGridLight111">
    <w:name w:val="Table Grid Light111"/>
    <w:basedOn w:val="TableNormal"/>
    <w:next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1">
    <w:name w:val="Table Grid Light121"/>
    <w:basedOn w:val="TableNormal"/>
    <w:next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1">
    <w:name w:val="Table Grid Light131"/>
    <w:basedOn w:val="TableNormal"/>
    <w:next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1">
    <w:name w:val="Table Grid Light141"/>
    <w:basedOn w:val="TableNormal"/>
    <w:next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1">
    <w:name w:val="Table Grid Light151"/>
    <w:basedOn w:val="TableNormal"/>
    <w:next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
    <w:name w:val="Grid Table 1 Light11"/>
    <w:basedOn w:val="TableNormal"/>
    <w:uiPriority w:val="46"/>
    <w:rsid w:val="00C156A0"/>
    <w:rPr>
      <w:rFonts w:eastAsia="MS Minch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23">
    <w:name w:val="List Table 3 - Accent 123"/>
    <w:basedOn w:val="TableNormal"/>
    <w:uiPriority w:val="48"/>
    <w:rsid w:val="00C156A0"/>
    <w:rPr>
      <w:rFonts w:eastAsia="MS Mincho"/>
      <w:sz w:val="22"/>
      <w:szCs w:val="22"/>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GridTable5Dark-Accent121">
    <w:name w:val="Grid Table 5 Dark - Accent 121"/>
    <w:basedOn w:val="TableNormal"/>
    <w:uiPriority w:val="50"/>
    <w:rsid w:val="00C156A0"/>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E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5F6"/>
      </w:tcPr>
    </w:tblStylePr>
    <w:tblStylePr w:type="band1Horz">
      <w:tblPr/>
      <w:tcPr>
        <w:shd w:val="clear" w:color="auto" w:fill="90C5F6"/>
      </w:tcPr>
    </w:tblStylePr>
  </w:style>
  <w:style w:type="table" w:customStyle="1" w:styleId="GridTable4-Accent121">
    <w:name w:val="Grid Table 4 - Accent 121"/>
    <w:basedOn w:val="TableNormal"/>
    <w:uiPriority w:val="49"/>
    <w:rsid w:val="00C156A0"/>
    <w:rPr>
      <w:rFonts w:eastAsia="MS Mincho"/>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211">
    <w:name w:val="Grid Table 211"/>
    <w:basedOn w:val="TableNormal"/>
    <w:uiPriority w:val="47"/>
    <w:rsid w:val="00C156A0"/>
    <w:rPr>
      <w:rFonts w:eastAsia="MS Minch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21">
    <w:name w:val="Grid Table 1 Light21"/>
    <w:basedOn w:val="TableNormal"/>
    <w:uiPriority w:val="46"/>
    <w:rsid w:val="00C156A0"/>
    <w:rPr>
      <w:rFonts w:eastAsia="MS Minch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11">
    <w:name w:val="Grid Table 411"/>
    <w:basedOn w:val="TableNormal"/>
    <w:uiPriority w:val="49"/>
    <w:rsid w:val="00C156A0"/>
    <w:rPr>
      <w:rFonts w:eastAsia="MS Minch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1">
    <w:name w:val="Grid Table 3 - Accent 111"/>
    <w:basedOn w:val="TableNormal"/>
    <w:uiPriority w:val="48"/>
    <w:rsid w:val="00C156A0"/>
    <w:rPr>
      <w:rFonts w:eastAsia="MS Mincho"/>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7E2FA"/>
      </w:tcPr>
    </w:tblStylePr>
    <w:tblStylePr w:type="band1Horz">
      <w:tblPr/>
      <w:tcPr>
        <w:shd w:val="clear" w:color="auto" w:fill="C7E2FA"/>
      </w:tcPr>
    </w:tblStylePr>
    <w:tblStylePr w:type="neCell">
      <w:tblPr/>
      <w:tcPr>
        <w:tcBorders>
          <w:bottom w:val="single" w:sz="4" w:space="0" w:color="59A9F2"/>
        </w:tcBorders>
      </w:tcPr>
    </w:tblStylePr>
    <w:tblStylePr w:type="nwCell">
      <w:tblPr/>
      <w:tcPr>
        <w:tcBorders>
          <w:bottom w:val="single" w:sz="4" w:space="0" w:color="59A9F2"/>
        </w:tcBorders>
      </w:tcPr>
    </w:tblStylePr>
    <w:tblStylePr w:type="seCell">
      <w:tblPr/>
      <w:tcPr>
        <w:tcBorders>
          <w:top w:val="single" w:sz="4" w:space="0" w:color="59A9F2"/>
        </w:tcBorders>
      </w:tcPr>
    </w:tblStylePr>
    <w:tblStylePr w:type="swCell">
      <w:tblPr/>
      <w:tcPr>
        <w:tcBorders>
          <w:top w:val="single" w:sz="4" w:space="0" w:color="59A9F2"/>
        </w:tcBorders>
      </w:tcPr>
    </w:tblStylePr>
  </w:style>
  <w:style w:type="table" w:customStyle="1" w:styleId="GridTable2-Accent111">
    <w:name w:val="Grid Table 2 - Accent 111"/>
    <w:basedOn w:val="TableNormal"/>
    <w:uiPriority w:val="47"/>
    <w:rsid w:val="00C156A0"/>
    <w:rPr>
      <w:rFonts w:eastAsia="MS Mincho"/>
    </w:r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3-Accent611">
    <w:name w:val="Grid Table 3 - Accent 611"/>
    <w:basedOn w:val="TableNormal"/>
    <w:uiPriority w:val="48"/>
    <w:rsid w:val="00C156A0"/>
    <w:rPr>
      <w:rFonts w:eastAsia="MS Mincho"/>
    </w:rPr>
    <w:tblPr>
      <w:tblStyleRowBandSize w:val="1"/>
      <w:tblStyleColBandSize w:val="1"/>
      <w:tblBorders>
        <w:top w:val="single" w:sz="4" w:space="0" w:color="C8DA91"/>
        <w:left w:val="single" w:sz="4" w:space="0" w:color="C8DA91"/>
        <w:bottom w:val="single" w:sz="4" w:space="0" w:color="C8DA91"/>
        <w:right w:val="single" w:sz="4" w:space="0" w:color="C8DA91"/>
        <w:insideH w:val="single" w:sz="4" w:space="0" w:color="C8DA91"/>
        <w:insideV w:val="single" w:sz="4" w:space="0" w:color="C8DA9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F2DA"/>
      </w:tcPr>
    </w:tblStylePr>
    <w:tblStylePr w:type="band1Horz">
      <w:tblPr/>
      <w:tcPr>
        <w:shd w:val="clear" w:color="auto" w:fill="ECF2DA"/>
      </w:tcPr>
    </w:tblStylePr>
    <w:tblStylePr w:type="neCell">
      <w:tblPr/>
      <w:tcPr>
        <w:tcBorders>
          <w:bottom w:val="single" w:sz="4" w:space="0" w:color="C8DA91"/>
        </w:tcBorders>
      </w:tcPr>
    </w:tblStylePr>
    <w:tblStylePr w:type="nwCell">
      <w:tblPr/>
      <w:tcPr>
        <w:tcBorders>
          <w:bottom w:val="single" w:sz="4" w:space="0" w:color="C8DA91"/>
        </w:tcBorders>
      </w:tcPr>
    </w:tblStylePr>
    <w:tblStylePr w:type="seCell">
      <w:tblPr/>
      <w:tcPr>
        <w:tcBorders>
          <w:top w:val="single" w:sz="4" w:space="0" w:color="C8DA91"/>
        </w:tcBorders>
      </w:tcPr>
    </w:tblStylePr>
    <w:tblStylePr w:type="swCell">
      <w:tblPr/>
      <w:tcPr>
        <w:tcBorders>
          <w:top w:val="single" w:sz="4" w:space="0" w:color="C8DA91"/>
        </w:tcBorders>
      </w:tcPr>
    </w:tblStylePr>
  </w:style>
  <w:style w:type="table" w:customStyle="1" w:styleId="GridTable1Light-Accent121">
    <w:name w:val="Grid Table 1 Light - Accent 121"/>
    <w:basedOn w:val="TableNormal"/>
    <w:uiPriority w:val="46"/>
    <w:rsid w:val="00C156A0"/>
    <w:rPr>
      <w:rFonts w:eastAsia="MS Mincho"/>
    </w:r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TableGridLight161">
    <w:name w:val="Table Grid Light161"/>
    <w:basedOn w:val="TableNormal"/>
    <w:uiPriority w:val="40"/>
    <w:rsid w:val="00C156A0"/>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11">
    <w:name w:val="Grid Table 1 Light - Accent 1111"/>
    <w:basedOn w:val="TableNormal"/>
    <w:uiPriority w:val="46"/>
    <w:rsid w:val="00C156A0"/>
    <w:rPr>
      <w:rFonts w:eastAsia="MS Mincho"/>
    </w:r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ListTable3-Accent1211">
    <w:name w:val="List Table 3 - Accent 1211"/>
    <w:basedOn w:val="TableNormal"/>
    <w:uiPriority w:val="48"/>
    <w:rsid w:val="00C156A0"/>
    <w:rPr>
      <w:rFonts w:eastAsia="MS Mincho"/>
      <w:sz w:val="22"/>
      <w:szCs w:val="22"/>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PlainTable12">
    <w:name w:val="Plain Table 12"/>
    <w:basedOn w:val="TableNormal"/>
    <w:next w:val="PlainTable1"/>
    <w:uiPriority w:val="41"/>
    <w:rsid w:val="00C156A0"/>
    <w:rPr>
      <w:rFonts w:eastAsia="MS Mincho"/>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3">
    <w:name w:val="Grid Table 1 Light - Accent 13"/>
    <w:basedOn w:val="TableNormal"/>
    <w:next w:val="GridTable1Light-Accent1"/>
    <w:uiPriority w:val="46"/>
    <w:rsid w:val="00C156A0"/>
    <w:rPr>
      <w:rFonts w:eastAsia="MS Mincho"/>
      <w:sz w:val="22"/>
      <w:szCs w:val="22"/>
      <w:lang w:val="sq-AL"/>
    </w:r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ListTable3-Accent1221">
    <w:name w:val="List Table 3 - Accent 1221"/>
    <w:basedOn w:val="TableNormal"/>
    <w:uiPriority w:val="48"/>
    <w:rsid w:val="00C156A0"/>
    <w:rPr>
      <w:rFonts w:eastAsia="MS Mincho"/>
      <w:sz w:val="22"/>
      <w:szCs w:val="22"/>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table" w:customStyle="1" w:styleId="TableGrid2">
    <w:name w:val="Table Grid2"/>
    <w:basedOn w:val="TableNormal"/>
    <w:next w:val="TableGrid"/>
    <w:uiPriority w:val="39"/>
    <w:rsid w:val="00C156A0"/>
    <w:rPr>
      <w:rFonts w:eastAsia="MS Minch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
    <w:uiPriority w:val="41"/>
    <w:rsid w:val="00C156A0"/>
    <w:rPr>
      <w:rFonts w:eastAsia="MS Mincho"/>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4">
    <w:name w:val="Grid Table 1 Light - Accent 14"/>
    <w:basedOn w:val="TableNormal"/>
    <w:next w:val="GridTable1Light-Accent1"/>
    <w:uiPriority w:val="46"/>
    <w:rsid w:val="00C156A0"/>
    <w:rPr>
      <w:rFonts w:eastAsia="MS Mincho"/>
      <w:kern w:val="2"/>
      <w14:ligatures w14:val="standardContextual"/>
    </w:r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C156A0"/>
    <w:rPr>
      <w:i/>
      <w:iCs/>
      <w:color w:val="0F6FC6" w:themeColor="accent1"/>
    </w:rPr>
  </w:style>
  <w:style w:type="paragraph" w:styleId="IntenseQuote">
    <w:name w:val="Intense Quote"/>
    <w:basedOn w:val="Normal"/>
    <w:next w:val="Normal"/>
    <w:link w:val="IntenseQuoteChar"/>
    <w:uiPriority w:val="30"/>
    <w:qFormat/>
    <w:rsid w:val="00C156A0"/>
    <w:pPr>
      <w:pBdr>
        <w:top w:val="single" w:sz="4" w:space="10" w:color="0F6FC6" w:themeColor="accent1"/>
        <w:bottom w:val="single" w:sz="4" w:space="10" w:color="0F6FC6" w:themeColor="accent1"/>
      </w:pBdr>
      <w:spacing w:before="360" w:after="360"/>
      <w:ind w:left="864" w:right="864"/>
      <w:jc w:val="center"/>
    </w:pPr>
    <w:rPr>
      <w:rFonts w:asciiTheme="minorHAnsi" w:eastAsiaTheme="minorEastAsia" w:hAnsiTheme="minorHAnsi" w:cstheme="minorBidi"/>
      <w:i/>
      <w:iCs/>
      <w:color w:val="0F4761"/>
      <w:sz w:val="24"/>
    </w:rPr>
  </w:style>
  <w:style w:type="character" w:customStyle="1" w:styleId="IntenseQuoteChar1">
    <w:name w:val="Intense Quote Char1"/>
    <w:basedOn w:val="DefaultParagraphFont"/>
    <w:uiPriority w:val="30"/>
    <w:rsid w:val="00C156A0"/>
    <w:rPr>
      <w:rFonts w:ascii="Calibri" w:eastAsia="Times New Roman" w:hAnsi="Calibri" w:cs="Times New Roman"/>
      <w:i/>
      <w:iCs/>
      <w:color w:val="0F6FC6" w:themeColor="accent1"/>
      <w:sz w:val="22"/>
    </w:rPr>
  </w:style>
  <w:style w:type="character" w:styleId="IntenseReference">
    <w:name w:val="Intense Reference"/>
    <w:basedOn w:val="DefaultParagraphFont"/>
    <w:uiPriority w:val="32"/>
    <w:qFormat/>
    <w:rsid w:val="00C156A0"/>
    <w:rPr>
      <w:b/>
      <w:bCs/>
      <w:smallCaps/>
      <w:color w:val="0F6FC6" w:themeColor="accent1"/>
      <w:spacing w:val="5"/>
    </w:rPr>
  </w:style>
  <w:style w:type="character" w:styleId="FollowedHyperlink">
    <w:name w:val="FollowedHyperlink"/>
    <w:basedOn w:val="DefaultParagraphFont"/>
    <w:uiPriority w:val="99"/>
    <w:semiHidden/>
    <w:unhideWhenUsed/>
    <w:rsid w:val="009C7207"/>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4292">
      <w:bodyDiv w:val="1"/>
      <w:marLeft w:val="0"/>
      <w:marRight w:val="0"/>
      <w:marTop w:val="0"/>
      <w:marBottom w:val="0"/>
      <w:divBdr>
        <w:top w:val="none" w:sz="0" w:space="0" w:color="auto"/>
        <w:left w:val="none" w:sz="0" w:space="0" w:color="auto"/>
        <w:bottom w:val="none" w:sz="0" w:space="0" w:color="auto"/>
        <w:right w:val="none" w:sz="0" w:space="0" w:color="auto"/>
      </w:divBdr>
    </w:div>
    <w:div w:id="34043638">
      <w:bodyDiv w:val="1"/>
      <w:marLeft w:val="0"/>
      <w:marRight w:val="0"/>
      <w:marTop w:val="0"/>
      <w:marBottom w:val="0"/>
      <w:divBdr>
        <w:top w:val="none" w:sz="0" w:space="0" w:color="auto"/>
        <w:left w:val="none" w:sz="0" w:space="0" w:color="auto"/>
        <w:bottom w:val="none" w:sz="0" w:space="0" w:color="auto"/>
        <w:right w:val="none" w:sz="0" w:space="0" w:color="auto"/>
      </w:divBdr>
    </w:div>
    <w:div w:id="44179278">
      <w:bodyDiv w:val="1"/>
      <w:marLeft w:val="0"/>
      <w:marRight w:val="0"/>
      <w:marTop w:val="0"/>
      <w:marBottom w:val="0"/>
      <w:divBdr>
        <w:top w:val="none" w:sz="0" w:space="0" w:color="auto"/>
        <w:left w:val="none" w:sz="0" w:space="0" w:color="auto"/>
        <w:bottom w:val="none" w:sz="0" w:space="0" w:color="auto"/>
        <w:right w:val="none" w:sz="0" w:space="0" w:color="auto"/>
      </w:divBdr>
    </w:div>
    <w:div w:id="65614817">
      <w:bodyDiv w:val="1"/>
      <w:marLeft w:val="0"/>
      <w:marRight w:val="0"/>
      <w:marTop w:val="0"/>
      <w:marBottom w:val="0"/>
      <w:divBdr>
        <w:top w:val="none" w:sz="0" w:space="0" w:color="auto"/>
        <w:left w:val="none" w:sz="0" w:space="0" w:color="auto"/>
        <w:bottom w:val="none" w:sz="0" w:space="0" w:color="auto"/>
        <w:right w:val="none" w:sz="0" w:space="0" w:color="auto"/>
      </w:divBdr>
      <w:divsChild>
        <w:div w:id="779449836">
          <w:marLeft w:val="0"/>
          <w:marRight w:val="0"/>
          <w:marTop w:val="0"/>
          <w:marBottom w:val="0"/>
          <w:divBdr>
            <w:top w:val="none" w:sz="0" w:space="0" w:color="auto"/>
            <w:left w:val="none" w:sz="0" w:space="0" w:color="auto"/>
            <w:bottom w:val="none" w:sz="0" w:space="0" w:color="auto"/>
            <w:right w:val="none" w:sz="0" w:space="0" w:color="auto"/>
          </w:divBdr>
          <w:divsChild>
            <w:div w:id="191966739">
              <w:marLeft w:val="0"/>
              <w:marRight w:val="0"/>
              <w:marTop w:val="0"/>
              <w:marBottom w:val="0"/>
              <w:divBdr>
                <w:top w:val="none" w:sz="0" w:space="0" w:color="auto"/>
                <w:left w:val="none" w:sz="0" w:space="0" w:color="auto"/>
                <w:bottom w:val="none" w:sz="0" w:space="0" w:color="auto"/>
                <w:right w:val="none" w:sz="0" w:space="0" w:color="auto"/>
              </w:divBdr>
              <w:divsChild>
                <w:div w:id="1778518440">
                  <w:marLeft w:val="0"/>
                  <w:marRight w:val="0"/>
                  <w:marTop w:val="0"/>
                  <w:marBottom w:val="0"/>
                  <w:divBdr>
                    <w:top w:val="none" w:sz="0" w:space="0" w:color="auto"/>
                    <w:left w:val="none" w:sz="0" w:space="0" w:color="auto"/>
                    <w:bottom w:val="none" w:sz="0" w:space="0" w:color="auto"/>
                    <w:right w:val="none" w:sz="0" w:space="0" w:color="auto"/>
                  </w:divBdr>
                  <w:divsChild>
                    <w:div w:id="58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58233444">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397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91">
          <w:marLeft w:val="0"/>
          <w:marRight w:val="0"/>
          <w:marTop w:val="0"/>
          <w:marBottom w:val="0"/>
          <w:divBdr>
            <w:top w:val="none" w:sz="0" w:space="0" w:color="auto"/>
            <w:left w:val="none" w:sz="0" w:space="0" w:color="auto"/>
            <w:bottom w:val="none" w:sz="0" w:space="0" w:color="auto"/>
            <w:right w:val="none" w:sz="0" w:space="0" w:color="auto"/>
          </w:divBdr>
          <w:divsChild>
            <w:div w:id="689457793">
              <w:marLeft w:val="0"/>
              <w:marRight w:val="0"/>
              <w:marTop w:val="0"/>
              <w:marBottom w:val="0"/>
              <w:divBdr>
                <w:top w:val="none" w:sz="0" w:space="0" w:color="auto"/>
                <w:left w:val="none" w:sz="0" w:space="0" w:color="auto"/>
                <w:bottom w:val="none" w:sz="0" w:space="0" w:color="auto"/>
                <w:right w:val="none" w:sz="0" w:space="0" w:color="auto"/>
              </w:divBdr>
              <w:divsChild>
                <w:div w:id="1040012098">
                  <w:marLeft w:val="0"/>
                  <w:marRight w:val="0"/>
                  <w:marTop w:val="0"/>
                  <w:marBottom w:val="0"/>
                  <w:divBdr>
                    <w:top w:val="none" w:sz="0" w:space="0" w:color="auto"/>
                    <w:left w:val="none" w:sz="0" w:space="0" w:color="auto"/>
                    <w:bottom w:val="none" w:sz="0" w:space="0" w:color="auto"/>
                    <w:right w:val="none" w:sz="0" w:space="0" w:color="auto"/>
                  </w:divBdr>
                  <w:divsChild>
                    <w:div w:id="16348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847">
      <w:bodyDiv w:val="1"/>
      <w:marLeft w:val="0"/>
      <w:marRight w:val="0"/>
      <w:marTop w:val="0"/>
      <w:marBottom w:val="0"/>
      <w:divBdr>
        <w:top w:val="none" w:sz="0" w:space="0" w:color="auto"/>
        <w:left w:val="none" w:sz="0" w:space="0" w:color="auto"/>
        <w:bottom w:val="none" w:sz="0" w:space="0" w:color="auto"/>
        <w:right w:val="none" w:sz="0" w:space="0" w:color="auto"/>
      </w:divBdr>
    </w:div>
    <w:div w:id="329910457">
      <w:bodyDiv w:val="1"/>
      <w:marLeft w:val="0"/>
      <w:marRight w:val="0"/>
      <w:marTop w:val="0"/>
      <w:marBottom w:val="0"/>
      <w:divBdr>
        <w:top w:val="none" w:sz="0" w:space="0" w:color="auto"/>
        <w:left w:val="none" w:sz="0" w:space="0" w:color="auto"/>
        <w:bottom w:val="none" w:sz="0" w:space="0" w:color="auto"/>
        <w:right w:val="none" w:sz="0" w:space="0" w:color="auto"/>
      </w:divBdr>
    </w:div>
    <w:div w:id="337659252">
      <w:bodyDiv w:val="1"/>
      <w:marLeft w:val="0"/>
      <w:marRight w:val="0"/>
      <w:marTop w:val="0"/>
      <w:marBottom w:val="0"/>
      <w:divBdr>
        <w:top w:val="none" w:sz="0" w:space="0" w:color="auto"/>
        <w:left w:val="none" w:sz="0" w:space="0" w:color="auto"/>
        <w:bottom w:val="none" w:sz="0" w:space="0" w:color="auto"/>
        <w:right w:val="none" w:sz="0" w:space="0" w:color="auto"/>
      </w:divBdr>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73714546">
      <w:bodyDiv w:val="1"/>
      <w:marLeft w:val="0"/>
      <w:marRight w:val="0"/>
      <w:marTop w:val="0"/>
      <w:marBottom w:val="0"/>
      <w:divBdr>
        <w:top w:val="none" w:sz="0" w:space="0" w:color="auto"/>
        <w:left w:val="none" w:sz="0" w:space="0" w:color="auto"/>
        <w:bottom w:val="none" w:sz="0" w:space="0" w:color="auto"/>
        <w:right w:val="none" w:sz="0" w:space="0" w:color="auto"/>
      </w:divBdr>
    </w:div>
    <w:div w:id="480580863">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26916608">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42599532">
      <w:bodyDiv w:val="1"/>
      <w:marLeft w:val="0"/>
      <w:marRight w:val="0"/>
      <w:marTop w:val="0"/>
      <w:marBottom w:val="0"/>
      <w:divBdr>
        <w:top w:val="none" w:sz="0" w:space="0" w:color="auto"/>
        <w:left w:val="none" w:sz="0" w:space="0" w:color="auto"/>
        <w:bottom w:val="none" w:sz="0" w:space="0" w:color="auto"/>
        <w:right w:val="none" w:sz="0" w:space="0" w:color="auto"/>
      </w:divBdr>
    </w:div>
    <w:div w:id="555435562">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2160">
      <w:bodyDiv w:val="1"/>
      <w:marLeft w:val="0"/>
      <w:marRight w:val="0"/>
      <w:marTop w:val="0"/>
      <w:marBottom w:val="0"/>
      <w:divBdr>
        <w:top w:val="none" w:sz="0" w:space="0" w:color="auto"/>
        <w:left w:val="none" w:sz="0" w:space="0" w:color="auto"/>
        <w:bottom w:val="none" w:sz="0" w:space="0" w:color="auto"/>
        <w:right w:val="none" w:sz="0" w:space="0" w:color="auto"/>
      </w:divBdr>
    </w:div>
    <w:div w:id="781844721">
      <w:bodyDiv w:val="1"/>
      <w:marLeft w:val="0"/>
      <w:marRight w:val="0"/>
      <w:marTop w:val="0"/>
      <w:marBottom w:val="0"/>
      <w:divBdr>
        <w:top w:val="none" w:sz="0" w:space="0" w:color="auto"/>
        <w:left w:val="none" w:sz="0" w:space="0" w:color="auto"/>
        <w:bottom w:val="none" w:sz="0" w:space="0" w:color="auto"/>
        <w:right w:val="none" w:sz="0" w:space="0" w:color="auto"/>
      </w:divBdr>
      <w:divsChild>
        <w:div w:id="216747255">
          <w:marLeft w:val="0"/>
          <w:marRight w:val="0"/>
          <w:marTop w:val="0"/>
          <w:marBottom w:val="0"/>
          <w:divBdr>
            <w:top w:val="none" w:sz="0" w:space="0" w:color="auto"/>
            <w:left w:val="none" w:sz="0" w:space="0" w:color="auto"/>
            <w:bottom w:val="none" w:sz="0" w:space="0" w:color="auto"/>
            <w:right w:val="none" w:sz="0" w:space="0" w:color="auto"/>
          </w:divBdr>
          <w:divsChild>
            <w:div w:id="675618461">
              <w:marLeft w:val="0"/>
              <w:marRight w:val="0"/>
              <w:marTop w:val="0"/>
              <w:marBottom w:val="0"/>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none" w:sz="0" w:space="0" w:color="auto"/>
                    <w:left w:val="none" w:sz="0" w:space="0" w:color="auto"/>
                    <w:bottom w:val="none" w:sz="0" w:space="0" w:color="auto"/>
                    <w:right w:val="none" w:sz="0" w:space="0" w:color="auto"/>
                  </w:divBdr>
                  <w:divsChild>
                    <w:div w:id="91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5127">
      <w:bodyDiv w:val="1"/>
      <w:marLeft w:val="0"/>
      <w:marRight w:val="0"/>
      <w:marTop w:val="0"/>
      <w:marBottom w:val="0"/>
      <w:divBdr>
        <w:top w:val="none" w:sz="0" w:space="0" w:color="auto"/>
        <w:left w:val="none" w:sz="0" w:space="0" w:color="auto"/>
        <w:bottom w:val="none" w:sz="0" w:space="0" w:color="auto"/>
        <w:right w:val="none" w:sz="0" w:space="0" w:color="auto"/>
      </w:divBdr>
      <w:divsChild>
        <w:div w:id="1943952672">
          <w:marLeft w:val="0"/>
          <w:marRight w:val="0"/>
          <w:marTop w:val="0"/>
          <w:marBottom w:val="0"/>
          <w:divBdr>
            <w:top w:val="none" w:sz="0" w:space="0" w:color="auto"/>
            <w:left w:val="none" w:sz="0" w:space="0" w:color="auto"/>
            <w:bottom w:val="none" w:sz="0" w:space="0" w:color="auto"/>
            <w:right w:val="none" w:sz="0" w:space="0" w:color="auto"/>
          </w:divBdr>
          <w:divsChild>
            <w:div w:id="505747527">
              <w:marLeft w:val="0"/>
              <w:marRight w:val="0"/>
              <w:marTop w:val="0"/>
              <w:marBottom w:val="0"/>
              <w:divBdr>
                <w:top w:val="none" w:sz="0" w:space="0" w:color="auto"/>
                <w:left w:val="none" w:sz="0" w:space="0" w:color="auto"/>
                <w:bottom w:val="none" w:sz="0" w:space="0" w:color="auto"/>
                <w:right w:val="none" w:sz="0" w:space="0" w:color="auto"/>
              </w:divBdr>
              <w:divsChild>
                <w:div w:id="1116169317">
                  <w:marLeft w:val="0"/>
                  <w:marRight w:val="0"/>
                  <w:marTop w:val="0"/>
                  <w:marBottom w:val="0"/>
                  <w:divBdr>
                    <w:top w:val="none" w:sz="0" w:space="0" w:color="auto"/>
                    <w:left w:val="none" w:sz="0" w:space="0" w:color="auto"/>
                    <w:bottom w:val="none" w:sz="0" w:space="0" w:color="auto"/>
                    <w:right w:val="none" w:sz="0" w:space="0" w:color="auto"/>
                  </w:divBdr>
                  <w:divsChild>
                    <w:div w:id="5494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895045236">
      <w:bodyDiv w:val="1"/>
      <w:marLeft w:val="0"/>
      <w:marRight w:val="0"/>
      <w:marTop w:val="0"/>
      <w:marBottom w:val="0"/>
      <w:divBdr>
        <w:top w:val="none" w:sz="0" w:space="0" w:color="auto"/>
        <w:left w:val="none" w:sz="0" w:space="0" w:color="auto"/>
        <w:bottom w:val="none" w:sz="0" w:space="0" w:color="auto"/>
        <w:right w:val="none" w:sz="0" w:space="0" w:color="auto"/>
      </w:divBdr>
    </w:div>
    <w:div w:id="925193213">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992560184">
      <w:bodyDiv w:val="1"/>
      <w:marLeft w:val="0"/>
      <w:marRight w:val="0"/>
      <w:marTop w:val="0"/>
      <w:marBottom w:val="0"/>
      <w:divBdr>
        <w:top w:val="none" w:sz="0" w:space="0" w:color="auto"/>
        <w:left w:val="none" w:sz="0" w:space="0" w:color="auto"/>
        <w:bottom w:val="none" w:sz="0" w:space="0" w:color="auto"/>
        <w:right w:val="none" w:sz="0" w:space="0" w:color="auto"/>
      </w:divBdr>
      <w:divsChild>
        <w:div w:id="1419593141">
          <w:marLeft w:val="0"/>
          <w:marRight w:val="0"/>
          <w:marTop w:val="0"/>
          <w:marBottom w:val="0"/>
          <w:divBdr>
            <w:top w:val="none" w:sz="0" w:space="0" w:color="auto"/>
            <w:left w:val="none" w:sz="0" w:space="0" w:color="auto"/>
            <w:bottom w:val="none" w:sz="0" w:space="0" w:color="auto"/>
            <w:right w:val="none" w:sz="0" w:space="0" w:color="auto"/>
          </w:divBdr>
          <w:divsChild>
            <w:div w:id="1922369525">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sChild>
                    <w:div w:id="4438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074813963">
      <w:bodyDiv w:val="1"/>
      <w:marLeft w:val="0"/>
      <w:marRight w:val="0"/>
      <w:marTop w:val="0"/>
      <w:marBottom w:val="0"/>
      <w:divBdr>
        <w:top w:val="none" w:sz="0" w:space="0" w:color="auto"/>
        <w:left w:val="none" w:sz="0" w:space="0" w:color="auto"/>
        <w:bottom w:val="none" w:sz="0" w:space="0" w:color="auto"/>
        <w:right w:val="none" w:sz="0" w:space="0" w:color="auto"/>
      </w:divBdr>
    </w:div>
    <w:div w:id="1095981576">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7610">
      <w:bodyDiv w:val="1"/>
      <w:marLeft w:val="0"/>
      <w:marRight w:val="0"/>
      <w:marTop w:val="0"/>
      <w:marBottom w:val="0"/>
      <w:divBdr>
        <w:top w:val="none" w:sz="0" w:space="0" w:color="auto"/>
        <w:left w:val="none" w:sz="0" w:space="0" w:color="auto"/>
        <w:bottom w:val="none" w:sz="0" w:space="0" w:color="auto"/>
        <w:right w:val="none" w:sz="0" w:space="0" w:color="auto"/>
      </w:divBdr>
    </w:div>
    <w:div w:id="1182352410">
      <w:bodyDiv w:val="1"/>
      <w:marLeft w:val="0"/>
      <w:marRight w:val="0"/>
      <w:marTop w:val="0"/>
      <w:marBottom w:val="0"/>
      <w:divBdr>
        <w:top w:val="none" w:sz="0" w:space="0" w:color="auto"/>
        <w:left w:val="none" w:sz="0" w:space="0" w:color="auto"/>
        <w:bottom w:val="none" w:sz="0" w:space="0" w:color="auto"/>
        <w:right w:val="none" w:sz="0" w:space="0" w:color="auto"/>
      </w:divBdr>
    </w:div>
    <w:div w:id="1253932084">
      <w:bodyDiv w:val="1"/>
      <w:marLeft w:val="0"/>
      <w:marRight w:val="0"/>
      <w:marTop w:val="0"/>
      <w:marBottom w:val="0"/>
      <w:divBdr>
        <w:top w:val="none" w:sz="0" w:space="0" w:color="auto"/>
        <w:left w:val="none" w:sz="0" w:space="0" w:color="auto"/>
        <w:bottom w:val="none" w:sz="0" w:space="0" w:color="auto"/>
        <w:right w:val="none" w:sz="0" w:space="0" w:color="auto"/>
      </w:divBdr>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27402035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381441450">
      <w:bodyDiv w:val="1"/>
      <w:marLeft w:val="0"/>
      <w:marRight w:val="0"/>
      <w:marTop w:val="0"/>
      <w:marBottom w:val="0"/>
      <w:divBdr>
        <w:top w:val="none" w:sz="0" w:space="0" w:color="auto"/>
        <w:left w:val="none" w:sz="0" w:space="0" w:color="auto"/>
        <w:bottom w:val="none" w:sz="0" w:space="0" w:color="auto"/>
        <w:right w:val="none" w:sz="0" w:space="0" w:color="auto"/>
      </w:divBdr>
    </w:div>
    <w:div w:id="1423061299">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588155935">
      <w:bodyDiv w:val="1"/>
      <w:marLeft w:val="0"/>
      <w:marRight w:val="0"/>
      <w:marTop w:val="0"/>
      <w:marBottom w:val="0"/>
      <w:divBdr>
        <w:top w:val="none" w:sz="0" w:space="0" w:color="auto"/>
        <w:left w:val="none" w:sz="0" w:space="0" w:color="auto"/>
        <w:bottom w:val="none" w:sz="0" w:space="0" w:color="auto"/>
        <w:right w:val="none" w:sz="0" w:space="0" w:color="auto"/>
      </w:divBdr>
      <w:divsChild>
        <w:div w:id="815993753">
          <w:marLeft w:val="0"/>
          <w:marRight w:val="0"/>
          <w:marTop w:val="0"/>
          <w:marBottom w:val="0"/>
          <w:divBdr>
            <w:top w:val="none" w:sz="0" w:space="0" w:color="auto"/>
            <w:left w:val="none" w:sz="0" w:space="0" w:color="auto"/>
            <w:bottom w:val="none" w:sz="0" w:space="0" w:color="auto"/>
            <w:right w:val="none" w:sz="0" w:space="0" w:color="auto"/>
          </w:divBdr>
          <w:divsChild>
            <w:div w:id="397939941">
              <w:marLeft w:val="0"/>
              <w:marRight w:val="0"/>
              <w:marTop w:val="0"/>
              <w:marBottom w:val="0"/>
              <w:divBdr>
                <w:top w:val="none" w:sz="0" w:space="0" w:color="auto"/>
                <w:left w:val="none" w:sz="0" w:space="0" w:color="auto"/>
                <w:bottom w:val="none" w:sz="0" w:space="0" w:color="auto"/>
                <w:right w:val="none" w:sz="0" w:space="0" w:color="auto"/>
              </w:divBdr>
              <w:divsChild>
                <w:div w:id="2040158081">
                  <w:marLeft w:val="0"/>
                  <w:marRight w:val="0"/>
                  <w:marTop w:val="0"/>
                  <w:marBottom w:val="0"/>
                  <w:divBdr>
                    <w:top w:val="none" w:sz="0" w:space="0" w:color="auto"/>
                    <w:left w:val="none" w:sz="0" w:space="0" w:color="auto"/>
                    <w:bottom w:val="none" w:sz="0" w:space="0" w:color="auto"/>
                    <w:right w:val="none" w:sz="0" w:space="0" w:color="auto"/>
                  </w:divBdr>
                  <w:divsChild>
                    <w:div w:id="14398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613252147">
          <w:marLeft w:val="547"/>
          <w:marRight w:val="0"/>
          <w:marTop w:val="0"/>
          <w:marBottom w:val="0"/>
          <w:divBdr>
            <w:top w:val="none" w:sz="0" w:space="0" w:color="auto"/>
            <w:left w:val="none" w:sz="0" w:space="0" w:color="auto"/>
            <w:bottom w:val="none" w:sz="0" w:space="0" w:color="auto"/>
            <w:right w:val="none" w:sz="0" w:space="0" w:color="auto"/>
          </w:divBdr>
        </w:div>
        <w:div w:id="1025131616">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09334021">
      <w:bodyDiv w:val="1"/>
      <w:marLeft w:val="0"/>
      <w:marRight w:val="0"/>
      <w:marTop w:val="0"/>
      <w:marBottom w:val="0"/>
      <w:divBdr>
        <w:top w:val="none" w:sz="0" w:space="0" w:color="auto"/>
        <w:left w:val="none" w:sz="0" w:space="0" w:color="auto"/>
        <w:bottom w:val="none" w:sz="0" w:space="0" w:color="auto"/>
        <w:right w:val="none" w:sz="0" w:space="0" w:color="auto"/>
      </w:divBdr>
    </w:div>
    <w:div w:id="1740245640">
      <w:bodyDiv w:val="1"/>
      <w:marLeft w:val="0"/>
      <w:marRight w:val="0"/>
      <w:marTop w:val="0"/>
      <w:marBottom w:val="0"/>
      <w:divBdr>
        <w:top w:val="none" w:sz="0" w:space="0" w:color="auto"/>
        <w:left w:val="none" w:sz="0" w:space="0" w:color="auto"/>
        <w:bottom w:val="none" w:sz="0" w:space="0" w:color="auto"/>
        <w:right w:val="none" w:sz="0" w:space="0" w:color="auto"/>
      </w:divBdr>
      <w:divsChild>
        <w:div w:id="828521419">
          <w:marLeft w:val="0"/>
          <w:marRight w:val="0"/>
          <w:marTop w:val="0"/>
          <w:marBottom w:val="0"/>
          <w:divBdr>
            <w:top w:val="none" w:sz="0" w:space="0" w:color="auto"/>
            <w:left w:val="none" w:sz="0" w:space="0" w:color="auto"/>
            <w:bottom w:val="none" w:sz="0" w:space="0" w:color="auto"/>
            <w:right w:val="none" w:sz="0" w:space="0" w:color="auto"/>
          </w:divBdr>
          <w:divsChild>
            <w:div w:id="1935823472">
              <w:marLeft w:val="0"/>
              <w:marRight w:val="0"/>
              <w:marTop w:val="0"/>
              <w:marBottom w:val="0"/>
              <w:divBdr>
                <w:top w:val="none" w:sz="0" w:space="0" w:color="auto"/>
                <w:left w:val="none" w:sz="0" w:space="0" w:color="auto"/>
                <w:bottom w:val="none" w:sz="0" w:space="0" w:color="auto"/>
                <w:right w:val="none" w:sz="0" w:space="0" w:color="auto"/>
              </w:divBdr>
              <w:divsChild>
                <w:div w:id="1773012365">
                  <w:marLeft w:val="0"/>
                  <w:marRight w:val="0"/>
                  <w:marTop w:val="0"/>
                  <w:marBottom w:val="0"/>
                  <w:divBdr>
                    <w:top w:val="none" w:sz="0" w:space="0" w:color="auto"/>
                    <w:left w:val="none" w:sz="0" w:space="0" w:color="auto"/>
                    <w:bottom w:val="none" w:sz="0" w:space="0" w:color="auto"/>
                    <w:right w:val="none" w:sz="0" w:space="0" w:color="auto"/>
                  </w:divBdr>
                  <w:divsChild>
                    <w:div w:id="6070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3752">
      <w:bodyDiv w:val="1"/>
      <w:marLeft w:val="0"/>
      <w:marRight w:val="0"/>
      <w:marTop w:val="0"/>
      <w:marBottom w:val="0"/>
      <w:divBdr>
        <w:top w:val="none" w:sz="0" w:space="0" w:color="auto"/>
        <w:left w:val="none" w:sz="0" w:space="0" w:color="auto"/>
        <w:bottom w:val="none" w:sz="0" w:space="0" w:color="auto"/>
        <w:right w:val="none" w:sz="0" w:space="0" w:color="auto"/>
      </w:divBdr>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45384502">
      <w:bodyDiv w:val="1"/>
      <w:marLeft w:val="0"/>
      <w:marRight w:val="0"/>
      <w:marTop w:val="0"/>
      <w:marBottom w:val="0"/>
      <w:divBdr>
        <w:top w:val="none" w:sz="0" w:space="0" w:color="auto"/>
        <w:left w:val="none" w:sz="0" w:space="0" w:color="auto"/>
        <w:bottom w:val="none" w:sz="0" w:space="0" w:color="auto"/>
        <w:right w:val="none" w:sz="0" w:space="0" w:color="auto"/>
      </w:divBdr>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055110159">
      <w:bodyDiv w:val="1"/>
      <w:marLeft w:val="0"/>
      <w:marRight w:val="0"/>
      <w:marTop w:val="0"/>
      <w:marBottom w:val="0"/>
      <w:divBdr>
        <w:top w:val="none" w:sz="0" w:space="0" w:color="auto"/>
        <w:left w:val="none" w:sz="0" w:space="0" w:color="auto"/>
        <w:bottom w:val="none" w:sz="0" w:space="0" w:color="auto"/>
        <w:right w:val="none" w:sz="0" w:space="0" w:color="auto"/>
      </w:divBdr>
    </w:div>
    <w:div w:id="2068650881">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8.xml"/><Relationship Id="rId42" Type="http://schemas.openxmlformats.org/officeDocument/2006/relationships/chart" Target="charts/chart15.xml"/><Relationship Id="rId47" Type="http://schemas.openxmlformats.org/officeDocument/2006/relationships/image" Target="media/image18.png"/><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image" Target="media/image24.png"/><Relationship Id="rId58" Type="http://schemas.openxmlformats.org/officeDocument/2006/relationships/image" Target="media/image29.emf"/><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chart" Target="charts/chart16.xml"/><Relationship Id="rId48" Type="http://schemas.openxmlformats.org/officeDocument/2006/relationships/image" Target="media/image19.png"/><Relationship Id="rId56" Type="http://schemas.openxmlformats.org/officeDocument/2006/relationships/image" Target="media/image27.emf"/><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chart" Target="charts/chart11.xml"/><Relationship Id="rId46" Type="http://schemas.openxmlformats.org/officeDocument/2006/relationships/image" Target="media/image17.png"/><Relationship Id="rId59" Type="http://schemas.openxmlformats.org/officeDocument/2006/relationships/image" Target="media/image30.emf"/><Relationship Id="rId67" Type="http://schemas.openxmlformats.org/officeDocument/2006/relationships/footer" Target="footer5.xml"/><Relationship Id="rId20" Type="http://schemas.openxmlformats.org/officeDocument/2006/relationships/chart" Target="charts/chart7.xml"/><Relationship Id="rId41" Type="http://schemas.openxmlformats.org/officeDocument/2006/relationships/chart" Target="charts/chart14.xml"/><Relationship Id="rId54" Type="http://schemas.openxmlformats.org/officeDocument/2006/relationships/image" Target="media/image25.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image" Target="media/image20.png"/><Relationship Id="rId57" Type="http://schemas.openxmlformats.org/officeDocument/2006/relationships/image" Target="media/image28.emf"/><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chart" Target="charts/chart17.xml"/><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chart" Target="charts/chart5.xml"/><Relationship Id="rId39" Type="http://schemas.openxmlformats.org/officeDocument/2006/relationships/chart" Target="charts/chart12.xm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s://www.imf.org/-/media/files/publications/weo/2025/october/english/tex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Chart%202%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rdita.xhyheri\Desktop\ardita.xhyheri\Desktop\viti%202026\raporte%202025\Analiza%20faktikut%202025.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dita.xhyheri\Desktop\ardita.xhyheri\Desktop\viti%202026\raporte%202025\Analiza%20faktikut%202025.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rdita.xhyheri\Desktop\ardita.xhyheri\Desktop\viti%202026\raporte%202025\Analiza%20faktikut%202025.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dita.xhyheri\Desktop\ardita.xhyheri\Desktop\viti%202026\raporte%202025\Analiza%20faktikut%20202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dita.xhyheri\Desktop\ardita.xhyheri\Desktop\viti%202026\raporte%202025\Analiza%20vjetore%202025\Copy%20of%20Database%20of%20Local%20Government%20Fiscal%20Indicators%20202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rdita.xhyheri\Desktop\ardita.xhyheri\Desktop\viti%202026\raporte%202025\Analiza%20faktikut%202025.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rdita.xhyheri\Desktop\ardita.xhyheri\Desktop\viti%202026\raporte%202025\Analiza%20faktikut%202025.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rdita.xhyheri\Desktop\ardita.xhyheri\Desktop\viti%202026\raporte%202025\Analiza%20faktikut%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2%20in%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oleObject" Target="file:///C:\Users\ardita.xhyheri\Desktop\ardita.xhyheri\Desktop\viti%202026\raporte%202025\Analiza%20faktikut%20202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dita.xhyheri\Desktop\ardita.xhyheri\Desktop\viti%202026\raporte%202025\Analiza%20faktikut%202025.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Word]Sheet1'!$C$6</c:f>
              <c:strCache>
                <c:ptCount val="1"/>
                <c:pt idx="0">
                  <c:v>Te ardhurat totale</c:v>
                </c:pt>
              </c:strCache>
            </c:strRef>
          </c:tx>
          <c:spPr>
            <a:solidFill>
              <a:schemeClr val="accent5">
                <a:shade val="76000"/>
              </a:schemeClr>
            </a:solidFill>
            <a:ln>
              <a:noFill/>
            </a:ln>
            <a:effectLst/>
          </c:spPr>
          <c:invertIfNegative val="0"/>
          <c:cat>
            <c:numRef>
              <c:f>'[Chart in Microsoft Word]Sheet1'!$D$5:$O$5</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in Microsoft Word]Sheet1'!$D$6:$O$6</c:f>
              <c:numCache>
                <c:formatCode>General</c:formatCode>
                <c:ptCount val="12"/>
                <c:pt idx="0">
                  <c:v>366.721</c:v>
                </c:pt>
                <c:pt idx="1">
                  <c:v>379.20600000000002</c:v>
                </c:pt>
                <c:pt idx="2">
                  <c:v>407.02100000000002</c:v>
                </c:pt>
                <c:pt idx="3">
                  <c:v>430.39720000000005</c:v>
                </c:pt>
                <c:pt idx="4">
                  <c:v>449.90942999999999</c:v>
                </c:pt>
                <c:pt idx="5">
                  <c:v>460.34869000000003</c:v>
                </c:pt>
                <c:pt idx="6">
                  <c:v>425.90477999999996</c:v>
                </c:pt>
                <c:pt idx="7">
                  <c:v>510.95098999999993</c:v>
                </c:pt>
                <c:pt idx="8">
                  <c:v>572.78965999999991</c:v>
                </c:pt>
                <c:pt idx="9">
                  <c:v>643.67761999999993</c:v>
                </c:pt>
                <c:pt idx="10">
                  <c:v>710.5873600000001</c:v>
                </c:pt>
                <c:pt idx="11">
                  <c:v>754.60754999999995</c:v>
                </c:pt>
              </c:numCache>
            </c:numRef>
          </c:val>
          <c:extLst>
            <c:ext xmlns:c16="http://schemas.microsoft.com/office/drawing/2014/chart" uri="{C3380CC4-5D6E-409C-BE32-E72D297353CC}">
              <c16:uniqueId val="{00000000-E497-4934-8E9D-1D7E80F487AC}"/>
            </c:ext>
          </c:extLst>
        </c:ser>
        <c:dLbls>
          <c:showLegendKey val="0"/>
          <c:showVal val="0"/>
          <c:showCatName val="0"/>
          <c:showSerName val="0"/>
          <c:showPercent val="0"/>
          <c:showBubbleSize val="0"/>
        </c:dLbls>
        <c:gapWidth val="219"/>
        <c:overlap val="-27"/>
        <c:axId val="1216508079"/>
        <c:axId val="1216518479"/>
      </c:barChart>
      <c:lineChart>
        <c:grouping val="standard"/>
        <c:varyColors val="0"/>
        <c:ser>
          <c:idx val="1"/>
          <c:order val="1"/>
          <c:tx>
            <c:strRef>
              <c:f>'[Chart in Microsoft Word]Sheet1'!$C$7</c:f>
              <c:strCache>
                <c:ptCount val="1"/>
                <c:pt idx="0">
                  <c:v>ne % ndaj PBB</c:v>
                </c:pt>
              </c:strCache>
            </c:strRef>
          </c:tx>
          <c:spPr>
            <a:ln w="28575" cap="rnd">
              <a:solidFill>
                <a:schemeClr val="accent5">
                  <a:tint val="77000"/>
                </a:schemeClr>
              </a:solidFill>
              <a:round/>
            </a:ln>
            <a:effectLst/>
          </c:spPr>
          <c:marker>
            <c:symbol val="none"/>
          </c:marker>
          <c:dLbls>
            <c:dLbl>
              <c:idx val="0"/>
              <c:layout>
                <c:manualLayout>
                  <c:x val="-4.699171909129795E-2"/>
                  <c:y val="-0.141485126859142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97-4934-8E9D-1D7E80F487AC}"/>
                </c:ext>
              </c:extLst>
            </c:dLbl>
            <c:dLbl>
              <c:idx val="1"/>
              <c:layout>
                <c:manualLayout>
                  <c:x val="-4.6991719091297984E-2"/>
                  <c:y val="2.9811169437153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97-4934-8E9D-1D7E80F487AC}"/>
                </c:ext>
              </c:extLst>
            </c:dLbl>
            <c:dLbl>
              <c:idx val="2"/>
              <c:layout>
                <c:manualLayout>
                  <c:x val="-4.6991719091297963E-2"/>
                  <c:y val="3.444079906678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97-4934-8E9D-1D7E80F487AC}"/>
                </c:ext>
              </c:extLst>
            </c:dLbl>
            <c:dLbl>
              <c:idx val="3"/>
              <c:layout>
                <c:manualLayout>
                  <c:x val="-5.5493312191663841E-2"/>
                  <c:y val="0.113144502770487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97-4934-8E9D-1D7E80F487AC}"/>
                </c:ext>
              </c:extLst>
            </c:dLbl>
            <c:dLbl>
              <c:idx val="4"/>
              <c:layout>
                <c:manualLayout>
                  <c:x val="-5.5493312191663841E-2"/>
                  <c:y val="9.4625984251968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97-4934-8E9D-1D7E80F487AC}"/>
                </c:ext>
              </c:extLst>
            </c:dLbl>
            <c:dLbl>
              <c:idx val="5"/>
              <c:layout>
                <c:manualLayout>
                  <c:x val="-4.6991719091297963E-2"/>
                  <c:y val="6.6848206474190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97-4934-8E9D-1D7E80F487AC}"/>
                </c:ext>
              </c:extLst>
            </c:dLbl>
            <c:dLbl>
              <c:idx val="6"/>
              <c:layout>
                <c:manualLayout>
                  <c:x val="-4.6991719091298068E-2"/>
                  <c:y val="-3.5003645377661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97-4934-8E9D-1D7E80F487AC}"/>
                </c:ext>
              </c:extLst>
            </c:dLbl>
            <c:dLbl>
              <c:idx val="7"/>
              <c:layout>
                <c:manualLayout>
                  <c:x val="-4.6991719091298068E-2"/>
                  <c:y val="-8.5929571303587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97-4934-8E9D-1D7E80F487AC}"/>
                </c:ext>
              </c:extLst>
            </c:dLbl>
            <c:dLbl>
              <c:idx val="9"/>
              <c:layout>
                <c:manualLayout>
                  <c:x val="-4.6991719091298068E-2"/>
                  <c:y val="-0.13685549722951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97-4934-8E9D-1D7E80F487AC}"/>
                </c:ext>
              </c:extLst>
            </c:dLbl>
            <c:spPr>
              <a:noFill/>
              <a:ln>
                <a:noFill/>
              </a:ln>
              <a:effectLst/>
            </c:spPr>
            <c:txPr>
              <a:bodyPr rot="0" spcFirstLastPara="1" vertOverflow="ellipsis" vert="horz" wrap="square" lIns="38100" tIns="19050" rIns="38100" bIns="45720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in Microsoft Word]Sheet1'!$D$5:$O$5</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in Microsoft Word]Sheet1'!$D$7:$O$7</c:f>
              <c:numCache>
                <c:formatCode>0.0%</c:formatCode>
                <c:ptCount val="12"/>
                <c:pt idx="0">
                  <c:v>0.26147737594421833</c:v>
                </c:pt>
                <c:pt idx="1">
                  <c:v>0.26246226489805891</c:v>
                </c:pt>
                <c:pt idx="2">
                  <c:v>0.27347987102521554</c:v>
                </c:pt>
                <c:pt idx="3">
                  <c:v>0.27256617703165514</c:v>
                </c:pt>
                <c:pt idx="4">
                  <c:v>0.27089588600082631</c:v>
                </c:pt>
                <c:pt idx="5">
                  <c:v>0.26888948926540573</c:v>
                </c:pt>
                <c:pt idx="6">
                  <c:v>0.2571912918626742</c:v>
                </c:pt>
                <c:pt idx="7">
                  <c:v>0.2737230051019523</c:v>
                </c:pt>
                <c:pt idx="8">
                  <c:v>0.26644579858745449</c:v>
                </c:pt>
                <c:pt idx="9">
                  <c:v>0.27225150833510242</c:v>
                </c:pt>
                <c:pt idx="10">
                  <c:v>0.28222328689115483</c:v>
                </c:pt>
                <c:pt idx="11">
                  <c:v>0.28465122463683379</c:v>
                </c:pt>
              </c:numCache>
            </c:numRef>
          </c:val>
          <c:smooth val="0"/>
          <c:extLst>
            <c:ext xmlns:c16="http://schemas.microsoft.com/office/drawing/2014/chart" uri="{C3380CC4-5D6E-409C-BE32-E72D297353CC}">
              <c16:uniqueId val="{0000000A-E497-4934-8E9D-1D7E80F487AC}"/>
            </c:ext>
          </c:extLst>
        </c:ser>
        <c:dLbls>
          <c:showLegendKey val="0"/>
          <c:showVal val="0"/>
          <c:showCatName val="0"/>
          <c:showSerName val="0"/>
          <c:showPercent val="0"/>
          <c:showBubbleSize val="0"/>
        </c:dLbls>
        <c:marker val="1"/>
        <c:smooth val="0"/>
        <c:axId val="1216515567"/>
        <c:axId val="1216511823"/>
      </c:lineChart>
      <c:catAx>
        <c:axId val="121650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518479"/>
        <c:crosses val="autoZero"/>
        <c:auto val="1"/>
        <c:lblAlgn val="ctr"/>
        <c:lblOffset val="100"/>
        <c:noMultiLvlLbl val="0"/>
      </c:catAx>
      <c:valAx>
        <c:axId val="121651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508079"/>
        <c:crosses val="autoZero"/>
        <c:crossBetween val="between"/>
      </c:valAx>
      <c:valAx>
        <c:axId val="1216511823"/>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515567"/>
        <c:crosses val="max"/>
        <c:crossBetween val="between"/>
      </c:valAx>
      <c:catAx>
        <c:axId val="1216515567"/>
        <c:scaling>
          <c:orientation val="minMax"/>
        </c:scaling>
        <c:delete val="1"/>
        <c:axPos val="b"/>
        <c:numFmt formatCode="General" sourceLinked="1"/>
        <c:majorTickMark val="out"/>
        <c:minorTickMark val="none"/>
        <c:tickLblPos val="nextTo"/>
        <c:crossAx val="121651182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97F-4227-B1F0-EFC57E33A5F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97F-4227-B1F0-EFC57E33A5F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97F-4227-B1F0-EFC57E33A5F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97F-4227-B1F0-EFC57E33A5F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97F-4227-B1F0-EFC57E33A5F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97F-4227-B1F0-EFC57E33A5F4}"/>
              </c:ext>
            </c:extLst>
          </c:dPt>
          <c:dLbls>
            <c:dLbl>
              <c:idx val="0"/>
              <c:tx>
                <c:rich>
                  <a:bodyPr/>
                  <a:lstStyle/>
                  <a:p>
                    <a:r>
                      <a:rPr lang="en-US" baseline="0"/>
                      <a:t> </a:t>
                    </a:r>
                    <a:fld id="{7E4AD66E-19A1-428E-AC86-A7D3DDC0EF64}" type="VALUE">
                      <a:rPr lang="en-US" baseline="0"/>
                      <a:pPr/>
                      <a:t>[VALUE]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7F-4227-B1F0-EFC57E33A5F4}"/>
                </c:ext>
              </c:extLst>
            </c:dLbl>
            <c:dLbl>
              <c:idx val="1"/>
              <c:tx>
                <c:rich>
                  <a:bodyPr/>
                  <a:lstStyle/>
                  <a:p>
                    <a:fld id="{58DD618F-0B04-4518-A063-B144F52446F2}" type="VALUE">
                      <a:rPr lang="en-US" baseline="0"/>
                      <a:pPr/>
                      <a:t>[VALUE]</a:t>
                    </a:fld>
                    <a:endParaRPr lang="en-US"/>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7F-4227-B1F0-EFC57E33A5F4}"/>
                </c:ext>
              </c:extLst>
            </c:dLbl>
            <c:dLbl>
              <c:idx val="2"/>
              <c:tx>
                <c:rich>
                  <a:bodyPr/>
                  <a:lstStyle/>
                  <a:p>
                    <a:r>
                      <a:rPr lang="en-US" baseline="0"/>
                      <a:t> </a:t>
                    </a:r>
                    <a:fld id="{88B5C6CC-3C72-49BA-A0C5-54DB4CDF773A}" type="VALUE">
                      <a:rPr lang="en-US" baseline="0"/>
                      <a:pPr/>
                      <a:t>[VALUE]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7F-4227-B1F0-EFC57E33A5F4}"/>
                </c:ext>
              </c:extLst>
            </c:dLbl>
            <c:dLbl>
              <c:idx val="3"/>
              <c:tx>
                <c:rich>
                  <a:bodyPr/>
                  <a:lstStyle/>
                  <a:p>
                    <a:fld id="{CF902F14-E95D-404B-AE41-F4A06C0EE5B1}" type="VALUE">
                      <a:rPr lang="en-US" baseline="0"/>
                      <a:pPr/>
                      <a:t>[VALUE]</a:t>
                    </a:fld>
                    <a:endParaRPr lang="en-US"/>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7F-4227-B1F0-EFC57E33A5F4}"/>
                </c:ext>
              </c:extLst>
            </c:dLbl>
            <c:dLbl>
              <c:idx val="4"/>
              <c:tx>
                <c:rich>
                  <a:bodyPr/>
                  <a:lstStyle/>
                  <a:p>
                    <a:fld id="{C4F40F0D-D6D1-40FD-B63E-E8ED6780D9AC}" type="VALUE">
                      <a:rPr lang="en-US" baseline="0"/>
                      <a:pPr/>
                      <a:t>[VALUE]</a:t>
                    </a:fld>
                    <a:endParaRPr lang="en-US"/>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7F-4227-B1F0-EFC57E33A5F4}"/>
                </c:ext>
              </c:extLst>
            </c:dLbl>
            <c:dLbl>
              <c:idx val="5"/>
              <c:tx>
                <c:rich>
                  <a:bodyPr/>
                  <a:lstStyle/>
                  <a:p>
                    <a:fld id="{00677199-CE98-4D53-9DA8-E21912C8CABA}" type="VALUE">
                      <a:rPr lang="en-US" baseline="0"/>
                      <a:pPr/>
                      <a:t>[VALUE]</a:t>
                    </a:fld>
                    <a:endParaRPr lang="en-US"/>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97F-4227-B1F0-EFC57E33A5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'[Chart 2 in Microsoft Word]Sheet1'!$C$187:$C$192</c:f>
              <c:strCache>
                <c:ptCount val="6"/>
                <c:pt idx="0">
                  <c:v>Tatimi mbi vlerën e shtuar</c:v>
                </c:pt>
                <c:pt idx="1">
                  <c:v>Tatimi mbi fitimin</c:v>
                </c:pt>
                <c:pt idx="2">
                  <c:v>Akcizat</c:v>
                </c:pt>
                <c:pt idx="3">
                  <c:v>Tatimi mbi të ardhurat personale</c:v>
                </c:pt>
                <c:pt idx="4">
                  <c:v>Taksa nacionale dhe të tjera</c:v>
                </c:pt>
                <c:pt idx="5">
                  <c:v>Taksa doganore</c:v>
                </c:pt>
              </c:strCache>
            </c:strRef>
          </c:cat>
          <c:val>
            <c:numRef>
              <c:f>'[Chart 2 in Microsoft Word]Sheet1'!$D$187:$D$192</c:f>
              <c:numCache>
                <c:formatCode>0.0%</c:formatCode>
                <c:ptCount val="6"/>
                <c:pt idx="0">
                  <c:v>0.45798083268099127</c:v>
                </c:pt>
                <c:pt idx="1">
                  <c:v>0.11798427668424907</c:v>
                </c:pt>
                <c:pt idx="2">
                  <c:v>0.14025762716236401</c:v>
                </c:pt>
                <c:pt idx="3">
                  <c:v>0.16631958274560413</c:v>
                </c:pt>
                <c:pt idx="4">
                  <c:v>9.834060104003256E-2</c:v>
                </c:pt>
                <c:pt idx="5">
                  <c:v>1.9117079686758937E-2</c:v>
                </c:pt>
              </c:numCache>
            </c:numRef>
          </c:val>
          <c:extLst>
            <c:ext xmlns:c16="http://schemas.microsoft.com/office/drawing/2014/chart" uri="{C3380CC4-5D6E-409C-BE32-E72D297353CC}">
              <c16:uniqueId val="{0000000C-497F-4227-B1F0-EFC57E33A5F4}"/>
            </c:ext>
          </c:extLst>
        </c:ser>
        <c:dLbls>
          <c:dLblPos val="ctr"/>
          <c:showLegendKey val="0"/>
          <c:showVal val="0"/>
          <c:showCatName val="1"/>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42117542324747E-2"/>
          <c:y val="3.6817731116943718E-2"/>
          <c:w val="0.8672993332806207"/>
          <c:h val="0.69723009623797028"/>
        </c:manualLayout>
      </c:layout>
      <c:barChart>
        <c:barDir val="col"/>
        <c:grouping val="clustered"/>
        <c:varyColors val="0"/>
        <c:ser>
          <c:idx val="1"/>
          <c:order val="0"/>
          <c:tx>
            <c:strRef>
              <c:f>'transf pakushtezuar'!$B$3:$B$4</c:f>
              <c:strCache>
                <c:ptCount val="1"/>
                <c:pt idx="0">
                  <c:v>Transferta e pakushtëzuar e përgjithshme</c:v>
                </c:pt>
              </c:strCache>
            </c:strRef>
          </c:tx>
          <c:spPr>
            <a:solidFill>
              <a:srgbClr val="5B9BD5"/>
            </a:solidFill>
            <a:ln>
              <a:noFill/>
            </a:ln>
          </c:spPr>
          <c:invertIfNegative val="0"/>
          <c:dLbls>
            <c:numFmt formatCode="#,##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'transf pakushtezuar'!$I$3:$S$3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'transf pakushtezuar'!$I$4:$S$4</c:f>
              <c:numCache>
                <c:formatCode>#,##0</c:formatCode>
                <c:ptCount val="11"/>
                <c:pt idx="0">
                  <c:v>13535</c:v>
                </c:pt>
                <c:pt idx="1">
                  <c:v>14300</c:v>
                </c:pt>
                <c:pt idx="2">
                  <c:v>15635</c:v>
                </c:pt>
                <c:pt idx="3">
                  <c:v>16580</c:v>
                </c:pt>
                <c:pt idx="4">
                  <c:v>17632</c:v>
                </c:pt>
                <c:pt idx="5">
                  <c:v>18270</c:v>
                </c:pt>
                <c:pt idx="6">
                  <c:v>18480</c:v>
                </c:pt>
                <c:pt idx="7">
                  <c:v>18733</c:v>
                </c:pt>
                <c:pt idx="8">
                  <c:v>23981</c:v>
                </c:pt>
                <c:pt idx="9">
                  <c:v>25773</c:v>
                </c:pt>
                <c:pt idx="10">
                  <c:v>27482</c:v>
                </c:pt>
              </c:numCache>
            </c:numRef>
          </c:val>
          <c:extLst>
            <c:ext xmlns:c16="http://schemas.microsoft.com/office/drawing/2014/chart" uri="{C3380CC4-5D6E-409C-BE32-E72D297353CC}">
              <c16:uniqueId val="{00000000-40E8-4D94-9904-15B8AD5CDF84}"/>
            </c:ext>
          </c:extLst>
        </c:ser>
        <c:dLbls>
          <c:showLegendKey val="0"/>
          <c:showVal val="0"/>
          <c:showCatName val="0"/>
          <c:showSerName val="0"/>
          <c:showPercent val="0"/>
          <c:showBubbleSize val="0"/>
        </c:dLbls>
        <c:gapWidth val="60"/>
        <c:axId val="-1795017888"/>
        <c:axId val="-1795023872"/>
      </c:barChart>
      <c:lineChart>
        <c:grouping val="standard"/>
        <c:varyColors val="0"/>
        <c:ser>
          <c:idx val="0"/>
          <c:order val="1"/>
          <c:tx>
            <c:strRef>
              <c:f>'transf pakushtezuar'!$B$5</c:f>
              <c:strCache>
                <c:ptCount val="1"/>
                <c:pt idx="0">
                  <c:v>Ritmi i ndryshimit</c:v>
                </c:pt>
              </c:strCache>
            </c:strRef>
          </c:tx>
          <c:spPr>
            <a:ln w="31750">
              <a:solidFill>
                <a:srgbClr val="C00000"/>
              </a:solidFill>
            </a:ln>
          </c:spPr>
          <c:marker>
            <c:symbol val="square"/>
            <c:size val="5"/>
            <c:spPr>
              <a:solidFill>
                <a:srgbClr val="0070C0"/>
              </a:solidFill>
              <a:ln>
                <a:solidFill>
                  <a:srgbClr val="C00000"/>
                </a:solidFill>
              </a:ln>
            </c:spPr>
          </c:marker>
          <c:dLbls>
            <c:dLbl>
              <c:idx val="4"/>
              <c:layout>
                <c:manualLayout>
                  <c:x val="-9.74651194916425E-3"/>
                  <c:y val="6.6666958296879561E-2"/>
                </c:manualLayout>
              </c:layout>
              <c:spPr>
                <a:noFill/>
                <a:ln>
                  <a:noFill/>
                </a:ln>
                <a:effectLst/>
              </c:spPr>
              <c:txPr>
                <a:bodyPr wrap="square" lIns="38100" tIns="19050" rIns="38100" bIns="19050" anchor="ctr">
                  <a:noAutofit/>
                </a:bodyPr>
                <a:lstStyle/>
                <a:p>
                  <a:pPr>
                    <a:defRPr>
                      <a:solidFill>
                        <a:srgbClr val="C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5984405458089659E-2"/>
                      <c:h val="0.2797410323709536"/>
                    </c:manualLayout>
                  </c15:layout>
                </c:ext>
                <c:ext xmlns:c16="http://schemas.microsoft.com/office/drawing/2014/chart" uri="{C3380CC4-5D6E-409C-BE32-E72D297353CC}">
                  <c16:uniqueId val="{00000001-40E8-4D94-9904-15B8AD5CDF84}"/>
                </c:ext>
              </c:extLst>
            </c:dLbl>
            <c:dLbl>
              <c:idx val="7"/>
              <c:layout>
                <c:manualLayout>
                  <c:x val="-1.1695906432748537E-2"/>
                  <c:y val="-6.6666666666666666E-2"/>
                </c:manualLayout>
              </c:layout>
              <c:spPr>
                <a:noFill/>
                <a:ln>
                  <a:noFill/>
                </a:ln>
                <a:effectLst/>
              </c:spPr>
              <c:txPr>
                <a:bodyPr wrap="square" lIns="38100" tIns="19050" rIns="38100" bIns="19050" anchor="ctr">
                  <a:noAutofit/>
                </a:bodyPr>
                <a:lstStyle/>
                <a:p>
                  <a:pPr>
                    <a:defRPr>
                      <a:solidFill>
                        <a:srgbClr val="C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187134502923975E-2"/>
                      <c:h val="0.18344473607465733"/>
                    </c:manualLayout>
                  </c15:layout>
                </c:ext>
                <c:ext xmlns:c16="http://schemas.microsoft.com/office/drawing/2014/chart" uri="{C3380CC4-5D6E-409C-BE32-E72D297353CC}">
                  <c16:uniqueId val="{00000002-40E8-4D94-9904-15B8AD5CDF84}"/>
                </c:ext>
              </c:extLst>
            </c:dLbl>
            <c:spPr>
              <a:noFill/>
              <a:ln>
                <a:noFill/>
              </a:ln>
              <a:effectLst/>
            </c:spPr>
            <c:txPr>
              <a:bodyPr wrap="square" lIns="38100" tIns="19050" rIns="38100" bIns="19050" anchor="ctr">
                <a:spAutoFit/>
              </a:bodyPr>
              <a:lstStyle/>
              <a:p>
                <a:pPr>
                  <a:defRPr>
                    <a:solidFill>
                      <a:srgbClr val="C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'transf pakushtezuar'!$H$3:$R$3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'transf pakushtezuar'!$H$5:$R$5</c:f>
              <c:numCache>
                <c:formatCode>0.0%</c:formatCode>
                <c:ptCount val="11"/>
                <c:pt idx="0">
                  <c:v>5.6218350356192603E-2</c:v>
                </c:pt>
                <c:pt idx="1">
                  <c:v>9.9869982122541848E-2</c:v>
                </c:pt>
                <c:pt idx="2">
                  <c:v>5.6520132988548209E-2</c:v>
                </c:pt>
                <c:pt idx="3">
                  <c:v>9.3356643356643357E-2</c:v>
                </c:pt>
                <c:pt idx="4">
                  <c:v>6.0441317556763671E-2</c:v>
                </c:pt>
                <c:pt idx="5">
                  <c:v>6.3449939686369125E-2</c:v>
                </c:pt>
                <c:pt idx="6">
                  <c:v>3.6184210526315791E-2</c:v>
                </c:pt>
                <c:pt idx="7">
                  <c:v>1.1494252873563218E-2</c:v>
                </c:pt>
                <c:pt idx="8">
                  <c:v>1.369047619047619E-2</c:v>
                </c:pt>
                <c:pt idx="9">
                  <c:v>0.28014733358244809</c:v>
                </c:pt>
                <c:pt idx="10">
                  <c:v>7.4725824611150488E-2</c:v>
                </c:pt>
              </c:numCache>
            </c:numRef>
          </c:val>
          <c:smooth val="1"/>
          <c:extLst>
            <c:ext xmlns:c16="http://schemas.microsoft.com/office/drawing/2014/chart" uri="{C3380CC4-5D6E-409C-BE32-E72D297353CC}">
              <c16:uniqueId val="{00000003-40E8-4D94-9904-15B8AD5CDF84}"/>
            </c:ext>
          </c:extLst>
        </c:ser>
        <c:dLbls>
          <c:showLegendKey val="0"/>
          <c:showVal val="0"/>
          <c:showCatName val="0"/>
          <c:showSerName val="0"/>
          <c:showPercent val="0"/>
          <c:showBubbleSize val="0"/>
        </c:dLbls>
        <c:marker val="1"/>
        <c:smooth val="0"/>
        <c:axId val="-1795029856"/>
        <c:axId val="-1795023328"/>
      </c:lineChart>
      <c:catAx>
        <c:axId val="-1795017888"/>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1795023872"/>
        <c:crosses val="autoZero"/>
        <c:auto val="0"/>
        <c:lblAlgn val="ctr"/>
        <c:lblOffset val="100"/>
        <c:tickLblSkip val="1"/>
        <c:tickMarkSkip val="1"/>
        <c:noMultiLvlLbl val="0"/>
      </c:catAx>
      <c:valAx>
        <c:axId val="-1795023872"/>
        <c:scaling>
          <c:orientation val="minMax"/>
        </c:scaling>
        <c:delete val="0"/>
        <c:axPos val="l"/>
        <c:title>
          <c:tx>
            <c:rich>
              <a:bodyPr/>
              <a:lstStyle/>
              <a:p>
                <a:pPr>
                  <a:defRPr/>
                </a:pPr>
                <a:r>
                  <a:rPr lang="en-US"/>
                  <a:t>Në </a:t>
                </a:r>
                <a:r>
                  <a:rPr lang="en-US" sz="800" b="0" i="0" u="none" strike="noStrike" kern="1200" baseline="0">
                    <a:solidFill>
                      <a:srgbClr val="000000"/>
                    </a:solidFill>
                    <a:latin typeface="Calibri"/>
                    <a:ea typeface="Calibri"/>
                    <a:cs typeface="Calibri"/>
                  </a:rPr>
                  <a:t>miliardë</a:t>
                </a:r>
                <a:endParaRPr lang="sq-AL"/>
              </a:p>
            </c:rich>
          </c:tx>
          <c:layout>
            <c:manualLayout>
              <c:xMode val="edge"/>
              <c:yMode val="edge"/>
              <c:x val="4.1687771484704766E-3"/>
              <c:y val="3.3210265383493719E-2"/>
            </c:manualLayout>
          </c:layout>
          <c:overlay val="0"/>
        </c:title>
        <c:numFmt formatCode="#,##0.0" sourceLinked="0"/>
        <c:majorTickMark val="cross"/>
        <c:minorTickMark val="none"/>
        <c:tickLblPos val="nextTo"/>
        <c:txPr>
          <a:bodyPr rot="0" vert="horz"/>
          <a:lstStyle/>
          <a:p>
            <a:pPr>
              <a:defRPr/>
            </a:pPr>
            <a:endParaRPr lang="en-US"/>
          </a:p>
        </c:txPr>
        <c:crossAx val="-1795017888"/>
        <c:crosses val="autoZero"/>
        <c:crossBetween val="between"/>
        <c:dispUnits>
          <c:builtInUnit val="thousands"/>
        </c:dispUnits>
      </c:valAx>
      <c:catAx>
        <c:axId val="-1795029856"/>
        <c:scaling>
          <c:orientation val="minMax"/>
        </c:scaling>
        <c:delete val="1"/>
        <c:axPos val="b"/>
        <c:numFmt formatCode="General" sourceLinked="1"/>
        <c:majorTickMark val="out"/>
        <c:minorTickMark val="none"/>
        <c:tickLblPos val="nextTo"/>
        <c:crossAx val="-1795023328"/>
        <c:crosses val="autoZero"/>
        <c:auto val="0"/>
        <c:lblAlgn val="ctr"/>
        <c:lblOffset val="100"/>
        <c:noMultiLvlLbl val="0"/>
      </c:catAx>
      <c:valAx>
        <c:axId val="-1795023328"/>
        <c:scaling>
          <c:orientation val="minMax"/>
        </c:scaling>
        <c:delete val="0"/>
        <c:axPos val="r"/>
        <c:numFmt formatCode="0%" sourceLinked="0"/>
        <c:majorTickMark val="cross"/>
        <c:minorTickMark val="none"/>
        <c:tickLblPos val="nextTo"/>
        <c:txPr>
          <a:bodyPr rot="0" vert="horz"/>
          <a:lstStyle/>
          <a:p>
            <a:pPr>
              <a:defRPr/>
            </a:pPr>
            <a:endParaRPr lang="en-US"/>
          </a:p>
        </c:txPr>
        <c:crossAx val="-1795029856"/>
        <c:crosses val="max"/>
        <c:crossBetween val="between"/>
      </c:valAx>
      <c:spPr>
        <a:noFill/>
      </c:spPr>
    </c:plotArea>
    <c:legend>
      <c:legendPos val="b"/>
      <c:layout>
        <c:manualLayout>
          <c:xMode val="edge"/>
          <c:yMode val="edge"/>
          <c:x val="0.18524729101599793"/>
          <c:y val="0.92367427947489333"/>
          <c:w val="0.61611846940185111"/>
          <c:h val="7.5708675429970992E-2"/>
        </c:manualLayout>
      </c:layout>
      <c:overlay val="0"/>
      <c:txPr>
        <a:bodyPr/>
        <a:lstStyle/>
        <a:p>
          <a:pPr>
            <a:defRPr sz="900" b="1" baseline="0">
              <a:solidFill>
                <a:sysClr val="windowText" lastClr="000000"/>
              </a:solidFill>
            </a:defRPr>
          </a:pPr>
          <a:endParaRPr lang="en-US"/>
        </a:p>
      </c:txPr>
    </c:legend>
    <c:plotVisOnly val="1"/>
    <c:dispBlanksAs val="gap"/>
    <c:showDLblsOverMax val="0"/>
  </c:chart>
  <c:spPr>
    <a:solidFill>
      <a:srgbClr val="DBEFF9"/>
    </a:solidFill>
    <a:ln>
      <a:noFill/>
    </a:ln>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0638616491958"/>
          <c:y val="5.0925925925925923E-2"/>
          <c:w val="0.88419361383508044"/>
          <c:h val="0.67045346741295886"/>
        </c:manualLayout>
      </c:layout>
      <c:barChart>
        <c:barDir val="col"/>
        <c:grouping val="clustered"/>
        <c:varyColors val="0"/>
        <c:ser>
          <c:idx val="0"/>
          <c:order val="0"/>
          <c:tx>
            <c:strRef>
              <c:f>'te ardhurat 2025'!$R$2</c:f>
              <c:strCache>
                <c:ptCount val="1"/>
                <c:pt idx="0">
                  <c:v>Të ardhura tatimore</c:v>
                </c:pt>
              </c:strCache>
            </c:strRef>
          </c:tx>
          <c:spPr>
            <a:solidFill>
              <a:schemeClr val="tx2">
                <a:lumMod val="50000"/>
                <a:lumOff val="50000"/>
              </a:schemeClr>
            </a:solidFill>
          </c:spPr>
          <c:invertIfNegative val="0"/>
          <c:dLbls>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 2025'!$Q$3:$Q$9</c:f>
              <c:strCache>
                <c:ptCount val="7"/>
                <c:pt idx="0">
                  <c:v>Viti 2019</c:v>
                </c:pt>
                <c:pt idx="1">
                  <c:v>Viti 2020</c:v>
                </c:pt>
                <c:pt idx="2">
                  <c:v>Viti 2021</c:v>
                </c:pt>
                <c:pt idx="3">
                  <c:v>Viti 2022</c:v>
                </c:pt>
                <c:pt idx="4">
                  <c:v>Viti 2023</c:v>
                </c:pt>
                <c:pt idx="5">
                  <c:v>Viti 2024</c:v>
                </c:pt>
                <c:pt idx="6">
                  <c:v>Viti 2025</c:v>
                </c:pt>
              </c:strCache>
            </c:strRef>
          </c:cat>
          <c:val>
            <c:numRef>
              <c:f>'te ardhurat 2025'!$R$3:$R$9</c:f>
              <c:numCache>
                <c:formatCode>#,##0</c:formatCode>
                <c:ptCount val="7"/>
                <c:pt idx="0">
                  <c:v>23102</c:v>
                </c:pt>
                <c:pt idx="1">
                  <c:v>21976</c:v>
                </c:pt>
                <c:pt idx="2">
                  <c:v>26666.449999999997</c:v>
                </c:pt>
                <c:pt idx="3">
                  <c:v>27638</c:v>
                </c:pt>
                <c:pt idx="4">
                  <c:v>31686</c:v>
                </c:pt>
                <c:pt idx="5">
                  <c:v>40331</c:v>
                </c:pt>
                <c:pt idx="6">
                  <c:v>40911.300000000003</c:v>
                </c:pt>
              </c:numCache>
            </c:numRef>
          </c:val>
          <c:extLst>
            <c:ext xmlns:c16="http://schemas.microsoft.com/office/drawing/2014/chart" uri="{C3380CC4-5D6E-409C-BE32-E72D297353CC}">
              <c16:uniqueId val="{00000000-0541-4222-8D35-DD5B9D2D5A46}"/>
            </c:ext>
          </c:extLst>
        </c:ser>
        <c:ser>
          <c:idx val="1"/>
          <c:order val="1"/>
          <c:tx>
            <c:strRef>
              <c:f>'te ardhurat 2025'!$S$2</c:f>
              <c:strCache>
                <c:ptCount val="1"/>
                <c:pt idx="0">
                  <c:v>Të ardhura jo tatimore</c:v>
                </c:pt>
              </c:strCache>
            </c:strRef>
          </c:tx>
          <c:spPr>
            <a:solidFill>
              <a:schemeClr val="accent3">
                <a:lumMod val="60000"/>
                <a:lumOff val="40000"/>
              </a:schemeClr>
            </a:solidFill>
          </c:spPr>
          <c:invertIfNegative val="0"/>
          <c:dLbls>
            <c:numFmt formatCode="#,##0" sourceLinked="0"/>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ardhurat 2025'!$Q$3:$Q$9</c:f>
              <c:strCache>
                <c:ptCount val="7"/>
                <c:pt idx="0">
                  <c:v>Viti 2019</c:v>
                </c:pt>
                <c:pt idx="1">
                  <c:v>Viti 2020</c:v>
                </c:pt>
                <c:pt idx="2">
                  <c:v>Viti 2021</c:v>
                </c:pt>
                <c:pt idx="3">
                  <c:v>Viti 2022</c:v>
                </c:pt>
                <c:pt idx="4">
                  <c:v>Viti 2023</c:v>
                </c:pt>
                <c:pt idx="5">
                  <c:v>Viti 2024</c:v>
                </c:pt>
                <c:pt idx="6">
                  <c:v>Viti 2025</c:v>
                </c:pt>
              </c:strCache>
            </c:strRef>
          </c:cat>
          <c:val>
            <c:numRef>
              <c:f>'te ardhurat 2025'!$S$3:$S$9</c:f>
              <c:numCache>
                <c:formatCode>#,##0</c:formatCode>
                <c:ptCount val="7"/>
                <c:pt idx="0">
                  <c:v>2514.1999999999998</c:v>
                </c:pt>
                <c:pt idx="1">
                  <c:v>2246.23</c:v>
                </c:pt>
                <c:pt idx="2">
                  <c:v>2851.78</c:v>
                </c:pt>
                <c:pt idx="3">
                  <c:v>3331</c:v>
                </c:pt>
                <c:pt idx="4">
                  <c:v>3264.5859999999998</c:v>
                </c:pt>
                <c:pt idx="5">
                  <c:v>4151.25</c:v>
                </c:pt>
                <c:pt idx="6">
                  <c:v>3935.2</c:v>
                </c:pt>
              </c:numCache>
            </c:numRef>
          </c:val>
          <c:extLst>
            <c:ext xmlns:c16="http://schemas.microsoft.com/office/drawing/2014/chart" uri="{C3380CC4-5D6E-409C-BE32-E72D297353CC}">
              <c16:uniqueId val="{00000001-0541-4222-8D35-DD5B9D2D5A46}"/>
            </c:ext>
          </c:extLst>
        </c:ser>
        <c:dLbls>
          <c:dLblPos val="inEnd"/>
          <c:showLegendKey val="0"/>
          <c:showVal val="1"/>
          <c:showCatName val="0"/>
          <c:showSerName val="0"/>
          <c:showPercent val="0"/>
          <c:showBubbleSize val="0"/>
        </c:dLbls>
        <c:gapWidth val="70"/>
        <c:overlap val="-20"/>
        <c:axId val="-1795029312"/>
        <c:axId val="-1795022784"/>
      </c:barChart>
      <c:catAx>
        <c:axId val="-1795029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en-US"/>
          </a:p>
        </c:txPr>
        <c:crossAx val="-1795022784"/>
        <c:crosses val="autoZero"/>
        <c:auto val="1"/>
        <c:lblAlgn val="ctr"/>
        <c:lblOffset val="100"/>
        <c:noMultiLvlLbl val="0"/>
      </c:catAx>
      <c:valAx>
        <c:axId val="-1795022784"/>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95029312"/>
        <c:crosses val="autoZero"/>
        <c:crossBetween val="between"/>
      </c:valAx>
      <c:spPr>
        <a:noFill/>
        <a:ln>
          <a:noFill/>
          <a:bevel/>
        </a:ln>
        <a:effectLst/>
      </c:spPr>
    </c:plotArea>
    <c:legend>
      <c:legendPos val="b"/>
      <c:layout>
        <c:manualLayout>
          <c:xMode val="edge"/>
          <c:yMode val="edge"/>
          <c:x val="0.1785098304429738"/>
          <c:y val="0.89409667541557303"/>
          <c:w val="0.64788831457417517"/>
          <c:h val="7.8125546806649168E-2"/>
        </c:manualLayout>
      </c:layout>
      <c:overlay val="0"/>
      <c:spPr>
        <a:noFill/>
        <a:ln>
          <a:noFill/>
        </a:ln>
        <a:effectLst/>
      </c:spPr>
      <c:txPr>
        <a:bodyPr rot="0" vert="horz"/>
        <a:lstStyle/>
        <a:p>
          <a:pPr>
            <a:defRPr b="1">
              <a:solidFill>
                <a:srgbClr val="C00000"/>
              </a:solidFill>
            </a:defRPr>
          </a:pPr>
          <a:endParaRPr lang="en-US"/>
        </a:p>
      </c:txPr>
    </c:legend>
    <c:plotVisOnly val="1"/>
    <c:dispBlanksAs val="gap"/>
    <c:showDLblsOverMax val="0"/>
  </c:chart>
  <c:spPr>
    <a:solidFill>
      <a:schemeClr val="tx2">
        <a:lumMod val="10000"/>
        <a:lumOff val="90000"/>
      </a:schemeClr>
    </a:solidFill>
    <a:ln w="9525" cap="flat" cmpd="sng" algn="ctr">
      <a:solidFill>
        <a:schemeClr val="bg1">
          <a:lumMod val="85000"/>
        </a:schemeClr>
      </a:solidFill>
      <a:round/>
    </a:ln>
    <a:effectLst/>
  </c:spPr>
  <c:txPr>
    <a:bodyPr/>
    <a:lstStyle/>
    <a:p>
      <a:pPr algn="just">
        <a:defRPr sz="800">
          <a:latin typeface="+mj-lt"/>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4188033196885E-2"/>
          <c:y val="5.3040553029462867E-2"/>
          <c:w val="0.84007207019914587"/>
          <c:h val="0.69438695163104613"/>
        </c:manualLayout>
      </c:layout>
      <c:barChart>
        <c:barDir val="col"/>
        <c:grouping val="clustered"/>
        <c:varyColors val="0"/>
        <c:ser>
          <c:idx val="1"/>
          <c:order val="0"/>
          <c:tx>
            <c:strRef>
              <c:f>'te ardhurat 2025'!$B$19</c:f>
              <c:strCache>
                <c:ptCount val="1"/>
                <c:pt idx="0">
                  <c:v>Të ardhura nga Pushteti Vendor</c:v>
                </c:pt>
              </c:strCache>
            </c:strRef>
          </c:tx>
          <c:spPr>
            <a:solidFill>
              <a:srgbClr val="0E2841">
                <a:lumMod val="50000"/>
                <a:lumOff val="50000"/>
              </a:srgbClr>
            </a:solidFill>
            <a:ln>
              <a:solidFill>
                <a:srgbClr val="4472C4">
                  <a:lumMod val="60000"/>
                  <a:lumOff val="40000"/>
                </a:srgbClr>
              </a:solidFill>
            </a:ln>
          </c:spPr>
          <c:invertIfNegative val="0"/>
          <c:dLbls>
            <c:numFmt formatCode="#,##0.0" sourceLinked="0"/>
            <c:spPr>
              <a:noFill/>
              <a:ln>
                <a:noFill/>
              </a:ln>
              <a:effectLst/>
            </c:spPr>
            <c:txPr>
              <a:bodyPr wrap="square" lIns="38100" tIns="19050" rIns="38100" bIns="19050" anchor="ctr">
                <a:spAutoFit/>
              </a:bodyPr>
              <a:lstStyle/>
              <a:p>
                <a:pPr>
                  <a:defRPr sz="8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2025'!$M$18:$W$18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'te ardhurat 2025'!$M$19:$W$19</c:f>
              <c:numCache>
                <c:formatCode>#,##0</c:formatCode>
                <c:ptCount val="11"/>
                <c:pt idx="0">
                  <c:v>11700</c:v>
                </c:pt>
                <c:pt idx="1">
                  <c:v>14951</c:v>
                </c:pt>
                <c:pt idx="2">
                  <c:v>18447.329999999998</c:v>
                </c:pt>
                <c:pt idx="3">
                  <c:v>21863</c:v>
                </c:pt>
                <c:pt idx="4">
                  <c:v>23102</c:v>
                </c:pt>
                <c:pt idx="5">
                  <c:v>21976</c:v>
                </c:pt>
                <c:pt idx="6">
                  <c:v>26666.449999999997</c:v>
                </c:pt>
                <c:pt idx="7">
                  <c:v>27638</c:v>
                </c:pt>
                <c:pt idx="8">
                  <c:v>31685.82</c:v>
                </c:pt>
                <c:pt idx="9">
                  <c:v>40331.410000000003</c:v>
                </c:pt>
                <c:pt idx="10">
                  <c:v>40911.300000000003</c:v>
                </c:pt>
              </c:numCache>
            </c:numRef>
          </c:val>
          <c:extLst>
            <c:ext xmlns:c16="http://schemas.microsoft.com/office/drawing/2014/chart" uri="{C3380CC4-5D6E-409C-BE32-E72D297353CC}">
              <c16:uniqueId val="{00000000-6CA1-4CDE-AFC8-6990E8D84FBC}"/>
            </c:ext>
          </c:extLst>
        </c:ser>
        <c:dLbls>
          <c:showLegendKey val="0"/>
          <c:showVal val="0"/>
          <c:showCatName val="0"/>
          <c:showSerName val="0"/>
          <c:showPercent val="0"/>
          <c:showBubbleSize val="0"/>
        </c:dLbls>
        <c:gapWidth val="40"/>
        <c:axId val="-1795022240"/>
        <c:axId val="-1793151520"/>
      </c:barChart>
      <c:lineChart>
        <c:grouping val="standard"/>
        <c:varyColors val="0"/>
        <c:ser>
          <c:idx val="0"/>
          <c:order val="1"/>
          <c:tx>
            <c:strRef>
              <c:f>'te ardhurat 2025'!$B$20</c:f>
              <c:strCache>
                <c:ptCount val="1"/>
                <c:pt idx="0">
                  <c:v>Ritmi i ndryshimit të të ardhurave vendore</c:v>
                </c:pt>
              </c:strCache>
            </c:strRef>
          </c:tx>
          <c:spPr>
            <a:ln w="31750">
              <a:solidFill>
                <a:srgbClr val="C00000"/>
              </a:solidFill>
            </a:ln>
          </c:spPr>
          <c:marker>
            <c:symbol val="diamond"/>
            <c:size val="5"/>
          </c:marker>
          <c:dLbls>
            <c:numFmt formatCode="0.0%" sourceLinked="0"/>
            <c:spPr>
              <a:noFill/>
              <a:ln>
                <a:noFill/>
              </a:ln>
              <a:effectLst/>
            </c:spPr>
            <c:txPr>
              <a:bodyPr wrap="square" lIns="38100" tIns="19050" rIns="38100" bIns="19050" anchor="b" anchorCtr="1">
                <a:spAutoFit/>
              </a:bodyPr>
              <a:lstStyle/>
              <a:p>
                <a:pPr>
                  <a:defRPr sz="800">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2025'!$M$18:$W$18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'te ardhurat 2025'!$M$20:$W$20</c:f>
              <c:numCache>
                <c:formatCode>0%</c:formatCode>
                <c:ptCount val="11"/>
                <c:pt idx="0">
                  <c:v>-6.0014461315979754E-2</c:v>
                </c:pt>
                <c:pt idx="1">
                  <c:v>0.27786324786324784</c:v>
                </c:pt>
                <c:pt idx="2">
                  <c:v>0.23385258511136367</c:v>
                </c:pt>
                <c:pt idx="3">
                  <c:v>0.18515796052870537</c:v>
                </c:pt>
                <c:pt idx="4">
                  <c:v>5.6671088139779537E-2</c:v>
                </c:pt>
                <c:pt idx="5">
                  <c:v>-4.8740368799238161E-2</c:v>
                </c:pt>
                <c:pt idx="6">
                  <c:v>0.21343511103021465</c:v>
                </c:pt>
                <c:pt idx="7">
                  <c:v>3.6433421021545911E-2</c:v>
                </c:pt>
                <c:pt idx="8" formatCode="0.0%">
                  <c:v>0.14645849916781242</c:v>
                </c:pt>
                <c:pt idx="9" formatCode="0.0%">
                  <c:v>0.27285359823416289</c:v>
                </c:pt>
                <c:pt idx="10" formatCode="0.0%">
                  <c:v>1.4378123651020367E-2</c:v>
                </c:pt>
              </c:numCache>
            </c:numRef>
          </c:val>
          <c:smooth val="1"/>
          <c:extLst>
            <c:ext xmlns:c16="http://schemas.microsoft.com/office/drawing/2014/chart" uri="{C3380CC4-5D6E-409C-BE32-E72D297353CC}">
              <c16:uniqueId val="{00000001-6CA1-4CDE-AFC8-6990E8D84FBC}"/>
            </c:ext>
          </c:extLst>
        </c:ser>
        <c:dLbls>
          <c:showLegendKey val="0"/>
          <c:showVal val="0"/>
          <c:showCatName val="0"/>
          <c:showSerName val="0"/>
          <c:showPercent val="0"/>
          <c:showBubbleSize val="0"/>
        </c:dLbls>
        <c:marker val="1"/>
        <c:smooth val="0"/>
        <c:axId val="-1793137376"/>
        <c:axId val="-1793147168"/>
      </c:lineChart>
      <c:catAx>
        <c:axId val="-1795022240"/>
        <c:scaling>
          <c:orientation val="minMax"/>
        </c:scaling>
        <c:delete val="0"/>
        <c:axPos val="b"/>
        <c:numFmt formatCode="General" sourceLinked="1"/>
        <c:majorTickMark val="cross"/>
        <c:minorTickMark val="none"/>
        <c:tickLblPos val="nextTo"/>
        <c:txPr>
          <a:bodyPr rot="0" vert="horz"/>
          <a:lstStyle/>
          <a:p>
            <a:pPr>
              <a:defRPr sz="700" b="1"/>
            </a:pPr>
            <a:endParaRPr lang="en-US"/>
          </a:p>
        </c:txPr>
        <c:crossAx val="-1793151520"/>
        <c:crosses val="autoZero"/>
        <c:auto val="0"/>
        <c:lblAlgn val="ctr"/>
        <c:lblOffset val="100"/>
        <c:tickLblSkip val="1"/>
        <c:tickMarkSkip val="1"/>
        <c:noMultiLvlLbl val="0"/>
      </c:catAx>
      <c:valAx>
        <c:axId val="-1793151520"/>
        <c:scaling>
          <c:orientation val="minMax"/>
        </c:scaling>
        <c:delete val="0"/>
        <c:axPos val="l"/>
        <c:title>
          <c:tx>
            <c:rich>
              <a:bodyPr/>
              <a:lstStyle/>
              <a:p>
                <a:pPr>
                  <a:defRPr sz="800"/>
                </a:pPr>
                <a:r>
                  <a:rPr lang="sq-AL" sz="800"/>
                  <a:t>Në </a:t>
                </a:r>
                <a:r>
                  <a:rPr lang="sq-AL" sz="800" b="0" i="0" u="none" strike="noStrike" kern="1200" baseline="0">
                    <a:solidFill>
                      <a:srgbClr val="000000"/>
                    </a:solidFill>
                    <a:latin typeface="Calibri"/>
                    <a:ea typeface="Calibri"/>
                    <a:cs typeface="Calibri"/>
                  </a:rPr>
                  <a:t>miliardë</a:t>
                </a:r>
                <a:endParaRPr lang="sq-AL" sz="800"/>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a:pPr>
            <a:endParaRPr lang="en-US"/>
          </a:p>
        </c:txPr>
        <c:crossAx val="-1795022240"/>
        <c:crosses val="autoZero"/>
        <c:crossBetween val="between"/>
        <c:dispUnits>
          <c:builtInUnit val="thousands"/>
        </c:dispUnits>
      </c:valAx>
      <c:catAx>
        <c:axId val="-1793137376"/>
        <c:scaling>
          <c:orientation val="minMax"/>
        </c:scaling>
        <c:delete val="1"/>
        <c:axPos val="b"/>
        <c:numFmt formatCode="General" sourceLinked="1"/>
        <c:majorTickMark val="out"/>
        <c:minorTickMark val="none"/>
        <c:tickLblPos val="nextTo"/>
        <c:crossAx val="-1793147168"/>
        <c:crosses val="autoZero"/>
        <c:auto val="0"/>
        <c:lblAlgn val="ctr"/>
        <c:lblOffset val="100"/>
        <c:noMultiLvlLbl val="0"/>
      </c:catAx>
      <c:valAx>
        <c:axId val="-1793147168"/>
        <c:scaling>
          <c:orientation val="minMax"/>
        </c:scaling>
        <c:delete val="0"/>
        <c:axPos val="r"/>
        <c:numFmt formatCode="0%" sourceLinked="0"/>
        <c:majorTickMark val="cross"/>
        <c:minorTickMark val="none"/>
        <c:tickLblPos val="nextTo"/>
        <c:txPr>
          <a:bodyPr rot="0" vert="horz"/>
          <a:lstStyle/>
          <a:p>
            <a:pPr>
              <a:defRPr sz="800"/>
            </a:pPr>
            <a:endParaRPr lang="en-US"/>
          </a:p>
        </c:txPr>
        <c:crossAx val="-1793137376"/>
        <c:crosses val="max"/>
        <c:crossBetween val="between"/>
      </c:valAx>
      <c:spPr>
        <a:solidFill>
          <a:srgbClr val="DBEFF9"/>
        </a:solidFill>
      </c:spPr>
    </c:plotArea>
    <c:legend>
      <c:legendPos val="b"/>
      <c:legendEntry>
        <c:idx val="1"/>
        <c:txPr>
          <a:bodyPr/>
          <a:lstStyle/>
          <a:p>
            <a:pPr>
              <a:defRPr sz="800" b="1">
                <a:solidFill>
                  <a:sysClr val="windowText" lastClr="000000"/>
                </a:solidFill>
              </a:defRPr>
            </a:pPr>
            <a:endParaRPr lang="en-US"/>
          </a:p>
        </c:txPr>
      </c:legendEntry>
      <c:layout>
        <c:manualLayout>
          <c:xMode val="edge"/>
          <c:yMode val="edge"/>
          <c:x val="8.5155955655690174E-2"/>
          <c:y val="0.89404357350068064"/>
          <c:w val="0.86516280943441803"/>
          <c:h val="0.10533952992718015"/>
        </c:manualLayout>
      </c:layout>
      <c:overlay val="0"/>
      <c:txPr>
        <a:bodyPr/>
        <a:lstStyle/>
        <a:p>
          <a:pPr>
            <a:defRPr sz="800" b="1">
              <a:solidFill>
                <a:sysClr val="windowText" lastClr="000000"/>
              </a:solidFill>
            </a:defRPr>
          </a:pPr>
          <a:endParaRPr lang="en-US"/>
        </a:p>
      </c:txPr>
    </c:legend>
    <c:plotVisOnly val="1"/>
    <c:dispBlanksAs val="gap"/>
    <c:showDLblsOverMax val="0"/>
  </c:chart>
  <c:spPr>
    <a:solidFill>
      <a:srgbClr val="DBEFF9"/>
    </a:solidFill>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1754919769689"/>
          <c:y val="9.3083862424200567E-2"/>
          <c:w val="0.84176061861904161"/>
          <c:h val="0.64257643470241899"/>
        </c:manualLayout>
      </c:layout>
      <c:barChart>
        <c:barDir val="col"/>
        <c:grouping val="clustered"/>
        <c:varyColors val="0"/>
        <c:ser>
          <c:idx val="2"/>
          <c:order val="2"/>
          <c:tx>
            <c:strRef>
              <c:f>'pergjithshm 2025'!$B$7</c:f>
              <c:strCache>
                <c:ptCount val="1"/>
                <c:pt idx="0">
                  <c:v>Të ardhurat e pushtetit vendor</c:v>
                </c:pt>
              </c:strCache>
            </c:strRef>
          </c:tx>
          <c:spPr>
            <a:solidFill>
              <a:srgbClr val="4181E9">
                <a:alpha val="75000"/>
              </a:srgbClr>
            </a:solidFill>
            <a:ln>
              <a:solidFill>
                <a:srgbClr val="233AAF"/>
              </a:solidFill>
            </a:ln>
            <a:effectLst/>
          </c:spPr>
          <c:invertIfNegative val="0"/>
          <c:dLbls>
            <c:numFmt formatCode="#,##0" sourceLinked="0"/>
            <c:spPr>
              <a:noFill/>
              <a:ln>
                <a:noFill/>
              </a:ln>
              <a:effectLst/>
            </c:spPr>
            <c:txPr>
              <a:bodyPr/>
              <a:lstStyle/>
              <a:p>
                <a:pPr>
                  <a:defRPr lang="sq-AL" sz="8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2025'!$E$4:$O$4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2025'!$E$7:$O$7</c:f>
              <c:numCache>
                <c:formatCode>#,##0</c:formatCode>
                <c:ptCount val="11"/>
                <c:pt idx="0">
                  <c:v>11700</c:v>
                </c:pt>
                <c:pt idx="1">
                  <c:v>14951</c:v>
                </c:pt>
                <c:pt idx="2">
                  <c:v>18447.330000000002</c:v>
                </c:pt>
                <c:pt idx="3">
                  <c:v>21862.799999999999</c:v>
                </c:pt>
                <c:pt idx="4">
                  <c:v>23102.309999999998</c:v>
                </c:pt>
                <c:pt idx="5">
                  <c:v>21975</c:v>
                </c:pt>
                <c:pt idx="6">
                  <c:v>26666.449999999997</c:v>
                </c:pt>
                <c:pt idx="7">
                  <c:v>27638</c:v>
                </c:pt>
                <c:pt idx="8">
                  <c:v>31686</c:v>
                </c:pt>
                <c:pt idx="9">
                  <c:v>40331.410000000003</c:v>
                </c:pt>
                <c:pt idx="10">
                  <c:v>40911.300000000003</c:v>
                </c:pt>
              </c:numCache>
            </c:numRef>
          </c:val>
          <c:extLst>
            <c:ext xmlns:c16="http://schemas.microsoft.com/office/drawing/2014/chart" uri="{C3380CC4-5D6E-409C-BE32-E72D297353CC}">
              <c16:uniqueId val="{00000000-71CB-41F4-B593-8D6CA2F270B2}"/>
            </c:ext>
          </c:extLst>
        </c:ser>
        <c:dLbls>
          <c:showLegendKey val="0"/>
          <c:showVal val="0"/>
          <c:showCatName val="0"/>
          <c:showSerName val="0"/>
          <c:showPercent val="0"/>
          <c:showBubbleSize val="0"/>
        </c:dLbls>
        <c:gapWidth val="247"/>
        <c:axId val="103513088"/>
        <c:axId val="103527168"/>
      </c:barChart>
      <c:lineChart>
        <c:grouping val="standard"/>
        <c:varyColors val="0"/>
        <c:ser>
          <c:idx val="0"/>
          <c:order val="0"/>
          <c:tx>
            <c:strRef>
              <c:f>'pergjithshm 2025'!$B$5</c:f>
              <c:strCache>
                <c:ptCount val="1"/>
                <c:pt idx="0">
                  <c:v>Në % ndaj totalit të të ardhurave</c:v>
                </c:pt>
              </c:strCache>
            </c:strRef>
          </c:tx>
          <c:spPr>
            <a:ln w="22225" cap="rnd">
              <a:solidFill>
                <a:srgbClr val="233AAF"/>
              </a:solidFill>
              <a:round/>
            </a:ln>
            <a:effectLst/>
          </c:spPr>
          <c:marker>
            <c:symbol val="circle"/>
            <c:size val="6"/>
            <c:spPr>
              <a:solidFill>
                <a:schemeClr val="lt1"/>
              </a:solidFill>
              <a:ln w="15875">
                <a:solidFill>
                  <a:schemeClr val="accent1"/>
                </a:solidFill>
                <a:round/>
              </a:ln>
              <a:effectLst/>
            </c:spPr>
          </c:marker>
          <c:dLbls>
            <c:numFmt formatCode="0.00%" sourceLinked="0"/>
            <c:spPr>
              <a:noFill/>
              <a:ln w="25400">
                <a:noFill/>
              </a:ln>
            </c:spPr>
            <c:txPr>
              <a:bodyPr wrap="square" lIns="38100" tIns="19050" rIns="38100" bIns="19050" anchor="ctr">
                <a:spAutoFit/>
              </a:bodyPr>
              <a:lstStyle/>
              <a:p>
                <a:pPr>
                  <a:defRPr lang="sq-AL" sz="800" b="1" i="0" u="none" strike="noStrike" baseline="0">
                    <a:solidFill>
                      <a:srgbClr val="333333"/>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2025'!$E$4:$O$4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2025'!$E$5:$O$5</c:f>
              <c:numCache>
                <c:formatCode>0.00%</c:formatCode>
                <c:ptCount val="11"/>
                <c:pt idx="0">
                  <c:v>3.0853942184459106E-2</c:v>
                </c:pt>
                <c:pt idx="1">
                  <c:v>3.6732748433127529E-2</c:v>
                </c:pt>
                <c:pt idx="2">
                  <c:v>4.2861175676793435E-2</c:v>
                </c:pt>
                <c:pt idx="3">
                  <c:v>4.8593780308183357E-2</c:v>
                </c:pt>
                <c:pt idx="4">
                  <c:v>5.0184372198387256E-2</c:v>
                </c:pt>
                <c:pt idx="5">
                  <c:v>5.1596036212880531E-2</c:v>
                </c:pt>
                <c:pt idx="6">
                  <c:v>5.2189838164520663E-2</c:v>
                </c:pt>
                <c:pt idx="7">
                  <c:v>4.8251540704272074E-2</c:v>
                </c:pt>
                <c:pt idx="8">
                  <c:v>4.9226501829712381E-2</c:v>
                </c:pt>
                <c:pt idx="9">
                  <c:v>5.677688218533098E-2</c:v>
                </c:pt>
                <c:pt idx="10">
                  <c:v>5.4215333520052908E-2</c:v>
                </c:pt>
              </c:numCache>
            </c:numRef>
          </c:val>
          <c:smooth val="1"/>
          <c:extLst>
            <c:ext xmlns:c16="http://schemas.microsoft.com/office/drawing/2014/chart" uri="{C3380CC4-5D6E-409C-BE32-E72D297353CC}">
              <c16:uniqueId val="{00000001-71CB-41F4-B593-8D6CA2F270B2}"/>
            </c:ext>
          </c:extLst>
        </c:ser>
        <c:ser>
          <c:idx val="1"/>
          <c:order val="1"/>
          <c:tx>
            <c:strRef>
              <c:f>'pergjithshm 2025'!$B$6</c:f>
              <c:strCache>
                <c:ptCount val="1"/>
                <c:pt idx="0">
                  <c:v>Në % ndaj PBB-së</c:v>
                </c:pt>
              </c:strCache>
            </c:strRef>
          </c:tx>
          <c:spPr>
            <a:ln w="22225">
              <a:solidFill>
                <a:srgbClr val="FF0000"/>
              </a:solidFill>
              <a:prstDash val="solid"/>
            </a:ln>
          </c:spPr>
          <c:marker>
            <c:symbol val="circle"/>
            <c:size val="6"/>
            <c:spPr>
              <a:solidFill>
                <a:schemeClr val="lt1"/>
              </a:solidFill>
              <a:ln w="12700">
                <a:solidFill>
                  <a:schemeClr val="accent2"/>
                </a:solidFill>
                <a:round/>
              </a:ln>
              <a:effectLst/>
            </c:spPr>
          </c:marker>
          <c:dPt>
            <c:idx val="0"/>
            <c:marker>
              <c:spPr>
                <a:solidFill>
                  <a:schemeClr val="bg1"/>
                </a:solidFill>
                <a:ln w="12700">
                  <a:solidFill>
                    <a:schemeClr val="accent2"/>
                  </a:solidFill>
                  <a:round/>
                </a:ln>
                <a:effectLst/>
              </c:spPr>
            </c:marker>
            <c:bubble3D val="0"/>
            <c:extLst>
              <c:ext xmlns:c16="http://schemas.microsoft.com/office/drawing/2014/chart" uri="{C3380CC4-5D6E-409C-BE32-E72D297353CC}">
                <c16:uniqueId val="{00000002-71CB-41F4-B593-8D6CA2F270B2}"/>
              </c:ext>
            </c:extLst>
          </c:dPt>
          <c:dLbls>
            <c:numFmt formatCode="0.00%" sourceLinked="0"/>
            <c:spPr>
              <a:noFill/>
              <a:ln w="25400">
                <a:noFill/>
              </a:ln>
            </c:spPr>
            <c:txPr>
              <a:bodyPr wrap="square" lIns="38100" tIns="19050" rIns="38100" bIns="19050" anchor="ctr">
                <a:spAutoFit/>
              </a:bodyPr>
              <a:lstStyle/>
              <a:p>
                <a:pPr>
                  <a:defRPr lang="sq-AL" sz="800" b="1" i="0" u="none" strike="noStrike" baseline="0">
                    <a:solidFill>
                      <a:srgbClr val="FF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2025'!$E$4:$O$4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2025'!$E$6:$O$6</c:f>
              <c:numCache>
                <c:formatCode>0.00%</c:formatCode>
                <c:ptCount val="11"/>
                <c:pt idx="0">
                  <c:v>8.1572437719095205E-3</c:v>
                </c:pt>
                <c:pt idx="1">
                  <c:v>1.0153618385309138E-2</c:v>
                </c:pt>
                <c:pt idx="2">
                  <c:v>1.1896560396841572E-2</c:v>
                </c:pt>
                <c:pt idx="3">
                  <c:v>1.3357609379677771E-2</c:v>
                </c:pt>
                <c:pt idx="4">
                  <c:v>1.3654630318641198E-2</c:v>
                </c:pt>
                <c:pt idx="5">
                  <c:v>1.3366162290452333E-2</c:v>
                </c:pt>
                <c:pt idx="6">
                  <c:v>1.4366365742912798E-2</c:v>
                </c:pt>
                <c:pt idx="7">
                  <c:v>1.2856426492109286E-2</c:v>
                </c:pt>
                <c:pt idx="8">
                  <c:v>1.34019886003157E-2</c:v>
                </c:pt>
                <c:pt idx="9">
                  <c:v>1.6018384952061704E-2</c:v>
                </c:pt>
                <c:pt idx="10">
                  <c:v>1.5481990789813773E-2</c:v>
                </c:pt>
              </c:numCache>
            </c:numRef>
          </c:val>
          <c:smooth val="1"/>
          <c:extLst>
            <c:ext xmlns:c16="http://schemas.microsoft.com/office/drawing/2014/chart" uri="{C3380CC4-5D6E-409C-BE32-E72D297353CC}">
              <c16:uniqueId val="{00000003-71CB-41F4-B593-8D6CA2F270B2}"/>
            </c:ext>
          </c:extLst>
        </c:ser>
        <c:dLbls>
          <c:showLegendKey val="0"/>
          <c:showVal val="0"/>
          <c:showCatName val="0"/>
          <c:showSerName val="0"/>
          <c:showPercent val="0"/>
          <c:showBubbleSize val="0"/>
        </c:dLbls>
        <c:marker val="1"/>
        <c:smooth val="0"/>
        <c:axId val="103529088"/>
        <c:axId val="103534976"/>
      </c:lineChart>
      <c:catAx>
        <c:axId val="103513088"/>
        <c:scaling>
          <c:orientation val="minMax"/>
        </c:scaling>
        <c:delete val="0"/>
        <c:axPos val="b"/>
        <c:majorGridlines>
          <c:spPr>
            <a:ln w="9525" cap="flat" cmpd="sng" algn="ctr">
              <a:solidFill>
                <a:schemeClr val="bg1"/>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lang="sq-AL" sz="800" b="1" i="0" u="none" strike="noStrike" baseline="0">
                <a:solidFill>
                  <a:sysClr val="windowText" lastClr="000000"/>
                </a:solidFill>
                <a:latin typeface="Calibri" panose="020F0502020204030204" pitchFamily="34" charset="0"/>
                <a:ea typeface="Times New Roman"/>
                <a:cs typeface="Calibri" panose="020F0502020204030204" pitchFamily="34" charset="0"/>
              </a:defRPr>
            </a:pPr>
            <a:endParaRPr lang="en-US"/>
          </a:p>
        </c:txPr>
        <c:crossAx val="103527168"/>
        <c:crosses val="autoZero"/>
        <c:auto val="1"/>
        <c:lblAlgn val="ctr"/>
        <c:lblOffset val="100"/>
        <c:noMultiLvlLbl val="0"/>
      </c:catAx>
      <c:valAx>
        <c:axId val="103527168"/>
        <c:scaling>
          <c:orientation val="minMax"/>
        </c:scaling>
        <c:delete val="0"/>
        <c:axPos val="l"/>
        <c:majorGridlines>
          <c:spPr>
            <a:ln w="9525" cap="flat" cmpd="sng" algn="ctr">
              <a:solidFill>
                <a:schemeClr val="bg1"/>
              </a:solidFill>
              <a:round/>
            </a:ln>
            <a:effectLst/>
          </c:spPr>
        </c:majorGridlines>
        <c:title>
          <c:tx>
            <c:rich>
              <a:bodyPr/>
              <a:lstStyle/>
              <a:p>
                <a:pPr>
                  <a:defRPr lang="sq-AL" sz="800"/>
                </a:pPr>
                <a:r>
                  <a:rPr lang="en-GB" sz="800"/>
                  <a:t> </a:t>
                </a:r>
                <a:r>
                  <a:rPr lang="en-GB" sz="800" b="0" i="0" u="none" strike="noStrike" kern="1200" baseline="0">
                    <a:solidFill>
                      <a:srgbClr val="000000"/>
                    </a:solidFill>
                    <a:latin typeface="Calibri"/>
                    <a:ea typeface="Calibri"/>
                    <a:cs typeface="Calibri"/>
                  </a:rPr>
                  <a:t>milionë</a:t>
                </a:r>
                <a:r>
                  <a:rPr lang="en-GB" sz="800"/>
                  <a:t> </a:t>
                </a:r>
                <a:r>
                  <a:rPr lang="en-GB" sz="800" b="0" i="0" u="none" strike="noStrike" kern="1200" baseline="0">
                    <a:solidFill>
                      <a:srgbClr val="000000"/>
                    </a:solidFill>
                    <a:latin typeface="Calibri"/>
                    <a:ea typeface="Calibri"/>
                    <a:cs typeface="Calibri"/>
                  </a:rPr>
                  <a:t>LEK</a:t>
                </a:r>
                <a:endParaRPr lang="en-GB" sz="800"/>
              </a:p>
            </c:rich>
          </c:tx>
          <c:layout>
            <c:manualLayout>
              <c:xMode val="edge"/>
              <c:yMode val="edge"/>
              <c:x val="1.3486850879416469E-3"/>
              <c:y val="1.0490420980842005E-3"/>
            </c:manualLayout>
          </c:layout>
          <c:overlay val="0"/>
        </c:title>
        <c:numFmt formatCode="#,##0" sourceLinked="1"/>
        <c:majorTickMark val="none"/>
        <c:minorTickMark val="none"/>
        <c:tickLblPos val="nextTo"/>
        <c:spPr>
          <a:ln w="9525">
            <a:noFill/>
          </a:ln>
        </c:spPr>
        <c:txPr>
          <a:bodyPr rot="0" vert="horz"/>
          <a:lstStyle/>
          <a:p>
            <a:pPr>
              <a:defRPr lang="sq-AL" sz="800" b="1" i="0" u="none" strike="noStrike" baseline="0">
                <a:solidFill>
                  <a:srgbClr val="000000"/>
                </a:solidFill>
                <a:latin typeface="Calibri"/>
                <a:ea typeface="Calibri"/>
                <a:cs typeface="Calibri"/>
              </a:defRPr>
            </a:pPr>
            <a:endParaRPr lang="en-US"/>
          </a:p>
        </c:txPr>
        <c:crossAx val="103513088"/>
        <c:crosses val="autoZero"/>
        <c:crossBetween val="between"/>
      </c:valAx>
      <c:catAx>
        <c:axId val="103529088"/>
        <c:scaling>
          <c:orientation val="minMax"/>
        </c:scaling>
        <c:delete val="1"/>
        <c:axPos val="b"/>
        <c:numFmt formatCode="General" sourceLinked="1"/>
        <c:majorTickMark val="out"/>
        <c:minorTickMark val="none"/>
        <c:tickLblPos val="nextTo"/>
        <c:crossAx val="103534976"/>
        <c:crosses val="autoZero"/>
        <c:auto val="1"/>
        <c:lblAlgn val="ctr"/>
        <c:lblOffset val="100"/>
        <c:noMultiLvlLbl val="0"/>
      </c:catAx>
      <c:valAx>
        <c:axId val="103534976"/>
        <c:scaling>
          <c:orientation val="minMax"/>
        </c:scaling>
        <c:delete val="0"/>
        <c:axPos val="r"/>
        <c:numFmt formatCode="0%" sourceLinked="0"/>
        <c:majorTickMark val="none"/>
        <c:minorTickMark val="none"/>
        <c:tickLblPos val="nextTo"/>
        <c:spPr>
          <a:ln w="9525">
            <a:noFill/>
          </a:ln>
        </c:spPr>
        <c:txPr>
          <a:bodyPr rot="0" vert="horz"/>
          <a:lstStyle/>
          <a:p>
            <a:pPr>
              <a:defRPr lang="sq-AL" sz="800" b="0" i="0" u="none" strike="noStrike" baseline="0">
                <a:solidFill>
                  <a:srgbClr val="000000"/>
                </a:solidFill>
                <a:latin typeface="Calibri"/>
                <a:ea typeface="Calibri"/>
                <a:cs typeface="Calibri"/>
              </a:defRPr>
            </a:pPr>
            <a:endParaRPr lang="en-US"/>
          </a:p>
        </c:txPr>
        <c:crossAx val="103529088"/>
        <c:crosses val="max"/>
        <c:crossBetween val="between"/>
      </c:valAx>
      <c:spPr>
        <a:noFill/>
        <a:ln w="25400">
          <a:noFill/>
        </a:ln>
      </c:spPr>
    </c:plotArea>
    <c:legend>
      <c:legendPos val="r"/>
      <c:layout>
        <c:manualLayout>
          <c:xMode val="edge"/>
          <c:yMode val="edge"/>
          <c:x val="2.6640419947506561E-2"/>
          <c:y val="0.88535394282611157"/>
          <c:w val="0.94273790295443838"/>
          <c:h val="0.10448086389601959"/>
        </c:manualLayout>
      </c:layout>
      <c:overlay val="0"/>
      <c:spPr>
        <a:noFill/>
        <a:ln w="25400">
          <a:noFill/>
        </a:ln>
      </c:spPr>
      <c:txPr>
        <a:bodyPr/>
        <a:lstStyle/>
        <a:p>
          <a:pPr>
            <a:defRPr lang="sq-AL" sz="800"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tx2">
        <a:lumMod val="10000"/>
        <a:lumOff val="90000"/>
      </a:schemeClr>
    </a:soli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71657325103726E-2"/>
          <c:y val="2.0530952988838523E-2"/>
          <c:w val="0.92282834267489633"/>
          <c:h val="0.6328137554234291"/>
        </c:manualLayout>
      </c:layout>
      <c:barChart>
        <c:barDir val="col"/>
        <c:grouping val="stacked"/>
        <c:varyColors val="0"/>
        <c:ser>
          <c:idx val="0"/>
          <c:order val="0"/>
          <c:tx>
            <c:strRef>
              <c:f>'Te Ardhurat sipas Burimit'!$J$7</c:f>
              <c:strCache>
                <c:ptCount val="1"/>
                <c:pt idx="0">
                  <c:v>Taksa e pasurisë</c:v>
                </c:pt>
              </c:strCache>
            </c:strRef>
          </c:tx>
          <c:spPr>
            <a:solidFill>
              <a:srgbClr val="7030A0"/>
            </a:solidFill>
            <a:ln>
              <a:noFill/>
            </a:ln>
            <a:effectLst/>
          </c:spPr>
          <c:invertIfNegative val="0"/>
          <c:dLbls>
            <c:spPr>
              <a:noFill/>
              <a:ln>
                <a:noFill/>
              </a:ln>
              <a:effectLst/>
            </c:spPr>
            <c:txPr>
              <a:bodyPr rot="0" vert="horz"/>
              <a:lstStyle/>
              <a:p>
                <a:pPr>
                  <a:defRPr b="1">
                    <a:solidFill>
                      <a:srgbClr val="FFFF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sipas Burimit'!$P$6:$Z$6</c:f>
              <c:numCache>
                <c:formatCode>General</c:formatCode>
                <c:ptCount val="6"/>
                <c:pt idx="0">
                  <c:v>2020</c:v>
                </c:pt>
                <c:pt idx="1">
                  <c:v>2021</c:v>
                </c:pt>
                <c:pt idx="2">
                  <c:v>2022</c:v>
                </c:pt>
                <c:pt idx="3">
                  <c:v>2023</c:v>
                </c:pt>
                <c:pt idx="4">
                  <c:v>2024</c:v>
                </c:pt>
                <c:pt idx="5">
                  <c:v>2025</c:v>
                </c:pt>
              </c:numCache>
            </c:numRef>
          </c:cat>
          <c:val>
            <c:numRef>
              <c:f>'Te Ardhurat sipas Burimit'!$P$7:$Z$7</c:f>
              <c:numCache>
                <c:formatCode>0.0</c:formatCode>
                <c:ptCount val="6"/>
                <c:pt idx="0">
                  <c:v>5.0999999999999996</c:v>
                </c:pt>
                <c:pt idx="1">
                  <c:v>6.1159999999999997</c:v>
                </c:pt>
                <c:pt idx="2">
                  <c:v>6.1379999999999999</c:v>
                </c:pt>
                <c:pt idx="3">
                  <c:v>6.1806030199999995</c:v>
                </c:pt>
                <c:pt idx="4">
                  <c:v>7.66989199</c:v>
                </c:pt>
                <c:pt idx="5">
                  <c:v>8.1</c:v>
                </c:pt>
              </c:numCache>
            </c:numRef>
          </c:val>
          <c:extLst>
            <c:ext xmlns:c16="http://schemas.microsoft.com/office/drawing/2014/chart" uri="{C3380CC4-5D6E-409C-BE32-E72D297353CC}">
              <c16:uniqueId val="{00000000-91C8-4E98-BBB3-637DA259F685}"/>
            </c:ext>
          </c:extLst>
        </c:ser>
        <c:ser>
          <c:idx val="1"/>
          <c:order val="1"/>
          <c:tx>
            <c:strRef>
              <c:f>'Te Ardhurat sipas Burimit'!$J$8</c:f>
              <c:strCache>
                <c:ptCount val="1"/>
                <c:pt idx="0">
                  <c:v>Taksa e biznesit të vogël</c:v>
                </c:pt>
              </c:strCache>
            </c:strRef>
          </c:tx>
          <c:spPr>
            <a:solidFill>
              <a:schemeClr val="accent1">
                <a:lumMod val="75000"/>
              </a:schemeClr>
            </a:solidFill>
            <a:ln>
              <a:noFill/>
            </a:ln>
            <a:effectLst/>
          </c:spPr>
          <c:invertIfNegative val="0"/>
          <c:dLbls>
            <c:spPr>
              <a:noFill/>
              <a:ln>
                <a:noFill/>
              </a:ln>
              <a:effectLst/>
            </c:spPr>
            <c:txPr>
              <a:bodyPr rot="0" vert="horz"/>
              <a:lstStyle/>
              <a:p>
                <a:pPr>
                  <a:defRPr b="1">
                    <a:solidFill>
                      <a:schemeClr val="accent5">
                        <a:lumMod val="20000"/>
                        <a:lumOff val="80000"/>
                      </a:schemeClr>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sipas Burimit'!$P$6:$Z$6</c:f>
              <c:numCache>
                <c:formatCode>General</c:formatCode>
                <c:ptCount val="6"/>
                <c:pt idx="0">
                  <c:v>2020</c:v>
                </c:pt>
                <c:pt idx="1">
                  <c:v>2021</c:v>
                </c:pt>
                <c:pt idx="2">
                  <c:v>2022</c:v>
                </c:pt>
                <c:pt idx="3">
                  <c:v>2023</c:v>
                </c:pt>
                <c:pt idx="4">
                  <c:v>2024</c:v>
                </c:pt>
                <c:pt idx="5">
                  <c:v>2025</c:v>
                </c:pt>
              </c:numCache>
            </c:numRef>
          </c:cat>
          <c:val>
            <c:numRef>
              <c:f>'Te Ardhurat sipas Burimit'!$P$8:$Z$8</c:f>
              <c:numCache>
                <c:formatCode>0.0</c:formatCode>
                <c:ptCount val="6"/>
                <c:pt idx="0">
                  <c:v>0.38</c:v>
                </c:pt>
                <c:pt idx="1">
                  <c:v>0.38484000000000002</c:v>
                </c:pt>
                <c:pt idx="2">
                  <c:v>7.1999999999999995E-2</c:v>
                </c:pt>
                <c:pt idx="3">
                  <c:v>5.9789760000000004E-2</c:v>
                </c:pt>
                <c:pt idx="4">
                  <c:v>6.8182160000000006E-2</c:v>
                </c:pt>
                <c:pt idx="5">
                  <c:v>3.5999999999999997E-2</c:v>
                </c:pt>
              </c:numCache>
            </c:numRef>
          </c:val>
          <c:extLst>
            <c:ext xmlns:c16="http://schemas.microsoft.com/office/drawing/2014/chart" uri="{C3380CC4-5D6E-409C-BE32-E72D297353CC}">
              <c16:uniqueId val="{00000001-91C8-4E98-BBB3-637DA259F685}"/>
            </c:ext>
          </c:extLst>
        </c:ser>
        <c:ser>
          <c:idx val="2"/>
          <c:order val="2"/>
          <c:tx>
            <c:strRef>
              <c:f>'Te Ardhurat sipas Burimit'!$J$9</c:f>
              <c:strCache>
                <c:ptCount val="1"/>
                <c:pt idx="0">
                  <c:v>Tarifat e shërbimeve</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sz="800" b="1">
                    <a:solidFill>
                      <a:schemeClr val="tx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sipas Burimit'!$P$6:$Z$6</c:f>
              <c:numCache>
                <c:formatCode>General</c:formatCode>
                <c:ptCount val="6"/>
                <c:pt idx="0">
                  <c:v>2020</c:v>
                </c:pt>
                <c:pt idx="1">
                  <c:v>2021</c:v>
                </c:pt>
                <c:pt idx="2">
                  <c:v>2022</c:v>
                </c:pt>
                <c:pt idx="3">
                  <c:v>2023</c:v>
                </c:pt>
                <c:pt idx="4">
                  <c:v>2024</c:v>
                </c:pt>
                <c:pt idx="5">
                  <c:v>2025</c:v>
                </c:pt>
              </c:numCache>
            </c:numRef>
          </c:cat>
          <c:val>
            <c:numRef>
              <c:f>'Te Ardhurat sipas Burimit'!$P$9:$Z$9</c:f>
              <c:numCache>
                <c:formatCode>0.0</c:formatCode>
                <c:ptCount val="6"/>
                <c:pt idx="0">
                  <c:v>6.5</c:v>
                </c:pt>
                <c:pt idx="1">
                  <c:v>7.8</c:v>
                </c:pt>
                <c:pt idx="2">
                  <c:v>8.8140000000000001</c:v>
                </c:pt>
                <c:pt idx="3">
                  <c:v>8.9680433500000021</c:v>
                </c:pt>
                <c:pt idx="4">
                  <c:v>11.092728490000001</c:v>
                </c:pt>
                <c:pt idx="5">
                  <c:v>11.016999999999999</c:v>
                </c:pt>
              </c:numCache>
            </c:numRef>
          </c:val>
          <c:extLst>
            <c:ext xmlns:c16="http://schemas.microsoft.com/office/drawing/2014/chart" uri="{C3380CC4-5D6E-409C-BE32-E72D297353CC}">
              <c16:uniqueId val="{00000002-91C8-4E98-BBB3-637DA259F685}"/>
            </c:ext>
          </c:extLst>
        </c:ser>
        <c:ser>
          <c:idx val="3"/>
          <c:order val="3"/>
          <c:tx>
            <c:strRef>
              <c:f>'Te Ardhurat sipas Burimit'!$J$10</c:f>
              <c:strCache>
                <c:ptCount val="1"/>
                <c:pt idx="0">
                  <c:v>Taksa e ndikimit në infrastrukturë</c:v>
                </c:pt>
              </c:strCache>
            </c:strRef>
          </c:tx>
          <c:spPr>
            <a:solidFill>
              <a:srgbClr val="92D050"/>
            </a:solidFill>
            <a:ln>
              <a:noFill/>
            </a:ln>
            <a:effectLst/>
          </c:spPr>
          <c:invertIfNegative val="0"/>
          <c:dLbls>
            <c:spPr>
              <a:noFill/>
              <a:ln>
                <a:noFill/>
              </a:ln>
              <a:effectLst/>
            </c:spPr>
            <c:txPr>
              <a:bodyPr rot="0" vert="horz"/>
              <a:lstStyle/>
              <a:p>
                <a:pPr>
                  <a:defRPr sz="8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sipas Burimit'!$P$6:$Z$6</c:f>
              <c:numCache>
                <c:formatCode>General</c:formatCode>
                <c:ptCount val="6"/>
                <c:pt idx="0">
                  <c:v>2020</c:v>
                </c:pt>
                <c:pt idx="1">
                  <c:v>2021</c:v>
                </c:pt>
                <c:pt idx="2">
                  <c:v>2022</c:v>
                </c:pt>
                <c:pt idx="3">
                  <c:v>2023</c:v>
                </c:pt>
                <c:pt idx="4">
                  <c:v>2024</c:v>
                </c:pt>
                <c:pt idx="5">
                  <c:v>2025</c:v>
                </c:pt>
              </c:numCache>
            </c:numRef>
          </c:cat>
          <c:val>
            <c:numRef>
              <c:f>'Te Ardhurat sipas Burimit'!$P$10:$Z$10</c:f>
              <c:numCache>
                <c:formatCode>0.0</c:formatCode>
                <c:ptCount val="6"/>
                <c:pt idx="0">
                  <c:v>7.9</c:v>
                </c:pt>
                <c:pt idx="1">
                  <c:v>9.5</c:v>
                </c:pt>
                <c:pt idx="2">
                  <c:v>10.143000000000001</c:v>
                </c:pt>
                <c:pt idx="3">
                  <c:v>13.051202009999997</c:v>
                </c:pt>
                <c:pt idx="4">
                  <c:v>18.514598819999996</c:v>
                </c:pt>
                <c:pt idx="5">
                  <c:v>16.399999999999999</c:v>
                </c:pt>
              </c:numCache>
            </c:numRef>
          </c:val>
          <c:extLst>
            <c:ext xmlns:c16="http://schemas.microsoft.com/office/drawing/2014/chart" uri="{C3380CC4-5D6E-409C-BE32-E72D297353CC}">
              <c16:uniqueId val="{00000003-91C8-4E98-BBB3-637DA259F685}"/>
            </c:ext>
          </c:extLst>
        </c:ser>
        <c:ser>
          <c:idx val="4"/>
          <c:order val="4"/>
          <c:tx>
            <c:strRef>
              <c:f>'Te Ardhurat sipas Burimit'!$J$11</c:f>
              <c:strCache>
                <c:ptCount val="1"/>
                <c:pt idx="0">
                  <c:v>Të tjera taksa vendore</c:v>
                </c:pt>
              </c:strCache>
            </c:strRef>
          </c:tx>
          <c:spPr>
            <a:solidFill>
              <a:srgbClr val="FFC000"/>
            </a:solidFill>
            <a:ln>
              <a:noFill/>
            </a:ln>
            <a:effectLst/>
          </c:spPr>
          <c:invertIfNegative val="0"/>
          <c:dLbls>
            <c:spPr>
              <a:noFill/>
              <a:ln>
                <a:noFill/>
              </a:ln>
              <a:effectLst/>
            </c:spPr>
            <c:txPr>
              <a:bodyPr rot="0" vert="horz"/>
              <a:lstStyle/>
              <a:p>
                <a:pPr>
                  <a:defRPr sz="8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sipas Burimit'!$P$6:$Z$6</c:f>
              <c:numCache>
                <c:formatCode>General</c:formatCode>
                <c:ptCount val="6"/>
                <c:pt idx="0">
                  <c:v>2020</c:v>
                </c:pt>
                <c:pt idx="1">
                  <c:v>2021</c:v>
                </c:pt>
                <c:pt idx="2">
                  <c:v>2022</c:v>
                </c:pt>
                <c:pt idx="3">
                  <c:v>2023</c:v>
                </c:pt>
                <c:pt idx="4">
                  <c:v>2024</c:v>
                </c:pt>
                <c:pt idx="5">
                  <c:v>2025</c:v>
                </c:pt>
              </c:numCache>
            </c:numRef>
          </c:cat>
          <c:val>
            <c:numRef>
              <c:f>'Te Ardhurat sipas Burimit'!$P$11:$Z$11</c:f>
              <c:numCache>
                <c:formatCode>0.0</c:formatCode>
                <c:ptCount val="6"/>
                <c:pt idx="0">
                  <c:v>4.4000000000000004</c:v>
                </c:pt>
                <c:pt idx="1">
                  <c:v>5.7140000000000004</c:v>
                </c:pt>
                <c:pt idx="2">
                  <c:v>5.8023610000000003</c:v>
                </c:pt>
                <c:pt idx="3">
                  <c:v>6.6897551599999998</c:v>
                </c:pt>
                <c:pt idx="4">
                  <c:v>7.1083052999999996</c:v>
                </c:pt>
                <c:pt idx="5">
                  <c:v>9.1999999999999993</c:v>
                </c:pt>
              </c:numCache>
            </c:numRef>
          </c:val>
          <c:extLst>
            <c:ext xmlns:c16="http://schemas.microsoft.com/office/drawing/2014/chart" uri="{C3380CC4-5D6E-409C-BE32-E72D297353CC}">
              <c16:uniqueId val="{00000004-91C8-4E98-BBB3-637DA259F685}"/>
            </c:ext>
          </c:extLst>
        </c:ser>
        <c:dLbls>
          <c:showLegendKey val="0"/>
          <c:showVal val="0"/>
          <c:showCatName val="0"/>
          <c:showSerName val="0"/>
          <c:showPercent val="0"/>
          <c:showBubbleSize val="0"/>
        </c:dLbls>
        <c:gapWidth val="125"/>
        <c:overlap val="100"/>
        <c:axId val="105379328"/>
        <c:axId val="105380864"/>
      </c:barChart>
      <c:lineChart>
        <c:grouping val="standard"/>
        <c:varyColors val="0"/>
        <c:ser>
          <c:idx val="5"/>
          <c:order val="5"/>
          <c:tx>
            <c:strRef>
              <c:f>'Te Ardhurat sipas Burimit'!$J$12</c:f>
              <c:strCache>
                <c:ptCount val="1"/>
                <c:pt idx="0">
                  <c:v>Totali i të ardhurave të veta</c:v>
                </c:pt>
              </c:strCache>
            </c:strRef>
          </c:tx>
          <c:spPr>
            <a:ln w="28575" cap="rnd">
              <a:solidFill>
                <a:schemeClr val="accent6"/>
              </a:solidFill>
              <a:round/>
            </a:ln>
            <a:effectLst/>
          </c:spPr>
          <c:marker>
            <c:symbol val="circle"/>
            <c:size val="5"/>
          </c:marker>
          <c:dLbls>
            <c:spPr>
              <a:noFill/>
              <a:ln>
                <a:noFill/>
              </a:ln>
              <a:effectLst/>
            </c:spPr>
            <c:txPr>
              <a:bodyPr rot="0" vert="horz"/>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'C:\Users\Ersila\OneDrive\Desktop\Mariel Folder\Raporti i Realizimit te Buxhetit Vendor 2021\Materiali perfundimtar nga MFE\[2017-2021 Formatet e tabelave te shpenzimeve te nevojshme per analizen final.xlsx]Te dhenat vjetore te PV 2'!$G$15:$Q$15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'Te Ardhurat sipas Burimit'!$P$12:$Z$12</c:f>
              <c:numCache>
                <c:formatCode>0.0</c:formatCode>
                <c:ptCount val="6"/>
                <c:pt idx="0">
                  <c:v>24.28</c:v>
                </c:pt>
                <c:pt idx="1">
                  <c:v>29.51484</c:v>
                </c:pt>
                <c:pt idx="2">
                  <c:v>30.969361000000003</c:v>
                </c:pt>
                <c:pt idx="3">
                  <c:v>34.949393299999997</c:v>
                </c:pt>
                <c:pt idx="4">
                  <c:v>44.453706759999996</c:v>
                </c:pt>
                <c:pt idx="5">
                  <c:v>44.753</c:v>
                </c:pt>
              </c:numCache>
            </c:numRef>
          </c:val>
          <c:smooth val="1"/>
          <c:extLst>
            <c:ext xmlns:c16="http://schemas.microsoft.com/office/drawing/2014/chart" uri="{C3380CC4-5D6E-409C-BE32-E72D297353CC}">
              <c16:uniqueId val="{00000005-91C8-4E98-BBB3-637DA259F685}"/>
            </c:ext>
          </c:extLst>
        </c:ser>
        <c:dLbls>
          <c:showLegendKey val="0"/>
          <c:showVal val="0"/>
          <c:showCatName val="0"/>
          <c:showSerName val="0"/>
          <c:showPercent val="0"/>
          <c:showBubbleSize val="0"/>
        </c:dLbls>
        <c:marker val="1"/>
        <c:smooth val="0"/>
        <c:axId val="105379328"/>
        <c:axId val="105380864"/>
      </c:lineChart>
      <c:catAx>
        <c:axId val="10537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1"/>
            </a:pPr>
            <a:endParaRPr lang="en-US"/>
          </a:p>
        </c:txPr>
        <c:crossAx val="105380864"/>
        <c:crosses val="autoZero"/>
        <c:auto val="1"/>
        <c:lblAlgn val="ctr"/>
        <c:lblOffset val="100"/>
        <c:noMultiLvlLbl val="0"/>
      </c:catAx>
      <c:valAx>
        <c:axId val="10538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800"/>
                </a:pPr>
                <a:r>
                  <a:rPr lang="en-US" sz="800"/>
                  <a:t>Në </a:t>
                </a:r>
                <a:r>
                  <a:rPr lang="en-US" sz="800" b="1" i="0" u="none" strike="noStrike" kern="1200" baseline="0">
                    <a:solidFill>
                      <a:sysClr val="windowText" lastClr="000000"/>
                    </a:solidFill>
                    <a:latin typeface="Calibri" panose="020F0502020204030204" pitchFamily="34" charset="0"/>
                    <a:ea typeface="+mn-ea"/>
                    <a:cs typeface="Calibri" panose="020F0502020204030204" pitchFamily="34" charset="0"/>
                  </a:rPr>
                  <a:t>miliardë</a:t>
                </a:r>
                <a:r>
                  <a:rPr lang="en-US" sz="800"/>
                  <a:t> </a:t>
                </a:r>
                <a:r>
                  <a:rPr lang="en-US" sz="800" b="1" i="0" u="none" strike="noStrike" kern="1200" baseline="0">
                    <a:solidFill>
                      <a:sysClr val="windowText" lastClr="000000"/>
                    </a:solidFill>
                    <a:latin typeface="Calibri" panose="020F0502020204030204" pitchFamily="34" charset="0"/>
                    <a:ea typeface="+mn-ea"/>
                    <a:cs typeface="Calibri" panose="020F0502020204030204" pitchFamily="34" charset="0"/>
                  </a:rPr>
                  <a:t>LEK</a:t>
                </a:r>
                <a:endParaRPr lang="en-US" sz="800"/>
              </a:p>
            </c:rich>
          </c:tx>
          <c:layout>
            <c:manualLayout>
              <c:xMode val="edge"/>
              <c:yMode val="edge"/>
              <c:x val="0"/>
              <c:y val="4.5610775690094663E-4"/>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sz="800"/>
            </a:pPr>
            <a:endParaRPr lang="en-US"/>
          </a:p>
        </c:txPr>
        <c:crossAx val="105379328"/>
        <c:crosses val="autoZero"/>
        <c:crossBetween val="between"/>
      </c:valAx>
      <c:spPr>
        <a:noFill/>
        <a:ln>
          <a:noFill/>
        </a:ln>
        <a:effectLst/>
      </c:spPr>
    </c:plotArea>
    <c:legend>
      <c:legendPos val="b"/>
      <c:layout>
        <c:manualLayout>
          <c:xMode val="edge"/>
          <c:yMode val="edge"/>
          <c:x val="2.6619422572178492E-2"/>
          <c:y val="0.83734665859075308"/>
          <c:w val="0.95040633282873599"/>
          <c:h val="0.13487542903290936"/>
        </c:manualLayout>
      </c:layout>
      <c:overlay val="0"/>
      <c:spPr>
        <a:noFill/>
        <a:ln>
          <a:solidFill>
            <a:schemeClr val="accent1"/>
          </a:solidFill>
        </a:ln>
        <a:effectLst/>
      </c:spPr>
      <c:txPr>
        <a:bodyPr rot="0" vert="horz"/>
        <a:lstStyle/>
        <a:p>
          <a:pPr>
            <a:defRPr sz="800" b="1"/>
          </a:pPr>
          <a:endParaRPr lang="en-US"/>
        </a:p>
      </c:txPr>
    </c:legend>
    <c:plotVisOnly val="1"/>
    <c:dispBlanksAs val="gap"/>
    <c:showDLblsOverMax val="0"/>
  </c:chart>
  <c:spPr>
    <a:solidFill>
      <a:schemeClr val="tx2">
        <a:lumMod val="10000"/>
        <a:lumOff val="90000"/>
      </a:schemeClr>
    </a:solidFill>
    <a:ln w="9525" cap="flat" cmpd="sng" algn="ctr">
      <a:solidFill>
        <a:schemeClr val="tx1">
          <a:lumMod val="15000"/>
          <a:lumOff val="85000"/>
        </a:schemeClr>
      </a:solidFill>
      <a:round/>
    </a:ln>
    <a:effectLst/>
  </c:spPr>
  <c:txPr>
    <a:bodyPr/>
    <a:lstStyle/>
    <a:p>
      <a:pPr>
        <a:defRPr sz="900">
          <a:solidFill>
            <a:schemeClr val="tx1"/>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54852140418895E-2"/>
          <c:y val="4.1495982890236378E-2"/>
          <c:w val="0.83978574450666899"/>
          <c:h val="0.73541491443783169"/>
        </c:manualLayout>
      </c:layout>
      <c:barChart>
        <c:barDir val="col"/>
        <c:grouping val="clustered"/>
        <c:varyColors val="0"/>
        <c:ser>
          <c:idx val="2"/>
          <c:order val="2"/>
          <c:tx>
            <c:strRef>
              <c:f>'pergjithshm 2025'!$B$21</c:f>
              <c:strCache>
                <c:ptCount val="1"/>
                <c:pt idx="0">
                  <c:v>Shpenzimet e buxhetit vendor</c:v>
                </c:pt>
              </c:strCache>
            </c:strRef>
          </c:tx>
          <c:spPr>
            <a:solidFill>
              <a:schemeClr val="accent1">
                <a:lumMod val="60000"/>
                <a:lumOff val="40000"/>
                <a:alpha val="75000"/>
              </a:schemeClr>
            </a:solidFill>
            <a:ln>
              <a:solidFill>
                <a:schemeClr val="accent1">
                  <a:lumMod val="60000"/>
                  <a:lumOff val="40000"/>
                </a:schemeClr>
              </a:solidFill>
            </a:ln>
            <a:effectLst/>
          </c:spPr>
          <c:invertIfNegative val="0"/>
          <c:dLbls>
            <c:numFmt formatCode="#,##0" sourceLinked="0"/>
            <c:spPr>
              <a:noFill/>
              <a:ln>
                <a:noFill/>
              </a:ln>
              <a:effectLst/>
            </c:spPr>
            <c:txPr>
              <a:bodyPr/>
              <a:lstStyle/>
              <a:p>
                <a:pPr>
                  <a:defRPr sz="8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2025'!$E$18:$O$18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2025'!$E$21:$O$21</c:f>
              <c:numCache>
                <c:formatCode>#,##0</c:formatCode>
                <c:ptCount val="11"/>
                <c:pt idx="0">
                  <c:v>34066</c:v>
                </c:pt>
                <c:pt idx="1">
                  <c:v>43580</c:v>
                </c:pt>
                <c:pt idx="2">
                  <c:v>46486.67</c:v>
                </c:pt>
                <c:pt idx="3">
                  <c:v>49615.41</c:v>
                </c:pt>
                <c:pt idx="4">
                  <c:v>56226.75</c:v>
                </c:pt>
                <c:pt idx="5">
                  <c:v>51626.37</c:v>
                </c:pt>
                <c:pt idx="6">
                  <c:v>52593</c:v>
                </c:pt>
                <c:pt idx="7">
                  <c:v>58696</c:v>
                </c:pt>
                <c:pt idx="8">
                  <c:v>68841</c:v>
                </c:pt>
                <c:pt idx="9">
                  <c:v>74406.509999999995</c:v>
                </c:pt>
                <c:pt idx="10">
                  <c:v>87793.44</c:v>
                </c:pt>
              </c:numCache>
            </c:numRef>
          </c:val>
          <c:extLst>
            <c:ext xmlns:c16="http://schemas.microsoft.com/office/drawing/2014/chart" uri="{C3380CC4-5D6E-409C-BE32-E72D297353CC}">
              <c16:uniqueId val="{00000000-A021-400D-B34A-394EFB11B83B}"/>
            </c:ext>
          </c:extLst>
        </c:ser>
        <c:dLbls>
          <c:showLegendKey val="0"/>
          <c:showVal val="0"/>
          <c:showCatName val="0"/>
          <c:showSerName val="0"/>
          <c:showPercent val="0"/>
          <c:showBubbleSize val="0"/>
        </c:dLbls>
        <c:gapWidth val="48"/>
        <c:axId val="103644544"/>
        <c:axId val="103662720"/>
      </c:barChart>
      <c:lineChart>
        <c:grouping val="standard"/>
        <c:varyColors val="0"/>
        <c:ser>
          <c:idx val="0"/>
          <c:order val="0"/>
          <c:tx>
            <c:strRef>
              <c:f>'pergjithshm 2025'!$B$19</c:f>
              <c:strCache>
                <c:ptCount val="1"/>
                <c:pt idx="0">
                  <c:v>Në % ndaj totalit të shpenzimeve</c:v>
                </c:pt>
              </c:strCache>
            </c:strRef>
          </c:tx>
          <c:spPr>
            <a:ln w="22225" cap="rnd">
              <a:solidFill>
                <a:srgbClr val="233AAF"/>
              </a:solidFill>
              <a:round/>
            </a:ln>
            <a:effectLst/>
          </c:spPr>
          <c:marker>
            <c:symbol val="circle"/>
            <c:size val="6"/>
            <c:spPr>
              <a:solidFill>
                <a:schemeClr val="lt1"/>
              </a:solidFill>
              <a:ln w="15875">
                <a:solidFill>
                  <a:schemeClr val="accent1"/>
                </a:solidFill>
                <a:round/>
              </a:ln>
              <a:effectLst/>
            </c:spPr>
          </c:marker>
          <c:dLbls>
            <c:numFmt formatCode="0.00%" sourceLinked="0"/>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2025'!$E$18:$O$18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2025'!$E$19:$O$19</c:f>
              <c:numCache>
                <c:formatCode>0.00%</c:formatCode>
                <c:ptCount val="11"/>
                <c:pt idx="0">
                  <c:v>7.7881520228253717E-2</c:v>
                </c:pt>
                <c:pt idx="1">
                  <c:v>0.10048490074867938</c:v>
                </c:pt>
                <c:pt idx="2">
                  <c:v>0.10074925625728257</c:v>
                </c:pt>
                <c:pt idx="3">
                  <c:v>0.10420184399301442</c:v>
                </c:pt>
                <c:pt idx="4">
                  <c:v>0.11430588632698975</c:v>
                </c:pt>
                <c:pt idx="5">
                  <c:v>9.6267831126258793E-2</c:v>
                </c:pt>
                <c:pt idx="6">
                  <c:v>8.8201999399609918E-2</c:v>
                </c:pt>
                <c:pt idx="7">
                  <c:v>9.0160748984278394E-2</c:v>
                </c:pt>
                <c:pt idx="8">
                  <c:v>0.10200851462364315</c:v>
                </c:pt>
                <c:pt idx="9">
                  <c:v>0.10212658215269296</c:v>
                </c:pt>
                <c:pt idx="10">
                  <c:v>0.10950973791438562</c:v>
                </c:pt>
              </c:numCache>
            </c:numRef>
          </c:val>
          <c:smooth val="1"/>
          <c:extLst>
            <c:ext xmlns:c16="http://schemas.microsoft.com/office/drawing/2014/chart" uri="{C3380CC4-5D6E-409C-BE32-E72D297353CC}">
              <c16:uniqueId val="{00000001-A021-400D-B34A-394EFB11B83B}"/>
            </c:ext>
          </c:extLst>
        </c:ser>
        <c:ser>
          <c:idx val="1"/>
          <c:order val="1"/>
          <c:tx>
            <c:strRef>
              <c:f>'pergjithshm 2025'!$B$20</c:f>
              <c:strCache>
                <c:ptCount val="1"/>
                <c:pt idx="0">
                  <c:v>Në % ndaj PBB-së</c:v>
                </c:pt>
              </c:strCache>
            </c:strRef>
          </c:tx>
          <c:spPr>
            <a:ln w="12700">
              <a:solidFill>
                <a:srgbClr val="FF0000"/>
              </a:solidFill>
              <a:prstDash val="solid"/>
            </a:ln>
          </c:spPr>
          <c:marker>
            <c:symbol val="circle"/>
            <c:size val="6"/>
            <c:spPr>
              <a:solidFill>
                <a:schemeClr val="lt1"/>
              </a:solidFill>
              <a:ln w="15875">
                <a:solidFill>
                  <a:schemeClr val="accent2"/>
                </a:solidFill>
                <a:round/>
              </a:ln>
              <a:effectLst/>
            </c:spPr>
          </c:marker>
          <c:dLbls>
            <c:numFmt formatCode="0.00%" sourceLinked="0"/>
            <c:spPr>
              <a:noFill/>
              <a:ln w="25400">
                <a:noFill/>
              </a:ln>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2025'!$E$18:$O$18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2025'!$E$20:$O$20</c:f>
              <c:numCache>
                <c:formatCode>0.00%</c:formatCode>
                <c:ptCount val="11"/>
                <c:pt idx="0">
                  <c:v>2.3750843717185013E-2</c:v>
                </c:pt>
                <c:pt idx="1">
                  <c:v>2.959634489444634E-2</c:v>
                </c:pt>
                <c:pt idx="2">
                  <c:v>2.9978944232202879E-2</c:v>
                </c:pt>
                <c:pt idx="3">
                  <c:v>3.0313741423447976E-2</c:v>
                </c:pt>
                <c:pt idx="4">
                  <c:v>3.3232844908957546E-2</c:v>
                </c:pt>
                <c:pt idx="5">
                  <c:v>3.1401430711578596E-2</c:v>
                </c:pt>
                <c:pt idx="6">
                  <c:v>2.8334115471576188E-2</c:v>
                </c:pt>
                <c:pt idx="7" formatCode="0.0%">
                  <c:v>2.7303741565266902E-2</c:v>
                </c:pt>
                <c:pt idx="8">
                  <c:v>2.9117158910381021E-2</c:v>
                </c:pt>
                <c:pt idx="9">
                  <c:v>2.9551957645900021E-2</c:v>
                </c:pt>
                <c:pt idx="10">
                  <c:v>3.3223515984240733E-2</c:v>
                </c:pt>
              </c:numCache>
            </c:numRef>
          </c:val>
          <c:smooth val="1"/>
          <c:extLst>
            <c:ext xmlns:c16="http://schemas.microsoft.com/office/drawing/2014/chart" uri="{C3380CC4-5D6E-409C-BE32-E72D297353CC}">
              <c16:uniqueId val="{00000002-A021-400D-B34A-394EFB11B83B}"/>
            </c:ext>
          </c:extLst>
        </c:ser>
        <c:dLbls>
          <c:showLegendKey val="0"/>
          <c:showVal val="0"/>
          <c:showCatName val="0"/>
          <c:showSerName val="0"/>
          <c:showPercent val="0"/>
          <c:showBubbleSize val="0"/>
        </c:dLbls>
        <c:marker val="1"/>
        <c:smooth val="0"/>
        <c:axId val="103664640"/>
        <c:axId val="103670528"/>
      </c:lineChart>
      <c:catAx>
        <c:axId val="103644544"/>
        <c:scaling>
          <c:orientation val="minMax"/>
        </c:scaling>
        <c:delete val="0"/>
        <c:axPos val="b"/>
        <c:majorGridlines>
          <c:spPr>
            <a:ln>
              <a:solidFill>
                <a:sysClr val="window" lastClr="FFFFFF"/>
              </a:solidFill>
            </a:ln>
            <a:effectLst>
              <a:outerShdw blurRad="50800" dist="50800" dir="5400000" algn="ctr" rotWithShape="0">
                <a:schemeClr val="bg1"/>
              </a:outerShdw>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b="1"/>
            </a:pPr>
            <a:endParaRPr lang="en-US"/>
          </a:p>
        </c:txPr>
        <c:crossAx val="103662720"/>
        <c:crosses val="autoZero"/>
        <c:auto val="1"/>
        <c:lblAlgn val="ctr"/>
        <c:lblOffset val="100"/>
        <c:noMultiLvlLbl val="0"/>
      </c:catAx>
      <c:valAx>
        <c:axId val="103662720"/>
        <c:scaling>
          <c:orientation val="minMax"/>
        </c:scaling>
        <c:delete val="0"/>
        <c:axPos val="l"/>
        <c:majorGridlines>
          <c:spPr>
            <a:ln w="9525" cap="flat" cmpd="sng" algn="ctr">
              <a:solidFill>
                <a:schemeClr val="bg1"/>
              </a:solidFill>
              <a:round/>
            </a:ln>
            <a:effectLst/>
          </c:spPr>
        </c:majorGridlines>
        <c:title>
          <c:tx>
            <c:rich>
              <a:bodyPr/>
              <a:lstStyle/>
              <a:p>
                <a:pPr>
                  <a:defRPr/>
                </a:pPr>
                <a:r>
                  <a:rPr lang="en-GB"/>
                  <a:t>ne </a:t>
                </a:r>
                <a:r>
                  <a:rPr lang="en-GB" sz="800" b="0" i="0" u="none" strike="noStrike" kern="1200" baseline="0">
                    <a:solidFill>
                      <a:srgbClr val="000000"/>
                    </a:solidFill>
                    <a:latin typeface="Calibri"/>
                    <a:ea typeface="Calibri"/>
                    <a:cs typeface="Calibri"/>
                  </a:rPr>
                  <a:t>milionë</a:t>
                </a:r>
                <a:r>
                  <a:rPr lang="en-GB"/>
                  <a:t> leke</a:t>
                </a:r>
              </a:p>
            </c:rich>
          </c:tx>
          <c:layout>
            <c:manualLayout>
              <c:xMode val="edge"/>
              <c:yMode val="edge"/>
              <c:x val="0"/>
              <c:y val="5.3991084575538938E-2"/>
            </c:manualLayout>
          </c:layout>
          <c:overlay val="0"/>
        </c:title>
        <c:numFmt formatCode="#,##0" sourceLinked="1"/>
        <c:majorTickMark val="none"/>
        <c:minorTickMark val="none"/>
        <c:tickLblPos val="nextTo"/>
        <c:spPr>
          <a:ln w="9525">
            <a:noFill/>
          </a:ln>
        </c:spPr>
        <c:txPr>
          <a:bodyPr rot="0" vert="horz"/>
          <a:lstStyle/>
          <a:p>
            <a:pPr>
              <a:defRPr/>
            </a:pPr>
            <a:endParaRPr lang="en-US"/>
          </a:p>
        </c:txPr>
        <c:crossAx val="103644544"/>
        <c:crosses val="autoZero"/>
        <c:crossBetween val="between"/>
      </c:valAx>
      <c:catAx>
        <c:axId val="103664640"/>
        <c:scaling>
          <c:orientation val="minMax"/>
        </c:scaling>
        <c:delete val="1"/>
        <c:axPos val="b"/>
        <c:numFmt formatCode="General" sourceLinked="1"/>
        <c:majorTickMark val="out"/>
        <c:minorTickMark val="none"/>
        <c:tickLblPos val="nextTo"/>
        <c:crossAx val="103670528"/>
        <c:crosses val="autoZero"/>
        <c:auto val="1"/>
        <c:lblAlgn val="ctr"/>
        <c:lblOffset val="100"/>
        <c:noMultiLvlLbl val="0"/>
      </c:catAx>
      <c:valAx>
        <c:axId val="103670528"/>
        <c:scaling>
          <c:orientation val="minMax"/>
        </c:scaling>
        <c:delete val="0"/>
        <c:axPos val="r"/>
        <c:numFmt formatCode="0%" sourceLinked="0"/>
        <c:majorTickMark val="none"/>
        <c:minorTickMark val="none"/>
        <c:tickLblPos val="nextTo"/>
        <c:spPr>
          <a:ln w="9525">
            <a:noFill/>
          </a:ln>
        </c:spPr>
        <c:txPr>
          <a:bodyPr rot="0" vert="horz"/>
          <a:lstStyle/>
          <a:p>
            <a:pPr>
              <a:defRPr/>
            </a:pPr>
            <a:endParaRPr lang="en-US"/>
          </a:p>
        </c:txPr>
        <c:crossAx val="103664640"/>
        <c:crosses val="max"/>
        <c:crossBetween val="between"/>
      </c:valAx>
      <c:spPr>
        <a:noFill/>
        <a:ln w="25400">
          <a:noFill/>
        </a:ln>
      </c:spPr>
    </c:plotArea>
    <c:legend>
      <c:legendPos val="r"/>
      <c:layout>
        <c:manualLayout>
          <c:xMode val="edge"/>
          <c:yMode val="edge"/>
          <c:x val="9.3872791397340505E-2"/>
          <c:y val="0.89240696886389737"/>
          <c:w val="0.81420278252795186"/>
          <c:h val="8.0720228339448322E-2"/>
        </c:manualLayout>
      </c:layout>
      <c:overlay val="0"/>
      <c:spPr>
        <a:noFill/>
        <a:ln w="25400">
          <a:noFill/>
        </a:ln>
      </c:spPr>
      <c:txPr>
        <a:bodyPr/>
        <a:lstStyle/>
        <a:p>
          <a:pPr>
            <a:defRPr b="1"/>
          </a:pPr>
          <a:endParaRPr lang="en-US"/>
        </a:p>
      </c:txPr>
    </c:legend>
    <c:plotVisOnly val="1"/>
    <c:dispBlanksAs val="gap"/>
    <c:showDLblsOverMax val="0"/>
  </c:chart>
  <c:spPr>
    <a:solidFill>
      <a:schemeClr val="tx2">
        <a:lumMod val="10000"/>
        <a:lumOff val="90000"/>
      </a:schemeClr>
    </a:solidFill>
    <a:ln w="9525" cap="flat" cmpd="sng" algn="ctr">
      <a:solidFill>
        <a:schemeClr val="dk1">
          <a:lumMod val="15000"/>
          <a:lumOff val="85000"/>
        </a:schemeClr>
      </a:solidFill>
      <a:round/>
    </a:ln>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4687773044167E-2"/>
          <c:y val="3.8010516851483531E-2"/>
          <c:w val="0.81690691571894469"/>
          <c:h val="0.72792959703566451"/>
        </c:manualLayout>
      </c:layout>
      <c:barChart>
        <c:barDir val="col"/>
        <c:grouping val="clustered"/>
        <c:varyColors val="0"/>
        <c:ser>
          <c:idx val="1"/>
          <c:order val="0"/>
          <c:tx>
            <c:strRef>
              <c:f>'pergjithshm 2025'!$B$21</c:f>
              <c:strCache>
                <c:ptCount val="1"/>
                <c:pt idx="0">
                  <c:v>Shpenzimet e buxhetit vendor</c:v>
                </c:pt>
              </c:strCache>
            </c:strRef>
          </c:tx>
          <c:spPr>
            <a:solidFill>
              <a:srgbClr val="0E2841">
                <a:lumMod val="50000"/>
                <a:lumOff val="50000"/>
              </a:srgbClr>
            </a:solidFill>
            <a:ln>
              <a:solidFill>
                <a:srgbClr val="0E2841">
                  <a:lumMod val="50000"/>
                  <a:lumOff val="50000"/>
                </a:srgbClr>
              </a:solidFill>
            </a:ln>
          </c:spPr>
          <c:invertIfNegative val="0"/>
          <c:dLbls>
            <c:numFmt formatCode="#,##0.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2025'!$E$18:$O$18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'pergjithshm 2025'!$E$21:$O$21</c:f>
              <c:numCache>
                <c:formatCode>#,##0</c:formatCode>
                <c:ptCount val="11"/>
                <c:pt idx="0">
                  <c:v>34066</c:v>
                </c:pt>
                <c:pt idx="1">
                  <c:v>43580</c:v>
                </c:pt>
                <c:pt idx="2">
                  <c:v>46486.67</c:v>
                </c:pt>
                <c:pt idx="3">
                  <c:v>49615.41</c:v>
                </c:pt>
                <c:pt idx="4">
                  <c:v>56226.75</c:v>
                </c:pt>
                <c:pt idx="5">
                  <c:v>51626.37</c:v>
                </c:pt>
                <c:pt idx="6">
                  <c:v>52593</c:v>
                </c:pt>
                <c:pt idx="7">
                  <c:v>58696</c:v>
                </c:pt>
                <c:pt idx="8">
                  <c:v>68841</c:v>
                </c:pt>
                <c:pt idx="9">
                  <c:v>74406.509999999995</c:v>
                </c:pt>
                <c:pt idx="10">
                  <c:v>87793.44</c:v>
                </c:pt>
              </c:numCache>
            </c:numRef>
          </c:val>
          <c:extLst>
            <c:ext xmlns:c16="http://schemas.microsoft.com/office/drawing/2014/chart" uri="{C3380CC4-5D6E-409C-BE32-E72D297353CC}">
              <c16:uniqueId val="{00000000-3C7A-4F22-AA22-6CC951C7C959}"/>
            </c:ext>
          </c:extLst>
        </c:ser>
        <c:dLbls>
          <c:showLegendKey val="0"/>
          <c:showVal val="0"/>
          <c:showCatName val="0"/>
          <c:showSerName val="0"/>
          <c:showPercent val="0"/>
          <c:showBubbleSize val="0"/>
        </c:dLbls>
        <c:gapWidth val="40"/>
        <c:axId val="103870464"/>
        <c:axId val="103872000"/>
      </c:barChart>
      <c:lineChart>
        <c:grouping val="standard"/>
        <c:varyColors val="0"/>
        <c:ser>
          <c:idx val="0"/>
          <c:order val="1"/>
          <c:tx>
            <c:strRef>
              <c:f>'pergjithshm 2025'!$B$25</c:f>
              <c:strCache>
                <c:ptCount val="1"/>
                <c:pt idx="0">
                  <c:v>Rritmi rritjes së shpenzimeve vendore</c:v>
                </c:pt>
              </c:strCache>
            </c:strRef>
          </c:tx>
          <c:spPr>
            <a:ln w="34925"/>
          </c:spPr>
          <c:marker>
            <c:symbol val="diamond"/>
            <c:size val="8"/>
            <c:spPr>
              <a:solidFill>
                <a:srgbClr val="FFC000"/>
              </a:solidFill>
              <a:ln w="3175">
                <a:solidFill>
                  <a:sysClr val="windowText" lastClr="000000"/>
                </a:solidFill>
              </a:ln>
            </c:spPr>
          </c:marker>
          <c:dLbls>
            <c:spPr>
              <a:noFill/>
              <a:ln>
                <a:noFill/>
              </a:ln>
              <a:effectLst/>
            </c:spPr>
            <c:txPr>
              <a:bodyPr/>
              <a:lstStyle/>
              <a:p>
                <a:pPr>
                  <a:defRPr sz="800"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2025'!$E$85:$R$85</c:f>
              <c:numCache>
                <c:formatCode>0_);\(0\)</c:formatCode>
                <c:ptCount val="14"/>
                <c:pt idx="0">
                  <c:v>2013</c:v>
                </c:pt>
                <c:pt idx="1">
                  <c:v>2014</c:v>
                </c:pt>
                <c:pt idx="2">
                  <c:v>2015</c:v>
                </c:pt>
                <c:pt idx="3">
                  <c:v>2016</c:v>
                </c:pt>
                <c:pt idx="4">
                  <c:v>2017</c:v>
                </c:pt>
                <c:pt idx="5">
                  <c:v>2018</c:v>
                </c:pt>
                <c:pt idx="6">
                  <c:v>2019</c:v>
                </c:pt>
                <c:pt idx="7">
                  <c:v>2020</c:v>
                </c:pt>
                <c:pt idx="8">
                  <c:v>2021</c:v>
                </c:pt>
                <c:pt idx="11">
                  <c:v>2022</c:v>
                </c:pt>
                <c:pt idx="12">
                  <c:v>2023</c:v>
                </c:pt>
                <c:pt idx="13">
                  <c:v>2024</c:v>
                </c:pt>
              </c:numCache>
            </c:numRef>
          </c:cat>
          <c:val>
            <c:numRef>
              <c:f>'pergjithshm 2025'!$E$25:$O$25</c:f>
              <c:numCache>
                <c:formatCode>0.0%</c:formatCode>
                <c:ptCount val="11"/>
                <c:pt idx="0">
                  <c:v>3.2772472335910262E-2</c:v>
                </c:pt>
                <c:pt idx="1">
                  <c:v>0.27928139493923559</c:v>
                </c:pt>
                <c:pt idx="2">
                  <c:v>6.6697338228545164E-2</c:v>
                </c:pt>
                <c:pt idx="3">
                  <c:v>6.7304025003296755E-2</c:v>
                </c:pt>
                <c:pt idx="4">
                  <c:v>0.1332517457781765</c:v>
                </c:pt>
                <c:pt idx="5">
                  <c:v>-8.1818351585321886E-2</c:v>
                </c:pt>
                <c:pt idx="6">
                  <c:v>1.8723570919280154E-2</c:v>
                </c:pt>
                <c:pt idx="7">
                  <c:v>0.11604205882912175</c:v>
                </c:pt>
                <c:pt idx="8">
                  <c:v>0.17283971650538368</c:v>
                </c:pt>
                <c:pt idx="9">
                  <c:v>8.0845862204209626E-2</c:v>
                </c:pt>
                <c:pt idx="10">
                  <c:v>0.17991611217889414</c:v>
                </c:pt>
              </c:numCache>
            </c:numRef>
          </c:val>
          <c:smooth val="1"/>
          <c:extLst>
            <c:ext xmlns:c16="http://schemas.microsoft.com/office/drawing/2014/chart" uri="{C3380CC4-5D6E-409C-BE32-E72D297353CC}">
              <c16:uniqueId val="{00000001-3C7A-4F22-AA22-6CC951C7C959}"/>
            </c:ext>
          </c:extLst>
        </c:ser>
        <c:dLbls>
          <c:showLegendKey val="0"/>
          <c:showVal val="0"/>
          <c:showCatName val="0"/>
          <c:showSerName val="0"/>
          <c:showPercent val="0"/>
          <c:showBubbleSize val="0"/>
        </c:dLbls>
        <c:marker val="1"/>
        <c:smooth val="0"/>
        <c:axId val="103686144"/>
        <c:axId val="103687680"/>
      </c:lineChart>
      <c:catAx>
        <c:axId val="103870464"/>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103872000"/>
        <c:crosses val="autoZero"/>
        <c:auto val="0"/>
        <c:lblAlgn val="ctr"/>
        <c:lblOffset val="100"/>
        <c:tickLblSkip val="1"/>
        <c:tickMarkSkip val="1"/>
        <c:noMultiLvlLbl val="0"/>
      </c:catAx>
      <c:valAx>
        <c:axId val="103872000"/>
        <c:scaling>
          <c:orientation val="minMax"/>
        </c:scaling>
        <c:delete val="0"/>
        <c:axPos val="l"/>
        <c:title>
          <c:tx>
            <c:rich>
              <a:bodyPr/>
              <a:lstStyle/>
              <a:p>
                <a:pPr>
                  <a:defRPr sz="800" b="1"/>
                </a:pPr>
                <a:r>
                  <a:rPr lang="en-US" sz="800" b="1"/>
                  <a:t>Në </a:t>
                </a:r>
                <a:r>
                  <a:rPr lang="en-US" sz="800" b="1" i="0" u="none" strike="noStrike" kern="1200" baseline="0">
                    <a:solidFill>
                      <a:srgbClr val="000000"/>
                    </a:solidFill>
                    <a:latin typeface="Calibri"/>
                    <a:ea typeface="Calibri"/>
                    <a:cs typeface="Calibri"/>
                  </a:rPr>
                  <a:t>miliardë</a:t>
                </a:r>
                <a:endParaRPr lang="en-US" sz="800" b="1"/>
              </a:p>
            </c:rich>
          </c:tx>
          <c:layout>
            <c:manualLayout>
              <c:xMode val="edge"/>
              <c:yMode val="edge"/>
              <c:x val="1.7904973416784441E-3"/>
              <c:y val="1.1384900416859656E-2"/>
            </c:manualLayout>
          </c:layout>
          <c:overlay val="0"/>
        </c:title>
        <c:numFmt formatCode="#,##0.0" sourceLinked="0"/>
        <c:majorTickMark val="cross"/>
        <c:minorTickMark val="none"/>
        <c:tickLblPos val="nextTo"/>
        <c:txPr>
          <a:bodyPr rot="0" vert="horz"/>
          <a:lstStyle/>
          <a:p>
            <a:pPr>
              <a:defRPr sz="800"/>
            </a:pPr>
            <a:endParaRPr lang="en-US"/>
          </a:p>
        </c:txPr>
        <c:crossAx val="103870464"/>
        <c:crosses val="autoZero"/>
        <c:crossBetween val="between"/>
        <c:dispUnits>
          <c:builtInUnit val="thousands"/>
        </c:dispUnits>
      </c:valAx>
      <c:catAx>
        <c:axId val="103686144"/>
        <c:scaling>
          <c:orientation val="minMax"/>
        </c:scaling>
        <c:delete val="1"/>
        <c:axPos val="b"/>
        <c:numFmt formatCode="0_);\(0\)" sourceLinked="1"/>
        <c:majorTickMark val="out"/>
        <c:minorTickMark val="none"/>
        <c:tickLblPos val="nextTo"/>
        <c:crossAx val="103687680"/>
        <c:crosses val="autoZero"/>
        <c:auto val="0"/>
        <c:lblAlgn val="ctr"/>
        <c:lblOffset val="100"/>
        <c:noMultiLvlLbl val="0"/>
      </c:catAx>
      <c:valAx>
        <c:axId val="103687680"/>
        <c:scaling>
          <c:orientation val="minMax"/>
        </c:scaling>
        <c:delete val="0"/>
        <c:axPos val="r"/>
        <c:title>
          <c:tx>
            <c:rich>
              <a:bodyPr/>
              <a:lstStyle/>
              <a:p>
                <a:pPr>
                  <a:defRPr sz="800" b="1"/>
                </a:pPr>
                <a:r>
                  <a:rPr lang="en-US" sz="800" b="1"/>
                  <a:t>Në përqindje</a:t>
                </a:r>
              </a:p>
            </c:rich>
          </c:tx>
          <c:layout>
            <c:manualLayout>
              <c:xMode val="edge"/>
              <c:yMode val="edge"/>
              <c:x val="0.9607240321494005"/>
              <c:y val="2.9005091066484638E-3"/>
            </c:manualLayout>
          </c:layout>
          <c:overlay val="0"/>
        </c:title>
        <c:numFmt formatCode="0.0" sourceLinked="0"/>
        <c:majorTickMark val="cross"/>
        <c:minorTickMark val="none"/>
        <c:tickLblPos val="nextTo"/>
        <c:txPr>
          <a:bodyPr rot="0" vert="horz"/>
          <a:lstStyle/>
          <a:p>
            <a:pPr>
              <a:defRPr sz="800"/>
            </a:pPr>
            <a:endParaRPr lang="en-US"/>
          </a:p>
        </c:txPr>
        <c:crossAx val="103686144"/>
        <c:crosses val="max"/>
        <c:crossBetween val="between"/>
      </c:valAx>
      <c:spPr>
        <a:noFill/>
        <a:ln w="25400">
          <a:noFill/>
        </a:ln>
      </c:spPr>
    </c:plotArea>
    <c:legend>
      <c:legendPos val="r"/>
      <c:layout>
        <c:manualLayout>
          <c:xMode val="edge"/>
          <c:yMode val="edge"/>
          <c:x val="3.0989299414496262E-2"/>
          <c:y val="0.91113941120404263"/>
          <c:w val="0.93855643044619408"/>
          <c:h val="6.6668737405173872E-2"/>
        </c:manualLayout>
      </c:layout>
      <c:overlay val="0"/>
      <c:spPr>
        <a:ln>
          <a:noFill/>
        </a:ln>
      </c:spPr>
      <c:txPr>
        <a:bodyPr/>
        <a:lstStyle/>
        <a:p>
          <a:pPr>
            <a:defRPr sz="800" b="1"/>
          </a:pPr>
          <a:endParaRPr lang="en-US"/>
        </a:p>
      </c:txPr>
    </c:legend>
    <c:plotVisOnly val="1"/>
    <c:dispBlanksAs val="gap"/>
    <c:showDLblsOverMax val="0"/>
  </c:chart>
  <c:spPr>
    <a:solidFill>
      <a:srgbClr val="0E2841">
        <a:lumMod val="10000"/>
        <a:lumOff val="90000"/>
      </a:srgbClr>
    </a:solidFill>
    <a:ln>
      <a:noFill/>
    </a:ln>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6627464836126234E-2"/>
          <c:y val="2.5294501170172106E-2"/>
          <c:w val="0.89487263611279355"/>
          <c:h val="0.68135532501334262"/>
        </c:manualLayout>
      </c:layout>
      <c:barChart>
        <c:barDir val="col"/>
        <c:grouping val="clustered"/>
        <c:varyColors val="0"/>
        <c:ser>
          <c:idx val="0"/>
          <c:order val="0"/>
          <c:tx>
            <c:strRef>
              <c:f>'Te dhenat vjetore shpenz 2024'!$C$23</c:f>
              <c:strCache>
                <c:ptCount val="1"/>
                <c:pt idx="0">
                  <c:v>Viti 2025</c:v>
                </c:pt>
              </c:strCache>
            </c:strRef>
          </c:tx>
          <c:spPr>
            <a:solidFill>
              <a:schemeClr val="accent3">
                <a:lumMod val="60000"/>
                <a:lumOff val="40000"/>
              </a:schemeClr>
            </a:solidFill>
          </c:spPr>
          <c:invertIfNegative val="0"/>
          <c:dLbls>
            <c:spPr>
              <a:noFill/>
              <a:ln>
                <a:noFill/>
              </a:ln>
              <a:effectLst/>
            </c:spPr>
            <c:txPr>
              <a:bodyPr wrap="square" lIns="38100" tIns="19050" rIns="38100" bIns="19050" anchor="ctr">
                <a:spAutoFit/>
              </a:bodyPr>
              <a:lstStyle/>
              <a:p>
                <a:pPr>
                  <a:defRPr sz="800" b="1">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'Te dhenat vjetore shpenz 2024'!$E$22:$J$22</c:f>
              <c:strCache>
                <c:ptCount val="6"/>
                <c:pt idx="0">
                  <c:v>Paga</c:v>
                </c:pt>
                <c:pt idx="1">
                  <c:v>Sigurime</c:v>
                </c:pt>
                <c:pt idx="2">
                  <c:v>Operative</c:v>
                </c:pt>
                <c:pt idx="3">
                  <c:v>Subvencione</c:v>
                </c:pt>
                <c:pt idx="4">
                  <c:v> të tjera korente</c:v>
                </c:pt>
                <c:pt idx="5">
                  <c:v>Shpenzime Kapitale</c:v>
                </c:pt>
              </c:strCache>
            </c:strRef>
          </c:cat>
          <c:val>
            <c:numRef>
              <c:f>'Te dhenat vjetore shpenz 2024'!$E$23:$J$23</c:f>
              <c:numCache>
                <c:formatCode>#,##0</c:formatCode>
                <c:ptCount val="6"/>
                <c:pt idx="0">
                  <c:v>34411.942461759994</c:v>
                </c:pt>
                <c:pt idx="1">
                  <c:v>5664.6129107200004</c:v>
                </c:pt>
                <c:pt idx="2">
                  <c:v>22232.24172598002</c:v>
                </c:pt>
                <c:pt idx="3">
                  <c:v>1665.94266298</c:v>
                </c:pt>
                <c:pt idx="4">
                  <c:v>4904.085501550021</c:v>
                </c:pt>
                <c:pt idx="5">
                  <c:v>18914.614737010001</c:v>
                </c:pt>
              </c:numCache>
            </c:numRef>
          </c:val>
          <c:extLst>
            <c:ext xmlns:c16="http://schemas.microsoft.com/office/drawing/2014/chart" uri="{C3380CC4-5D6E-409C-BE32-E72D297353CC}">
              <c16:uniqueId val="{00000000-C390-40A6-83C6-2317CC3FAE66}"/>
            </c:ext>
          </c:extLst>
        </c:ser>
        <c:ser>
          <c:idx val="1"/>
          <c:order val="1"/>
          <c:tx>
            <c:strRef>
              <c:f>'Te dhenat vjetore shpenz 2024'!$C$24</c:f>
              <c:strCache>
                <c:ptCount val="1"/>
                <c:pt idx="0">
                  <c:v>Viti 2024</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sz="800" b="1">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'Te dhenat vjetore shpenz 2024'!$E$22:$J$22</c:f>
              <c:strCache>
                <c:ptCount val="6"/>
                <c:pt idx="0">
                  <c:v>Paga</c:v>
                </c:pt>
                <c:pt idx="1">
                  <c:v>Sigurime</c:v>
                </c:pt>
                <c:pt idx="2">
                  <c:v>Operative</c:v>
                </c:pt>
                <c:pt idx="3">
                  <c:v>Subvencione</c:v>
                </c:pt>
                <c:pt idx="4">
                  <c:v> të tjera korente</c:v>
                </c:pt>
                <c:pt idx="5">
                  <c:v>Shpenzime Kapitale</c:v>
                </c:pt>
              </c:strCache>
            </c:strRef>
          </c:cat>
          <c:val>
            <c:numRef>
              <c:f>'Te dhenat vjetore shpenz 2024'!$E$24:$J$24</c:f>
              <c:numCache>
                <c:formatCode>#,##0</c:formatCode>
                <c:ptCount val="6"/>
                <c:pt idx="0">
                  <c:v>29168.343241999999</c:v>
                </c:pt>
                <c:pt idx="1">
                  <c:v>4845.42496252</c:v>
                </c:pt>
                <c:pt idx="2">
                  <c:v>21857.022930750001</c:v>
                </c:pt>
                <c:pt idx="3">
                  <c:v>566.53322347000005</c:v>
                </c:pt>
                <c:pt idx="4">
                  <c:v>3434.9764680600001</c:v>
                </c:pt>
                <c:pt idx="5">
                  <c:v>14534.22041736</c:v>
                </c:pt>
              </c:numCache>
            </c:numRef>
          </c:val>
          <c:extLst>
            <c:ext xmlns:c16="http://schemas.microsoft.com/office/drawing/2014/chart" uri="{C3380CC4-5D6E-409C-BE32-E72D297353CC}">
              <c16:uniqueId val="{00000001-C390-40A6-83C6-2317CC3FAE66}"/>
            </c:ext>
          </c:extLst>
        </c:ser>
        <c:dLbls>
          <c:showLegendKey val="0"/>
          <c:showVal val="0"/>
          <c:showCatName val="0"/>
          <c:showSerName val="0"/>
          <c:showPercent val="0"/>
          <c:showBubbleSize val="0"/>
        </c:dLbls>
        <c:gapWidth val="48"/>
        <c:overlap val="-20"/>
        <c:axId val="-491200592"/>
        <c:axId val="-491191888"/>
      </c:barChart>
      <c:catAx>
        <c:axId val="-49120059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sz="800" b="1">
                <a:latin typeface="Calibri" panose="020F0502020204030204" pitchFamily="34" charset="0"/>
                <a:cs typeface="Calibri" panose="020F0502020204030204" pitchFamily="34" charset="0"/>
              </a:defRPr>
            </a:pPr>
            <a:endParaRPr lang="en-US"/>
          </a:p>
        </c:txPr>
        <c:crossAx val="-491191888"/>
        <c:crosses val="autoZero"/>
        <c:auto val="1"/>
        <c:lblAlgn val="ctr"/>
        <c:lblOffset val="100"/>
        <c:noMultiLvlLbl val="0"/>
      </c:catAx>
      <c:valAx>
        <c:axId val="-491191888"/>
        <c:scaling>
          <c:orientation val="minMax"/>
        </c:scaling>
        <c:delete val="0"/>
        <c:axPos val="l"/>
        <c:title>
          <c:tx>
            <c:rich>
              <a:bodyPr rot="-5400000" vert="horz"/>
              <a:lstStyle/>
              <a:p>
                <a:pPr>
                  <a:defRPr sz="800">
                    <a:latin typeface="Calibri" panose="020F0502020204030204" pitchFamily="34" charset="0"/>
                    <a:cs typeface="Calibri" panose="020F0502020204030204" pitchFamily="34" charset="0"/>
                  </a:defRPr>
                </a:pPr>
                <a:r>
                  <a:rPr lang="sq-AL" sz="800">
                    <a:latin typeface="Calibri" panose="020F0502020204030204" pitchFamily="34" charset="0"/>
                    <a:cs typeface="Calibri" panose="020F0502020204030204" pitchFamily="34" charset="0"/>
                  </a:rPr>
                  <a:t>Në </a:t>
                </a:r>
                <a:r>
                  <a:rPr lang="sq-AL" sz="800" b="1" i="0" u="none" strike="noStrike" kern="1200" baseline="0">
                    <a:solidFill>
                      <a:sysClr val="windowText" lastClr="000000"/>
                    </a:solidFill>
                    <a:latin typeface="Calibri" panose="020F0502020204030204" pitchFamily="34" charset="0"/>
                    <a:ea typeface="+mn-ea"/>
                    <a:cs typeface="Calibri" panose="020F0502020204030204" pitchFamily="34" charset="0"/>
                  </a:rPr>
                  <a:t>milionë</a:t>
                </a:r>
                <a:endParaRPr lang="sq-AL" sz="800">
                  <a:latin typeface="Calibri" panose="020F0502020204030204" pitchFamily="34" charset="0"/>
                  <a:cs typeface="Calibri" panose="020F0502020204030204" pitchFamily="34" charset="0"/>
                </a:endParaRPr>
              </a:p>
            </c:rich>
          </c:tx>
          <c:layout>
            <c:manualLayout>
              <c:xMode val="edge"/>
              <c:yMode val="edge"/>
              <c:x val="7.0913270619786797E-3"/>
              <c:y val="1.8050893400864431E-3"/>
            </c:manualLayout>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sz="700"/>
            </a:pPr>
            <a:endParaRPr lang="en-US"/>
          </a:p>
        </c:txPr>
        <c:crossAx val="-491200592"/>
        <c:crosses val="autoZero"/>
        <c:crossBetween val="between"/>
      </c:valAx>
      <c:spPr>
        <a:noFill/>
        <a:ln w="25400">
          <a:noFill/>
        </a:ln>
        <a:effectLst>
          <a:glow>
            <a:schemeClr val="bg1"/>
          </a:glow>
          <a:outerShdw blurRad="50800" dist="50800" dir="5400000" algn="ctr" rotWithShape="0">
            <a:schemeClr val="bg1"/>
          </a:outerShdw>
          <a:softEdge rad="635000"/>
        </a:effectLst>
      </c:spPr>
    </c:plotArea>
    <c:legend>
      <c:legendPos val="b"/>
      <c:layout>
        <c:manualLayout>
          <c:xMode val="edge"/>
          <c:yMode val="edge"/>
          <c:x val="0.27606875996274016"/>
          <c:y val="0.89465405042002177"/>
          <c:w val="0.41553031832559389"/>
          <c:h val="7.771436776982675E-2"/>
        </c:manualLayout>
      </c:layout>
      <c:overlay val="0"/>
      <c:spPr>
        <a:noFill/>
        <a:ln>
          <a:noFill/>
        </a:ln>
        <a:effectLst/>
      </c:spPr>
      <c:txPr>
        <a:bodyPr rot="0" vert="horz"/>
        <a:lstStyle/>
        <a:p>
          <a:pPr>
            <a:defRPr b="1">
              <a:latin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tx2">
        <a:lumMod val="10000"/>
        <a:lumOff val="90000"/>
      </a:schemeClr>
    </a:solidFill>
    <a:ln w="9525" cap="flat" cmpd="sng" algn="ctr">
      <a:noFill/>
      <a:prstDash val="solid"/>
      <a:round/>
    </a:ln>
    <a:effectLst/>
  </c:spPr>
  <c:txPr>
    <a:bodyPr/>
    <a:lstStyle/>
    <a:p>
      <a:pPr>
        <a:defRPr sz="900">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87748994085661E-2"/>
          <c:y val="2.8455284552845527E-2"/>
          <c:w val="0.84398590939666496"/>
          <c:h val="0.57679800462317954"/>
        </c:manualLayout>
      </c:layout>
      <c:barChart>
        <c:barDir val="col"/>
        <c:grouping val="clustered"/>
        <c:varyColors val="0"/>
        <c:ser>
          <c:idx val="0"/>
          <c:order val="0"/>
          <c:tx>
            <c:strRef>
              <c:f>'[Chart 2 in Microsoft Word]Sheet1'!$D$52</c:f>
              <c:strCache>
                <c:ptCount val="1"/>
                <c:pt idx="0">
                  <c:v>Plan i rishikuar 2025</c:v>
                </c:pt>
              </c:strCache>
            </c:strRef>
          </c:tx>
          <c:spPr>
            <a:solidFill>
              <a:schemeClr val="accent1">
                <a:shade val="58000"/>
              </a:schemeClr>
            </a:solidFill>
            <a:ln>
              <a:noFill/>
            </a:ln>
            <a:effectLst/>
          </c:spPr>
          <c:invertIfNegative val="0"/>
          <c:cat>
            <c:strRef>
              <c:f>'[Chart 2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2 in Microsoft Word]Sheet1'!$D$53:$D$58</c:f>
              <c:numCache>
                <c:formatCode>_(* #,##0.0_);_(* \(#,##0.0\);_(* "-"??_);_(@_)</c:formatCode>
                <c:ptCount val="6"/>
                <c:pt idx="0">
                  <c:v>226.68668</c:v>
                </c:pt>
                <c:pt idx="1">
                  <c:v>60.387050000000002</c:v>
                </c:pt>
                <c:pt idx="2">
                  <c:v>70.961330000000004</c:v>
                </c:pt>
                <c:pt idx="3">
                  <c:v>84.212289999999996</c:v>
                </c:pt>
                <c:pt idx="4">
                  <c:v>47.106830000000002</c:v>
                </c:pt>
                <c:pt idx="5">
                  <c:v>10.266780000000001</c:v>
                </c:pt>
              </c:numCache>
            </c:numRef>
          </c:val>
          <c:extLst>
            <c:ext xmlns:c16="http://schemas.microsoft.com/office/drawing/2014/chart" uri="{C3380CC4-5D6E-409C-BE32-E72D297353CC}">
              <c16:uniqueId val="{00000000-69F1-49C5-A374-D1731B253C7D}"/>
            </c:ext>
          </c:extLst>
        </c:ser>
        <c:ser>
          <c:idx val="1"/>
          <c:order val="1"/>
          <c:tx>
            <c:strRef>
              <c:f>'[Chart 2 in Microsoft Word]Sheet1'!$E$52</c:f>
              <c:strCache>
                <c:ptCount val="1"/>
                <c:pt idx="0">
                  <c:v>Fakti 2025</c:v>
                </c:pt>
              </c:strCache>
            </c:strRef>
          </c:tx>
          <c:spPr>
            <a:solidFill>
              <a:schemeClr val="accent1">
                <a:shade val="86000"/>
              </a:schemeClr>
            </a:solidFill>
            <a:ln>
              <a:noFill/>
            </a:ln>
            <a:effectLst/>
          </c:spPr>
          <c:invertIfNegative val="0"/>
          <c:cat>
            <c:strRef>
              <c:f>'[Chart 2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2 in Microsoft Word]Sheet1'!$E$53:$E$58</c:f>
              <c:numCache>
                <c:formatCode>#,##0.0</c:formatCode>
                <c:ptCount val="6"/>
                <c:pt idx="0">
                  <c:v>227.26147</c:v>
                </c:pt>
                <c:pt idx="1">
                  <c:v>58.546729999999997</c:v>
                </c:pt>
                <c:pt idx="2">
                  <c:v>69.599320000000006</c:v>
                </c:pt>
                <c:pt idx="3">
                  <c:v>82.531909999999996</c:v>
                </c:pt>
                <c:pt idx="4">
                  <c:v>48.799050000000001</c:v>
                </c:pt>
                <c:pt idx="5">
                  <c:v>9.4863700000000009</c:v>
                </c:pt>
              </c:numCache>
            </c:numRef>
          </c:val>
          <c:extLst>
            <c:ext xmlns:c16="http://schemas.microsoft.com/office/drawing/2014/chart" uri="{C3380CC4-5D6E-409C-BE32-E72D297353CC}">
              <c16:uniqueId val="{00000001-69F1-49C5-A374-D1731B253C7D}"/>
            </c:ext>
          </c:extLst>
        </c:ser>
        <c:dLbls>
          <c:showLegendKey val="0"/>
          <c:showVal val="0"/>
          <c:showCatName val="0"/>
          <c:showSerName val="0"/>
          <c:showPercent val="0"/>
          <c:showBubbleSize val="0"/>
        </c:dLbls>
        <c:gapWidth val="219"/>
        <c:overlap val="-27"/>
        <c:axId val="2028877744"/>
        <c:axId val="2028888144"/>
      </c:barChart>
      <c:lineChart>
        <c:grouping val="standard"/>
        <c:varyColors val="0"/>
        <c:ser>
          <c:idx val="2"/>
          <c:order val="2"/>
          <c:tx>
            <c:strRef>
              <c:f>'[Chart 2 in Microsoft Word]Sheet1'!$F$52</c:f>
              <c:strCache>
                <c:ptCount val="1"/>
                <c:pt idx="0">
                  <c:v>% ndaj vitit paraardhes</c:v>
                </c:pt>
              </c:strCache>
            </c:strRef>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dLbls>
            <c:dLbl>
              <c:idx val="0"/>
              <c:layout>
                <c:manualLayout>
                  <c:x val="-9.2814170107322166E-2"/>
                  <c:y val="-0.119108214921410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1-49C5-A374-D1731B253C7D}"/>
                </c:ext>
              </c:extLst>
            </c:dLbl>
            <c:dLbl>
              <c:idx val="1"/>
              <c:layout>
                <c:manualLayout>
                  <c:x val="-5.5841842134981799E-2"/>
                  <c:y val="-3.7062928109596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1-49C5-A374-D1731B253C7D}"/>
                </c:ext>
              </c:extLst>
            </c:dLbl>
            <c:dLbl>
              <c:idx val="2"/>
              <c:layout>
                <c:manualLayout>
                  <c:x val="-5.5841842134981751E-2"/>
                  <c:y val="-3.7062928109596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1-49C5-A374-D1731B253C7D}"/>
                </c:ext>
              </c:extLst>
            </c:dLbl>
            <c:dLbl>
              <c:idx val="3"/>
              <c:layout>
                <c:manualLayout>
                  <c:x val="-5.5841842134981848E-2"/>
                  <c:y val="-2.8932846808783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1-49C5-A374-D1731B253C7D}"/>
                </c:ext>
              </c:extLst>
            </c:dLbl>
            <c:dLbl>
              <c:idx val="4"/>
              <c:layout>
                <c:manualLayout>
                  <c:x val="-5.5841842134981751E-2"/>
                  <c:y val="-2.893284680878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1-49C5-A374-D1731B253C7D}"/>
                </c:ext>
              </c:extLst>
            </c:dLbl>
            <c:dLbl>
              <c:idx val="5"/>
              <c:layout>
                <c:manualLayout>
                  <c:x val="-5.5841842134981848E-2"/>
                  <c:y val="-3.299788745918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1-49C5-A374-D1731B253C7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2 in Microsoft Word]Sheet1'!$F$53:$F$58</c:f>
              <c:numCache>
                <c:formatCode>0.0%</c:formatCode>
                <c:ptCount val="6"/>
                <c:pt idx="0">
                  <c:v>1.0619744484787312</c:v>
                </c:pt>
                <c:pt idx="1">
                  <c:v>1.027234552942029</c:v>
                </c:pt>
                <c:pt idx="2">
                  <c:v>1.097137326363711</c:v>
                </c:pt>
                <c:pt idx="3">
                  <c:v>1.2474095652773227</c:v>
                </c:pt>
                <c:pt idx="4">
                  <c:v>1.0291169856745392</c:v>
                </c:pt>
                <c:pt idx="5">
                  <c:v>1.0572433838493036</c:v>
                </c:pt>
              </c:numCache>
            </c:numRef>
          </c:val>
          <c:smooth val="0"/>
          <c:extLst>
            <c:ext xmlns:c16="http://schemas.microsoft.com/office/drawing/2014/chart" uri="{C3380CC4-5D6E-409C-BE32-E72D297353CC}">
              <c16:uniqueId val="{00000008-69F1-49C5-A374-D1731B253C7D}"/>
            </c:ext>
          </c:extLst>
        </c:ser>
        <c:ser>
          <c:idx val="3"/>
          <c:order val="3"/>
          <c:tx>
            <c:strRef>
              <c:f>'[Chart 2 in Microsoft Word]Sheet1'!$G$52</c:f>
              <c:strCache>
                <c:ptCount val="1"/>
                <c:pt idx="0">
                  <c:v>% ndaj planit te rishikuar</c:v>
                </c:pt>
              </c:strCache>
            </c:strRef>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dLbls>
            <c:dLbl>
              <c:idx val="0"/>
              <c:layout>
                <c:manualLayout>
                  <c:x val="-0.10841058552879597"/>
                  <c:y val="-2.2327209098862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F1-49C5-A374-D1731B253C7D}"/>
                </c:ext>
              </c:extLst>
            </c:dLbl>
            <c:dLbl>
              <c:idx val="1"/>
              <c:layout>
                <c:manualLayout>
                  <c:x val="-6.809138193186981E-2"/>
                  <c:y val="3.051821266244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F1-49C5-A374-D1731B253C7D}"/>
                </c:ext>
              </c:extLst>
            </c:dLbl>
            <c:dLbl>
              <c:idx val="2"/>
              <c:layout>
                <c:manualLayout>
                  <c:x val="-5.5766912866922563E-2"/>
                  <c:y val="2.893284680878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F1-49C5-A374-D1731B253C7D}"/>
                </c:ext>
              </c:extLst>
            </c:dLbl>
            <c:dLbl>
              <c:idx val="3"/>
              <c:layout>
                <c:manualLayout>
                  <c:x val="-5.304026041892556E-2"/>
                  <c:y val="3.7062928109596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F1-49C5-A374-D1731B253C7D}"/>
                </c:ext>
              </c:extLst>
            </c:dLbl>
            <c:dLbl>
              <c:idx val="4"/>
              <c:layout>
                <c:manualLayout>
                  <c:x val="-5.3040260418925456E-2"/>
                  <c:y val="2.0802765507970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F1-49C5-A374-D1731B253C7D}"/>
                </c:ext>
              </c:extLst>
            </c:dLbl>
            <c:dLbl>
              <c:idx val="5"/>
              <c:layout>
                <c:manualLayout>
                  <c:x val="-5.0313607970928501E-2"/>
                  <c:y val="2.893284680878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F1-49C5-A374-D1731B253C7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2 in Microsoft Word]Sheet1'!$G$53:$G$58</c:f>
              <c:numCache>
                <c:formatCode>0.0%</c:formatCode>
                <c:ptCount val="6"/>
                <c:pt idx="0">
                  <c:v>1.002535614355462</c:v>
                </c:pt>
                <c:pt idx="1">
                  <c:v>0.96952459177919759</c:v>
                </c:pt>
                <c:pt idx="2">
                  <c:v>0.98080630675890657</c:v>
                </c:pt>
                <c:pt idx="3">
                  <c:v>0.98004590541356851</c:v>
                </c:pt>
                <c:pt idx="4">
                  <c:v>1.0359230285714407</c:v>
                </c:pt>
                <c:pt idx="5">
                  <c:v>0.92398687806693047</c:v>
                </c:pt>
              </c:numCache>
            </c:numRef>
          </c:val>
          <c:smooth val="0"/>
          <c:extLst>
            <c:ext xmlns:c16="http://schemas.microsoft.com/office/drawing/2014/chart" uri="{C3380CC4-5D6E-409C-BE32-E72D297353CC}">
              <c16:uniqueId val="{0000000F-69F1-49C5-A374-D1731B253C7D}"/>
            </c:ext>
          </c:extLst>
        </c:ser>
        <c:dLbls>
          <c:showLegendKey val="0"/>
          <c:showVal val="0"/>
          <c:showCatName val="0"/>
          <c:showSerName val="0"/>
          <c:showPercent val="0"/>
          <c:showBubbleSize val="0"/>
        </c:dLbls>
        <c:marker val="1"/>
        <c:smooth val="0"/>
        <c:axId val="2028876496"/>
        <c:axId val="2028884816"/>
      </c:lineChart>
      <c:catAx>
        <c:axId val="20288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28888144"/>
        <c:crosses val="autoZero"/>
        <c:auto val="1"/>
        <c:lblAlgn val="ctr"/>
        <c:lblOffset val="100"/>
        <c:noMultiLvlLbl val="0"/>
      </c:catAx>
      <c:valAx>
        <c:axId val="202888814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28877744"/>
        <c:crosses val="autoZero"/>
        <c:crossBetween val="between"/>
      </c:valAx>
      <c:valAx>
        <c:axId val="202888481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28876496"/>
        <c:crosses val="max"/>
        <c:crossBetween val="between"/>
      </c:valAx>
      <c:catAx>
        <c:axId val="2028876496"/>
        <c:scaling>
          <c:orientation val="minMax"/>
        </c:scaling>
        <c:delete val="1"/>
        <c:axPos val="b"/>
        <c:numFmt formatCode="General" sourceLinked="1"/>
        <c:majorTickMark val="none"/>
        <c:minorTickMark val="none"/>
        <c:tickLblPos val="nextTo"/>
        <c:crossAx val="202888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1-E6C9-4B7F-87CD-0448A30D3BBF}"/>
              </c:ext>
            </c:extLst>
          </c:dPt>
          <c:dPt>
            <c:idx val="1"/>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3-E6C9-4B7F-87CD-0448A30D3BB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6C9-4B7F-87CD-0448A30D3BBF}"/>
              </c:ext>
            </c:extLst>
          </c:dPt>
          <c:dPt>
            <c:idx val="3"/>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7-E6C9-4B7F-87CD-0448A30D3BBF}"/>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E6C9-4B7F-87CD-0448A30D3BBF}"/>
              </c:ext>
            </c:extLst>
          </c:dPt>
          <c:dLbls>
            <c:dLbl>
              <c:idx val="1"/>
              <c:layout>
                <c:manualLayout>
                  <c:x val="7.2400873554928514E-3"/>
                  <c:y val="-0.1226807492436939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C9-4B7F-87CD-0448A30D3BBF}"/>
                </c:ext>
              </c:extLst>
            </c:dLbl>
            <c:dLbl>
              <c:idx val="3"/>
              <c:layout>
                <c:manualLayout>
                  <c:x val="-7.9185750636132316E-3"/>
                  <c:y val="6.20109835668131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C9-4B7F-87CD-0448A30D3BBF}"/>
                </c:ext>
              </c:extLst>
            </c:dLbl>
            <c:dLbl>
              <c:idx val="4"/>
              <c:layout>
                <c:manualLayout>
                  <c:x val="-9.1528681052273048E-2"/>
                  <c:y val="2.81124497991967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C9-4B7F-87CD-0448A30D3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Word]Sheet1'!$C$27:$C$31</c:f>
              <c:strCache>
                <c:ptCount val="5"/>
                <c:pt idx="0">
                  <c:v>Ndihmat</c:v>
                </c:pt>
                <c:pt idx="1">
                  <c:v>Nga tatimet (pa kontributet)dhe doganat</c:v>
                </c:pt>
                <c:pt idx="2">
                  <c:v>Të ardhura nga pushteti lokal</c:v>
                </c:pt>
                <c:pt idx="3">
                  <c:v>Të ardhura nga fondet speciale</c:v>
                </c:pt>
                <c:pt idx="4">
                  <c:v>Të ardhura jo-tatimore</c:v>
                </c:pt>
              </c:strCache>
            </c:strRef>
          </c:cat>
          <c:val>
            <c:numRef>
              <c:f>'[Chart in Microsoft Word]Sheet1'!$D$27:$D$31</c:f>
              <c:numCache>
                <c:formatCode>0.0%</c:formatCode>
                <c:ptCount val="5"/>
                <c:pt idx="0">
                  <c:v>9.7836815971427786E-3</c:v>
                </c:pt>
                <c:pt idx="1">
                  <c:v>0.65759327480887242</c:v>
                </c:pt>
                <c:pt idx="2">
                  <c:v>5.4215333520052901E-2</c:v>
                </c:pt>
                <c:pt idx="3">
                  <c:v>0.2374043302376182</c:v>
                </c:pt>
                <c:pt idx="4">
                  <c:v>4.1003379836313587E-2</c:v>
                </c:pt>
              </c:numCache>
            </c:numRef>
          </c:val>
          <c:extLst>
            <c:ext xmlns:c16="http://schemas.microsoft.com/office/drawing/2014/chart" uri="{C3380CC4-5D6E-409C-BE32-E72D297353CC}">
              <c16:uniqueId val="{0000000A-E6C9-4B7F-87CD-0448A30D3B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4188033196885E-2"/>
          <c:y val="5.3040553029462867E-2"/>
          <c:w val="0.84007207019914587"/>
          <c:h val="0.70574414067420388"/>
        </c:manualLayout>
      </c:layout>
      <c:barChart>
        <c:barDir val="col"/>
        <c:grouping val="clustered"/>
        <c:varyColors val="0"/>
        <c:ser>
          <c:idx val="1"/>
          <c:order val="0"/>
          <c:tx>
            <c:strRef>
              <c:f>'te ardhurat 2025'!$B$19</c:f>
              <c:strCache>
                <c:ptCount val="1"/>
                <c:pt idx="0">
                  <c:v>Të ardhura nga Pushteti Vendor</c:v>
                </c:pt>
              </c:strCache>
            </c:strRef>
          </c:tx>
          <c:spPr>
            <a:solidFill>
              <a:srgbClr val="5B9BD5">
                <a:lumMod val="60000"/>
                <a:lumOff val="40000"/>
              </a:srgbClr>
            </a:solidFill>
            <a:ln>
              <a:solidFill>
                <a:srgbClr val="4472C4">
                  <a:lumMod val="60000"/>
                  <a:lumOff val="40000"/>
                </a:srgbClr>
              </a:solidFill>
            </a:ln>
          </c:spPr>
          <c:invertIfNegative val="0"/>
          <c:dLbls>
            <c:numFmt formatCode="#,##0.0" sourceLinked="0"/>
            <c:spPr>
              <a:noFill/>
              <a:ln>
                <a:noFill/>
              </a:ln>
              <a:effectLst/>
            </c:spPr>
            <c:txPr>
              <a:bodyPr wrap="square" lIns="38100" tIns="19050" rIns="38100" bIns="19050" anchor="ctr">
                <a:spAutoFit/>
              </a:bodyPr>
              <a:lstStyle/>
              <a:p>
                <a:pPr>
                  <a:defRPr sz="8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2025'!$M$18:$W$18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'te ardhurat 2025'!$M$19:$W$19</c:f>
              <c:numCache>
                <c:formatCode>#,##0</c:formatCode>
                <c:ptCount val="11"/>
                <c:pt idx="0">
                  <c:v>11700</c:v>
                </c:pt>
                <c:pt idx="1">
                  <c:v>14951</c:v>
                </c:pt>
                <c:pt idx="2">
                  <c:v>18447.329999999998</c:v>
                </c:pt>
                <c:pt idx="3">
                  <c:v>21863</c:v>
                </c:pt>
                <c:pt idx="4">
                  <c:v>23102</c:v>
                </c:pt>
                <c:pt idx="5">
                  <c:v>21976</c:v>
                </c:pt>
                <c:pt idx="6">
                  <c:v>26666.449999999997</c:v>
                </c:pt>
                <c:pt idx="7">
                  <c:v>27638</c:v>
                </c:pt>
                <c:pt idx="8">
                  <c:v>31685.82</c:v>
                </c:pt>
                <c:pt idx="9">
                  <c:v>40331.410000000003</c:v>
                </c:pt>
                <c:pt idx="10">
                  <c:v>40911.300000000003</c:v>
                </c:pt>
              </c:numCache>
            </c:numRef>
          </c:val>
          <c:extLst>
            <c:ext xmlns:c16="http://schemas.microsoft.com/office/drawing/2014/chart" uri="{C3380CC4-5D6E-409C-BE32-E72D297353CC}">
              <c16:uniqueId val="{00000000-12F7-4231-8D80-C3B3B5D76DE4}"/>
            </c:ext>
          </c:extLst>
        </c:ser>
        <c:dLbls>
          <c:showLegendKey val="0"/>
          <c:showVal val="0"/>
          <c:showCatName val="0"/>
          <c:showSerName val="0"/>
          <c:showPercent val="0"/>
          <c:showBubbleSize val="0"/>
        </c:dLbls>
        <c:gapWidth val="40"/>
        <c:axId val="-1795022240"/>
        <c:axId val="-1793151520"/>
      </c:barChart>
      <c:lineChart>
        <c:grouping val="standard"/>
        <c:varyColors val="0"/>
        <c:ser>
          <c:idx val="0"/>
          <c:order val="1"/>
          <c:tx>
            <c:strRef>
              <c:f>'te ardhurat 2025'!$B$20</c:f>
              <c:strCache>
                <c:ptCount val="1"/>
                <c:pt idx="0">
                  <c:v>Ritmi i ndryshimit të të ardhurave vendore</c:v>
                </c:pt>
              </c:strCache>
            </c:strRef>
          </c:tx>
          <c:spPr>
            <a:ln w="31750">
              <a:solidFill>
                <a:srgbClr val="C00000"/>
              </a:solidFill>
            </a:ln>
          </c:spPr>
          <c:dLbls>
            <c:numFmt formatCode="0.0%" sourceLinked="0"/>
            <c:spPr>
              <a:noFill/>
              <a:ln>
                <a:noFill/>
              </a:ln>
              <a:effectLst/>
            </c:spPr>
            <c:txPr>
              <a:bodyPr wrap="square" lIns="38100" tIns="19050" rIns="38100" bIns="19050" anchor="b" anchorCtr="1">
                <a:spAutoFit/>
              </a:bodyPr>
              <a:lstStyle/>
              <a:p>
                <a:pPr>
                  <a:defRPr sz="800" b="1">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2025'!$M$18:$W$18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'te ardhurat 2025'!$M$20:$W$20</c:f>
              <c:numCache>
                <c:formatCode>0%</c:formatCode>
                <c:ptCount val="11"/>
                <c:pt idx="0">
                  <c:v>-6.0014461315979754E-2</c:v>
                </c:pt>
                <c:pt idx="1">
                  <c:v>0.27786324786324784</c:v>
                </c:pt>
                <c:pt idx="2">
                  <c:v>0.23385258511136367</c:v>
                </c:pt>
                <c:pt idx="3">
                  <c:v>0.18515796052870537</c:v>
                </c:pt>
                <c:pt idx="4">
                  <c:v>5.6671088139779537E-2</c:v>
                </c:pt>
                <c:pt idx="5">
                  <c:v>-4.8740368799238161E-2</c:v>
                </c:pt>
                <c:pt idx="6">
                  <c:v>0.21343511103021465</c:v>
                </c:pt>
                <c:pt idx="7">
                  <c:v>3.6433421021545911E-2</c:v>
                </c:pt>
                <c:pt idx="8" formatCode="0.0%">
                  <c:v>0.14645849916781242</c:v>
                </c:pt>
                <c:pt idx="9" formatCode="0.0%">
                  <c:v>0.27285359823416289</c:v>
                </c:pt>
                <c:pt idx="10" formatCode="0.0%">
                  <c:v>1.4378123651020367E-2</c:v>
                </c:pt>
              </c:numCache>
            </c:numRef>
          </c:val>
          <c:smooth val="1"/>
          <c:extLst>
            <c:ext xmlns:c16="http://schemas.microsoft.com/office/drawing/2014/chart" uri="{C3380CC4-5D6E-409C-BE32-E72D297353CC}">
              <c16:uniqueId val="{00000001-12F7-4231-8D80-C3B3B5D76DE4}"/>
            </c:ext>
          </c:extLst>
        </c:ser>
        <c:dLbls>
          <c:showLegendKey val="0"/>
          <c:showVal val="0"/>
          <c:showCatName val="0"/>
          <c:showSerName val="0"/>
          <c:showPercent val="0"/>
          <c:showBubbleSize val="0"/>
        </c:dLbls>
        <c:marker val="1"/>
        <c:smooth val="0"/>
        <c:axId val="-1793137376"/>
        <c:axId val="-1793147168"/>
      </c:lineChart>
      <c:catAx>
        <c:axId val="-1795022240"/>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1793151520"/>
        <c:crosses val="autoZero"/>
        <c:auto val="0"/>
        <c:lblAlgn val="ctr"/>
        <c:lblOffset val="100"/>
        <c:tickLblSkip val="1"/>
        <c:tickMarkSkip val="1"/>
        <c:noMultiLvlLbl val="0"/>
      </c:catAx>
      <c:valAx>
        <c:axId val="-1793151520"/>
        <c:scaling>
          <c:orientation val="minMax"/>
        </c:scaling>
        <c:delete val="0"/>
        <c:axPos val="l"/>
        <c:title>
          <c:tx>
            <c:rich>
              <a:bodyPr/>
              <a:lstStyle/>
              <a:p>
                <a:pPr>
                  <a:defRPr sz="800"/>
                </a:pPr>
                <a:r>
                  <a:rPr lang="sq-AL" sz="800"/>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a:pPr>
            <a:endParaRPr lang="en-US"/>
          </a:p>
        </c:txPr>
        <c:crossAx val="-1795022240"/>
        <c:crosses val="autoZero"/>
        <c:crossBetween val="between"/>
        <c:dispUnits>
          <c:builtInUnit val="thousands"/>
        </c:dispUnits>
      </c:valAx>
      <c:catAx>
        <c:axId val="-1793137376"/>
        <c:scaling>
          <c:orientation val="minMax"/>
        </c:scaling>
        <c:delete val="1"/>
        <c:axPos val="b"/>
        <c:numFmt formatCode="General" sourceLinked="1"/>
        <c:majorTickMark val="out"/>
        <c:minorTickMark val="none"/>
        <c:tickLblPos val="nextTo"/>
        <c:crossAx val="-1793147168"/>
        <c:crosses val="autoZero"/>
        <c:auto val="0"/>
        <c:lblAlgn val="ctr"/>
        <c:lblOffset val="100"/>
        <c:noMultiLvlLbl val="0"/>
      </c:catAx>
      <c:valAx>
        <c:axId val="-1793147168"/>
        <c:scaling>
          <c:orientation val="minMax"/>
        </c:scaling>
        <c:delete val="0"/>
        <c:axPos val="r"/>
        <c:numFmt formatCode="0%" sourceLinked="0"/>
        <c:majorTickMark val="cross"/>
        <c:minorTickMark val="none"/>
        <c:tickLblPos val="nextTo"/>
        <c:txPr>
          <a:bodyPr rot="0" vert="horz"/>
          <a:lstStyle/>
          <a:p>
            <a:pPr>
              <a:defRPr/>
            </a:pPr>
            <a:endParaRPr lang="en-US"/>
          </a:p>
        </c:txPr>
        <c:crossAx val="-1793137376"/>
        <c:crosses val="max"/>
        <c:crossBetween val="between"/>
      </c:valAx>
      <c:spPr>
        <a:solidFill>
          <a:srgbClr val="DBEFF9"/>
        </a:solidFill>
      </c:spPr>
    </c:plotArea>
    <c:legend>
      <c:legendPos val="b"/>
      <c:legendEntry>
        <c:idx val="1"/>
        <c:txPr>
          <a:bodyPr/>
          <a:lstStyle/>
          <a:p>
            <a:pPr>
              <a:defRPr b="1">
                <a:solidFill>
                  <a:sysClr val="windowText" lastClr="000000"/>
                </a:solidFill>
              </a:defRPr>
            </a:pPr>
            <a:endParaRPr lang="en-US"/>
          </a:p>
        </c:txPr>
      </c:legendEntry>
      <c:layout>
        <c:manualLayout>
          <c:xMode val="edge"/>
          <c:yMode val="edge"/>
          <c:x val="8.5155955655690174E-2"/>
          <c:y val="0.90908136482939628"/>
          <c:w val="0.86516280943441803"/>
          <c:h val="9.0301689816862818E-2"/>
        </c:manualLayout>
      </c:layout>
      <c:overlay val="0"/>
      <c:txPr>
        <a:bodyPr/>
        <a:lstStyle/>
        <a:p>
          <a:pPr>
            <a:defRPr b="1">
              <a:solidFill>
                <a:sysClr val="windowText" lastClr="000000"/>
              </a:solidFill>
            </a:defRPr>
          </a:pPr>
          <a:endParaRPr lang="en-US"/>
        </a:p>
      </c:txPr>
    </c:legend>
    <c:plotVisOnly val="1"/>
    <c:dispBlanksAs val="gap"/>
    <c:showDLblsOverMax val="0"/>
  </c:chart>
  <c:spPr>
    <a:solidFill>
      <a:srgbClr val="DBEFF9"/>
    </a:solidFill>
    <a:ln>
      <a:noFill/>
    </a:ln>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244-46FB-A3F3-A57AD055471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244-46FB-A3F3-A57AD055471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244-46FB-A3F3-A57AD0554718}"/>
              </c:ext>
            </c:extLst>
          </c:dPt>
          <c:dLbls>
            <c:dLbl>
              <c:idx val="0"/>
              <c:layout>
                <c:manualLayout>
                  <c:x val="-0.16681074708653296"/>
                  <c:y val="-0.2572550306211723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44-46FB-A3F3-A57AD0554718}"/>
                </c:ext>
              </c:extLst>
            </c:dLbl>
            <c:dLbl>
              <c:idx val="1"/>
              <c:layout>
                <c:manualLayout>
                  <c:x val="0.13922324515814719"/>
                  <c:y val="0.2339876786235053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44-46FB-A3F3-A57AD0554718}"/>
                </c:ext>
              </c:extLst>
            </c:dLbl>
            <c:dLbl>
              <c:idx val="2"/>
              <c:layout>
                <c:manualLayout>
                  <c:x val="0.14183540540052431"/>
                  <c:y val="2.173191892680080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44-46FB-A3F3-A57AD05547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'te ardhurat 2025'!$AD$40:$AD$42</c:f>
              <c:strCache>
                <c:ptCount val="3"/>
                <c:pt idx="0">
                  <c:v>Taksat Lokale</c:v>
                </c:pt>
                <c:pt idx="1">
                  <c:v>Taksa mbi pasurinë</c:v>
                </c:pt>
                <c:pt idx="2">
                  <c:v>Taksa e biznesit të vogël</c:v>
                </c:pt>
              </c:strCache>
            </c:strRef>
          </c:cat>
          <c:val>
            <c:numRef>
              <c:f>'te ardhurat 2025'!$AE$40:$AE$42</c:f>
              <c:numCache>
                <c:formatCode>0.0%</c:formatCode>
                <c:ptCount val="3"/>
                <c:pt idx="0">
                  <c:v>0.80005621918638614</c:v>
                </c:pt>
                <c:pt idx="1">
                  <c:v>0.19905307335626099</c:v>
                </c:pt>
                <c:pt idx="2">
                  <c:v>8.9070745735285841E-4</c:v>
                </c:pt>
              </c:numCache>
            </c:numRef>
          </c:val>
          <c:extLst>
            <c:ext xmlns:c16="http://schemas.microsoft.com/office/drawing/2014/chart" uri="{C3380CC4-5D6E-409C-BE32-E72D297353CC}">
              <c16:uniqueId val="{00000006-B244-46FB-A3F3-A57AD0554718}"/>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manualLayout>
          <c:xMode val="edge"/>
          <c:yMode val="edge"/>
          <c:x val="0.64524154294954628"/>
          <c:y val="0.32624607109296522"/>
          <c:w val="0.34237455612166129"/>
          <c:h val="0.30909864661978981"/>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907752384610459E-2"/>
          <c:y val="5.0925925925925923E-2"/>
          <c:w val="0.92902455028487307"/>
          <c:h val="0.65069444444444446"/>
        </c:manualLayout>
      </c:layout>
      <c:barChart>
        <c:barDir val="col"/>
        <c:grouping val="clustered"/>
        <c:varyColors val="0"/>
        <c:ser>
          <c:idx val="0"/>
          <c:order val="0"/>
          <c:tx>
            <c:strRef>
              <c:f>'[Chart 2 in Microsoft Word]Sheet1'!$C$102</c:f>
              <c:strCache>
                <c:ptCount val="1"/>
                <c:pt idx="0">
                  <c:v>Të ardhura nga fondet speciale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Word]Sheet1'!$D$101:$O$101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2 in Microsoft Word]Sheet1'!$D$102:$O$102</c:f>
              <c:numCache>
                <c:formatCode>#,##0.0</c:formatCode>
                <c:ptCount val="12"/>
                <c:pt idx="0">
                  <c:v>70.00800000000001</c:v>
                </c:pt>
                <c:pt idx="1">
                  <c:v>71.726000000000013</c:v>
                </c:pt>
                <c:pt idx="2">
                  <c:v>79.153000000000006</c:v>
                </c:pt>
                <c:pt idx="3">
                  <c:v>86.795369999999991</c:v>
                </c:pt>
                <c:pt idx="4">
                  <c:v>93.152810000000002</c:v>
                </c:pt>
                <c:pt idx="5">
                  <c:v>98.410719999999998</c:v>
                </c:pt>
                <c:pt idx="6">
                  <c:v>97.698650000000001</c:v>
                </c:pt>
                <c:pt idx="7">
                  <c:v>110.87193000000001</c:v>
                </c:pt>
                <c:pt idx="8">
                  <c:v>122.81124999999999</c:v>
                </c:pt>
                <c:pt idx="9">
                  <c:v>144.48516000000001</c:v>
                </c:pt>
                <c:pt idx="10">
                  <c:v>161.78019</c:v>
                </c:pt>
                <c:pt idx="11">
                  <c:v>179.11376000000001</c:v>
                </c:pt>
              </c:numCache>
            </c:numRef>
          </c:val>
          <c:extLst>
            <c:ext xmlns:c16="http://schemas.microsoft.com/office/drawing/2014/chart" uri="{C3380CC4-5D6E-409C-BE32-E72D297353CC}">
              <c16:uniqueId val="{00000000-50BA-4E19-9C86-E320EC3A5240}"/>
            </c:ext>
          </c:extLst>
        </c:ser>
        <c:ser>
          <c:idx val="1"/>
          <c:order val="1"/>
          <c:tx>
            <c:strRef>
              <c:f>'[Chart 2 in Microsoft Word]Sheet1'!$C$103</c:f>
              <c:strCache>
                <c:ptCount val="1"/>
                <c:pt idx="0">
                  <c:v>Sigurimi shoqëror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Word]Sheet1'!$D$101:$O$101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2 in Microsoft Word]Sheet1'!$D$103:$O$103</c:f>
              <c:numCache>
                <c:formatCode>#,##0.0</c:formatCode>
                <c:ptCount val="12"/>
                <c:pt idx="0">
                  <c:v>61.493000000000002</c:v>
                </c:pt>
                <c:pt idx="1">
                  <c:v>60.148000000000003</c:v>
                </c:pt>
                <c:pt idx="2">
                  <c:v>66.688000000000002</c:v>
                </c:pt>
                <c:pt idx="3">
                  <c:v>73.999269999999996</c:v>
                </c:pt>
                <c:pt idx="4">
                  <c:v>79.420529999999999</c:v>
                </c:pt>
                <c:pt idx="5">
                  <c:v>84.266909999999996</c:v>
                </c:pt>
                <c:pt idx="6">
                  <c:v>83.514830000000003</c:v>
                </c:pt>
                <c:pt idx="7">
                  <c:v>94.900109999999998</c:v>
                </c:pt>
                <c:pt idx="8">
                  <c:v>105.64042999999999</c:v>
                </c:pt>
                <c:pt idx="9">
                  <c:v>124.62829000000001</c:v>
                </c:pt>
                <c:pt idx="10">
                  <c:v>139.40395000000001</c:v>
                </c:pt>
                <c:pt idx="11">
                  <c:v>154.66591</c:v>
                </c:pt>
              </c:numCache>
            </c:numRef>
          </c:val>
          <c:extLst>
            <c:ext xmlns:c16="http://schemas.microsoft.com/office/drawing/2014/chart" uri="{C3380CC4-5D6E-409C-BE32-E72D297353CC}">
              <c16:uniqueId val="{00000001-50BA-4E19-9C86-E320EC3A5240}"/>
            </c:ext>
          </c:extLst>
        </c:ser>
        <c:ser>
          <c:idx val="2"/>
          <c:order val="2"/>
          <c:tx>
            <c:strRef>
              <c:f>'[Chart 2 in Microsoft Word]Sheet1'!$C$104</c:f>
              <c:strCache>
                <c:ptCount val="1"/>
                <c:pt idx="0">
                  <c:v>Sigurimi shëndetësor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Word]Sheet1'!$D$101:$O$101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2 in Microsoft Word]Sheet1'!$D$104:$O$104</c:f>
              <c:numCache>
                <c:formatCode>#,##0.0</c:formatCode>
                <c:ptCount val="12"/>
                <c:pt idx="0">
                  <c:v>8.1989999999999998</c:v>
                </c:pt>
                <c:pt idx="1">
                  <c:v>9.5950000000000006</c:v>
                </c:pt>
                <c:pt idx="2">
                  <c:v>10.82</c:v>
                </c:pt>
                <c:pt idx="3">
                  <c:v>11.601699999999999</c:v>
                </c:pt>
                <c:pt idx="4">
                  <c:v>12.42952</c:v>
                </c:pt>
                <c:pt idx="5">
                  <c:v>13.12927</c:v>
                </c:pt>
                <c:pt idx="6">
                  <c:v>13.022880000000001</c:v>
                </c:pt>
                <c:pt idx="7">
                  <c:v>14.54058</c:v>
                </c:pt>
                <c:pt idx="8">
                  <c:v>16.26596</c:v>
                </c:pt>
                <c:pt idx="9">
                  <c:v>19.017520000000001</c:v>
                </c:pt>
                <c:pt idx="10">
                  <c:v>21.54289</c:v>
                </c:pt>
                <c:pt idx="11">
                  <c:v>23.542649999999998</c:v>
                </c:pt>
              </c:numCache>
            </c:numRef>
          </c:val>
          <c:extLst>
            <c:ext xmlns:c16="http://schemas.microsoft.com/office/drawing/2014/chart" uri="{C3380CC4-5D6E-409C-BE32-E72D297353CC}">
              <c16:uniqueId val="{00000002-50BA-4E19-9C86-E320EC3A5240}"/>
            </c:ext>
          </c:extLst>
        </c:ser>
        <c:ser>
          <c:idx val="3"/>
          <c:order val="3"/>
          <c:tx>
            <c:strRef>
              <c:f>'[Chart 2 in Microsoft Word]Sheet1'!$C$105</c:f>
              <c:strCache>
                <c:ptCount val="1"/>
                <c:pt idx="0">
                  <c:v>Të ardhurat për kompensimin në vlerë të pronarëve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Word]Sheet1'!$D$101:$O$101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'[Chart 2 in Microsoft Word]Sheet1'!$D$105:$O$105</c:f>
              <c:numCache>
                <c:formatCode>#,##0.0</c:formatCode>
                <c:ptCount val="12"/>
                <c:pt idx="0">
                  <c:v>0.316</c:v>
                </c:pt>
                <c:pt idx="1">
                  <c:v>1.9830000000000001</c:v>
                </c:pt>
                <c:pt idx="2">
                  <c:v>1.645</c:v>
                </c:pt>
                <c:pt idx="3">
                  <c:v>1.1943999999999999</c:v>
                </c:pt>
                <c:pt idx="4">
                  <c:v>1.3027599999999999</c:v>
                </c:pt>
                <c:pt idx="5">
                  <c:v>1.01454</c:v>
                </c:pt>
                <c:pt idx="6">
                  <c:v>1.1609400000000001</c:v>
                </c:pt>
                <c:pt idx="7">
                  <c:v>1.4312400000000001</c:v>
                </c:pt>
                <c:pt idx="8">
                  <c:v>0.90486</c:v>
                </c:pt>
                <c:pt idx="9">
                  <c:v>0.83935000000000004</c:v>
                </c:pt>
                <c:pt idx="10">
                  <c:v>0.83335000000000004</c:v>
                </c:pt>
                <c:pt idx="11">
                  <c:v>0.9052</c:v>
                </c:pt>
              </c:numCache>
            </c:numRef>
          </c:val>
          <c:extLst>
            <c:ext xmlns:c16="http://schemas.microsoft.com/office/drawing/2014/chart" uri="{C3380CC4-5D6E-409C-BE32-E72D297353CC}">
              <c16:uniqueId val="{00000003-50BA-4E19-9C86-E320EC3A5240}"/>
            </c:ext>
          </c:extLst>
        </c:ser>
        <c:dLbls>
          <c:dLblPos val="outEnd"/>
          <c:showLegendKey val="0"/>
          <c:showVal val="1"/>
          <c:showCatName val="0"/>
          <c:showSerName val="0"/>
          <c:showPercent val="0"/>
          <c:showBubbleSize val="0"/>
        </c:dLbls>
        <c:gapWidth val="219"/>
        <c:overlap val="-27"/>
        <c:axId val="1774002928"/>
        <c:axId val="1808737584"/>
      </c:barChart>
      <c:catAx>
        <c:axId val="17740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737584"/>
        <c:crosses val="autoZero"/>
        <c:auto val="1"/>
        <c:lblAlgn val="ctr"/>
        <c:lblOffset val="100"/>
        <c:noMultiLvlLbl val="0"/>
      </c:catAx>
      <c:valAx>
        <c:axId val="18087375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02928"/>
        <c:crosses val="autoZero"/>
        <c:crossBetween val="between"/>
      </c:valAx>
      <c:spPr>
        <a:noFill/>
        <a:ln>
          <a:noFill/>
        </a:ln>
        <a:effectLst/>
      </c:spPr>
    </c:plotArea>
    <c:legend>
      <c:legendPos val="b"/>
      <c:layout>
        <c:manualLayout>
          <c:xMode val="edge"/>
          <c:yMode val="edge"/>
          <c:x val="1.1469160104986879E-2"/>
          <c:y val="0.66666447944007001"/>
          <c:w val="0.97706167979002645"/>
          <c:h val="0.305557742782152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B4F-424B-A321-CFD9F965DFB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B4F-424B-A321-CFD9F965DFB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B4F-424B-A321-CFD9F965DFB3}"/>
              </c:ext>
            </c:extLst>
          </c:dPt>
          <c:dLbls>
            <c:dLbl>
              <c:idx val="0"/>
              <c:layout>
                <c:manualLayout>
                  <c:x val="-8.8934383202099732E-2"/>
                  <c:y val="-0.311917468649752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4F-424B-A321-CFD9F965DFB3}"/>
                </c:ext>
              </c:extLst>
            </c:dLbl>
            <c:dLbl>
              <c:idx val="1"/>
              <c:layout>
                <c:manualLayout>
                  <c:x val="7.1863954505686792E-2"/>
                  <c:y val="7.02081510644502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4F-424B-A321-CFD9F965DFB3}"/>
                </c:ext>
              </c:extLst>
            </c:dLbl>
            <c:dLbl>
              <c:idx val="2"/>
              <c:layout>
                <c:manualLayout>
                  <c:x val="-5.5535883458354687E-3"/>
                  <c:y val="3.92302720953850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F-424B-A321-CFD9F965DF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Word]Sheet1'!$C$116:$C$118</c:f>
              <c:strCache>
                <c:ptCount val="3"/>
                <c:pt idx="0">
                  <c:v>Sigurimi shoqëror</c:v>
                </c:pt>
                <c:pt idx="1">
                  <c:v>Sigurimi shëndetësor</c:v>
                </c:pt>
                <c:pt idx="2">
                  <c:v>Të ardhurat për kompensimin në vlerë të pronarëve</c:v>
                </c:pt>
              </c:strCache>
            </c:strRef>
          </c:cat>
          <c:val>
            <c:numRef>
              <c:f>'[Chart 2 in Microsoft Word]Sheet1'!$D$116:$D$118</c:f>
              <c:numCache>
                <c:formatCode>0.0%</c:formatCode>
                <c:ptCount val="3"/>
                <c:pt idx="0">
                  <c:v>0.8633458760984688</c:v>
                </c:pt>
                <c:pt idx="1">
                  <c:v>0.13141518897040477</c:v>
                </c:pt>
                <c:pt idx="2">
                  <c:v>5.2389349311264318E-3</c:v>
                </c:pt>
              </c:numCache>
            </c:numRef>
          </c:val>
          <c:extLst>
            <c:ext xmlns:c16="http://schemas.microsoft.com/office/drawing/2014/chart" uri="{C3380CC4-5D6E-409C-BE32-E72D297353CC}">
              <c16:uniqueId val="{00000006-FB4F-424B-A321-CFD9F965DFB3}"/>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5B-4A2E-B6E4-BD11A9ABA25E}"/>
              </c:ext>
            </c:extLst>
          </c:dPt>
          <c:dPt>
            <c:idx val="1"/>
            <c:bubble3D val="0"/>
            <c:spPr>
              <a:solidFill>
                <a:schemeClr val="accent5">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5B-4A2E-B6E4-BD11A9ABA25E}"/>
              </c:ext>
            </c:extLst>
          </c:dPt>
          <c:dPt>
            <c:idx val="2"/>
            <c:bubble3D val="0"/>
            <c:spPr>
              <a:solidFill>
                <a:schemeClr val="accent5">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5B-4A2E-B6E4-BD11A9ABA25E}"/>
              </c:ext>
            </c:extLst>
          </c:dPt>
          <c:dPt>
            <c:idx val="3"/>
            <c:bubble3D val="0"/>
            <c:spPr>
              <a:solidFill>
                <a:schemeClr val="accent5">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5B-4A2E-B6E4-BD11A9ABA25E}"/>
              </c:ext>
            </c:extLst>
          </c:dPt>
          <c:dLbls>
            <c:dLbl>
              <c:idx val="0"/>
              <c:tx>
                <c:rich>
                  <a:bodyPr/>
                  <a:lstStyle/>
                  <a:p>
                    <a:fld id="{B34F8800-9C3E-437F-8DE6-6E64C05F2133}" type="CATEGORYNAME">
                      <a:rPr lang="en-US"/>
                      <a:pPr/>
                      <a:t>[CATEGORY NAME]</a:t>
                    </a:fld>
                    <a:r>
                      <a:rPr lang="en-US"/>
                      <a:t>, </a:t>
                    </a:r>
                    <a:fld id="{E5F8F83E-C06B-48DE-AA6D-2DA1B9E7CE41}" type="VALUE">
                      <a:rPr lang="en-US"/>
                      <a:pPr/>
                      <a:t>[VALUE]</a:t>
                    </a:fld>
                    <a:r>
                      <a:rPr lang="en-US"/>
                      <a:t>,</a:t>
                    </a:r>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5B-4A2E-B6E4-BD11A9ABA25E}"/>
                </c:ext>
              </c:extLst>
            </c:dLbl>
            <c:dLbl>
              <c:idx val="1"/>
              <c:tx>
                <c:rich>
                  <a:bodyPr/>
                  <a:lstStyle/>
                  <a:p>
                    <a:fld id="{09B0590F-E73F-456F-B01C-8554E3817192}" type="CATEGORYNAME">
                      <a:rPr lang="en-US"/>
                      <a:pPr/>
                      <a:t>[CATEGORY NAME]</a:t>
                    </a:fld>
                    <a:r>
                      <a:rPr lang="en-US"/>
                      <a:t>, </a:t>
                    </a:r>
                    <a:fld id="{5A3E6438-F007-488F-B817-EB989F65D00F}" type="VALUE">
                      <a:rPr lang="en-US"/>
                      <a:pPr/>
                      <a:t>[VALUE]</a:t>
                    </a:fld>
                    <a:r>
                      <a:rPr lang="en-US"/>
                      <a:t>, </a:t>
                    </a:r>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5B-4A2E-B6E4-BD11A9ABA25E}"/>
                </c:ext>
              </c:extLst>
            </c:dLbl>
            <c:dLbl>
              <c:idx val="2"/>
              <c:layout>
                <c:manualLayout>
                  <c:x val="9.2312097351467434E-2"/>
                  <c:y val="-0.309565103505207"/>
                </c:manualLayout>
              </c:layout>
              <c:tx>
                <c:rich>
                  <a:bodyPr/>
                  <a:lstStyle/>
                  <a:p>
                    <a:fld id="{CDB0070D-8F9A-418D-AB90-18570253B082}" type="CATEGORYNAME">
                      <a:rPr lang="en-US"/>
                      <a:pPr/>
                      <a:t>[CATEGORY NAME]</a:t>
                    </a:fld>
                    <a:r>
                      <a:rPr lang="en-US"/>
                      <a:t>, </a:t>
                    </a:r>
                    <a:fld id="{F6673514-2CC8-4C38-89F0-312CEB4D903F}"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5B-4A2E-B6E4-BD11A9ABA25E}"/>
                </c:ext>
              </c:extLst>
            </c:dLbl>
            <c:dLbl>
              <c:idx val="3"/>
              <c:layout>
                <c:manualLayout>
                  <c:x val="0.17523900421538213"/>
                  <c:y val="0.10077986093472187"/>
                </c:manualLayout>
              </c:layout>
              <c:tx>
                <c:rich>
                  <a:bodyPr/>
                  <a:lstStyle/>
                  <a:p>
                    <a:fld id="{5FFCD870-9218-45E5-A711-174FA432BBF3}" type="CATEGORYNAME">
                      <a:rPr lang="en-US"/>
                      <a:pPr/>
                      <a:t>[CATEGORY NAME]</a:t>
                    </a:fld>
                    <a:r>
                      <a:rPr lang="en-US"/>
                      <a:t>, </a:t>
                    </a:r>
                    <a:fld id="{129B53F8-881A-4330-9A8F-5F16C5F7EAAE}" type="VALUE">
                      <a:rPr lang="en-US"/>
                      <a:pPr/>
                      <a:t>[VALUE]</a:t>
                    </a:fld>
                    <a:r>
                      <a:rPr lang="en-US"/>
                      <a:t>,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5B-4A2E-B6E4-BD11A9ABA2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Word]Sheet1'!$C$137:$C$140</c:f>
              <c:strCache>
                <c:ptCount val="4"/>
                <c:pt idx="0">
                  <c:v>Të ardhura nga institucionet buxhetore</c:v>
                </c:pt>
                <c:pt idx="1">
                  <c:v>Dividenti</c:v>
                </c:pt>
                <c:pt idx="2">
                  <c:v>Tarifat e shërbimeve</c:v>
                </c:pt>
                <c:pt idx="3">
                  <c:v>Të tjera</c:v>
                </c:pt>
              </c:strCache>
            </c:strRef>
          </c:cat>
          <c:val>
            <c:numRef>
              <c:f>'[Chart in Microsoft Word]Sheet1'!$D$137:$D$140</c:f>
              <c:numCache>
                <c:formatCode>0.00%</c:formatCode>
                <c:ptCount val="4"/>
                <c:pt idx="0" formatCode="0.0%">
                  <c:v>0.49958728515073303</c:v>
                </c:pt>
                <c:pt idx="1">
                  <c:v>1.4921726382659385E-3</c:v>
                </c:pt>
                <c:pt idx="2" formatCode="0.0%">
                  <c:v>0.11455794264394764</c:v>
                </c:pt>
                <c:pt idx="3" formatCode="0.0%">
                  <c:v>0.38436259956705338</c:v>
                </c:pt>
              </c:numCache>
            </c:numRef>
          </c:val>
          <c:extLst>
            <c:ext xmlns:c16="http://schemas.microsoft.com/office/drawing/2014/chart" uri="{C3380CC4-5D6E-409C-BE32-E72D297353CC}">
              <c16:uniqueId val="{00000008-575B-4A2E-B6E4-BD11A9ABA25E}"/>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08599506457046E-2"/>
          <c:y val="8.3333333333333329E-2"/>
          <c:w val="0.82195934810474269"/>
          <c:h val="0.63069093855229519"/>
        </c:manualLayout>
      </c:layout>
      <c:barChart>
        <c:barDir val="col"/>
        <c:grouping val="clustered"/>
        <c:varyColors val="0"/>
        <c:ser>
          <c:idx val="0"/>
          <c:order val="0"/>
          <c:tx>
            <c:strRef>
              <c:f>'[Chart in Microsoft Word]Sheet1'!$C$175</c:f>
              <c:strCache>
                <c:ptCount val="1"/>
                <c:pt idx="0">
                  <c:v>Nga tatimet dhe doganat</c:v>
                </c:pt>
              </c:strCache>
            </c:strRef>
          </c:tx>
          <c:spPr>
            <a:solidFill>
              <a:schemeClr val="accent1"/>
            </a:solidFill>
            <a:ln>
              <a:noFill/>
            </a:ln>
            <a:effectLst/>
          </c:spPr>
          <c:invertIfNegative val="0"/>
          <c:cat>
            <c:numRef>
              <c:f>'[Chart in Microsoft Word]Sheet1'!$D$174:$N$174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 in Microsoft Word]Sheet1'!$D$175:$N$175</c:f>
              <c:numCache>
                <c:formatCode>0.0</c:formatCode>
                <c:ptCount val="11"/>
                <c:pt idx="0">
                  <c:v>258.88200000000001</c:v>
                </c:pt>
                <c:pt idx="1">
                  <c:v>275.77999999999997</c:v>
                </c:pt>
                <c:pt idx="2">
                  <c:v>293.38639999999998</c:v>
                </c:pt>
                <c:pt idx="3">
                  <c:v>304.3177</c:v>
                </c:pt>
                <c:pt idx="4" formatCode="_(* #,##0.0_);_(* \(#,##0.0\);_(* &quot;-&quot;??_);_(@_)">
                  <c:v>304.75765000000001</c:v>
                </c:pt>
                <c:pt idx="5" formatCode="_(* #,##0.0_);_(* \(#,##0.0\);_(* &quot;-&quot;??_);_(@_)">
                  <c:v>278.98406999999997</c:v>
                </c:pt>
                <c:pt idx="6" formatCode="_(* #,##0.0_);_(* \(#,##0.0\);_(* &quot;-&quot;??_);_(@_)">
                  <c:v>338.07350000000002</c:v>
                </c:pt>
                <c:pt idx="7" formatCode="_(* #,##0.0_);_(* \(#,##0.0\);_(* &quot;-&quot;??_);_(@_)">
                  <c:v>390.89305999999999</c:v>
                </c:pt>
                <c:pt idx="8" formatCode="_(* #,##0.0_);_(* \(#,##0.0\);_(* &quot;-&quot;??_);_(@_)">
                  <c:v>422.49095</c:v>
                </c:pt>
                <c:pt idx="9" formatCode="_(* #,##0.0_);_(* \(#,##0.0\);_(* &quot;-&quot;??_);_(@_)">
                  <c:v>456.98399999999998</c:v>
                </c:pt>
                <c:pt idx="10" formatCode="_(* #,##0.0_);_(* \(#,##0.0\);_(* &quot;-&quot;??_);_(@_)">
                  <c:v>496.22485</c:v>
                </c:pt>
              </c:numCache>
            </c:numRef>
          </c:val>
          <c:extLst>
            <c:ext xmlns:c16="http://schemas.microsoft.com/office/drawing/2014/chart" uri="{C3380CC4-5D6E-409C-BE32-E72D297353CC}">
              <c16:uniqueId val="{00000000-CD11-4A34-947A-A6D9FC7C7CE2}"/>
            </c:ext>
          </c:extLst>
        </c:ser>
        <c:dLbls>
          <c:showLegendKey val="0"/>
          <c:showVal val="0"/>
          <c:showCatName val="0"/>
          <c:showSerName val="0"/>
          <c:showPercent val="0"/>
          <c:showBubbleSize val="0"/>
        </c:dLbls>
        <c:gapWidth val="219"/>
        <c:overlap val="-27"/>
        <c:axId val="1089651024"/>
        <c:axId val="1171238832"/>
      </c:barChart>
      <c:lineChart>
        <c:grouping val="standard"/>
        <c:varyColors val="0"/>
        <c:ser>
          <c:idx val="1"/>
          <c:order val="1"/>
          <c:tx>
            <c:strRef>
              <c:f>'[Chart in Microsoft Word]Sheet1'!$C$176</c:f>
              <c:strCache>
                <c:ptCount val="1"/>
                <c:pt idx="0">
                  <c:v>% ndaj PBB</c:v>
                </c:pt>
              </c:strCache>
            </c:strRef>
          </c:tx>
          <c:spPr>
            <a:ln w="28575" cap="rnd">
              <a:solidFill>
                <a:schemeClr val="accent1">
                  <a:lumMod val="20000"/>
                  <a:lumOff val="80000"/>
                </a:schemeClr>
              </a:solidFill>
              <a:round/>
            </a:ln>
            <a:effectLst/>
          </c:spPr>
          <c:marker>
            <c:symbol val="none"/>
          </c:marker>
          <c:dLbls>
            <c:dLbl>
              <c:idx val="0"/>
              <c:layout>
                <c:manualLayout>
                  <c:x val="-4.7364253886868796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11-4A34-947A-A6D9FC7C7CE2}"/>
                </c:ext>
              </c:extLst>
            </c:dLbl>
            <c:dLbl>
              <c:idx val="1"/>
              <c:layout>
                <c:manualLayout>
                  <c:x val="-4.293457503858529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11-4A34-947A-A6D9FC7C7CE2}"/>
                </c:ext>
              </c:extLst>
            </c:dLbl>
            <c:dLbl>
              <c:idx val="2"/>
              <c:layout>
                <c:manualLayout>
                  <c:x val="-4.293457503858529E-2"/>
                  <c:y val="-4.62962962962962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11-4A34-947A-A6D9FC7C7CE2}"/>
                </c:ext>
              </c:extLst>
            </c:dLbl>
            <c:dLbl>
              <c:idx val="3"/>
              <c:layout>
                <c:manualLayout>
                  <c:x val="-4.7364253886868796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11-4A34-947A-A6D9FC7C7CE2}"/>
                </c:ext>
              </c:extLst>
            </c:dLbl>
            <c:dLbl>
              <c:idx val="4"/>
              <c:layout>
                <c:manualLayout>
                  <c:x val="-4.29345750385852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11-4A34-947A-A6D9FC7C7CE2}"/>
                </c:ext>
              </c:extLst>
            </c:dLbl>
            <c:dLbl>
              <c:idx val="5"/>
              <c:layout>
                <c:manualLayout>
                  <c:x val="-4.736425388686887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11-4A34-947A-A6D9FC7C7CE2}"/>
                </c:ext>
              </c:extLst>
            </c:dLbl>
            <c:dLbl>
              <c:idx val="6"/>
              <c:layout>
                <c:manualLayout>
                  <c:x val="-4.957909331101054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11-4A34-947A-A6D9FC7C7CE2}"/>
                </c:ext>
              </c:extLst>
            </c:dLbl>
            <c:dLbl>
              <c:idx val="7"/>
              <c:layout>
                <c:manualLayout>
                  <c:x val="-4.736425388686879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11-4A34-947A-A6D9FC7C7CE2}"/>
                </c:ext>
              </c:extLst>
            </c:dLbl>
            <c:dLbl>
              <c:idx val="8"/>
              <c:layout>
                <c:manualLayout>
                  <c:x val="-4.0719735614443545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11-4A34-947A-A6D9FC7C7CE2}"/>
                </c:ext>
              </c:extLst>
            </c:dLbl>
            <c:dLbl>
              <c:idx val="9"/>
              <c:layout>
                <c:manualLayout>
                  <c:x val="-4.514941446272704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11-4A34-947A-A6D9FC7C7CE2}"/>
                </c:ext>
              </c:extLst>
            </c:dLbl>
            <c:dLbl>
              <c:idx val="10"/>
              <c:layout>
                <c:manualLayout>
                  <c:x val="-4.5149414462727203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11-4A34-947A-A6D9FC7C7CE2}"/>
                </c:ext>
              </c:extLst>
            </c:dLbl>
            <c:dLbl>
              <c:idx val="11"/>
              <c:layout>
                <c:manualLayout>
                  <c:x val="-4.0719735614443545E-2"/>
                  <c:y val="-0.11111111111111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11-4A34-947A-A6D9FC7C7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Word]Sheet1'!$D$174:$O$174</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 in Microsoft Word]Sheet1'!$D$176:$O$176</c:f>
              <c:numCache>
                <c:formatCode>0.0%</c:formatCode>
                <c:ptCount val="12"/>
                <c:pt idx="0">
                  <c:v>0.17918164813146228</c:v>
                </c:pt>
                <c:pt idx="1">
                  <c:v>0.18529824955305482</c:v>
                </c:pt>
                <c:pt idx="2">
                  <c:v>0.18579862843224812</c:v>
                </c:pt>
                <c:pt idx="3">
                  <c:v>0.18323335202650382</c:v>
                </c:pt>
                <c:pt idx="4">
                  <c:v>0.17800882382922667</c:v>
                </c:pt>
                <c:pt idx="5">
                  <c:v>0.16847022325602151</c:v>
                </c:pt>
                <c:pt idx="6">
                  <c:v>0.18111031425016888</c:v>
                </c:pt>
                <c:pt idx="7">
                  <c:v>0.18183256578687851</c:v>
                </c:pt>
                <c:pt idx="8">
                  <c:v>0.17869783696290442</c:v>
                </c:pt>
                <c:pt idx="9">
                  <c:v>0.18149988839749062</c:v>
                </c:pt>
                <c:pt idx="10">
                  <c:v>0.18718473098729155</c:v>
                </c:pt>
              </c:numCache>
            </c:numRef>
          </c:val>
          <c:smooth val="0"/>
          <c:extLst>
            <c:ext xmlns:c16="http://schemas.microsoft.com/office/drawing/2014/chart" uri="{C3380CC4-5D6E-409C-BE32-E72D297353CC}">
              <c16:uniqueId val="{0000000D-CD11-4A34-947A-A6D9FC7C7CE2}"/>
            </c:ext>
          </c:extLst>
        </c:ser>
        <c:dLbls>
          <c:showLegendKey val="0"/>
          <c:showVal val="0"/>
          <c:showCatName val="0"/>
          <c:showSerName val="0"/>
          <c:showPercent val="0"/>
          <c:showBubbleSize val="0"/>
        </c:dLbls>
        <c:marker val="1"/>
        <c:smooth val="0"/>
        <c:axId val="1171235024"/>
        <c:axId val="1171242096"/>
      </c:lineChart>
      <c:catAx>
        <c:axId val="10896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238832"/>
        <c:crosses val="autoZero"/>
        <c:auto val="1"/>
        <c:lblAlgn val="ctr"/>
        <c:lblOffset val="100"/>
        <c:noMultiLvlLbl val="0"/>
      </c:catAx>
      <c:valAx>
        <c:axId val="117123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651024"/>
        <c:crosses val="autoZero"/>
        <c:crossBetween val="between"/>
      </c:valAx>
      <c:valAx>
        <c:axId val="1171242096"/>
        <c:scaling>
          <c:orientation val="minMax"/>
          <c:max val="0.19000000000000003"/>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235024"/>
        <c:crosses val="max"/>
        <c:crossBetween val="between"/>
      </c:valAx>
      <c:catAx>
        <c:axId val="1171235024"/>
        <c:scaling>
          <c:orientation val="minMax"/>
        </c:scaling>
        <c:delete val="1"/>
        <c:axPos val="b"/>
        <c:numFmt formatCode="General" sourceLinked="1"/>
        <c:majorTickMark val="out"/>
        <c:minorTickMark val="none"/>
        <c:tickLblPos val="nextTo"/>
        <c:crossAx val="1171242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DE615AE-D836-4070-9AFF-2CD62FEC8777}">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2</TotalTime>
  <Pages>85</Pages>
  <Words>42785</Words>
  <Characters>243875</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Besjon Tanuzi</dc:creator>
  <cp:lastModifiedBy>Pajtim Nikolli</cp:lastModifiedBy>
  <cp:revision>3</cp:revision>
  <cp:lastPrinted>2026-06-01T07:16:00Z</cp:lastPrinted>
  <dcterms:created xsi:type="dcterms:W3CDTF">2026-06-10T09:32:00Z</dcterms:created>
  <dcterms:modified xsi:type="dcterms:W3CDTF">2026-06-10T09:33:00Z</dcterms:modified>
</cp:coreProperties>
</file>