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511A" w14:textId="77777777" w:rsidR="003E1EE1" w:rsidRPr="00607DCB" w:rsidRDefault="003E1EE1" w:rsidP="00607DCB">
      <w:pPr>
        <w:numPr>
          <w:ilvl w:val="1"/>
          <w:numId w:val="0"/>
        </w:numPr>
        <w:spacing w:line="276" w:lineRule="auto"/>
        <w:jc w:val="center"/>
        <w:rPr>
          <w:rFonts w:eastAsiaTheme="minorHAnsi"/>
          <w:b/>
          <w:sz w:val="24"/>
          <w:szCs w:val="24"/>
          <w:lang w:val="sq-AL" w:eastAsia="ja-JP"/>
        </w:rPr>
      </w:pPr>
    </w:p>
    <w:p w14:paraId="15935C36" w14:textId="00F04853" w:rsidR="003E1EE1" w:rsidRPr="00607DCB" w:rsidRDefault="003E1EE1" w:rsidP="00607DCB">
      <w:pPr>
        <w:numPr>
          <w:ilvl w:val="1"/>
          <w:numId w:val="0"/>
        </w:numPr>
        <w:spacing w:line="276" w:lineRule="auto"/>
        <w:jc w:val="center"/>
        <w:rPr>
          <w:rFonts w:eastAsiaTheme="minorHAnsi"/>
          <w:b/>
          <w:sz w:val="24"/>
          <w:szCs w:val="24"/>
          <w:lang w:val="sq-AL" w:eastAsia="ja-JP"/>
        </w:rPr>
      </w:pPr>
      <w:r w:rsidRPr="00607DCB">
        <w:rPr>
          <w:noProof/>
          <w:sz w:val="24"/>
          <w:szCs w:val="24"/>
          <w:lang w:val="sq-AL"/>
        </w:rPr>
        <w:drawing>
          <wp:anchor distT="0" distB="0" distL="114300" distR="114300" simplePos="0" relativeHeight="251661312" behindDoc="0" locked="0" layoutInCell="1" allowOverlap="1" wp14:anchorId="51454002" wp14:editId="53F5349D">
            <wp:simplePos x="0" y="0"/>
            <wp:positionH relativeFrom="margin">
              <wp:posOffset>-159451</wp:posOffset>
            </wp:positionH>
            <wp:positionV relativeFrom="margin">
              <wp:posOffset>-296883</wp:posOffset>
            </wp:positionV>
            <wp:extent cx="6229350" cy="741045"/>
            <wp:effectExtent l="0" t="0" r="0" b="1905"/>
            <wp:wrapSquare wrapText="bothSides"/>
            <wp:docPr id="175478412" name="Picture 175478412"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REPUBLIKES - BLACK"/>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62293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DCB">
        <w:rPr>
          <w:rFonts w:eastAsiaTheme="minorHAnsi"/>
          <w:b/>
          <w:sz w:val="24"/>
          <w:szCs w:val="24"/>
          <w:lang w:val="sq-AL" w:eastAsia="ja-JP"/>
        </w:rPr>
        <w:t>MINISTRIA E FINANCAVE</w:t>
      </w:r>
    </w:p>
    <w:p w14:paraId="43FE7D08" w14:textId="7F546266" w:rsidR="003E1EE1" w:rsidRPr="00607DCB" w:rsidRDefault="003E1EE1" w:rsidP="00607DCB">
      <w:pPr>
        <w:widowControl/>
        <w:autoSpaceDE/>
        <w:autoSpaceDN/>
        <w:spacing w:line="276" w:lineRule="auto"/>
        <w:jc w:val="both"/>
        <w:rPr>
          <w:b/>
          <w:bCs/>
          <w:sz w:val="24"/>
          <w:szCs w:val="24"/>
          <w:lang w:val="sq-AL"/>
        </w:rPr>
      </w:pPr>
    </w:p>
    <w:p w14:paraId="0A4DB2C8" w14:textId="17757AB3" w:rsidR="003E1EE1" w:rsidRPr="00607DCB" w:rsidRDefault="003E1EE1" w:rsidP="00607DCB">
      <w:pPr>
        <w:widowControl/>
        <w:autoSpaceDE/>
        <w:autoSpaceDN/>
        <w:spacing w:line="276" w:lineRule="auto"/>
        <w:jc w:val="both"/>
        <w:rPr>
          <w:b/>
          <w:bCs/>
          <w:sz w:val="24"/>
          <w:szCs w:val="24"/>
          <w:lang w:val="sq-AL"/>
        </w:rPr>
      </w:pPr>
    </w:p>
    <w:p w14:paraId="1D1C76DD" w14:textId="52A1F568" w:rsidR="003E1EE1" w:rsidRPr="00607DCB" w:rsidRDefault="003E1EE1" w:rsidP="00607DCB">
      <w:pPr>
        <w:widowControl/>
        <w:autoSpaceDE/>
        <w:autoSpaceDN/>
        <w:spacing w:line="276" w:lineRule="auto"/>
        <w:jc w:val="both"/>
        <w:rPr>
          <w:b/>
          <w:bCs/>
          <w:sz w:val="24"/>
          <w:szCs w:val="24"/>
          <w:lang w:val="sq-AL"/>
        </w:rPr>
      </w:pPr>
    </w:p>
    <w:p w14:paraId="3353BA98" w14:textId="77777777" w:rsidR="003E1EE1" w:rsidRPr="00607DCB" w:rsidRDefault="003E1EE1" w:rsidP="00607DCB">
      <w:pPr>
        <w:widowControl/>
        <w:autoSpaceDE/>
        <w:autoSpaceDN/>
        <w:spacing w:line="276" w:lineRule="auto"/>
        <w:jc w:val="both"/>
        <w:rPr>
          <w:b/>
          <w:bCs/>
          <w:sz w:val="24"/>
          <w:szCs w:val="24"/>
          <w:lang w:val="sq-AL"/>
        </w:rPr>
      </w:pPr>
    </w:p>
    <w:p w14:paraId="23DE9928" w14:textId="77777777" w:rsidR="003E1EE1" w:rsidRPr="00607DCB" w:rsidRDefault="003E1EE1" w:rsidP="00607DCB">
      <w:pPr>
        <w:widowControl/>
        <w:autoSpaceDE/>
        <w:autoSpaceDN/>
        <w:spacing w:line="276" w:lineRule="auto"/>
        <w:jc w:val="both"/>
        <w:rPr>
          <w:b/>
          <w:bCs/>
          <w:sz w:val="24"/>
          <w:szCs w:val="24"/>
          <w:lang w:val="sq-AL"/>
        </w:rPr>
      </w:pPr>
    </w:p>
    <w:p w14:paraId="63DE7145" w14:textId="77777777" w:rsidR="003E1EE1" w:rsidRPr="00607DCB" w:rsidRDefault="003E1EE1" w:rsidP="00607DCB">
      <w:pPr>
        <w:widowControl/>
        <w:autoSpaceDE/>
        <w:autoSpaceDN/>
        <w:spacing w:line="276" w:lineRule="auto"/>
        <w:jc w:val="both"/>
        <w:rPr>
          <w:b/>
          <w:bCs/>
          <w:sz w:val="24"/>
          <w:szCs w:val="24"/>
          <w:lang w:val="sq-AL"/>
        </w:rPr>
      </w:pPr>
    </w:p>
    <w:p w14:paraId="57EC26A4" w14:textId="77777777" w:rsidR="003E1EE1" w:rsidRPr="00607DCB" w:rsidRDefault="003E1EE1" w:rsidP="00607DCB">
      <w:pPr>
        <w:widowControl/>
        <w:autoSpaceDE/>
        <w:autoSpaceDN/>
        <w:spacing w:line="276" w:lineRule="auto"/>
        <w:jc w:val="both"/>
        <w:rPr>
          <w:b/>
          <w:bCs/>
          <w:sz w:val="24"/>
          <w:szCs w:val="24"/>
          <w:lang w:val="sq-AL"/>
        </w:rPr>
      </w:pPr>
    </w:p>
    <w:p w14:paraId="3F2A9740" w14:textId="77777777" w:rsidR="003E1EE1" w:rsidRPr="00607DCB" w:rsidRDefault="003E1EE1" w:rsidP="00607DCB">
      <w:pPr>
        <w:widowControl/>
        <w:autoSpaceDE/>
        <w:autoSpaceDN/>
        <w:spacing w:line="276" w:lineRule="auto"/>
        <w:jc w:val="both"/>
        <w:rPr>
          <w:b/>
          <w:bCs/>
          <w:sz w:val="24"/>
          <w:szCs w:val="24"/>
          <w:lang w:val="sq-AL"/>
        </w:rPr>
      </w:pPr>
    </w:p>
    <w:p w14:paraId="7C10C732" w14:textId="77777777" w:rsidR="003E1EE1" w:rsidRPr="00607DCB" w:rsidRDefault="003E1EE1" w:rsidP="00607DCB">
      <w:pPr>
        <w:widowControl/>
        <w:autoSpaceDE/>
        <w:autoSpaceDN/>
        <w:spacing w:line="276" w:lineRule="auto"/>
        <w:jc w:val="both"/>
        <w:rPr>
          <w:b/>
          <w:bCs/>
          <w:sz w:val="24"/>
          <w:szCs w:val="24"/>
          <w:lang w:val="sq-AL"/>
        </w:rPr>
      </w:pPr>
    </w:p>
    <w:p w14:paraId="687D8F8A" w14:textId="77777777" w:rsidR="003E1EE1" w:rsidRPr="00607DCB" w:rsidRDefault="003E1EE1" w:rsidP="00607DCB">
      <w:pPr>
        <w:widowControl/>
        <w:autoSpaceDE/>
        <w:autoSpaceDN/>
        <w:spacing w:line="276" w:lineRule="auto"/>
        <w:jc w:val="both"/>
        <w:rPr>
          <w:b/>
          <w:bCs/>
          <w:sz w:val="24"/>
          <w:szCs w:val="24"/>
          <w:lang w:val="sq-AL"/>
        </w:rPr>
      </w:pPr>
    </w:p>
    <w:p w14:paraId="63553D4B" w14:textId="77777777" w:rsidR="003E1EE1" w:rsidRPr="00607DCB" w:rsidRDefault="003E1EE1" w:rsidP="00607DCB">
      <w:pPr>
        <w:widowControl/>
        <w:autoSpaceDE/>
        <w:autoSpaceDN/>
        <w:spacing w:line="276" w:lineRule="auto"/>
        <w:jc w:val="both"/>
        <w:rPr>
          <w:b/>
          <w:bCs/>
          <w:sz w:val="24"/>
          <w:szCs w:val="24"/>
          <w:lang w:val="sq-AL"/>
        </w:rPr>
      </w:pPr>
    </w:p>
    <w:p w14:paraId="77BA006F" w14:textId="7CB2AD7F" w:rsidR="003E1EE1" w:rsidRPr="00607DCB" w:rsidRDefault="003E1EE1" w:rsidP="00607DCB">
      <w:pPr>
        <w:widowControl/>
        <w:autoSpaceDE/>
        <w:autoSpaceDN/>
        <w:spacing w:line="276" w:lineRule="auto"/>
        <w:jc w:val="center"/>
        <w:rPr>
          <w:rFonts w:eastAsiaTheme="minorHAnsi"/>
          <w:b/>
          <w:sz w:val="24"/>
          <w:szCs w:val="24"/>
          <w:lang w:val="sq-AL" w:eastAsia="ja-JP"/>
        </w:rPr>
      </w:pPr>
      <w:r w:rsidRPr="00607DCB">
        <w:rPr>
          <w:rFonts w:eastAsiaTheme="minorHAnsi"/>
          <w:b/>
          <w:sz w:val="24"/>
          <w:szCs w:val="24"/>
          <w:lang w:val="sq-AL" w:eastAsia="ja-JP"/>
        </w:rPr>
        <w:t>RAPORTI MBI DEVIJANCAT E PARASHIKIMEVE MAKROEKONOMIKE, FISKALE DHE BUXHETORE GJAT</w:t>
      </w:r>
      <w:r w:rsidR="00A721D5" w:rsidRPr="00607DCB">
        <w:rPr>
          <w:rFonts w:eastAsiaTheme="minorHAnsi"/>
          <w:b/>
          <w:sz w:val="24"/>
          <w:szCs w:val="24"/>
          <w:lang w:val="sq-AL" w:eastAsia="ja-JP"/>
        </w:rPr>
        <w:t>Ë</w:t>
      </w:r>
      <w:r w:rsidRPr="00607DCB">
        <w:rPr>
          <w:rFonts w:eastAsiaTheme="minorHAnsi"/>
          <w:b/>
          <w:sz w:val="24"/>
          <w:szCs w:val="24"/>
          <w:lang w:val="sq-AL" w:eastAsia="ja-JP"/>
        </w:rPr>
        <w:t xml:space="preserve"> P</w:t>
      </w:r>
      <w:r w:rsidR="00A721D5" w:rsidRPr="00607DCB">
        <w:rPr>
          <w:rFonts w:eastAsiaTheme="minorHAnsi"/>
          <w:b/>
          <w:sz w:val="24"/>
          <w:szCs w:val="24"/>
          <w:lang w:val="sq-AL" w:eastAsia="ja-JP"/>
        </w:rPr>
        <w:t>Ë</w:t>
      </w:r>
      <w:r w:rsidRPr="00607DCB">
        <w:rPr>
          <w:rFonts w:eastAsiaTheme="minorHAnsi"/>
          <w:b/>
          <w:sz w:val="24"/>
          <w:szCs w:val="24"/>
          <w:lang w:val="sq-AL" w:eastAsia="ja-JP"/>
        </w:rPr>
        <w:t>RGATITJES S</w:t>
      </w:r>
      <w:r w:rsidR="00A721D5" w:rsidRPr="00607DCB">
        <w:rPr>
          <w:rFonts w:eastAsiaTheme="minorHAnsi"/>
          <w:b/>
          <w:sz w:val="24"/>
          <w:szCs w:val="24"/>
          <w:lang w:val="sq-AL" w:eastAsia="ja-JP"/>
        </w:rPr>
        <w:t>Ë</w:t>
      </w:r>
      <w:r w:rsidRPr="00607DCB">
        <w:rPr>
          <w:rFonts w:eastAsiaTheme="minorHAnsi"/>
          <w:b/>
          <w:sz w:val="24"/>
          <w:szCs w:val="24"/>
          <w:lang w:val="sq-AL" w:eastAsia="ja-JP"/>
        </w:rPr>
        <w:t xml:space="preserve"> BUXHETIT P</w:t>
      </w:r>
      <w:r w:rsidR="00A721D5" w:rsidRPr="00607DCB">
        <w:rPr>
          <w:rFonts w:eastAsiaTheme="minorHAnsi"/>
          <w:b/>
          <w:sz w:val="24"/>
          <w:szCs w:val="24"/>
          <w:lang w:val="sq-AL" w:eastAsia="ja-JP"/>
        </w:rPr>
        <w:t>Ë</w:t>
      </w:r>
      <w:r w:rsidRPr="00607DCB">
        <w:rPr>
          <w:rFonts w:eastAsiaTheme="minorHAnsi"/>
          <w:b/>
          <w:sz w:val="24"/>
          <w:szCs w:val="24"/>
          <w:lang w:val="sq-AL" w:eastAsia="ja-JP"/>
        </w:rPr>
        <w:t>R VITIN 2026</w:t>
      </w:r>
    </w:p>
    <w:p w14:paraId="2C5179EE" w14:textId="77777777" w:rsidR="003E1EE1" w:rsidRPr="00607DCB" w:rsidRDefault="003E1EE1" w:rsidP="00607DCB">
      <w:pPr>
        <w:widowControl/>
        <w:autoSpaceDE/>
        <w:autoSpaceDN/>
        <w:spacing w:line="276" w:lineRule="auto"/>
        <w:jc w:val="both"/>
        <w:rPr>
          <w:b/>
          <w:bCs/>
          <w:sz w:val="24"/>
          <w:szCs w:val="24"/>
          <w:lang w:val="sq-AL"/>
        </w:rPr>
      </w:pPr>
    </w:p>
    <w:p w14:paraId="6901EC1E" w14:textId="77777777" w:rsidR="003E1EE1" w:rsidRPr="00607DCB" w:rsidRDefault="003E1EE1" w:rsidP="00607DCB">
      <w:pPr>
        <w:widowControl/>
        <w:autoSpaceDE/>
        <w:autoSpaceDN/>
        <w:spacing w:line="276" w:lineRule="auto"/>
        <w:jc w:val="both"/>
        <w:rPr>
          <w:b/>
          <w:bCs/>
          <w:sz w:val="24"/>
          <w:szCs w:val="24"/>
          <w:lang w:val="sq-AL"/>
        </w:rPr>
      </w:pPr>
    </w:p>
    <w:p w14:paraId="7694B933" w14:textId="77777777" w:rsidR="003E1EE1" w:rsidRPr="00607DCB" w:rsidRDefault="003E1EE1" w:rsidP="00607DCB">
      <w:pPr>
        <w:widowControl/>
        <w:autoSpaceDE/>
        <w:autoSpaceDN/>
        <w:spacing w:line="276" w:lineRule="auto"/>
        <w:jc w:val="both"/>
        <w:rPr>
          <w:b/>
          <w:bCs/>
          <w:sz w:val="24"/>
          <w:szCs w:val="24"/>
          <w:lang w:val="sq-AL"/>
        </w:rPr>
      </w:pPr>
    </w:p>
    <w:p w14:paraId="6D04F32A" w14:textId="77777777" w:rsidR="003E1EE1" w:rsidRPr="00607DCB" w:rsidRDefault="003E1EE1" w:rsidP="00607DCB">
      <w:pPr>
        <w:widowControl/>
        <w:autoSpaceDE/>
        <w:autoSpaceDN/>
        <w:spacing w:line="276" w:lineRule="auto"/>
        <w:jc w:val="both"/>
        <w:rPr>
          <w:b/>
          <w:bCs/>
          <w:sz w:val="24"/>
          <w:szCs w:val="24"/>
          <w:lang w:val="sq-AL"/>
        </w:rPr>
      </w:pPr>
    </w:p>
    <w:p w14:paraId="57455BF6" w14:textId="77777777" w:rsidR="003E1EE1" w:rsidRPr="00607DCB" w:rsidRDefault="003E1EE1" w:rsidP="00607DCB">
      <w:pPr>
        <w:widowControl/>
        <w:autoSpaceDE/>
        <w:autoSpaceDN/>
        <w:spacing w:line="276" w:lineRule="auto"/>
        <w:jc w:val="both"/>
        <w:rPr>
          <w:b/>
          <w:bCs/>
          <w:sz w:val="24"/>
          <w:szCs w:val="24"/>
          <w:lang w:val="sq-AL"/>
        </w:rPr>
      </w:pPr>
    </w:p>
    <w:p w14:paraId="7D8F9E4D" w14:textId="77777777" w:rsidR="003E1EE1" w:rsidRPr="00607DCB" w:rsidRDefault="003E1EE1" w:rsidP="00607DCB">
      <w:pPr>
        <w:widowControl/>
        <w:autoSpaceDE/>
        <w:autoSpaceDN/>
        <w:spacing w:line="276" w:lineRule="auto"/>
        <w:jc w:val="both"/>
        <w:rPr>
          <w:b/>
          <w:bCs/>
          <w:sz w:val="24"/>
          <w:szCs w:val="24"/>
          <w:lang w:val="sq-AL"/>
        </w:rPr>
      </w:pPr>
    </w:p>
    <w:p w14:paraId="141F9FE9" w14:textId="77777777" w:rsidR="003E1EE1" w:rsidRPr="00607DCB" w:rsidRDefault="003E1EE1" w:rsidP="00607DCB">
      <w:pPr>
        <w:widowControl/>
        <w:autoSpaceDE/>
        <w:autoSpaceDN/>
        <w:spacing w:line="276" w:lineRule="auto"/>
        <w:jc w:val="both"/>
        <w:rPr>
          <w:b/>
          <w:bCs/>
          <w:sz w:val="24"/>
          <w:szCs w:val="24"/>
          <w:lang w:val="sq-AL"/>
        </w:rPr>
      </w:pPr>
    </w:p>
    <w:p w14:paraId="56756C7D" w14:textId="77777777" w:rsidR="003E1EE1" w:rsidRPr="00607DCB" w:rsidRDefault="003E1EE1" w:rsidP="00607DCB">
      <w:pPr>
        <w:widowControl/>
        <w:autoSpaceDE/>
        <w:autoSpaceDN/>
        <w:spacing w:line="276" w:lineRule="auto"/>
        <w:jc w:val="both"/>
        <w:rPr>
          <w:b/>
          <w:bCs/>
          <w:sz w:val="24"/>
          <w:szCs w:val="24"/>
          <w:lang w:val="sq-AL"/>
        </w:rPr>
      </w:pPr>
    </w:p>
    <w:p w14:paraId="4DE5E70D" w14:textId="77777777" w:rsidR="003E1EE1" w:rsidRPr="00607DCB" w:rsidRDefault="003E1EE1" w:rsidP="00607DCB">
      <w:pPr>
        <w:widowControl/>
        <w:autoSpaceDE/>
        <w:autoSpaceDN/>
        <w:spacing w:line="276" w:lineRule="auto"/>
        <w:jc w:val="both"/>
        <w:rPr>
          <w:b/>
          <w:bCs/>
          <w:sz w:val="24"/>
          <w:szCs w:val="24"/>
          <w:lang w:val="sq-AL"/>
        </w:rPr>
      </w:pPr>
    </w:p>
    <w:p w14:paraId="5DC1390A" w14:textId="77777777" w:rsidR="003E1EE1" w:rsidRPr="00607DCB" w:rsidRDefault="003E1EE1" w:rsidP="00607DCB">
      <w:pPr>
        <w:widowControl/>
        <w:autoSpaceDE/>
        <w:autoSpaceDN/>
        <w:spacing w:line="276" w:lineRule="auto"/>
        <w:jc w:val="both"/>
        <w:rPr>
          <w:b/>
          <w:bCs/>
          <w:sz w:val="24"/>
          <w:szCs w:val="24"/>
          <w:lang w:val="sq-AL"/>
        </w:rPr>
      </w:pPr>
    </w:p>
    <w:p w14:paraId="5B280BB2" w14:textId="77777777" w:rsidR="003E1EE1" w:rsidRPr="00607DCB" w:rsidRDefault="003E1EE1" w:rsidP="00607DCB">
      <w:pPr>
        <w:widowControl/>
        <w:autoSpaceDE/>
        <w:autoSpaceDN/>
        <w:spacing w:line="276" w:lineRule="auto"/>
        <w:jc w:val="both"/>
        <w:rPr>
          <w:b/>
          <w:bCs/>
          <w:sz w:val="24"/>
          <w:szCs w:val="24"/>
          <w:lang w:val="sq-AL"/>
        </w:rPr>
      </w:pPr>
    </w:p>
    <w:p w14:paraId="320008B8" w14:textId="77777777" w:rsidR="003E1EE1" w:rsidRPr="00607DCB" w:rsidRDefault="003E1EE1" w:rsidP="00607DCB">
      <w:pPr>
        <w:widowControl/>
        <w:autoSpaceDE/>
        <w:autoSpaceDN/>
        <w:spacing w:line="276" w:lineRule="auto"/>
        <w:jc w:val="both"/>
        <w:rPr>
          <w:b/>
          <w:bCs/>
          <w:sz w:val="24"/>
          <w:szCs w:val="24"/>
          <w:lang w:val="sq-AL"/>
        </w:rPr>
      </w:pPr>
    </w:p>
    <w:p w14:paraId="39620886" w14:textId="77777777" w:rsidR="003E1EE1" w:rsidRPr="00607DCB" w:rsidRDefault="003E1EE1" w:rsidP="00607DCB">
      <w:pPr>
        <w:widowControl/>
        <w:autoSpaceDE/>
        <w:autoSpaceDN/>
        <w:spacing w:line="276" w:lineRule="auto"/>
        <w:jc w:val="both"/>
        <w:rPr>
          <w:b/>
          <w:bCs/>
          <w:sz w:val="24"/>
          <w:szCs w:val="24"/>
          <w:lang w:val="sq-AL"/>
        </w:rPr>
      </w:pPr>
    </w:p>
    <w:p w14:paraId="3BDBE590" w14:textId="77777777" w:rsidR="003E1EE1" w:rsidRPr="00607DCB" w:rsidRDefault="003E1EE1" w:rsidP="00607DCB">
      <w:pPr>
        <w:widowControl/>
        <w:autoSpaceDE/>
        <w:autoSpaceDN/>
        <w:spacing w:line="276" w:lineRule="auto"/>
        <w:jc w:val="both"/>
        <w:rPr>
          <w:b/>
          <w:bCs/>
          <w:sz w:val="24"/>
          <w:szCs w:val="24"/>
          <w:lang w:val="sq-AL"/>
        </w:rPr>
      </w:pPr>
    </w:p>
    <w:p w14:paraId="44D1819E" w14:textId="77777777" w:rsidR="003E1EE1" w:rsidRPr="00607DCB" w:rsidRDefault="003E1EE1" w:rsidP="00607DCB">
      <w:pPr>
        <w:widowControl/>
        <w:autoSpaceDE/>
        <w:autoSpaceDN/>
        <w:spacing w:line="276" w:lineRule="auto"/>
        <w:jc w:val="both"/>
        <w:rPr>
          <w:b/>
          <w:bCs/>
          <w:sz w:val="24"/>
          <w:szCs w:val="24"/>
          <w:lang w:val="sq-AL"/>
        </w:rPr>
      </w:pPr>
    </w:p>
    <w:p w14:paraId="545769E7" w14:textId="77777777" w:rsidR="003E1EE1" w:rsidRPr="00607DCB" w:rsidRDefault="003E1EE1" w:rsidP="00607DCB">
      <w:pPr>
        <w:widowControl/>
        <w:autoSpaceDE/>
        <w:autoSpaceDN/>
        <w:spacing w:line="276" w:lineRule="auto"/>
        <w:jc w:val="both"/>
        <w:rPr>
          <w:b/>
          <w:bCs/>
          <w:sz w:val="24"/>
          <w:szCs w:val="24"/>
          <w:lang w:val="sq-AL"/>
        </w:rPr>
      </w:pPr>
    </w:p>
    <w:p w14:paraId="0954B4FF" w14:textId="77777777" w:rsidR="003E1EE1" w:rsidRPr="00607DCB" w:rsidRDefault="003E1EE1" w:rsidP="00607DCB">
      <w:pPr>
        <w:spacing w:line="276" w:lineRule="auto"/>
        <w:jc w:val="center"/>
        <w:rPr>
          <w:b/>
          <w:bCs/>
          <w:sz w:val="24"/>
          <w:szCs w:val="24"/>
          <w:lang w:val="sq-AL"/>
        </w:rPr>
      </w:pPr>
    </w:p>
    <w:p w14:paraId="315B9B1C" w14:textId="77777777" w:rsidR="003E1EE1" w:rsidRPr="00607DCB" w:rsidRDefault="003E1EE1" w:rsidP="00607DCB">
      <w:pPr>
        <w:spacing w:line="276" w:lineRule="auto"/>
        <w:jc w:val="center"/>
        <w:rPr>
          <w:b/>
          <w:bCs/>
          <w:sz w:val="24"/>
          <w:szCs w:val="24"/>
          <w:lang w:val="sq-AL"/>
        </w:rPr>
      </w:pPr>
    </w:p>
    <w:p w14:paraId="7B8B3FFD" w14:textId="77777777" w:rsidR="003E1EE1" w:rsidRPr="00607DCB" w:rsidRDefault="003E1EE1" w:rsidP="00607DCB">
      <w:pPr>
        <w:spacing w:line="276" w:lineRule="auto"/>
        <w:jc w:val="center"/>
        <w:rPr>
          <w:b/>
          <w:bCs/>
          <w:sz w:val="24"/>
          <w:szCs w:val="24"/>
          <w:lang w:val="sq-AL"/>
        </w:rPr>
      </w:pPr>
    </w:p>
    <w:p w14:paraId="58913563" w14:textId="77777777" w:rsidR="003E1EE1" w:rsidRPr="00607DCB" w:rsidRDefault="003E1EE1" w:rsidP="00607DCB">
      <w:pPr>
        <w:spacing w:line="276" w:lineRule="auto"/>
        <w:jc w:val="center"/>
        <w:rPr>
          <w:b/>
          <w:bCs/>
          <w:sz w:val="24"/>
          <w:szCs w:val="24"/>
          <w:lang w:val="sq-AL"/>
        </w:rPr>
      </w:pPr>
    </w:p>
    <w:p w14:paraId="5A8B72AB" w14:textId="77777777" w:rsidR="003E1EE1" w:rsidRPr="00607DCB" w:rsidRDefault="003E1EE1" w:rsidP="00607DCB">
      <w:pPr>
        <w:spacing w:line="276" w:lineRule="auto"/>
        <w:jc w:val="center"/>
        <w:rPr>
          <w:b/>
          <w:bCs/>
          <w:sz w:val="24"/>
          <w:szCs w:val="24"/>
          <w:lang w:val="sq-AL"/>
        </w:rPr>
      </w:pPr>
    </w:p>
    <w:p w14:paraId="499F6552" w14:textId="77777777" w:rsidR="003E1EE1" w:rsidRPr="00607DCB" w:rsidRDefault="003E1EE1" w:rsidP="00607DCB">
      <w:pPr>
        <w:spacing w:line="276" w:lineRule="auto"/>
        <w:jc w:val="center"/>
        <w:rPr>
          <w:b/>
          <w:bCs/>
          <w:sz w:val="24"/>
          <w:szCs w:val="24"/>
          <w:lang w:val="sq-AL"/>
        </w:rPr>
      </w:pPr>
    </w:p>
    <w:p w14:paraId="041922B5" w14:textId="77777777" w:rsidR="003E1EE1" w:rsidRPr="00607DCB" w:rsidRDefault="003E1EE1" w:rsidP="00607DCB">
      <w:pPr>
        <w:spacing w:line="276" w:lineRule="auto"/>
        <w:jc w:val="center"/>
        <w:rPr>
          <w:b/>
          <w:bCs/>
          <w:sz w:val="24"/>
          <w:szCs w:val="24"/>
          <w:lang w:val="sq-AL"/>
        </w:rPr>
      </w:pPr>
    </w:p>
    <w:p w14:paraId="78D66AAF" w14:textId="1DF7E0DF" w:rsidR="003E1EE1" w:rsidRPr="00607DCB" w:rsidRDefault="003E1EE1" w:rsidP="00607DCB">
      <w:pPr>
        <w:spacing w:line="276" w:lineRule="auto"/>
        <w:jc w:val="center"/>
        <w:rPr>
          <w:b/>
          <w:bCs/>
          <w:sz w:val="24"/>
          <w:szCs w:val="24"/>
          <w:lang w:val="sq-AL"/>
        </w:rPr>
      </w:pPr>
      <w:r w:rsidRPr="00607DCB">
        <w:rPr>
          <w:b/>
          <w:bCs/>
          <w:sz w:val="24"/>
          <w:szCs w:val="24"/>
          <w:lang w:val="sq-AL"/>
        </w:rPr>
        <w:t>Tiran</w:t>
      </w:r>
      <w:r w:rsidR="00A721D5" w:rsidRPr="00607DCB">
        <w:rPr>
          <w:b/>
          <w:bCs/>
          <w:sz w:val="24"/>
          <w:szCs w:val="24"/>
          <w:lang w:val="sq-AL"/>
        </w:rPr>
        <w:t>ë</w:t>
      </w:r>
      <w:r w:rsidRPr="00607DCB">
        <w:rPr>
          <w:b/>
          <w:bCs/>
          <w:sz w:val="24"/>
          <w:szCs w:val="24"/>
          <w:lang w:val="sq-AL"/>
        </w:rPr>
        <w:t>, Prill 2026</w:t>
      </w:r>
    </w:p>
    <w:p w14:paraId="22D62682" w14:textId="77777777" w:rsidR="003E1EE1" w:rsidRPr="00607DCB" w:rsidRDefault="003E1EE1" w:rsidP="00607DCB">
      <w:pPr>
        <w:widowControl/>
        <w:autoSpaceDE/>
        <w:autoSpaceDN/>
        <w:spacing w:line="276" w:lineRule="auto"/>
        <w:jc w:val="both"/>
        <w:rPr>
          <w:b/>
          <w:bCs/>
          <w:sz w:val="24"/>
          <w:szCs w:val="24"/>
          <w:lang w:val="sq-AL"/>
        </w:rPr>
      </w:pPr>
    </w:p>
    <w:p w14:paraId="0D28BCAF" w14:textId="77777777" w:rsidR="003E1EE1" w:rsidRPr="00607DCB" w:rsidRDefault="003E1EE1" w:rsidP="00607DCB">
      <w:pPr>
        <w:widowControl/>
        <w:autoSpaceDE/>
        <w:autoSpaceDN/>
        <w:spacing w:line="276" w:lineRule="auto"/>
        <w:jc w:val="both"/>
        <w:rPr>
          <w:b/>
          <w:bCs/>
          <w:sz w:val="24"/>
          <w:szCs w:val="24"/>
          <w:lang w:val="sq-AL"/>
        </w:rPr>
      </w:pPr>
    </w:p>
    <w:p w14:paraId="6B95B47A" w14:textId="77777777" w:rsidR="003E1EE1" w:rsidRPr="00607DCB" w:rsidRDefault="003E1EE1" w:rsidP="00607DCB">
      <w:pPr>
        <w:widowControl/>
        <w:autoSpaceDE/>
        <w:autoSpaceDN/>
        <w:spacing w:line="276" w:lineRule="auto"/>
        <w:jc w:val="both"/>
        <w:rPr>
          <w:b/>
          <w:bCs/>
          <w:sz w:val="24"/>
          <w:szCs w:val="24"/>
          <w:lang w:val="sq-AL"/>
        </w:rPr>
      </w:pPr>
    </w:p>
    <w:p w14:paraId="641268A2" w14:textId="77777777" w:rsidR="003E1EE1" w:rsidRPr="00607DCB" w:rsidRDefault="003E1EE1" w:rsidP="00607DCB">
      <w:pPr>
        <w:widowControl/>
        <w:autoSpaceDE/>
        <w:autoSpaceDN/>
        <w:spacing w:line="276" w:lineRule="auto"/>
        <w:jc w:val="both"/>
        <w:rPr>
          <w:b/>
          <w:bCs/>
          <w:sz w:val="24"/>
          <w:szCs w:val="24"/>
          <w:lang w:val="sq-AL"/>
        </w:rPr>
      </w:pPr>
    </w:p>
    <w:p w14:paraId="3D7FAA60" w14:textId="77777777" w:rsidR="003E1EE1" w:rsidRPr="00607DCB" w:rsidRDefault="003E1EE1" w:rsidP="00607DCB">
      <w:pPr>
        <w:widowControl/>
        <w:autoSpaceDE/>
        <w:autoSpaceDN/>
        <w:spacing w:line="276" w:lineRule="auto"/>
        <w:jc w:val="both"/>
        <w:rPr>
          <w:b/>
          <w:bCs/>
          <w:sz w:val="24"/>
          <w:szCs w:val="24"/>
          <w:lang w:val="sq-AL"/>
        </w:rPr>
      </w:pPr>
    </w:p>
    <w:p w14:paraId="5EFB60EB" w14:textId="77777777" w:rsidR="003E1EE1" w:rsidRPr="00607DCB" w:rsidRDefault="003E1EE1" w:rsidP="00607DCB">
      <w:pPr>
        <w:widowControl/>
        <w:autoSpaceDE/>
        <w:autoSpaceDN/>
        <w:spacing w:line="276" w:lineRule="auto"/>
        <w:jc w:val="both"/>
        <w:rPr>
          <w:b/>
          <w:bCs/>
          <w:sz w:val="24"/>
          <w:szCs w:val="24"/>
          <w:lang w:val="sq-AL"/>
        </w:rPr>
      </w:pPr>
    </w:p>
    <w:p w14:paraId="690D023E" w14:textId="77777777" w:rsidR="003E1EE1" w:rsidRPr="00607DCB" w:rsidRDefault="003E1EE1" w:rsidP="00607DCB">
      <w:pPr>
        <w:widowControl/>
        <w:autoSpaceDE/>
        <w:autoSpaceDN/>
        <w:spacing w:line="276" w:lineRule="auto"/>
        <w:jc w:val="both"/>
        <w:rPr>
          <w:b/>
          <w:bCs/>
          <w:sz w:val="24"/>
          <w:szCs w:val="24"/>
          <w:lang w:val="sq-AL"/>
        </w:rPr>
      </w:pPr>
    </w:p>
    <w:p w14:paraId="512290F4" w14:textId="77777777" w:rsidR="003E1EE1" w:rsidRPr="00607DCB" w:rsidRDefault="003E1EE1" w:rsidP="00607DCB">
      <w:pPr>
        <w:widowControl/>
        <w:autoSpaceDE/>
        <w:autoSpaceDN/>
        <w:spacing w:line="276" w:lineRule="auto"/>
        <w:jc w:val="both"/>
        <w:rPr>
          <w:b/>
          <w:bCs/>
          <w:sz w:val="24"/>
          <w:szCs w:val="24"/>
          <w:lang w:val="sq-AL"/>
        </w:rPr>
      </w:pPr>
    </w:p>
    <w:sdt>
      <w:sdtPr>
        <w:rPr>
          <w:rFonts w:ascii="Times New Roman" w:eastAsia="Times New Roman" w:hAnsi="Times New Roman" w:cs="Times New Roman"/>
          <w:color w:val="auto"/>
          <w:sz w:val="24"/>
          <w:szCs w:val="24"/>
          <w:lang w:val="sq-AL"/>
        </w:rPr>
        <w:id w:val="52666409"/>
        <w:docPartObj>
          <w:docPartGallery w:val="Table of Contents"/>
          <w:docPartUnique/>
        </w:docPartObj>
      </w:sdtPr>
      <w:sdtEndPr>
        <w:rPr>
          <w:b/>
          <w:bCs/>
          <w:noProof/>
        </w:rPr>
      </w:sdtEndPr>
      <w:sdtContent>
        <w:p w14:paraId="407F7B58" w14:textId="7E782EDE" w:rsidR="003E1EE1" w:rsidRPr="00607DCB" w:rsidRDefault="003E1EE1" w:rsidP="00455816">
          <w:pPr>
            <w:pStyle w:val="TOCHeading"/>
            <w:numPr>
              <w:ilvl w:val="0"/>
              <w:numId w:val="0"/>
            </w:numPr>
            <w:spacing w:line="276" w:lineRule="auto"/>
            <w:rPr>
              <w:rFonts w:ascii="Times New Roman" w:hAnsi="Times New Roman" w:cs="Times New Roman"/>
              <w:sz w:val="24"/>
              <w:szCs w:val="24"/>
              <w:lang w:val="sq-AL"/>
            </w:rPr>
          </w:pPr>
          <w:r w:rsidRPr="00607DCB">
            <w:rPr>
              <w:rFonts w:ascii="Times New Roman" w:hAnsi="Times New Roman" w:cs="Times New Roman"/>
              <w:sz w:val="24"/>
              <w:szCs w:val="24"/>
              <w:lang w:val="sq-AL"/>
            </w:rPr>
            <w:t>P</w:t>
          </w:r>
          <w:r w:rsidR="00A721D5" w:rsidRPr="00607DCB">
            <w:rPr>
              <w:rFonts w:ascii="Times New Roman" w:hAnsi="Times New Roman" w:cs="Times New Roman"/>
              <w:sz w:val="24"/>
              <w:szCs w:val="24"/>
              <w:lang w:val="sq-AL"/>
            </w:rPr>
            <w:t>ë</w:t>
          </w:r>
          <w:r w:rsidRPr="00607DCB">
            <w:rPr>
              <w:rFonts w:ascii="Times New Roman" w:hAnsi="Times New Roman" w:cs="Times New Roman"/>
              <w:sz w:val="24"/>
              <w:szCs w:val="24"/>
              <w:lang w:val="sq-AL"/>
            </w:rPr>
            <w:t>rmbajtja</w:t>
          </w:r>
        </w:p>
        <w:p w14:paraId="4C187753" w14:textId="7A2FE8CE" w:rsidR="00455816" w:rsidRDefault="003E1EE1">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r w:rsidRPr="00607DCB">
            <w:rPr>
              <w:lang w:val="sq-AL"/>
            </w:rPr>
            <w:fldChar w:fldCharType="begin"/>
          </w:r>
          <w:r w:rsidRPr="00607DCB">
            <w:rPr>
              <w:lang w:val="sq-AL"/>
            </w:rPr>
            <w:instrText xml:space="preserve"> TOC \o "1-3" \h \z \u </w:instrText>
          </w:r>
          <w:r w:rsidRPr="00607DCB">
            <w:rPr>
              <w:lang w:val="sq-AL"/>
            </w:rPr>
            <w:fldChar w:fldCharType="separate"/>
          </w:r>
          <w:hyperlink w:anchor="_Toc228275790" w:history="1">
            <w:r w:rsidR="00455816" w:rsidRPr="00227088">
              <w:rPr>
                <w:rStyle w:val="Hyperlink"/>
                <w:noProof/>
                <w:lang w:val="sq-AL"/>
              </w:rPr>
              <w:t>1.</w:t>
            </w:r>
            <w:r w:rsidR="00455816">
              <w:rPr>
                <w:rFonts w:asciiTheme="minorHAnsi" w:eastAsiaTheme="minorEastAsia" w:hAnsiTheme="minorHAnsi" w:cstheme="minorBidi"/>
                <w:b w:val="0"/>
                <w:bCs w:val="0"/>
                <w:noProof/>
                <w:kern w:val="2"/>
                <w14:ligatures w14:val="standardContextual"/>
              </w:rPr>
              <w:tab/>
            </w:r>
            <w:r w:rsidR="00455816" w:rsidRPr="00227088">
              <w:rPr>
                <w:rStyle w:val="Hyperlink"/>
                <w:noProof/>
                <w:lang w:val="sq-AL"/>
              </w:rPr>
              <w:t>Hyrje</w:t>
            </w:r>
            <w:r w:rsidR="00455816">
              <w:rPr>
                <w:rStyle w:val="Hyperlink"/>
                <w:noProof/>
                <w:lang w:val="sq-AL"/>
              </w:rPr>
              <w:t>.......</w:t>
            </w:r>
            <w:r w:rsidR="00455816">
              <w:rPr>
                <w:noProof/>
                <w:webHidden/>
              </w:rPr>
              <w:tab/>
            </w:r>
            <w:r w:rsidR="00455816">
              <w:rPr>
                <w:noProof/>
                <w:webHidden/>
              </w:rPr>
              <w:fldChar w:fldCharType="begin"/>
            </w:r>
            <w:r w:rsidR="00455816">
              <w:rPr>
                <w:noProof/>
                <w:webHidden/>
              </w:rPr>
              <w:instrText xml:space="preserve"> PAGEREF _Toc228275790 \h </w:instrText>
            </w:r>
            <w:r w:rsidR="00455816">
              <w:rPr>
                <w:noProof/>
                <w:webHidden/>
              </w:rPr>
            </w:r>
            <w:r w:rsidR="00455816">
              <w:rPr>
                <w:noProof/>
                <w:webHidden/>
              </w:rPr>
              <w:fldChar w:fldCharType="separate"/>
            </w:r>
            <w:r w:rsidR="006A0296">
              <w:rPr>
                <w:noProof/>
                <w:webHidden/>
              </w:rPr>
              <w:t>3</w:t>
            </w:r>
            <w:r w:rsidR="00455816">
              <w:rPr>
                <w:noProof/>
                <w:webHidden/>
              </w:rPr>
              <w:fldChar w:fldCharType="end"/>
            </w:r>
          </w:hyperlink>
        </w:p>
        <w:p w14:paraId="4D1D8C60" w14:textId="0A315A31"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2" w:history="1">
            <w:r w:rsidRPr="00227088">
              <w:rPr>
                <w:rStyle w:val="Hyperlink"/>
                <w:noProof/>
                <w:lang w:val="sq-AL"/>
              </w:rPr>
              <w:t>2.</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Zbatimi dhe monitorimi i parimeve dhe rregullave fiskale</w:t>
            </w:r>
            <w:r>
              <w:rPr>
                <w:noProof/>
                <w:webHidden/>
              </w:rPr>
              <w:tab/>
            </w:r>
            <w:r>
              <w:rPr>
                <w:noProof/>
                <w:webHidden/>
              </w:rPr>
              <w:fldChar w:fldCharType="begin"/>
            </w:r>
            <w:r>
              <w:rPr>
                <w:noProof/>
                <w:webHidden/>
              </w:rPr>
              <w:instrText xml:space="preserve"> PAGEREF _Toc228275792 \h </w:instrText>
            </w:r>
            <w:r>
              <w:rPr>
                <w:noProof/>
                <w:webHidden/>
              </w:rPr>
            </w:r>
            <w:r>
              <w:rPr>
                <w:noProof/>
                <w:webHidden/>
              </w:rPr>
              <w:fldChar w:fldCharType="separate"/>
            </w:r>
            <w:r w:rsidR="006A0296">
              <w:rPr>
                <w:noProof/>
                <w:webHidden/>
              </w:rPr>
              <w:t>3</w:t>
            </w:r>
            <w:r>
              <w:rPr>
                <w:noProof/>
                <w:webHidden/>
              </w:rPr>
              <w:fldChar w:fldCharType="end"/>
            </w:r>
          </w:hyperlink>
        </w:p>
        <w:p w14:paraId="019F1A37" w14:textId="7FFF8C4D"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3" w:history="1">
            <w:r w:rsidRPr="00227088">
              <w:rPr>
                <w:rStyle w:val="Hyperlink"/>
                <w:noProof/>
                <w:lang w:val="sq-AL"/>
              </w:rPr>
              <w:t>2.1.</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Kriteret për përllogaritjen e devijancave dhe formati i raportimit</w:t>
            </w:r>
            <w:r>
              <w:rPr>
                <w:noProof/>
                <w:webHidden/>
              </w:rPr>
              <w:tab/>
            </w:r>
            <w:r>
              <w:rPr>
                <w:noProof/>
                <w:webHidden/>
              </w:rPr>
              <w:fldChar w:fldCharType="begin"/>
            </w:r>
            <w:r>
              <w:rPr>
                <w:noProof/>
                <w:webHidden/>
              </w:rPr>
              <w:instrText xml:space="preserve"> PAGEREF _Toc228275793 \h </w:instrText>
            </w:r>
            <w:r>
              <w:rPr>
                <w:noProof/>
                <w:webHidden/>
              </w:rPr>
            </w:r>
            <w:r>
              <w:rPr>
                <w:noProof/>
                <w:webHidden/>
              </w:rPr>
              <w:fldChar w:fldCharType="separate"/>
            </w:r>
            <w:r w:rsidR="006A0296">
              <w:rPr>
                <w:noProof/>
                <w:webHidden/>
              </w:rPr>
              <w:t>4</w:t>
            </w:r>
            <w:r>
              <w:rPr>
                <w:noProof/>
                <w:webHidden/>
              </w:rPr>
              <w:fldChar w:fldCharType="end"/>
            </w:r>
          </w:hyperlink>
        </w:p>
        <w:p w14:paraId="4FBD7391" w14:textId="3280E071"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4" w:history="1">
            <w:r w:rsidRPr="00227088">
              <w:rPr>
                <w:rStyle w:val="Hyperlink"/>
                <w:noProof/>
                <w:lang w:val="sq-AL"/>
              </w:rPr>
              <w:t>3.</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Analiza e Devijimeve të Parashikimit të të Ardhurave të Kuadrit Makroekonomik dhe Fiskal për vitin 2025 dhe ligjit të Buxhetit 2026</w:t>
            </w:r>
            <w:r>
              <w:rPr>
                <w:noProof/>
                <w:webHidden/>
              </w:rPr>
              <w:tab/>
            </w:r>
            <w:r>
              <w:rPr>
                <w:noProof/>
                <w:webHidden/>
              </w:rPr>
              <w:fldChar w:fldCharType="begin"/>
            </w:r>
            <w:r>
              <w:rPr>
                <w:noProof/>
                <w:webHidden/>
              </w:rPr>
              <w:instrText xml:space="preserve"> PAGEREF _Toc228275794 \h </w:instrText>
            </w:r>
            <w:r>
              <w:rPr>
                <w:noProof/>
                <w:webHidden/>
              </w:rPr>
            </w:r>
            <w:r>
              <w:rPr>
                <w:noProof/>
                <w:webHidden/>
              </w:rPr>
              <w:fldChar w:fldCharType="separate"/>
            </w:r>
            <w:r w:rsidR="006A0296">
              <w:rPr>
                <w:noProof/>
                <w:webHidden/>
              </w:rPr>
              <w:t>6</w:t>
            </w:r>
            <w:r>
              <w:rPr>
                <w:noProof/>
                <w:webHidden/>
              </w:rPr>
              <w:fldChar w:fldCharType="end"/>
            </w:r>
          </w:hyperlink>
        </w:p>
        <w:p w14:paraId="3207555F" w14:textId="4C353087"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5" w:history="1">
            <w:r w:rsidRPr="00227088">
              <w:rPr>
                <w:rStyle w:val="Hyperlink"/>
                <w:noProof/>
                <w:lang w:val="sq-AL"/>
              </w:rPr>
              <w:t>3.1.</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Përmbledhje e përgjithshme e ecurisë fiskale</w:t>
            </w:r>
            <w:r>
              <w:rPr>
                <w:noProof/>
                <w:webHidden/>
              </w:rPr>
              <w:tab/>
            </w:r>
            <w:r>
              <w:rPr>
                <w:noProof/>
                <w:webHidden/>
              </w:rPr>
              <w:fldChar w:fldCharType="begin"/>
            </w:r>
            <w:r>
              <w:rPr>
                <w:noProof/>
                <w:webHidden/>
              </w:rPr>
              <w:instrText xml:space="preserve"> PAGEREF _Toc228275795 \h </w:instrText>
            </w:r>
            <w:r>
              <w:rPr>
                <w:noProof/>
                <w:webHidden/>
              </w:rPr>
            </w:r>
            <w:r>
              <w:rPr>
                <w:noProof/>
                <w:webHidden/>
              </w:rPr>
              <w:fldChar w:fldCharType="separate"/>
            </w:r>
            <w:r w:rsidR="006A0296">
              <w:rPr>
                <w:noProof/>
                <w:webHidden/>
              </w:rPr>
              <w:t>7</w:t>
            </w:r>
            <w:r>
              <w:rPr>
                <w:noProof/>
                <w:webHidden/>
              </w:rPr>
              <w:fldChar w:fldCharType="end"/>
            </w:r>
          </w:hyperlink>
        </w:p>
        <w:p w14:paraId="5E62FEB1" w14:textId="493E0532"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6" w:history="1">
            <w:r w:rsidRPr="00227088">
              <w:rPr>
                <w:rStyle w:val="Hyperlink"/>
                <w:noProof/>
                <w:lang w:val="sq-AL"/>
              </w:rPr>
              <w:t>3.2.</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Realizimi i të ardhurave sipas administratave fiskale</w:t>
            </w:r>
            <w:r>
              <w:rPr>
                <w:noProof/>
                <w:webHidden/>
              </w:rPr>
              <w:tab/>
            </w:r>
            <w:r>
              <w:rPr>
                <w:noProof/>
                <w:webHidden/>
              </w:rPr>
              <w:fldChar w:fldCharType="begin"/>
            </w:r>
            <w:r>
              <w:rPr>
                <w:noProof/>
                <w:webHidden/>
              </w:rPr>
              <w:instrText xml:space="preserve"> PAGEREF _Toc228275796 \h </w:instrText>
            </w:r>
            <w:r>
              <w:rPr>
                <w:noProof/>
                <w:webHidden/>
              </w:rPr>
            </w:r>
            <w:r>
              <w:rPr>
                <w:noProof/>
                <w:webHidden/>
              </w:rPr>
              <w:fldChar w:fldCharType="separate"/>
            </w:r>
            <w:r w:rsidR="006A0296">
              <w:rPr>
                <w:noProof/>
                <w:webHidden/>
              </w:rPr>
              <w:t>7</w:t>
            </w:r>
            <w:r>
              <w:rPr>
                <w:noProof/>
                <w:webHidden/>
              </w:rPr>
              <w:fldChar w:fldCharType="end"/>
            </w:r>
          </w:hyperlink>
        </w:p>
        <w:p w14:paraId="16D1BCB2" w14:textId="7DDDF1C8"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7" w:history="1">
            <w:r w:rsidRPr="00227088">
              <w:rPr>
                <w:rStyle w:val="Hyperlink"/>
                <w:noProof/>
                <w:lang w:val="sq-AL"/>
              </w:rPr>
              <w:t>3.3.</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Analiza e devijimeve sipas zërave kryesorë të të ardhurave në Ligjin e Buxhetit për vitin 2026, të krahasuara me Kuadrin Makro të datës 5.2.2025</w:t>
            </w:r>
            <w:r>
              <w:rPr>
                <w:noProof/>
                <w:webHidden/>
              </w:rPr>
              <w:tab/>
            </w:r>
            <w:r>
              <w:rPr>
                <w:noProof/>
                <w:webHidden/>
              </w:rPr>
              <w:fldChar w:fldCharType="begin"/>
            </w:r>
            <w:r>
              <w:rPr>
                <w:noProof/>
                <w:webHidden/>
              </w:rPr>
              <w:instrText xml:space="preserve"> PAGEREF _Toc228275797 \h </w:instrText>
            </w:r>
            <w:r>
              <w:rPr>
                <w:noProof/>
                <w:webHidden/>
              </w:rPr>
            </w:r>
            <w:r>
              <w:rPr>
                <w:noProof/>
                <w:webHidden/>
              </w:rPr>
              <w:fldChar w:fldCharType="separate"/>
            </w:r>
            <w:r w:rsidR="006A0296">
              <w:rPr>
                <w:noProof/>
                <w:webHidden/>
              </w:rPr>
              <w:t>8</w:t>
            </w:r>
            <w:r>
              <w:rPr>
                <w:noProof/>
                <w:webHidden/>
              </w:rPr>
              <w:fldChar w:fldCharType="end"/>
            </w:r>
          </w:hyperlink>
        </w:p>
        <w:p w14:paraId="0740BDD4" w14:textId="55BDF234"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8" w:history="1">
            <w:r w:rsidRPr="00227088">
              <w:rPr>
                <w:rStyle w:val="Hyperlink"/>
                <w:noProof/>
                <w:lang w:val="sq-AL"/>
              </w:rPr>
              <w:t>4.</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Devijancat e  parashikimeve të ardhurave jotatimore dhe shpenzimeve buxhetore për buxhetin 2026 me kuadrin makro 2026-2028</w:t>
            </w:r>
            <w:r>
              <w:rPr>
                <w:noProof/>
                <w:webHidden/>
              </w:rPr>
              <w:tab/>
            </w:r>
            <w:r>
              <w:rPr>
                <w:noProof/>
                <w:webHidden/>
              </w:rPr>
              <w:fldChar w:fldCharType="begin"/>
            </w:r>
            <w:r>
              <w:rPr>
                <w:noProof/>
                <w:webHidden/>
              </w:rPr>
              <w:instrText xml:space="preserve"> PAGEREF _Toc228275798 \h </w:instrText>
            </w:r>
            <w:r>
              <w:rPr>
                <w:noProof/>
                <w:webHidden/>
              </w:rPr>
            </w:r>
            <w:r>
              <w:rPr>
                <w:noProof/>
                <w:webHidden/>
              </w:rPr>
              <w:fldChar w:fldCharType="separate"/>
            </w:r>
            <w:r w:rsidR="006A0296">
              <w:rPr>
                <w:noProof/>
                <w:webHidden/>
              </w:rPr>
              <w:t>10</w:t>
            </w:r>
            <w:r>
              <w:rPr>
                <w:noProof/>
                <w:webHidden/>
              </w:rPr>
              <w:fldChar w:fldCharType="end"/>
            </w:r>
          </w:hyperlink>
        </w:p>
        <w:p w14:paraId="59BF143A" w14:textId="21F21DE3"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799" w:history="1">
            <w:r w:rsidRPr="00227088">
              <w:rPr>
                <w:rStyle w:val="Hyperlink"/>
                <w:noProof/>
                <w:lang w:val="sq-AL"/>
              </w:rPr>
              <w:t>4.1.</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Devijancat e të ardhurave jo-tatimore dhe shpenzimeve korrente për buxhetin e vitit 2026</w:t>
            </w:r>
            <w:r>
              <w:rPr>
                <w:noProof/>
                <w:webHidden/>
              </w:rPr>
              <w:tab/>
            </w:r>
            <w:r>
              <w:rPr>
                <w:noProof/>
                <w:webHidden/>
              </w:rPr>
              <w:fldChar w:fldCharType="begin"/>
            </w:r>
            <w:r>
              <w:rPr>
                <w:noProof/>
                <w:webHidden/>
              </w:rPr>
              <w:instrText xml:space="preserve"> PAGEREF _Toc228275799 \h </w:instrText>
            </w:r>
            <w:r>
              <w:rPr>
                <w:noProof/>
                <w:webHidden/>
              </w:rPr>
            </w:r>
            <w:r>
              <w:rPr>
                <w:noProof/>
                <w:webHidden/>
              </w:rPr>
              <w:fldChar w:fldCharType="separate"/>
            </w:r>
            <w:r w:rsidR="006A0296">
              <w:rPr>
                <w:noProof/>
                <w:webHidden/>
              </w:rPr>
              <w:t>10</w:t>
            </w:r>
            <w:r>
              <w:rPr>
                <w:noProof/>
                <w:webHidden/>
              </w:rPr>
              <w:fldChar w:fldCharType="end"/>
            </w:r>
          </w:hyperlink>
        </w:p>
        <w:p w14:paraId="1277E757" w14:textId="75DA97F1"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00" w:history="1">
            <w:r w:rsidRPr="00227088">
              <w:rPr>
                <w:rStyle w:val="Hyperlink"/>
                <w:noProof/>
                <w:lang w:val="sq-AL"/>
              </w:rPr>
              <w:t>a)</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Devijancat në të ardhurat jo-tatimore</w:t>
            </w:r>
            <w:r>
              <w:rPr>
                <w:noProof/>
                <w:webHidden/>
              </w:rPr>
              <w:tab/>
            </w:r>
            <w:r>
              <w:rPr>
                <w:noProof/>
                <w:webHidden/>
              </w:rPr>
              <w:fldChar w:fldCharType="begin"/>
            </w:r>
            <w:r>
              <w:rPr>
                <w:noProof/>
                <w:webHidden/>
              </w:rPr>
              <w:instrText xml:space="preserve"> PAGEREF _Toc228275800 \h </w:instrText>
            </w:r>
            <w:r>
              <w:rPr>
                <w:noProof/>
                <w:webHidden/>
              </w:rPr>
            </w:r>
            <w:r>
              <w:rPr>
                <w:noProof/>
                <w:webHidden/>
              </w:rPr>
              <w:fldChar w:fldCharType="separate"/>
            </w:r>
            <w:r w:rsidR="006A0296">
              <w:rPr>
                <w:noProof/>
                <w:webHidden/>
              </w:rPr>
              <w:t>11</w:t>
            </w:r>
            <w:r>
              <w:rPr>
                <w:noProof/>
                <w:webHidden/>
              </w:rPr>
              <w:fldChar w:fldCharType="end"/>
            </w:r>
          </w:hyperlink>
        </w:p>
        <w:p w14:paraId="39201F3A" w14:textId="576B2CE1"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06" w:history="1">
            <w:r w:rsidRPr="00227088">
              <w:rPr>
                <w:rStyle w:val="Hyperlink"/>
                <w:noProof/>
                <w:lang w:val="sq-AL"/>
              </w:rPr>
              <w:t>b)</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 në shpenzimet e personelit</w:t>
            </w:r>
            <w:r>
              <w:rPr>
                <w:noProof/>
                <w:webHidden/>
              </w:rPr>
              <w:tab/>
            </w:r>
            <w:r>
              <w:rPr>
                <w:noProof/>
                <w:webHidden/>
              </w:rPr>
              <w:fldChar w:fldCharType="begin"/>
            </w:r>
            <w:r>
              <w:rPr>
                <w:noProof/>
                <w:webHidden/>
              </w:rPr>
              <w:instrText xml:space="preserve"> PAGEREF _Toc228275806 \h </w:instrText>
            </w:r>
            <w:r>
              <w:rPr>
                <w:noProof/>
                <w:webHidden/>
              </w:rPr>
            </w:r>
            <w:r>
              <w:rPr>
                <w:noProof/>
                <w:webHidden/>
              </w:rPr>
              <w:fldChar w:fldCharType="separate"/>
            </w:r>
            <w:r w:rsidR="006A0296">
              <w:rPr>
                <w:noProof/>
                <w:webHidden/>
              </w:rPr>
              <w:t>12</w:t>
            </w:r>
            <w:r>
              <w:rPr>
                <w:noProof/>
                <w:webHidden/>
              </w:rPr>
              <w:fldChar w:fldCharType="end"/>
            </w:r>
          </w:hyperlink>
        </w:p>
        <w:p w14:paraId="267A5520" w14:textId="7CE1852A"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09" w:history="1">
            <w:r w:rsidRPr="00227088">
              <w:rPr>
                <w:rStyle w:val="Hyperlink"/>
                <w:noProof/>
                <w:lang w:val="sq-AL"/>
              </w:rPr>
              <w:t>c)</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 në Shpenzimet Operative dhe Mirëmbajtjes</w:t>
            </w:r>
            <w:r>
              <w:rPr>
                <w:noProof/>
                <w:webHidden/>
              </w:rPr>
              <w:tab/>
            </w:r>
            <w:r>
              <w:rPr>
                <w:noProof/>
                <w:webHidden/>
              </w:rPr>
              <w:fldChar w:fldCharType="begin"/>
            </w:r>
            <w:r>
              <w:rPr>
                <w:noProof/>
                <w:webHidden/>
              </w:rPr>
              <w:instrText xml:space="preserve"> PAGEREF _Toc228275809 \h </w:instrText>
            </w:r>
            <w:r>
              <w:rPr>
                <w:noProof/>
                <w:webHidden/>
              </w:rPr>
            </w:r>
            <w:r>
              <w:rPr>
                <w:noProof/>
                <w:webHidden/>
              </w:rPr>
              <w:fldChar w:fldCharType="separate"/>
            </w:r>
            <w:r w:rsidR="006A0296">
              <w:rPr>
                <w:noProof/>
                <w:webHidden/>
              </w:rPr>
              <w:t>12</w:t>
            </w:r>
            <w:r>
              <w:rPr>
                <w:noProof/>
                <w:webHidden/>
              </w:rPr>
              <w:fldChar w:fldCharType="end"/>
            </w:r>
          </w:hyperlink>
        </w:p>
        <w:p w14:paraId="06151AD0" w14:textId="156B4DDB"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12" w:history="1">
            <w:r w:rsidRPr="00227088">
              <w:rPr>
                <w:rStyle w:val="Hyperlink"/>
                <w:noProof/>
                <w:lang w:val="sq-AL"/>
              </w:rPr>
              <w:t>d)</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 në Zërin e Subvencioneve</w:t>
            </w:r>
            <w:r>
              <w:rPr>
                <w:noProof/>
                <w:webHidden/>
              </w:rPr>
              <w:tab/>
            </w:r>
            <w:r>
              <w:rPr>
                <w:noProof/>
                <w:webHidden/>
              </w:rPr>
              <w:fldChar w:fldCharType="begin"/>
            </w:r>
            <w:r>
              <w:rPr>
                <w:noProof/>
                <w:webHidden/>
              </w:rPr>
              <w:instrText xml:space="preserve"> PAGEREF _Toc228275812 \h </w:instrText>
            </w:r>
            <w:r>
              <w:rPr>
                <w:noProof/>
                <w:webHidden/>
              </w:rPr>
            </w:r>
            <w:r>
              <w:rPr>
                <w:noProof/>
                <w:webHidden/>
              </w:rPr>
              <w:fldChar w:fldCharType="separate"/>
            </w:r>
            <w:r w:rsidR="006A0296">
              <w:rPr>
                <w:noProof/>
                <w:webHidden/>
              </w:rPr>
              <w:t>12</w:t>
            </w:r>
            <w:r>
              <w:rPr>
                <w:noProof/>
                <w:webHidden/>
              </w:rPr>
              <w:fldChar w:fldCharType="end"/>
            </w:r>
          </w:hyperlink>
        </w:p>
        <w:p w14:paraId="3BA30432" w14:textId="3A455BBC"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15" w:history="1">
            <w:r w:rsidRPr="00227088">
              <w:rPr>
                <w:rStyle w:val="Hyperlink"/>
                <w:noProof/>
                <w:lang w:val="sq-AL"/>
              </w:rPr>
              <w:t>e)</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 në Shpenzimet e Fondeve Speciale</w:t>
            </w:r>
            <w:r>
              <w:rPr>
                <w:noProof/>
                <w:webHidden/>
              </w:rPr>
              <w:tab/>
            </w:r>
            <w:r>
              <w:rPr>
                <w:noProof/>
                <w:webHidden/>
              </w:rPr>
              <w:fldChar w:fldCharType="begin"/>
            </w:r>
            <w:r>
              <w:rPr>
                <w:noProof/>
                <w:webHidden/>
              </w:rPr>
              <w:instrText xml:space="preserve"> PAGEREF _Toc228275815 \h </w:instrText>
            </w:r>
            <w:r>
              <w:rPr>
                <w:noProof/>
                <w:webHidden/>
              </w:rPr>
            </w:r>
            <w:r>
              <w:rPr>
                <w:noProof/>
                <w:webHidden/>
              </w:rPr>
              <w:fldChar w:fldCharType="separate"/>
            </w:r>
            <w:r w:rsidR="006A0296">
              <w:rPr>
                <w:noProof/>
                <w:webHidden/>
              </w:rPr>
              <w:t>13</w:t>
            </w:r>
            <w:r>
              <w:rPr>
                <w:noProof/>
                <w:webHidden/>
              </w:rPr>
              <w:fldChar w:fldCharType="end"/>
            </w:r>
          </w:hyperlink>
        </w:p>
        <w:p w14:paraId="6B22BCA1" w14:textId="65E31B07"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19" w:history="1">
            <w:r w:rsidRPr="00227088">
              <w:rPr>
                <w:rStyle w:val="Hyperlink"/>
                <w:noProof/>
                <w:lang w:val="sq-AL"/>
              </w:rPr>
              <w:t>4.2.</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Devijancat e parashikimeve të të ardhurave dhe shpenzimeve të pushtetit vendor për buxhetin e vitit 2026</w:t>
            </w:r>
            <w:r>
              <w:rPr>
                <w:noProof/>
                <w:webHidden/>
              </w:rPr>
              <w:tab/>
            </w:r>
            <w:r>
              <w:rPr>
                <w:noProof/>
                <w:webHidden/>
              </w:rPr>
              <w:fldChar w:fldCharType="begin"/>
            </w:r>
            <w:r>
              <w:rPr>
                <w:noProof/>
                <w:webHidden/>
              </w:rPr>
              <w:instrText xml:space="preserve"> PAGEREF _Toc228275819 \h </w:instrText>
            </w:r>
            <w:r>
              <w:rPr>
                <w:noProof/>
                <w:webHidden/>
              </w:rPr>
            </w:r>
            <w:r>
              <w:rPr>
                <w:noProof/>
                <w:webHidden/>
              </w:rPr>
              <w:fldChar w:fldCharType="separate"/>
            </w:r>
            <w:r w:rsidR="006A0296">
              <w:rPr>
                <w:noProof/>
                <w:webHidden/>
              </w:rPr>
              <w:t>13</w:t>
            </w:r>
            <w:r>
              <w:rPr>
                <w:noProof/>
                <w:webHidden/>
              </w:rPr>
              <w:fldChar w:fldCharType="end"/>
            </w:r>
          </w:hyperlink>
        </w:p>
        <w:p w14:paraId="2EAB6F17" w14:textId="51DE1BFE" w:rsidR="00455816" w:rsidRDefault="00455816">
          <w:pPr>
            <w:pStyle w:val="TOC1"/>
            <w:tabs>
              <w:tab w:val="left" w:pos="1305"/>
              <w:tab w:val="right" w:leader="dot" w:pos="9488"/>
            </w:tabs>
            <w:rPr>
              <w:rFonts w:asciiTheme="minorHAnsi" w:eastAsiaTheme="minorEastAsia" w:hAnsiTheme="minorHAnsi" w:cstheme="minorBidi"/>
              <w:b w:val="0"/>
              <w:bCs w:val="0"/>
              <w:noProof/>
              <w:kern w:val="2"/>
              <w14:ligatures w14:val="standardContextual"/>
            </w:rPr>
          </w:pPr>
          <w:hyperlink w:anchor="_Toc228275820" w:history="1">
            <w:r w:rsidRPr="00227088">
              <w:rPr>
                <w:rStyle w:val="Hyperlink"/>
                <w:noProof/>
                <w:lang w:val="sq-AL"/>
              </w:rPr>
              <w:t>4.3.</w:t>
            </w:r>
            <w:r>
              <w:rPr>
                <w:rFonts w:asciiTheme="minorHAnsi" w:eastAsiaTheme="minorEastAsia" w:hAnsiTheme="minorHAnsi" w:cstheme="minorBidi"/>
                <w:b w:val="0"/>
                <w:bCs w:val="0"/>
                <w:noProof/>
                <w:kern w:val="2"/>
                <w14:ligatures w14:val="standardContextual"/>
              </w:rPr>
              <w:tab/>
            </w:r>
            <w:r w:rsidRPr="00227088">
              <w:rPr>
                <w:rStyle w:val="Hyperlink"/>
                <w:noProof/>
                <w:lang w:val="sq-AL"/>
              </w:rPr>
              <w:t>Devijancat e parashikimeve të shpenzimeve kapitale për buxhetin e vitit 2026</w:t>
            </w:r>
            <w:r>
              <w:rPr>
                <w:noProof/>
                <w:webHidden/>
              </w:rPr>
              <w:tab/>
            </w:r>
            <w:r>
              <w:rPr>
                <w:noProof/>
                <w:webHidden/>
              </w:rPr>
              <w:fldChar w:fldCharType="begin"/>
            </w:r>
            <w:r>
              <w:rPr>
                <w:noProof/>
                <w:webHidden/>
              </w:rPr>
              <w:instrText xml:space="preserve"> PAGEREF _Toc228275820 \h </w:instrText>
            </w:r>
            <w:r>
              <w:rPr>
                <w:noProof/>
                <w:webHidden/>
              </w:rPr>
            </w:r>
            <w:r>
              <w:rPr>
                <w:noProof/>
                <w:webHidden/>
              </w:rPr>
              <w:fldChar w:fldCharType="separate"/>
            </w:r>
            <w:r w:rsidR="006A0296">
              <w:rPr>
                <w:noProof/>
                <w:webHidden/>
              </w:rPr>
              <w:t>15</w:t>
            </w:r>
            <w:r>
              <w:rPr>
                <w:noProof/>
                <w:webHidden/>
              </w:rPr>
              <w:fldChar w:fldCharType="end"/>
            </w:r>
          </w:hyperlink>
        </w:p>
        <w:p w14:paraId="75ABA972" w14:textId="01D18FEA" w:rsidR="003E1EE1" w:rsidRPr="00607DCB" w:rsidRDefault="003E1EE1" w:rsidP="00607DCB">
          <w:pPr>
            <w:spacing w:line="276" w:lineRule="auto"/>
            <w:rPr>
              <w:sz w:val="24"/>
              <w:szCs w:val="24"/>
              <w:lang w:val="sq-AL"/>
            </w:rPr>
          </w:pPr>
          <w:r w:rsidRPr="00607DCB">
            <w:rPr>
              <w:b/>
              <w:bCs/>
              <w:noProof/>
              <w:sz w:val="24"/>
              <w:szCs w:val="24"/>
              <w:lang w:val="sq-AL"/>
            </w:rPr>
            <w:fldChar w:fldCharType="end"/>
          </w:r>
        </w:p>
      </w:sdtContent>
    </w:sdt>
    <w:p w14:paraId="7BF6BEB2" w14:textId="77777777" w:rsidR="003E1EE1" w:rsidRPr="00607DCB" w:rsidRDefault="003E1EE1" w:rsidP="00607DCB">
      <w:pPr>
        <w:widowControl/>
        <w:autoSpaceDE/>
        <w:autoSpaceDN/>
        <w:spacing w:line="276" w:lineRule="auto"/>
        <w:jc w:val="both"/>
        <w:rPr>
          <w:b/>
          <w:bCs/>
          <w:sz w:val="24"/>
          <w:szCs w:val="24"/>
          <w:lang w:val="sq-AL"/>
        </w:rPr>
      </w:pPr>
    </w:p>
    <w:p w14:paraId="68788E79" w14:textId="77777777" w:rsidR="00455816" w:rsidRDefault="00455816">
      <w:pPr>
        <w:pStyle w:val="TableofFigures"/>
        <w:tabs>
          <w:tab w:val="right" w:leader="dot" w:pos="9488"/>
        </w:tabs>
        <w:rPr>
          <w:b/>
          <w:bCs/>
          <w:sz w:val="24"/>
          <w:szCs w:val="24"/>
          <w:lang w:val="sq-AL"/>
        </w:rPr>
      </w:pPr>
    </w:p>
    <w:p w14:paraId="0BEC2597" w14:textId="008B1E71" w:rsidR="00455816" w:rsidRPr="00455816" w:rsidRDefault="00455816">
      <w:pPr>
        <w:pStyle w:val="TableofFigures"/>
        <w:tabs>
          <w:tab w:val="right" w:leader="dot" w:pos="9488"/>
        </w:tabs>
        <w:rPr>
          <w:rFonts w:eastAsiaTheme="majorEastAsia"/>
          <w:color w:val="365F91" w:themeColor="accent1" w:themeShade="BF"/>
          <w:sz w:val="24"/>
          <w:szCs w:val="24"/>
          <w:lang w:val="sq-AL"/>
        </w:rPr>
      </w:pPr>
      <w:r w:rsidRPr="00455816">
        <w:rPr>
          <w:rFonts w:eastAsiaTheme="majorEastAsia"/>
          <w:color w:val="365F91" w:themeColor="accent1" w:themeShade="BF"/>
          <w:sz w:val="24"/>
          <w:szCs w:val="24"/>
          <w:lang w:val="sq-AL"/>
        </w:rPr>
        <w:t>Përmbledhja e tabelave dhe figurave</w:t>
      </w:r>
    </w:p>
    <w:p w14:paraId="04C21850" w14:textId="77777777" w:rsidR="00455816" w:rsidRDefault="00455816">
      <w:pPr>
        <w:pStyle w:val="TableofFigures"/>
        <w:tabs>
          <w:tab w:val="right" w:leader="dot" w:pos="9488"/>
        </w:tabs>
        <w:rPr>
          <w:b/>
          <w:bCs/>
          <w:sz w:val="24"/>
          <w:szCs w:val="24"/>
          <w:lang w:val="sq-AL"/>
        </w:rPr>
      </w:pPr>
    </w:p>
    <w:p w14:paraId="53838837" w14:textId="07F4599F" w:rsidR="00455816" w:rsidRDefault="00455816">
      <w:pPr>
        <w:pStyle w:val="TableofFigures"/>
        <w:tabs>
          <w:tab w:val="right" w:leader="dot" w:pos="9488"/>
        </w:tabs>
        <w:rPr>
          <w:noProof/>
        </w:rPr>
      </w:pPr>
      <w:r>
        <w:rPr>
          <w:b/>
          <w:bCs/>
          <w:sz w:val="24"/>
          <w:szCs w:val="24"/>
          <w:lang w:val="sq-AL"/>
        </w:rPr>
        <w:fldChar w:fldCharType="begin"/>
      </w:r>
      <w:r>
        <w:rPr>
          <w:b/>
          <w:bCs/>
          <w:sz w:val="24"/>
          <w:szCs w:val="24"/>
          <w:lang w:val="sq-AL"/>
        </w:rPr>
        <w:instrText xml:space="preserve"> TOC \h \z \c "Tabela" </w:instrText>
      </w:r>
      <w:r>
        <w:rPr>
          <w:b/>
          <w:bCs/>
          <w:sz w:val="24"/>
          <w:szCs w:val="24"/>
          <w:lang w:val="sq-AL"/>
        </w:rPr>
        <w:fldChar w:fldCharType="separate"/>
      </w:r>
      <w:hyperlink w:anchor="_Toc228275852" w:history="1">
        <w:r w:rsidRPr="00D7156E">
          <w:rPr>
            <w:rStyle w:val="Hyperlink"/>
            <w:noProof/>
            <w:lang w:val="sq-AL"/>
          </w:rPr>
          <w:t xml:space="preserve">Tabela 1 </w:t>
        </w:r>
        <w:r w:rsidRPr="00455816">
          <w:rPr>
            <w:rStyle w:val="Hyperlink"/>
            <w:noProof/>
            <w:lang w:val="sq-AL"/>
          </w:rPr>
          <w:t>Përllogaritjen e devijancave në përqindje ndaj PBB</w:t>
        </w:r>
        <w:r>
          <w:rPr>
            <w:noProof/>
            <w:webHidden/>
          </w:rPr>
          <w:tab/>
        </w:r>
        <w:r>
          <w:rPr>
            <w:noProof/>
            <w:webHidden/>
          </w:rPr>
          <w:fldChar w:fldCharType="begin"/>
        </w:r>
        <w:r>
          <w:rPr>
            <w:noProof/>
            <w:webHidden/>
          </w:rPr>
          <w:instrText xml:space="preserve"> PAGEREF _Toc228275852 \h </w:instrText>
        </w:r>
        <w:r>
          <w:rPr>
            <w:noProof/>
            <w:webHidden/>
          </w:rPr>
        </w:r>
        <w:r>
          <w:rPr>
            <w:noProof/>
            <w:webHidden/>
          </w:rPr>
          <w:fldChar w:fldCharType="separate"/>
        </w:r>
        <w:r w:rsidR="006A0296">
          <w:rPr>
            <w:noProof/>
            <w:webHidden/>
          </w:rPr>
          <w:t>6</w:t>
        </w:r>
        <w:r>
          <w:rPr>
            <w:noProof/>
            <w:webHidden/>
          </w:rPr>
          <w:fldChar w:fldCharType="end"/>
        </w:r>
      </w:hyperlink>
    </w:p>
    <w:p w14:paraId="780D9432" w14:textId="6FEDF694" w:rsidR="00455816" w:rsidRDefault="00455816">
      <w:pPr>
        <w:pStyle w:val="TableofFigures"/>
        <w:tabs>
          <w:tab w:val="right" w:leader="dot" w:pos="9488"/>
        </w:tabs>
        <w:rPr>
          <w:noProof/>
        </w:rPr>
      </w:pPr>
      <w:hyperlink w:anchor="_Toc228275853" w:history="1">
        <w:r w:rsidRPr="00D7156E">
          <w:rPr>
            <w:rStyle w:val="Hyperlink"/>
            <w:noProof/>
            <w:lang w:val="sq-AL"/>
          </w:rPr>
          <w:t>Tabela 2 Devijimet e të ardhurave nga Tatimet, Doganat dhe Kontributet për vitin 2025 në milionë lekë</w:t>
        </w:r>
        <w:r>
          <w:rPr>
            <w:noProof/>
            <w:webHidden/>
          </w:rPr>
          <w:tab/>
        </w:r>
        <w:r>
          <w:rPr>
            <w:noProof/>
            <w:webHidden/>
          </w:rPr>
          <w:fldChar w:fldCharType="begin"/>
        </w:r>
        <w:r>
          <w:rPr>
            <w:noProof/>
            <w:webHidden/>
          </w:rPr>
          <w:instrText xml:space="preserve"> PAGEREF _Toc228275853 \h </w:instrText>
        </w:r>
        <w:r>
          <w:rPr>
            <w:noProof/>
            <w:webHidden/>
          </w:rPr>
        </w:r>
        <w:r>
          <w:rPr>
            <w:noProof/>
            <w:webHidden/>
          </w:rPr>
          <w:fldChar w:fldCharType="separate"/>
        </w:r>
        <w:r w:rsidR="006A0296">
          <w:rPr>
            <w:noProof/>
            <w:webHidden/>
          </w:rPr>
          <w:t>7</w:t>
        </w:r>
        <w:r>
          <w:rPr>
            <w:noProof/>
            <w:webHidden/>
          </w:rPr>
          <w:fldChar w:fldCharType="end"/>
        </w:r>
      </w:hyperlink>
    </w:p>
    <w:p w14:paraId="3BFB49C9" w14:textId="480D726F" w:rsidR="00455816" w:rsidRDefault="00455816">
      <w:pPr>
        <w:pStyle w:val="TableofFigures"/>
        <w:tabs>
          <w:tab w:val="right" w:leader="dot" w:pos="9488"/>
        </w:tabs>
        <w:rPr>
          <w:noProof/>
        </w:rPr>
      </w:pPr>
      <w:hyperlink w:anchor="_Toc228275854" w:history="1">
        <w:r w:rsidRPr="00D7156E">
          <w:rPr>
            <w:rStyle w:val="Hyperlink"/>
            <w:noProof/>
            <w:lang w:val="sq-AL"/>
          </w:rPr>
          <w:t>Tabela 3 Devijancat e të ardhurave jo-tatimore dhe shpenzimeve korrente në milionë lekë</w:t>
        </w:r>
        <w:r>
          <w:rPr>
            <w:noProof/>
            <w:webHidden/>
          </w:rPr>
          <w:tab/>
        </w:r>
        <w:r>
          <w:rPr>
            <w:noProof/>
            <w:webHidden/>
          </w:rPr>
          <w:fldChar w:fldCharType="begin"/>
        </w:r>
        <w:r>
          <w:rPr>
            <w:noProof/>
            <w:webHidden/>
          </w:rPr>
          <w:instrText xml:space="preserve"> PAGEREF _Toc228275854 \h </w:instrText>
        </w:r>
        <w:r>
          <w:rPr>
            <w:noProof/>
            <w:webHidden/>
          </w:rPr>
        </w:r>
        <w:r>
          <w:rPr>
            <w:noProof/>
            <w:webHidden/>
          </w:rPr>
          <w:fldChar w:fldCharType="separate"/>
        </w:r>
        <w:r w:rsidR="006A0296">
          <w:rPr>
            <w:noProof/>
            <w:webHidden/>
          </w:rPr>
          <w:t>10</w:t>
        </w:r>
        <w:r>
          <w:rPr>
            <w:noProof/>
            <w:webHidden/>
          </w:rPr>
          <w:fldChar w:fldCharType="end"/>
        </w:r>
      </w:hyperlink>
    </w:p>
    <w:p w14:paraId="324A752B" w14:textId="60E16256" w:rsidR="00455816" w:rsidRDefault="00455816">
      <w:pPr>
        <w:pStyle w:val="TableofFigures"/>
        <w:tabs>
          <w:tab w:val="right" w:leader="dot" w:pos="9488"/>
        </w:tabs>
        <w:rPr>
          <w:noProof/>
        </w:rPr>
      </w:pPr>
      <w:hyperlink w:anchor="_Toc228275855" w:history="1">
        <w:r w:rsidRPr="00D7156E">
          <w:rPr>
            <w:rStyle w:val="Hyperlink"/>
            <w:noProof/>
            <w:lang w:val="sq-AL"/>
          </w:rPr>
          <w:t>Tabela 4 Devijimet e parashikimeve për të ardhurat dhe shpenzimet e pushtetit vendor</w:t>
        </w:r>
        <w:r>
          <w:rPr>
            <w:noProof/>
            <w:webHidden/>
          </w:rPr>
          <w:tab/>
        </w:r>
        <w:r>
          <w:rPr>
            <w:noProof/>
            <w:webHidden/>
          </w:rPr>
          <w:fldChar w:fldCharType="begin"/>
        </w:r>
        <w:r>
          <w:rPr>
            <w:noProof/>
            <w:webHidden/>
          </w:rPr>
          <w:instrText xml:space="preserve"> PAGEREF _Toc228275855 \h </w:instrText>
        </w:r>
        <w:r>
          <w:rPr>
            <w:noProof/>
            <w:webHidden/>
          </w:rPr>
        </w:r>
        <w:r>
          <w:rPr>
            <w:noProof/>
            <w:webHidden/>
          </w:rPr>
          <w:fldChar w:fldCharType="separate"/>
        </w:r>
        <w:r w:rsidR="006A0296">
          <w:rPr>
            <w:noProof/>
            <w:webHidden/>
          </w:rPr>
          <w:t>13</w:t>
        </w:r>
        <w:r>
          <w:rPr>
            <w:noProof/>
            <w:webHidden/>
          </w:rPr>
          <w:fldChar w:fldCharType="end"/>
        </w:r>
      </w:hyperlink>
    </w:p>
    <w:p w14:paraId="6D7DC198" w14:textId="5C42D5B8" w:rsidR="00455816" w:rsidRDefault="00455816">
      <w:pPr>
        <w:pStyle w:val="TableofFigures"/>
        <w:tabs>
          <w:tab w:val="right" w:leader="dot" w:pos="9488"/>
        </w:tabs>
        <w:rPr>
          <w:noProof/>
        </w:rPr>
      </w:pPr>
      <w:hyperlink w:anchor="_Toc228275856" w:history="1">
        <w:r w:rsidRPr="00D7156E">
          <w:rPr>
            <w:rStyle w:val="Hyperlink"/>
            <w:noProof/>
            <w:lang w:val="sq-AL"/>
          </w:rPr>
          <w:t>Tabela 5 Devijimet e parashikimeve për shpenzimet kapitale</w:t>
        </w:r>
        <w:r>
          <w:rPr>
            <w:noProof/>
            <w:webHidden/>
          </w:rPr>
          <w:tab/>
        </w:r>
        <w:r>
          <w:rPr>
            <w:noProof/>
            <w:webHidden/>
          </w:rPr>
          <w:fldChar w:fldCharType="begin"/>
        </w:r>
        <w:r>
          <w:rPr>
            <w:noProof/>
            <w:webHidden/>
          </w:rPr>
          <w:instrText xml:space="preserve"> PAGEREF _Toc228275856 \h </w:instrText>
        </w:r>
        <w:r>
          <w:rPr>
            <w:noProof/>
            <w:webHidden/>
          </w:rPr>
        </w:r>
        <w:r>
          <w:rPr>
            <w:noProof/>
            <w:webHidden/>
          </w:rPr>
          <w:fldChar w:fldCharType="separate"/>
        </w:r>
        <w:r w:rsidR="006A0296">
          <w:rPr>
            <w:noProof/>
            <w:webHidden/>
          </w:rPr>
          <w:t>15</w:t>
        </w:r>
        <w:r>
          <w:rPr>
            <w:noProof/>
            <w:webHidden/>
          </w:rPr>
          <w:fldChar w:fldCharType="end"/>
        </w:r>
      </w:hyperlink>
    </w:p>
    <w:p w14:paraId="1B2C96E7" w14:textId="0C78CF4B" w:rsidR="003E1EE1" w:rsidRPr="00607DCB" w:rsidRDefault="00455816" w:rsidP="00607DCB">
      <w:pPr>
        <w:widowControl/>
        <w:autoSpaceDE/>
        <w:autoSpaceDN/>
        <w:spacing w:line="276" w:lineRule="auto"/>
        <w:jc w:val="both"/>
        <w:rPr>
          <w:b/>
          <w:bCs/>
          <w:sz w:val="24"/>
          <w:szCs w:val="24"/>
          <w:lang w:val="sq-AL"/>
        </w:rPr>
      </w:pPr>
      <w:r>
        <w:rPr>
          <w:b/>
          <w:bCs/>
          <w:sz w:val="24"/>
          <w:szCs w:val="24"/>
          <w:lang w:val="sq-AL"/>
        </w:rPr>
        <w:fldChar w:fldCharType="end"/>
      </w:r>
    </w:p>
    <w:p w14:paraId="2B46108C" w14:textId="77777777" w:rsidR="003E1EE1" w:rsidRPr="00607DCB" w:rsidRDefault="003E1EE1" w:rsidP="00607DCB">
      <w:pPr>
        <w:widowControl/>
        <w:autoSpaceDE/>
        <w:autoSpaceDN/>
        <w:spacing w:line="276" w:lineRule="auto"/>
        <w:jc w:val="both"/>
        <w:rPr>
          <w:b/>
          <w:bCs/>
          <w:sz w:val="24"/>
          <w:szCs w:val="24"/>
          <w:lang w:val="sq-AL"/>
        </w:rPr>
      </w:pPr>
    </w:p>
    <w:p w14:paraId="7A749326" w14:textId="77777777" w:rsidR="003E1EE1" w:rsidRPr="00607DCB" w:rsidRDefault="003E1EE1" w:rsidP="00607DCB">
      <w:pPr>
        <w:widowControl/>
        <w:autoSpaceDE/>
        <w:autoSpaceDN/>
        <w:spacing w:line="276" w:lineRule="auto"/>
        <w:jc w:val="both"/>
        <w:rPr>
          <w:b/>
          <w:bCs/>
          <w:sz w:val="24"/>
          <w:szCs w:val="24"/>
          <w:lang w:val="sq-AL"/>
        </w:rPr>
      </w:pPr>
    </w:p>
    <w:p w14:paraId="18B1664E" w14:textId="77777777" w:rsidR="003E1EE1" w:rsidRPr="00607DCB" w:rsidRDefault="003E1EE1" w:rsidP="00607DCB">
      <w:pPr>
        <w:widowControl/>
        <w:autoSpaceDE/>
        <w:autoSpaceDN/>
        <w:spacing w:line="276" w:lineRule="auto"/>
        <w:jc w:val="both"/>
        <w:rPr>
          <w:b/>
          <w:bCs/>
          <w:sz w:val="24"/>
          <w:szCs w:val="24"/>
          <w:lang w:val="sq-AL"/>
        </w:rPr>
      </w:pPr>
    </w:p>
    <w:p w14:paraId="11797D09" w14:textId="77777777" w:rsidR="003E1EE1" w:rsidRPr="00607DCB" w:rsidRDefault="003E1EE1" w:rsidP="00607DCB">
      <w:pPr>
        <w:widowControl/>
        <w:autoSpaceDE/>
        <w:autoSpaceDN/>
        <w:spacing w:line="276" w:lineRule="auto"/>
        <w:jc w:val="both"/>
        <w:rPr>
          <w:b/>
          <w:bCs/>
          <w:sz w:val="24"/>
          <w:szCs w:val="24"/>
          <w:lang w:val="sq-AL"/>
        </w:rPr>
      </w:pPr>
    </w:p>
    <w:p w14:paraId="30E61B80" w14:textId="77777777" w:rsidR="003E1EE1" w:rsidRPr="00607DCB" w:rsidRDefault="003E1EE1" w:rsidP="00607DCB">
      <w:pPr>
        <w:widowControl/>
        <w:autoSpaceDE/>
        <w:autoSpaceDN/>
        <w:spacing w:line="276" w:lineRule="auto"/>
        <w:jc w:val="both"/>
        <w:rPr>
          <w:b/>
          <w:bCs/>
          <w:sz w:val="24"/>
          <w:szCs w:val="24"/>
          <w:lang w:val="sq-AL"/>
        </w:rPr>
      </w:pPr>
    </w:p>
    <w:p w14:paraId="218FC167" w14:textId="77777777" w:rsidR="003E1EE1" w:rsidRPr="00607DCB" w:rsidRDefault="003E1EE1" w:rsidP="00607DCB">
      <w:pPr>
        <w:widowControl/>
        <w:autoSpaceDE/>
        <w:autoSpaceDN/>
        <w:spacing w:line="276" w:lineRule="auto"/>
        <w:jc w:val="both"/>
        <w:rPr>
          <w:b/>
          <w:bCs/>
          <w:sz w:val="24"/>
          <w:szCs w:val="24"/>
          <w:lang w:val="sq-AL"/>
        </w:rPr>
      </w:pPr>
    </w:p>
    <w:p w14:paraId="58324F3E" w14:textId="77777777" w:rsidR="003E1EE1" w:rsidRPr="00607DCB" w:rsidRDefault="003E1EE1" w:rsidP="00607DCB">
      <w:pPr>
        <w:widowControl/>
        <w:autoSpaceDE/>
        <w:autoSpaceDN/>
        <w:spacing w:line="276" w:lineRule="auto"/>
        <w:jc w:val="both"/>
        <w:rPr>
          <w:b/>
          <w:bCs/>
          <w:sz w:val="24"/>
          <w:szCs w:val="24"/>
          <w:lang w:val="sq-AL"/>
        </w:rPr>
      </w:pPr>
    </w:p>
    <w:p w14:paraId="126D4426" w14:textId="77777777" w:rsidR="003E1EE1" w:rsidRPr="00607DCB" w:rsidRDefault="003E1EE1" w:rsidP="00607DCB">
      <w:pPr>
        <w:widowControl/>
        <w:autoSpaceDE/>
        <w:autoSpaceDN/>
        <w:spacing w:line="276" w:lineRule="auto"/>
        <w:jc w:val="both"/>
        <w:rPr>
          <w:b/>
          <w:bCs/>
          <w:sz w:val="24"/>
          <w:szCs w:val="24"/>
          <w:lang w:val="sq-AL"/>
        </w:rPr>
      </w:pPr>
    </w:p>
    <w:p w14:paraId="5364A697" w14:textId="6291295E" w:rsidR="00A721D5" w:rsidRDefault="003E1EE1" w:rsidP="004E2440">
      <w:pPr>
        <w:pStyle w:val="Heading1"/>
        <w:numPr>
          <w:ilvl w:val="0"/>
          <w:numId w:val="67"/>
        </w:numPr>
        <w:spacing w:line="276" w:lineRule="auto"/>
        <w:jc w:val="both"/>
        <w:rPr>
          <w:sz w:val="24"/>
          <w:szCs w:val="24"/>
          <w:lang w:val="sq-AL"/>
        </w:rPr>
      </w:pPr>
      <w:bookmarkStart w:id="0" w:name="_Toc228275790"/>
      <w:r w:rsidRPr="00607DCB">
        <w:rPr>
          <w:sz w:val="24"/>
          <w:szCs w:val="24"/>
          <w:lang w:val="sq-AL"/>
        </w:rPr>
        <w:t>Hyrje</w:t>
      </w:r>
      <w:bookmarkEnd w:id="0"/>
    </w:p>
    <w:p w14:paraId="1A23DA8A" w14:textId="77777777" w:rsidR="004E2440" w:rsidRPr="004E2440" w:rsidRDefault="004E2440" w:rsidP="004E2440">
      <w:pPr>
        <w:pStyle w:val="Heading1"/>
        <w:numPr>
          <w:ilvl w:val="0"/>
          <w:numId w:val="0"/>
        </w:numPr>
        <w:spacing w:line="276" w:lineRule="auto"/>
        <w:ind w:left="360"/>
        <w:jc w:val="both"/>
        <w:rPr>
          <w:sz w:val="24"/>
          <w:szCs w:val="24"/>
          <w:lang w:val="sq-AL"/>
        </w:rPr>
      </w:pPr>
    </w:p>
    <w:p w14:paraId="07377C46" w14:textId="006F33F1" w:rsidR="00A721D5" w:rsidRPr="00A721D5" w:rsidRDefault="00A721D5" w:rsidP="00607DCB">
      <w:pPr>
        <w:pStyle w:val="Heading1"/>
        <w:numPr>
          <w:ilvl w:val="0"/>
          <w:numId w:val="0"/>
        </w:numPr>
        <w:spacing w:line="276" w:lineRule="auto"/>
        <w:ind w:right="48"/>
        <w:jc w:val="both"/>
        <w:rPr>
          <w:b w:val="0"/>
          <w:bCs w:val="0"/>
          <w:sz w:val="24"/>
          <w:szCs w:val="24"/>
          <w:lang w:val="sq-AL"/>
        </w:rPr>
      </w:pPr>
      <w:bookmarkStart w:id="1" w:name="_Toc228265007"/>
      <w:bookmarkStart w:id="2" w:name="_Toc228275791"/>
      <w:r w:rsidRPr="00A721D5">
        <w:rPr>
          <w:b w:val="0"/>
          <w:bCs w:val="0"/>
          <w:sz w:val="24"/>
          <w:szCs w:val="24"/>
          <w:lang w:val="sq-AL"/>
        </w:rPr>
        <w:t>Ky raport është hartuar në përputhje me Udhëzimin e Ministrit të Financave nr. 7, datë 31.3.2026, “</w:t>
      </w:r>
      <w:r w:rsidRPr="00A721D5">
        <w:rPr>
          <w:b w:val="0"/>
          <w:bCs w:val="0"/>
          <w:i/>
          <w:iCs/>
          <w:sz w:val="24"/>
          <w:szCs w:val="24"/>
          <w:lang w:val="sq-AL"/>
        </w:rPr>
        <w:t>Për përgatitjen dhe publikimin e raportit të devijancave të parashikimeve makroekonomike, fiskale dhe buxhetore</w:t>
      </w:r>
      <w:r w:rsidRPr="00A721D5">
        <w:rPr>
          <w:b w:val="0"/>
          <w:bCs w:val="0"/>
          <w:sz w:val="24"/>
          <w:szCs w:val="24"/>
          <w:lang w:val="sq-AL"/>
        </w:rPr>
        <w:t>”. Raporti analizon devijancat ndërmjet të ardhurave dhe shpenzimeve buxhetore sipas zërave kryesorë, të planifikuara në Kuadrin Makroekonomik dhe Fiskal për periudhën 2026–2028, miratuar me VKM nr. 83, datë 5.2.2025, dhe parashikimeve përfundimtare të miratuara me Ligjin nr. 87/2025 “</w:t>
      </w:r>
      <w:r w:rsidRPr="00A721D5">
        <w:rPr>
          <w:b w:val="0"/>
          <w:bCs w:val="0"/>
          <w:i/>
          <w:iCs/>
          <w:sz w:val="24"/>
          <w:szCs w:val="24"/>
          <w:lang w:val="sq-AL"/>
        </w:rPr>
        <w:t>Për buxhetin e vitit 2026</w:t>
      </w:r>
      <w:r w:rsidRPr="00A721D5">
        <w:rPr>
          <w:b w:val="0"/>
          <w:bCs w:val="0"/>
          <w:sz w:val="24"/>
          <w:szCs w:val="24"/>
          <w:lang w:val="sq-AL"/>
        </w:rPr>
        <w:t>”. Analiza fokusohet në krahasimin ndërmjet planifikimit fillestar për vitin 2026 dhe buxhetit të miratuar, duke identifikuar dhe shpjeguar në mënyrë analitike faktorët ekonomikë, fiskalë apo të tjerë relevantë që kanë ndikuar në devijimet nga kuadri afatmesëm buxhetor. Një komponent thelbësor i raportit është gjithashtu vlerësimi i respektimit dhe monitorimit të parimeve dhe rregullave fiskale gjatë fazave të përgatitjes së buxhetit.</w:t>
      </w:r>
      <w:bookmarkEnd w:id="1"/>
      <w:bookmarkEnd w:id="2"/>
    </w:p>
    <w:p w14:paraId="18E060F4" w14:textId="74EB994A" w:rsidR="00976ADB" w:rsidRPr="00607DCB" w:rsidRDefault="00976ADB" w:rsidP="00607DCB">
      <w:pPr>
        <w:pStyle w:val="Heading1"/>
        <w:numPr>
          <w:ilvl w:val="0"/>
          <w:numId w:val="0"/>
        </w:numPr>
        <w:spacing w:line="276" w:lineRule="auto"/>
        <w:ind w:right="48"/>
        <w:jc w:val="both"/>
        <w:rPr>
          <w:b w:val="0"/>
          <w:bCs w:val="0"/>
          <w:sz w:val="24"/>
          <w:szCs w:val="24"/>
          <w:lang w:val="sq-AL"/>
        </w:rPr>
      </w:pPr>
    </w:p>
    <w:p w14:paraId="6E4F4E49" w14:textId="77777777" w:rsidR="00BD1F09" w:rsidRPr="00607DCB" w:rsidRDefault="00BD1F09" w:rsidP="00607DCB">
      <w:pPr>
        <w:pStyle w:val="Heading1"/>
        <w:numPr>
          <w:ilvl w:val="0"/>
          <w:numId w:val="0"/>
        </w:numPr>
        <w:spacing w:line="276" w:lineRule="auto"/>
        <w:ind w:left="360"/>
        <w:jc w:val="both"/>
        <w:rPr>
          <w:sz w:val="24"/>
          <w:szCs w:val="24"/>
          <w:lang w:val="sq-AL"/>
        </w:rPr>
      </w:pPr>
    </w:p>
    <w:p w14:paraId="09719236" w14:textId="5DEB22AA" w:rsidR="00A55378" w:rsidRPr="00607DCB" w:rsidRDefault="00A55378" w:rsidP="00607DCB">
      <w:pPr>
        <w:pStyle w:val="Heading1"/>
        <w:numPr>
          <w:ilvl w:val="0"/>
          <w:numId w:val="67"/>
        </w:numPr>
        <w:spacing w:line="276" w:lineRule="auto"/>
        <w:jc w:val="both"/>
        <w:rPr>
          <w:sz w:val="24"/>
          <w:szCs w:val="24"/>
          <w:lang w:val="sq-AL"/>
        </w:rPr>
      </w:pPr>
      <w:bookmarkStart w:id="3" w:name="_Toc228275792"/>
      <w:r w:rsidRPr="00607DCB">
        <w:rPr>
          <w:sz w:val="24"/>
          <w:szCs w:val="24"/>
          <w:lang w:val="sq-AL"/>
        </w:rPr>
        <w:t>Zbatimi dhe monitorimi i parimeve dhe rregullave fiskale</w:t>
      </w:r>
      <w:bookmarkEnd w:id="3"/>
    </w:p>
    <w:p w14:paraId="5ACAFF29" w14:textId="6502E161" w:rsidR="00BD1F09" w:rsidRPr="00607DCB" w:rsidRDefault="00BD1F09" w:rsidP="00607DCB">
      <w:pPr>
        <w:pStyle w:val="Heading1"/>
        <w:numPr>
          <w:ilvl w:val="0"/>
          <w:numId w:val="0"/>
        </w:numPr>
        <w:spacing w:line="276" w:lineRule="auto"/>
        <w:ind w:left="360"/>
        <w:jc w:val="both"/>
        <w:rPr>
          <w:sz w:val="24"/>
          <w:szCs w:val="24"/>
          <w:lang w:val="sq-AL"/>
        </w:rPr>
      </w:pPr>
    </w:p>
    <w:p w14:paraId="5751474B" w14:textId="77777777" w:rsidR="00E57D70" w:rsidRPr="00E57D70" w:rsidRDefault="00E57D70" w:rsidP="00E57D70">
      <w:pPr>
        <w:spacing w:line="276" w:lineRule="auto"/>
        <w:jc w:val="both"/>
        <w:rPr>
          <w:sz w:val="24"/>
          <w:szCs w:val="24"/>
          <w:lang w:val="sq-AL"/>
        </w:rPr>
      </w:pPr>
      <w:r w:rsidRPr="00E57D70">
        <w:rPr>
          <w:sz w:val="24"/>
          <w:szCs w:val="24"/>
          <w:lang w:val="sq-AL"/>
        </w:rPr>
        <w:t xml:space="preserve">Ligji Nr. 57, datë 02.06.2016 “Për disa ndryshime dhe shtesa në ligjin Nr. 9936, datë 26.06.2008 “Për menaxhimin e sistemit buxhetor në Republikën e Shqipërisë, të ndryshuar” (në vijim: Ligji Organik i Buxhetit - LOB), në nenin 4/1, parashikon një sërë parimesh dhe rregulla fiskale me qëllim garantimin e qëndrueshmërisë fiskale dhe mirëmenaxhimit të financave publike. </w:t>
      </w:r>
    </w:p>
    <w:p w14:paraId="6428E109" w14:textId="77777777" w:rsidR="00E57D70" w:rsidRPr="00E57D70" w:rsidRDefault="00E57D70" w:rsidP="00E57D70">
      <w:pPr>
        <w:spacing w:line="276" w:lineRule="auto"/>
        <w:jc w:val="both"/>
        <w:rPr>
          <w:sz w:val="24"/>
          <w:szCs w:val="24"/>
          <w:lang w:val="sq-AL"/>
        </w:rPr>
      </w:pPr>
    </w:p>
    <w:p w14:paraId="0F4DF97A" w14:textId="77777777" w:rsidR="00E57D70" w:rsidRPr="00E57D70" w:rsidRDefault="00E57D70" w:rsidP="00E57D70">
      <w:pPr>
        <w:spacing w:after="120" w:line="276" w:lineRule="auto"/>
        <w:jc w:val="both"/>
        <w:rPr>
          <w:sz w:val="24"/>
          <w:szCs w:val="24"/>
          <w:lang w:val="sq-AL"/>
        </w:rPr>
      </w:pPr>
      <w:r w:rsidRPr="00E57D70">
        <w:rPr>
          <w:sz w:val="24"/>
          <w:szCs w:val="24"/>
          <w:lang w:val="sq-AL"/>
        </w:rPr>
        <w:t>Ky seksion analizon zbatueshmërinë e këtyre parimeve dhe rregullave fiskale gjatë vitit 2025, duke u fokusuar në respektimin e tyre në të dy raundet kryesore të parashikimit buxhetor, përkatësisht:</w:t>
      </w:r>
    </w:p>
    <w:p w14:paraId="3D6883AE" w14:textId="77777777" w:rsidR="00E57D70" w:rsidRPr="00E57D70" w:rsidRDefault="00E57D70" w:rsidP="00E57D70">
      <w:pPr>
        <w:pStyle w:val="ListParagraph"/>
        <w:widowControl/>
        <w:numPr>
          <w:ilvl w:val="0"/>
          <w:numId w:val="78"/>
        </w:numPr>
        <w:autoSpaceDE/>
        <w:autoSpaceDN/>
        <w:spacing w:after="160" w:line="276" w:lineRule="auto"/>
        <w:ind w:left="720"/>
        <w:contextualSpacing/>
        <w:rPr>
          <w:sz w:val="24"/>
          <w:szCs w:val="24"/>
          <w:lang w:val="sq-AL"/>
        </w:rPr>
      </w:pPr>
      <w:r w:rsidRPr="00E57D70">
        <w:rPr>
          <w:sz w:val="24"/>
          <w:szCs w:val="24"/>
          <w:lang w:val="sq-AL"/>
        </w:rPr>
        <w:t>Në Kuadrin Makroekonomik dhe Fiskal për periudhën 2026-2028, miratuar me Vendimin e Këshillit të Ministrave, nr. 83, datë 5.2.2025;</w:t>
      </w:r>
    </w:p>
    <w:p w14:paraId="6D907330" w14:textId="77777777" w:rsidR="00E57D70" w:rsidRPr="00E57D70" w:rsidRDefault="00E57D70" w:rsidP="00E57D70">
      <w:pPr>
        <w:pStyle w:val="ListParagraph"/>
        <w:widowControl/>
        <w:numPr>
          <w:ilvl w:val="0"/>
          <w:numId w:val="78"/>
        </w:numPr>
        <w:autoSpaceDE/>
        <w:autoSpaceDN/>
        <w:spacing w:after="160" w:line="276" w:lineRule="auto"/>
        <w:ind w:left="720"/>
        <w:contextualSpacing/>
        <w:rPr>
          <w:sz w:val="24"/>
          <w:szCs w:val="24"/>
          <w:lang w:val="sq-AL"/>
        </w:rPr>
      </w:pPr>
      <w:r w:rsidRPr="00E57D70">
        <w:rPr>
          <w:sz w:val="24"/>
          <w:szCs w:val="24"/>
          <w:lang w:val="sq-AL"/>
        </w:rPr>
        <w:t>Në parashikimet makro-fiskale të miratuara në Ligjin nr. 87/2025 “Për buxhetin e vitit 2026”.</w:t>
      </w:r>
    </w:p>
    <w:p w14:paraId="599FF57E" w14:textId="77777777" w:rsidR="00E57D70" w:rsidRPr="00E57D70" w:rsidRDefault="00E57D70" w:rsidP="00E57D70">
      <w:pPr>
        <w:pStyle w:val="ListParagraph"/>
        <w:widowControl/>
        <w:autoSpaceDE/>
        <w:autoSpaceDN/>
        <w:spacing w:after="160" w:line="276" w:lineRule="auto"/>
        <w:ind w:left="720" w:firstLine="0"/>
        <w:contextualSpacing/>
        <w:rPr>
          <w:sz w:val="24"/>
          <w:szCs w:val="24"/>
          <w:lang w:val="sq-AL"/>
        </w:rPr>
      </w:pPr>
    </w:p>
    <w:p w14:paraId="6899C2C1" w14:textId="77777777" w:rsidR="00E57D70" w:rsidRPr="00E57D70" w:rsidRDefault="00E57D70" w:rsidP="00E57D70">
      <w:pPr>
        <w:spacing w:after="120" w:line="276" w:lineRule="auto"/>
        <w:jc w:val="both"/>
        <w:rPr>
          <w:b/>
          <w:iCs/>
          <w:noProof/>
          <w:sz w:val="24"/>
          <w:szCs w:val="24"/>
          <w:lang w:val="sq-AL"/>
        </w:rPr>
      </w:pPr>
      <w:r w:rsidRPr="00E57D70">
        <w:rPr>
          <w:b/>
          <w:i/>
          <w:noProof/>
          <w:sz w:val="24"/>
          <w:szCs w:val="24"/>
          <w:lang w:val="sq-AL"/>
        </w:rPr>
        <w:t xml:space="preserve">Përcaktimi ligjor (1): </w:t>
      </w:r>
      <w:r w:rsidRPr="00E57D70">
        <w:rPr>
          <w:b/>
          <w:iCs/>
          <w:noProof/>
          <w:sz w:val="24"/>
          <w:szCs w:val="24"/>
          <w:lang w:val="sq-AL"/>
        </w:rPr>
        <w:t>Niveli i borxhit publik bruto në raport me Prodhimin e Brendshëm Bruto</w:t>
      </w:r>
    </w:p>
    <w:p w14:paraId="6DD15A1A" w14:textId="77777777" w:rsidR="00E57D70" w:rsidRPr="00E57D70" w:rsidRDefault="00E57D70" w:rsidP="00E57D70">
      <w:pPr>
        <w:spacing w:line="276" w:lineRule="auto"/>
        <w:jc w:val="both"/>
        <w:rPr>
          <w:noProof/>
          <w:sz w:val="24"/>
          <w:szCs w:val="24"/>
          <w:lang w:val="sq-AL"/>
        </w:rPr>
      </w:pPr>
      <w:r w:rsidRPr="00E57D70">
        <w:rPr>
          <w:noProof/>
          <w:sz w:val="24"/>
          <w:szCs w:val="24"/>
          <w:lang w:val="sq-AL"/>
        </w:rPr>
        <w:t>Në përputhje me nenin 4/1, pika (1.a) e LOB, në çdo ligj vjetor të buxhetit, si fillestar ashtu edhe të rishikuar, si dhe në planifikimet e buxhetit afatmesëm, raporti i borxhit publik ndaj PBB-së duhet të planifikohet në nivel më të ulët krahasuar me vlerësimin për vitin pararendës, deri në momentin kur niveli i borxhit të arrijë dhe të qëndrojë nën kufirin prej 45% të PBB-së.</w:t>
      </w:r>
    </w:p>
    <w:p w14:paraId="137A782E" w14:textId="77777777" w:rsidR="00E57D70" w:rsidRPr="00E57D70" w:rsidRDefault="00E57D70" w:rsidP="00E57D70">
      <w:pPr>
        <w:spacing w:line="276" w:lineRule="auto"/>
        <w:jc w:val="both"/>
        <w:rPr>
          <w:i/>
          <w:noProof/>
          <w:sz w:val="24"/>
          <w:szCs w:val="24"/>
          <w:lang w:val="sq-AL"/>
        </w:rPr>
      </w:pPr>
    </w:p>
    <w:p w14:paraId="5C61435E" w14:textId="77777777" w:rsidR="00E57D70" w:rsidRPr="00E57D70" w:rsidRDefault="00E57D70" w:rsidP="00E57D70">
      <w:pPr>
        <w:spacing w:after="120" w:line="276" w:lineRule="auto"/>
        <w:jc w:val="both"/>
        <w:rPr>
          <w:i/>
          <w:noProof/>
          <w:sz w:val="24"/>
          <w:szCs w:val="24"/>
          <w:lang w:val="sq-AL"/>
        </w:rPr>
      </w:pPr>
      <w:r w:rsidRPr="00E57D70">
        <w:rPr>
          <w:i/>
          <w:noProof/>
          <w:sz w:val="24"/>
          <w:szCs w:val="24"/>
          <w:lang w:val="sq-AL"/>
        </w:rPr>
        <w:t>Zbatimi i ligjit (1):</w:t>
      </w:r>
    </w:p>
    <w:p w14:paraId="1A625201" w14:textId="77777777" w:rsidR="00E57D70" w:rsidRPr="00E57D70" w:rsidRDefault="00E57D70" w:rsidP="00E57D70">
      <w:pPr>
        <w:spacing w:line="276" w:lineRule="auto"/>
        <w:jc w:val="both"/>
        <w:rPr>
          <w:noProof/>
          <w:sz w:val="24"/>
          <w:szCs w:val="24"/>
          <w:lang w:val="sq-AL"/>
        </w:rPr>
      </w:pPr>
      <w:r w:rsidRPr="00E57D70">
        <w:rPr>
          <w:noProof/>
          <w:sz w:val="24"/>
          <w:szCs w:val="24"/>
          <w:lang w:val="sq-AL"/>
        </w:rPr>
        <w:t>Në Kuadrin Makroekonomik dhe Fiskal të miratuar në fillim të vitit 2025, raporti i borxhit publik ndaj PBB-së për vitin 2026 vlerësohej në nivelin 54.0% të PBB-së. Në vijim, në ligjin fillestar të buxhetit për vitin 2026, niveli i planifikuar i borxhit parashikohet në nivelin 53.6% e PBB-së, pra më i ulët se vlerësimi i përfshirë në parashikimet fillestare makro-fiskale të raundit të parë, në përputhje të plotë me këtë përcaktim ligjor dhe duke konfirmuar respektimin e trajektores rënëse të përcaktuar në LOB në të dy fazat e planifikimt fiskal.</w:t>
      </w:r>
    </w:p>
    <w:p w14:paraId="48F0B692" w14:textId="77777777" w:rsidR="00E57D70" w:rsidRPr="00E57D70" w:rsidRDefault="00E57D70" w:rsidP="00E57D70">
      <w:pPr>
        <w:spacing w:line="276" w:lineRule="auto"/>
        <w:contextualSpacing/>
        <w:jc w:val="both"/>
        <w:rPr>
          <w:b/>
          <w:i/>
          <w:noProof/>
          <w:sz w:val="24"/>
          <w:szCs w:val="24"/>
          <w:lang w:val="sq-AL"/>
        </w:rPr>
      </w:pPr>
    </w:p>
    <w:p w14:paraId="5598E072" w14:textId="77777777" w:rsidR="00E57D70" w:rsidRPr="00E57D70" w:rsidRDefault="00E57D70" w:rsidP="00E57D70">
      <w:pPr>
        <w:spacing w:line="276" w:lineRule="auto"/>
        <w:contextualSpacing/>
        <w:jc w:val="both"/>
        <w:rPr>
          <w:b/>
          <w:i/>
          <w:noProof/>
          <w:sz w:val="24"/>
          <w:szCs w:val="24"/>
          <w:lang w:val="sq-AL"/>
        </w:rPr>
      </w:pPr>
    </w:p>
    <w:p w14:paraId="64E75459" w14:textId="77777777" w:rsidR="00E57D70" w:rsidRPr="00E57D70" w:rsidRDefault="00E57D70" w:rsidP="00E57D70">
      <w:pPr>
        <w:spacing w:line="276" w:lineRule="auto"/>
        <w:contextualSpacing/>
        <w:jc w:val="both"/>
        <w:rPr>
          <w:b/>
          <w:i/>
          <w:noProof/>
          <w:sz w:val="24"/>
          <w:szCs w:val="24"/>
          <w:lang w:val="sq-AL"/>
        </w:rPr>
      </w:pPr>
    </w:p>
    <w:p w14:paraId="199BB97E" w14:textId="77777777" w:rsidR="00E57D70" w:rsidRPr="00E57D70" w:rsidRDefault="00E57D70" w:rsidP="00E57D70">
      <w:pPr>
        <w:spacing w:after="120" w:line="276" w:lineRule="auto"/>
        <w:jc w:val="both"/>
        <w:rPr>
          <w:b/>
          <w:i/>
          <w:noProof/>
          <w:sz w:val="24"/>
          <w:szCs w:val="24"/>
          <w:lang w:val="sq-AL"/>
        </w:rPr>
      </w:pPr>
      <w:r w:rsidRPr="00E57D70">
        <w:rPr>
          <w:b/>
          <w:i/>
          <w:noProof/>
          <w:sz w:val="24"/>
          <w:szCs w:val="24"/>
          <w:lang w:val="sq-AL"/>
        </w:rPr>
        <w:lastRenderedPageBreak/>
        <w:t>Përcaktimi ligjor (2): Balanca Primare</w:t>
      </w:r>
    </w:p>
    <w:p w14:paraId="0627E47A" w14:textId="77777777" w:rsidR="00E57D70" w:rsidRPr="00E57D70" w:rsidRDefault="00E57D70" w:rsidP="00E57D70">
      <w:pPr>
        <w:spacing w:line="276" w:lineRule="auto"/>
        <w:jc w:val="both"/>
        <w:rPr>
          <w:bCs/>
          <w:iCs/>
          <w:noProof/>
          <w:sz w:val="24"/>
          <w:szCs w:val="24"/>
          <w:lang w:val="sq-AL"/>
        </w:rPr>
      </w:pPr>
      <w:r w:rsidRPr="00E57D70">
        <w:rPr>
          <w:bCs/>
          <w:iCs/>
          <w:noProof/>
          <w:sz w:val="24"/>
          <w:szCs w:val="24"/>
          <w:lang w:val="sq-AL"/>
        </w:rPr>
        <w:t>Neni 4/1, pika (5) i LOB sanksionon që duke filluar prej vitit buxhetor 2024 e në vijim, balanca primare buxhetore nuk duhet të rezultojë më e vogël sesa zero, përveçse në rastet e rrethanave të jashtëzakonshme që parashikohen në nenin 4/4, të këtij ligji.</w:t>
      </w:r>
    </w:p>
    <w:p w14:paraId="4374DDA8" w14:textId="77777777" w:rsidR="00E57D70" w:rsidRPr="00E57D70" w:rsidRDefault="00E57D70" w:rsidP="00E57D70">
      <w:pPr>
        <w:spacing w:line="276" w:lineRule="auto"/>
        <w:jc w:val="both"/>
        <w:rPr>
          <w:i/>
          <w:noProof/>
          <w:sz w:val="24"/>
          <w:szCs w:val="24"/>
          <w:lang w:val="sq-AL"/>
        </w:rPr>
      </w:pPr>
    </w:p>
    <w:p w14:paraId="75685EDA" w14:textId="77777777" w:rsidR="00E57D70" w:rsidRPr="00E57D70" w:rsidRDefault="00E57D70" w:rsidP="00E57D70">
      <w:pPr>
        <w:spacing w:after="120" w:line="276" w:lineRule="auto"/>
        <w:jc w:val="both"/>
        <w:rPr>
          <w:i/>
          <w:noProof/>
          <w:sz w:val="24"/>
          <w:szCs w:val="24"/>
          <w:lang w:val="sq-AL"/>
        </w:rPr>
      </w:pPr>
      <w:r w:rsidRPr="00E57D70">
        <w:rPr>
          <w:i/>
          <w:noProof/>
          <w:sz w:val="24"/>
          <w:szCs w:val="24"/>
          <w:lang w:val="sq-AL"/>
        </w:rPr>
        <w:t>Zbatimi i ligjit (2):</w:t>
      </w:r>
    </w:p>
    <w:p w14:paraId="400BD5D2" w14:textId="77777777" w:rsidR="00E57D70" w:rsidRPr="00E57D70" w:rsidRDefault="00E57D70" w:rsidP="00E57D70">
      <w:pPr>
        <w:spacing w:line="276" w:lineRule="auto"/>
        <w:jc w:val="both"/>
        <w:rPr>
          <w:noProof/>
          <w:sz w:val="24"/>
          <w:szCs w:val="24"/>
          <w:lang w:val="sq-AL"/>
        </w:rPr>
      </w:pPr>
      <w:r w:rsidRPr="00E57D70">
        <w:rPr>
          <w:noProof/>
          <w:sz w:val="24"/>
          <w:szCs w:val="24"/>
          <w:lang w:val="sq-AL"/>
        </w:rPr>
        <w:t>Ky rregull fiskal është respektuar si në parashikimet e Kuadrit Makroekonomik dhe Fiskal, ashtu edhe në parashikimet e përfshira në ligjin vjetor të buxhetit për vitin 2026. Në parashikimet fillestare, balanca primare targetohet në nivelin 0.7% të PBB-së, ndërsa në vijim, në parashikimet e Ligjit Vjetor të Buxhetit për vitin 2026, projektohet në nivelin 0.0% të PBB-së, duke konfirmuar disiplinën fiskale dhe koherencën ndërmjet dy raundeve të parashikimit.</w:t>
      </w:r>
    </w:p>
    <w:p w14:paraId="2116A040" w14:textId="77777777" w:rsidR="00E57D70" w:rsidRPr="00E57D70" w:rsidRDefault="00E57D70" w:rsidP="00E57D70">
      <w:pPr>
        <w:spacing w:line="276" w:lineRule="auto"/>
        <w:contextualSpacing/>
        <w:jc w:val="both"/>
        <w:rPr>
          <w:b/>
          <w:bCs/>
          <w:i/>
          <w:iCs/>
          <w:sz w:val="24"/>
          <w:szCs w:val="24"/>
          <w:lang w:val="sq-AL"/>
        </w:rPr>
      </w:pPr>
    </w:p>
    <w:p w14:paraId="7C0E6B3F" w14:textId="77777777" w:rsidR="00E57D70" w:rsidRPr="00E57D70" w:rsidRDefault="00E57D70" w:rsidP="00E57D70">
      <w:pPr>
        <w:spacing w:after="120" w:line="276" w:lineRule="auto"/>
        <w:jc w:val="both"/>
        <w:rPr>
          <w:b/>
          <w:bCs/>
          <w:i/>
          <w:iCs/>
          <w:sz w:val="24"/>
          <w:szCs w:val="24"/>
          <w:lang w:val="sq-AL"/>
        </w:rPr>
      </w:pPr>
      <w:r w:rsidRPr="00E57D70">
        <w:rPr>
          <w:b/>
          <w:bCs/>
          <w:i/>
          <w:iCs/>
          <w:sz w:val="24"/>
          <w:szCs w:val="24"/>
          <w:lang w:val="sq-AL"/>
        </w:rPr>
        <w:t>Përcaktimi ligjor (3): Rregulli i artë i buxhetit (golden-rule)</w:t>
      </w:r>
    </w:p>
    <w:p w14:paraId="50355256" w14:textId="77777777" w:rsidR="00E57D70" w:rsidRPr="00E57D70" w:rsidRDefault="00E57D70" w:rsidP="00E57D70">
      <w:pPr>
        <w:spacing w:line="276" w:lineRule="auto"/>
        <w:jc w:val="both"/>
        <w:rPr>
          <w:sz w:val="24"/>
          <w:szCs w:val="24"/>
          <w:lang w:val="sq-AL"/>
        </w:rPr>
      </w:pPr>
      <w:r w:rsidRPr="00E57D70">
        <w:rPr>
          <w:sz w:val="24"/>
          <w:szCs w:val="24"/>
          <w:lang w:val="sq-AL"/>
        </w:rPr>
        <w:t>Neni 4/1, pika (4) i LOB sanksionon që masa e defiçitit buxhetor nuk mund të tejkalojë masën e shpenzimeve kapitale të parashikuara çdo vit në ligjin e buxhetit, përveç në rastet e rrethanave të jashtëzakonshme, që parashikohen në nenin 4/4 të këtij ligji.</w:t>
      </w:r>
    </w:p>
    <w:p w14:paraId="28A49039" w14:textId="77777777" w:rsidR="00E57D70" w:rsidRPr="00E57D70" w:rsidRDefault="00E57D70" w:rsidP="00E57D70">
      <w:pPr>
        <w:spacing w:line="276" w:lineRule="auto"/>
        <w:jc w:val="both"/>
        <w:rPr>
          <w:i/>
          <w:noProof/>
          <w:sz w:val="24"/>
          <w:szCs w:val="24"/>
          <w:lang w:val="sq-AL"/>
        </w:rPr>
      </w:pPr>
    </w:p>
    <w:p w14:paraId="4C3DB286" w14:textId="77777777" w:rsidR="00E57D70" w:rsidRPr="00E57D70" w:rsidRDefault="00E57D70" w:rsidP="00E57D70">
      <w:pPr>
        <w:spacing w:after="120" w:line="276" w:lineRule="auto"/>
        <w:jc w:val="both"/>
        <w:rPr>
          <w:i/>
          <w:noProof/>
          <w:sz w:val="24"/>
          <w:szCs w:val="24"/>
          <w:lang w:val="sq-AL"/>
        </w:rPr>
      </w:pPr>
      <w:r w:rsidRPr="00E57D70">
        <w:rPr>
          <w:i/>
          <w:noProof/>
          <w:sz w:val="24"/>
          <w:szCs w:val="24"/>
          <w:lang w:val="sq-AL"/>
        </w:rPr>
        <w:t>Zbatimi i Ligjit (3):</w:t>
      </w:r>
    </w:p>
    <w:p w14:paraId="75F69405" w14:textId="77777777" w:rsidR="00E57D70" w:rsidRPr="00E57D70" w:rsidRDefault="00E57D70" w:rsidP="00E57D70">
      <w:pPr>
        <w:spacing w:after="120" w:line="276" w:lineRule="auto"/>
        <w:jc w:val="both"/>
        <w:rPr>
          <w:sz w:val="24"/>
          <w:szCs w:val="24"/>
          <w:lang w:val="sq-AL"/>
        </w:rPr>
      </w:pPr>
      <w:r w:rsidRPr="00E57D70">
        <w:rPr>
          <w:sz w:val="24"/>
          <w:szCs w:val="24"/>
          <w:lang w:val="sq-AL"/>
        </w:rPr>
        <w:t>Në të dy raundet e parashikimit fiskal, rregulli i artë i buxhetit është respektuar plotësisht. Objektivat e deficitit vjetor, të parashikuara fillimisht në Kuadrin Makroekonomik dhe Fiskal 2026-2028 dhe të reflektuara më pas në ligjin vjetor të buxhetit për vitin 2026, rezultojnë në nivele më të ulëta se shpenzimet kapitale të planifikuara.</w:t>
      </w:r>
    </w:p>
    <w:p w14:paraId="0F997FC0" w14:textId="77777777" w:rsidR="00E57D70" w:rsidRPr="00E57D70" w:rsidRDefault="00E57D70" w:rsidP="00E57D70">
      <w:pPr>
        <w:spacing w:after="120" w:line="276" w:lineRule="auto"/>
        <w:jc w:val="both"/>
        <w:rPr>
          <w:sz w:val="24"/>
          <w:szCs w:val="24"/>
          <w:lang w:val="sq-AL"/>
        </w:rPr>
      </w:pPr>
      <w:r w:rsidRPr="00E57D70">
        <w:rPr>
          <w:sz w:val="24"/>
          <w:szCs w:val="24"/>
          <w:lang w:val="sq-AL"/>
        </w:rPr>
        <w:t>Si rrjedhojë, bilanci fiskal korrent për vitin 2026 në Kuadrin Makroekonomik dhe Fiskal targetohet në nivelin +4.2% të PBB-së, duke mbetur pothuajse e pandryshuar në raundin e dytë të parashikimeve dhe në përputhshmëri të plotë me rregullat fiskale të sanksionuara në LOB gjatë të gjithë ciklit të planifikimit buxhetor.</w:t>
      </w:r>
    </w:p>
    <w:p w14:paraId="0EC6AD03" w14:textId="77777777" w:rsidR="00E57D70" w:rsidRPr="00E57D70" w:rsidRDefault="00E57D70" w:rsidP="00E57D70">
      <w:pPr>
        <w:spacing w:line="276" w:lineRule="auto"/>
        <w:jc w:val="both"/>
        <w:rPr>
          <w:b/>
          <w:bCs/>
          <w:sz w:val="24"/>
          <w:szCs w:val="24"/>
          <w:lang w:val="sq-AL"/>
        </w:rPr>
      </w:pPr>
    </w:p>
    <w:p w14:paraId="76E811C5" w14:textId="77777777" w:rsidR="00E57D70" w:rsidRPr="00E57D70" w:rsidRDefault="00E57D70" w:rsidP="00E57D70">
      <w:pPr>
        <w:pStyle w:val="Heading1"/>
        <w:numPr>
          <w:ilvl w:val="1"/>
          <w:numId w:val="67"/>
        </w:numPr>
        <w:spacing w:line="276" w:lineRule="auto"/>
        <w:jc w:val="both"/>
        <w:rPr>
          <w:sz w:val="24"/>
          <w:szCs w:val="24"/>
          <w:lang w:val="sq-AL"/>
        </w:rPr>
      </w:pPr>
      <w:bookmarkStart w:id="4" w:name="_Toc228275793"/>
      <w:r w:rsidRPr="00E57D70">
        <w:rPr>
          <w:sz w:val="24"/>
          <w:szCs w:val="24"/>
          <w:lang w:val="sq-AL"/>
        </w:rPr>
        <w:t>Kriteret për përllogaritjen e devijancave dhe formati i raportimit</w:t>
      </w:r>
      <w:bookmarkEnd w:id="4"/>
      <w:r w:rsidRPr="00E57D70">
        <w:rPr>
          <w:sz w:val="24"/>
          <w:szCs w:val="24"/>
          <w:lang w:val="sq-AL"/>
        </w:rPr>
        <w:t xml:space="preserve"> </w:t>
      </w:r>
    </w:p>
    <w:p w14:paraId="3FFEAFEC" w14:textId="77777777" w:rsidR="00E57D70" w:rsidRPr="00E57D70" w:rsidRDefault="00E57D70" w:rsidP="00E57D70">
      <w:pPr>
        <w:pStyle w:val="ListParagraph"/>
        <w:spacing w:line="276" w:lineRule="auto"/>
        <w:ind w:left="360" w:firstLine="0"/>
        <w:rPr>
          <w:b/>
          <w:bCs/>
          <w:sz w:val="24"/>
          <w:szCs w:val="24"/>
          <w:lang w:val="sq-AL"/>
        </w:rPr>
      </w:pPr>
    </w:p>
    <w:p w14:paraId="28AFC63B" w14:textId="77777777" w:rsidR="00E57D70" w:rsidRPr="00E57D70" w:rsidRDefault="00E57D70" w:rsidP="00E57D70">
      <w:pPr>
        <w:widowControl/>
        <w:autoSpaceDE/>
        <w:autoSpaceDN/>
        <w:spacing w:after="120" w:line="276" w:lineRule="auto"/>
        <w:rPr>
          <w:b/>
          <w:bCs/>
          <w:sz w:val="24"/>
          <w:szCs w:val="24"/>
          <w:lang w:val="sq-AL"/>
        </w:rPr>
      </w:pPr>
      <w:r w:rsidRPr="00E57D70">
        <w:rPr>
          <w:b/>
          <w:bCs/>
          <w:sz w:val="24"/>
          <w:szCs w:val="24"/>
          <w:lang w:val="sq-AL"/>
        </w:rPr>
        <w:t>Analiza e devijancave të treguesve fiskalë (% e PBB) për buxhetin e vitit 2026</w:t>
      </w:r>
    </w:p>
    <w:p w14:paraId="7A548292" w14:textId="77777777" w:rsidR="00E57D70" w:rsidRPr="00E57D70" w:rsidRDefault="00E57D70" w:rsidP="00E57D70">
      <w:pPr>
        <w:spacing w:after="120" w:line="276" w:lineRule="auto"/>
        <w:jc w:val="both"/>
        <w:rPr>
          <w:sz w:val="24"/>
          <w:szCs w:val="24"/>
          <w:lang w:val="sq-AL"/>
        </w:rPr>
      </w:pPr>
      <w:r w:rsidRPr="00E57D70">
        <w:rPr>
          <w:sz w:val="24"/>
          <w:szCs w:val="24"/>
          <w:lang w:val="sq-AL"/>
        </w:rPr>
        <w:t>Ky material paraqet analizën e devijancave të treguesve kryesorë fiskalë për vitin 2026, bazuar në krahasimin ndërmjet:</w:t>
      </w:r>
    </w:p>
    <w:p w14:paraId="172223A3" w14:textId="77777777" w:rsidR="00E57D70" w:rsidRPr="00E57D70" w:rsidRDefault="00E57D70" w:rsidP="00E57D70">
      <w:pPr>
        <w:pStyle w:val="ListParagraph"/>
        <w:widowControl/>
        <w:numPr>
          <w:ilvl w:val="0"/>
          <w:numId w:val="73"/>
        </w:numPr>
        <w:autoSpaceDE/>
        <w:autoSpaceDN/>
        <w:spacing w:after="160" w:line="276" w:lineRule="auto"/>
        <w:contextualSpacing/>
        <w:rPr>
          <w:sz w:val="24"/>
          <w:szCs w:val="24"/>
          <w:lang w:val="sq-AL"/>
        </w:rPr>
      </w:pPr>
      <w:r w:rsidRPr="00E57D70">
        <w:rPr>
          <w:sz w:val="24"/>
          <w:szCs w:val="24"/>
          <w:lang w:val="sq-AL"/>
        </w:rPr>
        <w:t>Kuadrit Makroekonomik dhe Fiskal të miratuar me Vendimin e Këshillit të Ministrave, nr. 83, datë 5.2.2025 dhe;</w:t>
      </w:r>
    </w:p>
    <w:p w14:paraId="13BDDCCA" w14:textId="77777777" w:rsidR="00E57D70" w:rsidRPr="00E57D70" w:rsidRDefault="00E57D70" w:rsidP="00E57D70">
      <w:pPr>
        <w:pStyle w:val="ListParagraph"/>
        <w:widowControl/>
        <w:numPr>
          <w:ilvl w:val="0"/>
          <w:numId w:val="73"/>
        </w:numPr>
        <w:autoSpaceDE/>
        <w:autoSpaceDN/>
        <w:spacing w:after="160" w:line="276" w:lineRule="auto"/>
        <w:contextualSpacing/>
        <w:rPr>
          <w:sz w:val="24"/>
          <w:szCs w:val="24"/>
          <w:lang w:val="sq-AL"/>
        </w:rPr>
      </w:pPr>
      <w:r w:rsidRPr="00E57D70">
        <w:rPr>
          <w:sz w:val="24"/>
          <w:szCs w:val="24"/>
          <w:lang w:val="sq-AL"/>
        </w:rPr>
        <w:t>Parashikimeve në Ligjin nr. 87/2025 “Për buxhetin e vitit 2026”.</w:t>
      </w:r>
    </w:p>
    <w:p w14:paraId="75CBEA2D" w14:textId="77777777" w:rsidR="00E57D70" w:rsidRPr="00E57D70" w:rsidRDefault="00E57D70" w:rsidP="00E57D70">
      <w:pPr>
        <w:spacing w:after="120" w:line="276" w:lineRule="auto"/>
        <w:jc w:val="both"/>
        <w:rPr>
          <w:sz w:val="24"/>
          <w:szCs w:val="24"/>
          <w:lang w:val="sq-AL"/>
        </w:rPr>
      </w:pPr>
      <w:r w:rsidRPr="00E57D70">
        <w:rPr>
          <w:sz w:val="24"/>
          <w:szCs w:val="24"/>
          <w:lang w:val="sq-AL"/>
        </w:rPr>
        <w:t>Krahasimi ndërmjet këtyre dy raundeve të parashikimit evidenton një përmirësim të përgjithshëm të treguesve fiskal, i mbështetur nga:</w:t>
      </w:r>
    </w:p>
    <w:p w14:paraId="2AE3B46A" w14:textId="77777777" w:rsidR="00E57D70" w:rsidRPr="00E57D70" w:rsidRDefault="00E57D70" w:rsidP="00E57D70">
      <w:pPr>
        <w:pStyle w:val="ListParagraph"/>
        <w:widowControl/>
        <w:numPr>
          <w:ilvl w:val="0"/>
          <w:numId w:val="79"/>
        </w:numPr>
        <w:autoSpaceDE/>
        <w:autoSpaceDN/>
        <w:spacing w:after="160" w:line="276" w:lineRule="auto"/>
        <w:ind w:left="720"/>
        <w:contextualSpacing/>
        <w:rPr>
          <w:sz w:val="24"/>
          <w:szCs w:val="24"/>
          <w:lang w:val="sq-AL"/>
        </w:rPr>
      </w:pPr>
      <w:r w:rsidRPr="00E57D70">
        <w:rPr>
          <w:sz w:val="24"/>
          <w:szCs w:val="24"/>
          <w:lang w:val="sq-AL"/>
        </w:rPr>
        <w:t>rishikimi në rritje i PBB-së nominale me rreth 24.8 miliardë lekë, si reflektim i një aktiviteti ekonomik më të lartë;</w:t>
      </w:r>
    </w:p>
    <w:p w14:paraId="7C8D07EB" w14:textId="77777777" w:rsidR="00E57D70" w:rsidRPr="00E57D70" w:rsidRDefault="00E57D70" w:rsidP="00E57D70">
      <w:pPr>
        <w:pStyle w:val="ListParagraph"/>
        <w:widowControl/>
        <w:numPr>
          <w:ilvl w:val="0"/>
          <w:numId w:val="76"/>
        </w:numPr>
        <w:autoSpaceDE/>
        <w:autoSpaceDN/>
        <w:spacing w:after="160" w:line="276" w:lineRule="auto"/>
        <w:ind w:left="720"/>
        <w:contextualSpacing/>
        <w:rPr>
          <w:sz w:val="24"/>
          <w:szCs w:val="24"/>
          <w:lang w:val="sq-AL"/>
        </w:rPr>
      </w:pPr>
      <w:r w:rsidRPr="00E57D70">
        <w:rPr>
          <w:sz w:val="24"/>
          <w:szCs w:val="24"/>
          <w:lang w:val="sq-AL"/>
        </w:rPr>
        <w:t>ecuria më e favorshme e të ardhurave buxhetore;</w:t>
      </w:r>
    </w:p>
    <w:p w14:paraId="4975B22A" w14:textId="77777777" w:rsidR="00E57D70" w:rsidRPr="00E57D70" w:rsidRDefault="00E57D70" w:rsidP="00E57D70">
      <w:pPr>
        <w:pStyle w:val="ListParagraph"/>
        <w:widowControl/>
        <w:numPr>
          <w:ilvl w:val="0"/>
          <w:numId w:val="76"/>
        </w:numPr>
        <w:autoSpaceDE/>
        <w:autoSpaceDN/>
        <w:spacing w:after="160" w:line="276" w:lineRule="auto"/>
        <w:ind w:left="720"/>
        <w:contextualSpacing/>
        <w:rPr>
          <w:sz w:val="24"/>
          <w:szCs w:val="24"/>
          <w:lang w:val="sq-AL"/>
        </w:rPr>
      </w:pPr>
      <w:r w:rsidRPr="00E57D70">
        <w:rPr>
          <w:sz w:val="24"/>
          <w:szCs w:val="24"/>
          <w:lang w:val="sq-AL"/>
        </w:rPr>
        <w:t>zgjerimi i shpenzimeve publike, përfshirë efektin lehtësues të rënies së kostove të interesit;</w:t>
      </w:r>
    </w:p>
    <w:p w14:paraId="4340CF66" w14:textId="77777777" w:rsidR="00E57D70" w:rsidRPr="00E57D70" w:rsidRDefault="00E57D70" w:rsidP="00E57D70">
      <w:pPr>
        <w:pStyle w:val="ListParagraph"/>
        <w:widowControl/>
        <w:numPr>
          <w:ilvl w:val="0"/>
          <w:numId w:val="76"/>
        </w:numPr>
        <w:autoSpaceDE/>
        <w:autoSpaceDN/>
        <w:spacing w:after="160" w:line="276" w:lineRule="auto"/>
        <w:ind w:left="720"/>
        <w:contextualSpacing/>
        <w:rPr>
          <w:sz w:val="24"/>
          <w:szCs w:val="24"/>
          <w:lang w:val="sq-AL"/>
        </w:rPr>
      </w:pPr>
      <w:r w:rsidRPr="00E57D70">
        <w:rPr>
          <w:sz w:val="24"/>
          <w:szCs w:val="24"/>
          <w:lang w:val="sq-AL"/>
        </w:rPr>
        <w:lastRenderedPageBreak/>
        <w:t>reduktimi i stokut të borxhit publik në raport me Prodhimin e Brendshëm Bruto.</w:t>
      </w:r>
    </w:p>
    <w:p w14:paraId="2861433D" w14:textId="77777777" w:rsidR="00E57D70" w:rsidRPr="00E57D70" w:rsidRDefault="00E57D70" w:rsidP="00E57D70">
      <w:pPr>
        <w:spacing w:line="276" w:lineRule="auto"/>
        <w:jc w:val="both"/>
        <w:rPr>
          <w:sz w:val="24"/>
          <w:szCs w:val="24"/>
          <w:lang w:val="sq-AL"/>
        </w:rPr>
      </w:pPr>
      <w:r w:rsidRPr="00E57D70">
        <w:rPr>
          <w:sz w:val="24"/>
          <w:szCs w:val="24"/>
          <w:lang w:val="sq-AL"/>
        </w:rPr>
        <w:t>Në tërësi, këto zhvillime reflektojnë një pozicion fiskal më të konsoliduar krahasuar me parashikimin fillestar. Analiza në vijim paraqitet në terma të përqindjes ndaj PBB-së.</w:t>
      </w:r>
    </w:p>
    <w:p w14:paraId="365D4411" w14:textId="77777777" w:rsidR="00E57D70" w:rsidRPr="00E57D70" w:rsidRDefault="00E57D70" w:rsidP="00E57D70">
      <w:pPr>
        <w:widowControl/>
        <w:autoSpaceDE/>
        <w:autoSpaceDN/>
        <w:spacing w:after="160" w:line="276" w:lineRule="auto"/>
        <w:contextualSpacing/>
        <w:rPr>
          <w:b/>
          <w:bCs/>
          <w:sz w:val="24"/>
          <w:szCs w:val="24"/>
          <w:lang w:val="sq-AL"/>
        </w:rPr>
      </w:pPr>
    </w:p>
    <w:p w14:paraId="33090FE7" w14:textId="77777777" w:rsidR="00E57D70" w:rsidRPr="00E57D70" w:rsidRDefault="00E57D70" w:rsidP="00E57D70">
      <w:pPr>
        <w:widowControl/>
        <w:autoSpaceDE/>
        <w:autoSpaceDN/>
        <w:spacing w:after="120" w:line="276" w:lineRule="auto"/>
        <w:rPr>
          <w:b/>
          <w:bCs/>
          <w:sz w:val="24"/>
          <w:szCs w:val="24"/>
          <w:lang w:val="sq-AL"/>
        </w:rPr>
      </w:pPr>
      <w:r w:rsidRPr="00E57D70">
        <w:rPr>
          <w:b/>
          <w:bCs/>
          <w:sz w:val="24"/>
          <w:szCs w:val="24"/>
          <w:lang w:val="sq-AL"/>
        </w:rPr>
        <w:t>Balanca buxhetore</w:t>
      </w:r>
    </w:p>
    <w:p w14:paraId="7DB3CE95" w14:textId="77777777" w:rsidR="00E57D70" w:rsidRPr="00E57D70" w:rsidRDefault="00E57D70" w:rsidP="00E57D70">
      <w:pPr>
        <w:spacing w:line="276" w:lineRule="auto"/>
        <w:jc w:val="both"/>
        <w:rPr>
          <w:sz w:val="24"/>
          <w:szCs w:val="24"/>
          <w:lang w:val="sq-AL"/>
        </w:rPr>
      </w:pPr>
      <w:r w:rsidRPr="00E57D70">
        <w:rPr>
          <w:sz w:val="24"/>
          <w:szCs w:val="24"/>
          <w:lang w:val="sq-AL"/>
        </w:rPr>
        <w:t xml:space="preserve">Balanca buxhetore për vitin 2026 është rishikuar nga -1.9% e PBB-së, sipas parashikimeve të janarit 2025, në -2.3% e PBB-së në ligjin vjetor të buxhetit për vitin 2026, duke reflektuar një </w:t>
      </w:r>
      <w:r w:rsidRPr="00E57D70">
        <w:rPr>
          <w:b/>
          <w:bCs/>
          <w:sz w:val="24"/>
          <w:szCs w:val="24"/>
          <w:lang w:val="sq-AL"/>
        </w:rPr>
        <w:t>zgjerim të deficitit buxhetor me 0.4 pikë përqindje të PBB-së.</w:t>
      </w:r>
    </w:p>
    <w:p w14:paraId="760916C6" w14:textId="77777777" w:rsidR="00E57D70" w:rsidRPr="00E57D70" w:rsidRDefault="00E57D70" w:rsidP="00E57D70">
      <w:pPr>
        <w:spacing w:line="276" w:lineRule="auto"/>
        <w:jc w:val="both"/>
        <w:rPr>
          <w:sz w:val="24"/>
          <w:szCs w:val="24"/>
          <w:lang w:val="sq-AL"/>
        </w:rPr>
      </w:pPr>
    </w:p>
    <w:p w14:paraId="55BB9274" w14:textId="77777777" w:rsidR="00E57D70" w:rsidRPr="00E57D70" w:rsidRDefault="00E57D70" w:rsidP="00E57D70">
      <w:pPr>
        <w:spacing w:after="120" w:line="276" w:lineRule="auto"/>
        <w:jc w:val="both"/>
        <w:rPr>
          <w:sz w:val="24"/>
          <w:szCs w:val="24"/>
          <w:lang w:val="sq-AL"/>
        </w:rPr>
      </w:pPr>
      <w:r w:rsidRPr="00E57D70">
        <w:rPr>
          <w:sz w:val="24"/>
          <w:szCs w:val="24"/>
          <w:lang w:val="sq-AL"/>
        </w:rPr>
        <w:t>Ky zhvillim pasqyron efektin e kombinuar të ndryshimeve në të ardhurat dhe shpenzimet buxhetore, konkretisht:</w:t>
      </w:r>
    </w:p>
    <w:p w14:paraId="17EE54F8" w14:textId="196595B1" w:rsidR="00E57D70" w:rsidRPr="00E57D70" w:rsidRDefault="00E57D70" w:rsidP="00E57D70">
      <w:pPr>
        <w:pStyle w:val="ListParagraph"/>
        <w:widowControl/>
        <w:numPr>
          <w:ilvl w:val="0"/>
          <w:numId w:val="74"/>
        </w:numPr>
        <w:autoSpaceDE/>
        <w:autoSpaceDN/>
        <w:spacing w:after="160" w:line="276" w:lineRule="auto"/>
        <w:contextualSpacing/>
        <w:rPr>
          <w:sz w:val="24"/>
          <w:szCs w:val="24"/>
          <w:lang w:val="sq-AL"/>
        </w:rPr>
      </w:pPr>
      <w:r w:rsidRPr="00E57D70">
        <w:rPr>
          <w:b/>
          <w:bCs/>
          <w:sz w:val="24"/>
          <w:szCs w:val="24"/>
          <w:lang w:val="sq-AL"/>
        </w:rPr>
        <w:t>rritjen e të ardhurave buxhetore me rreth 0.6% të PBB-së</w:t>
      </w:r>
      <w:r w:rsidRPr="00E57D70">
        <w:rPr>
          <w:sz w:val="24"/>
          <w:szCs w:val="24"/>
          <w:lang w:val="sq-AL"/>
        </w:rPr>
        <w:t>, ku rreth 0.5% e PBB-së lidhet me rritjen e të ardhurave tatimore, si rezultat i përmirësimit të administrimit tatimor, zgjerimit të bazës tatimore dhe performancës më të mirë të aktivitetit ekonomik, ndërsa rreth 0.1% e PBB-së vjen nga rritja e të ardhurave jo tatimore;</w:t>
      </w:r>
    </w:p>
    <w:p w14:paraId="2D3E65FE" w14:textId="77777777" w:rsidR="00E57D70" w:rsidRPr="00E57D70" w:rsidRDefault="00E57D70" w:rsidP="00E57D70">
      <w:pPr>
        <w:pStyle w:val="ListParagraph"/>
        <w:widowControl/>
        <w:numPr>
          <w:ilvl w:val="0"/>
          <w:numId w:val="74"/>
        </w:numPr>
        <w:autoSpaceDE/>
        <w:autoSpaceDN/>
        <w:spacing w:line="276" w:lineRule="auto"/>
        <w:rPr>
          <w:sz w:val="24"/>
          <w:szCs w:val="24"/>
          <w:lang w:val="sq-AL"/>
        </w:rPr>
      </w:pPr>
      <w:r w:rsidRPr="00E57D70">
        <w:rPr>
          <w:b/>
          <w:bCs/>
          <w:sz w:val="24"/>
          <w:szCs w:val="24"/>
          <w:lang w:val="sq-AL"/>
        </w:rPr>
        <w:t>rritjen e shpenzimeve totale me rreth 1.1% të PBB-së</w:t>
      </w:r>
      <w:r w:rsidRPr="00E57D70">
        <w:rPr>
          <w:sz w:val="24"/>
          <w:szCs w:val="24"/>
          <w:lang w:val="sq-AL"/>
        </w:rPr>
        <w:t>, si pasojë e zgjerimit të shpenzimeve korrente me 0.7% të PBB-së dhe rritjes së shpenzimeve kapitale me 0.4% të PBB-së. Rritja e shpenzimeve korrente lidhet kryesisht me zgjerimin e shpenzimeve për personelin dhe atyre operative, si dhe transfertave për buxhetin vendor, efekte që janë kompensuar pjesërisht nga ulja e shpenzimeve për interesa, ndërsa rritja e shpenzimeve kapitale reflekton intensifikimin e investimeve publike dhe përparësimin e projekteve infrastrukturore strategjike.</w:t>
      </w:r>
    </w:p>
    <w:p w14:paraId="4DDB8815" w14:textId="77777777" w:rsidR="00E57D70" w:rsidRPr="00E57D70" w:rsidRDefault="00E57D70" w:rsidP="00E57D70">
      <w:pPr>
        <w:pStyle w:val="ListParagraph"/>
        <w:widowControl/>
        <w:autoSpaceDE/>
        <w:autoSpaceDN/>
        <w:spacing w:line="276" w:lineRule="auto"/>
        <w:ind w:left="720" w:firstLine="0"/>
        <w:rPr>
          <w:sz w:val="24"/>
          <w:szCs w:val="24"/>
          <w:lang w:val="sq-AL"/>
        </w:rPr>
      </w:pPr>
    </w:p>
    <w:p w14:paraId="7A005A0D" w14:textId="77777777" w:rsidR="00E57D70" w:rsidRPr="00E57D70" w:rsidRDefault="00E57D70" w:rsidP="00E57D70">
      <w:pPr>
        <w:widowControl/>
        <w:autoSpaceDE/>
        <w:autoSpaceDN/>
        <w:spacing w:after="120" w:line="276" w:lineRule="auto"/>
        <w:rPr>
          <w:b/>
          <w:bCs/>
          <w:sz w:val="24"/>
          <w:szCs w:val="24"/>
          <w:lang w:val="sq-AL"/>
        </w:rPr>
      </w:pPr>
      <w:r w:rsidRPr="00E57D70">
        <w:rPr>
          <w:b/>
          <w:bCs/>
          <w:sz w:val="24"/>
          <w:szCs w:val="24"/>
          <w:lang w:val="sq-AL"/>
        </w:rPr>
        <w:t>Balanca primare</w:t>
      </w:r>
    </w:p>
    <w:p w14:paraId="7A8BAF69" w14:textId="77777777" w:rsidR="00E57D70" w:rsidRPr="00E57D70" w:rsidRDefault="00E57D70" w:rsidP="00E57D70">
      <w:pPr>
        <w:spacing w:line="276" w:lineRule="auto"/>
        <w:jc w:val="both"/>
        <w:rPr>
          <w:sz w:val="24"/>
          <w:szCs w:val="24"/>
          <w:lang w:val="sq-AL"/>
        </w:rPr>
      </w:pPr>
      <w:r w:rsidRPr="00E57D70">
        <w:rPr>
          <w:sz w:val="24"/>
          <w:szCs w:val="24"/>
          <w:lang w:val="sq-AL"/>
        </w:rPr>
        <w:t>Balanca primare për vitin 2026 është rishikuar nga 0.7% e PBB-së, sipas parashikimeve të janarit 2025, në 0.0% e PBB-së në Ligjin vjetor të buxhetit për vitin 2026, duke reflektuar një rënie me 0.7 pikë përqindje të PBB-së.</w:t>
      </w:r>
    </w:p>
    <w:p w14:paraId="5BD557BD" w14:textId="77777777" w:rsidR="00E57D70" w:rsidRPr="00E57D70" w:rsidRDefault="00E57D70" w:rsidP="00E57D70">
      <w:pPr>
        <w:spacing w:line="276" w:lineRule="auto"/>
        <w:jc w:val="both"/>
        <w:rPr>
          <w:sz w:val="24"/>
          <w:szCs w:val="24"/>
          <w:lang w:val="sq-AL"/>
        </w:rPr>
      </w:pPr>
    </w:p>
    <w:p w14:paraId="2293CC99" w14:textId="77777777" w:rsidR="00E57D70" w:rsidRPr="00E57D70" w:rsidRDefault="00E57D70" w:rsidP="00E57D70">
      <w:pPr>
        <w:spacing w:line="276" w:lineRule="auto"/>
        <w:jc w:val="both"/>
        <w:rPr>
          <w:sz w:val="24"/>
          <w:szCs w:val="24"/>
          <w:lang w:val="sq-AL"/>
        </w:rPr>
      </w:pPr>
      <w:r w:rsidRPr="00E57D70">
        <w:rPr>
          <w:sz w:val="24"/>
          <w:szCs w:val="24"/>
          <w:lang w:val="sq-AL"/>
        </w:rPr>
        <w:t>Megjithatë, brenda këtij treguesi vërehen zhvillime me efekte kompensuese, konkretisht:</w:t>
      </w:r>
    </w:p>
    <w:p w14:paraId="1B1CC261" w14:textId="77777777" w:rsidR="00E57D70" w:rsidRPr="00E57D70" w:rsidRDefault="00E57D70" w:rsidP="00E57D70">
      <w:pPr>
        <w:pStyle w:val="ListParagraph"/>
        <w:widowControl/>
        <w:numPr>
          <w:ilvl w:val="0"/>
          <w:numId w:val="75"/>
        </w:numPr>
        <w:autoSpaceDE/>
        <w:autoSpaceDN/>
        <w:spacing w:after="160" w:line="276" w:lineRule="auto"/>
        <w:contextualSpacing/>
        <w:rPr>
          <w:sz w:val="24"/>
          <w:szCs w:val="24"/>
          <w:lang w:val="sq-AL"/>
        </w:rPr>
      </w:pPr>
      <w:r w:rsidRPr="00E57D70">
        <w:rPr>
          <w:sz w:val="24"/>
          <w:szCs w:val="24"/>
          <w:lang w:val="sq-AL"/>
        </w:rPr>
        <w:t xml:space="preserve">rritja e të ardhurave totale, e mbështetur nga zgjerimi i aktivitetit ekonomik dhe përmirësimi i bazës tatimore; </w:t>
      </w:r>
    </w:p>
    <w:p w14:paraId="3959D0F1" w14:textId="77777777" w:rsidR="00E57D70" w:rsidRPr="00E57D70" w:rsidRDefault="00E57D70" w:rsidP="00E57D70">
      <w:pPr>
        <w:pStyle w:val="ListParagraph"/>
        <w:widowControl/>
        <w:numPr>
          <w:ilvl w:val="0"/>
          <w:numId w:val="75"/>
        </w:numPr>
        <w:autoSpaceDE/>
        <w:autoSpaceDN/>
        <w:spacing w:after="160" w:line="276" w:lineRule="auto"/>
        <w:contextualSpacing/>
        <w:rPr>
          <w:sz w:val="24"/>
          <w:szCs w:val="24"/>
          <w:lang w:val="sq-AL"/>
        </w:rPr>
      </w:pPr>
      <w:r w:rsidRPr="00E57D70">
        <w:rPr>
          <w:sz w:val="24"/>
          <w:szCs w:val="24"/>
          <w:lang w:val="sq-AL"/>
        </w:rPr>
        <w:t xml:space="preserve">ulja e shpenzimeve për interesa, të cilat janë reduktuar me rreth 0.2 përqind të PBB-së si pasojë e kushteve më të favorshme të financimit dhe menaxhimit aktiv të borxhit. </w:t>
      </w:r>
    </w:p>
    <w:p w14:paraId="45B16EE3" w14:textId="77777777" w:rsidR="00E57D70" w:rsidRPr="00E57D70" w:rsidRDefault="00E57D70" w:rsidP="00E57D70">
      <w:pPr>
        <w:widowControl/>
        <w:autoSpaceDE/>
        <w:autoSpaceDN/>
        <w:spacing w:after="120" w:line="276" w:lineRule="auto"/>
        <w:jc w:val="both"/>
        <w:rPr>
          <w:sz w:val="24"/>
          <w:szCs w:val="24"/>
          <w:lang w:val="sq-AL"/>
        </w:rPr>
      </w:pPr>
      <w:r w:rsidRPr="00E57D70">
        <w:rPr>
          <w:sz w:val="24"/>
          <w:szCs w:val="24"/>
          <w:lang w:val="sq-AL"/>
        </w:rPr>
        <w:t>Në të kundërt, zgjerimi i deficitit buxhetor krahasuar me raundin e parë të parashikimit, i nxitur nga rritja e shpenzimeve totale, ka ushtruar presion negativ mbi balancën primare.</w:t>
      </w:r>
    </w:p>
    <w:p w14:paraId="42F7E34A" w14:textId="77777777" w:rsidR="00E57D70" w:rsidRPr="00E57D70" w:rsidRDefault="00E57D70" w:rsidP="00E57D70">
      <w:pPr>
        <w:spacing w:line="276" w:lineRule="auto"/>
        <w:jc w:val="both"/>
        <w:rPr>
          <w:sz w:val="24"/>
          <w:szCs w:val="24"/>
          <w:lang w:val="sq-AL"/>
        </w:rPr>
      </w:pPr>
      <w:r w:rsidRPr="00E57D70">
        <w:rPr>
          <w:sz w:val="24"/>
          <w:szCs w:val="24"/>
          <w:lang w:val="sq-AL"/>
        </w:rPr>
        <w:t>Në tërësi, këta faktorë kanë kontribuar në zbutjen e përkeqësimit të balancës primare, duke përmirësuar njëkohësisht strukturën e saj nga këndvështrimi makro‑fiskal, edhe pse niveli i përgjithshëm i treguesit rezulton më i ulët krahasuar me parashikimin fillestar.</w:t>
      </w:r>
    </w:p>
    <w:p w14:paraId="3AD76C25" w14:textId="77777777" w:rsidR="00E57D70" w:rsidRPr="00E57D70" w:rsidRDefault="00E57D70" w:rsidP="00E57D70">
      <w:pPr>
        <w:widowControl/>
        <w:autoSpaceDE/>
        <w:autoSpaceDN/>
        <w:spacing w:after="160" w:line="276" w:lineRule="auto"/>
        <w:contextualSpacing/>
        <w:jc w:val="both"/>
        <w:rPr>
          <w:b/>
          <w:bCs/>
          <w:sz w:val="24"/>
          <w:szCs w:val="24"/>
          <w:lang w:val="sq-AL"/>
        </w:rPr>
      </w:pPr>
    </w:p>
    <w:p w14:paraId="755C8E3F" w14:textId="77777777" w:rsidR="00E57D70" w:rsidRPr="00E57D70" w:rsidRDefault="00E57D70" w:rsidP="00E57D70">
      <w:pPr>
        <w:widowControl/>
        <w:autoSpaceDE/>
        <w:autoSpaceDN/>
        <w:spacing w:after="120" w:line="276" w:lineRule="auto"/>
        <w:rPr>
          <w:b/>
          <w:bCs/>
          <w:sz w:val="24"/>
          <w:szCs w:val="24"/>
          <w:lang w:val="sq-AL"/>
        </w:rPr>
      </w:pPr>
      <w:r w:rsidRPr="00E57D70">
        <w:rPr>
          <w:b/>
          <w:bCs/>
          <w:sz w:val="24"/>
          <w:szCs w:val="24"/>
          <w:lang w:val="sq-AL"/>
        </w:rPr>
        <w:t>Stoku i borxhi publik bruto</w:t>
      </w:r>
    </w:p>
    <w:p w14:paraId="7AC9F9AC" w14:textId="77777777" w:rsidR="00E57D70" w:rsidRPr="00E57D70" w:rsidRDefault="00E57D70" w:rsidP="00E57D70">
      <w:pPr>
        <w:spacing w:after="120" w:line="276" w:lineRule="auto"/>
        <w:jc w:val="both"/>
        <w:rPr>
          <w:sz w:val="24"/>
          <w:szCs w:val="24"/>
          <w:lang w:val="sq-AL"/>
        </w:rPr>
      </w:pPr>
      <w:r w:rsidRPr="00E57D70">
        <w:rPr>
          <w:sz w:val="24"/>
          <w:szCs w:val="24"/>
          <w:lang w:val="sq-AL"/>
        </w:rPr>
        <w:t xml:space="preserve">Stoku i borxhit publik bruto është rishikuar në ulje, nga 54.0% e PBB-së në parashikimet e janarit 2025 në 53.6% e PBB-së në parashikimet e nëntorit 2025, duke </w:t>
      </w:r>
      <w:r w:rsidRPr="00E57D70">
        <w:rPr>
          <w:b/>
          <w:bCs/>
          <w:sz w:val="24"/>
          <w:szCs w:val="24"/>
          <w:lang w:val="sq-AL"/>
        </w:rPr>
        <w:t>reflektuar një përmirësim prej 0.4 pikë përqindje të PBB-së.</w:t>
      </w:r>
    </w:p>
    <w:p w14:paraId="317C462E" w14:textId="77777777" w:rsidR="00E57D70" w:rsidRPr="00E57D70" w:rsidRDefault="00E57D70" w:rsidP="00E57D70">
      <w:pPr>
        <w:spacing w:line="276" w:lineRule="auto"/>
        <w:jc w:val="both"/>
        <w:rPr>
          <w:sz w:val="24"/>
          <w:szCs w:val="24"/>
          <w:lang w:val="sq-AL"/>
        </w:rPr>
      </w:pPr>
      <w:r w:rsidRPr="00E57D70">
        <w:rPr>
          <w:sz w:val="24"/>
          <w:szCs w:val="24"/>
          <w:lang w:val="sq-AL"/>
        </w:rPr>
        <w:t>Ky zhvillim pasqyron kombinimin e disa faktorëve makroekonomikë dhe fiskalë, konkretisht:</w:t>
      </w:r>
    </w:p>
    <w:p w14:paraId="079D0E95" w14:textId="77777777" w:rsidR="00E57D70" w:rsidRPr="00E57D70" w:rsidRDefault="00E57D70" w:rsidP="00E57D70">
      <w:pPr>
        <w:pStyle w:val="ListParagraph"/>
        <w:widowControl/>
        <w:numPr>
          <w:ilvl w:val="0"/>
          <w:numId w:val="77"/>
        </w:numPr>
        <w:autoSpaceDE/>
        <w:autoSpaceDN/>
        <w:spacing w:after="160" w:line="276" w:lineRule="auto"/>
        <w:contextualSpacing/>
        <w:rPr>
          <w:sz w:val="24"/>
          <w:szCs w:val="24"/>
          <w:lang w:val="sq-AL"/>
        </w:rPr>
      </w:pPr>
      <w:r w:rsidRPr="00E57D70">
        <w:rPr>
          <w:sz w:val="24"/>
          <w:szCs w:val="24"/>
          <w:lang w:val="sq-AL"/>
        </w:rPr>
        <w:lastRenderedPageBreak/>
        <w:t>uljen e stokut nominal të borxhit publik në përqind të PBB-së, me rreth 0.4% të PBB-së;</w:t>
      </w:r>
    </w:p>
    <w:p w14:paraId="2F4522A0" w14:textId="77777777" w:rsidR="00E57D70" w:rsidRPr="00E57D70" w:rsidRDefault="00E57D70" w:rsidP="00E57D70">
      <w:pPr>
        <w:pStyle w:val="ListParagraph"/>
        <w:widowControl/>
        <w:numPr>
          <w:ilvl w:val="0"/>
          <w:numId w:val="77"/>
        </w:numPr>
        <w:autoSpaceDE/>
        <w:autoSpaceDN/>
        <w:spacing w:after="160" w:line="276" w:lineRule="auto"/>
        <w:contextualSpacing/>
        <w:rPr>
          <w:sz w:val="24"/>
          <w:szCs w:val="24"/>
          <w:lang w:val="sq-AL"/>
        </w:rPr>
      </w:pPr>
      <w:r w:rsidRPr="00E57D70">
        <w:rPr>
          <w:sz w:val="24"/>
          <w:szCs w:val="24"/>
          <w:lang w:val="sq-AL"/>
        </w:rPr>
        <w:t>reduktimin e borxhit të brendshëm me rreth 0.3% të PBB-së;</w:t>
      </w:r>
      <w:r w:rsidRPr="00E57D70" w:rsidDel="008B521C">
        <w:rPr>
          <w:sz w:val="24"/>
          <w:szCs w:val="24"/>
          <w:lang w:val="sq-AL"/>
        </w:rPr>
        <w:t xml:space="preserve"> </w:t>
      </w:r>
    </w:p>
    <w:p w14:paraId="0A4E2C52" w14:textId="77777777" w:rsidR="00E57D70" w:rsidRPr="00E57D70" w:rsidRDefault="00E57D70" w:rsidP="00E57D70">
      <w:pPr>
        <w:pStyle w:val="ListParagraph"/>
        <w:widowControl/>
        <w:numPr>
          <w:ilvl w:val="0"/>
          <w:numId w:val="77"/>
        </w:numPr>
        <w:autoSpaceDE/>
        <w:autoSpaceDN/>
        <w:spacing w:after="160" w:line="276" w:lineRule="auto"/>
        <w:contextualSpacing/>
        <w:rPr>
          <w:sz w:val="24"/>
          <w:szCs w:val="24"/>
          <w:lang w:val="sq-AL"/>
        </w:rPr>
      </w:pPr>
      <w:r w:rsidRPr="00E57D70">
        <w:rPr>
          <w:sz w:val="24"/>
          <w:szCs w:val="24"/>
          <w:lang w:val="sq-AL"/>
        </w:rPr>
        <w:t>reduktimin e borxhit të jashtëm me rreth 0.1% të PBB-së;</w:t>
      </w:r>
    </w:p>
    <w:p w14:paraId="7406F13F" w14:textId="77777777" w:rsidR="00E57D70" w:rsidRPr="00E57D70" w:rsidRDefault="00E57D70" w:rsidP="00E57D70">
      <w:pPr>
        <w:pStyle w:val="ListParagraph"/>
        <w:widowControl/>
        <w:numPr>
          <w:ilvl w:val="0"/>
          <w:numId w:val="77"/>
        </w:numPr>
        <w:autoSpaceDE/>
        <w:autoSpaceDN/>
        <w:spacing w:after="160" w:line="276" w:lineRule="auto"/>
        <w:contextualSpacing/>
        <w:rPr>
          <w:sz w:val="24"/>
          <w:szCs w:val="24"/>
          <w:lang w:val="sq-AL"/>
        </w:rPr>
      </w:pPr>
      <w:r w:rsidRPr="00E57D70">
        <w:rPr>
          <w:sz w:val="24"/>
          <w:szCs w:val="24"/>
          <w:lang w:val="sq-AL"/>
        </w:rPr>
        <w:t>rritjen e PBB-së nominale me 24.8 miliardë lekë, e cila ka kontribuar në përmirësimin e raportit borxh/PBB.</w:t>
      </w:r>
    </w:p>
    <w:p w14:paraId="4961E536" w14:textId="77777777" w:rsidR="00E57D70" w:rsidRPr="00E57D70" w:rsidRDefault="00E57D70" w:rsidP="00E57D70">
      <w:pPr>
        <w:spacing w:line="276" w:lineRule="auto"/>
        <w:jc w:val="both"/>
        <w:rPr>
          <w:sz w:val="24"/>
          <w:szCs w:val="24"/>
          <w:lang w:val="sq-AL"/>
        </w:rPr>
      </w:pPr>
      <w:r w:rsidRPr="00E57D70">
        <w:rPr>
          <w:sz w:val="24"/>
          <w:szCs w:val="24"/>
          <w:lang w:val="sq-AL"/>
        </w:rPr>
        <w:t xml:space="preserve">Në tabelën më poshtë gjeni të pëmbledhur informacionin e mësipërm </w:t>
      </w:r>
      <w:r w:rsidRPr="00E57D70">
        <w:rPr>
          <w:b/>
          <w:bCs/>
          <w:sz w:val="24"/>
          <w:szCs w:val="24"/>
          <w:lang w:val="sq-AL"/>
        </w:rPr>
        <w:t>për përllogaritjen e devijancave</w:t>
      </w:r>
      <w:r w:rsidRPr="00E57D70">
        <w:rPr>
          <w:sz w:val="24"/>
          <w:szCs w:val="24"/>
          <w:lang w:val="sq-AL"/>
        </w:rPr>
        <w:t>:</w:t>
      </w:r>
    </w:p>
    <w:p w14:paraId="4BA3350A" w14:textId="77777777" w:rsidR="00E57D70" w:rsidRPr="00E57D70" w:rsidRDefault="00E57D70" w:rsidP="00E57D70">
      <w:pPr>
        <w:pStyle w:val="Caption"/>
        <w:spacing w:line="276" w:lineRule="auto"/>
        <w:rPr>
          <w:sz w:val="24"/>
          <w:szCs w:val="24"/>
          <w:lang w:val="sq-AL"/>
        </w:rPr>
      </w:pPr>
    </w:p>
    <w:p w14:paraId="4F36941A" w14:textId="343BC1C5" w:rsidR="00E57D70" w:rsidRPr="00E57D70" w:rsidRDefault="00E57D70" w:rsidP="00E57D70">
      <w:pPr>
        <w:pStyle w:val="Caption"/>
        <w:spacing w:line="276" w:lineRule="auto"/>
        <w:rPr>
          <w:sz w:val="24"/>
          <w:szCs w:val="24"/>
          <w:lang w:val="sq-AL"/>
        </w:rPr>
      </w:pPr>
      <w:bookmarkStart w:id="5" w:name="_Toc228275852"/>
      <w:r w:rsidRPr="00E57D70">
        <w:rPr>
          <w:sz w:val="24"/>
          <w:szCs w:val="24"/>
          <w:lang w:val="sq-AL"/>
        </w:rPr>
        <w:t xml:space="preserve">Tabela </w:t>
      </w:r>
      <w:r w:rsidRPr="00E57D70">
        <w:rPr>
          <w:sz w:val="24"/>
          <w:szCs w:val="24"/>
          <w:lang w:val="sq-AL"/>
        </w:rPr>
        <w:fldChar w:fldCharType="begin"/>
      </w:r>
      <w:r w:rsidRPr="00E57D70">
        <w:rPr>
          <w:sz w:val="24"/>
          <w:szCs w:val="24"/>
          <w:lang w:val="sq-AL"/>
        </w:rPr>
        <w:instrText xml:space="preserve"> SEQ Tabela \* ARABIC </w:instrText>
      </w:r>
      <w:r w:rsidRPr="00E57D70">
        <w:rPr>
          <w:sz w:val="24"/>
          <w:szCs w:val="24"/>
          <w:lang w:val="sq-AL"/>
        </w:rPr>
        <w:fldChar w:fldCharType="separate"/>
      </w:r>
      <w:r w:rsidR="006A0296">
        <w:rPr>
          <w:noProof/>
          <w:sz w:val="24"/>
          <w:szCs w:val="24"/>
          <w:lang w:val="sq-AL"/>
        </w:rPr>
        <w:t>1</w:t>
      </w:r>
      <w:r w:rsidRPr="00E57D70">
        <w:rPr>
          <w:sz w:val="24"/>
          <w:szCs w:val="24"/>
          <w:lang w:val="sq-AL"/>
        </w:rPr>
        <w:fldChar w:fldCharType="end"/>
      </w:r>
      <w:r w:rsidRPr="00E57D70">
        <w:rPr>
          <w:sz w:val="24"/>
          <w:szCs w:val="24"/>
          <w:lang w:val="sq-AL"/>
        </w:rPr>
        <w:t xml:space="preserve">. </w:t>
      </w:r>
      <w:r w:rsidRPr="00E57D70">
        <w:rPr>
          <w:b/>
          <w:bCs/>
          <w:sz w:val="24"/>
          <w:szCs w:val="24"/>
          <w:lang w:val="sq-AL"/>
        </w:rPr>
        <w:t xml:space="preserve">Përllogaritjen e devijancave </w:t>
      </w:r>
      <w:bookmarkEnd w:id="5"/>
      <w:r w:rsidRPr="00E57D70">
        <w:rPr>
          <w:b/>
          <w:bCs/>
          <w:sz w:val="24"/>
          <w:szCs w:val="24"/>
          <w:lang w:val="sq-AL"/>
        </w:rPr>
        <w:t>për vitin 2026</w:t>
      </w:r>
    </w:p>
    <w:p w14:paraId="7BDC909E" w14:textId="77777777" w:rsidR="00E57D70" w:rsidRPr="00E57D70" w:rsidRDefault="00E57D70" w:rsidP="00E57D70">
      <w:pPr>
        <w:spacing w:line="276" w:lineRule="auto"/>
        <w:jc w:val="both"/>
        <w:rPr>
          <w:noProof/>
          <w:sz w:val="24"/>
          <w:szCs w:val="24"/>
          <w:lang w:val="sq-AL"/>
        </w:rPr>
      </w:pPr>
      <w:r w:rsidRPr="00E57D70">
        <w:rPr>
          <w:noProof/>
        </w:rPr>
        <w:drawing>
          <wp:inline distT="0" distB="0" distL="0" distR="0" wp14:anchorId="705126BA" wp14:editId="7447981E">
            <wp:extent cx="5693410" cy="5288280"/>
            <wp:effectExtent l="0" t="0" r="2540" b="7620"/>
            <wp:docPr id="9608482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3410" cy="5288280"/>
                    </a:xfrm>
                    <a:prstGeom prst="rect">
                      <a:avLst/>
                    </a:prstGeom>
                    <a:noFill/>
                    <a:ln>
                      <a:noFill/>
                    </a:ln>
                  </pic:spPr>
                </pic:pic>
              </a:graphicData>
            </a:graphic>
          </wp:inline>
        </w:drawing>
      </w:r>
      <w:r w:rsidRPr="00E57D70">
        <w:rPr>
          <w:sz w:val="24"/>
          <w:szCs w:val="24"/>
          <w:lang w:val="sq-AL"/>
        </w:rPr>
        <w:t xml:space="preserve"> </w:t>
      </w:r>
    </w:p>
    <w:p w14:paraId="57A5022C" w14:textId="77777777" w:rsidR="00E57D70" w:rsidRPr="005218AE" w:rsidRDefault="00E57D70" w:rsidP="00E57D70">
      <w:pPr>
        <w:spacing w:line="276" w:lineRule="auto"/>
        <w:rPr>
          <w:i/>
          <w:iCs/>
          <w:sz w:val="20"/>
          <w:szCs w:val="20"/>
          <w:lang w:val="sq-AL"/>
        </w:rPr>
      </w:pPr>
      <w:r w:rsidRPr="00E57D70">
        <w:rPr>
          <w:i/>
          <w:iCs/>
          <w:noProof/>
          <w:sz w:val="20"/>
          <w:szCs w:val="20"/>
          <w:lang w:val="sq-AL"/>
        </w:rPr>
        <w:t>Burimi: Drejtoria e Përgjithshme e Programit Makroekonomik dhe Fiskal (Prill 2026)</w:t>
      </w:r>
    </w:p>
    <w:p w14:paraId="5C9D3AD8" w14:textId="77777777" w:rsidR="00BD1F09" w:rsidRPr="00607DCB" w:rsidRDefault="00BD1F09" w:rsidP="00607DCB">
      <w:pPr>
        <w:pStyle w:val="Heading1"/>
        <w:numPr>
          <w:ilvl w:val="0"/>
          <w:numId w:val="0"/>
        </w:numPr>
        <w:spacing w:line="276" w:lineRule="auto"/>
        <w:ind w:left="360"/>
        <w:jc w:val="both"/>
        <w:rPr>
          <w:sz w:val="24"/>
          <w:szCs w:val="24"/>
          <w:lang w:val="sq-AL"/>
        </w:rPr>
      </w:pPr>
    </w:p>
    <w:p w14:paraId="7C6C8EA0" w14:textId="77777777" w:rsidR="003E1EE1" w:rsidRPr="00607DCB" w:rsidRDefault="003E1EE1" w:rsidP="00607DCB">
      <w:pPr>
        <w:pStyle w:val="Heading1"/>
        <w:numPr>
          <w:ilvl w:val="0"/>
          <w:numId w:val="0"/>
        </w:numPr>
        <w:spacing w:line="276" w:lineRule="auto"/>
        <w:ind w:left="360"/>
        <w:jc w:val="both"/>
        <w:rPr>
          <w:b w:val="0"/>
          <w:bCs w:val="0"/>
          <w:sz w:val="24"/>
          <w:szCs w:val="24"/>
          <w:lang w:val="sq-AL"/>
        </w:rPr>
      </w:pPr>
    </w:p>
    <w:p w14:paraId="42866B5E" w14:textId="78614DF5" w:rsidR="003E1EE1" w:rsidRPr="00607DCB" w:rsidRDefault="003E1EE1" w:rsidP="00607DCB">
      <w:pPr>
        <w:pStyle w:val="Heading1"/>
        <w:numPr>
          <w:ilvl w:val="0"/>
          <w:numId w:val="67"/>
        </w:numPr>
        <w:spacing w:line="276" w:lineRule="auto"/>
        <w:jc w:val="both"/>
        <w:rPr>
          <w:sz w:val="24"/>
          <w:szCs w:val="24"/>
          <w:lang w:val="sq-AL"/>
        </w:rPr>
      </w:pPr>
      <w:bookmarkStart w:id="6" w:name="_Toc228275794"/>
      <w:r w:rsidRPr="00607DCB">
        <w:rPr>
          <w:sz w:val="24"/>
          <w:szCs w:val="24"/>
          <w:lang w:val="sq-AL"/>
        </w:rPr>
        <w:t>Analiza e Devijimeve të Parashikimit të të Ardhurave të Kuadrit Makroekonomik dhe Fiskal p</w:t>
      </w:r>
      <w:r w:rsidR="00A721D5" w:rsidRPr="00607DCB">
        <w:rPr>
          <w:sz w:val="24"/>
          <w:szCs w:val="24"/>
          <w:lang w:val="sq-AL"/>
        </w:rPr>
        <w:t>ë</w:t>
      </w:r>
      <w:r w:rsidRPr="00607DCB">
        <w:rPr>
          <w:sz w:val="24"/>
          <w:szCs w:val="24"/>
          <w:lang w:val="sq-AL"/>
        </w:rPr>
        <w:t>r vitin 2025 dhe ligjit të Buxhetit 2026</w:t>
      </w:r>
      <w:bookmarkEnd w:id="6"/>
    </w:p>
    <w:p w14:paraId="38D6FF3A" w14:textId="77777777" w:rsidR="003E1EE1" w:rsidRPr="00607DCB" w:rsidRDefault="003E1EE1" w:rsidP="00607DCB">
      <w:pPr>
        <w:spacing w:line="276" w:lineRule="auto"/>
        <w:jc w:val="both"/>
        <w:rPr>
          <w:sz w:val="24"/>
          <w:szCs w:val="24"/>
          <w:lang w:val="sq-AL"/>
        </w:rPr>
      </w:pPr>
    </w:p>
    <w:p w14:paraId="02D21122" w14:textId="16961306" w:rsidR="00CD089A" w:rsidRPr="00607DCB" w:rsidRDefault="00CD089A" w:rsidP="00607DCB">
      <w:pPr>
        <w:spacing w:line="276" w:lineRule="auto"/>
        <w:jc w:val="both"/>
        <w:rPr>
          <w:sz w:val="24"/>
          <w:szCs w:val="24"/>
          <w:lang w:val="sq-AL"/>
        </w:rPr>
      </w:pPr>
      <w:r w:rsidRPr="00607DCB">
        <w:rPr>
          <w:sz w:val="24"/>
          <w:szCs w:val="24"/>
          <w:lang w:val="sq-AL"/>
        </w:rPr>
        <w:t xml:space="preserve">Kjo pjesë e raportit ka për qëllim të analizojë në mënyrë të përmbledhur devijancat e vërejtura </w:t>
      </w:r>
      <w:r w:rsidR="00791F53">
        <w:rPr>
          <w:sz w:val="24"/>
          <w:szCs w:val="24"/>
          <w:lang w:val="sq-AL"/>
        </w:rPr>
        <w:t xml:space="preserve">mes </w:t>
      </w:r>
      <w:r w:rsidR="001337BE" w:rsidRPr="00607DCB">
        <w:rPr>
          <w:sz w:val="24"/>
          <w:szCs w:val="24"/>
          <w:lang w:val="sq-AL"/>
        </w:rPr>
        <w:t>parashikime</w:t>
      </w:r>
      <w:r w:rsidR="00791F53">
        <w:rPr>
          <w:sz w:val="24"/>
          <w:szCs w:val="24"/>
          <w:lang w:val="sq-AL"/>
        </w:rPr>
        <w:t>ve</w:t>
      </w:r>
      <w:r w:rsidRPr="00607DCB">
        <w:rPr>
          <w:sz w:val="24"/>
          <w:szCs w:val="24"/>
          <w:lang w:val="sq-AL"/>
        </w:rPr>
        <w:t xml:space="preserve"> </w:t>
      </w:r>
      <w:r w:rsidR="00791F53">
        <w:rPr>
          <w:sz w:val="24"/>
          <w:szCs w:val="24"/>
          <w:lang w:val="sq-AL"/>
        </w:rPr>
        <w:t>të</w:t>
      </w:r>
      <w:r w:rsidRPr="00607DCB">
        <w:rPr>
          <w:sz w:val="24"/>
          <w:szCs w:val="24"/>
          <w:lang w:val="sq-AL"/>
        </w:rPr>
        <w:t xml:space="preserve"> të ardhurave</w:t>
      </w:r>
      <w:r w:rsidR="00C033ED" w:rsidRPr="00607DCB">
        <w:rPr>
          <w:sz w:val="24"/>
          <w:szCs w:val="24"/>
          <w:lang w:val="sq-AL"/>
        </w:rPr>
        <w:t xml:space="preserve"> </w:t>
      </w:r>
      <w:r w:rsidRPr="00607DCB">
        <w:rPr>
          <w:sz w:val="24"/>
          <w:szCs w:val="24"/>
          <w:lang w:val="sq-AL"/>
        </w:rPr>
        <w:t xml:space="preserve">tatimore, doganore dhe të kontributeve </w:t>
      </w:r>
      <w:r w:rsidR="00C033ED" w:rsidRPr="00607DCB">
        <w:rPr>
          <w:sz w:val="24"/>
          <w:szCs w:val="24"/>
          <w:lang w:val="sq-AL"/>
        </w:rPr>
        <w:t xml:space="preserve">të sigurimeve </w:t>
      </w:r>
      <w:r w:rsidRPr="00607DCB">
        <w:rPr>
          <w:sz w:val="24"/>
          <w:szCs w:val="24"/>
          <w:lang w:val="sq-AL"/>
        </w:rPr>
        <w:t xml:space="preserve">shoqërore </w:t>
      </w:r>
      <w:r w:rsidR="00F70CF0" w:rsidRPr="00607DCB">
        <w:rPr>
          <w:sz w:val="24"/>
          <w:szCs w:val="24"/>
          <w:lang w:val="sq-AL"/>
        </w:rPr>
        <w:t>e</w:t>
      </w:r>
      <w:r w:rsidR="00C033ED" w:rsidRPr="00607DCB">
        <w:rPr>
          <w:sz w:val="24"/>
          <w:szCs w:val="24"/>
          <w:lang w:val="sq-AL"/>
        </w:rPr>
        <w:t xml:space="preserve"> </w:t>
      </w:r>
      <w:r w:rsidR="00C033ED" w:rsidRPr="00607DCB">
        <w:rPr>
          <w:sz w:val="24"/>
          <w:szCs w:val="24"/>
          <w:lang w:val="sq-AL"/>
        </w:rPr>
        <w:lastRenderedPageBreak/>
        <w:t xml:space="preserve">shëndetësore </w:t>
      </w:r>
      <w:r w:rsidRPr="00607DCB">
        <w:rPr>
          <w:sz w:val="24"/>
          <w:szCs w:val="24"/>
          <w:lang w:val="sq-AL"/>
        </w:rPr>
        <w:t xml:space="preserve">për vitin 2025, duke i shqyrtuar ato nga perspektiva e politikave tatimore dhe efektit të tyre mbi bazën e të ardhurave. </w:t>
      </w:r>
    </w:p>
    <w:p w14:paraId="3B612DF6" w14:textId="77777777" w:rsidR="00791F53" w:rsidRDefault="00791F53" w:rsidP="00607DCB">
      <w:pPr>
        <w:spacing w:line="276" w:lineRule="auto"/>
        <w:ind w:left="7"/>
        <w:jc w:val="both"/>
        <w:rPr>
          <w:sz w:val="24"/>
          <w:szCs w:val="24"/>
          <w:lang w:val="sq-AL"/>
        </w:rPr>
      </w:pPr>
    </w:p>
    <w:p w14:paraId="2242E375" w14:textId="6256EA23" w:rsidR="005872F1" w:rsidRPr="00607DCB" w:rsidRDefault="00CD089A" w:rsidP="00607DCB">
      <w:pPr>
        <w:spacing w:line="276" w:lineRule="auto"/>
        <w:ind w:left="7"/>
        <w:jc w:val="both"/>
        <w:rPr>
          <w:sz w:val="24"/>
          <w:szCs w:val="24"/>
          <w:lang w:val="sq-AL"/>
        </w:rPr>
      </w:pPr>
      <w:r w:rsidRPr="00607DCB">
        <w:rPr>
          <w:sz w:val="24"/>
          <w:szCs w:val="24"/>
          <w:lang w:val="sq-AL"/>
        </w:rPr>
        <w:t>Qëllimi është të identifikohen qartë faktorët që kanë prodhuar mbi</w:t>
      </w:r>
      <w:r w:rsidR="00791F53">
        <w:rPr>
          <w:sz w:val="24"/>
          <w:szCs w:val="24"/>
          <w:lang w:val="sq-AL"/>
        </w:rPr>
        <w:t>-</w:t>
      </w:r>
      <w:r w:rsidRPr="00607DCB">
        <w:rPr>
          <w:sz w:val="24"/>
          <w:szCs w:val="24"/>
          <w:lang w:val="sq-AL"/>
        </w:rPr>
        <w:t>realizim ose nën</w:t>
      </w:r>
      <w:r w:rsidR="00791F53">
        <w:rPr>
          <w:sz w:val="24"/>
          <w:szCs w:val="24"/>
          <w:lang w:val="sq-AL"/>
        </w:rPr>
        <w:t>-</w:t>
      </w:r>
      <w:r w:rsidRPr="00607DCB">
        <w:rPr>
          <w:sz w:val="24"/>
          <w:szCs w:val="24"/>
          <w:lang w:val="sq-AL"/>
        </w:rPr>
        <w:t>realizim ndaj planifikimit</w:t>
      </w:r>
      <w:r w:rsidR="001337BE" w:rsidRPr="00607DCB">
        <w:rPr>
          <w:sz w:val="24"/>
          <w:szCs w:val="24"/>
          <w:lang w:val="sq-AL"/>
        </w:rPr>
        <w:t xml:space="preserve"> me</w:t>
      </w:r>
      <w:r w:rsidRPr="00607DCB">
        <w:rPr>
          <w:sz w:val="24"/>
          <w:szCs w:val="24"/>
          <w:lang w:val="sq-AL"/>
        </w:rPr>
        <w:t xml:space="preserve"> </w:t>
      </w:r>
      <w:r w:rsidR="00C033ED" w:rsidRPr="00607DCB">
        <w:rPr>
          <w:sz w:val="24"/>
          <w:szCs w:val="24"/>
          <w:lang w:val="sq-AL"/>
        </w:rPr>
        <w:t>kuadri</w:t>
      </w:r>
      <w:r w:rsidR="001337BE" w:rsidRPr="00607DCB">
        <w:rPr>
          <w:sz w:val="24"/>
          <w:szCs w:val="24"/>
          <w:lang w:val="sq-AL"/>
        </w:rPr>
        <w:t>n</w:t>
      </w:r>
      <w:r w:rsidR="00C033ED" w:rsidRPr="00607DCB">
        <w:rPr>
          <w:sz w:val="24"/>
          <w:szCs w:val="24"/>
          <w:lang w:val="sq-AL"/>
        </w:rPr>
        <w:t xml:space="preserve"> makroekonomiko fiskal për periudhën 2026-2028 </w:t>
      </w:r>
      <w:r w:rsidR="001337BE" w:rsidRPr="00607DCB">
        <w:rPr>
          <w:sz w:val="24"/>
          <w:szCs w:val="24"/>
          <w:lang w:val="sq-AL"/>
        </w:rPr>
        <w:t>të datës</w:t>
      </w:r>
      <w:r w:rsidR="00C033ED" w:rsidRPr="00607DCB">
        <w:rPr>
          <w:sz w:val="24"/>
          <w:szCs w:val="24"/>
          <w:lang w:val="sq-AL"/>
        </w:rPr>
        <w:t xml:space="preserve"> 05.02.2025</w:t>
      </w:r>
      <w:r w:rsidRPr="00607DCB">
        <w:rPr>
          <w:sz w:val="24"/>
          <w:szCs w:val="24"/>
          <w:lang w:val="sq-AL"/>
        </w:rPr>
        <w:t xml:space="preserve">, duke vlerësuar rolin e politikave aktuale tatimore, të masave të formalizimit, të ndryshimeve në sjelljen e tatimpaguesve dhe të zbatimit të akteve nënligjore. </w:t>
      </w:r>
    </w:p>
    <w:p w14:paraId="23D5C52B" w14:textId="77777777" w:rsidR="005872F1" w:rsidRPr="00607DCB" w:rsidRDefault="005872F1" w:rsidP="00607DCB">
      <w:pPr>
        <w:spacing w:line="276" w:lineRule="auto"/>
        <w:ind w:left="7"/>
        <w:jc w:val="both"/>
        <w:rPr>
          <w:rStyle w:val="jlqj4b"/>
          <w:sz w:val="24"/>
          <w:szCs w:val="24"/>
          <w:lang w:val="sq-AL"/>
        </w:rPr>
      </w:pPr>
    </w:p>
    <w:p w14:paraId="2532E641" w14:textId="25D1D80C" w:rsidR="005872F1" w:rsidRPr="00607DCB" w:rsidRDefault="005872F1" w:rsidP="00607DCB">
      <w:pPr>
        <w:pStyle w:val="Heading1"/>
        <w:numPr>
          <w:ilvl w:val="1"/>
          <w:numId w:val="67"/>
        </w:numPr>
        <w:spacing w:line="276" w:lineRule="auto"/>
        <w:jc w:val="both"/>
        <w:rPr>
          <w:sz w:val="24"/>
          <w:szCs w:val="24"/>
          <w:lang w:val="sq-AL"/>
        </w:rPr>
      </w:pPr>
      <w:bookmarkStart w:id="7" w:name="_Toc228275795"/>
      <w:r w:rsidRPr="00607DCB">
        <w:rPr>
          <w:sz w:val="24"/>
          <w:szCs w:val="24"/>
          <w:lang w:val="sq-AL"/>
        </w:rPr>
        <w:t>Përmbledhje e përgjithshme e ecurisë fiskale</w:t>
      </w:r>
      <w:bookmarkEnd w:id="7"/>
    </w:p>
    <w:p w14:paraId="3EF352C9" w14:textId="77777777" w:rsidR="001F63B0" w:rsidRPr="00607DCB" w:rsidRDefault="00DB6554" w:rsidP="00607DCB">
      <w:pPr>
        <w:spacing w:line="276" w:lineRule="auto"/>
        <w:ind w:left="7"/>
        <w:jc w:val="both"/>
        <w:rPr>
          <w:sz w:val="24"/>
          <w:szCs w:val="24"/>
          <w:lang w:val="sq-AL"/>
        </w:rPr>
      </w:pPr>
      <w:r w:rsidRPr="00607DCB">
        <w:rPr>
          <w:sz w:val="24"/>
          <w:szCs w:val="24"/>
          <w:lang w:val="sq-AL"/>
        </w:rPr>
        <w:t xml:space="preserve"> </w:t>
      </w:r>
    </w:p>
    <w:p w14:paraId="1981F196" w14:textId="5DB68AAF" w:rsidR="00373DEA" w:rsidRPr="00607DCB" w:rsidRDefault="005872F1" w:rsidP="00607DCB">
      <w:pPr>
        <w:spacing w:line="276" w:lineRule="auto"/>
        <w:ind w:left="7"/>
        <w:jc w:val="both"/>
        <w:rPr>
          <w:sz w:val="24"/>
          <w:szCs w:val="24"/>
          <w:lang w:val="sq-AL"/>
        </w:rPr>
      </w:pPr>
      <w:r w:rsidRPr="00607DCB">
        <w:rPr>
          <w:sz w:val="24"/>
          <w:szCs w:val="24"/>
          <w:lang w:val="sq-AL"/>
        </w:rPr>
        <w:t>Në vitin 2025, Strategjia Afatmesme e të Ardhurave parashikonte një rritje të të ardhurave prej 15.96 miliardë lekësh (0.62% e PBB</w:t>
      </w:r>
      <w:r w:rsidRPr="00607DCB">
        <w:rPr>
          <w:sz w:val="24"/>
          <w:szCs w:val="24"/>
          <w:lang w:val="sq-AL"/>
        </w:rPr>
        <w:noBreakHyphen/>
        <w:t>së), ndërsa realizimi faktik rezultoi 19.64 miliardë lekë (0.76% e PBB</w:t>
      </w:r>
      <w:r w:rsidRPr="00607DCB">
        <w:rPr>
          <w:sz w:val="24"/>
          <w:szCs w:val="24"/>
          <w:lang w:val="sq-AL"/>
        </w:rPr>
        <w:noBreakHyphen/>
        <w:t>së), duke gjeneruar një mbirealizim fiskal neto prej +3.68 miliardë lekësh (0.14% e PBB</w:t>
      </w:r>
      <w:r w:rsidRPr="00607DCB">
        <w:rPr>
          <w:sz w:val="24"/>
          <w:szCs w:val="24"/>
          <w:lang w:val="sq-AL"/>
        </w:rPr>
        <w:noBreakHyphen/>
        <w:t>së). Ky rezultat pozitiv në nivel të përgjithshëm u mbështet kryesisht nga performanca e mirë e përputhshmërisë tatimore dhe kontributeve shoqërore.</w:t>
      </w:r>
      <w:r w:rsidR="00343D70" w:rsidRPr="00607DCB">
        <w:rPr>
          <w:sz w:val="24"/>
          <w:szCs w:val="24"/>
          <w:lang w:val="sq-AL"/>
        </w:rPr>
        <w:t xml:space="preserve"> </w:t>
      </w:r>
      <w:r w:rsidR="00373DEA" w:rsidRPr="00607DCB">
        <w:rPr>
          <w:sz w:val="24"/>
          <w:szCs w:val="24"/>
          <w:lang w:val="sq-AL"/>
        </w:rPr>
        <w:t xml:space="preserve"> Mbirealizimi është mbështetur kryesisht nga Shtylla 2 – Mirëadministrimi Tatimor, e cila kontribuoi +17.4 miliardë lekë, rreth 3.6 miliardë lekë mbi objektivin. Ky devijim pozitiv lidhet me zgjerimin e bazës tatimore, rritjen e deklarimeve, formalizimin e ekonomisë, rritjen e TVSH-së së brendshme dhe performancën e fortë të të ardhurave nga paga dhe kontributet. Në veçanti, TVSH-ja e brendshme neto dhe kontributet e sigurimeve tejkaluan ndjeshëm objektivat e parashikuara në strategji, duke gjeneruar mbirealizim të qëndrueshëm fiskal.</w:t>
      </w:r>
    </w:p>
    <w:p w14:paraId="1920E43E" w14:textId="77777777" w:rsidR="001F63B0" w:rsidRPr="00607DCB" w:rsidRDefault="001F63B0" w:rsidP="00607DCB">
      <w:pPr>
        <w:spacing w:line="276" w:lineRule="auto"/>
        <w:ind w:left="7"/>
        <w:jc w:val="both"/>
        <w:rPr>
          <w:sz w:val="24"/>
          <w:szCs w:val="24"/>
          <w:lang w:val="sq-AL"/>
        </w:rPr>
      </w:pPr>
    </w:p>
    <w:p w14:paraId="3EA9F753" w14:textId="17BBC27D" w:rsidR="00373DEA" w:rsidRPr="00607DCB" w:rsidRDefault="00373DEA" w:rsidP="00607DCB">
      <w:pPr>
        <w:spacing w:line="276" w:lineRule="auto"/>
        <w:ind w:left="7"/>
        <w:jc w:val="both"/>
        <w:rPr>
          <w:sz w:val="24"/>
          <w:szCs w:val="24"/>
          <w:lang w:val="sq-AL"/>
        </w:rPr>
      </w:pPr>
      <w:r w:rsidRPr="00607DCB">
        <w:rPr>
          <w:sz w:val="24"/>
          <w:szCs w:val="24"/>
          <w:lang w:val="sq-AL"/>
        </w:rPr>
        <w:t>Në kontrast, Shtylla 3 – Mirëadministrimi Doganor rezultoi nën objektiv me rreth –55 milionë lekë, reflektuar në nënrealizimin e disa treguesve doganorë, përfshirë zgjerimin e shkëmbimit të informacionit dhe rritjen e kohës së përpunimit të deklaratave doganore, e ndikuar nga kufizimet e infrastrukturës IT. Edhe Shtylla 1 – Politika Tatimore, megjithëse me realizim pozitiv, pati kontribut relativisht të kufizuar dhe devijimi i saj nuk ka qenë burim struktural i rritjes së të ardhurave</w:t>
      </w:r>
    </w:p>
    <w:p w14:paraId="2CB80B4E" w14:textId="3B3A17A5" w:rsidR="005872F1" w:rsidRPr="00607DCB" w:rsidRDefault="00343D70" w:rsidP="00607DCB">
      <w:pPr>
        <w:spacing w:line="276" w:lineRule="auto"/>
        <w:ind w:left="7"/>
        <w:jc w:val="both"/>
        <w:rPr>
          <w:i/>
          <w:iCs/>
          <w:sz w:val="24"/>
          <w:szCs w:val="24"/>
          <w:lang w:val="sq-AL"/>
        </w:rPr>
      </w:pPr>
      <w:r w:rsidRPr="00607DCB">
        <w:rPr>
          <w:i/>
          <w:iCs/>
          <w:sz w:val="24"/>
          <w:szCs w:val="24"/>
          <w:lang w:val="sq-AL"/>
        </w:rPr>
        <w:t>(Vlerat e PBB-së bazohen në Kuadrin Makroekonomik dhe Fiskal, 2025-2027 të datës 19.6.2024, dhe nuk marrin parasysh rishikimin e të dhënave para Shtatorit 2024)</w:t>
      </w:r>
      <w:r w:rsidR="00373DEA" w:rsidRPr="00607DCB">
        <w:rPr>
          <w:i/>
          <w:iCs/>
          <w:sz w:val="24"/>
          <w:szCs w:val="24"/>
          <w:lang w:val="sq-AL"/>
        </w:rPr>
        <w:t>.</w:t>
      </w:r>
    </w:p>
    <w:p w14:paraId="0E18DB2D" w14:textId="77777777" w:rsidR="00343D70" w:rsidRPr="00607DCB" w:rsidRDefault="00343D70" w:rsidP="00607DCB">
      <w:pPr>
        <w:spacing w:line="276" w:lineRule="auto"/>
        <w:ind w:left="7"/>
        <w:jc w:val="both"/>
        <w:rPr>
          <w:sz w:val="24"/>
          <w:szCs w:val="24"/>
          <w:lang w:val="sq-AL"/>
        </w:rPr>
      </w:pPr>
    </w:p>
    <w:p w14:paraId="2B9671F3" w14:textId="0AA8F056" w:rsidR="005872F1" w:rsidRPr="00607DCB" w:rsidRDefault="005872F1" w:rsidP="00607DCB">
      <w:pPr>
        <w:spacing w:line="276" w:lineRule="auto"/>
        <w:ind w:left="7"/>
        <w:jc w:val="both"/>
        <w:rPr>
          <w:sz w:val="24"/>
          <w:szCs w:val="24"/>
          <w:lang w:val="sq-AL"/>
        </w:rPr>
      </w:pPr>
      <w:r w:rsidRPr="00607DCB">
        <w:rPr>
          <w:sz w:val="24"/>
          <w:szCs w:val="24"/>
          <w:lang w:val="sq-AL"/>
        </w:rPr>
        <w:t>Megjithatë, ky rezultat nuk reflekton plotësisht devijimet e brendshme të konstatuara ndërmjet zërave individualë të të ardhurave, ku mbirealizimet në disa taksa kanë kompensuar nënrealizime të theksuara në zëra të tjerë me peshë të konsiderueshme fiskale, kryesisht në TVSH</w:t>
      </w:r>
      <w:r w:rsidRPr="00607DCB">
        <w:rPr>
          <w:sz w:val="24"/>
          <w:szCs w:val="24"/>
          <w:lang w:val="sq-AL"/>
        </w:rPr>
        <w:noBreakHyphen/>
        <w:t>në në import, tatimin mbi fitimin dhe taksën doganore.</w:t>
      </w:r>
    </w:p>
    <w:p w14:paraId="5C78B662" w14:textId="77777777" w:rsidR="003E1EE1" w:rsidRPr="00607DCB" w:rsidRDefault="003E1EE1" w:rsidP="00607DCB">
      <w:pPr>
        <w:spacing w:line="276" w:lineRule="auto"/>
        <w:ind w:left="7"/>
        <w:jc w:val="both"/>
        <w:rPr>
          <w:rStyle w:val="jlqj4b"/>
          <w:sz w:val="24"/>
          <w:szCs w:val="24"/>
          <w:lang w:val="sq-AL"/>
        </w:rPr>
      </w:pPr>
    </w:p>
    <w:p w14:paraId="72FEC3A3" w14:textId="65E0E681" w:rsidR="005872F1" w:rsidRPr="00607DCB" w:rsidRDefault="003E1EE1" w:rsidP="00607DCB">
      <w:pPr>
        <w:pStyle w:val="Heading1"/>
        <w:numPr>
          <w:ilvl w:val="1"/>
          <w:numId w:val="67"/>
        </w:numPr>
        <w:spacing w:line="276" w:lineRule="auto"/>
        <w:jc w:val="both"/>
        <w:rPr>
          <w:rStyle w:val="Strong"/>
          <w:b/>
          <w:bCs/>
          <w:sz w:val="24"/>
          <w:szCs w:val="24"/>
          <w:lang w:val="sq-AL"/>
        </w:rPr>
      </w:pPr>
      <w:bookmarkStart w:id="8" w:name="_Toc228275796"/>
      <w:r w:rsidRPr="00607DCB">
        <w:rPr>
          <w:sz w:val="24"/>
          <w:szCs w:val="24"/>
          <w:lang w:val="sq-AL"/>
        </w:rPr>
        <w:t>Realizimi i të ardhurave sipas administratave fiskale</w:t>
      </w:r>
      <w:bookmarkEnd w:id="8"/>
    </w:p>
    <w:p w14:paraId="104353D1" w14:textId="77777777" w:rsidR="006017C4" w:rsidRPr="00607DCB" w:rsidRDefault="006017C4" w:rsidP="00607DCB">
      <w:pPr>
        <w:spacing w:line="276" w:lineRule="auto"/>
        <w:ind w:left="7"/>
        <w:jc w:val="both"/>
        <w:rPr>
          <w:sz w:val="24"/>
          <w:szCs w:val="24"/>
          <w:lang w:val="sq-AL"/>
        </w:rPr>
      </w:pPr>
    </w:p>
    <w:p w14:paraId="60BFA4E2" w14:textId="1EAB8AEE" w:rsidR="00EA66DE" w:rsidRPr="00607DCB" w:rsidRDefault="005872F1" w:rsidP="00607DCB">
      <w:pPr>
        <w:spacing w:line="276" w:lineRule="auto"/>
        <w:ind w:left="7"/>
        <w:jc w:val="both"/>
        <w:rPr>
          <w:sz w:val="24"/>
          <w:szCs w:val="24"/>
          <w:lang w:val="sq-AL"/>
        </w:rPr>
      </w:pPr>
      <w:r w:rsidRPr="00607DCB">
        <w:rPr>
          <w:sz w:val="24"/>
          <w:szCs w:val="24"/>
          <w:lang w:val="sq-AL"/>
        </w:rPr>
        <w:t xml:space="preserve">Tabela më poshtë paraqet në mënyrë të konsoliduar devijimet </w:t>
      </w:r>
      <w:r w:rsidR="003160CC" w:rsidRPr="00607DCB">
        <w:rPr>
          <w:sz w:val="24"/>
          <w:szCs w:val="24"/>
          <w:lang w:val="sq-AL"/>
        </w:rPr>
        <w:t xml:space="preserve">e të ardhurave nga Tatimet, Doganat dhe Kontributet </w:t>
      </w:r>
      <w:r w:rsidR="001337BE" w:rsidRPr="00607DCB">
        <w:rPr>
          <w:sz w:val="24"/>
          <w:szCs w:val="24"/>
          <w:lang w:val="sq-AL"/>
        </w:rPr>
        <w:t>për vitin 202</w:t>
      </w:r>
      <w:r w:rsidR="004F3674">
        <w:rPr>
          <w:sz w:val="24"/>
          <w:szCs w:val="24"/>
          <w:lang w:val="sq-AL"/>
        </w:rPr>
        <w:t>6</w:t>
      </w:r>
      <w:r w:rsidR="001337BE" w:rsidRPr="00607DCB">
        <w:rPr>
          <w:sz w:val="24"/>
          <w:szCs w:val="24"/>
          <w:lang w:val="sq-AL"/>
        </w:rPr>
        <w:t xml:space="preserve"> të miratuara në kuadrin makroekonomiko fiskal</w:t>
      </w:r>
      <w:r w:rsidR="00D11AAC" w:rsidRPr="00607DCB">
        <w:rPr>
          <w:sz w:val="24"/>
          <w:szCs w:val="24"/>
          <w:lang w:val="sq-AL"/>
        </w:rPr>
        <w:t xml:space="preserve"> të dat</w:t>
      </w:r>
      <w:r w:rsidR="00A721D5" w:rsidRPr="00607DCB">
        <w:rPr>
          <w:sz w:val="24"/>
          <w:szCs w:val="24"/>
          <w:lang w:val="sq-AL"/>
        </w:rPr>
        <w:t>ë</w:t>
      </w:r>
      <w:r w:rsidR="00D11AAC" w:rsidRPr="00607DCB">
        <w:rPr>
          <w:sz w:val="24"/>
          <w:szCs w:val="24"/>
          <w:lang w:val="sq-AL"/>
        </w:rPr>
        <w:t xml:space="preserve">s 05.02.2025 </w:t>
      </w:r>
      <w:r w:rsidR="00C033ED" w:rsidRPr="00607DCB">
        <w:rPr>
          <w:sz w:val="24"/>
          <w:szCs w:val="24"/>
          <w:lang w:val="sq-AL"/>
        </w:rPr>
        <w:t>duke i krahasuar me</w:t>
      </w:r>
      <w:r w:rsidR="00D11AAC" w:rsidRPr="00607DCB">
        <w:rPr>
          <w:sz w:val="24"/>
          <w:szCs w:val="24"/>
          <w:lang w:val="sq-AL"/>
        </w:rPr>
        <w:t xml:space="preserve"> parashikimet në</w:t>
      </w:r>
      <w:r w:rsidR="00C033ED" w:rsidRPr="00607DCB">
        <w:rPr>
          <w:sz w:val="24"/>
          <w:szCs w:val="24"/>
          <w:lang w:val="sq-AL"/>
        </w:rPr>
        <w:t xml:space="preserve"> </w:t>
      </w:r>
      <w:r w:rsidR="006017C4" w:rsidRPr="00607DCB">
        <w:rPr>
          <w:sz w:val="24"/>
          <w:szCs w:val="24"/>
          <w:lang w:val="sq-AL"/>
        </w:rPr>
        <w:t xml:space="preserve">e miratuara me </w:t>
      </w:r>
      <w:r w:rsidR="00C033ED" w:rsidRPr="00607DCB">
        <w:rPr>
          <w:sz w:val="24"/>
          <w:szCs w:val="24"/>
          <w:lang w:val="sq-AL"/>
        </w:rPr>
        <w:t>Ligji</w:t>
      </w:r>
      <w:r w:rsidR="003160CC" w:rsidRPr="00607DCB">
        <w:rPr>
          <w:sz w:val="24"/>
          <w:szCs w:val="24"/>
          <w:lang w:val="sq-AL"/>
        </w:rPr>
        <w:t>n</w:t>
      </w:r>
      <w:r w:rsidR="00C033ED" w:rsidRPr="00607DCB">
        <w:rPr>
          <w:sz w:val="24"/>
          <w:szCs w:val="24"/>
          <w:lang w:val="sq-AL"/>
        </w:rPr>
        <w:t xml:space="preserve"> nr.87/2025 “Për buxhetin e vitit 2026”</w:t>
      </w:r>
      <w:r w:rsidRPr="00607DCB">
        <w:rPr>
          <w:sz w:val="24"/>
          <w:szCs w:val="24"/>
          <w:lang w:val="sq-AL"/>
        </w:rPr>
        <w:t>, sipas zërave kryesorë, në vlerë absolute dhe në përqindje ndaj PBB</w:t>
      </w:r>
      <w:r w:rsidRPr="00607DCB">
        <w:rPr>
          <w:sz w:val="24"/>
          <w:szCs w:val="24"/>
          <w:lang w:val="sq-AL"/>
        </w:rPr>
        <w:noBreakHyphen/>
        <w:t>së.</w:t>
      </w:r>
    </w:p>
    <w:p w14:paraId="237F5B02" w14:textId="1F881E34" w:rsidR="005872F1" w:rsidRPr="00DE4728" w:rsidRDefault="005872F1" w:rsidP="00607DCB">
      <w:pPr>
        <w:pStyle w:val="Caption"/>
        <w:spacing w:line="276" w:lineRule="auto"/>
        <w:rPr>
          <w:i w:val="0"/>
          <w:sz w:val="22"/>
          <w:szCs w:val="22"/>
          <w:lang w:val="sq-AL"/>
        </w:rPr>
      </w:pPr>
      <w:r w:rsidRPr="00DE4728">
        <w:rPr>
          <w:sz w:val="22"/>
          <w:szCs w:val="22"/>
          <w:lang w:val="sq-AL"/>
        </w:rPr>
        <w:t xml:space="preserve">                                                                                                                                                     </w:t>
      </w:r>
      <w:r w:rsidR="006541C7" w:rsidRPr="00DE4728">
        <w:rPr>
          <w:sz w:val="22"/>
          <w:szCs w:val="22"/>
          <w:lang w:val="sq-AL"/>
        </w:rPr>
        <w:t xml:space="preserve">        </w:t>
      </w:r>
      <w:r w:rsidR="003160CC" w:rsidRPr="00DE4728">
        <w:rPr>
          <w:sz w:val="22"/>
          <w:szCs w:val="22"/>
          <w:lang w:val="sq-AL"/>
        </w:rPr>
        <w:t xml:space="preserve">                                    </w:t>
      </w:r>
      <w:bookmarkStart w:id="9" w:name="_Toc228275853"/>
      <w:r w:rsidR="006017C4" w:rsidRPr="00DE4728">
        <w:rPr>
          <w:sz w:val="22"/>
          <w:szCs w:val="22"/>
          <w:lang w:val="sq-AL"/>
        </w:rPr>
        <w:t xml:space="preserve">Tabela </w:t>
      </w:r>
      <w:r w:rsidR="006017C4" w:rsidRPr="00DE4728">
        <w:rPr>
          <w:sz w:val="22"/>
          <w:szCs w:val="22"/>
          <w:lang w:val="sq-AL"/>
        </w:rPr>
        <w:fldChar w:fldCharType="begin"/>
      </w:r>
      <w:r w:rsidR="006017C4" w:rsidRPr="00DE4728">
        <w:rPr>
          <w:sz w:val="22"/>
          <w:szCs w:val="22"/>
          <w:lang w:val="sq-AL"/>
        </w:rPr>
        <w:instrText xml:space="preserve"> SEQ Tabela \* ARABIC </w:instrText>
      </w:r>
      <w:r w:rsidR="006017C4" w:rsidRPr="00DE4728">
        <w:rPr>
          <w:sz w:val="22"/>
          <w:szCs w:val="22"/>
          <w:lang w:val="sq-AL"/>
        </w:rPr>
        <w:fldChar w:fldCharType="separate"/>
      </w:r>
      <w:r w:rsidR="006A0296">
        <w:rPr>
          <w:noProof/>
          <w:sz w:val="22"/>
          <w:szCs w:val="22"/>
          <w:lang w:val="sq-AL"/>
        </w:rPr>
        <w:t>2</w:t>
      </w:r>
      <w:r w:rsidR="006017C4" w:rsidRPr="00DE4728">
        <w:rPr>
          <w:sz w:val="22"/>
          <w:szCs w:val="22"/>
          <w:lang w:val="sq-AL"/>
        </w:rPr>
        <w:fldChar w:fldCharType="end"/>
      </w:r>
      <w:r w:rsidR="0088243A">
        <w:rPr>
          <w:sz w:val="22"/>
          <w:szCs w:val="22"/>
          <w:lang w:val="sq-AL"/>
        </w:rPr>
        <w:t>.</w:t>
      </w:r>
      <w:r w:rsidR="00DE4728" w:rsidRPr="00DE4728">
        <w:rPr>
          <w:sz w:val="22"/>
          <w:szCs w:val="22"/>
          <w:lang w:val="sq-AL"/>
        </w:rPr>
        <w:t xml:space="preserve"> </w:t>
      </w:r>
      <w:r w:rsidR="006017C4" w:rsidRPr="00DE4728">
        <w:rPr>
          <w:sz w:val="22"/>
          <w:szCs w:val="22"/>
          <w:lang w:val="sq-AL"/>
        </w:rPr>
        <w:t>Devijimet e të ardhurave nga Tatimet, Doganat dhe Kontributet për vitin 202</w:t>
      </w:r>
      <w:r w:rsidR="0088243A">
        <w:rPr>
          <w:sz w:val="22"/>
          <w:szCs w:val="22"/>
          <w:lang w:val="sq-AL"/>
        </w:rPr>
        <w:t>6</w:t>
      </w:r>
      <w:r w:rsidR="006017C4" w:rsidRPr="00DE4728">
        <w:rPr>
          <w:sz w:val="22"/>
          <w:szCs w:val="22"/>
          <w:lang w:val="sq-AL"/>
        </w:rPr>
        <w:t xml:space="preserve"> </w:t>
      </w:r>
      <w:r w:rsidRPr="00DE4728">
        <w:rPr>
          <w:sz w:val="22"/>
          <w:szCs w:val="22"/>
          <w:lang w:val="sq-AL"/>
        </w:rPr>
        <w:t>në milionë lekë</w:t>
      </w:r>
      <w:bookmarkEnd w:id="9"/>
    </w:p>
    <w:tbl>
      <w:tblPr>
        <w:tblW w:w="5000" w:type="pct"/>
        <w:tblLayout w:type="fixed"/>
        <w:tblLook w:val="04A0" w:firstRow="1" w:lastRow="0" w:firstColumn="1" w:lastColumn="0" w:noHBand="0" w:noVBand="1"/>
      </w:tblPr>
      <w:tblGrid>
        <w:gridCol w:w="2729"/>
        <w:gridCol w:w="1383"/>
        <w:gridCol w:w="1278"/>
        <w:gridCol w:w="1249"/>
        <w:gridCol w:w="1001"/>
        <w:gridCol w:w="899"/>
        <w:gridCol w:w="703"/>
        <w:gridCol w:w="236"/>
      </w:tblGrid>
      <w:tr w:rsidR="00DE4728" w:rsidRPr="00607DCB" w14:paraId="4203DF42" w14:textId="77777777" w:rsidTr="00DE4728">
        <w:trPr>
          <w:gridAfter w:val="1"/>
          <w:wAfter w:w="124" w:type="pct"/>
          <w:trHeight w:val="317"/>
        </w:trPr>
        <w:tc>
          <w:tcPr>
            <w:tcW w:w="1440" w:type="pct"/>
            <w:vMerge w:val="restart"/>
            <w:tcBorders>
              <w:top w:val="single" w:sz="8" w:space="0" w:color="auto"/>
              <w:left w:val="single" w:sz="8" w:space="0" w:color="auto"/>
              <w:bottom w:val="nil"/>
              <w:right w:val="single" w:sz="8" w:space="0" w:color="auto"/>
            </w:tcBorders>
            <w:noWrap/>
            <w:vAlign w:val="center"/>
            <w:hideMark/>
          </w:tcPr>
          <w:p w14:paraId="410B0F2F" w14:textId="6B09026E" w:rsidR="00CD089A" w:rsidRPr="00DE4728" w:rsidRDefault="00CD089A" w:rsidP="00607DCB">
            <w:pPr>
              <w:widowControl/>
              <w:autoSpaceDE/>
              <w:autoSpaceDN/>
              <w:spacing w:line="276" w:lineRule="auto"/>
              <w:jc w:val="both"/>
              <w:rPr>
                <w:color w:val="000000"/>
                <w:sz w:val="18"/>
                <w:szCs w:val="18"/>
                <w:lang w:val="sq-AL"/>
              </w:rPr>
            </w:pPr>
            <w:bookmarkStart w:id="10" w:name="page44"/>
            <w:bookmarkEnd w:id="10"/>
          </w:p>
        </w:tc>
        <w:tc>
          <w:tcPr>
            <w:tcW w:w="730" w:type="pct"/>
            <w:vMerge w:val="restart"/>
            <w:tcBorders>
              <w:top w:val="single" w:sz="8" w:space="0" w:color="auto"/>
              <w:left w:val="nil"/>
              <w:bottom w:val="nil"/>
              <w:right w:val="single" w:sz="8" w:space="0" w:color="auto"/>
            </w:tcBorders>
            <w:vAlign w:val="center"/>
            <w:hideMark/>
          </w:tcPr>
          <w:p w14:paraId="605255D0" w14:textId="63ED065A" w:rsidR="00CD089A" w:rsidRPr="00DE4728" w:rsidRDefault="00CD089A" w:rsidP="00607DCB">
            <w:pPr>
              <w:widowControl/>
              <w:autoSpaceDE/>
              <w:autoSpaceDN/>
              <w:spacing w:line="276" w:lineRule="auto"/>
              <w:jc w:val="both"/>
              <w:rPr>
                <w:i/>
                <w:iCs/>
                <w:color w:val="000000"/>
                <w:sz w:val="18"/>
                <w:szCs w:val="18"/>
                <w:lang w:val="sq-AL"/>
              </w:rPr>
            </w:pPr>
            <w:r w:rsidRPr="00DE4728">
              <w:rPr>
                <w:i/>
                <w:iCs/>
                <w:color w:val="000000"/>
                <w:sz w:val="18"/>
                <w:szCs w:val="18"/>
                <w:lang w:val="sq-AL"/>
              </w:rPr>
              <w:t>Sipas K</w:t>
            </w:r>
            <w:r w:rsidR="003160CC" w:rsidRPr="00DE4728">
              <w:rPr>
                <w:i/>
                <w:iCs/>
                <w:color w:val="000000"/>
                <w:sz w:val="18"/>
                <w:szCs w:val="18"/>
                <w:lang w:val="sq-AL"/>
              </w:rPr>
              <w:t>uadrit</w:t>
            </w:r>
            <w:r w:rsidRPr="00DE4728">
              <w:rPr>
                <w:i/>
                <w:iCs/>
                <w:color w:val="000000"/>
                <w:sz w:val="18"/>
                <w:szCs w:val="18"/>
                <w:lang w:val="sq-AL"/>
              </w:rPr>
              <w:t xml:space="preserve"> M</w:t>
            </w:r>
            <w:r w:rsidR="003160CC" w:rsidRPr="00DE4728">
              <w:rPr>
                <w:i/>
                <w:iCs/>
                <w:color w:val="000000"/>
                <w:sz w:val="18"/>
                <w:szCs w:val="18"/>
                <w:lang w:val="sq-AL"/>
              </w:rPr>
              <w:t>akroekonomik</w:t>
            </w:r>
            <w:r w:rsidRPr="00DE4728">
              <w:rPr>
                <w:i/>
                <w:iCs/>
                <w:color w:val="000000"/>
                <w:sz w:val="18"/>
                <w:szCs w:val="18"/>
                <w:lang w:val="sq-AL"/>
              </w:rPr>
              <w:t xml:space="preserve"> </w:t>
            </w:r>
            <w:r w:rsidR="003160CC" w:rsidRPr="00DE4728">
              <w:rPr>
                <w:i/>
                <w:iCs/>
                <w:color w:val="000000"/>
                <w:sz w:val="18"/>
                <w:szCs w:val="18"/>
                <w:lang w:val="sq-AL"/>
              </w:rPr>
              <w:t>Fiskal</w:t>
            </w:r>
            <w:r w:rsidRPr="00DE4728">
              <w:rPr>
                <w:i/>
                <w:iCs/>
                <w:color w:val="000000"/>
                <w:sz w:val="18"/>
                <w:szCs w:val="18"/>
                <w:lang w:val="sq-AL"/>
              </w:rPr>
              <w:t xml:space="preserve"> </w:t>
            </w:r>
            <w:r w:rsidR="003160CC" w:rsidRPr="00DE4728">
              <w:rPr>
                <w:i/>
                <w:iCs/>
                <w:color w:val="000000"/>
                <w:sz w:val="18"/>
                <w:szCs w:val="18"/>
                <w:lang w:val="sq-AL"/>
              </w:rPr>
              <w:t>për</w:t>
            </w:r>
            <w:r w:rsidRPr="00DE4728">
              <w:rPr>
                <w:i/>
                <w:iCs/>
                <w:color w:val="000000"/>
                <w:sz w:val="18"/>
                <w:szCs w:val="18"/>
                <w:lang w:val="sq-AL"/>
              </w:rPr>
              <w:t xml:space="preserve"> </w:t>
            </w:r>
            <w:r w:rsidR="003160CC" w:rsidRPr="00DE4728">
              <w:rPr>
                <w:i/>
                <w:iCs/>
                <w:color w:val="000000"/>
                <w:sz w:val="18"/>
                <w:szCs w:val="18"/>
                <w:lang w:val="sq-AL"/>
              </w:rPr>
              <w:t>periudhën</w:t>
            </w:r>
            <w:r w:rsidRPr="00DE4728">
              <w:rPr>
                <w:i/>
                <w:iCs/>
                <w:color w:val="000000"/>
                <w:sz w:val="18"/>
                <w:szCs w:val="18"/>
                <w:lang w:val="sq-AL"/>
              </w:rPr>
              <w:t xml:space="preserve"> </w:t>
            </w:r>
            <w:r w:rsidRPr="00DE4728">
              <w:rPr>
                <w:i/>
                <w:iCs/>
                <w:color w:val="000000"/>
                <w:sz w:val="18"/>
                <w:szCs w:val="18"/>
                <w:lang w:val="sq-AL"/>
              </w:rPr>
              <w:lastRenderedPageBreak/>
              <w:t xml:space="preserve">2026-2028. </w:t>
            </w:r>
            <w:r w:rsidR="003160CC" w:rsidRPr="00DE4728">
              <w:rPr>
                <w:i/>
                <w:iCs/>
                <w:color w:val="000000"/>
                <w:sz w:val="18"/>
                <w:szCs w:val="18"/>
                <w:lang w:val="sq-AL"/>
              </w:rPr>
              <w:t>d</w:t>
            </w:r>
            <w:r w:rsidRPr="00DE4728">
              <w:rPr>
                <w:i/>
                <w:iCs/>
                <w:color w:val="000000"/>
                <w:sz w:val="18"/>
                <w:szCs w:val="18"/>
                <w:lang w:val="sq-AL"/>
              </w:rPr>
              <w:t>t.5.2.2025</w:t>
            </w:r>
          </w:p>
        </w:tc>
        <w:tc>
          <w:tcPr>
            <w:tcW w:w="674" w:type="pct"/>
            <w:vMerge w:val="restart"/>
            <w:tcBorders>
              <w:top w:val="single" w:sz="8" w:space="0" w:color="auto"/>
              <w:left w:val="single" w:sz="8" w:space="0" w:color="auto"/>
              <w:bottom w:val="nil"/>
              <w:right w:val="single" w:sz="8" w:space="0" w:color="auto"/>
            </w:tcBorders>
            <w:vAlign w:val="center"/>
            <w:hideMark/>
          </w:tcPr>
          <w:p w14:paraId="51B3014D" w14:textId="6146184A" w:rsidR="00CD089A" w:rsidRPr="00DE4728" w:rsidRDefault="00896DC9" w:rsidP="00607DCB">
            <w:pPr>
              <w:widowControl/>
              <w:autoSpaceDE/>
              <w:autoSpaceDN/>
              <w:spacing w:line="276" w:lineRule="auto"/>
              <w:jc w:val="both"/>
              <w:rPr>
                <w:i/>
                <w:iCs/>
                <w:color w:val="000000"/>
                <w:sz w:val="18"/>
                <w:szCs w:val="18"/>
                <w:lang w:val="sq-AL"/>
              </w:rPr>
            </w:pPr>
            <w:r w:rsidRPr="00DE4728">
              <w:rPr>
                <w:i/>
                <w:iCs/>
                <w:color w:val="000000"/>
                <w:sz w:val="18"/>
                <w:szCs w:val="18"/>
                <w:lang w:val="sq-AL"/>
              </w:rPr>
              <w:lastRenderedPageBreak/>
              <w:t xml:space="preserve">Sipas Kuadrit Makroekonomik Fiskal për periudhën 2026-2028. </w:t>
            </w:r>
            <w:r w:rsidRPr="00DE4728">
              <w:rPr>
                <w:i/>
                <w:iCs/>
                <w:color w:val="000000"/>
                <w:sz w:val="18"/>
                <w:szCs w:val="18"/>
                <w:lang w:val="sq-AL"/>
              </w:rPr>
              <w:lastRenderedPageBreak/>
              <w:t>dt.5.2.2025</w:t>
            </w:r>
            <w:r w:rsidR="00CD089A" w:rsidRPr="00DE4728">
              <w:rPr>
                <w:i/>
                <w:iCs/>
                <w:color w:val="000000"/>
                <w:sz w:val="18"/>
                <w:szCs w:val="18"/>
                <w:lang w:val="sq-AL"/>
              </w:rPr>
              <w:t xml:space="preserve"> në % ndaj PBB</w:t>
            </w:r>
          </w:p>
        </w:tc>
        <w:tc>
          <w:tcPr>
            <w:tcW w:w="659" w:type="pct"/>
            <w:vMerge w:val="restart"/>
            <w:tcBorders>
              <w:top w:val="single" w:sz="8" w:space="0" w:color="auto"/>
              <w:left w:val="single" w:sz="8" w:space="0" w:color="auto"/>
              <w:bottom w:val="nil"/>
              <w:right w:val="single" w:sz="8" w:space="0" w:color="auto"/>
            </w:tcBorders>
            <w:vAlign w:val="center"/>
            <w:hideMark/>
          </w:tcPr>
          <w:p w14:paraId="48B50756" w14:textId="66BA33EE" w:rsidR="003E1EE1"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lastRenderedPageBreak/>
              <w:t>L</w:t>
            </w:r>
            <w:r w:rsidR="00896DC9" w:rsidRPr="00DE4728">
              <w:rPr>
                <w:color w:val="000000"/>
                <w:sz w:val="18"/>
                <w:szCs w:val="18"/>
                <w:lang w:val="sq-AL"/>
              </w:rPr>
              <w:t>igj</w:t>
            </w:r>
            <w:r w:rsidRPr="00DE4728">
              <w:rPr>
                <w:color w:val="000000"/>
                <w:sz w:val="18"/>
                <w:szCs w:val="18"/>
                <w:lang w:val="sq-AL"/>
              </w:rPr>
              <w:br/>
            </w:r>
            <w:r w:rsidR="00896DC9" w:rsidRPr="00DE4728">
              <w:rPr>
                <w:color w:val="000000"/>
                <w:sz w:val="18"/>
                <w:szCs w:val="18"/>
                <w:lang w:val="sq-AL"/>
              </w:rPr>
              <w:t>n</w:t>
            </w:r>
            <w:r w:rsidRPr="00DE4728">
              <w:rPr>
                <w:color w:val="000000"/>
                <w:sz w:val="18"/>
                <w:szCs w:val="18"/>
                <w:lang w:val="sq-AL"/>
              </w:rPr>
              <w:t>r.87/</w:t>
            </w:r>
            <w:r w:rsidR="003E1EE1" w:rsidRPr="00DE4728">
              <w:rPr>
                <w:color w:val="000000"/>
                <w:sz w:val="18"/>
                <w:szCs w:val="18"/>
                <w:lang w:val="sq-AL"/>
              </w:rPr>
              <w:t>2025</w:t>
            </w:r>
          </w:p>
          <w:p w14:paraId="5B45C0A9" w14:textId="0699789E" w:rsidR="00CD089A" w:rsidRPr="00DE4728" w:rsidRDefault="003E1EE1" w:rsidP="00607DCB">
            <w:pPr>
              <w:widowControl/>
              <w:autoSpaceDE/>
              <w:autoSpaceDN/>
              <w:spacing w:line="276" w:lineRule="auto"/>
              <w:jc w:val="both"/>
              <w:rPr>
                <w:color w:val="000000"/>
                <w:sz w:val="18"/>
                <w:szCs w:val="18"/>
                <w:lang w:val="sq-AL"/>
              </w:rPr>
            </w:pPr>
            <w:r w:rsidRPr="00DE4728">
              <w:rPr>
                <w:color w:val="000000"/>
                <w:sz w:val="18"/>
                <w:szCs w:val="18"/>
                <w:lang w:val="sq-AL"/>
              </w:rPr>
              <w:t>P</w:t>
            </w:r>
            <w:r w:rsidR="00896DC9" w:rsidRPr="00DE4728">
              <w:rPr>
                <w:color w:val="000000"/>
                <w:sz w:val="18"/>
                <w:szCs w:val="18"/>
                <w:lang w:val="sq-AL"/>
              </w:rPr>
              <w:t xml:space="preserve">ër </w:t>
            </w:r>
            <w:r w:rsidR="00CD089A" w:rsidRPr="00DE4728">
              <w:rPr>
                <w:color w:val="000000"/>
                <w:sz w:val="18"/>
                <w:szCs w:val="18"/>
                <w:lang w:val="sq-AL"/>
              </w:rPr>
              <w:t>B</w:t>
            </w:r>
            <w:r w:rsidR="00896DC9" w:rsidRPr="00DE4728">
              <w:rPr>
                <w:color w:val="000000"/>
                <w:sz w:val="18"/>
                <w:szCs w:val="18"/>
                <w:lang w:val="sq-AL"/>
              </w:rPr>
              <w:t>uxhetin</w:t>
            </w:r>
            <w:r w:rsidR="00CD089A" w:rsidRPr="00DE4728">
              <w:rPr>
                <w:color w:val="000000"/>
                <w:sz w:val="18"/>
                <w:szCs w:val="18"/>
                <w:lang w:val="sq-AL"/>
              </w:rPr>
              <w:t xml:space="preserve"> </w:t>
            </w:r>
            <w:r w:rsidR="00896DC9" w:rsidRPr="00DE4728">
              <w:rPr>
                <w:color w:val="000000"/>
                <w:sz w:val="18"/>
                <w:szCs w:val="18"/>
                <w:lang w:val="sq-AL"/>
              </w:rPr>
              <w:t>e vitit</w:t>
            </w:r>
            <w:r w:rsidR="00CD089A" w:rsidRPr="00DE4728">
              <w:rPr>
                <w:color w:val="000000"/>
                <w:sz w:val="18"/>
                <w:szCs w:val="18"/>
                <w:lang w:val="sq-AL"/>
              </w:rPr>
              <w:t xml:space="preserve"> 2026</w:t>
            </w:r>
          </w:p>
        </w:tc>
        <w:tc>
          <w:tcPr>
            <w:tcW w:w="528" w:type="pct"/>
            <w:vMerge w:val="restart"/>
            <w:tcBorders>
              <w:top w:val="single" w:sz="8" w:space="0" w:color="auto"/>
              <w:left w:val="single" w:sz="8" w:space="0" w:color="auto"/>
              <w:bottom w:val="nil"/>
              <w:right w:val="single" w:sz="8" w:space="0" w:color="auto"/>
            </w:tcBorders>
            <w:vAlign w:val="center"/>
          </w:tcPr>
          <w:p w14:paraId="42C4EE80" w14:textId="77777777" w:rsidR="00CD089A" w:rsidRPr="00DE4728" w:rsidRDefault="006017C4" w:rsidP="00607DCB">
            <w:pPr>
              <w:widowControl/>
              <w:autoSpaceDE/>
              <w:autoSpaceDN/>
              <w:spacing w:line="276" w:lineRule="auto"/>
              <w:jc w:val="both"/>
              <w:rPr>
                <w:color w:val="000000"/>
                <w:sz w:val="18"/>
                <w:szCs w:val="18"/>
                <w:lang w:val="sq-AL"/>
              </w:rPr>
            </w:pPr>
            <w:r w:rsidRPr="00DE4728">
              <w:rPr>
                <w:color w:val="000000"/>
                <w:sz w:val="18"/>
                <w:szCs w:val="18"/>
                <w:lang w:val="sq-AL"/>
              </w:rPr>
              <w:t>Ligj nr.87/2025</w:t>
            </w:r>
          </w:p>
          <w:p w14:paraId="1DFCFD7F" w14:textId="266942B9" w:rsidR="006017C4" w:rsidRPr="00DE4728" w:rsidRDefault="006017C4" w:rsidP="00607DCB">
            <w:pPr>
              <w:widowControl/>
              <w:autoSpaceDE/>
              <w:autoSpaceDN/>
              <w:spacing w:line="276" w:lineRule="auto"/>
              <w:jc w:val="both"/>
              <w:rPr>
                <w:color w:val="000000"/>
                <w:sz w:val="18"/>
                <w:szCs w:val="18"/>
                <w:lang w:val="sq-AL"/>
              </w:rPr>
            </w:pPr>
            <w:r w:rsidRPr="00DE4728">
              <w:rPr>
                <w:color w:val="000000"/>
                <w:sz w:val="18"/>
                <w:szCs w:val="18"/>
                <w:lang w:val="sq-AL"/>
              </w:rPr>
              <w:t>Per buxhetin e vitit 2026</w:t>
            </w:r>
          </w:p>
        </w:tc>
        <w:tc>
          <w:tcPr>
            <w:tcW w:w="845"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0D95AC69" w14:textId="7EE20753"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Diferenca</w:t>
            </w:r>
            <w:r w:rsidR="003E1EE1" w:rsidRPr="00DE4728">
              <w:rPr>
                <w:color w:val="000000"/>
                <w:sz w:val="18"/>
                <w:szCs w:val="18"/>
                <w:lang w:val="sq-AL"/>
              </w:rPr>
              <w:t xml:space="preserve"> Ligji vs Kuadri</w:t>
            </w:r>
          </w:p>
        </w:tc>
      </w:tr>
      <w:tr w:rsidR="00DE4728" w:rsidRPr="00607DCB" w14:paraId="26FD68AC" w14:textId="77777777" w:rsidTr="00DE4728">
        <w:trPr>
          <w:trHeight w:val="885"/>
        </w:trPr>
        <w:tc>
          <w:tcPr>
            <w:tcW w:w="1440" w:type="pct"/>
            <w:vMerge/>
            <w:tcBorders>
              <w:top w:val="single" w:sz="8" w:space="0" w:color="auto"/>
              <w:left w:val="single" w:sz="8" w:space="0" w:color="auto"/>
              <w:bottom w:val="nil"/>
              <w:right w:val="single" w:sz="8" w:space="0" w:color="auto"/>
            </w:tcBorders>
            <w:vAlign w:val="center"/>
            <w:hideMark/>
          </w:tcPr>
          <w:p w14:paraId="2998B9C6" w14:textId="77777777" w:rsidR="00CD089A" w:rsidRPr="00DE4728" w:rsidRDefault="00CD089A" w:rsidP="00607DCB">
            <w:pPr>
              <w:widowControl/>
              <w:autoSpaceDE/>
              <w:autoSpaceDN/>
              <w:spacing w:line="276" w:lineRule="auto"/>
              <w:jc w:val="both"/>
              <w:rPr>
                <w:color w:val="000000"/>
                <w:sz w:val="18"/>
                <w:szCs w:val="18"/>
                <w:lang w:val="sq-AL"/>
              </w:rPr>
            </w:pPr>
          </w:p>
        </w:tc>
        <w:tc>
          <w:tcPr>
            <w:tcW w:w="730" w:type="pct"/>
            <w:vMerge/>
            <w:tcBorders>
              <w:top w:val="single" w:sz="8" w:space="0" w:color="auto"/>
              <w:left w:val="nil"/>
              <w:bottom w:val="nil"/>
              <w:right w:val="single" w:sz="8" w:space="0" w:color="auto"/>
            </w:tcBorders>
            <w:vAlign w:val="center"/>
            <w:hideMark/>
          </w:tcPr>
          <w:p w14:paraId="631BAFC1" w14:textId="77777777" w:rsidR="00CD089A" w:rsidRPr="00DE4728" w:rsidRDefault="00CD089A" w:rsidP="00607DCB">
            <w:pPr>
              <w:widowControl/>
              <w:autoSpaceDE/>
              <w:autoSpaceDN/>
              <w:spacing w:line="276" w:lineRule="auto"/>
              <w:jc w:val="both"/>
              <w:rPr>
                <w:color w:val="000000"/>
                <w:sz w:val="18"/>
                <w:szCs w:val="18"/>
                <w:lang w:val="sq-AL"/>
              </w:rPr>
            </w:pPr>
          </w:p>
        </w:tc>
        <w:tc>
          <w:tcPr>
            <w:tcW w:w="674" w:type="pct"/>
            <w:vMerge/>
            <w:tcBorders>
              <w:top w:val="single" w:sz="8" w:space="0" w:color="auto"/>
              <w:left w:val="single" w:sz="8" w:space="0" w:color="auto"/>
              <w:bottom w:val="nil"/>
              <w:right w:val="single" w:sz="8" w:space="0" w:color="auto"/>
            </w:tcBorders>
            <w:vAlign w:val="center"/>
            <w:hideMark/>
          </w:tcPr>
          <w:p w14:paraId="38325C40" w14:textId="77777777" w:rsidR="00CD089A" w:rsidRPr="00DE4728" w:rsidRDefault="00CD089A" w:rsidP="00607DCB">
            <w:pPr>
              <w:widowControl/>
              <w:autoSpaceDE/>
              <w:autoSpaceDN/>
              <w:spacing w:line="276" w:lineRule="auto"/>
              <w:jc w:val="both"/>
              <w:rPr>
                <w:color w:val="000000"/>
                <w:sz w:val="18"/>
                <w:szCs w:val="18"/>
                <w:lang w:val="sq-AL"/>
              </w:rPr>
            </w:pPr>
          </w:p>
        </w:tc>
        <w:tc>
          <w:tcPr>
            <w:tcW w:w="659" w:type="pct"/>
            <w:vMerge/>
            <w:tcBorders>
              <w:top w:val="single" w:sz="8" w:space="0" w:color="auto"/>
              <w:left w:val="single" w:sz="8" w:space="0" w:color="auto"/>
              <w:bottom w:val="nil"/>
              <w:right w:val="single" w:sz="8" w:space="0" w:color="auto"/>
            </w:tcBorders>
            <w:vAlign w:val="center"/>
            <w:hideMark/>
          </w:tcPr>
          <w:p w14:paraId="7F09D49E" w14:textId="77777777" w:rsidR="00CD089A" w:rsidRPr="00DE4728" w:rsidRDefault="00CD089A" w:rsidP="00607DCB">
            <w:pPr>
              <w:widowControl/>
              <w:autoSpaceDE/>
              <w:autoSpaceDN/>
              <w:spacing w:line="276" w:lineRule="auto"/>
              <w:jc w:val="both"/>
              <w:rPr>
                <w:color w:val="000000"/>
                <w:sz w:val="18"/>
                <w:szCs w:val="18"/>
                <w:lang w:val="sq-AL"/>
              </w:rPr>
            </w:pPr>
          </w:p>
        </w:tc>
        <w:tc>
          <w:tcPr>
            <w:tcW w:w="528" w:type="pct"/>
            <w:vMerge/>
            <w:tcBorders>
              <w:top w:val="single" w:sz="8" w:space="0" w:color="auto"/>
              <w:left w:val="single" w:sz="8" w:space="0" w:color="auto"/>
              <w:bottom w:val="nil"/>
              <w:right w:val="single" w:sz="8" w:space="0" w:color="auto"/>
            </w:tcBorders>
            <w:vAlign w:val="center"/>
            <w:hideMark/>
          </w:tcPr>
          <w:p w14:paraId="372EBBA4" w14:textId="77777777" w:rsidR="00CD089A" w:rsidRPr="00DE4728" w:rsidRDefault="00CD089A" w:rsidP="00607DCB">
            <w:pPr>
              <w:widowControl/>
              <w:autoSpaceDE/>
              <w:autoSpaceDN/>
              <w:spacing w:line="276" w:lineRule="auto"/>
              <w:jc w:val="both"/>
              <w:rPr>
                <w:color w:val="000000"/>
                <w:sz w:val="18"/>
                <w:szCs w:val="18"/>
                <w:lang w:val="sq-AL"/>
              </w:rPr>
            </w:pPr>
          </w:p>
        </w:tc>
        <w:tc>
          <w:tcPr>
            <w:tcW w:w="845" w:type="pct"/>
            <w:gridSpan w:val="2"/>
            <w:vMerge/>
            <w:tcBorders>
              <w:top w:val="single" w:sz="8" w:space="0" w:color="auto"/>
              <w:left w:val="single" w:sz="8" w:space="0" w:color="auto"/>
              <w:bottom w:val="single" w:sz="8" w:space="0" w:color="000000"/>
              <w:right w:val="single" w:sz="8" w:space="0" w:color="000000"/>
            </w:tcBorders>
            <w:vAlign w:val="center"/>
            <w:hideMark/>
          </w:tcPr>
          <w:p w14:paraId="16E1615E" w14:textId="77777777" w:rsidR="00CD089A" w:rsidRPr="00DE4728" w:rsidRDefault="00CD089A" w:rsidP="00607DCB">
            <w:pPr>
              <w:widowControl/>
              <w:autoSpaceDE/>
              <w:autoSpaceDN/>
              <w:spacing w:line="276" w:lineRule="auto"/>
              <w:jc w:val="both"/>
              <w:rPr>
                <w:color w:val="000000"/>
                <w:sz w:val="18"/>
                <w:szCs w:val="18"/>
                <w:lang w:val="sq-AL"/>
              </w:rPr>
            </w:pPr>
          </w:p>
        </w:tc>
        <w:tc>
          <w:tcPr>
            <w:tcW w:w="124" w:type="pct"/>
            <w:tcBorders>
              <w:top w:val="nil"/>
              <w:left w:val="nil"/>
              <w:bottom w:val="nil"/>
              <w:right w:val="nil"/>
            </w:tcBorders>
            <w:noWrap/>
            <w:vAlign w:val="bottom"/>
            <w:hideMark/>
          </w:tcPr>
          <w:p w14:paraId="5F60FE01" w14:textId="77777777" w:rsidR="00CD089A" w:rsidRPr="00607DCB" w:rsidRDefault="00CD089A" w:rsidP="00607DCB">
            <w:pPr>
              <w:widowControl/>
              <w:autoSpaceDE/>
              <w:autoSpaceDN/>
              <w:spacing w:line="276" w:lineRule="auto"/>
              <w:jc w:val="both"/>
              <w:rPr>
                <w:color w:val="000000"/>
                <w:sz w:val="24"/>
                <w:szCs w:val="24"/>
                <w:lang w:val="sq-AL"/>
              </w:rPr>
            </w:pPr>
          </w:p>
        </w:tc>
      </w:tr>
      <w:tr w:rsidR="006017C4" w:rsidRPr="00607DCB" w14:paraId="35EE50A6" w14:textId="77777777" w:rsidTr="004F3674">
        <w:trPr>
          <w:trHeight w:val="285"/>
        </w:trPr>
        <w:tc>
          <w:tcPr>
            <w:tcW w:w="1440" w:type="pct"/>
            <w:vMerge w:val="restart"/>
            <w:tcBorders>
              <w:top w:val="nil"/>
              <w:left w:val="single" w:sz="8" w:space="0" w:color="auto"/>
              <w:bottom w:val="nil"/>
              <w:right w:val="single" w:sz="8" w:space="0" w:color="auto"/>
            </w:tcBorders>
            <w:noWrap/>
            <w:vAlign w:val="center"/>
            <w:hideMark/>
          </w:tcPr>
          <w:p w14:paraId="62A54F12" w14:textId="77777777" w:rsidR="00CD089A" w:rsidRPr="00DE4728" w:rsidRDefault="00CD089A" w:rsidP="00607DCB">
            <w:pPr>
              <w:widowControl/>
              <w:autoSpaceDE/>
              <w:autoSpaceDN/>
              <w:spacing w:line="276" w:lineRule="auto"/>
              <w:jc w:val="both"/>
              <w:rPr>
                <w:b/>
                <w:bCs/>
                <w:color w:val="000000"/>
                <w:sz w:val="18"/>
                <w:szCs w:val="18"/>
                <w:lang w:val="sq-AL"/>
              </w:rPr>
            </w:pPr>
            <w:r w:rsidRPr="00DE4728">
              <w:rPr>
                <w:b/>
                <w:bCs/>
                <w:color w:val="000000"/>
                <w:sz w:val="18"/>
                <w:szCs w:val="18"/>
                <w:lang w:val="sq-AL"/>
              </w:rPr>
              <w:lastRenderedPageBreak/>
              <w:t>Lloji i taksës</w:t>
            </w:r>
          </w:p>
        </w:tc>
        <w:tc>
          <w:tcPr>
            <w:tcW w:w="730" w:type="pct"/>
            <w:vMerge/>
            <w:tcBorders>
              <w:top w:val="single" w:sz="8" w:space="0" w:color="auto"/>
              <w:left w:val="nil"/>
              <w:bottom w:val="nil"/>
              <w:right w:val="single" w:sz="8" w:space="0" w:color="auto"/>
            </w:tcBorders>
            <w:vAlign w:val="center"/>
            <w:hideMark/>
          </w:tcPr>
          <w:p w14:paraId="7AD75567" w14:textId="77777777" w:rsidR="00CD089A" w:rsidRPr="00DE4728" w:rsidRDefault="00CD089A" w:rsidP="00607DCB">
            <w:pPr>
              <w:widowControl/>
              <w:autoSpaceDE/>
              <w:autoSpaceDN/>
              <w:spacing w:line="276" w:lineRule="auto"/>
              <w:jc w:val="both"/>
              <w:rPr>
                <w:color w:val="000000"/>
                <w:sz w:val="18"/>
                <w:szCs w:val="18"/>
                <w:lang w:val="sq-AL"/>
              </w:rPr>
            </w:pPr>
          </w:p>
        </w:tc>
        <w:tc>
          <w:tcPr>
            <w:tcW w:w="674" w:type="pct"/>
            <w:vMerge/>
            <w:tcBorders>
              <w:top w:val="single" w:sz="8" w:space="0" w:color="auto"/>
              <w:left w:val="single" w:sz="8" w:space="0" w:color="auto"/>
              <w:bottom w:val="nil"/>
              <w:right w:val="single" w:sz="8" w:space="0" w:color="auto"/>
            </w:tcBorders>
            <w:vAlign w:val="center"/>
            <w:hideMark/>
          </w:tcPr>
          <w:p w14:paraId="31F457E4" w14:textId="77777777" w:rsidR="00CD089A" w:rsidRPr="00DE4728" w:rsidRDefault="00CD089A" w:rsidP="00607DCB">
            <w:pPr>
              <w:widowControl/>
              <w:autoSpaceDE/>
              <w:autoSpaceDN/>
              <w:spacing w:line="276" w:lineRule="auto"/>
              <w:jc w:val="both"/>
              <w:rPr>
                <w:color w:val="000000"/>
                <w:sz w:val="18"/>
                <w:szCs w:val="18"/>
                <w:lang w:val="sq-AL"/>
              </w:rPr>
            </w:pPr>
          </w:p>
        </w:tc>
        <w:tc>
          <w:tcPr>
            <w:tcW w:w="659" w:type="pct"/>
            <w:vMerge/>
            <w:tcBorders>
              <w:top w:val="single" w:sz="8" w:space="0" w:color="auto"/>
              <w:left w:val="single" w:sz="8" w:space="0" w:color="auto"/>
              <w:bottom w:val="nil"/>
              <w:right w:val="single" w:sz="8" w:space="0" w:color="auto"/>
            </w:tcBorders>
            <w:vAlign w:val="center"/>
            <w:hideMark/>
          </w:tcPr>
          <w:p w14:paraId="05DC88E5" w14:textId="77777777" w:rsidR="00CD089A" w:rsidRPr="00DE4728" w:rsidRDefault="00CD089A" w:rsidP="00607DCB">
            <w:pPr>
              <w:widowControl/>
              <w:autoSpaceDE/>
              <w:autoSpaceDN/>
              <w:spacing w:line="276" w:lineRule="auto"/>
              <w:jc w:val="both"/>
              <w:rPr>
                <w:color w:val="000000"/>
                <w:sz w:val="18"/>
                <w:szCs w:val="18"/>
                <w:lang w:val="sq-AL"/>
              </w:rPr>
            </w:pPr>
          </w:p>
        </w:tc>
        <w:tc>
          <w:tcPr>
            <w:tcW w:w="528" w:type="pct"/>
            <w:vMerge/>
            <w:tcBorders>
              <w:top w:val="single" w:sz="8" w:space="0" w:color="auto"/>
              <w:left w:val="single" w:sz="8" w:space="0" w:color="auto"/>
              <w:bottom w:val="nil"/>
              <w:right w:val="single" w:sz="8" w:space="0" w:color="auto"/>
            </w:tcBorders>
            <w:vAlign w:val="center"/>
            <w:hideMark/>
          </w:tcPr>
          <w:p w14:paraId="787C5C1B" w14:textId="77777777" w:rsidR="00CD089A" w:rsidRPr="00DE4728" w:rsidRDefault="00CD089A" w:rsidP="00607DCB">
            <w:pPr>
              <w:widowControl/>
              <w:autoSpaceDE/>
              <w:autoSpaceDN/>
              <w:spacing w:line="276" w:lineRule="auto"/>
              <w:jc w:val="both"/>
              <w:rPr>
                <w:color w:val="000000"/>
                <w:sz w:val="18"/>
                <w:szCs w:val="18"/>
                <w:lang w:val="sq-AL"/>
              </w:rPr>
            </w:pPr>
          </w:p>
        </w:tc>
        <w:tc>
          <w:tcPr>
            <w:tcW w:w="474" w:type="pct"/>
            <w:vMerge w:val="restart"/>
            <w:tcBorders>
              <w:top w:val="nil"/>
              <w:left w:val="single" w:sz="8" w:space="0" w:color="auto"/>
              <w:bottom w:val="nil"/>
              <w:right w:val="single" w:sz="8" w:space="0" w:color="auto"/>
            </w:tcBorders>
            <w:vAlign w:val="center"/>
            <w:hideMark/>
          </w:tcPr>
          <w:p w14:paraId="55E66A5F"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në vlerë</w:t>
            </w:r>
          </w:p>
        </w:tc>
        <w:tc>
          <w:tcPr>
            <w:tcW w:w="371" w:type="pct"/>
            <w:vMerge w:val="restart"/>
            <w:tcBorders>
              <w:top w:val="nil"/>
              <w:left w:val="single" w:sz="8" w:space="0" w:color="auto"/>
              <w:bottom w:val="nil"/>
              <w:right w:val="single" w:sz="8" w:space="0" w:color="auto"/>
            </w:tcBorders>
            <w:noWrap/>
            <w:vAlign w:val="center"/>
            <w:hideMark/>
          </w:tcPr>
          <w:p w14:paraId="038BB461"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 ndaj PBB</w:t>
            </w:r>
          </w:p>
        </w:tc>
        <w:tc>
          <w:tcPr>
            <w:tcW w:w="124" w:type="pct"/>
            <w:vAlign w:val="center"/>
            <w:hideMark/>
          </w:tcPr>
          <w:p w14:paraId="21939600" w14:textId="77777777" w:rsidR="00CD089A" w:rsidRPr="00607DCB" w:rsidRDefault="00CD089A" w:rsidP="00607DCB">
            <w:pPr>
              <w:widowControl/>
              <w:autoSpaceDE/>
              <w:autoSpaceDN/>
              <w:spacing w:line="276" w:lineRule="auto"/>
              <w:jc w:val="both"/>
              <w:rPr>
                <w:sz w:val="24"/>
                <w:szCs w:val="24"/>
                <w:lang w:val="sq-AL"/>
              </w:rPr>
            </w:pPr>
          </w:p>
        </w:tc>
      </w:tr>
      <w:tr w:rsidR="006017C4" w:rsidRPr="00607DCB" w14:paraId="09FD9CE9" w14:textId="77777777" w:rsidTr="004F3674">
        <w:trPr>
          <w:trHeight w:val="285"/>
        </w:trPr>
        <w:tc>
          <w:tcPr>
            <w:tcW w:w="1440" w:type="pct"/>
            <w:vMerge/>
            <w:tcBorders>
              <w:top w:val="nil"/>
              <w:left w:val="single" w:sz="8" w:space="0" w:color="auto"/>
              <w:bottom w:val="nil"/>
              <w:right w:val="single" w:sz="8" w:space="0" w:color="auto"/>
            </w:tcBorders>
            <w:vAlign w:val="center"/>
            <w:hideMark/>
          </w:tcPr>
          <w:p w14:paraId="1298B132" w14:textId="77777777" w:rsidR="00CD089A" w:rsidRPr="00DE4728" w:rsidRDefault="00CD089A" w:rsidP="00607DCB">
            <w:pPr>
              <w:widowControl/>
              <w:autoSpaceDE/>
              <w:autoSpaceDN/>
              <w:spacing w:line="276" w:lineRule="auto"/>
              <w:jc w:val="both"/>
              <w:rPr>
                <w:color w:val="000000"/>
                <w:sz w:val="18"/>
                <w:szCs w:val="18"/>
                <w:lang w:val="sq-AL"/>
              </w:rPr>
            </w:pPr>
          </w:p>
        </w:tc>
        <w:tc>
          <w:tcPr>
            <w:tcW w:w="730" w:type="pct"/>
            <w:vMerge/>
            <w:tcBorders>
              <w:top w:val="single" w:sz="8" w:space="0" w:color="auto"/>
              <w:left w:val="nil"/>
              <w:bottom w:val="nil"/>
              <w:right w:val="single" w:sz="8" w:space="0" w:color="auto"/>
            </w:tcBorders>
            <w:vAlign w:val="center"/>
            <w:hideMark/>
          </w:tcPr>
          <w:p w14:paraId="06D28A2F" w14:textId="77777777" w:rsidR="00CD089A" w:rsidRPr="00DE4728" w:rsidRDefault="00CD089A" w:rsidP="00607DCB">
            <w:pPr>
              <w:widowControl/>
              <w:autoSpaceDE/>
              <w:autoSpaceDN/>
              <w:spacing w:line="276" w:lineRule="auto"/>
              <w:jc w:val="both"/>
              <w:rPr>
                <w:color w:val="000000"/>
                <w:sz w:val="18"/>
                <w:szCs w:val="18"/>
                <w:lang w:val="sq-AL"/>
              </w:rPr>
            </w:pPr>
          </w:p>
        </w:tc>
        <w:tc>
          <w:tcPr>
            <w:tcW w:w="674" w:type="pct"/>
            <w:vMerge/>
            <w:tcBorders>
              <w:top w:val="single" w:sz="8" w:space="0" w:color="auto"/>
              <w:left w:val="single" w:sz="8" w:space="0" w:color="auto"/>
              <w:bottom w:val="nil"/>
              <w:right w:val="single" w:sz="8" w:space="0" w:color="auto"/>
            </w:tcBorders>
            <w:vAlign w:val="center"/>
            <w:hideMark/>
          </w:tcPr>
          <w:p w14:paraId="560BD755" w14:textId="77777777" w:rsidR="00CD089A" w:rsidRPr="00DE4728" w:rsidRDefault="00CD089A" w:rsidP="00607DCB">
            <w:pPr>
              <w:widowControl/>
              <w:autoSpaceDE/>
              <w:autoSpaceDN/>
              <w:spacing w:line="276" w:lineRule="auto"/>
              <w:jc w:val="both"/>
              <w:rPr>
                <w:color w:val="000000"/>
                <w:sz w:val="18"/>
                <w:szCs w:val="18"/>
                <w:lang w:val="sq-AL"/>
              </w:rPr>
            </w:pPr>
          </w:p>
        </w:tc>
        <w:tc>
          <w:tcPr>
            <w:tcW w:w="659" w:type="pct"/>
            <w:vMerge/>
            <w:tcBorders>
              <w:top w:val="single" w:sz="8" w:space="0" w:color="auto"/>
              <w:left w:val="single" w:sz="8" w:space="0" w:color="auto"/>
              <w:bottom w:val="nil"/>
              <w:right w:val="single" w:sz="8" w:space="0" w:color="auto"/>
            </w:tcBorders>
            <w:vAlign w:val="center"/>
            <w:hideMark/>
          </w:tcPr>
          <w:p w14:paraId="1F50C2CE" w14:textId="77777777" w:rsidR="00CD089A" w:rsidRPr="00DE4728" w:rsidRDefault="00CD089A" w:rsidP="00607DCB">
            <w:pPr>
              <w:widowControl/>
              <w:autoSpaceDE/>
              <w:autoSpaceDN/>
              <w:spacing w:line="276" w:lineRule="auto"/>
              <w:jc w:val="both"/>
              <w:rPr>
                <w:color w:val="000000"/>
                <w:sz w:val="18"/>
                <w:szCs w:val="18"/>
                <w:lang w:val="sq-AL"/>
              </w:rPr>
            </w:pPr>
          </w:p>
        </w:tc>
        <w:tc>
          <w:tcPr>
            <w:tcW w:w="528" w:type="pct"/>
            <w:vMerge/>
            <w:tcBorders>
              <w:top w:val="single" w:sz="8" w:space="0" w:color="auto"/>
              <w:left w:val="single" w:sz="8" w:space="0" w:color="auto"/>
              <w:bottom w:val="nil"/>
              <w:right w:val="single" w:sz="8" w:space="0" w:color="auto"/>
            </w:tcBorders>
            <w:vAlign w:val="center"/>
            <w:hideMark/>
          </w:tcPr>
          <w:p w14:paraId="784E1407" w14:textId="77777777" w:rsidR="00CD089A" w:rsidRPr="00DE4728" w:rsidRDefault="00CD089A" w:rsidP="00607DCB">
            <w:pPr>
              <w:widowControl/>
              <w:autoSpaceDE/>
              <w:autoSpaceDN/>
              <w:spacing w:line="276" w:lineRule="auto"/>
              <w:jc w:val="both"/>
              <w:rPr>
                <w:color w:val="000000"/>
                <w:sz w:val="18"/>
                <w:szCs w:val="18"/>
                <w:lang w:val="sq-AL"/>
              </w:rPr>
            </w:pPr>
          </w:p>
        </w:tc>
        <w:tc>
          <w:tcPr>
            <w:tcW w:w="474" w:type="pct"/>
            <w:vMerge/>
            <w:tcBorders>
              <w:top w:val="nil"/>
              <w:left w:val="single" w:sz="8" w:space="0" w:color="auto"/>
              <w:bottom w:val="nil"/>
              <w:right w:val="single" w:sz="8" w:space="0" w:color="auto"/>
            </w:tcBorders>
            <w:vAlign w:val="center"/>
            <w:hideMark/>
          </w:tcPr>
          <w:p w14:paraId="66633D69" w14:textId="77777777" w:rsidR="00CD089A" w:rsidRPr="00607DCB" w:rsidRDefault="00CD089A" w:rsidP="00607DCB">
            <w:pPr>
              <w:widowControl/>
              <w:autoSpaceDE/>
              <w:autoSpaceDN/>
              <w:spacing w:line="276" w:lineRule="auto"/>
              <w:jc w:val="both"/>
              <w:rPr>
                <w:color w:val="000000"/>
                <w:sz w:val="24"/>
                <w:szCs w:val="24"/>
                <w:lang w:val="sq-AL"/>
              </w:rPr>
            </w:pPr>
          </w:p>
        </w:tc>
        <w:tc>
          <w:tcPr>
            <w:tcW w:w="371" w:type="pct"/>
            <w:vMerge/>
            <w:tcBorders>
              <w:top w:val="nil"/>
              <w:left w:val="single" w:sz="8" w:space="0" w:color="auto"/>
              <w:bottom w:val="nil"/>
              <w:right w:val="single" w:sz="8" w:space="0" w:color="auto"/>
            </w:tcBorders>
            <w:vAlign w:val="center"/>
            <w:hideMark/>
          </w:tcPr>
          <w:p w14:paraId="0837E281" w14:textId="77777777" w:rsidR="00CD089A" w:rsidRPr="00607DCB" w:rsidRDefault="00CD089A" w:rsidP="00607DCB">
            <w:pPr>
              <w:widowControl/>
              <w:autoSpaceDE/>
              <w:autoSpaceDN/>
              <w:spacing w:line="276" w:lineRule="auto"/>
              <w:jc w:val="both"/>
              <w:rPr>
                <w:color w:val="000000"/>
                <w:sz w:val="24"/>
                <w:szCs w:val="24"/>
                <w:lang w:val="sq-AL"/>
              </w:rPr>
            </w:pPr>
          </w:p>
        </w:tc>
        <w:tc>
          <w:tcPr>
            <w:tcW w:w="124" w:type="pct"/>
            <w:tcBorders>
              <w:top w:val="nil"/>
              <w:left w:val="nil"/>
              <w:bottom w:val="nil"/>
              <w:right w:val="nil"/>
            </w:tcBorders>
            <w:noWrap/>
            <w:vAlign w:val="bottom"/>
            <w:hideMark/>
          </w:tcPr>
          <w:p w14:paraId="62F91DEB" w14:textId="77777777" w:rsidR="00CD089A" w:rsidRPr="00607DCB" w:rsidRDefault="00CD089A" w:rsidP="00607DCB">
            <w:pPr>
              <w:widowControl/>
              <w:autoSpaceDE/>
              <w:autoSpaceDN/>
              <w:spacing w:line="276" w:lineRule="auto"/>
              <w:jc w:val="both"/>
              <w:rPr>
                <w:color w:val="000000"/>
                <w:sz w:val="24"/>
                <w:szCs w:val="24"/>
                <w:lang w:val="sq-AL"/>
              </w:rPr>
            </w:pPr>
          </w:p>
        </w:tc>
      </w:tr>
      <w:tr w:rsidR="006017C4" w:rsidRPr="00607DCB" w14:paraId="7C3D7228" w14:textId="77777777" w:rsidTr="004F3674">
        <w:trPr>
          <w:trHeight w:val="285"/>
        </w:trPr>
        <w:tc>
          <w:tcPr>
            <w:tcW w:w="1440" w:type="pct"/>
            <w:vMerge/>
            <w:tcBorders>
              <w:top w:val="nil"/>
              <w:left w:val="single" w:sz="8" w:space="0" w:color="auto"/>
              <w:bottom w:val="nil"/>
              <w:right w:val="single" w:sz="8" w:space="0" w:color="auto"/>
            </w:tcBorders>
            <w:vAlign w:val="center"/>
            <w:hideMark/>
          </w:tcPr>
          <w:p w14:paraId="617956A2" w14:textId="77777777" w:rsidR="00CD089A" w:rsidRPr="00DE4728" w:rsidRDefault="00CD089A" w:rsidP="00607DCB">
            <w:pPr>
              <w:widowControl/>
              <w:autoSpaceDE/>
              <w:autoSpaceDN/>
              <w:spacing w:line="276" w:lineRule="auto"/>
              <w:jc w:val="both"/>
              <w:rPr>
                <w:color w:val="000000"/>
                <w:sz w:val="18"/>
                <w:szCs w:val="18"/>
                <w:lang w:val="sq-AL"/>
              </w:rPr>
            </w:pPr>
          </w:p>
        </w:tc>
        <w:tc>
          <w:tcPr>
            <w:tcW w:w="730" w:type="pct"/>
            <w:vMerge/>
            <w:tcBorders>
              <w:top w:val="single" w:sz="8" w:space="0" w:color="auto"/>
              <w:left w:val="nil"/>
              <w:bottom w:val="nil"/>
              <w:right w:val="single" w:sz="8" w:space="0" w:color="auto"/>
            </w:tcBorders>
            <w:vAlign w:val="center"/>
            <w:hideMark/>
          </w:tcPr>
          <w:p w14:paraId="06FD6357" w14:textId="77777777" w:rsidR="00CD089A" w:rsidRPr="00DE4728" w:rsidRDefault="00CD089A" w:rsidP="00607DCB">
            <w:pPr>
              <w:widowControl/>
              <w:autoSpaceDE/>
              <w:autoSpaceDN/>
              <w:spacing w:line="276" w:lineRule="auto"/>
              <w:jc w:val="both"/>
              <w:rPr>
                <w:color w:val="000000"/>
                <w:sz w:val="18"/>
                <w:szCs w:val="18"/>
                <w:lang w:val="sq-AL"/>
              </w:rPr>
            </w:pPr>
          </w:p>
        </w:tc>
        <w:tc>
          <w:tcPr>
            <w:tcW w:w="674" w:type="pct"/>
            <w:vMerge/>
            <w:tcBorders>
              <w:top w:val="single" w:sz="8" w:space="0" w:color="auto"/>
              <w:left w:val="single" w:sz="8" w:space="0" w:color="auto"/>
              <w:bottom w:val="nil"/>
              <w:right w:val="single" w:sz="8" w:space="0" w:color="auto"/>
            </w:tcBorders>
            <w:vAlign w:val="center"/>
            <w:hideMark/>
          </w:tcPr>
          <w:p w14:paraId="41D8B5F4" w14:textId="77777777" w:rsidR="00CD089A" w:rsidRPr="00DE4728" w:rsidRDefault="00CD089A" w:rsidP="00607DCB">
            <w:pPr>
              <w:widowControl/>
              <w:autoSpaceDE/>
              <w:autoSpaceDN/>
              <w:spacing w:line="276" w:lineRule="auto"/>
              <w:jc w:val="both"/>
              <w:rPr>
                <w:color w:val="000000"/>
                <w:sz w:val="18"/>
                <w:szCs w:val="18"/>
                <w:lang w:val="sq-AL"/>
              </w:rPr>
            </w:pPr>
          </w:p>
        </w:tc>
        <w:tc>
          <w:tcPr>
            <w:tcW w:w="659" w:type="pct"/>
            <w:vMerge/>
            <w:tcBorders>
              <w:top w:val="single" w:sz="8" w:space="0" w:color="auto"/>
              <w:left w:val="single" w:sz="8" w:space="0" w:color="auto"/>
              <w:bottom w:val="nil"/>
              <w:right w:val="single" w:sz="8" w:space="0" w:color="auto"/>
            </w:tcBorders>
            <w:vAlign w:val="center"/>
            <w:hideMark/>
          </w:tcPr>
          <w:p w14:paraId="31C93812" w14:textId="77777777" w:rsidR="00CD089A" w:rsidRPr="00DE4728" w:rsidRDefault="00CD089A" w:rsidP="00607DCB">
            <w:pPr>
              <w:widowControl/>
              <w:autoSpaceDE/>
              <w:autoSpaceDN/>
              <w:spacing w:line="276" w:lineRule="auto"/>
              <w:jc w:val="both"/>
              <w:rPr>
                <w:color w:val="000000"/>
                <w:sz w:val="18"/>
                <w:szCs w:val="18"/>
                <w:lang w:val="sq-AL"/>
              </w:rPr>
            </w:pPr>
          </w:p>
        </w:tc>
        <w:tc>
          <w:tcPr>
            <w:tcW w:w="528" w:type="pct"/>
            <w:vMerge/>
            <w:tcBorders>
              <w:top w:val="single" w:sz="8" w:space="0" w:color="auto"/>
              <w:left w:val="single" w:sz="8" w:space="0" w:color="auto"/>
              <w:bottom w:val="nil"/>
              <w:right w:val="single" w:sz="8" w:space="0" w:color="auto"/>
            </w:tcBorders>
            <w:vAlign w:val="center"/>
            <w:hideMark/>
          </w:tcPr>
          <w:p w14:paraId="0F78C9A2" w14:textId="77777777" w:rsidR="00CD089A" w:rsidRPr="00DE4728" w:rsidRDefault="00CD089A" w:rsidP="00607DCB">
            <w:pPr>
              <w:widowControl/>
              <w:autoSpaceDE/>
              <w:autoSpaceDN/>
              <w:spacing w:line="276" w:lineRule="auto"/>
              <w:jc w:val="both"/>
              <w:rPr>
                <w:color w:val="000000"/>
                <w:sz w:val="18"/>
                <w:szCs w:val="18"/>
                <w:lang w:val="sq-AL"/>
              </w:rPr>
            </w:pPr>
          </w:p>
        </w:tc>
        <w:tc>
          <w:tcPr>
            <w:tcW w:w="474" w:type="pct"/>
            <w:vMerge/>
            <w:tcBorders>
              <w:top w:val="nil"/>
              <w:left w:val="single" w:sz="8" w:space="0" w:color="auto"/>
              <w:bottom w:val="nil"/>
              <w:right w:val="single" w:sz="8" w:space="0" w:color="auto"/>
            </w:tcBorders>
            <w:vAlign w:val="center"/>
            <w:hideMark/>
          </w:tcPr>
          <w:p w14:paraId="27DBFD15" w14:textId="77777777" w:rsidR="00CD089A" w:rsidRPr="00607DCB" w:rsidRDefault="00CD089A" w:rsidP="00607DCB">
            <w:pPr>
              <w:widowControl/>
              <w:autoSpaceDE/>
              <w:autoSpaceDN/>
              <w:spacing w:line="276" w:lineRule="auto"/>
              <w:jc w:val="both"/>
              <w:rPr>
                <w:color w:val="000000"/>
                <w:sz w:val="24"/>
                <w:szCs w:val="24"/>
                <w:lang w:val="sq-AL"/>
              </w:rPr>
            </w:pPr>
          </w:p>
        </w:tc>
        <w:tc>
          <w:tcPr>
            <w:tcW w:w="371" w:type="pct"/>
            <w:vMerge/>
            <w:tcBorders>
              <w:top w:val="nil"/>
              <w:left w:val="single" w:sz="8" w:space="0" w:color="auto"/>
              <w:bottom w:val="nil"/>
              <w:right w:val="single" w:sz="8" w:space="0" w:color="auto"/>
            </w:tcBorders>
            <w:vAlign w:val="center"/>
            <w:hideMark/>
          </w:tcPr>
          <w:p w14:paraId="3D88CF11" w14:textId="77777777" w:rsidR="00CD089A" w:rsidRPr="00607DCB" w:rsidRDefault="00CD089A" w:rsidP="00607DCB">
            <w:pPr>
              <w:widowControl/>
              <w:autoSpaceDE/>
              <w:autoSpaceDN/>
              <w:spacing w:line="276" w:lineRule="auto"/>
              <w:jc w:val="both"/>
              <w:rPr>
                <w:color w:val="000000"/>
                <w:sz w:val="24"/>
                <w:szCs w:val="24"/>
                <w:lang w:val="sq-AL"/>
              </w:rPr>
            </w:pPr>
          </w:p>
        </w:tc>
        <w:tc>
          <w:tcPr>
            <w:tcW w:w="124" w:type="pct"/>
            <w:tcBorders>
              <w:top w:val="nil"/>
              <w:left w:val="nil"/>
              <w:bottom w:val="nil"/>
              <w:right w:val="nil"/>
            </w:tcBorders>
            <w:noWrap/>
            <w:vAlign w:val="bottom"/>
            <w:hideMark/>
          </w:tcPr>
          <w:p w14:paraId="447CA11B" w14:textId="77777777" w:rsidR="00CD089A" w:rsidRPr="00607DCB" w:rsidRDefault="00CD089A" w:rsidP="00607DCB">
            <w:pPr>
              <w:widowControl/>
              <w:autoSpaceDE/>
              <w:autoSpaceDN/>
              <w:spacing w:line="276" w:lineRule="auto"/>
              <w:jc w:val="both"/>
              <w:rPr>
                <w:sz w:val="24"/>
                <w:szCs w:val="24"/>
                <w:lang w:val="sq-AL"/>
              </w:rPr>
            </w:pPr>
          </w:p>
        </w:tc>
      </w:tr>
      <w:tr w:rsidR="006017C4" w:rsidRPr="00607DCB" w14:paraId="4AB6EA6F" w14:textId="77777777" w:rsidTr="004F3674">
        <w:trPr>
          <w:trHeight w:val="285"/>
        </w:trPr>
        <w:tc>
          <w:tcPr>
            <w:tcW w:w="1440" w:type="pct"/>
            <w:vMerge/>
            <w:tcBorders>
              <w:top w:val="nil"/>
              <w:left w:val="single" w:sz="8" w:space="0" w:color="auto"/>
              <w:bottom w:val="nil"/>
              <w:right w:val="single" w:sz="8" w:space="0" w:color="auto"/>
            </w:tcBorders>
            <w:vAlign w:val="center"/>
            <w:hideMark/>
          </w:tcPr>
          <w:p w14:paraId="5C515134" w14:textId="77777777" w:rsidR="00CD089A" w:rsidRPr="00DE4728" w:rsidRDefault="00CD089A" w:rsidP="00607DCB">
            <w:pPr>
              <w:widowControl/>
              <w:autoSpaceDE/>
              <w:autoSpaceDN/>
              <w:spacing w:line="276" w:lineRule="auto"/>
              <w:jc w:val="both"/>
              <w:rPr>
                <w:color w:val="000000"/>
                <w:sz w:val="18"/>
                <w:szCs w:val="18"/>
                <w:lang w:val="sq-AL"/>
              </w:rPr>
            </w:pPr>
          </w:p>
        </w:tc>
        <w:tc>
          <w:tcPr>
            <w:tcW w:w="730" w:type="pct"/>
            <w:tcBorders>
              <w:top w:val="nil"/>
              <w:left w:val="nil"/>
              <w:bottom w:val="nil"/>
              <w:right w:val="single" w:sz="8" w:space="0" w:color="auto"/>
            </w:tcBorders>
            <w:vAlign w:val="center"/>
            <w:hideMark/>
          </w:tcPr>
          <w:p w14:paraId="36A52EA7"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 </w:t>
            </w:r>
          </w:p>
        </w:tc>
        <w:tc>
          <w:tcPr>
            <w:tcW w:w="674" w:type="pct"/>
            <w:vMerge/>
            <w:tcBorders>
              <w:top w:val="single" w:sz="8" w:space="0" w:color="auto"/>
              <w:left w:val="single" w:sz="8" w:space="0" w:color="auto"/>
              <w:bottom w:val="nil"/>
              <w:right w:val="single" w:sz="8" w:space="0" w:color="auto"/>
            </w:tcBorders>
            <w:vAlign w:val="center"/>
            <w:hideMark/>
          </w:tcPr>
          <w:p w14:paraId="79FB92AF" w14:textId="77777777" w:rsidR="00CD089A" w:rsidRPr="00DE4728" w:rsidRDefault="00CD089A" w:rsidP="00607DCB">
            <w:pPr>
              <w:widowControl/>
              <w:autoSpaceDE/>
              <w:autoSpaceDN/>
              <w:spacing w:line="276" w:lineRule="auto"/>
              <w:jc w:val="both"/>
              <w:rPr>
                <w:color w:val="000000"/>
                <w:sz w:val="18"/>
                <w:szCs w:val="18"/>
                <w:lang w:val="sq-AL"/>
              </w:rPr>
            </w:pPr>
          </w:p>
        </w:tc>
        <w:tc>
          <w:tcPr>
            <w:tcW w:w="659" w:type="pct"/>
            <w:tcBorders>
              <w:top w:val="nil"/>
              <w:left w:val="nil"/>
              <w:bottom w:val="nil"/>
              <w:right w:val="single" w:sz="8" w:space="0" w:color="auto"/>
            </w:tcBorders>
            <w:vAlign w:val="center"/>
            <w:hideMark/>
          </w:tcPr>
          <w:p w14:paraId="4337317F"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 </w:t>
            </w:r>
          </w:p>
        </w:tc>
        <w:tc>
          <w:tcPr>
            <w:tcW w:w="528" w:type="pct"/>
            <w:tcBorders>
              <w:top w:val="nil"/>
              <w:left w:val="nil"/>
              <w:bottom w:val="nil"/>
              <w:right w:val="single" w:sz="8" w:space="0" w:color="auto"/>
            </w:tcBorders>
            <w:vAlign w:val="center"/>
            <w:hideMark/>
          </w:tcPr>
          <w:p w14:paraId="37729A99"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 </w:t>
            </w:r>
          </w:p>
        </w:tc>
        <w:tc>
          <w:tcPr>
            <w:tcW w:w="474" w:type="pct"/>
            <w:vMerge/>
            <w:tcBorders>
              <w:top w:val="nil"/>
              <w:left w:val="single" w:sz="8" w:space="0" w:color="auto"/>
              <w:bottom w:val="nil"/>
              <w:right w:val="single" w:sz="8" w:space="0" w:color="auto"/>
            </w:tcBorders>
            <w:vAlign w:val="center"/>
            <w:hideMark/>
          </w:tcPr>
          <w:p w14:paraId="42A1A1AB" w14:textId="77777777" w:rsidR="00CD089A" w:rsidRPr="00607DCB" w:rsidRDefault="00CD089A" w:rsidP="00607DCB">
            <w:pPr>
              <w:widowControl/>
              <w:autoSpaceDE/>
              <w:autoSpaceDN/>
              <w:spacing w:line="276" w:lineRule="auto"/>
              <w:jc w:val="both"/>
              <w:rPr>
                <w:color w:val="000000"/>
                <w:sz w:val="24"/>
                <w:szCs w:val="24"/>
                <w:lang w:val="sq-AL"/>
              </w:rPr>
            </w:pPr>
          </w:p>
        </w:tc>
        <w:tc>
          <w:tcPr>
            <w:tcW w:w="371" w:type="pct"/>
            <w:vMerge/>
            <w:tcBorders>
              <w:top w:val="nil"/>
              <w:left w:val="single" w:sz="8" w:space="0" w:color="auto"/>
              <w:bottom w:val="nil"/>
              <w:right w:val="single" w:sz="8" w:space="0" w:color="auto"/>
            </w:tcBorders>
            <w:vAlign w:val="center"/>
            <w:hideMark/>
          </w:tcPr>
          <w:p w14:paraId="4DC3FEE7" w14:textId="77777777" w:rsidR="00CD089A" w:rsidRPr="00607DCB" w:rsidRDefault="00CD089A" w:rsidP="00607DCB">
            <w:pPr>
              <w:widowControl/>
              <w:autoSpaceDE/>
              <w:autoSpaceDN/>
              <w:spacing w:line="276" w:lineRule="auto"/>
              <w:jc w:val="both"/>
              <w:rPr>
                <w:color w:val="000000"/>
                <w:sz w:val="24"/>
                <w:szCs w:val="24"/>
                <w:lang w:val="sq-AL"/>
              </w:rPr>
            </w:pPr>
          </w:p>
        </w:tc>
        <w:tc>
          <w:tcPr>
            <w:tcW w:w="124" w:type="pct"/>
            <w:vAlign w:val="center"/>
            <w:hideMark/>
          </w:tcPr>
          <w:p w14:paraId="7316BF54" w14:textId="77777777" w:rsidR="00CD089A" w:rsidRPr="00607DCB" w:rsidRDefault="00CD089A" w:rsidP="00607DCB">
            <w:pPr>
              <w:widowControl/>
              <w:autoSpaceDE/>
              <w:autoSpaceDN/>
              <w:spacing w:line="276" w:lineRule="auto"/>
              <w:jc w:val="both"/>
              <w:rPr>
                <w:sz w:val="24"/>
                <w:szCs w:val="24"/>
                <w:lang w:val="sq-AL"/>
              </w:rPr>
            </w:pPr>
          </w:p>
        </w:tc>
      </w:tr>
      <w:tr w:rsidR="006017C4" w:rsidRPr="00607DCB" w14:paraId="4FD97855" w14:textId="77777777" w:rsidTr="004F3674">
        <w:trPr>
          <w:trHeight w:val="54"/>
        </w:trPr>
        <w:tc>
          <w:tcPr>
            <w:tcW w:w="1440" w:type="pct"/>
            <w:tcBorders>
              <w:top w:val="nil"/>
              <w:left w:val="single" w:sz="8" w:space="0" w:color="auto"/>
              <w:bottom w:val="single" w:sz="8" w:space="0" w:color="auto"/>
              <w:right w:val="single" w:sz="8" w:space="0" w:color="auto"/>
            </w:tcBorders>
            <w:noWrap/>
            <w:vAlign w:val="center"/>
            <w:hideMark/>
          </w:tcPr>
          <w:p w14:paraId="664C73F9" w14:textId="77777777" w:rsidR="00CD089A" w:rsidRPr="00DE4728" w:rsidRDefault="00CD089A" w:rsidP="00607DCB">
            <w:pPr>
              <w:widowControl/>
              <w:autoSpaceDE/>
              <w:autoSpaceDN/>
              <w:spacing w:line="276" w:lineRule="auto"/>
              <w:jc w:val="both"/>
              <w:rPr>
                <w:b/>
                <w:bCs/>
                <w:color w:val="000000"/>
                <w:sz w:val="18"/>
                <w:szCs w:val="18"/>
                <w:lang w:val="sq-AL"/>
              </w:rPr>
            </w:pPr>
            <w:r w:rsidRPr="00DE4728">
              <w:rPr>
                <w:b/>
                <w:bCs/>
                <w:color w:val="000000"/>
                <w:sz w:val="18"/>
                <w:szCs w:val="18"/>
                <w:lang w:val="sq-AL"/>
              </w:rPr>
              <w:t>PBB</w:t>
            </w:r>
          </w:p>
        </w:tc>
        <w:tc>
          <w:tcPr>
            <w:tcW w:w="730" w:type="pct"/>
            <w:tcBorders>
              <w:top w:val="nil"/>
              <w:left w:val="nil"/>
              <w:bottom w:val="single" w:sz="8" w:space="0" w:color="auto"/>
              <w:right w:val="single" w:sz="8" w:space="0" w:color="auto"/>
            </w:tcBorders>
            <w:vAlign w:val="center"/>
            <w:hideMark/>
          </w:tcPr>
          <w:p w14:paraId="1E09F485" w14:textId="77777777" w:rsidR="00CD089A" w:rsidRPr="00DE4728" w:rsidRDefault="00CD089A" w:rsidP="00607DCB">
            <w:pPr>
              <w:widowControl/>
              <w:autoSpaceDE/>
              <w:autoSpaceDN/>
              <w:spacing w:line="276" w:lineRule="auto"/>
              <w:jc w:val="both"/>
              <w:rPr>
                <w:color w:val="000000"/>
                <w:sz w:val="18"/>
                <w:szCs w:val="18"/>
                <w:lang w:val="sq-AL"/>
              </w:rPr>
            </w:pPr>
            <w:r w:rsidRPr="00DE4728">
              <w:rPr>
                <w:color w:val="000000"/>
                <w:sz w:val="18"/>
                <w:szCs w:val="18"/>
                <w:lang w:val="sq-AL"/>
              </w:rPr>
              <w:t> </w:t>
            </w:r>
          </w:p>
        </w:tc>
        <w:tc>
          <w:tcPr>
            <w:tcW w:w="674" w:type="pct"/>
            <w:tcBorders>
              <w:top w:val="nil"/>
              <w:left w:val="nil"/>
              <w:bottom w:val="single" w:sz="8" w:space="0" w:color="auto"/>
              <w:right w:val="single" w:sz="8" w:space="0" w:color="auto"/>
            </w:tcBorders>
            <w:vAlign w:val="center"/>
            <w:hideMark/>
          </w:tcPr>
          <w:p w14:paraId="637A50D6" w14:textId="77777777" w:rsidR="00896DC9" w:rsidRPr="00DE4728" w:rsidRDefault="00CD089A" w:rsidP="00607DCB">
            <w:pPr>
              <w:widowControl/>
              <w:autoSpaceDE/>
              <w:autoSpaceDN/>
              <w:spacing w:line="276" w:lineRule="auto"/>
              <w:jc w:val="both"/>
              <w:rPr>
                <w:b/>
                <w:bCs/>
                <w:color w:val="000000"/>
                <w:sz w:val="18"/>
                <w:szCs w:val="18"/>
                <w:lang w:val="sq-AL"/>
              </w:rPr>
            </w:pPr>
            <w:r w:rsidRPr="00DE4728">
              <w:rPr>
                <w:b/>
                <w:bCs/>
                <w:color w:val="000000"/>
                <w:sz w:val="18"/>
                <w:szCs w:val="18"/>
                <w:lang w:val="sq-AL"/>
              </w:rPr>
              <w:t xml:space="preserve">     </w:t>
            </w:r>
          </w:p>
          <w:p w14:paraId="7EF65CB7" w14:textId="5291B409" w:rsidR="00CD089A" w:rsidRPr="00DE4728" w:rsidRDefault="004F3674" w:rsidP="00607DCB">
            <w:pPr>
              <w:widowControl/>
              <w:autoSpaceDE/>
              <w:autoSpaceDN/>
              <w:spacing w:line="276" w:lineRule="auto"/>
              <w:jc w:val="both"/>
              <w:rPr>
                <w:b/>
                <w:bCs/>
                <w:color w:val="000000"/>
                <w:sz w:val="18"/>
                <w:szCs w:val="18"/>
                <w:lang w:val="sq-AL"/>
              </w:rPr>
            </w:pPr>
            <w:r w:rsidRPr="004F3674">
              <w:rPr>
                <w:b/>
                <w:bCs/>
                <w:color w:val="000000"/>
                <w:sz w:val="18"/>
                <w:szCs w:val="18"/>
                <w:lang w:val="sq-AL"/>
              </w:rPr>
              <w:t>2,756,663</w:t>
            </w:r>
          </w:p>
        </w:tc>
        <w:tc>
          <w:tcPr>
            <w:tcW w:w="659" w:type="pct"/>
            <w:tcBorders>
              <w:top w:val="nil"/>
              <w:left w:val="nil"/>
              <w:bottom w:val="single" w:sz="8" w:space="0" w:color="auto"/>
              <w:right w:val="single" w:sz="8" w:space="0" w:color="auto"/>
            </w:tcBorders>
            <w:vAlign w:val="center"/>
            <w:hideMark/>
          </w:tcPr>
          <w:p w14:paraId="4C4FE6D8" w14:textId="77777777" w:rsidR="00CD089A" w:rsidRPr="00DE4728" w:rsidRDefault="00CD089A" w:rsidP="00607DCB">
            <w:pPr>
              <w:widowControl/>
              <w:autoSpaceDE/>
              <w:autoSpaceDN/>
              <w:spacing w:line="276" w:lineRule="auto"/>
              <w:jc w:val="both"/>
              <w:rPr>
                <w:b/>
                <w:bCs/>
                <w:color w:val="000000"/>
                <w:sz w:val="18"/>
                <w:szCs w:val="18"/>
                <w:lang w:val="sq-AL"/>
              </w:rPr>
            </w:pPr>
            <w:r w:rsidRPr="00DE4728">
              <w:rPr>
                <w:b/>
                <w:bCs/>
                <w:color w:val="000000"/>
                <w:sz w:val="18"/>
                <w:szCs w:val="18"/>
                <w:lang w:val="sq-AL"/>
              </w:rPr>
              <w:t> </w:t>
            </w:r>
          </w:p>
        </w:tc>
        <w:tc>
          <w:tcPr>
            <w:tcW w:w="528" w:type="pct"/>
            <w:tcBorders>
              <w:top w:val="nil"/>
              <w:left w:val="nil"/>
              <w:bottom w:val="single" w:sz="8" w:space="0" w:color="auto"/>
              <w:right w:val="single" w:sz="8" w:space="0" w:color="auto"/>
            </w:tcBorders>
            <w:vAlign w:val="center"/>
            <w:hideMark/>
          </w:tcPr>
          <w:p w14:paraId="3057CACE" w14:textId="7AFF2740" w:rsidR="00CD089A" w:rsidRPr="00DE4728" w:rsidRDefault="00CD089A" w:rsidP="00607DCB">
            <w:pPr>
              <w:widowControl/>
              <w:autoSpaceDE/>
              <w:autoSpaceDN/>
              <w:spacing w:line="276" w:lineRule="auto"/>
              <w:jc w:val="both"/>
              <w:rPr>
                <w:b/>
                <w:bCs/>
                <w:color w:val="000000"/>
                <w:sz w:val="18"/>
                <w:szCs w:val="18"/>
                <w:lang w:val="sq-AL"/>
              </w:rPr>
            </w:pPr>
            <w:r w:rsidRPr="00DE4728">
              <w:rPr>
                <w:b/>
                <w:bCs/>
                <w:color w:val="000000"/>
                <w:sz w:val="18"/>
                <w:szCs w:val="18"/>
                <w:lang w:val="sq-AL"/>
              </w:rPr>
              <w:t xml:space="preserve">    </w:t>
            </w:r>
            <w:r w:rsidR="004F3674" w:rsidRPr="004F3674">
              <w:rPr>
                <w:b/>
                <w:bCs/>
                <w:color w:val="000000"/>
                <w:sz w:val="18"/>
                <w:szCs w:val="18"/>
                <w:lang w:val="sq-AL"/>
              </w:rPr>
              <w:t>2,756,663</w:t>
            </w:r>
          </w:p>
        </w:tc>
        <w:tc>
          <w:tcPr>
            <w:tcW w:w="474" w:type="pct"/>
            <w:tcBorders>
              <w:top w:val="nil"/>
              <w:left w:val="nil"/>
              <w:bottom w:val="single" w:sz="8" w:space="0" w:color="auto"/>
              <w:right w:val="single" w:sz="8" w:space="0" w:color="auto"/>
            </w:tcBorders>
            <w:vAlign w:val="center"/>
            <w:hideMark/>
          </w:tcPr>
          <w:p w14:paraId="330C0E9D" w14:textId="77777777" w:rsidR="00CD089A" w:rsidRPr="00607DCB" w:rsidRDefault="00CD089A" w:rsidP="00607DCB">
            <w:pPr>
              <w:widowControl/>
              <w:autoSpaceDE/>
              <w:autoSpaceDN/>
              <w:spacing w:line="276" w:lineRule="auto"/>
              <w:jc w:val="both"/>
              <w:rPr>
                <w:color w:val="000000"/>
                <w:sz w:val="24"/>
                <w:szCs w:val="24"/>
                <w:lang w:val="sq-AL"/>
              </w:rPr>
            </w:pPr>
            <w:r w:rsidRPr="00607DCB">
              <w:rPr>
                <w:color w:val="000000"/>
                <w:sz w:val="24"/>
                <w:szCs w:val="24"/>
                <w:lang w:val="sq-AL"/>
              </w:rPr>
              <w:t> </w:t>
            </w:r>
          </w:p>
        </w:tc>
        <w:tc>
          <w:tcPr>
            <w:tcW w:w="371" w:type="pct"/>
            <w:tcBorders>
              <w:top w:val="nil"/>
              <w:left w:val="nil"/>
              <w:bottom w:val="single" w:sz="8" w:space="0" w:color="auto"/>
              <w:right w:val="single" w:sz="8" w:space="0" w:color="auto"/>
            </w:tcBorders>
            <w:noWrap/>
            <w:vAlign w:val="center"/>
            <w:hideMark/>
          </w:tcPr>
          <w:p w14:paraId="70996557" w14:textId="77777777" w:rsidR="00CD089A" w:rsidRPr="00607DCB" w:rsidRDefault="00CD089A" w:rsidP="00607DCB">
            <w:pPr>
              <w:widowControl/>
              <w:autoSpaceDE/>
              <w:autoSpaceDN/>
              <w:spacing w:line="276" w:lineRule="auto"/>
              <w:jc w:val="both"/>
              <w:rPr>
                <w:color w:val="000000"/>
                <w:sz w:val="24"/>
                <w:szCs w:val="24"/>
                <w:lang w:val="sq-AL"/>
              </w:rPr>
            </w:pPr>
            <w:r w:rsidRPr="00607DCB">
              <w:rPr>
                <w:color w:val="000000"/>
                <w:sz w:val="24"/>
                <w:szCs w:val="24"/>
                <w:lang w:val="sq-AL"/>
              </w:rPr>
              <w:t> </w:t>
            </w:r>
          </w:p>
        </w:tc>
        <w:tc>
          <w:tcPr>
            <w:tcW w:w="124" w:type="pct"/>
            <w:vAlign w:val="center"/>
            <w:hideMark/>
          </w:tcPr>
          <w:p w14:paraId="47D19F4F" w14:textId="77777777" w:rsidR="00CD089A" w:rsidRPr="00607DCB" w:rsidRDefault="00CD089A" w:rsidP="00607DCB">
            <w:pPr>
              <w:widowControl/>
              <w:autoSpaceDE/>
              <w:autoSpaceDN/>
              <w:spacing w:line="276" w:lineRule="auto"/>
              <w:jc w:val="both"/>
              <w:rPr>
                <w:sz w:val="24"/>
                <w:szCs w:val="24"/>
                <w:lang w:val="sq-AL"/>
              </w:rPr>
            </w:pPr>
          </w:p>
        </w:tc>
      </w:tr>
      <w:tr w:rsidR="004F3674" w:rsidRPr="00607DCB" w14:paraId="1746CD7D" w14:textId="77777777" w:rsidTr="004F3674">
        <w:trPr>
          <w:trHeight w:val="285"/>
        </w:trPr>
        <w:tc>
          <w:tcPr>
            <w:tcW w:w="1440" w:type="pct"/>
            <w:tcBorders>
              <w:top w:val="nil"/>
              <w:left w:val="single" w:sz="8" w:space="0" w:color="auto"/>
              <w:bottom w:val="nil"/>
              <w:right w:val="single" w:sz="8" w:space="0" w:color="auto"/>
            </w:tcBorders>
            <w:noWrap/>
            <w:vAlign w:val="center"/>
            <w:hideMark/>
          </w:tcPr>
          <w:p w14:paraId="64EA3E87"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Totali i TVSH-së neto</w:t>
            </w:r>
          </w:p>
        </w:tc>
        <w:tc>
          <w:tcPr>
            <w:tcW w:w="730" w:type="pct"/>
            <w:tcBorders>
              <w:top w:val="nil"/>
              <w:left w:val="nil"/>
              <w:bottom w:val="nil"/>
              <w:right w:val="single" w:sz="8" w:space="0" w:color="auto"/>
            </w:tcBorders>
            <w:vAlign w:val="center"/>
          </w:tcPr>
          <w:p w14:paraId="096D9F3B" w14:textId="7D4E3EC5" w:rsidR="004F3674" w:rsidRPr="004F3674" w:rsidRDefault="004F3674" w:rsidP="004865BC">
            <w:pPr>
              <w:jc w:val="center"/>
              <w:rPr>
                <w:color w:val="000000"/>
                <w:sz w:val="16"/>
                <w:szCs w:val="16"/>
              </w:rPr>
            </w:pPr>
            <w:r>
              <w:rPr>
                <w:color w:val="000000"/>
                <w:sz w:val="16"/>
                <w:szCs w:val="16"/>
              </w:rPr>
              <w:t>253,760</w:t>
            </w:r>
          </w:p>
        </w:tc>
        <w:tc>
          <w:tcPr>
            <w:tcW w:w="674" w:type="pct"/>
            <w:tcBorders>
              <w:top w:val="nil"/>
              <w:left w:val="nil"/>
              <w:bottom w:val="nil"/>
              <w:right w:val="single" w:sz="8" w:space="0" w:color="auto"/>
            </w:tcBorders>
            <w:vAlign w:val="center"/>
          </w:tcPr>
          <w:p w14:paraId="4D825A46" w14:textId="55D3E091"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9.2%</w:t>
            </w:r>
          </w:p>
        </w:tc>
        <w:tc>
          <w:tcPr>
            <w:tcW w:w="659" w:type="pct"/>
            <w:tcBorders>
              <w:top w:val="nil"/>
              <w:left w:val="nil"/>
              <w:bottom w:val="nil"/>
              <w:right w:val="single" w:sz="8" w:space="0" w:color="auto"/>
            </w:tcBorders>
            <w:vAlign w:val="center"/>
          </w:tcPr>
          <w:p w14:paraId="1CCDFFFB" w14:textId="51B68205"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242,546</w:t>
            </w:r>
          </w:p>
        </w:tc>
        <w:tc>
          <w:tcPr>
            <w:tcW w:w="528" w:type="pct"/>
            <w:tcBorders>
              <w:top w:val="nil"/>
              <w:left w:val="nil"/>
              <w:bottom w:val="nil"/>
              <w:right w:val="single" w:sz="8" w:space="0" w:color="auto"/>
            </w:tcBorders>
            <w:vAlign w:val="center"/>
          </w:tcPr>
          <w:p w14:paraId="25E1FDC7" w14:textId="3447D4FA"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8.8%</w:t>
            </w:r>
          </w:p>
        </w:tc>
        <w:tc>
          <w:tcPr>
            <w:tcW w:w="474" w:type="pct"/>
            <w:tcBorders>
              <w:top w:val="nil"/>
              <w:left w:val="nil"/>
              <w:bottom w:val="nil"/>
              <w:right w:val="single" w:sz="8" w:space="0" w:color="auto"/>
            </w:tcBorders>
            <w:vAlign w:val="center"/>
          </w:tcPr>
          <w:p w14:paraId="69D17A9B" w14:textId="0970F8B0"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- 11,214</w:t>
            </w:r>
          </w:p>
        </w:tc>
        <w:tc>
          <w:tcPr>
            <w:tcW w:w="371" w:type="pct"/>
            <w:tcBorders>
              <w:top w:val="nil"/>
              <w:left w:val="nil"/>
              <w:bottom w:val="nil"/>
              <w:right w:val="single" w:sz="8" w:space="0" w:color="auto"/>
            </w:tcBorders>
            <w:vAlign w:val="center"/>
          </w:tcPr>
          <w:p w14:paraId="245978CF" w14:textId="3F3F2C1E"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-0.4%</w:t>
            </w:r>
          </w:p>
        </w:tc>
        <w:tc>
          <w:tcPr>
            <w:tcW w:w="124" w:type="pct"/>
            <w:vAlign w:val="center"/>
            <w:hideMark/>
          </w:tcPr>
          <w:p w14:paraId="177C5147"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4DD3B10C" w14:textId="77777777" w:rsidTr="004F3674">
        <w:trPr>
          <w:trHeight w:val="285"/>
        </w:trPr>
        <w:tc>
          <w:tcPr>
            <w:tcW w:w="1440" w:type="pct"/>
            <w:tcBorders>
              <w:top w:val="nil"/>
              <w:left w:val="single" w:sz="8" w:space="0" w:color="auto"/>
              <w:bottom w:val="nil"/>
              <w:right w:val="single" w:sz="8" w:space="0" w:color="auto"/>
            </w:tcBorders>
            <w:noWrap/>
            <w:vAlign w:val="center"/>
            <w:hideMark/>
          </w:tcPr>
          <w:p w14:paraId="1245ECD6"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Tatimi mbi fitimin</w:t>
            </w:r>
          </w:p>
        </w:tc>
        <w:tc>
          <w:tcPr>
            <w:tcW w:w="730" w:type="pct"/>
            <w:tcBorders>
              <w:top w:val="nil"/>
              <w:left w:val="nil"/>
              <w:bottom w:val="nil"/>
              <w:right w:val="single" w:sz="8" w:space="0" w:color="auto"/>
            </w:tcBorders>
            <w:noWrap/>
            <w:vAlign w:val="center"/>
          </w:tcPr>
          <w:p w14:paraId="1F9B789A" w14:textId="56EE97E0" w:rsidR="004F3674" w:rsidRPr="004F3674" w:rsidRDefault="004F3674" w:rsidP="004865BC">
            <w:pPr>
              <w:jc w:val="center"/>
              <w:rPr>
                <w:color w:val="000000"/>
                <w:sz w:val="16"/>
                <w:szCs w:val="16"/>
              </w:rPr>
            </w:pPr>
            <w:r>
              <w:rPr>
                <w:color w:val="000000"/>
                <w:sz w:val="16"/>
                <w:szCs w:val="16"/>
              </w:rPr>
              <w:t>69,065</w:t>
            </w:r>
          </w:p>
        </w:tc>
        <w:tc>
          <w:tcPr>
            <w:tcW w:w="674" w:type="pct"/>
            <w:tcBorders>
              <w:top w:val="nil"/>
              <w:left w:val="nil"/>
              <w:bottom w:val="nil"/>
              <w:right w:val="single" w:sz="8" w:space="0" w:color="auto"/>
            </w:tcBorders>
            <w:noWrap/>
            <w:vAlign w:val="center"/>
          </w:tcPr>
          <w:p w14:paraId="2A6E81E4" w14:textId="3C5B047A"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2.5%</w:t>
            </w:r>
          </w:p>
        </w:tc>
        <w:tc>
          <w:tcPr>
            <w:tcW w:w="659" w:type="pct"/>
            <w:tcBorders>
              <w:top w:val="nil"/>
              <w:left w:val="nil"/>
              <w:bottom w:val="nil"/>
              <w:right w:val="single" w:sz="8" w:space="0" w:color="auto"/>
            </w:tcBorders>
            <w:noWrap/>
            <w:vAlign w:val="center"/>
          </w:tcPr>
          <w:p w14:paraId="6C79C86A" w14:textId="61A6E15E"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65,078</w:t>
            </w:r>
          </w:p>
        </w:tc>
        <w:tc>
          <w:tcPr>
            <w:tcW w:w="528" w:type="pct"/>
            <w:tcBorders>
              <w:top w:val="nil"/>
              <w:left w:val="nil"/>
              <w:bottom w:val="nil"/>
              <w:right w:val="single" w:sz="8" w:space="0" w:color="auto"/>
            </w:tcBorders>
            <w:vAlign w:val="center"/>
          </w:tcPr>
          <w:p w14:paraId="170A7A61" w14:textId="42C242AD"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2.4%</w:t>
            </w:r>
          </w:p>
        </w:tc>
        <w:tc>
          <w:tcPr>
            <w:tcW w:w="474" w:type="pct"/>
            <w:tcBorders>
              <w:top w:val="nil"/>
              <w:left w:val="nil"/>
              <w:bottom w:val="nil"/>
              <w:right w:val="single" w:sz="8" w:space="0" w:color="auto"/>
            </w:tcBorders>
            <w:vAlign w:val="center"/>
          </w:tcPr>
          <w:p w14:paraId="08059610" w14:textId="4E01238C"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- 3,987</w:t>
            </w:r>
          </w:p>
        </w:tc>
        <w:tc>
          <w:tcPr>
            <w:tcW w:w="371" w:type="pct"/>
            <w:tcBorders>
              <w:top w:val="nil"/>
              <w:left w:val="nil"/>
              <w:bottom w:val="nil"/>
              <w:right w:val="single" w:sz="8" w:space="0" w:color="auto"/>
            </w:tcBorders>
            <w:vAlign w:val="center"/>
          </w:tcPr>
          <w:p w14:paraId="595A877A" w14:textId="758C56C2"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-0.1%</w:t>
            </w:r>
          </w:p>
        </w:tc>
        <w:tc>
          <w:tcPr>
            <w:tcW w:w="124" w:type="pct"/>
            <w:vAlign w:val="center"/>
            <w:hideMark/>
          </w:tcPr>
          <w:p w14:paraId="010C3ED9"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788C2256" w14:textId="77777777" w:rsidTr="004F3674">
        <w:trPr>
          <w:trHeight w:val="285"/>
        </w:trPr>
        <w:tc>
          <w:tcPr>
            <w:tcW w:w="1440" w:type="pct"/>
            <w:tcBorders>
              <w:top w:val="nil"/>
              <w:left w:val="single" w:sz="8" w:space="0" w:color="auto"/>
              <w:bottom w:val="nil"/>
              <w:right w:val="single" w:sz="8" w:space="0" w:color="auto"/>
            </w:tcBorders>
            <w:noWrap/>
            <w:vAlign w:val="center"/>
            <w:hideMark/>
          </w:tcPr>
          <w:p w14:paraId="4D3BE543"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Akciza</w:t>
            </w:r>
          </w:p>
        </w:tc>
        <w:tc>
          <w:tcPr>
            <w:tcW w:w="730" w:type="pct"/>
            <w:tcBorders>
              <w:top w:val="nil"/>
              <w:left w:val="nil"/>
              <w:bottom w:val="nil"/>
              <w:right w:val="single" w:sz="8" w:space="0" w:color="auto"/>
            </w:tcBorders>
            <w:noWrap/>
            <w:vAlign w:val="center"/>
          </w:tcPr>
          <w:p w14:paraId="0DD720B9" w14:textId="1E3BD7CA"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70,813</w:t>
            </w:r>
          </w:p>
        </w:tc>
        <w:tc>
          <w:tcPr>
            <w:tcW w:w="674" w:type="pct"/>
            <w:tcBorders>
              <w:top w:val="nil"/>
              <w:left w:val="nil"/>
              <w:bottom w:val="nil"/>
              <w:right w:val="single" w:sz="8" w:space="0" w:color="auto"/>
            </w:tcBorders>
            <w:noWrap/>
            <w:vAlign w:val="center"/>
          </w:tcPr>
          <w:p w14:paraId="110F0378" w14:textId="0AC78215"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2.6%</w:t>
            </w:r>
          </w:p>
        </w:tc>
        <w:tc>
          <w:tcPr>
            <w:tcW w:w="659" w:type="pct"/>
            <w:tcBorders>
              <w:top w:val="nil"/>
              <w:left w:val="nil"/>
              <w:bottom w:val="nil"/>
              <w:right w:val="single" w:sz="8" w:space="0" w:color="auto"/>
            </w:tcBorders>
            <w:noWrap/>
            <w:vAlign w:val="center"/>
          </w:tcPr>
          <w:p w14:paraId="0804D728" w14:textId="5A20AE09"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74,672</w:t>
            </w:r>
          </w:p>
        </w:tc>
        <w:tc>
          <w:tcPr>
            <w:tcW w:w="528" w:type="pct"/>
            <w:tcBorders>
              <w:top w:val="nil"/>
              <w:left w:val="nil"/>
              <w:bottom w:val="nil"/>
              <w:right w:val="single" w:sz="8" w:space="0" w:color="auto"/>
            </w:tcBorders>
            <w:vAlign w:val="center"/>
          </w:tcPr>
          <w:p w14:paraId="3CBED4BA" w14:textId="3184C81B"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2.7%</w:t>
            </w:r>
          </w:p>
        </w:tc>
        <w:tc>
          <w:tcPr>
            <w:tcW w:w="474" w:type="pct"/>
            <w:tcBorders>
              <w:top w:val="nil"/>
              <w:left w:val="nil"/>
              <w:bottom w:val="nil"/>
              <w:right w:val="single" w:sz="8" w:space="0" w:color="auto"/>
            </w:tcBorders>
            <w:vAlign w:val="center"/>
          </w:tcPr>
          <w:p w14:paraId="7FF3AA13" w14:textId="1CBD80C3"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3,859</w:t>
            </w:r>
          </w:p>
        </w:tc>
        <w:tc>
          <w:tcPr>
            <w:tcW w:w="371" w:type="pct"/>
            <w:tcBorders>
              <w:top w:val="nil"/>
              <w:left w:val="nil"/>
              <w:bottom w:val="nil"/>
              <w:right w:val="single" w:sz="8" w:space="0" w:color="auto"/>
            </w:tcBorders>
            <w:vAlign w:val="center"/>
          </w:tcPr>
          <w:p w14:paraId="41D0982F" w14:textId="73A95794" w:rsidR="004F3674" w:rsidRPr="00DE4728" w:rsidRDefault="004865BC" w:rsidP="004865BC">
            <w:pPr>
              <w:widowControl/>
              <w:autoSpaceDE/>
              <w:autoSpaceDN/>
              <w:spacing w:line="276" w:lineRule="auto"/>
              <w:jc w:val="center"/>
              <w:rPr>
                <w:color w:val="000000"/>
                <w:sz w:val="20"/>
                <w:szCs w:val="20"/>
                <w:lang w:val="sq-AL"/>
              </w:rPr>
            </w:pPr>
            <w:r>
              <w:rPr>
                <w:color w:val="000000"/>
                <w:sz w:val="16"/>
                <w:szCs w:val="16"/>
              </w:rPr>
              <w:t xml:space="preserve"> </w:t>
            </w:r>
            <w:r w:rsidR="004F3674">
              <w:rPr>
                <w:color w:val="000000"/>
                <w:sz w:val="16"/>
                <w:szCs w:val="16"/>
              </w:rPr>
              <w:t>0.1%</w:t>
            </w:r>
          </w:p>
        </w:tc>
        <w:tc>
          <w:tcPr>
            <w:tcW w:w="124" w:type="pct"/>
            <w:vAlign w:val="center"/>
            <w:hideMark/>
          </w:tcPr>
          <w:p w14:paraId="7A6B1185"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6540E479" w14:textId="77777777" w:rsidTr="004F3674">
        <w:trPr>
          <w:trHeight w:val="285"/>
        </w:trPr>
        <w:tc>
          <w:tcPr>
            <w:tcW w:w="1440" w:type="pct"/>
            <w:tcBorders>
              <w:top w:val="nil"/>
              <w:left w:val="single" w:sz="8" w:space="0" w:color="auto"/>
              <w:bottom w:val="nil"/>
              <w:right w:val="single" w:sz="8" w:space="0" w:color="auto"/>
            </w:tcBorders>
            <w:noWrap/>
            <w:vAlign w:val="center"/>
            <w:hideMark/>
          </w:tcPr>
          <w:p w14:paraId="330E235F"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Tatimi mbi të ardhurat personale</w:t>
            </w:r>
          </w:p>
        </w:tc>
        <w:tc>
          <w:tcPr>
            <w:tcW w:w="730" w:type="pct"/>
            <w:tcBorders>
              <w:top w:val="nil"/>
              <w:left w:val="nil"/>
              <w:bottom w:val="nil"/>
              <w:right w:val="single" w:sz="8" w:space="0" w:color="auto"/>
            </w:tcBorders>
            <w:noWrap/>
            <w:vAlign w:val="center"/>
          </w:tcPr>
          <w:p w14:paraId="406FBD2B" w14:textId="78D22936"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74,347</w:t>
            </w:r>
          </w:p>
        </w:tc>
        <w:tc>
          <w:tcPr>
            <w:tcW w:w="674" w:type="pct"/>
            <w:tcBorders>
              <w:top w:val="nil"/>
              <w:left w:val="nil"/>
              <w:bottom w:val="nil"/>
              <w:right w:val="single" w:sz="8" w:space="0" w:color="auto"/>
            </w:tcBorders>
            <w:noWrap/>
            <w:vAlign w:val="center"/>
          </w:tcPr>
          <w:p w14:paraId="19B8E34E" w14:textId="22D6173A"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2.7%</w:t>
            </w:r>
          </w:p>
        </w:tc>
        <w:tc>
          <w:tcPr>
            <w:tcW w:w="659" w:type="pct"/>
            <w:tcBorders>
              <w:top w:val="nil"/>
              <w:left w:val="nil"/>
              <w:bottom w:val="nil"/>
              <w:right w:val="single" w:sz="8" w:space="0" w:color="auto"/>
            </w:tcBorders>
            <w:noWrap/>
            <w:vAlign w:val="center"/>
          </w:tcPr>
          <w:p w14:paraId="64F4E227" w14:textId="32C175C6"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88,339</w:t>
            </w:r>
          </w:p>
        </w:tc>
        <w:tc>
          <w:tcPr>
            <w:tcW w:w="528" w:type="pct"/>
            <w:tcBorders>
              <w:top w:val="nil"/>
              <w:left w:val="nil"/>
              <w:bottom w:val="nil"/>
              <w:right w:val="single" w:sz="8" w:space="0" w:color="auto"/>
            </w:tcBorders>
            <w:vAlign w:val="center"/>
          </w:tcPr>
          <w:p w14:paraId="2194E290" w14:textId="4DFD84CE"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3.2%</w:t>
            </w:r>
          </w:p>
        </w:tc>
        <w:tc>
          <w:tcPr>
            <w:tcW w:w="474" w:type="pct"/>
            <w:tcBorders>
              <w:top w:val="nil"/>
              <w:left w:val="nil"/>
              <w:bottom w:val="nil"/>
              <w:right w:val="single" w:sz="8" w:space="0" w:color="auto"/>
            </w:tcBorders>
            <w:vAlign w:val="center"/>
          </w:tcPr>
          <w:p w14:paraId="67C47378" w14:textId="2C2EFF62"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13,992</w:t>
            </w:r>
          </w:p>
        </w:tc>
        <w:tc>
          <w:tcPr>
            <w:tcW w:w="371" w:type="pct"/>
            <w:tcBorders>
              <w:top w:val="nil"/>
              <w:left w:val="nil"/>
              <w:bottom w:val="nil"/>
              <w:right w:val="single" w:sz="8" w:space="0" w:color="auto"/>
            </w:tcBorders>
            <w:vAlign w:val="center"/>
          </w:tcPr>
          <w:p w14:paraId="768EB588" w14:textId="4702C964"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0.5%</w:t>
            </w:r>
          </w:p>
        </w:tc>
        <w:tc>
          <w:tcPr>
            <w:tcW w:w="124" w:type="pct"/>
            <w:vAlign w:val="center"/>
            <w:hideMark/>
          </w:tcPr>
          <w:p w14:paraId="5BD714AC"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76E7C927" w14:textId="77777777" w:rsidTr="004F3674">
        <w:trPr>
          <w:trHeight w:val="285"/>
        </w:trPr>
        <w:tc>
          <w:tcPr>
            <w:tcW w:w="1440" w:type="pct"/>
            <w:tcBorders>
              <w:top w:val="nil"/>
              <w:left w:val="single" w:sz="8" w:space="0" w:color="auto"/>
              <w:bottom w:val="nil"/>
              <w:right w:val="single" w:sz="8" w:space="0" w:color="auto"/>
            </w:tcBorders>
            <w:noWrap/>
            <w:vAlign w:val="center"/>
            <w:hideMark/>
          </w:tcPr>
          <w:p w14:paraId="0589D592"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Totali i Taksave Kombëtare</w:t>
            </w:r>
          </w:p>
        </w:tc>
        <w:tc>
          <w:tcPr>
            <w:tcW w:w="730" w:type="pct"/>
            <w:tcBorders>
              <w:top w:val="nil"/>
              <w:left w:val="nil"/>
              <w:bottom w:val="nil"/>
              <w:right w:val="single" w:sz="8" w:space="0" w:color="auto"/>
            </w:tcBorders>
            <w:noWrap/>
            <w:vAlign w:val="center"/>
          </w:tcPr>
          <w:p w14:paraId="13D2ECD3" w14:textId="3183EBBD"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52,222</w:t>
            </w:r>
          </w:p>
        </w:tc>
        <w:tc>
          <w:tcPr>
            <w:tcW w:w="674" w:type="pct"/>
            <w:tcBorders>
              <w:top w:val="nil"/>
              <w:left w:val="nil"/>
              <w:bottom w:val="nil"/>
              <w:right w:val="single" w:sz="8" w:space="0" w:color="auto"/>
            </w:tcBorders>
            <w:noWrap/>
            <w:vAlign w:val="center"/>
          </w:tcPr>
          <w:p w14:paraId="1DD429A1" w14:textId="0A45DD5F"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1.9%</w:t>
            </w:r>
          </w:p>
        </w:tc>
        <w:tc>
          <w:tcPr>
            <w:tcW w:w="659" w:type="pct"/>
            <w:tcBorders>
              <w:top w:val="nil"/>
              <w:left w:val="nil"/>
              <w:bottom w:val="nil"/>
              <w:right w:val="single" w:sz="8" w:space="0" w:color="auto"/>
            </w:tcBorders>
            <w:noWrap/>
            <w:vAlign w:val="center"/>
          </w:tcPr>
          <w:p w14:paraId="6F4DCA32" w14:textId="42CFF2FD"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49,589</w:t>
            </w:r>
          </w:p>
        </w:tc>
        <w:tc>
          <w:tcPr>
            <w:tcW w:w="528" w:type="pct"/>
            <w:tcBorders>
              <w:top w:val="nil"/>
              <w:left w:val="nil"/>
              <w:bottom w:val="nil"/>
              <w:right w:val="single" w:sz="8" w:space="0" w:color="auto"/>
            </w:tcBorders>
            <w:vAlign w:val="center"/>
          </w:tcPr>
          <w:p w14:paraId="1652CFA9" w14:textId="11DCBA3D"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1.8%</w:t>
            </w:r>
          </w:p>
        </w:tc>
        <w:tc>
          <w:tcPr>
            <w:tcW w:w="474" w:type="pct"/>
            <w:tcBorders>
              <w:top w:val="nil"/>
              <w:left w:val="nil"/>
              <w:bottom w:val="nil"/>
              <w:right w:val="single" w:sz="8" w:space="0" w:color="auto"/>
            </w:tcBorders>
            <w:vAlign w:val="center"/>
          </w:tcPr>
          <w:p w14:paraId="01F544AA" w14:textId="2208107F"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  2,633</w:t>
            </w:r>
          </w:p>
        </w:tc>
        <w:tc>
          <w:tcPr>
            <w:tcW w:w="371" w:type="pct"/>
            <w:tcBorders>
              <w:top w:val="nil"/>
              <w:left w:val="nil"/>
              <w:bottom w:val="nil"/>
              <w:right w:val="single" w:sz="8" w:space="0" w:color="auto"/>
            </w:tcBorders>
            <w:vAlign w:val="center"/>
          </w:tcPr>
          <w:p w14:paraId="3957DF10" w14:textId="50F4E0A3"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-0.1%</w:t>
            </w:r>
          </w:p>
        </w:tc>
        <w:tc>
          <w:tcPr>
            <w:tcW w:w="124" w:type="pct"/>
            <w:vAlign w:val="center"/>
            <w:hideMark/>
          </w:tcPr>
          <w:p w14:paraId="7B153038"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3D608F24" w14:textId="77777777" w:rsidTr="004F3674">
        <w:trPr>
          <w:trHeight w:val="299"/>
        </w:trPr>
        <w:tc>
          <w:tcPr>
            <w:tcW w:w="1440" w:type="pct"/>
            <w:tcBorders>
              <w:top w:val="nil"/>
              <w:left w:val="single" w:sz="8" w:space="0" w:color="auto"/>
              <w:bottom w:val="nil"/>
              <w:right w:val="single" w:sz="8" w:space="0" w:color="auto"/>
            </w:tcBorders>
            <w:noWrap/>
            <w:vAlign w:val="center"/>
            <w:hideMark/>
          </w:tcPr>
          <w:p w14:paraId="351CE444" w14:textId="77777777" w:rsidR="004F3674" w:rsidRPr="00DE4728" w:rsidRDefault="004F3674" w:rsidP="004F3674">
            <w:pPr>
              <w:widowControl/>
              <w:autoSpaceDE/>
              <w:autoSpaceDN/>
              <w:spacing w:line="276" w:lineRule="auto"/>
              <w:jc w:val="both"/>
              <w:rPr>
                <w:color w:val="000000"/>
                <w:sz w:val="20"/>
                <w:szCs w:val="20"/>
                <w:lang w:val="sq-AL"/>
              </w:rPr>
            </w:pPr>
            <w:r w:rsidRPr="00DE4728">
              <w:rPr>
                <w:color w:val="000000"/>
                <w:sz w:val="20"/>
                <w:szCs w:val="20"/>
                <w:lang w:val="sq-AL"/>
              </w:rPr>
              <w:t>Taksa Doganore</w:t>
            </w:r>
          </w:p>
        </w:tc>
        <w:tc>
          <w:tcPr>
            <w:tcW w:w="730" w:type="pct"/>
            <w:tcBorders>
              <w:top w:val="nil"/>
              <w:left w:val="nil"/>
              <w:bottom w:val="nil"/>
              <w:right w:val="single" w:sz="8" w:space="0" w:color="auto"/>
            </w:tcBorders>
            <w:noWrap/>
            <w:vAlign w:val="center"/>
          </w:tcPr>
          <w:p w14:paraId="306DCB5D" w14:textId="2CF77386"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11,621</w:t>
            </w:r>
          </w:p>
        </w:tc>
        <w:tc>
          <w:tcPr>
            <w:tcW w:w="674" w:type="pct"/>
            <w:tcBorders>
              <w:top w:val="nil"/>
              <w:left w:val="nil"/>
              <w:bottom w:val="nil"/>
              <w:right w:val="single" w:sz="8" w:space="0" w:color="auto"/>
            </w:tcBorders>
            <w:noWrap/>
            <w:vAlign w:val="center"/>
          </w:tcPr>
          <w:p w14:paraId="7F1F6D46" w14:textId="354A3C0F"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0.4%</w:t>
            </w:r>
          </w:p>
        </w:tc>
        <w:tc>
          <w:tcPr>
            <w:tcW w:w="659" w:type="pct"/>
            <w:tcBorders>
              <w:top w:val="nil"/>
              <w:left w:val="nil"/>
              <w:bottom w:val="nil"/>
              <w:right w:val="single" w:sz="8" w:space="0" w:color="auto"/>
            </w:tcBorders>
            <w:noWrap/>
            <w:vAlign w:val="center"/>
          </w:tcPr>
          <w:p w14:paraId="73B002FF" w14:textId="3EA9A761"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10,912</w:t>
            </w:r>
          </w:p>
        </w:tc>
        <w:tc>
          <w:tcPr>
            <w:tcW w:w="528" w:type="pct"/>
            <w:tcBorders>
              <w:top w:val="nil"/>
              <w:left w:val="nil"/>
              <w:bottom w:val="nil"/>
              <w:right w:val="single" w:sz="8" w:space="0" w:color="auto"/>
            </w:tcBorders>
            <w:vAlign w:val="center"/>
          </w:tcPr>
          <w:p w14:paraId="426FF87B" w14:textId="5BE1831C"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0.4%</w:t>
            </w:r>
          </w:p>
        </w:tc>
        <w:tc>
          <w:tcPr>
            <w:tcW w:w="474" w:type="pct"/>
            <w:tcBorders>
              <w:top w:val="nil"/>
              <w:left w:val="nil"/>
              <w:bottom w:val="nil"/>
              <w:right w:val="single" w:sz="8" w:space="0" w:color="auto"/>
            </w:tcBorders>
            <w:vAlign w:val="center"/>
          </w:tcPr>
          <w:p w14:paraId="5C9C6CA9" w14:textId="2A6D8CF6"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  709</w:t>
            </w:r>
          </w:p>
        </w:tc>
        <w:tc>
          <w:tcPr>
            <w:tcW w:w="371" w:type="pct"/>
            <w:tcBorders>
              <w:top w:val="nil"/>
              <w:left w:val="nil"/>
              <w:bottom w:val="nil"/>
              <w:right w:val="single" w:sz="8" w:space="0" w:color="auto"/>
            </w:tcBorders>
            <w:vAlign w:val="center"/>
          </w:tcPr>
          <w:p w14:paraId="78017166" w14:textId="5D5AA8DA" w:rsidR="004F3674" w:rsidRPr="00DE4728" w:rsidRDefault="004F3674" w:rsidP="004865BC">
            <w:pPr>
              <w:widowControl/>
              <w:autoSpaceDE/>
              <w:autoSpaceDN/>
              <w:spacing w:line="276" w:lineRule="auto"/>
              <w:jc w:val="center"/>
              <w:rPr>
                <w:color w:val="000000"/>
                <w:sz w:val="20"/>
                <w:szCs w:val="20"/>
                <w:lang w:val="sq-AL"/>
              </w:rPr>
            </w:pPr>
            <w:r>
              <w:rPr>
                <w:color w:val="000000"/>
                <w:sz w:val="16"/>
                <w:szCs w:val="16"/>
              </w:rPr>
              <w:t>-0.03%</w:t>
            </w:r>
          </w:p>
        </w:tc>
        <w:tc>
          <w:tcPr>
            <w:tcW w:w="124" w:type="pct"/>
            <w:vAlign w:val="center"/>
            <w:hideMark/>
          </w:tcPr>
          <w:p w14:paraId="6A68465F"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246E0990" w14:textId="77777777" w:rsidTr="004F3674">
        <w:trPr>
          <w:trHeight w:val="299"/>
        </w:trPr>
        <w:tc>
          <w:tcPr>
            <w:tcW w:w="1440" w:type="pct"/>
            <w:tcBorders>
              <w:top w:val="single" w:sz="8" w:space="0" w:color="auto"/>
              <w:left w:val="single" w:sz="8" w:space="0" w:color="auto"/>
              <w:bottom w:val="single" w:sz="8" w:space="0" w:color="auto"/>
              <w:right w:val="single" w:sz="8" w:space="0" w:color="auto"/>
            </w:tcBorders>
            <w:noWrap/>
            <w:vAlign w:val="center"/>
            <w:hideMark/>
          </w:tcPr>
          <w:p w14:paraId="3C602FBF" w14:textId="77777777" w:rsidR="004F3674" w:rsidRPr="00DE4728" w:rsidRDefault="004F3674" w:rsidP="004F3674">
            <w:pPr>
              <w:widowControl/>
              <w:autoSpaceDE/>
              <w:autoSpaceDN/>
              <w:spacing w:line="276" w:lineRule="auto"/>
              <w:jc w:val="both"/>
              <w:rPr>
                <w:b/>
                <w:bCs/>
                <w:color w:val="000000"/>
                <w:sz w:val="20"/>
                <w:szCs w:val="20"/>
                <w:lang w:val="sq-AL"/>
              </w:rPr>
            </w:pPr>
            <w:r w:rsidRPr="00DE4728">
              <w:rPr>
                <w:b/>
                <w:bCs/>
                <w:color w:val="000000"/>
                <w:sz w:val="20"/>
                <w:szCs w:val="20"/>
                <w:lang w:val="sq-AL"/>
              </w:rPr>
              <w:t>Totali nga Tatimet dhe Doganat</w:t>
            </w:r>
          </w:p>
        </w:tc>
        <w:tc>
          <w:tcPr>
            <w:tcW w:w="730" w:type="pct"/>
            <w:tcBorders>
              <w:top w:val="single" w:sz="8" w:space="0" w:color="auto"/>
              <w:left w:val="nil"/>
              <w:bottom w:val="single" w:sz="8" w:space="0" w:color="auto"/>
              <w:right w:val="single" w:sz="8" w:space="0" w:color="auto"/>
            </w:tcBorders>
            <w:shd w:val="clear" w:color="000000" w:fill="FFFFFF"/>
            <w:noWrap/>
            <w:vAlign w:val="center"/>
          </w:tcPr>
          <w:p w14:paraId="511479CB" w14:textId="2C17A88F"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531,828</w:t>
            </w:r>
          </w:p>
        </w:tc>
        <w:tc>
          <w:tcPr>
            <w:tcW w:w="674" w:type="pct"/>
            <w:tcBorders>
              <w:top w:val="single" w:sz="8" w:space="0" w:color="auto"/>
              <w:left w:val="nil"/>
              <w:bottom w:val="single" w:sz="8" w:space="0" w:color="auto"/>
              <w:right w:val="single" w:sz="8" w:space="0" w:color="auto"/>
            </w:tcBorders>
            <w:shd w:val="clear" w:color="000000" w:fill="FFFFFF"/>
            <w:noWrap/>
            <w:vAlign w:val="center"/>
          </w:tcPr>
          <w:p w14:paraId="19913E8F" w14:textId="7BEEEE47"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19.3%</w:t>
            </w:r>
          </w:p>
        </w:tc>
        <w:tc>
          <w:tcPr>
            <w:tcW w:w="659" w:type="pct"/>
            <w:tcBorders>
              <w:top w:val="single" w:sz="8" w:space="0" w:color="auto"/>
              <w:left w:val="nil"/>
              <w:bottom w:val="single" w:sz="8" w:space="0" w:color="auto"/>
              <w:right w:val="single" w:sz="8" w:space="0" w:color="auto"/>
            </w:tcBorders>
            <w:shd w:val="clear" w:color="000000" w:fill="FFFFFF"/>
            <w:noWrap/>
            <w:vAlign w:val="center"/>
          </w:tcPr>
          <w:p w14:paraId="7419B74F" w14:textId="0D871B6B"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531,137</w:t>
            </w:r>
          </w:p>
        </w:tc>
        <w:tc>
          <w:tcPr>
            <w:tcW w:w="528" w:type="pct"/>
            <w:tcBorders>
              <w:top w:val="single" w:sz="8" w:space="0" w:color="auto"/>
              <w:left w:val="nil"/>
              <w:bottom w:val="single" w:sz="8" w:space="0" w:color="auto"/>
              <w:right w:val="single" w:sz="8" w:space="0" w:color="auto"/>
            </w:tcBorders>
            <w:noWrap/>
            <w:vAlign w:val="center"/>
          </w:tcPr>
          <w:p w14:paraId="199A36DB" w14:textId="756FB7EA"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19.3%</w:t>
            </w:r>
          </w:p>
        </w:tc>
        <w:tc>
          <w:tcPr>
            <w:tcW w:w="474" w:type="pct"/>
            <w:tcBorders>
              <w:top w:val="single" w:sz="8" w:space="0" w:color="auto"/>
              <w:left w:val="nil"/>
              <w:bottom w:val="single" w:sz="8" w:space="0" w:color="auto"/>
              <w:right w:val="single" w:sz="8" w:space="0" w:color="auto"/>
            </w:tcBorders>
            <w:noWrap/>
            <w:vAlign w:val="center"/>
          </w:tcPr>
          <w:p w14:paraId="4C372B6D" w14:textId="47C59561"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- 691</w:t>
            </w:r>
          </w:p>
        </w:tc>
        <w:tc>
          <w:tcPr>
            <w:tcW w:w="371" w:type="pct"/>
            <w:tcBorders>
              <w:top w:val="single" w:sz="8" w:space="0" w:color="auto"/>
              <w:left w:val="nil"/>
              <w:bottom w:val="single" w:sz="8" w:space="0" w:color="auto"/>
              <w:right w:val="single" w:sz="8" w:space="0" w:color="auto"/>
            </w:tcBorders>
            <w:noWrap/>
            <w:vAlign w:val="center"/>
          </w:tcPr>
          <w:p w14:paraId="7B89D374" w14:textId="7A0C92A7"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0.0%</w:t>
            </w:r>
          </w:p>
        </w:tc>
        <w:tc>
          <w:tcPr>
            <w:tcW w:w="124" w:type="pct"/>
            <w:vAlign w:val="center"/>
            <w:hideMark/>
          </w:tcPr>
          <w:p w14:paraId="718207B1"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2F330446" w14:textId="77777777" w:rsidTr="004F3674">
        <w:trPr>
          <w:trHeight w:val="471"/>
        </w:trPr>
        <w:tc>
          <w:tcPr>
            <w:tcW w:w="1440" w:type="pct"/>
            <w:tcBorders>
              <w:top w:val="nil"/>
              <w:left w:val="single" w:sz="8" w:space="0" w:color="auto"/>
              <w:bottom w:val="nil"/>
              <w:right w:val="single" w:sz="8" w:space="0" w:color="auto"/>
            </w:tcBorders>
            <w:vAlign w:val="center"/>
            <w:hideMark/>
          </w:tcPr>
          <w:p w14:paraId="2C71A152" w14:textId="77777777" w:rsidR="004F3674" w:rsidRPr="00DE4728" w:rsidRDefault="004F3674" w:rsidP="004F3674">
            <w:pPr>
              <w:widowControl/>
              <w:autoSpaceDE/>
              <w:autoSpaceDN/>
              <w:spacing w:line="276" w:lineRule="auto"/>
              <w:jc w:val="both"/>
              <w:rPr>
                <w:b/>
                <w:bCs/>
                <w:color w:val="000000"/>
                <w:sz w:val="20"/>
                <w:szCs w:val="20"/>
                <w:lang w:val="sq-AL"/>
              </w:rPr>
            </w:pPr>
            <w:r w:rsidRPr="00DE4728">
              <w:rPr>
                <w:b/>
                <w:bCs/>
                <w:color w:val="000000"/>
                <w:sz w:val="20"/>
                <w:szCs w:val="20"/>
                <w:lang w:val="sq-AL"/>
              </w:rPr>
              <w:t>Fondet Speciale. Kontributet e sigurimeve shoqerore e shendetsore</w:t>
            </w:r>
          </w:p>
        </w:tc>
        <w:tc>
          <w:tcPr>
            <w:tcW w:w="730" w:type="pct"/>
            <w:tcBorders>
              <w:top w:val="nil"/>
              <w:left w:val="nil"/>
              <w:bottom w:val="nil"/>
              <w:right w:val="single" w:sz="8" w:space="0" w:color="auto"/>
            </w:tcBorders>
            <w:noWrap/>
            <w:vAlign w:val="center"/>
          </w:tcPr>
          <w:p w14:paraId="1E468F9F" w14:textId="22AA375D"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174,808</w:t>
            </w:r>
          </w:p>
        </w:tc>
        <w:tc>
          <w:tcPr>
            <w:tcW w:w="674" w:type="pct"/>
            <w:tcBorders>
              <w:top w:val="nil"/>
              <w:left w:val="nil"/>
              <w:bottom w:val="nil"/>
              <w:right w:val="single" w:sz="8" w:space="0" w:color="auto"/>
            </w:tcBorders>
            <w:noWrap/>
            <w:vAlign w:val="center"/>
          </w:tcPr>
          <w:p w14:paraId="14008F85" w14:textId="18380A0A"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6.3%</w:t>
            </w:r>
          </w:p>
        </w:tc>
        <w:tc>
          <w:tcPr>
            <w:tcW w:w="659" w:type="pct"/>
            <w:tcBorders>
              <w:top w:val="nil"/>
              <w:left w:val="nil"/>
              <w:bottom w:val="nil"/>
              <w:right w:val="single" w:sz="8" w:space="0" w:color="auto"/>
            </w:tcBorders>
            <w:noWrap/>
            <w:vAlign w:val="center"/>
          </w:tcPr>
          <w:p w14:paraId="748EA31A" w14:textId="13338FEC"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196,967</w:t>
            </w:r>
          </w:p>
        </w:tc>
        <w:tc>
          <w:tcPr>
            <w:tcW w:w="528" w:type="pct"/>
            <w:tcBorders>
              <w:top w:val="nil"/>
              <w:left w:val="nil"/>
              <w:bottom w:val="nil"/>
              <w:right w:val="single" w:sz="8" w:space="0" w:color="auto"/>
            </w:tcBorders>
            <w:noWrap/>
            <w:vAlign w:val="center"/>
          </w:tcPr>
          <w:p w14:paraId="1F1408B8" w14:textId="59EF77AE"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7.1%</w:t>
            </w:r>
          </w:p>
        </w:tc>
        <w:tc>
          <w:tcPr>
            <w:tcW w:w="474" w:type="pct"/>
            <w:tcBorders>
              <w:top w:val="nil"/>
              <w:left w:val="nil"/>
              <w:bottom w:val="nil"/>
              <w:right w:val="single" w:sz="8" w:space="0" w:color="auto"/>
            </w:tcBorders>
            <w:noWrap/>
            <w:vAlign w:val="center"/>
          </w:tcPr>
          <w:p w14:paraId="5E9F4073" w14:textId="69284150"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22,158</w:t>
            </w:r>
          </w:p>
        </w:tc>
        <w:tc>
          <w:tcPr>
            <w:tcW w:w="371" w:type="pct"/>
            <w:tcBorders>
              <w:top w:val="nil"/>
              <w:left w:val="nil"/>
              <w:bottom w:val="nil"/>
              <w:right w:val="single" w:sz="8" w:space="0" w:color="auto"/>
            </w:tcBorders>
            <w:noWrap/>
            <w:vAlign w:val="center"/>
          </w:tcPr>
          <w:p w14:paraId="1E78722B" w14:textId="4F62FA3E" w:rsidR="004F3674" w:rsidRPr="00DE4728" w:rsidRDefault="004F3674" w:rsidP="004865BC">
            <w:pPr>
              <w:widowControl/>
              <w:autoSpaceDE/>
              <w:autoSpaceDN/>
              <w:spacing w:line="276" w:lineRule="auto"/>
              <w:jc w:val="center"/>
              <w:rPr>
                <w:b/>
                <w:bCs/>
                <w:color w:val="000000"/>
                <w:sz w:val="20"/>
                <w:szCs w:val="20"/>
                <w:lang w:val="sq-AL"/>
              </w:rPr>
            </w:pPr>
            <w:r>
              <w:rPr>
                <w:b/>
                <w:bCs/>
                <w:color w:val="000000"/>
                <w:sz w:val="20"/>
                <w:szCs w:val="20"/>
              </w:rPr>
              <w:t>0.8%</w:t>
            </w:r>
          </w:p>
        </w:tc>
        <w:tc>
          <w:tcPr>
            <w:tcW w:w="124" w:type="pct"/>
            <w:vAlign w:val="center"/>
            <w:hideMark/>
          </w:tcPr>
          <w:p w14:paraId="0DC08ECD" w14:textId="77777777" w:rsidR="004F3674" w:rsidRPr="00607DCB" w:rsidRDefault="004F3674" w:rsidP="004F3674">
            <w:pPr>
              <w:widowControl/>
              <w:autoSpaceDE/>
              <w:autoSpaceDN/>
              <w:spacing w:line="276" w:lineRule="auto"/>
              <w:jc w:val="both"/>
              <w:rPr>
                <w:sz w:val="24"/>
                <w:szCs w:val="24"/>
                <w:lang w:val="sq-AL"/>
              </w:rPr>
            </w:pPr>
          </w:p>
        </w:tc>
      </w:tr>
      <w:tr w:rsidR="004F3674" w:rsidRPr="00607DCB" w14:paraId="00B1E293" w14:textId="77777777" w:rsidTr="004F3674">
        <w:trPr>
          <w:trHeight w:val="314"/>
        </w:trPr>
        <w:tc>
          <w:tcPr>
            <w:tcW w:w="1440" w:type="pct"/>
            <w:tcBorders>
              <w:top w:val="single" w:sz="8" w:space="0" w:color="auto"/>
              <w:left w:val="single" w:sz="8" w:space="0" w:color="auto"/>
              <w:bottom w:val="single" w:sz="8" w:space="0" w:color="auto"/>
              <w:right w:val="single" w:sz="8" w:space="0" w:color="auto"/>
            </w:tcBorders>
            <w:noWrap/>
            <w:vAlign w:val="center"/>
            <w:hideMark/>
          </w:tcPr>
          <w:p w14:paraId="5337B4F0" w14:textId="77777777" w:rsidR="004F3674" w:rsidRPr="004F3674" w:rsidRDefault="004F3674" w:rsidP="004F3674">
            <w:pPr>
              <w:widowControl/>
              <w:autoSpaceDE/>
              <w:autoSpaceDN/>
              <w:spacing w:line="276" w:lineRule="auto"/>
              <w:jc w:val="both"/>
              <w:rPr>
                <w:b/>
                <w:bCs/>
                <w:color w:val="000000"/>
                <w:sz w:val="18"/>
                <w:szCs w:val="18"/>
                <w:lang w:val="sq-AL"/>
              </w:rPr>
            </w:pPr>
            <w:r w:rsidRPr="004F3674">
              <w:rPr>
                <w:b/>
                <w:bCs/>
                <w:color w:val="000000"/>
                <w:sz w:val="18"/>
                <w:szCs w:val="18"/>
                <w:lang w:val="sq-AL"/>
              </w:rPr>
              <w:t>Totali i DPD+DPT (Kontributet)</w:t>
            </w:r>
          </w:p>
        </w:tc>
        <w:tc>
          <w:tcPr>
            <w:tcW w:w="730" w:type="pct"/>
            <w:tcBorders>
              <w:top w:val="single" w:sz="8" w:space="0" w:color="auto"/>
              <w:left w:val="nil"/>
              <w:bottom w:val="single" w:sz="8" w:space="0" w:color="auto"/>
              <w:right w:val="single" w:sz="8" w:space="0" w:color="auto"/>
            </w:tcBorders>
            <w:noWrap/>
            <w:vAlign w:val="center"/>
          </w:tcPr>
          <w:p w14:paraId="1B254E48" w14:textId="771AB436"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706,636</w:t>
            </w:r>
          </w:p>
        </w:tc>
        <w:tc>
          <w:tcPr>
            <w:tcW w:w="674" w:type="pct"/>
            <w:tcBorders>
              <w:top w:val="single" w:sz="8" w:space="0" w:color="auto"/>
              <w:left w:val="nil"/>
              <w:bottom w:val="single" w:sz="8" w:space="0" w:color="auto"/>
              <w:right w:val="single" w:sz="8" w:space="0" w:color="auto"/>
            </w:tcBorders>
            <w:noWrap/>
            <w:vAlign w:val="center"/>
          </w:tcPr>
          <w:p w14:paraId="0138D3A3" w14:textId="38E5D901"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25.6%</w:t>
            </w:r>
          </w:p>
        </w:tc>
        <w:tc>
          <w:tcPr>
            <w:tcW w:w="659" w:type="pct"/>
            <w:tcBorders>
              <w:top w:val="single" w:sz="8" w:space="0" w:color="auto"/>
              <w:left w:val="nil"/>
              <w:bottom w:val="single" w:sz="8" w:space="0" w:color="auto"/>
              <w:right w:val="single" w:sz="8" w:space="0" w:color="auto"/>
            </w:tcBorders>
            <w:noWrap/>
            <w:vAlign w:val="center"/>
          </w:tcPr>
          <w:p w14:paraId="7C1BBF85" w14:textId="3C24FF1E"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728,103</w:t>
            </w:r>
          </w:p>
        </w:tc>
        <w:tc>
          <w:tcPr>
            <w:tcW w:w="528" w:type="pct"/>
            <w:tcBorders>
              <w:top w:val="single" w:sz="8" w:space="0" w:color="auto"/>
              <w:left w:val="nil"/>
              <w:bottom w:val="single" w:sz="8" w:space="0" w:color="auto"/>
              <w:right w:val="single" w:sz="8" w:space="0" w:color="auto"/>
            </w:tcBorders>
            <w:noWrap/>
            <w:vAlign w:val="center"/>
          </w:tcPr>
          <w:p w14:paraId="4F8F5112" w14:textId="52CF28CC"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26.4%</w:t>
            </w:r>
          </w:p>
        </w:tc>
        <w:tc>
          <w:tcPr>
            <w:tcW w:w="474" w:type="pct"/>
            <w:tcBorders>
              <w:top w:val="single" w:sz="8" w:space="0" w:color="auto"/>
              <w:left w:val="nil"/>
              <w:bottom w:val="single" w:sz="8" w:space="0" w:color="auto"/>
              <w:right w:val="single" w:sz="8" w:space="0" w:color="auto"/>
            </w:tcBorders>
            <w:noWrap/>
            <w:vAlign w:val="center"/>
          </w:tcPr>
          <w:p w14:paraId="4825F961" w14:textId="70344CAB"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21,467</w:t>
            </w:r>
          </w:p>
        </w:tc>
        <w:tc>
          <w:tcPr>
            <w:tcW w:w="371" w:type="pct"/>
            <w:tcBorders>
              <w:top w:val="single" w:sz="8" w:space="0" w:color="auto"/>
              <w:left w:val="nil"/>
              <w:bottom w:val="single" w:sz="8" w:space="0" w:color="auto"/>
              <w:right w:val="single" w:sz="8" w:space="0" w:color="auto"/>
            </w:tcBorders>
            <w:noWrap/>
            <w:vAlign w:val="center"/>
          </w:tcPr>
          <w:p w14:paraId="73DCCFE8" w14:textId="2326F3D1" w:rsidR="004F3674" w:rsidRPr="004D2BF6" w:rsidRDefault="004F3674" w:rsidP="004865BC">
            <w:pPr>
              <w:widowControl/>
              <w:autoSpaceDE/>
              <w:autoSpaceDN/>
              <w:spacing w:line="276" w:lineRule="auto"/>
              <w:jc w:val="center"/>
              <w:rPr>
                <w:b/>
                <w:bCs/>
                <w:color w:val="000000"/>
                <w:sz w:val="20"/>
                <w:szCs w:val="20"/>
                <w:lang w:val="sq-AL"/>
              </w:rPr>
            </w:pPr>
            <w:r w:rsidRPr="004D2BF6">
              <w:rPr>
                <w:b/>
                <w:bCs/>
                <w:color w:val="000000"/>
                <w:sz w:val="20"/>
                <w:szCs w:val="20"/>
              </w:rPr>
              <w:t>0.8%</w:t>
            </w:r>
          </w:p>
        </w:tc>
        <w:tc>
          <w:tcPr>
            <w:tcW w:w="124" w:type="pct"/>
            <w:vAlign w:val="center"/>
            <w:hideMark/>
          </w:tcPr>
          <w:p w14:paraId="7920F708" w14:textId="77777777" w:rsidR="004F3674" w:rsidRPr="00607DCB" w:rsidRDefault="004F3674" w:rsidP="004F3674">
            <w:pPr>
              <w:widowControl/>
              <w:autoSpaceDE/>
              <w:autoSpaceDN/>
              <w:spacing w:line="276" w:lineRule="auto"/>
              <w:jc w:val="both"/>
              <w:rPr>
                <w:sz w:val="24"/>
                <w:szCs w:val="24"/>
                <w:lang w:val="sq-AL"/>
              </w:rPr>
            </w:pPr>
          </w:p>
        </w:tc>
      </w:tr>
    </w:tbl>
    <w:p w14:paraId="5D3B8423" w14:textId="77777777" w:rsidR="005872F1" w:rsidRPr="00607DCB" w:rsidRDefault="005872F1" w:rsidP="00607DCB">
      <w:pPr>
        <w:spacing w:after="120" w:line="276" w:lineRule="auto"/>
        <w:jc w:val="both"/>
        <w:rPr>
          <w:rFonts w:eastAsia="Arial Narrow"/>
          <w:i/>
          <w:iCs/>
          <w:color w:val="000000"/>
          <w:sz w:val="24"/>
          <w:szCs w:val="24"/>
          <w:lang w:val="sq-AL"/>
        </w:rPr>
      </w:pPr>
      <w:r w:rsidRPr="00607DCB">
        <w:rPr>
          <w:rFonts w:eastAsia="Arial Narrow"/>
          <w:i/>
          <w:iCs/>
          <w:sz w:val="24"/>
          <w:szCs w:val="24"/>
          <w:lang w:val="sq-AL"/>
        </w:rPr>
        <w:t>Burimi: Ministria e Financave (2026)</w:t>
      </w:r>
    </w:p>
    <w:p w14:paraId="38737116" w14:textId="5B1973A2" w:rsidR="005E5E92" w:rsidRPr="00607DCB" w:rsidRDefault="004865BC" w:rsidP="00607DCB">
      <w:pPr>
        <w:pStyle w:val="NormalWeb"/>
        <w:spacing w:line="276" w:lineRule="auto"/>
        <w:jc w:val="both"/>
        <w:rPr>
          <w:rStyle w:val="jlqj4b"/>
          <w:lang w:val="sq-AL"/>
        </w:rPr>
      </w:pPr>
      <w:r w:rsidRPr="004865BC">
        <w:rPr>
          <w:lang w:val="sq-AL"/>
        </w:rPr>
        <w:t>Struktura fiskale për vitin 2026 tregon se devijanca</w:t>
      </w:r>
      <w:r w:rsidR="007C0A3D">
        <w:rPr>
          <w:lang w:val="sq-AL"/>
        </w:rPr>
        <w:t xml:space="preserve"> pozitive</w:t>
      </w:r>
      <w:r w:rsidRPr="004865BC">
        <w:rPr>
          <w:lang w:val="sq-AL"/>
        </w:rPr>
        <w:t xml:space="preserve"> mbështetet kryesisht nga të ardhurat nga kontributet dhe taksat e lidhura me pagat, ndërkohë që zërat kryesorë tatimorë mbi bazën e importeve dhe fitimeve shfaqin devijancë negative</w:t>
      </w:r>
      <w:r w:rsidR="005872F1" w:rsidRPr="00607DCB">
        <w:rPr>
          <w:lang w:val="sq-AL"/>
        </w:rPr>
        <w:t>.</w:t>
      </w:r>
    </w:p>
    <w:p w14:paraId="2FD0B077" w14:textId="30AC00AD" w:rsidR="005872F1" w:rsidRPr="00607DCB" w:rsidRDefault="005872F1" w:rsidP="00607DCB">
      <w:pPr>
        <w:pStyle w:val="Heading1"/>
        <w:numPr>
          <w:ilvl w:val="1"/>
          <w:numId w:val="67"/>
        </w:numPr>
        <w:spacing w:line="276" w:lineRule="auto"/>
        <w:jc w:val="both"/>
        <w:rPr>
          <w:sz w:val="24"/>
          <w:szCs w:val="24"/>
          <w:lang w:val="sq-AL"/>
        </w:rPr>
      </w:pPr>
      <w:bookmarkStart w:id="11" w:name="_Toc228275797"/>
      <w:r w:rsidRPr="00607DCB">
        <w:rPr>
          <w:sz w:val="24"/>
          <w:szCs w:val="24"/>
          <w:lang w:val="sq-AL"/>
        </w:rPr>
        <w:t>Analiza e devijimeve sipas zërave kryesorë të të ardhurave</w:t>
      </w:r>
      <w:r w:rsidR="00AA45D4" w:rsidRPr="00607DCB">
        <w:rPr>
          <w:sz w:val="24"/>
          <w:szCs w:val="24"/>
          <w:lang w:val="sq-AL"/>
        </w:rPr>
        <w:t xml:space="preserve"> në Ligjin e Buxhetit për vitin 2026, të krahasuara me Kuadrin Makro të datës 5.2.2025</w:t>
      </w:r>
      <w:bookmarkEnd w:id="11"/>
    </w:p>
    <w:p w14:paraId="658AF61B" w14:textId="77777777" w:rsidR="00AA45D4" w:rsidRPr="00607DCB" w:rsidRDefault="00AA45D4" w:rsidP="00607DCB">
      <w:pPr>
        <w:spacing w:line="276" w:lineRule="auto"/>
        <w:ind w:left="7"/>
        <w:jc w:val="both"/>
        <w:rPr>
          <w:b/>
          <w:bCs/>
          <w:sz w:val="24"/>
          <w:szCs w:val="24"/>
          <w:lang w:val="sq-AL"/>
        </w:rPr>
      </w:pPr>
    </w:p>
    <w:p w14:paraId="740E934E" w14:textId="20114D71"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 xml:space="preserve">TVSH </w:t>
      </w:r>
      <w:r w:rsidR="00BE1A0A" w:rsidRPr="00607DCB">
        <w:rPr>
          <w:b/>
          <w:bCs/>
          <w:sz w:val="24"/>
          <w:szCs w:val="24"/>
          <w:lang w:val="sq-AL"/>
        </w:rPr>
        <w:t>në total</w:t>
      </w:r>
    </w:p>
    <w:p w14:paraId="4C5DF53F" w14:textId="77777777" w:rsidR="001F63B0" w:rsidRPr="00607DCB" w:rsidRDefault="001F63B0" w:rsidP="00607DCB">
      <w:pPr>
        <w:spacing w:line="276" w:lineRule="auto"/>
        <w:ind w:left="7"/>
        <w:jc w:val="both"/>
        <w:rPr>
          <w:b/>
          <w:bCs/>
          <w:sz w:val="24"/>
          <w:szCs w:val="24"/>
          <w:lang w:val="sq-AL"/>
        </w:rPr>
      </w:pPr>
    </w:p>
    <w:p w14:paraId="039BEAB2" w14:textId="1C7392DE" w:rsidR="005872F1" w:rsidRDefault="004865BC" w:rsidP="00607DCB">
      <w:pPr>
        <w:spacing w:line="276" w:lineRule="auto"/>
        <w:ind w:left="7"/>
        <w:jc w:val="both"/>
        <w:rPr>
          <w:sz w:val="24"/>
          <w:szCs w:val="24"/>
          <w:lang w:val="sq-AL"/>
        </w:rPr>
      </w:pPr>
      <w:r w:rsidRPr="004865BC">
        <w:rPr>
          <w:sz w:val="24"/>
          <w:szCs w:val="24"/>
          <w:lang w:val="sq-AL"/>
        </w:rPr>
        <w:t>TVSH‑ja si zë i konsoliduar (brenda vendit dhe në import) shfaq një devijancë negative prej –11.2 miliardë lekësh, ose –0.4% e PBB‑së, kundrejt ligjit të buxhetit të vitit 2026. Ky rezultat kushtëzohet kryesisht nga nënperformanca e TVSH‑së në import, e ndikuar nga rënia e kursit të këmbimit të euros (–3%) dhe dollarit (–6%), tkurrja e importeve të automjeteve të përdorura (–43% në sasi) dhe atyre të reja (–11%), si dhe nga rënia e çmimeve ndërkombëtare të disa mallrave me peshë të konsiderueshme tatimore. Nga ana tjetër, TVSH‑ja e brendshme pozicionohet afërsisht në nivelin e planit, e mbështetur nga zgjerimi i qarkullimit ekonomik të deklaruar për efekt të fiskalizimit (+241.5 miliardë lekë) dhe rritja e TVSH‑së së brendshme bruto; megjithatë, këta faktorë nuk mjaftojnë për të kompensuar devijancën negative të TVSH‑së në import, e cila përcakton rezultatin total të zërit</w:t>
      </w:r>
      <w:r>
        <w:rPr>
          <w:sz w:val="24"/>
          <w:szCs w:val="24"/>
          <w:lang w:val="sq-AL"/>
        </w:rPr>
        <w:t>.</w:t>
      </w:r>
    </w:p>
    <w:p w14:paraId="5577E5AD" w14:textId="77777777" w:rsidR="004865BC" w:rsidRPr="00607DCB" w:rsidRDefault="004865BC" w:rsidP="00607DCB">
      <w:pPr>
        <w:spacing w:line="276" w:lineRule="auto"/>
        <w:ind w:left="7"/>
        <w:jc w:val="both"/>
        <w:rPr>
          <w:sz w:val="24"/>
          <w:szCs w:val="24"/>
          <w:lang w:val="sq-AL"/>
        </w:rPr>
      </w:pPr>
    </w:p>
    <w:p w14:paraId="0F876870" w14:textId="506E3FC3"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Akciza</w:t>
      </w:r>
    </w:p>
    <w:p w14:paraId="60A47CAE" w14:textId="654A553A" w:rsidR="002859A0" w:rsidRPr="00607DCB" w:rsidRDefault="002859A0" w:rsidP="00607DCB">
      <w:pPr>
        <w:spacing w:line="276" w:lineRule="auto"/>
        <w:ind w:left="7"/>
        <w:jc w:val="both"/>
        <w:rPr>
          <w:sz w:val="24"/>
          <w:szCs w:val="24"/>
          <w:lang w:val="sq-AL"/>
        </w:rPr>
      </w:pPr>
      <w:r w:rsidRPr="00607DCB">
        <w:rPr>
          <w:sz w:val="24"/>
          <w:szCs w:val="24"/>
          <w:lang w:val="sq-AL"/>
        </w:rPr>
        <w:t>Parashikimi i të ardhurave</w:t>
      </w:r>
      <w:r w:rsidR="005872F1" w:rsidRPr="00607DCB">
        <w:rPr>
          <w:sz w:val="24"/>
          <w:szCs w:val="24"/>
          <w:lang w:val="sq-AL"/>
        </w:rPr>
        <w:t xml:space="preserve"> nga akciza</w:t>
      </w:r>
      <w:r w:rsidRPr="00607DCB">
        <w:rPr>
          <w:sz w:val="24"/>
          <w:szCs w:val="24"/>
          <w:lang w:val="sq-AL"/>
        </w:rPr>
        <w:t>, rezultoi me një devijim pozitiv prej 3.</w:t>
      </w:r>
      <w:r w:rsidR="007C0A3D">
        <w:rPr>
          <w:sz w:val="24"/>
          <w:szCs w:val="24"/>
          <w:lang w:val="sq-AL"/>
        </w:rPr>
        <w:t>9</w:t>
      </w:r>
      <w:r w:rsidRPr="00607DCB">
        <w:rPr>
          <w:sz w:val="24"/>
          <w:szCs w:val="24"/>
          <w:lang w:val="sq-AL"/>
        </w:rPr>
        <w:t xml:space="preserve"> miliardë lekësh, ose 0.</w:t>
      </w:r>
      <w:r w:rsidR="00115688" w:rsidRPr="00607DCB">
        <w:rPr>
          <w:sz w:val="24"/>
          <w:szCs w:val="24"/>
          <w:lang w:val="sq-AL"/>
        </w:rPr>
        <w:t>1</w:t>
      </w:r>
      <w:r w:rsidRPr="00607DCB">
        <w:rPr>
          <w:sz w:val="24"/>
          <w:szCs w:val="24"/>
          <w:lang w:val="sq-AL"/>
        </w:rPr>
        <w:t>% e PBB</w:t>
      </w:r>
      <w:r w:rsidRPr="00607DCB">
        <w:rPr>
          <w:sz w:val="24"/>
          <w:szCs w:val="24"/>
          <w:lang w:val="sq-AL"/>
        </w:rPr>
        <w:noBreakHyphen/>
        <w:t>së, krahasuar me ligjin e buxhetit të vitit 2026.</w:t>
      </w:r>
    </w:p>
    <w:p w14:paraId="168BEDF5" w14:textId="77777777" w:rsidR="005872F1" w:rsidRPr="00607DCB" w:rsidRDefault="005872F1" w:rsidP="00607DCB">
      <w:pPr>
        <w:spacing w:line="276" w:lineRule="auto"/>
        <w:ind w:left="7"/>
        <w:jc w:val="both"/>
        <w:rPr>
          <w:sz w:val="24"/>
          <w:szCs w:val="24"/>
          <w:lang w:val="sq-AL"/>
        </w:rPr>
      </w:pPr>
      <w:r w:rsidRPr="00607DCB">
        <w:rPr>
          <w:sz w:val="24"/>
          <w:szCs w:val="24"/>
          <w:lang w:val="sq-AL"/>
        </w:rPr>
        <w:t>Performanca pozitive u mbështet nga:</w:t>
      </w:r>
    </w:p>
    <w:p w14:paraId="11349757" w14:textId="77777777" w:rsidR="005872F1" w:rsidRPr="00607DCB" w:rsidRDefault="005872F1" w:rsidP="00607DCB">
      <w:pPr>
        <w:numPr>
          <w:ilvl w:val="0"/>
          <w:numId w:val="57"/>
        </w:numPr>
        <w:spacing w:line="276" w:lineRule="auto"/>
        <w:jc w:val="both"/>
        <w:rPr>
          <w:sz w:val="24"/>
          <w:szCs w:val="24"/>
          <w:lang w:val="sq-AL"/>
        </w:rPr>
      </w:pPr>
      <w:r w:rsidRPr="00607DCB">
        <w:rPr>
          <w:sz w:val="24"/>
          <w:szCs w:val="24"/>
          <w:lang w:val="sq-AL"/>
        </w:rPr>
        <w:t>rritja e konsumit të karburanteve (+78 mijë ton),</w:t>
      </w:r>
    </w:p>
    <w:p w14:paraId="299E9516" w14:textId="77777777" w:rsidR="005872F1" w:rsidRPr="00607DCB" w:rsidRDefault="005872F1" w:rsidP="00607DCB">
      <w:pPr>
        <w:numPr>
          <w:ilvl w:val="0"/>
          <w:numId w:val="57"/>
        </w:numPr>
        <w:spacing w:line="276" w:lineRule="auto"/>
        <w:jc w:val="both"/>
        <w:rPr>
          <w:sz w:val="24"/>
          <w:szCs w:val="24"/>
          <w:lang w:val="sq-AL"/>
        </w:rPr>
      </w:pPr>
      <w:r w:rsidRPr="00607DCB">
        <w:rPr>
          <w:sz w:val="24"/>
          <w:szCs w:val="24"/>
          <w:lang w:val="sq-AL"/>
        </w:rPr>
        <w:t>rritja e sasisë së cigareve (+210 ton),</w:t>
      </w:r>
    </w:p>
    <w:p w14:paraId="43CA3479" w14:textId="77777777" w:rsidR="005872F1" w:rsidRPr="00607DCB" w:rsidRDefault="005872F1" w:rsidP="00607DCB">
      <w:pPr>
        <w:numPr>
          <w:ilvl w:val="0"/>
          <w:numId w:val="57"/>
        </w:numPr>
        <w:spacing w:line="276" w:lineRule="auto"/>
        <w:jc w:val="both"/>
        <w:rPr>
          <w:sz w:val="24"/>
          <w:szCs w:val="24"/>
          <w:lang w:val="sq-AL"/>
        </w:rPr>
      </w:pPr>
      <w:r w:rsidRPr="00607DCB">
        <w:rPr>
          <w:sz w:val="24"/>
          <w:szCs w:val="24"/>
          <w:lang w:val="sq-AL"/>
        </w:rPr>
        <w:lastRenderedPageBreak/>
        <w:t>zbatimi i kalendarit të rritjes së akcizës.</w:t>
      </w:r>
    </w:p>
    <w:p w14:paraId="3F4BEABC" w14:textId="77777777" w:rsidR="005872F1" w:rsidRPr="00607DCB" w:rsidRDefault="005872F1" w:rsidP="00607DCB">
      <w:pPr>
        <w:spacing w:line="276" w:lineRule="auto"/>
        <w:ind w:left="7"/>
        <w:jc w:val="both"/>
        <w:rPr>
          <w:sz w:val="24"/>
          <w:szCs w:val="24"/>
          <w:lang w:val="sq-AL"/>
        </w:rPr>
      </w:pPr>
      <w:r w:rsidRPr="00607DCB">
        <w:rPr>
          <w:sz w:val="24"/>
          <w:szCs w:val="24"/>
          <w:lang w:val="sq-AL"/>
        </w:rPr>
        <w:t>Këto efekte pozitive u amortizuan pjesërisht nga rënia e duhanit dhe birrës së importit si dhe nga rënia e disa çmimeve ndërkombëtare, por pa e përmbysur rezultatin pozitiv neto.</w:t>
      </w:r>
    </w:p>
    <w:p w14:paraId="5E7913E6" w14:textId="6C9BFC96" w:rsidR="005872F1" w:rsidRPr="00607DCB" w:rsidRDefault="005872F1" w:rsidP="00607DCB">
      <w:pPr>
        <w:spacing w:line="276" w:lineRule="auto"/>
        <w:ind w:left="7"/>
        <w:jc w:val="both"/>
        <w:rPr>
          <w:sz w:val="24"/>
          <w:szCs w:val="24"/>
          <w:lang w:val="sq-AL"/>
        </w:rPr>
      </w:pPr>
    </w:p>
    <w:p w14:paraId="65FD4415" w14:textId="79CB842E"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Tatimi mbi fitimin</w:t>
      </w:r>
    </w:p>
    <w:p w14:paraId="4029B830" w14:textId="7AF58D47" w:rsidR="005872F1" w:rsidRPr="00607DCB" w:rsidRDefault="00935940" w:rsidP="00607DCB">
      <w:pPr>
        <w:spacing w:line="276" w:lineRule="auto"/>
        <w:ind w:left="7"/>
        <w:jc w:val="both"/>
        <w:rPr>
          <w:sz w:val="24"/>
          <w:szCs w:val="24"/>
          <w:lang w:val="sq-AL"/>
        </w:rPr>
      </w:pPr>
      <w:r w:rsidRPr="00607DCB">
        <w:rPr>
          <w:sz w:val="24"/>
          <w:szCs w:val="24"/>
          <w:lang w:val="sq-AL"/>
        </w:rPr>
        <w:t xml:space="preserve">Parashikimi </w:t>
      </w:r>
      <w:r w:rsidR="005E5E92" w:rsidRPr="00607DCB">
        <w:rPr>
          <w:sz w:val="24"/>
          <w:szCs w:val="24"/>
          <w:lang w:val="sq-AL"/>
        </w:rPr>
        <w:t>i</w:t>
      </w:r>
      <w:r w:rsidRPr="00607DCB">
        <w:rPr>
          <w:sz w:val="24"/>
          <w:szCs w:val="24"/>
          <w:lang w:val="sq-AL"/>
        </w:rPr>
        <w:t xml:space="preserve"> të ardhurave nga </w:t>
      </w:r>
      <w:r w:rsidR="005872F1" w:rsidRPr="00607DCB">
        <w:rPr>
          <w:sz w:val="24"/>
          <w:szCs w:val="24"/>
          <w:lang w:val="sq-AL"/>
        </w:rPr>
        <w:t>Tatimi mbi fitimin</w:t>
      </w:r>
      <w:r w:rsidR="00393EE4" w:rsidRPr="00607DCB">
        <w:rPr>
          <w:sz w:val="24"/>
          <w:szCs w:val="24"/>
          <w:lang w:val="sq-AL"/>
        </w:rPr>
        <w:t>,</w:t>
      </w:r>
      <w:r w:rsidR="005872F1" w:rsidRPr="00607DCB">
        <w:rPr>
          <w:sz w:val="24"/>
          <w:szCs w:val="24"/>
          <w:lang w:val="sq-AL"/>
        </w:rPr>
        <w:t xml:space="preserve"> rezultoi me një devijim negativ prej</w:t>
      </w:r>
      <w:r w:rsidR="001658EB">
        <w:rPr>
          <w:sz w:val="24"/>
          <w:szCs w:val="24"/>
          <w:lang w:val="sq-AL"/>
        </w:rPr>
        <w:t xml:space="preserve"> </w:t>
      </w:r>
      <w:r w:rsidR="005D7BFA">
        <w:rPr>
          <w:sz w:val="24"/>
          <w:szCs w:val="24"/>
          <w:lang w:val="sq-AL"/>
        </w:rPr>
        <w:t>-</w:t>
      </w:r>
      <w:r w:rsidRPr="00607DCB">
        <w:rPr>
          <w:sz w:val="24"/>
          <w:szCs w:val="24"/>
          <w:lang w:val="sq-AL"/>
        </w:rPr>
        <w:t>4</w:t>
      </w:r>
      <w:r w:rsidR="005872F1" w:rsidRPr="00607DCB">
        <w:rPr>
          <w:sz w:val="24"/>
          <w:szCs w:val="24"/>
          <w:lang w:val="sq-AL"/>
        </w:rPr>
        <w:t xml:space="preserve"> miliardë lekësh, ose </w:t>
      </w:r>
      <w:r w:rsidR="00545B2C" w:rsidRPr="00607DCB">
        <w:rPr>
          <w:sz w:val="24"/>
          <w:szCs w:val="24"/>
          <w:lang w:val="sq-AL"/>
        </w:rPr>
        <w:t>-</w:t>
      </w:r>
      <w:r w:rsidR="005872F1" w:rsidRPr="00607DCB">
        <w:rPr>
          <w:sz w:val="24"/>
          <w:szCs w:val="24"/>
          <w:lang w:val="sq-AL"/>
        </w:rPr>
        <w:t>0.</w:t>
      </w:r>
      <w:r w:rsidR="001658EB">
        <w:rPr>
          <w:sz w:val="24"/>
          <w:szCs w:val="24"/>
          <w:lang w:val="sq-AL"/>
        </w:rPr>
        <w:t>1</w:t>
      </w:r>
      <w:r w:rsidR="005872F1" w:rsidRPr="00607DCB">
        <w:rPr>
          <w:sz w:val="24"/>
          <w:szCs w:val="24"/>
          <w:lang w:val="sq-AL"/>
        </w:rPr>
        <w:t>% e PBB</w:t>
      </w:r>
      <w:r w:rsidR="005872F1" w:rsidRPr="00607DCB">
        <w:rPr>
          <w:sz w:val="24"/>
          <w:szCs w:val="24"/>
          <w:lang w:val="sq-AL"/>
        </w:rPr>
        <w:noBreakHyphen/>
        <w:t>së</w:t>
      </w:r>
      <w:r w:rsidR="00545B2C" w:rsidRPr="00607DCB">
        <w:rPr>
          <w:sz w:val="24"/>
          <w:szCs w:val="24"/>
          <w:lang w:val="sq-AL"/>
        </w:rPr>
        <w:t xml:space="preserve"> </w:t>
      </w:r>
      <w:r w:rsidRPr="00607DCB">
        <w:rPr>
          <w:sz w:val="24"/>
          <w:szCs w:val="24"/>
          <w:lang w:val="sq-AL"/>
        </w:rPr>
        <w:t>krahasuar me ligjin e buxhetit të vitit 2026</w:t>
      </w:r>
      <w:r w:rsidR="005872F1" w:rsidRPr="00607DCB">
        <w:rPr>
          <w:sz w:val="24"/>
          <w:szCs w:val="24"/>
          <w:lang w:val="sq-AL"/>
        </w:rPr>
        <w:t>.</w:t>
      </w:r>
    </w:p>
    <w:p w14:paraId="1B8BEC1F" w14:textId="77777777" w:rsidR="005872F1" w:rsidRPr="00607DCB" w:rsidRDefault="005872F1" w:rsidP="00607DCB">
      <w:pPr>
        <w:spacing w:line="276" w:lineRule="auto"/>
        <w:ind w:left="7"/>
        <w:jc w:val="both"/>
        <w:rPr>
          <w:sz w:val="24"/>
          <w:szCs w:val="24"/>
          <w:lang w:val="sq-AL"/>
        </w:rPr>
      </w:pPr>
      <w:r w:rsidRPr="00607DCB">
        <w:rPr>
          <w:sz w:val="24"/>
          <w:szCs w:val="24"/>
          <w:lang w:val="sq-AL"/>
        </w:rPr>
        <w:t>Nënrealizimi lidhet kryesisht me:</w:t>
      </w:r>
    </w:p>
    <w:p w14:paraId="61EE1D34" w14:textId="2B86A6A5" w:rsidR="005872F1" w:rsidRPr="00607DCB" w:rsidRDefault="005872F1" w:rsidP="00607DCB">
      <w:pPr>
        <w:numPr>
          <w:ilvl w:val="0"/>
          <w:numId w:val="58"/>
        </w:numPr>
        <w:spacing w:line="276" w:lineRule="auto"/>
        <w:jc w:val="both"/>
        <w:rPr>
          <w:sz w:val="24"/>
          <w:szCs w:val="24"/>
          <w:lang w:val="sq-AL"/>
        </w:rPr>
      </w:pPr>
      <w:r w:rsidRPr="00607DCB">
        <w:rPr>
          <w:sz w:val="24"/>
          <w:szCs w:val="24"/>
          <w:lang w:val="sq-AL"/>
        </w:rPr>
        <w:t>t</w:t>
      </w:r>
      <w:r w:rsidR="00545B2C" w:rsidRPr="00607DCB">
        <w:rPr>
          <w:sz w:val="24"/>
          <w:szCs w:val="24"/>
          <w:lang w:val="sq-AL"/>
        </w:rPr>
        <w:t>’</w:t>
      </w:r>
      <w:r w:rsidRPr="00607DCB">
        <w:rPr>
          <w:sz w:val="24"/>
          <w:szCs w:val="24"/>
          <w:lang w:val="sq-AL"/>
        </w:rPr>
        <w:t>kurrjen e fitimeve në sektorin e prodhimit (</w:t>
      </w:r>
      <w:r w:rsidR="004D3AF1" w:rsidRPr="00607DCB">
        <w:rPr>
          <w:sz w:val="24"/>
          <w:szCs w:val="24"/>
          <w:lang w:val="sq-AL"/>
        </w:rPr>
        <w:t>-</w:t>
      </w:r>
      <w:r w:rsidRPr="00607DCB">
        <w:rPr>
          <w:sz w:val="24"/>
          <w:szCs w:val="24"/>
          <w:lang w:val="sq-AL"/>
        </w:rPr>
        <w:t>3 miliardë lekë),</w:t>
      </w:r>
    </w:p>
    <w:p w14:paraId="06E339B9" w14:textId="68F05E32" w:rsidR="005872F1" w:rsidRPr="00607DCB" w:rsidRDefault="005872F1" w:rsidP="00607DCB">
      <w:pPr>
        <w:numPr>
          <w:ilvl w:val="0"/>
          <w:numId w:val="58"/>
        </w:numPr>
        <w:spacing w:line="276" w:lineRule="auto"/>
        <w:jc w:val="both"/>
        <w:rPr>
          <w:sz w:val="24"/>
          <w:szCs w:val="24"/>
          <w:lang w:val="sq-AL"/>
        </w:rPr>
      </w:pPr>
      <w:r w:rsidRPr="00607DCB">
        <w:rPr>
          <w:sz w:val="24"/>
          <w:szCs w:val="24"/>
          <w:lang w:val="sq-AL"/>
        </w:rPr>
        <w:t xml:space="preserve">rënien e fortë </w:t>
      </w:r>
      <w:r w:rsidR="004D3AF1" w:rsidRPr="00607DCB">
        <w:rPr>
          <w:sz w:val="24"/>
          <w:szCs w:val="24"/>
          <w:lang w:val="sq-AL"/>
        </w:rPr>
        <w:t>të pagesave për:</w:t>
      </w:r>
      <w:r w:rsidRPr="00607DCB">
        <w:rPr>
          <w:sz w:val="24"/>
          <w:szCs w:val="24"/>
          <w:lang w:val="sq-AL"/>
        </w:rPr>
        <w:t xml:space="preserve"> energjinë elektrike, transmetim dhe industri </w:t>
      </w:r>
      <w:r w:rsidR="004D3AF1" w:rsidRPr="00607DCB">
        <w:rPr>
          <w:sz w:val="24"/>
          <w:szCs w:val="24"/>
          <w:lang w:val="sq-AL"/>
        </w:rPr>
        <w:t>e</w:t>
      </w:r>
      <w:r w:rsidRPr="00607DCB">
        <w:rPr>
          <w:sz w:val="24"/>
          <w:szCs w:val="24"/>
          <w:lang w:val="sq-AL"/>
        </w:rPr>
        <w:t>materiale</w:t>
      </w:r>
      <w:r w:rsidR="004D3AF1" w:rsidRPr="00607DCB">
        <w:rPr>
          <w:sz w:val="24"/>
          <w:szCs w:val="24"/>
          <w:lang w:val="sq-AL"/>
        </w:rPr>
        <w:t>.</w:t>
      </w:r>
    </w:p>
    <w:p w14:paraId="562A1BEA" w14:textId="77777777" w:rsidR="005872F1" w:rsidRPr="00607DCB" w:rsidRDefault="005872F1" w:rsidP="00607DCB">
      <w:pPr>
        <w:numPr>
          <w:ilvl w:val="0"/>
          <w:numId w:val="58"/>
        </w:numPr>
        <w:spacing w:line="276" w:lineRule="auto"/>
        <w:jc w:val="both"/>
        <w:rPr>
          <w:sz w:val="24"/>
          <w:szCs w:val="24"/>
          <w:lang w:val="sq-AL"/>
        </w:rPr>
      </w:pPr>
      <w:r w:rsidRPr="00607DCB">
        <w:rPr>
          <w:sz w:val="24"/>
          <w:szCs w:val="24"/>
          <w:lang w:val="sq-AL"/>
        </w:rPr>
        <w:t>rënie të përhapur në 28 nënsektorë industrialë.</w:t>
      </w:r>
    </w:p>
    <w:p w14:paraId="287DB235" w14:textId="6D1729B9" w:rsidR="005872F1" w:rsidRPr="00607DCB" w:rsidRDefault="005872F1" w:rsidP="00607DCB">
      <w:pPr>
        <w:spacing w:line="276" w:lineRule="auto"/>
        <w:ind w:left="7"/>
        <w:jc w:val="both"/>
        <w:rPr>
          <w:sz w:val="24"/>
          <w:szCs w:val="24"/>
          <w:lang w:val="sq-AL"/>
        </w:rPr>
      </w:pPr>
      <w:r w:rsidRPr="00607DCB">
        <w:rPr>
          <w:sz w:val="24"/>
          <w:szCs w:val="24"/>
          <w:lang w:val="sq-AL"/>
        </w:rPr>
        <w:t>Rritja në sektorët e shërbimeve, tregtisë dhe ndërtimit nuk ishte e mjaftueshme për të kompensuar rënien e industrisë.</w:t>
      </w:r>
    </w:p>
    <w:p w14:paraId="792A58B1" w14:textId="11B0D417" w:rsidR="005872F1" w:rsidRPr="00607DCB" w:rsidRDefault="005872F1" w:rsidP="00607DCB">
      <w:pPr>
        <w:spacing w:line="276" w:lineRule="auto"/>
        <w:ind w:left="7"/>
        <w:jc w:val="both"/>
        <w:rPr>
          <w:sz w:val="24"/>
          <w:szCs w:val="24"/>
          <w:lang w:val="sq-AL"/>
        </w:rPr>
      </w:pPr>
    </w:p>
    <w:p w14:paraId="68997C67" w14:textId="0F9AD40C"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Tatimi mbi të ardhurat personale</w:t>
      </w:r>
    </w:p>
    <w:p w14:paraId="6346703B" w14:textId="0AEF110E" w:rsidR="005872F1" w:rsidRPr="00607DCB" w:rsidRDefault="00DE71C6" w:rsidP="00607DCB">
      <w:pPr>
        <w:spacing w:line="276" w:lineRule="auto"/>
        <w:ind w:left="7"/>
        <w:jc w:val="both"/>
        <w:rPr>
          <w:sz w:val="24"/>
          <w:szCs w:val="24"/>
          <w:lang w:val="sq-AL"/>
        </w:rPr>
      </w:pPr>
      <w:r w:rsidRPr="00607DCB">
        <w:rPr>
          <w:sz w:val="24"/>
          <w:szCs w:val="24"/>
          <w:lang w:val="sq-AL"/>
        </w:rPr>
        <w:t xml:space="preserve">Parashikimi </w:t>
      </w:r>
      <w:r w:rsidR="00F83251" w:rsidRPr="00607DCB">
        <w:rPr>
          <w:sz w:val="24"/>
          <w:szCs w:val="24"/>
          <w:lang w:val="sq-AL"/>
        </w:rPr>
        <w:t>i</w:t>
      </w:r>
      <w:r w:rsidRPr="00607DCB">
        <w:rPr>
          <w:sz w:val="24"/>
          <w:szCs w:val="24"/>
          <w:lang w:val="sq-AL"/>
        </w:rPr>
        <w:t xml:space="preserve"> të ardhurave nga </w:t>
      </w:r>
      <w:r w:rsidR="005872F1" w:rsidRPr="00607DCB">
        <w:rPr>
          <w:sz w:val="24"/>
          <w:szCs w:val="24"/>
          <w:lang w:val="sq-AL"/>
        </w:rPr>
        <w:t>Tatimi mbi të ardhurat personale, me një devijim pozitiv prej +</w:t>
      </w:r>
      <w:r w:rsidR="005D7BFA">
        <w:rPr>
          <w:sz w:val="24"/>
          <w:szCs w:val="24"/>
          <w:lang w:val="sq-AL"/>
        </w:rPr>
        <w:t>14</w:t>
      </w:r>
      <w:r w:rsidR="005872F1" w:rsidRPr="00607DCB">
        <w:rPr>
          <w:sz w:val="24"/>
          <w:szCs w:val="24"/>
          <w:lang w:val="sq-AL"/>
        </w:rPr>
        <w:t xml:space="preserve"> miliardë lekësh, ose +0.5% e PBB</w:t>
      </w:r>
      <w:r w:rsidR="005872F1" w:rsidRPr="00607DCB">
        <w:rPr>
          <w:sz w:val="24"/>
          <w:szCs w:val="24"/>
          <w:lang w:val="sq-AL"/>
        </w:rPr>
        <w:noBreakHyphen/>
        <w:t>së</w:t>
      </w:r>
      <w:r w:rsidR="00906666" w:rsidRPr="00607DCB">
        <w:rPr>
          <w:sz w:val="24"/>
          <w:szCs w:val="24"/>
          <w:lang w:val="sq-AL"/>
        </w:rPr>
        <w:t xml:space="preserve"> </w:t>
      </w:r>
      <w:r w:rsidRPr="00607DCB">
        <w:rPr>
          <w:sz w:val="24"/>
          <w:szCs w:val="24"/>
          <w:lang w:val="sq-AL"/>
        </w:rPr>
        <w:t>krahasuar me ligjin e buxhetit të vitit 2026.</w:t>
      </w:r>
    </w:p>
    <w:p w14:paraId="204C6818" w14:textId="77777777" w:rsidR="005872F1" w:rsidRPr="00607DCB" w:rsidRDefault="005872F1" w:rsidP="00607DCB">
      <w:pPr>
        <w:spacing w:line="276" w:lineRule="auto"/>
        <w:ind w:left="7"/>
        <w:jc w:val="both"/>
        <w:rPr>
          <w:sz w:val="24"/>
          <w:szCs w:val="24"/>
          <w:lang w:val="sq-AL"/>
        </w:rPr>
      </w:pPr>
      <w:r w:rsidRPr="00607DCB">
        <w:rPr>
          <w:sz w:val="24"/>
          <w:szCs w:val="24"/>
          <w:lang w:val="sq-AL"/>
        </w:rPr>
        <w:t>Ky rezultat u mbështet nga:</w:t>
      </w:r>
    </w:p>
    <w:p w14:paraId="2E422056" w14:textId="77777777" w:rsidR="005872F1" w:rsidRDefault="005872F1" w:rsidP="00607DCB">
      <w:pPr>
        <w:numPr>
          <w:ilvl w:val="0"/>
          <w:numId w:val="59"/>
        </w:numPr>
        <w:spacing w:line="276" w:lineRule="auto"/>
        <w:jc w:val="both"/>
        <w:rPr>
          <w:sz w:val="24"/>
          <w:szCs w:val="24"/>
          <w:lang w:val="sq-AL"/>
        </w:rPr>
      </w:pPr>
      <w:r w:rsidRPr="00607DCB">
        <w:rPr>
          <w:sz w:val="24"/>
          <w:szCs w:val="24"/>
          <w:lang w:val="sq-AL"/>
        </w:rPr>
        <w:t>rritja e pagave në sektorin publik dhe privat,</w:t>
      </w:r>
    </w:p>
    <w:p w14:paraId="68E03A64" w14:textId="4BA79FE3" w:rsidR="005D7BFA" w:rsidRPr="00607DCB" w:rsidRDefault="005D7BFA" w:rsidP="00607DCB">
      <w:pPr>
        <w:numPr>
          <w:ilvl w:val="0"/>
          <w:numId w:val="59"/>
        </w:numPr>
        <w:spacing w:line="276" w:lineRule="auto"/>
        <w:jc w:val="both"/>
        <w:rPr>
          <w:sz w:val="24"/>
          <w:szCs w:val="24"/>
          <w:lang w:val="sq-AL"/>
        </w:rPr>
      </w:pPr>
      <w:r>
        <w:rPr>
          <w:sz w:val="24"/>
          <w:szCs w:val="24"/>
          <w:lang w:val="sq-AL"/>
        </w:rPr>
        <w:t>Indeksimi i pagave për administratën publike për vitin 2026.</w:t>
      </w:r>
    </w:p>
    <w:p w14:paraId="39DF3EE3" w14:textId="49FBBFAB" w:rsidR="005872F1" w:rsidRPr="00607DCB" w:rsidRDefault="005872F1" w:rsidP="00607DCB">
      <w:pPr>
        <w:numPr>
          <w:ilvl w:val="0"/>
          <w:numId w:val="59"/>
        </w:numPr>
        <w:spacing w:line="276" w:lineRule="auto"/>
        <w:jc w:val="both"/>
        <w:rPr>
          <w:sz w:val="24"/>
          <w:szCs w:val="24"/>
          <w:lang w:val="sq-AL"/>
        </w:rPr>
      </w:pPr>
      <w:r w:rsidRPr="00607DCB">
        <w:rPr>
          <w:sz w:val="24"/>
          <w:szCs w:val="24"/>
          <w:lang w:val="sq-AL"/>
        </w:rPr>
        <w:t>rritja e punësimit</w:t>
      </w:r>
      <w:r w:rsidR="00A00185" w:rsidRPr="00607DCB">
        <w:rPr>
          <w:sz w:val="24"/>
          <w:szCs w:val="24"/>
          <w:lang w:val="sq-AL"/>
        </w:rPr>
        <w:t>,</w:t>
      </w:r>
    </w:p>
    <w:p w14:paraId="6415E3B7" w14:textId="77777777" w:rsidR="004A7547" w:rsidRPr="00607DCB" w:rsidRDefault="004A7547" w:rsidP="00607DCB">
      <w:pPr>
        <w:numPr>
          <w:ilvl w:val="0"/>
          <w:numId w:val="59"/>
        </w:numPr>
        <w:spacing w:line="276" w:lineRule="auto"/>
        <w:jc w:val="both"/>
        <w:rPr>
          <w:sz w:val="24"/>
          <w:szCs w:val="24"/>
          <w:lang w:val="sq-AL"/>
        </w:rPr>
      </w:pPr>
      <w:r w:rsidRPr="00607DCB">
        <w:rPr>
          <w:sz w:val="24"/>
          <w:szCs w:val="24"/>
          <w:lang w:val="sq-AL"/>
        </w:rPr>
        <w:t>Inspektime të fokusuara në turizëm dhe ndërtim,</w:t>
      </w:r>
    </w:p>
    <w:p w14:paraId="36CDCBDB" w14:textId="77777777" w:rsidR="004A7547" w:rsidRPr="00607DCB" w:rsidRDefault="004A7547" w:rsidP="00607DCB">
      <w:pPr>
        <w:numPr>
          <w:ilvl w:val="0"/>
          <w:numId w:val="59"/>
        </w:numPr>
        <w:spacing w:line="276" w:lineRule="auto"/>
        <w:jc w:val="both"/>
        <w:rPr>
          <w:sz w:val="24"/>
          <w:szCs w:val="24"/>
          <w:lang w:val="sq-AL"/>
        </w:rPr>
      </w:pPr>
      <w:r w:rsidRPr="00607DCB">
        <w:rPr>
          <w:sz w:val="24"/>
          <w:szCs w:val="24"/>
          <w:lang w:val="sq-AL"/>
        </w:rPr>
        <w:t>Rritje e deklarimit real të pagës,</w:t>
      </w:r>
    </w:p>
    <w:p w14:paraId="1FB0FE3B" w14:textId="10126B60" w:rsidR="004A7547" w:rsidRPr="00607DCB" w:rsidRDefault="004A7547" w:rsidP="00607DCB">
      <w:pPr>
        <w:numPr>
          <w:ilvl w:val="0"/>
          <w:numId w:val="59"/>
        </w:numPr>
        <w:spacing w:line="276" w:lineRule="auto"/>
        <w:jc w:val="both"/>
        <w:rPr>
          <w:sz w:val="24"/>
          <w:szCs w:val="24"/>
          <w:lang w:val="sq-AL"/>
        </w:rPr>
      </w:pPr>
      <w:r w:rsidRPr="00607DCB">
        <w:rPr>
          <w:sz w:val="24"/>
          <w:szCs w:val="24"/>
          <w:lang w:val="sq-AL"/>
        </w:rPr>
        <w:t>Zgjerimi i bazës së kontribuesve</w:t>
      </w:r>
    </w:p>
    <w:p w14:paraId="447C546B" w14:textId="77777777" w:rsidR="005872F1" w:rsidRPr="00607DCB" w:rsidRDefault="005872F1" w:rsidP="00607DCB">
      <w:pPr>
        <w:numPr>
          <w:ilvl w:val="0"/>
          <w:numId w:val="59"/>
        </w:numPr>
        <w:spacing w:line="276" w:lineRule="auto"/>
        <w:jc w:val="both"/>
        <w:rPr>
          <w:sz w:val="24"/>
          <w:szCs w:val="24"/>
          <w:lang w:val="sq-AL"/>
        </w:rPr>
      </w:pPr>
      <w:r w:rsidRPr="00607DCB">
        <w:rPr>
          <w:sz w:val="24"/>
          <w:szCs w:val="24"/>
          <w:lang w:val="sq-AL"/>
        </w:rPr>
        <w:t>zbatimi i DIVA</w:t>
      </w:r>
      <w:r w:rsidRPr="00607DCB">
        <w:rPr>
          <w:sz w:val="24"/>
          <w:szCs w:val="24"/>
          <w:lang w:val="sq-AL"/>
        </w:rPr>
        <w:noBreakHyphen/>
        <w:t>s dhe masa të SAA</w:t>
      </w:r>
      <w:r w:rsidRPr="00607DCB">
        <w:rPr>
          <w:sz w:val="24"/>
          <w:szCs w:val="24"/>
          <w:lang w:val="sq-AL"/>
        </w:rPr>
        <w:noBreakHyphen/>
        <w:t>s për formalizim dhe analizë risku.</w:t>
      </w:r>
    </w:p>
    <w:p w14:paraId="70BF716C" w14:textId="77777777" w:rsidR="005872F1" w:rsidRPr="00607DCB" w:rsidRDefault="005872F1" w:rsidP="00607DCB">
      <w:pPr>
        <w:spacing w:line="276" w:lineRule="auto"/>
        <w:ind w:left="7"/>
        <w:jc w:val="both"/>
        <w:rPr>
          <w:sz w:val="24"/>
          <w:szCs w:val="24"/>
          <w:lang w:val="sq-AL"/>
        </w:rPr>
      </w:pPr>
      <w:r w:rsidRPr="00607DCB">
        <w:rPr>
          <w:sz w:val="24"/>
          <w:szCs w:val="24"/>
          <w:lang w:val="sq-AL"/>
        </w:rPr>
        <w:t>Megjithëse disa nënzëra (qiratë, interesat bankare, lojërat e fatit) performuan nën plan, ndikimi pozitiv i bazës së pagave dominoi rezultatin.</w:t>
      </w:r>
    </w:p>
    <w:p w14:paraId="2D66065D" w14:textId="77777777" w:rsidR="006F08AD" w:rsidRPr="00607DCB" w:rsidRDefault="006F08AD" w:rsidP="00607DCB">
      <w:pPr>
        <w:spacing w:line="276" w:lineRule="auto"/>
        <w:ind w:left="7"/>
        <w:jc w:val="both"/>
        <w:rPr>
          <w:sz w:val="24"/>
          <w:szCs w:val="24"/>
          <w:lang w:val="sq-AL"/>
        </w:rPr>
      </w:pPr>
    </w:p>
    <w:p w14:paraId="1FDA486B" w14:textId="41C5833C" w:rsidR="006F08AD" w:rsidRPr="00607DCB" w:rsidRDefault="006F08AD" w:rsidP="00607DCB">
      <w:pPr>
        <w:pStyle w:val="ListParagraph"/>
        <w:numPr>
          <w:ilvl w:val="0"/>
          <w:numId w:val="71"/>
        </w:numPr>
        <w:spacing w:line="276" w:lineRule="auto"/>
        <w:rPr>
          <w:b/>
          <w:bCs/>
          <w:sz w:val="24"/>
          <w:szCs w:val="24"/>
          <w:lang w:val="sq-AL"/>
        </w:rPr>
      </w:pPr>
      <w:r w:rsidRPr="00607DCB">
        <w:rPr>
          <w:b/>
          <w:bCs/>
          <w:sz w:val="24"/>
          <w:szCs w:val="24"/>
          <w:lang w:val="sq-AL"/>
        </w:rPr>
        <w:t>Taksa</w:t>
      </w:r>
      <w:r w:rsidR="00393EE4" w:rsidRPr="00607DCB">
        <w:rPr>
          <w:b/>
          <w:bCs/>
          <w:sz w:val="24"/>
          <w:szCs w:val="24"/>
          <w:lang w:val="sq-AL"/>
        </w:rPr>
        <w:t>t</w:t>
      </w:r>
      <w:r w:rsidRPr="00607DCB">
        <w:rPr>
          <w:b/>
          <w:bCs/>
          <w:sz w:val="24"/>
          <w:szCs w:val="24"/>
          <w:lang w:val="sq-AL"/>
        </w:rPr>
        <w:t xml:space="preserve"> </w:t>
      </w:r>
      <w:r w:rsidR="00393EE4" w:rsidRPr="00607DCB">
        <w:rPr>
          <w:b/>
          <w:bCs/>
          <w:sz w:val="24"/>
          <w:szCs w:val="24"/>
          <w:lang w:val="sq-AL"/>
        </w:rPr>
        <w:t>nacionale</w:t>
      </w:r>
    </w:p>
    <w:p w14:paraId="444C2B1F" w14:textId="35C1D9A6" w:rsidR="006F08AD" w:rsidRPr="00607DCB" w:rsidRDefault="00393EE4" w:rsidP="00607DCB">
      <w:pPr>
        <w:spacing w:line="276" w:lineRule="auto"/>
        <w:jc w:val="both"/>
        <w:rPr>
          <w:sz w:val="24"/>
          <w:szCs w:val="24"/>
          <w:lang w:val="sq-AL"/>
        </w:rPr>
      </w:pPr>
      <w:r w:rsidRPr="00607DCB">
        <w:rPr>
          <w:sz w:val="24"/>
          <w:szCs w:val="24"/>
          <w:lang w:val="sq-AL"/>
        </w:rPr>
        <w:t xml:space="preserve">Parashikimi i të ardhurave nga </w:t>
      </w:r>
      <w:r w:rsidR="006F08AD" w:rsidRPr="00607DCB">
        <w:rPr>
          <w:sz w:val="24"/>
          <w:szCs w:val="24"/>
          <w:lang w:val="sq-AL"/>
        </w:rPr>
        <w:t xml:space="preserve">Taksat </w:t>
      </w:r>
      <w:r w:rsidRPr="00607DCB">
        <w:rPr>
          <w:sz w:val="24"/>
          <w:szCs w:val="24"/>
          <w:lang w:val="sq-AL"/>
        </w:rPr>
        <w:t>nacionale</w:t>
      </w:r>
      <w:r w:rsidR="006F08AD" w:rsidRPr="00607DCB">
        <w:rPr>
          <w:sz w:val="24"/>
          <w:szCs w:val="24"/>
          <w:lang w:val="sq-AL"/>
        </w:rPr>
        <w:t xml:space="preserve"> </w:t>
      </w:r>
      <w:r w:rsidRPr="00607DCB">
        <w:rPr>
          <w:sz w:val="24"/>
          <w:szCs w:val="24"/>
          <w:lang w:val="sq-AL"/>
        </w:rPr>
        <w:t>rezultoi me një devijim negativ prej -2.</w:t>
      </w:r>
      <w:r w:rsidR="005D7BFA">
        <w:rPr>
          <w:sz w:val="24"/>
          <w:szCs w:val="24"/>
          <w:lang w:val="sq-AL"/>
        </w:rPr>
        <w:t>6</w:t>
      </w:r>
      <w:r w:rsidRPr="00607DCB">
        <w:rPr>
          <w:sz w:val="24"/>
          <w:szCs w:val="24"/>
          <w:lang w:val="sq-AL"/>
        </w:rPr>
        <w:t xml:space="preserve"> miliardë lekësh, ose –0.1% e PBB</w:t>
      </w:r>
      <w:r w:rsidRPr="00607DCB">
        <w:rPr>
          <w:sz w:val="24"/>
          <w:szCs w:val="24"/>
          <w:lang w:val="sq-AL"/>
        </w:rPr>
        <w:noBreakHyphen/>
        <w:t>së, krahasuar me ligjin e buxhetit të vitit 2026</w:t>
      </w:r>
      <w:r w:rsidR="006F08AD" w:rsidRPr="00607DCB">
        <w:rPr>
          <w:sz w:val="24"/>
          <w:szCs w:val="24"/>
          <w:lang w:val="sq-AL"/>
        </w:rPr>
        <w:t xml:space="preserve">, si pasojë e mosrealizimit të disa zërave kyç që kishin peshë të konsiderueshme në planifikimin sipas kuadrit. Kontributin më të madh në këtë devijancë e dhanë vonesat në zbatimin e paketës nënligjore për lojërat e fatit, nga e cila priteshin rreth 2 miliardë lekë të ardhura shtesë që nuk u materializuan gjatë vitit. Po ashtu, renta minerare pësoi rënie të fortë si në çmim ashtu edhe në sasi të eksportuar. Pamvarësisht ecurisë pozitive të disa taksave të tjera nacionale (taksës së qarkullimit, taksës së mjeteve të përdorura, taksës për ambalazhet plastike), këto zëra nuk arritën të kompensonin humbjet e krijuara nga komponentët dominues. </w:t>
      </w:r>
    </w:p>
    <w:p w14:paraId="7B6F334B" w14:textId="47C54422" w:rsidR="005872F1" w:rsidRPr="00607DCB" w:rsidRDefault="005872F1" w:rsidP="00607DCB">
      <w:pPr>
        <w:spacing w:line="276" w:lineRule="auto"/>
        <w:jc w:val="both"/>
        <w:rPr>
          <w:sz w:val="24"/>
          <w:szCs w:val="24"/>
          <w:lang w:val="sq-AL"/>
        </w:rPr>
      </w:pPr>
    </w:p>
    <w:p w14:paraId="740FB636" w14:textId="51487B73"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Taksa doganore</w:t>
      </w:r>
    </w:p>
    <w:p w14:paraId="19CE1A19" w14:textId="3DCA2E50" w:rsidR="005872F1" w:rsidRPr="00607DCB" w:rsidRDefault="002829F3" w:rsidP="00607DCB">
      <w:pPr>
        <w:spacing w:line="276" w:lineRule="auto"/>
        <w:ind w:left="7"/>
        <w:jc w:val="both"/>
        <w:rPr>
          <w:sz w:val="24"/>
          <w:szCs w:val="24"/>
          <w:lang w:val="sq-AL"/>
        </w:rPr>
      </w:pPr>
      <w:r>
        <w:rPr>
          <w:sz w:val="24"/>
          <w:szCs w:val="24"/>
          <w:lang w:val="sq-AL"/>
        </w:rPr>
        <w:t xml:space="preserve">Të </w:t>
      </w:r>
      <w:r w:rsidR="00393EE4" w:rsidRPr="00607DCB">
        <w:rPr>
          <w:sz w:val="24"/>
          <w:szCs w:val="24"/>
          <w:lang w:val="sq-AL"/>
        </w:rPr>
        <w:t>ardhura</w:t>
      </w:r>
      <w:r>
        <w:rPr>
          <w:sz w:val="24"/>
          <w:szCs w:val="24"/>
          <w:lang w:val="sq-AL"/>
        </w:rPr>
        <w:t>t</w:t>
      </w:r>
      <w:r w:rsidR="00393EE4" w:rsidRPr="00607DCB">
        <w:rPr>
          <w:sz w:val="24"/>
          <w:szCs w:val="24"/>
          <w:lang w:val="sq-AL"/>
        </w:rPr>
        <w:t xml:space="preserve"> nga </w:t>
      </w:r>
      <w:r w:rsidR="005872F1" w:rsidRPr="00607DCB">
        <w:rPr>
          <w:sz w:val="24"/>
          <w:szCs w:val="24"/>
          <w:lang w:val="sq-AL"/>
        </w:rPr>
        <w:t xml:space="preserve">taksa doganore </w:t>
      </w:r>
      <w:r w:rsidR="00393EE4" w:rsidRPr="00607DCB">
        <w:rPr>
          <w:sz w:val="24"/>
          <w:szCs w:val="24"/>
          <w:lang w:val="sq-AL"/>
        </w:rPr>
        <w:t>rezultoi me një devijim negativ prej -0.</w:t>
      </w:r>
      <w:r>
        <w:rPr>
          <w:sz w:val="24"/>
          <w:szCs w:val="24"/>
          <w:lang w:val="sq-AL"/>
        </w:rPr>
        <w:t>7</w:t>
      </w:r>
      <w:r w:rsidR="00393EE4" w:rsidRPr="00607DCB">
        <w:rPr>
          <w:sz w:val="24"/>
          <w:szCs w:val="24"/>
          <w:lang w:val="sq-AL"/>
        </w:rPr>
        <w:t xml:space="preserve"> miliardë lekësh, ose -0.03% e PBB</w:t>
      </w:r>
      <w:r w:rsidR="00393EE4" w:rsidRPr="00607DCB">
        <w:rPr>
          <w:sz w:val="24"/>
          <w:szCs w:val="24"/>
          <w:lang w:val="sq-AL"/>
        </w:rPr>
        <w:noBreakHyphen/>
        <w:t>së krahasuar me ligjin e buxhetit të vitit 2026. Ky nënrealizim është diktuar kryesisht nga tre faktorë:</w:t>
      </w:r>
    </w:p>
    <w:p w14:paraId="12CBFAE4" w14:textId="31BD4F21" w:rsidR="005872F1" w:rsidRPr="00607DCB" w:rsidRDefault="00393EE4" w:rsidP="00607DCB">
      <w:pPr>
        <w:numPr>
          <w:ilvl w:val="0"/>
          <w:numId w:val="60"/>
        </w:numPr>
        <w:spacing w:line="276" w:lineRule="auto"/>
        <w:jc w:val="both"/>
        <w:rPr>
          <w:sz w:val="24"/>
          <w:szCs w:val="24"/>
          <w:lang w:val="sq-AL"/>
        </w:rPr>
      </w:pPr>
      <w:r w:rsidRPr="00607DCB">
        <w:rPr>
          <w:sz w:val="24"/>
          <w:szCs w:val="24"/>
          <w:lang w:val="sq-AL"/>
        </w:rPr>
        <w:t>Ndryshimi i origjinës së importit të cigareve, i cili uli nivelin e detyrimeve doganore të pagueshme për këtë artikull</w:t>
      </w:r>
      <w:r w:rsidR="00462615" w:rsidRPr="00607DCB">
        <w:rPr>
          <w:sz w:val="24"/>
          <w:szCs w:val="24"/>
          <w:lang w:val="sq-AL"/>
        </w:rPr>
        <w:t>,</w:t>
      </w:r>
    </w:p>
    <w:p w14:paraId="3B59A881" w14:textId="51F21A7E" w:rsidR="0005027C" w:rsidRPr="00607DCB" w:rsidRDefault="00393EE4" w:rsidP="00607DCB">
      <w:pPr>
        <w:numPr>
          <w:ilvl w:val="0"/>
          <w:numId w:val="60"/>
        </w:numPr>
        <w:spacing w:line="276" w:lineRule="auto"/>
        <w:jc w:val="both"/>
        <w:rPr>
          <w:sz w:val="24"/>
          <w:szCs w:val="24"/>
          <w:lang w:val="sq-AL"/>
        </w:rPr>
      </w:pPr>
      <w:r w:rsidRPr="00607DCB">
        <w:rPr>
          <w:sz w:val="24"/>
          <w:szCs w:val="24"/>
          <w:lang w:val="sq-AL"/>
        </w:rPr>
        <w:t>Rënia e sasive të importuara të sheqerit dhe pijeve, duke ngushtuar bazën tatimore mbi të cilën llogaritet taksa</w:t>
      </w:r>
      <w:r w:rsidR="0005027C" w:rsidRPr="00607DCB">
        <w:rPr>
          <w:sz w:val="24"/>
          <w:szCs w:val="24"/>
          <w:lang w:val="sq-AL"/>
        </w:rPr>
        <w:t>t</w:t>
      </w:r>
      <w:r w:rsidR="00462615" w:rsidRPr="00607DCB">
        <w:rPr>
          <w:sz w:val="24"/>
          <w:szCs w:val="24"/>
          <w:lang w:val="sq-AL"/>
        </w:rPr>
        <w:t>,</w:t>
      </w:r>
    </w:p>
    <w:p w14:paraId="65BF6EA1" w14:textId="1AE4153F" w:rsidR="00393EE4" w:rsidRPr="00607DCB" w:rsidRDefault="00393EE4" w:rsidP="00607DCB">
      <w:pPr>
        <w:numPr>
          <w:ilvl w:val="0"/>
          <w:numId w:val="60"/>
        </w:numPr>
        <w:spacing w:line="276" w:lineRule="auto"/>
        <w:jc w:val="both"/>
        <w:rPr>
          <w:sz w:val="24"/>
          <w:szCs w:val="24"/>
          <w:lang w:val="sq-AL"/>
        </w:rPr>
      </w:pPr>
      <w:r w:rsidRPr="00607DCB">
        <w:rPr>
          <w:sz w:val="24"/>
          <w:szCs w:val="24"/>
          <w:lang w:val="sq-AL"/>
        </w:rPr>
        <w:t xml:space="preserve">Zhvendosja e strukturës së importeve drejt mallrave me përjashtim ose ngarkesë më të ulët </w:t>
      </w:r>
      <w:r w:rsidRPr="00607DCB">
        <w:rPr>
          <w:sz w:val="24"/>
          <w:szCs w:val="24"/>
          <w:lang w:val="sq-AL"/>
        </w:rPr>
        <w:lastRenderedPageBreak/>
        <w:t>doganore, ç</w:t>
      </w:r>
      <w:r w:rsidR="00462615" w:rsidRPr="00607DCB">
        <w:rPr>
          <w:sz w:val="24"/>
          <w:szCs w:val="24"/>
          <w:lang w:val="sq-AL"/>
        </w:rPr>
        <w:t>’</w:t>
      </w:r>
      <w:r w:rsidRPr="00607DCB">
        <w:rPr>
          <w:sz w:val="24"/>
          <w:szCs w:val="24"/>
          <w:lang w:val="sq-AL"/>
        </w:rPr>
        <w:t>ka reduktoi potencialin e arkëtimit krahasuar me planin fillestar.</w:t>
      </w:r>
    </w:p>
    <w:p w14:paraId="6B6AC6D1" w14:textId="75D394A8" w:rsidR="005872F1" w:rsidRPr="00607DCB" w:rsidRDefault="005872F1" w:rsidP="00607DCB">
      <w:pPr>
        <w:spacing w:line="276" w:lineRule="auto"/>
        <w:jc w:val="both"/>
        <w:rPr>
          <w:sz w:val="24"/>
          <w:szCs w:val="24"/>
          <w:lang w:val="sq-AL"/>
        </w:rPr>
      </w:pPr>
    </w:p>
    <w:p w14:paraId="7A5A2467" w14:textId="64B4BEC5" w:rsidR="005872F1" w:rsidRPr="00607DCB" w:rsidRDefault="005872F1" w:rsidP="00607DCB">
      <w:pPr>
        <w:pStyle w:val="ListParagraph"/>
        <w:numPr>
          <w:ilvl w:val="0"/>
          <w:numId w:val="71"/>
        </w:numPr>
        <w:spacing w:line="276" w:lineRule="auto"/>
        <w:rPr>
          <w:b/>
          <w:bCs/>
          <w:sz w:val="24"/>
          <w:szCs w:val="24"/>
          <w:lang w:val="sq-AL"/>
        </w:rPr>
      </w:pPr>
      <w:r w:rsidRPr="00607DCB">
        <w:rPr>
          <w:b/>
          <w:bCs/>
          <w:sz w:val="24"/>
          <w:szCs w:val="24"/>
          <w:lang w:val="sq-AL"/>
        </w:rPr>
        <w:t>Kontributet e sigurimeve shoqërore dhe shëndetësore</w:t>
      </w:r>
    </w:p>
    <w:p w14:paraId="2DA6B38E" w14:textId="1BC27365" w:rsidR="00F83251" w:rsidRPr="00607DCB" w:rsidRDefault="00F83251" w:rsidP="00607DCB">
      <w:pPr>
        <w:spacing w:line="276" w:lineRule="auto"/>
        <w:ind w:left="7"/>
        <w:jc w:val="both"/>
        <w:rPr>
          <w:sz w:val="24"/>
          <w:szCs w:val="24"/>
          <w:lang w:val="sq-AL"/>
        </w:rPr>
      </w:pPr>
      <w:r w:rsidRPr="00607DCB">
        <w:rPr>
          <w:sz w:val="24"/>
          <w:szCs w:val="24"/>
          <w:lang w:val="sq-AL"/>
        </w:rPr>
        <w:t xml:space="preserve">Parashikimi i të ardhurave nga kontributet e sigurimeve shoqërore dhe shëndetësore rezultoi me një devijim pozitiv prej </w:t>
      </w:r>
      <w:r w:rsidR="002829F3">
        <w:rPr>
          <w:sz w:val="24"/>
          <w:szCs w:val="24"/>
          <w:lang w:val="sq-AL"/>
        </w:rPr>
        <w:t>22.2</w:t>
      </w:r>
      <w:r w:rsidRPr="00607DCB">
        <w:rPr>
          <w:sz w:val="24"/>
          <w:szCs w:val="24"/>
          <w:lang w:val="sq-AL"/>
        </w:rPr>
        <w:t xml:space="preserve"> miliardë lekësh, ose 0.</w:t>
      </w:r>
      <w:r w:rsidR="002829F3">
        <w:rPr>
          <w:sz w:val="24"/>
          <w:szCs w:val="24"/>
          <w:lang w:val="sq-AL"/>
        </w:rPr>
        <w:t>8</w:t>
      </w:r>
      <w:r w:rsidRPr="00607DCB">
        <w:rPr>
          <w:sz w:val="24"/>
          <w:szCs w:val="24"/>
          <w:lang w:val="sq-AL"/>
        </w:rPr>
        <w:t>% të PBB</w:t>
      </w:r>
      <w:r w:rsidRPr="00607DCB">
        <w:rPr>
          <w:sz w:val="24"/>
          <w:szCs w:val="24"/>
          <w:lang w:val="sq-AL"/>
        </w:rPr>
        <w:noBreakHyphen/>
        <w:t>së, krahasuar me Ligjin e Buxhetit 2026. Ky mbirealizim reflekton ndikimin e një sërë faktorësh strukturorë dhe administrativë, të cilët kanë zgjeruar bazën kontribuese dhe kanë rritur nivelin e deklarimit të detyrimeve.</w:t>
      </w:r>
    </w:p>
    <w:p w14:paraId="643836CD" w14:textId="77777777" w:rsidR="00F83251" w:rsidRPr="00607DCB" w:rsidRDefault="00F83251" w:rsidP="00607DCB">
      <w:pPr>
        <w:spacing w:line="276" w:lineRule="auto"/>
        <w:ind w:left="284" w:hanging="284"/>
        <w:jc w:val="both"/>
        <w:rPr>
          <w:sz w:val="24"/>
          <w:szCs w:val="24"/>
          <w:lang w:val="sq-AL"/>
        </w:rPr>
      </w:pPr>
      <w:r w:rsidRPr="00607DCB">
        <w:rPr>
          <w:sz w:val="24"/>
          <w:szCs w:val="24"/>
          <w:lang w:val="sq-AL"/>
        </w:rPr>
        <w:t>Konkretisht, rezultati pozitiv është nxitur nga:</w:t>
      </w:r>
    </w:p>
    <w:p w14:paraId="07FE0C8B" w14:textId="77777777" w:rsidR="004C1EF3" w:rsidRPr="00607DCB" w:rsidRDefault="004C1EF3" w:rsidP="00607DCB">
      <w:pPr>
        <w:spacing w:line="276" w:lineRule="auto"/>
        <w:ind w:left="284" w:hanging="284"/>
        <w:jc w:val="both"/>
        <w:rPr>
          <w:sz w:val="24"/>
          <w:szCs w:val="24"/>
          <w:lang w:val="sq-AL"/>
        </w:rPr>
      </w:pPr>
    </w:p>
    <w:p w14:paraId="63C8844E" w14:textId="77777777" w:rsidR="004C1EF3" w:rsidRPr="00607DCB" w:rsidRDefault="004C1EF3" w:rsidP="00607DCB">
      <w:pPr>
        <w:numPr>
          <w:ilvl w:val="0"/>
          <w:numId w:val="60"/>
        </w:numPr>
        <w:spacing w:line="276" w:lineRule="auto"/>
        <w:jc w:val="both"/>
        <w:rPr>
          <w:sz w:val="24"/>
          <w:szCs w:val="24"/>
          <w:lang w:val="sq-AL"/>
        </w:rPr>
      </w:pPr>
      <w:r w:rsidRPr="00607DCB">
        <w:rPr>
          <w:sz w:val="24"/>
          <w:szCs w:val="24"/>
          <w:lang w:val="sq-AL"/>
        </w:rPr>
        <w:t>Reforma e pagave në sektorin publik, e cila rriti ndjeshëm fondin total të pagave;</w:t>
      </w:r>
      <w:bookmarkStart w:id="12" w:name="_Hlk226709573"/>
    </w:p>
    <w:bookmarkEnd w:id="12"/>
    <w:p w14:paraId="23AF3CD4" w14:textId="77777777" w:rsidR="004C1EF3" w:rsidRPr="00607DCB" w:rsidRDefault="00F83251" w:rsidP="00607DCB">
      <w:pPr>
        <w:numPr>
          <w:ilvl w:val="0"/>
          <w:numId w:val="60"/>
        </w:numPr>
        <w:spacing w:line="276" w:lineRule="auto"/>
        <w:jc w:val="both"/>
        <w:rPr>
          <w:sz w:val="24"/>
          <w:szCs w:val="24"/>
          <w:lang w:val="sq-AL"/>
        </w:rPr>
      </w:pPr>
      <w:r w:rsidRPr="00607DCB">
        <w:rPr>
          <w:sz w:val="24"/>
          <w:szCs w:val="24"/>
          <w:lang w:val="sq-AL"/>
        </w:rPr>
        <w:t>Rritja e pagave dhe e punësimit në sektorin privat, si efekt i kushteve më të mira të tregut të punës dhe formalizimit</w:t>
      </w:r>
      <w:r w:rsidR="004C1EF3" w:rsidRPr="00607DCB">
        <w:rPr>
          <w:sz w:val="24"/>
          <w:szCs w:val="24"/>
          <w:lang w:val="sq-AL"/>
        </w:rPr>
        <w:t>;</w:t>
      </w:r>
    </w:p>
    <w:p w14:paraId="0A8108BA" w14:textId="77777777" w:rsidR="004C1EF3" w:rsidRPr="00607DCB" w:rsidRDefault="00F83251" w:rsidP="00607DCB">
      <w:pPr>
        <w:numPr>
          <w:ilvl w:val="0"/>
          <w:numId w:val="60"/>
        </w:numPr>
        <w:spacing w:line="276" w:lineRule="auto"/>
        <w:jc w:val="both"/>
        <w:rPr>
          <w:sz w:val="24"/>
          <w:szCs w:val="24"/>
          <w:lang w:val="sq-AL"/>
        </w:rPr>
      </w:pPr>
      <w:r w:rsidRPr="00607DCB">
        <w:rPr>
          <w:sz w:val="24"/>
          <w:szCs w:val="24"/>
          <w:lang w:val="sq-AL"/>
        </w:rPr>
        <w:t>Zgjerimi i numrit të bizneseve aktive, duke rritur numrin e subjekteve kontribuese;</w:t>
      </w:r>
    </w:p>
    <w:p w14:paraId="0B66B478" w14:textId="77777777" w:rsidR="004C1EF3" w:rsidRPr="00607DCB" w:rsidRDefault="00F83251" w:rsidP="00607DCB">
      <w:pPr>
        <w:numPr>
          <w:ilvl w:val="0"/>
          <w:numId w:val="60"/>
        </w:numPr>
        <w:spacing w:line="276" w:lineRule="auto"/>
        <w:jc w:val="both"/>
        <w:rPr>
          <w:sz w:val="24"/>
          <w:szCs w:val="24"/>
          <w:lang w:val="sq-AL"/>
        </w:rPr>
      </w:pPr>
      <w:r w:rsidRPr="00607DCB">
        <w:rPr>
          <w:sz w:val="24"/>
          <w:szCs w:val="24"/>
          <w:lang w:val="sq-AL"/>
        </w:rPr>
        <w:t>Rritja e punonjësve në listëpagesë, si pasojë e luftës kundër informalitetit dhe deklarimit të pagave reale;</w:t>
      </w:r>
    </w:p>
    <w:p w14:paraId="6F4308BA" w14:textId="0EB68706" w:rsidR="00F83251" w:rsidRPr="00607DCB" w:rsidRDefault="00F83251" w:rsidP="00607DCB">
      <w:pPr>
        <w:numPr>
          <w:ilvl w:val="0"/>
          <w:numId w:val="60"/>
        </w:numPr>
        <w:spacing w:line="276" w:lineRule="auto"/>
        <w:jc w:val="both"/>
        <w:rPr>
          <w:sz w:val="24"/>
          <w:szCs w:val="24"/>
          <w:lang w:val="sq-AL"/>
        </w:rPr>
      </w:pPr>
      <w:r w:rsidRPr="00607DCB">
        <w:rPr>
          <w:sz w:val="24"/>
          <w:szCs w:val="24"/>
          <w:lang w:val="sq-AL"/>
        </w:rPr>
        <w:t>Masat e fiskalizimit, zbatimi i SAA-së dhe i planit të veprimit për vitin 2025, të cilat përmirësuan ndjeshëm përputhjen dhe raportimin e detyrimeve.</w:t>
      </w:r>
    </w:p>
    <w:p w14:paraId="165D23B6" w14:textId="77777777" w:rsidR="004C1EF3" w:rsidRPr="00607DCB" w:rsidRDefault="004C1EF3" w:rsidP="00607DCB">
      <w:pPr>
        <w:spacing w:line="276" w:lineRule="auto"/>
        <w:ind w:left="284" w:hanging="142"/>
        <w:jc w:val="both"/>
        <w:rPr>
          <w:sz w:val="24"/>
          <w:szCs w:val="24"/>
          <w:lang w:val="sq-AL"/>
        </w:rPr>
      </w:pPr>
    </w:p>
    <w:p w14:paraId="79B2C5F9" w14:textId="7E261769" w:rsidR="00F83251" w:rsidRPr="00607DCB" w:rsidRDefault="00F83251" w:rsidP="00607DCB">
      <w:pPr>
        <w:spacing w:line="276" w:lineRule="auto"/>
        <w:jc w:val="both"/>
        <w:rPr>
          <w:sz w:val="24"/>
          <w:szCs w:val="24"/>
          <w:lang w:val="sq-AL"/>
        </w:rPr>
      </w:pPr>
      <w:r w:rsidRPr="00607DCB">
        <w:rPr>
          <w:sz w:val="24"/>
          <w:szCs w:val="24"/>
          <w:lang w:val="sq-AL"/>
        </w:rPr>
        <w:t>Këta faktorë të kombinuar krijuan një bazë më të gjerë dhe më të formalizuar të kontributeve, duke mundësuar realizim mbi pritshmëritë fillestare.</w:t>
      </w:r>
    </w:p>
    <w:p w14:paraId="38FC8C8E" w14:textId="77777777" w:rsidR="005872F1" w:rsidRPr="00607DCB" w:rsidRDefault="005872F1" w:rsidP="00607DCB">
      <w:pPr>
        <w:spacing w:line="276" w:lineRule="auto"/>
        <w:jc w:val="both"/>
        <w:rPr>
          <w:rStyle w:val="jlqj4b"/>
          <w:sz w:val="24"/>
          <w:szCs w:val="24"/>
          <w:lang w:val="sq-AL"/>
        </w:rPr>
      </w:pPr>
    </w:p>
    <w:p w14:paraId="02BAA879" w14:textId="21B9E613" w:rsidR="00DC2AB1" w:rsidRPr="00607DCB" w:rsidRDefault="00DC2AB1" w:rsidP="00376AAF">
      <w:pPr>
        <w:pStyle w:val="Heading1"/>
        <w:numPr>
          <w:ilvl w:val="0"/>
          <w:numId w:val="67"/>
        </w:numPr>
        <w:spacing w:line="276" w:lineRule="auto"/>
        <w:ind w:right="48"/>
        <w:jc w:val="both"/>
        <w:rPr>
          <w:sz w:val="24"/>
          <w:szCs w:val="24"/>
          <w:lang w:val="sq-AL"/>
        </w:rPr>
      </w:pPr>
      <w:bookmarkStart w:id="13" w:name="_Toc228275798"/>
      <w:r w:rsidRPr="00607DCB">
        <w:rPr>
          <w:sz w:val="24"/>
          <w:szCs w:val="24"/>
          <w:lang w:val="sq-AL"/>
        </w:rPr>
        <w:t xml:space="preserve">Devijancat e </w:t>
      </w:r>
      <w:r w:rsidR="00791F53">
        <w:rPr>
          <w:sz w:val="24"/>
          <w:szCs w:val="24"/>
          <w:lang w:val="sq-AL"/>
        </w:rPr>
        <w:t xml:space="preserve"> </w:t>
      </w:r>
      <w:r w:rsidR="007011B7">
        <w:rPr>
          <w:sz w:val="24"/>
          <w:szCs w:val="24"/>
          <w:lang w:val="sq-AL"/>
        </w:rPr>
        <w:t>parashikimeve t</w:t>
      </w:r>
      <w:r w:rsidR="00455816">
        <w:rPr>
          <w:sz w:val="24"/>
          <w:szCs w:val="24"/>
          <w:lang w:val="sq-AL"/>
        </w:rPr>
        <w:t>ë</w:t>
      </w:r>
      <w:r w:rsidR="007011B7">
        <w:rPr>
          <w:sz w:val="24"/>
          <w:szCs w:val="24"/>
          <w:lang w:val="sq-AL"/>
        </w:rPr>
        <w:t xml:space="preserve"> ardhurave jotatimore dhe </w:t>
      </w:r>
      <w:r w:rsidRPr="00607DCB">
        <w:rPr>
          <w:sz w:val="24"/>
          <w:szCs w:val="24"/>
          <w:lang w:val="sq-AL"/>
        </w:rPr>
        <w:t>shpenzimeve buxhetore për buxhetin 2026 me kuadrin makro 2026-2028</w:t>
      </w:r>
      <w:bookmarkEnd w:id="13"/>
    </w:p>
    <w:p w14:paraId="76B93692" w14:textId="77777777" w:rsidR="00DC2AB1" w:rsidRPr="00607DCB" w:rsidRDefault="00DC2AB1" w:rsidP="00607DCB">
      <w:pPr>
        <w:pStyle w:val="Heading1"/>
        <w:numPr>
          <w:ilvl w:val="0"/>
          <w:numId w:val="0"/>
        </w:numPr>
        <w:spacing w:line="276" w:lineRule="auto"/>
        <w:ind w:left="360"/>
        <w:jc w:val="both"/>
        <w:rPr>
          <w:sz w:val="24"/>
          <w:szCs w:val="24"/>
          <w:lang w:val="sq-AL"/>
        </w:rPr>
      </w:pPr>
    </w:p>
    <w:p w14:paraId="6CD81211" w14:textId="77777777" w:rsidR="00DC2AB1" w:rsidRPr="00607DCB" w:rsidRDefault="00DC2AB1" w:rsidP="00607DCB">
      <w:pPr>
        <w:pStyle w:val="Heading1"/>
        <w:numPr>
          <w:ilvl w:val="0"/>
          <w:numId w:val="0"/>
        </w:numPr>
        <w:spacing w:line="276" w:lineRule="auto"/>
        <w:jc w:val="both"/>
        <w:rPr>
          <w:sz w:val="24"/>
          <w:szCs w:val="24"/>
          <w:lang w:val="sq-AL"/>
        </w:rPr>
      </w:pPr>
    </w:p>
    <w:p w14:paraId="55532C6B" w14:textId="49209AC1" w:rsidR="002322AE" w:rsidRDefault="002322AE" w:rsidP="00376AAF">
      <w:pPr>
        <w:pStyle w:val="Heading1"/>
        <w:numPr>
          <w:ilvl w:val="1"/>
          <w:numId w:val="67"/>
        </w:numPr>
        <w:spacing w:line="276" w:lineRule="auto"/>
        <w:ind w:right="48"/>
        <w:jc w:val="both"/>
        <w:rPr>
          <w:sz w:val="24"/>
          <w:szCs w:val="24"/>
          <w:lang w:val="sq-AL"/>
        </w:rPr>
      </w:pPr>
      <w:bookmarkStart w:id="14" w:name="_Toc228275799"/>
      <w:r w:rsidRPr="00607DCB">
        <w:rPr>
          <w:sz w:val="24"/>
          <w:szCs w:val="24"/>
          <w:lang w:val="sq-AL"/>
        </w:rPr>
        <w:t xml:space="preserve">Devijancat e </w:t>
      </w:r>
      <w:r w:rsidR="00237E27">
        <w:rPr>
          <w:sz w:val="24"/>
          <w:szCs w:val="24"/>
          <w:lang w:val="sq-AL"/>
        </w:rPr>
        <w:t>t</w:t>
      </w:r>
      <w:r w:rsidR="00455816">
        <w:rPr>
          <w:sz w:val="24"/>
          <w:szCs w:val="24"/>
          <w:lang w:val="sq-AL"/>
        </w:rPr>
        <w:t>ë</w:t>
      </w:r>
      <w:r w:rsidR="00237E27">
        <w:rPr>
          <w:sz w:val="24"/>
          <w:szCs w:val="24"/>
          <w:lang w:val="sq-AL"/>
        </w:rPr>
        <w:t xml:space="preserve"> ardhurave jo-tatimore dhe </w:t>
      </w:r>
      <w:r w:rsidRPr="00607DCB">
        <w:rPr>
          <w:sz w:val="24"/>
          <w:szCs w:val="24"/>
          <w:lang w:val="sq-AL"/>
        </w:rPr>
        <w:t>shpenzimeve korrente p</w:t>
      </w:r>
      <w:r w:rsidR="00A721D5" w:rsidRPr="00607DCB">
        <w:rPr>
          <w:sz w:val="24"/>
          <w:szCs w:val="24"/>
          <w:lang w:val="sq-AL"/>
        </w:rPr>
        <w:t>ë</w:t>
      </w:r>
      <w:r w:rsidRPr="00607DCB">
        <w:rPr>
          <w:sz w:val="24"/>
          <w:szCs w:val="24"/>
          <w:lang w:val="sq-AL"/>
        </w:rPr>
        <w:t>r buxhetin e vitit 2026</w:t>
      </w:r>
      <w:bookmarkEnd w:id="14"/>
    </w:p>
    <w:p w14:paraId="026461D2" w14:textId="0F8F921B" w:rsidR="00301526" w:rsidRDefault="00376AAF" w:rsidP="00E707CB">
      <w:pPr>
        <w:widowControl/>
        <w:autoSpaceDE/>
        <w:autoSpaceDN/>
        <w:spacing w:before="100" w:beforeAutospacing="1" w:after="100" w:afterAutospacing="1" w:line="300" w:lineRule="atLeast"/>
        <w:jc w:val="both"/>
        <w:rPr>
          <w:sz w:val="24"/>
          <w:szCs w:val="24"/>
          <w:lang w:val="sq-AL"/>
        </w:rPr>
      </w:pPr>
      <w:r>
        <w:rPr>
          <w:sz w:val="24"/>
          <w:szCs w:val="24"/>
          <w:lang w:val="sq-AL"/>
        </w:rPr>
        <w:t>N</w:t>
      </w:r>
      <w:r w:rsidR="00455816">
        <w:rPr>
          <w:sz w:val="24"/>
          <w:szCs w:val="24"/>
          <w:lang w:val="sq-AL"/>
        </w:rPr>
        <w:t>ë</w:t>
      </w:r>
      <w:r>
        <w:rPr>
          <w:sz w:val="24"/>
          <w:szCs w:val="24"/>
          <w:lang w:val="sq-AL"/>
        </w:rPr>
        <w:t xml:space="preserve"> k</w:t>
      </w:r>
      <w:r w:rsidR="00455816">
        <w:rPr>
          <w:sz w:val="24"/>
          <w:szCs w:val="24"/>
          <w:lang w:val="sq-AL"/>
        </w:rPr>
        <w:t>ë</w:t>
      </w:r>
      <w:r>
        <w:rPr>
          <w:sz w:val="24"/>
          <w:szCs w:val="24"/>
          <w:lang w:val="sq-AL"/>
        </w:rPr>
        <w:t>t</w:t>
      </w:r>
      <w:r w:rsidR="00455816">
        <w:rPr>
          <w:sz w:val="24"/>
          <w:szCs w:val="24"/>
          <w:lang w:val="sq-AL"/>
        </w:rPr>
        <w:t>ë</w:t>
      </w:r>
      <w:r>
        <w:rPr>
          <w:sz w:val="24"/>
          <w:szCs w:val="24"/>
          <w:lang w:val="sq-AL"/>
        </w:rPr>
        <w:t xml:space="preserve"> </w:t>
      </w:r>
      <w:r w:rsidR="00E707CB">
        <w:rPr>
          <w:sz w:val="24"/>
          <w:szCs w:val="24"/>
          <w:lang w:val="sq-AL"/>
        </w:rPr>
        <w:t>seksion t</w:t>
      </w:r>
      <w:r w:rsidR="00455816">
        <w:rPr>
          <w:sz w:val="24"/>
          <w:szCs w:val="24"/>
          <w:lang w:val="sq-AL"/>
        </w:rPr>
        <w:t>ë</w:t>
      </w:r>
      <w:r w:rsidR="00E707CB">
        <w:rPr>
          <w:sz w:val="24"/>
          <w:szCs w:val="24"/>
          <w:lang w:val="sq-AL"/>
        </w:rPr>
        <w:t xml:space="preserve"> raportit do t</w:t>
      </w:r>
      <w:r w:rsidR="00455816">
        <w:rPr>
          <w:sz w:val="24"/>
          <w:szCs w:val="24"/>
          <w:lang w:val="sq-AL"/>
        </w:rPr>
        <w:t>ë</w:t>
      </w:r>
      <w:r w:rsidR="00E707CB">
        <w:rPr>
          <w:sz w:val="24"/>
          <w:szCs w:val="24"/>
          <w:lang w:val="sq-AL"/>
        </w:rPr>
        <w:t xml:space="preserve"> analizohen parashikimet e b</w:t>
      </w:r>
      <w:r w:rsidR="00455816">
        <w:rPr>
          <w:sz w:val="24"/>
          <w:szCs w:val="24"/>
          <w:lang w:val="sq-AL"/>
        </w:rPr>
        <w:t>ë</w:t>
      </w:r>
      <w:r w:rsidR="00E707CB">
        <w:rPr>
          <w:sz w:val="24"/>
          <w:szCs w:val="24"/>
          <w:lang w:val="sq-AL"/>
        </w:rPr>
        <w:t>ra n</w:t>
      </w:r>
      <w:r w:rsidR="00455816">
        <w:rPr>
          <w:sz w:val="24"/>
          <w:szCs w:val="24"/>
          <w:lang w:val="sq-AL"/>
        </w:rPr>
        <w:t>ë</w:t>
      </w:r>
      <w:r w:rsidR="00E707CB">
        <w:rPr>
          <w:sz w:val="24"/>
          <w:szCs w:val="24"/>
          <w:lang w:val="sq-AL"/>
        </w:rPr>
        <w:t xml:space="preserve"> z</w:t>
      </w:r>
      <w:r w:rsidR="00455816">
        <w:rPr>
          <w:sz w:val="24"/>
          <w:szCs w:val="24"/>
          <w:lang w:val="sq-AL"/>
        </w:rPr>
        <w:t>ë</w:t>
      </w:r>
      <w:r w:rsidR="00E707CB">
        <w:rPr>
          <w:sz w:val="24"/>
          <w:szCs w:val="24"/>
          <w:lang w:val="sq-AL"/>
        </w:rPr>
        <w:t>rat e t</w:t>
      </w:r>
      <w:r w:rsidR="00455816">
        <w:rPr>
          <w:sz w:val="24"/>
          <w:szCs w:val="24"/>
          <w:lang w:val="sq-AL"/>
        </w:rPr>
        <w:t>ë</w:t>
      </w:r>
      <w:r w:rsidR="00E707CB">
        <w:rPr>
          <w:sz w:val="24"/>
          <w:szCs w:val="24"/>
          <w:lang w:val="sq-AL"/>
        </w:rPr>
        <w:t xml:space="preserve"> ardhurave jo-tatimore dhe z</w:t>
      </w:r>
      <w:r w:rsidR="00455816">
        <w:rPr>
          <w:sz w:val="24"/>
          <w:szCs w:val="24"/>
          <w:lang w:val="sq-AL"/>
        </w:rPr>
        <w:t>ë</w:t>
      </w:r>
      <w:r w:rsidR="00E707CB">
        <w:rPr>
          <w:sz w:val="24"/>
          <w:szCs w:val="24"/>
          <w:lang w:val="sq-AL"/>
        </w:rPr>
        <w:t>rat e shpenzimeve korrente n</w:t>
      </w:r>
      <w:r w:rsidR="00455816">
        <w:rPr>
          <w:sz w:val="24"/>
          <w:szCs w:val="24"/>
          <w:lang w:val="sq-AL"/>
        </w:rPr>
        <w:t>ë</w:t>
      </w:r>
      <w:r w:rsidR="00E707CB">
        <w:rPr>
          <w:sz w:val="24"/>
          <w:szCs w:val="24"/>
          <w:lang w:val="sq-AL"/>
        </w:rPr>
        <w:t xml:space="preserve"> dy fazat e planifikimit e konkretisht momentin e startimit t</w:t>
      </w:r>
      <w:r w:rsidR="00455816">
        <w:rPr>
          <w:sz w:val="24"/>
          <w:szCs w:val="24"/>
          <w:lang w:val="sq-AL"/>
        </w:rPr>
        <w:t>ë</w:t>
      </w:r>
      <w:r w:rsidR="00E707CB">
        <w:rPr>
          <w:sz w:val="24"/>
          <w:szCs w:val="24"/>
          <w:lang w:val="sq-AL"/>
        </w:rPr>
        <w:t xml:space="preserve"> ciklit t</w:t>
      </w:r>
      <w:r w:rsidR="00455816">
        <w:rPr>
          <w:sz w:val="24"/>
          <w:szCs w:val="24"/>
          <w:lang w:val="sq-AL"/>
        </w:rPr>
        <w:t>ë</w:t>
      </w:r>
      <w:r w:rsidR="00E707CB">
        <w:rPr>
          <w:sz w:val="24"/>
          <w:szCs w:val="24"/>
          <w:lang w:val="sq-AL"/>
        </w:rPr>
        <w:t xml:space="preserve"> planifikimit buxhetor afatmes</w:t>
      </w:r>
      <w:r w:rsidR="00455816">
        <w:rPr>
          <w:sz w:val="24"/>
          <w:szCs w:val="24"/>
          <w:lang w:val="sq-AL"/>
        </w:rPr>
        <w:t>ë</w:t>
      </w:r>
      <w:r w:rsidR="00E707CB">
        <w:rPr>
          <w:sz w:val="24"/>
          <w:szCs w:val="24"/>
          <w:lang w:val="sq-AL"/>
        </w:rPr>
        <w:t>m p</w:t>
      </w:r>
      <w:r w:rsidR="00455816">
        <w:rPr>
          <w:sz w:val="24"/>
          <w:szCs w:val="24"/>
          <w:lang w:val="sq-AL"/>
        </w:rPr>
        <w:t>ë</w:t>
      </w:r>
      <w:r w:rsidR="00E707CB">
        <w:rPr>
          <w:sz w:val="24"/>
          <w:szCs w:val="24"/>
          <w:lang w:val="sq-AL"/>
        </w:rPr>
        <w:t>r periudh</w:t>
      </w:r>
      <w:r w:rsidR="00455816">
        <w:rPr>
          <w:sz w:val="24"/>
          <w:szCs w:val="24"/>
          <w:lang w:val="sq-AL"/>
        </w:rPr>
        <w:t>ë</w:t>
      </w:r>
      <w:r w:rsidR="00E707CB">
        <w:rPr>
          <w:sz w:val="24"/>
          <w:szCs w:val="24"/>
          <w:lang w:val="sq-AL"/>
        </w:rPr>
        <w:t>n 2026-2028 e cila p</w:t>
      </w:r>
      <w:r w:rsidR="00455816">
        <w:rPr>
          <w:sz w:val="24"/>
          <w:szCs w:val="24"/>
          <w:lang w:val="sq-AL"/>
        </w:rPr>
        <w:t>ë</w:t>
      </w:r>
      <w:r w:rsidR="00E707CB">
        <w:rPr>
          <w:sz w:val="24"/>
          <w:szCs w:val="24"/>
          <w:lang w:val="sq-AL"/>
        </w:rPr>
        <w:t>rkon dhe me miratimin e kuadrit makroekonomik dhe fiskal p</w:t>
      </w:r>
      <w:r w:rsidR="00455816">
        <w:rPr>
          <w:sz w:val="24"/>
          <w:szCs w:val="24"/>
          <w:lang w:val="sq-AL"/>
        </w:rPr>
        <w:t>ë</w:t>
      </w:r>
      <w:r w:rsidR="00E707CB">
        <w:rPr>
          <w:sz w:val="24"/>
          <w:szCs w:val="24"/>
          <w:lang w:val="sq-AL"/>
        </w:rPr>
        <w:t>r k</w:t>
      </w:r>
      <w:r w:rsidR="00455816">
        <w:rPr>
          <w:sz w:val="24"/>
          <w:szCs w:val="24"/>
          <w:lang w:val="sq-AL"/>
        </w:rPr>
        <w:t>ë</w:t>
      </w:r>
      <w:r w:rsidR="00E707CB">
        <w:rPr>
          <w:sz w:val="24"/>
          <w:szCs w:val="24"/>
          <w:lang w:val="sq-AL"/>
        </w:rPr>
        <w:t>t</w:t>
      </w:r>
      <w:r w:rsidR="00455816">
        <w:rPr>
          <w:sz w:val="24"/>
          <w:szCs w:val="24"/>
          <w:lang w:val="sq-AL"/>
        </w:rPr>
        <w:t>ë</w:t>
      </w:r>
      <w:r w:rsidR="00E707CB">
        <w:rPr>
          <w:sz w:val="24"/>
          <w:szCs w:val="24"/>
          <w:lang w:val="sq-AL"/>
        </w:rPr>
        <w:t xml:space="preserve"> periudh</w:t>
      </w:r>
      <w:r w:rsidR="00455816">
        <w:rPr>
          <w:sz w:val="24"/>
          <w:szCs w:val="24"/>
          <w:lang w:val="sq-AL"/>
        </w:rPr>
        <w:t>ë</w:t>
      </w:r>
      <w:r w:rsidR="00E707CB">
        <w:rPr>
          <w:sz w:val="24"/>
          <w:szCs w:val="24"/>
          <w:lang w:val="sq-AL"/>
        </w:rPr>
        <w:t xml:space="preserve"> n</w:t>
      </w:r>
      <w:r w:rsidR="00455816">
        <w:rPr>
          <w:sz w:val="24"/>
          <w:szCs w:val="24"/>
          <w:lang w:val="sq-AL"/>
        </w:rPr>
        <w:t>ë</w:t>
      </w:r>
      <w:r w:rsidR="00E707CB">
        <w:rPr>
          <w:sz w:val="24"/>
          <w:szCs w:val="24"/>
          <w:lang w:val="sq-AL"/>
        </w:rPr>
        <w:t xml:space="preserve"> muajin shkurt 2025 me momentin e finalizimit t</w:t>
      </w:r>
      <w:r w:rsidR="00455816">
        <w:rPr>
          <w:sz w:val="24"/>
          <w:szCs w:val="24"/>
          <w:lang w:val="sq-AL"/>
        </w:rPr>
        <w:t>ë</w:t>
      </w:r>
      <w:r w:rsidR="00E707CB">
        <w:rPr>
          <w:sz w:val="24"/>
          <w:szCs w:val="24"/>
          <w:lang w:val="sq-AL"/>
        </w:rPr>
        <w:t xml:space="preserve"> k</w:t>
      </w:r>
      <w:r w:rsidR="00455816">
        <w:rPr>
          <w:sz w:val="24"/>
          <w:szCs w:val="24"/>
          <w:lang w:val="sq-AL"/>
        </w:rPr>
        <w:t>ë</w:t>
      </w:r>
      <w:r w:rsidR="00E707CB">
        <w:rPr>
          <w:sz w:val="24"/>
          <w:szCs w:val="24"/>
          <w:lang w:val="sq-AL"/>
        </w:rPr>
        <w:t>tij cikli i cili p</w:t>
      </w:r>
      <w:r w:rsidR="00455816">
        <w:rPr>
          <w:sz w:val="24"/>
          <w:szCs w:val="24"/>
          <w:lang w:val="sq-AL"/>
        </w:rPr>
        <w:t>ë</w:t>
      </w:r>
      <w:r w:rsidR="00E707CB">
        <w:rPr>
          <w:sz w:val="24"/>
          <w:szCs w:val="24"/>
          <w:lang w:val="sq-AL"/>
        </w:rPr>
        <w:t>rfundon me miratimin e ligjit vjetor t</w:t>
      </w:r>
      <w:r w:rsidR="00455816">
        <w:rPr>
          <w:sz w:val="24"/>
          <w:szCs w:val="24"/>
          <w:lang w:val="sq-AL"/>
        </w:rPr>
        <w:t>ë</w:t>
      </w:r>
      <w:r w:rsidR="00E707CB">
        <w:rPr>
          <w:sz w:val="24"/>
          <w:szCs w:val="24"/>
          <w:lang w:val="sq-AL"/>
        </w:rPr>
        <w:t xml:space="preserve"> buxhetit p</w:t>
      </w:r>
      <w:r w:rsidR="00455816">
        <w:rPr>
          <w:sz w:val="24"/>
          <w:szCs w:val="24"/>
          <w:lang w:val="sq-AL"/>
        </w:rPr>
        <w:t>ë</w:t>
      </w:r>
      <w:r w:rsidR="00E707CB">
        <w:rPr>
          <w:sz w:val="24"/>
          <w:szCs w:val="24"/>
          <w:lang w:val="sq-AL"/>
        </w:rPr>
        <w:t>r vitin 2026, n</w:t>
      </w:r>
      <w:r w:rsidR="00455816">
        <w:rPr>
          <w:sz w:val="24"/>
          <w:szCs w:val="24"/>
          <w:lang w:val="sq-AL"/>
        </w:rPr>
        <w:t>ë</w:t>
      </w:r>
      <w:r w:rsidR="00E707CB">
        <w:rPr>
          <w:sz w:val="24"/>
          <w:szCs w:val="24"/>
          <w:lang w:val="sq-AL"/>
        </w:rPr>
        <w:t xml:space="preserve"> muajin N</w:t>
      </w:r>
      <w:r w:rsidR="00455816">
        <w:rPr>
          <w:sz w:val="24"/>
          <w:szCs w:val="24"/>
          <w:lang w:val="sq-AL"/>
        </w:rPr>
        <w:t>ë</w:t>
      </w:r>
      <w:r w:rsidR="00E707CB">
        <w:rPr>
          <w:sz w:val="24"/>
          <w:szCs w:val="24"/>
          <w:lang w:val="sq-AL"/>
        </w:rPr>
        <w:t xml:space="preserve">ntor 2025. </w:t>
      </w:r>
    </w:p>
    <w:p w14:paraId="35D9EA00" w14:textId="7B548E0B" w:rsidR="000C2706" w:rsidRDefault="00E707CB" w:rsidP="00E707CB">
      <w:pPr>
        <w:widowControl/>
        <w:autoSpaceDE/>
        <w:autoSpaceDN/>
        <w:spacing w:before="100" w:beforeAutospacing="1" w:after="100" w:afterAutospacing="1" w:line="300" w:lineRule="atLeast"/>
        <w:jc w:val="both"/>
        <w:rPr>
          <w:sz w:val="24"/>
          <w:szCs w:val="24"/>
          <w:lang w:val="sq-AL"/>
        </w:rPr>
      </w:pPr>
      <w:r>
        <w:rPr>
          <w:sz w:val="24"/>
          <w:szCs w:val="24"/>
          <w:lang w:val="sq-AL"/>
        </w:rPr>
        <w:t>N</w:t>
      </w:r>
      <w:r w:rsidR="00455816">
        <w:rPr>
          <w:sz w:val="24"/>
          <w:szCs w:val="24"/>
          <w:lang w:val="sq-AL"/>
        </w:rPr>
        <w:t>ë</w:t>
      </w:r>
      <w:r>
        <w:rPr>
          <w:sz w:val="24"/>
          <w:szCs w:val="24"/>
          <w:lang w:val="sq-AL"/>
        </w:rPr>
        <w:t xml:space="preserve"> tabel</w:t>
      </w:r>
      <w:r w:rsidR="00455816">
        <w:rPr>
          <w:sz w:val="24"/>
          <w:szCs w:val="24"/>
          <w:lang w:val="sq-AL"/>
        </w:rPr>
        <w:t>ë</w:t>
      </w:r>
      <w:r>
        <w:rPr>
          <w:sz w:val="24"/>
          <w:szCs w:val="24"/>
          <w:lang w:val="sq-AL"/>
        </w:rPr>
        <w:t>n e m</w:t>
      </w:r>
      <w:r w:rsidR="00455816">
        <w:rPr>
          <w:sz w:val="24"/>
          <w:szCs w:val="24"/>
          <w:lang w:val="sq-AL"/>
        </w:rPr>
        <w:t>ë</w:t>
      </w:r>
      <w:r>
        <w:rPr>
          <w:sz w:val="24"/>
          <w:szCs w:val="24"/>
          <w:lang w:val="sq-AL"/>
        </w:rPr>
        <w:t>poshtme paraqiten n</w:t>
      </w:r>
      <w:r w:rsidR="00455816">
        <w:rPr>
          <w:sz w:val="24"/>
          <w:szCs w:val="24"/>
          <w:lang w:val="sq-AL"/>
        </w:rPr>
        <w:t>ë</w:t>
      </w:r>
      <w:r>
        <w:rPr>
          <w:sz w:val="24"/>
          <w:szCs w:val="24"/>
          <w:lang w:val="sq-AL"/>
        </w:rPr>
        <w:t xml:space="preserve"> m</w:t>
      </w:r>
      <w:r w:rsidR="00455816">
        <w:rPr>
          <w:sz w:val="24"/>
          <w:szCs w:val="24"/>
          <w:lang w:val="sq-AL"/>
        </w:rPr>
        <w:t>ë</w:t>
      </w:r>
      <w:r>
        <w:rPr>
          <w:sz w:val="24"/>
          <w:szCs w:val="24"/>
          <w:lang w:val="sq-AL"/>
        </w:rPr>
        <w:t>nyr</w:t>
      </w:r>
      <w:r w:rsidR="00455816">
        <w:rPr>
          <w:sz w:val="24"/>
          <w:szCs w:val="24"/>
          <w:lang w:val="sq-AL"/>
        </w:rPr>
        <w:t>ë</w:t>
      </w:r>
      <w:r>
        <w:rPr>
          <w:sz w:val="24"/>
          <w:szCs w:val="24"/>
          <w:lang w:val="sq-AL"/>
        </w:rPr>
        <w:t xml:space="preserve"> analitike parashikimet n</w:t>
      </w:r>
      <w:r w:rsidR="00455816">
        <w:rPr>
          <w:sz w:val="24"/>
          <w:szCs w:val="24"/>
          <w:lang w:val="sq-AL"/>
        </w:rPr>
        <w:t>ë</w:t>
      </w:r>
      <w:r>
        <w:rPr>
          <w:sz w:val="24"/>
          <w:szCs w:val="24"/>
          <w:lang w:val="sq-AL"/>
        </w:rPr>
        <w:t xml:space="preserve"> k</w:t>
      </w:r>
      <w:r w:rsidR="00455816">
        <w:rPr>
          <w:sz w:val="24"/>
          <w:szCs w:val="24"/>
          <w:lang w:val="sq-AL"/>
        </w:rPr>
        <w:t>ë</w:t>
      </w:r>
      <w:r>
        <w:rPr>
          <w:sz w:val="24"/>
          <w:szCs w:val="24"/>
          <w:lang w:val="sq-AL"/>
        </w:rPr>
        <w:t>to dy momente dhe devijanca n</w:t>
      </w:r>
      <w:r w:rsidR="00455816">
        <w:rPr>
          <w:sz w:val="24"/>
          <w:szCs w:val="24"/>
          <w:lang w:val="sq-AL"/>
        </w:rPr>
        <w:t>ë</w:t>
      </w:r>
      <w:r>
        <w:rPr>
          <w:sz w:val="24"/>
          <w:szCs w:val="24"/>
          <w:lang w:val="sq-AL"/>
        </w:rPr>
        <w:t xml:space="preserve"> vler</w:t>
      </w:r>
      <w:r w:rsidR="00455816">
        <w:rPr>
          <w:sz w:val="24"/>
          <w:szCs w:val="24"/>
          <w:lang w:val="sq-AL"/>
        </w:rPr>
        <w:t>ë</w:t>
      </w:r>
      <w:r>
        <w:rPr>
          <w:sz w:val="24"/>
          <w:szCs w:val="24"/>
          <w:lang w:val="sq-AL"/>
        </w:rPr>
        <w:t xml:space="preserve"> nominale dhe n</w:t>
      </w:r>
      <w:r w:rsidR="00455816">
        <w:rPr>
          <w:sz w:val="24"/>
          <w:szCs w:val="24"/>
          <w:lang w:val="sq-AL"/>
        </w:rPr>
        <w:t>ë</w:t>
      </w:r>
      <w:r>
        <w:rPr>
          <w:sz w:val="24"/>
          <w:szCs w:val="24"/>
          <w:lang w:val="sq-AL"/>
        </w:rPr>
        <w:t xml:space="preserve"> p</w:t>
      </w:r>
      <w:r w:rsidR="00455816">
        <w:rPr>
          <w:sz w:val="24"/>
          <w:szCs w:val="24"/>
          <w:lang w:val="sq-AL"/>
        </w:rPr>
        <w:t>ë</w:t>
      </w:r>
      <w:r>
        <w:rPr>
          <w:sz w:val="24"/>
          <w:szCs w:val="24"/>
          <w:lang w:val="sq-AL"/>
        </w:rPr>
        <w:t xml:space="preserve">rqindje ndaj </w:t>
      </w:r>
      <w:r w:rsidR="00301526">
        <w:rPr>
          <w:sz w:val="24"/>
          <w:szCs w:val="24"/>
          <w:lang w:val="sq-AL"/>
        </w:rPr>
        <w:t>P</w:t>
      </w:r>
      <w:r>
        <w:rPr>
          <w:sz w:val="24"/>
          <w:szCs w:val="24"/>
          <w:lang w:val="sq-AL"/>
        </w:rPr>
        <w:t>roduktit t</w:t>
      </w:r>
      <w:r w:rsidR="00455816">
        <w:rPr>
          <w:sz w:val="24"/>
          <w:szCs w:val="24"/>
          <w:lang w:val="sq-AL"/>
        </w:rPr>
        <w:t>ë</w:t>
      </w:r>
      <w:r>
        <w:rPr>
          <w:sz w:val="24"/>
          <w:szCs w:val="24"/>
          <w:lang w:val="sq-AL"/>
        </w:rPr>
        <w:t xml:space="preserve"> </w:t>
      </w:r>
      <w:r w:rsidR="00301526">
        <w:rPr>
          <w:sz w:val="24"/>
          <w:szCs w:val="24"/>
          <w:lang w:val="sq-AL"/>
        </w:rPr>
        <w:t>B</w:t>
      </w:r>
      <w:r>
        <w:rPr>
          <w:sz w:val="24"/>
          <w:szCs w:val="24"/>
          <w:lang w:val="sq-AL"/>
        </w:rPr>
        <w:t>rendsh</w:t>
      </w:r>
      <w:r w:rsidR="00455816">
        <w:rPr>
          <w:sz w:val="24"/>
          <w:szCs w:val="24"/>
          <w:lang w:val="sq-AL"/>
        </w:rPr>
        <w:t>ë</w:t>
      </w:r>
      <w:r>
        <w:rPr>
          <w:sz w:val="24"/>
          <w:szCs w:val="24"/>
          <w:lang w:val="sq-AL"/>
        </w:rPr>
        <w:t xml:space="preserve">m </w:t>
      </w:r>
      <w:r w:rsidR="00301526">
        <w:rPr>
          <w:sz w:val="24"/>
          <w:szCs w:val="24"/>
          <w:lang w:val="sq-AL"/>
        </w:rPr>
        <w:t>B</w:t>
      </w:r>
      <w:r>
        <w:rPr>
          <w:sz w:val="24"/>
          <w:szCs w:val="24"/>
          <w:lang w:val="sq-AL"/>
        </w:rPr>
        <w:t>ruto. Nga nj</w:t>
      </w:r>
      <w:r w:rsidR="00455816">
        <w:rPr>
          <w:sz w:val="24"/>
          <w:szCs w:val="24"/>
          <w:lang w:val="sq-AL"/>
        </w:rPr>
        <w:t>ë</w:t>
      </w:r>
      <w:r>
        <w:rPr>
          <w:sz w:val="24"/>
          <w:szCs w:val="24"/>
          <w:lang w:val="sq-AL"/>
        </w:rPr>
        <w:t xml:space="preserve"> k</w:t>
      </w:r>
      <w:r w:rsidR="00455816">
        <w:rPr>
          <w:sz w:val="24"/>
          <w:szCs w:val="24"/>
          <w:lang w:val="sq-AL"/>
        </w:rPr>
        <w:t>ë</w:t>
      </w:r>
      <w:r>
        <w:rPr>
          <w:sz w:val="24"/>
          <w:szCs w:val="24"/>
          <w:lang w:val="sq-AL"/>
        </w:rPr>
        <w:t>ndv</w:t>
      </w:r>
      <w:r w:rsidR="00455816">
        <w:rPr>
          <w:sz w:val="24"/>
          <w:szCs w:val="24"/>
          <w:lang w:val="sq-AL"/>
        </w:rPr>
        <w:t>ë</w:t>
      </w:r>
      <w:r>
        <w:rPr>
          <w:sz w:val="24"/>
          <w:szCs w:val="24"/>
          <w:lang w:val="sq-AL"/>
        </w:rPr>
        <w:t>shtrim i p</w:t>
      </w:r>
      <w:r w:rsidR="00455816">
        <w:rPr>
          <w:sz w:val="24"/>
          <w:szCs w:val="24"/>
          <w:lang w:val="sq-AL"/>
        </w:rPr>
        <w:t>ë</w:t>
      </w:r>
      <w:r>
        <w:rPr>
          <w:sz w:val="24"/>
          <w:szCs w:val="24"/>
          <w:lang w:val="sq-AL"/>
        </w:rPr>
        <w:t>rgjithsh</w:t>
      </w:r>
      <w:r w:rsidR="00455816">
        <w:rPr>
          <w:sz w:val="24"/>
          <w:szCs w:val="24"/>
          <w:lang w:val="sq-AL"/>
        </w:rPr>
        <w:t>ë</w:t>
      </w:r>
      <w:r>
        <w:rPr>
          <w:sz w:val="24"/>
          <w:szCs w:val="24"/>
          <w:lang w:val="sq-AL"/>
        </w:rPr>
        <w:t xml:space="preserve">m vihet re se </w:t>
      </w:r>
      <w:r w:rsidR="00376AAF" w:rsidRPr="00376AAF">
        <w:rPr>
          <w:sz w:val="24"/>
          <w:szCs w:val="24"/>
          <w:lang w:val="sq-AL"/>
        </w:rPr>
        <w:t>Buxheti 2026 është më ekspansiv se Kuadri Makroekonomik, si në vlerë absolute ashtu edhe në peshë ndaj PBB. Devijanca reflektohet jo vetëm nga rritja e disa shpenzimeve konkrete, por edhe nga rishikimi në rritje i PBB-së nominale (nga 2,756,663 në 2,781,433), i cili zbut pjesërisht impaktin relativ të shpenzimeve në % të PBB. Megjithatë, analiza tregon se devijancat nuk janë uniforme, por përqendrohen në disa zëra kyç të politikës fiskale</w:t>
      </w:r>
      <w:r>
        <w:rPr>
          <w:sz w:val="24"/>
          <w:szCs w:val="24"/>
          <w:lang w:val="sq-AL"/>
        </w:rPr>
        <w:t xml:space="preserve"> t</w:t>
      </w:r>
      <w:r w:rsidR="00455816">
        <w:rPr>
          <w:sz w:val="24"/>
          <w:szCs w:val="24"/>
          <w:lang w:val="sq-AL"/>
        </w:rPr>
        <w:t>ë</w:t>
      </w:r>
      <w:r>
        <w:rPr>
          <w:sz w:val="24"/>
          <w:szCs w:val="24"/>
          <w:lang w:val="sq-AL"/>
        </w:rPr>
        <w:t xml:space="preserve"> cil</w:t>
      </w:r>
      <w:r w:rsidR="00455816">
        <w:rPr>
          <w:sz w:val="24"/>
          <w:szCs w:val="24"/>
          <w:lang w:val="sq-AL"/>
        </w:rPr>
        <w:t>ë</w:t>
      </w:r>
      <w:r>
        <w:rPr>
          <w:sz w:val="24"/>
          <w:szCs w:val="24"/>
          <w:lang w:val="sq-AL"/>
        </w:rPr>
        <w:t>t po i analizojm</w:t>
      </w:r>
      <w:r w:rsidR="00455816">
        <w:rPr>
          <w:sz w:val="24"/>
          <w:szCs w:val="24"/>
          <w:lang w:val="sq-AL"/>
        </w:rPr>
        <w:t>ë</w:t>
      </w:r>
      <w:r>
        <w:rPr>
          <w:sz w:val="24"/>
          <w:szCs w:val="24"/>
          <w:lang w:val="sq-AL"/>
        </w:rPr>
        <w:t xml:space="preserve"> me detaje m</w:t>
      </w:r>
      <w:r w:rsidR="00455816">
        <w:rPr>
          <w:sz w:val="24"/>
          <w:szCs w:val="24"/>
          <w:lang w:val="sq-AL"/>
        </w:rPr>
        <w:t>ë</w:t>
      </w:r>
      <w:r>
        <w:rPr>
          <w:sz w:val="24"/>
          <w:szCs w:val="24"/>
          <w:lang w:val="sq-AL"/>
        </w:rPr>
        <w:t xml:space="preserve"> posht</w:t>
      </w:r>
      <w:r w:rsidR="00455816">
        <w:rPr>
          <w:sz w:val="24"/>
          <w:szCs w:val="24"/>
          <w:lang w:val="sq-AL"/>
        </w:rPr>
        <w:t>ë</w:t>
      </w:r>
      <w:r>
        <w:rPr>
          <w:sz w:val="24"/>
          <w:szCs w:val="24"/>
          <w:lang w:val="sq-AL"/>
        </w:rPr>
        <w:t>.</w:t>
      </w:r>
    </w:p>
    <w:p w14:paraId="6AB5F12F" w14:textId="14F873A9" w:rsidR="000C2706" w:rsidRPr="00A41DE9" w:rsidRDefault="000C2706" w:rsidP="000C2706">
      <w:pPr>
        <w:pStyle w:val="Caption"/>
        <w:rPr>
          <w:lang w:val="sq-AL"/>
        </w:rPr>
      </w:pPr>
      <w:bookmarkStart w:id="15" w:name="_Toc228275854"/>
      <w:r w:rsidRPr="00A41DE9">
        <w:rPr>
          <w:lang w:val="sq-AL"/>
        </w:rPr>
        <w:t xml:space="preserve">Tabela </w:t>
      </w:r>
      <w:r>
        <w:fldChar w:fldCharType="begin"/>
      </w:r>
      <w:r w:rsidRPr="00A41DE9">
        <w:rPr>
          <w:lang w:val="sq-AL"/>
        </w:rPr>
        <w:instrText xml:space="preserve"> SEQ Tabela \* ARABIC </w:instrText>
      </w:r>
      <w:r>
        <w:fldChar w:fldCharType="separate"/>
      </w:r>
      <w:r w:rsidR="006A0296">
        <w:rPr>
          <w:noProof/>
          <w:lang w:val="sq-AL"/>
        </w:rPr>
        <w:t>3</w:t>
      </w:r>
      <w:r>
        <w:fldChar w:fldCharType="end"/>
      </w:r>
      <w:r w:rsidR="00A41DE9" w:rsidRPr="00A41DE9">
        <w:rPr>
          <w:lang w:val="sq-AL"/>
        </w:rPr>
        <w:t xml:space="preserve"> Devijancat e t</w:t>
      </w:r>
      <w:r w:rsidR="00455816">
        <w:rPr>
          <w:lang w:val="sq-AL"/>
        </w:rPr>
        <w:t>ë</w:t>
      </w:r>
      <w:r w:rsidR="00A41DE9" w:rsidRPr="00A41DE9">
        <w:rPr>
          <w:lang w:val="sq-AL"/>
        </w:rPr>
        <w:t xml:space="preserve"> ardhurave j</w:t>
      </w:r>
      <w:r w:rsidR="00A41DE9">
        <w:rPr>
          <w:lang w:val="sq-AL"/>
        </w:rPr>
        <w:t>o-tatimore dhe shpenzimeve korrente n</w:t>
      </w:r>
      <w:r w:rsidR="00455816">
        <w:rPr>
          <w:lang w:val="sq-AL"/>
        </w:rPr>
        <w:t>ë</w:t>
      </w:r>
      <w:r w:rsidR="00A41DE9">
        <w:rPr>
          <w:lang w:val="sq-AL"/>
        </w:rPr>
        <w:t xml:space="preserve"> milion</w:t>
      </w:r>
      <w:r w:rsidR="00455816">
        <w:rPr>
          <w:lang w:val="sq-AL"/>
        </w:rPr>
        <w:t>ë</w:t>
      </w:r>
      <w:r w:rsidR="00A41DE9">
        <w:rPr>
          <w:lang w:val="sq-AL"/>
        </w:rPr>
        <w:t xml:space="preserve"> lek</w:t>
      </w:r>
      <w:r w:rsidR="00455816">
        <w:rPr>
          <w:lang w:val="sq-AL"/>
        </w:rPr>
        <w:t>ë</w:t>
      </w:r>
      <w:bookmarkEnd w:id="15"/>
    </w:p>
    <w:tbl>
      <w:tblPr>
        <w:tblW w:w="9929" w:type="dxa"/>
        <w:tblLook w:val="04A0" w:firstRow="1" w:lastRow="0" w:firstColumn="1" w:lastColumn="0" w:noHBand="0" w:noVBand="1"/>
      </w:tblPr>
      <w:tblGrid>
        <w:gridCol w:w="490"/>
        <w:gridCol w:w="3689"/>
        <w:gridCol w:w="1363"/>
        <w:gridCol w:w="804"/>
        <w:gridCol w:w="977"/>
        <w:gridCol w:w="804"/>
        <w:gridCol w:w="901"/>
        <w:gridCol w:w="901"/>
      </w:tblGrid>
      <w:tr w:rsidR="000C2706" w:rsidRPr="000C2706" w14:paraId="6809259A" w14:textId="77777777" w:rsidTr="00A41DE9">
        <w:trPr>
          <w:trHeight w:val="946"/>
        </w:trPr>
        <w:tc>
          <w:tcPr>
            <w:tcW w:w="490" w:type="dxa"/>
            <w:tcBorders>
              <w:top w:val="single" w:sz="12" w:space="0" w:color="auto"/>
              <w:left w:val="single" w:sz="12" w:space="0" w:color="auto"/>
              <w:bottom w:val="single" w:sz="12" w:space="0" w:color="auto"/>
              <w:right w:val="double" w:sz="6" w:space="0" w:color="auto"/>
            </w:tcBorders>
            <w:vAlign w:val="center"/>
            <w:hideMark/>
          </w:tcPr>
          <w:p w14:paraId="3B2D3FA2" w14:textId="62D3ACE9" w:rsidR="000C2706" w:rsidRPr="000C2706" w:rsidRDefault="000C2706" w:rsidP="000C2706">
            <w:pPr>
              <w:spacing w:line="276" w:lineRule="auto"/>
              <w:jc w:val="both"/>
              <w:rPr>
                <w:b/>
                <w:bCs/>
                <w:sz w:val="16"/>
                <w:szCs w:val="16"/>
                <w:lang w:val="sq-AL"/>
              </w:rPr>
            </w:pPr>
            <w:r w:rsidRPr="000C2706">
              <w:rPr>
                <w:b/>
                <w:bCs/>
                <w:sz w:val="16"/>
                <w:szCs w:val="16"/>
                <w:lang w:val="sq-AL"/>
              </w:rPr>
              <w:lastRenderedPageBreak/>
              <w:t>Nr.</w:t>
            </w:r>
          </w:p>
        </w:tc>
        <w:tc>
          <w:tcPr>
            <w:tcW w:w="3689" w:type="dxa"/>
            <w:tcBorders>
              <w:top w:val="single" w:sz="12" w:space="0" w:color="auto"/>
              <w:left w:val="nil"/>
              <w:bottom w:val="single" w:sz="12" w:space="0" w:color="auto"/>
              <w:right w:val="nil"/>
            </w:tcBorders>
            <w:vAlign w:val="center"/>
            <w:hideMark/>
          </w:tcPr>
          <w:p w14:paraId="51EF0C3B" w14:textId="77777777" w:rsidR="000C2706" w:rsidRPr="000C2706" w:rsidRDefault="000C2706" w:rsidP="000C2706">
            <w:pPr>
              <w:spacing w:line="276" w:lineRule="auto"/>
              <w:jc w:val="both"/>
              <w:rPr>
                <w:b/>
                <w:bCs/>
                <w:sz w:val="16"/>
                <w:szCs w:val="16"/>
                <w:lang w:val="sq-AL"/>
              </w:rPr>
            </w:pPr>
            <w:r w:rsidRPr="000C2706">
              <w:rPr>
                <w:b/>
                <w:bCs/>
                <w:sz w:val="16"/>
                <w:szCs w:val="16"/>
                <w:lang w:val="sq-AL"/>
              </w:rPr>
              <w:t>E  M  E  R  T  I  M  I</w:t>
            </w:r>
          </w:p>
        </w:tc>
        <w:tc>
          <w:tcPr>
            <w:tcW w:w="1363" w:type="dxa"/>
            <w:tcBorders>
              <w:top w:val="single" w:sz="12" w:space="0" w:color="auto"/>
              <w:left w:val="double" w:sz="6" w:space="0" w:color="auto"/>
              <w:bottom w:val="single" w:sz="12" w:space="0" w:color="auto"/>
              <w:right w:val="single" w:sz="4" w:space="0" w:color="auto"/>
            </w:tcBorders>
            <w:vAlign w:val="center"/>
            <w:hideMark/>
          </w:tcPr>
          <w:p w14:paraId="5AB5203A" w14:textId="77777777" w:rsidR="000C2706" w:rsidRPr="000C2706" w:rsidRDefault="000C2706" w:rsidP="000C2706">
            <w:pPr>
              <w:spacing w:line="276" w:lineRule="auto"/>
              <w:jc w:val="both"/>
              <w:rPr>
                <w:b/>
                <w:bCs/>
                <w:sz w:val="16"/>
                <w:szCs w:val="16"/>
                <w:lang w:val="sq-AL"/>
              </w:rPr>
            </w:pPr>
            <w:r w:rsidRPr="000C2706">
              <w:rPr>
                <w:b/>
                <w:bCs/>
                <w:sz w:val="16"/>
                <w:szCs w:val="16"/>
                <w:lang w:val="sq-AL"/>
              </w:rPr>
              <w:t>Kuadri Makroekonomik dhe fiskal 2026-2028</w:t>
            </w:r>
          </w:p>
        </w:tc>
        <w:tc>
          <w:tcPr>
            <w:tcW w:w="804" w:type="dxa"/>
            <w:tcBorders>
              <w:top w:val="single" w:sz="12" w:space="0" w:color="auto"/>
              <w:left w:val="nil"/>
              <w:bottom w:val="single" w:sz="12" w:space="0" w:color="auto"/>
              <w:right w:val="double" w:sz="6" w:space="0" w:color="auto"/>
            </w:tcBorders>
            <w:vAlign w:val="center"/>
            <w:hideMark/>
          </w:tcPr>
          <w:p w14:paraId="71A24761" w14:textId="77777777" w:rsidR="000C2706" w:rsidRPr="000C2706" w:rsidRDefault="000C2706" w:rsidP="000C2706">
            <w:pPr>
              <w:spacing w:line="276" w:lineRule="auto"/>
              <w:jc w:val="both"/>
              <w:rPr>
                <w:b/>
                <w:bCs/>
                <w:sz w:val="16"/>
                <w:szCs w:val="16"/>
                <w:lang w:val="sq-AL"/>
              </w:rPr>
            </w:pPr>
            <w:r w:rsidRPr="000C2706">
              <w:rPr>
                <w:b/>
                <w:bCs/>
                <w:sz w:val="16"/>
                <w:szCs w:val="16"/>
                <w:lang w:val="sq-AL"/>
              </w:rPr>
              <w:t>Ne % te PBB</w:t>
            </w:r>
          </w:p>
        </w:tc>
        <w:tc>
          <w:tcPr>
            <w:tcW w:w="977" w:type="dxa"/>
            <w:tcBorders>
              <w:top w:val="single" w:sz="12" w:space="0" w:color="auto"/>
              <w:left w:val="nil"/>
              <w:bottom w:val="single" w:sz="12" w:space="0" w:color="auto"/>
              <w:right w:val="single" w:sz="4" w:space="0" w:color="auto"/>
            </w:tcBorders>
            <w:shd w:val="clear" w:color="auto" w:fill="FFFFFF" w:themeFill="background1"/>
            <w:vAlign w:val="center"/>
            <w:hideMark/>
          </w:tcPr>
          <w:p w14:paraId="79994D2B" w14:textId="77777777" w:rsidR="000C2706" w:rsidRPr="000C2706" w:rsidRDefault="000C2706" w:rsidP="000C2706">
            <w:pPr>
              <w:spacing w:line="276" w:lineRule="auto"/>
              <w:jc w:val="both"/>
              <w:rPr>
                <w:b/>
                <w:bCs/>
                <w:sz w:val="16"/>
                <w:szCs w:val="16"/>
                <w:lang w:val="sq-AL"/>
              </w:rPr>
            </w:pPr>
            <w:r w:rsidRPr="000C2706">
              <w:rPr>
                <w:b/>
                <w:bCs/>
                <w:sz w:val="16"/>
                <w:szCs w:val="16"/>
                <w:lang w:val="sq-AL"/>
              </w:rPr>
              <w:t>Buxheti 2026</w:t>
            </w:r>
          </w:p>
        </w:tc>
        <w:tc>
          <w:tcPr>
            <w:tcW w:w="804" w:type="dxa"/>
            <w:tcBorders>
              <w:top w:val="single" w:sz="12" w:space="0" w:color="auto"/>
              <w:left w:val="nil"/>
              <w:bottom w:val="single" w:sz="12" w:space="0" w:color="auto"/>
              <w:right w:val="double" w:sz="6" w:space="0" w:color="auto"/>
            </w:tcBorders>
            <w:shd w:val="clear" w:color="auto" w:fill="FFFFFF" w:themeFill="background1"/>
            <w:vAlign w:val="center"/>
            <w:hideMark/>
          </w:tcPr>
          <w:p w14:paraId="0932716C" w14:textId="77777777" w:rsidR="000C2706" w:rsidRPr="000C2706" w:rsidRDefault="000C2706" w:rsidP="000C2706">
            <w:pPr>
              <w:spacing w:line="276" w:lineRule="auto"/>
              <w:jc w:val="both"/>
              <w:rPr>
                <w:b/>
                <w:bCs/>
                <w:sz w:val="16"/>
                <w:szCs w:val="16"/>
                <w:lang w:val="sq-AL"/>
              </w:rPr>
            </w:pPr>
            <w:r w:rsidRPr="000C2706">
              <w:rPr>
                <w:b/>
                <w:bCs/>
                <w:sz w:val="16"/>
                <w:szCs w:val="16"/>
                <w:lang w:val="sq-AL"/>
              </w:rPr>
              <w:t>Ne % te PBB</w:t>
            </w:r>
          </w:p>
        </w:tc>
        <w:tc>
          <w:tcPr>
            <w:tcW w:w="901" w:type="dxa"/>
            <w:tcBorders>
              <w:top w:val="single" w:sz="12" w:space="0" w:color="auto"/>
              <w:left w:val="nil"/>
              <w:bottom w:val="single" w:sz="12" w:space="0" w:color="auto"/>
              <w:right w:val="double" w:sz="6" w:space="0" w:color="auto"/>
            </w:tcBorders>
            <w:vAlign w:val="center"/>
            <w:hideMark/>
          </w:tcPr>
          <w:p w14:paraId="6F35E704" w14:textId="77777777" w:rsidR="000C2706" w:rsidRPr="000C2706" w:rsidRDefault="000C2706" w:rsidP="000C2706">
            <w:pPr>
              <w:spacing w:line="276" w:lineRule="auto"/>
              <w:jc w:val="both"/>
              <w:rPr>
                <w:b/>
                <w:bCs/>
                <w:sz w:val="16"/>
                <w:szCs w:val="16"/>
                <w:lang w:val="sq-AL"/>
              </w:rPr>
            </w:pPr>
            <w:r w:rsidRPr="000C2706">
              <w:rPr>
                <w:b/>
                <w:bCs/>
                <w:sz w:val="16"/>
                <w:szCs w:val="16"/>
                <w:lang w:val="sq-AL"/>
              </w:rPr>
              <w:t>Devijanca në vlerë nominale</w:t>
            </w:r>
          </w:p>
        </w:tc>
        <w:tc>
          <w:tcPr>
            <w:tcW w:w="901" w:type="dxa"/>
            <w:tcBorders>
              <w:top w:val="single" w:sz="12" w:space="0" w:color="auto"/>
              <w:left w:val="nil"/>
              <w:bottom w:val="single" w:sz="12" w:space="0" w:color="auto"/>
              <w:right w:val="double" w:sz="6" w:space="0" w:color="auto"/>
            </w:tcBorders>
            <w:vAlign w:val="center"/>
            <w:hideMark/>
          </w:tcPr>
          <w:p w14:paraId="01EC79CC" w14:textId="77777777" w:rsidR="000C2706" w:rsidRPr="000C2706" w:rsidRDefault="000C2706" w:rsidP="000C2706">
            <w:pPr>
              <w:spacing w:line="276" w:lineRule="auto"/>
              <w:jc w:val="both"/>
              <w:rPr>
                <w:b/>
                <w:bCs/>
                <w:sz w:val="16"/>
                <w:szCs w:val="16"/>
                <w:lang w:val="sq-AL"/>
              </w:rPr>
            </w:pPr>
            <w:r w:rsidRPr="000C2706">
              <w:rPr>
                <w:b/>
                <w:bCs/>
                <w:sz w:val="16"/>
                <w:szCs w:val="16"/>
                <w:lang w:val="sq-AL"/>
              </w:rPr>
              <w:t>Devijanca në % ndaj PBB</w:t>
            </w:r>
          </w:p>
        </w:tc>
      </w:tr>
      <w:tr w:rsidR="000C2706" w:rsidRPr="000C2706" w14:paraId="1F0C0A67"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41F48261" w14:textId="77777777" w:rsidR="000C2706" w:rsidRPr="000C2706" w:rsidRDefault="000C2706" w:rsidP="000C2706">
            <w:pPr>
              <w:spacing w:line="276" w:lineRule="auto"/>
              <w:jc w:val="both"/>
              <w:rPr>
                <w:b/>
                <w:bCs/>
                <w:sz w:val="16"/>
                <w:szCs w:val="16"/>
                <w:lang w:val="sq-AL"/>
              </w:rPr>
            </w:pPr>
            <w:r w:rsidRPr="000C2706">
              <w:rPr>
                <w:b/>
                <w:bCs/>
                <w:sz w:val="16"/>
                <w:szCs w:val="16"/>
                <w:lang w:val="sq-AL"/>
              </w:rPr>
              <w:t>I.</w:t>
            </w:r>
          </w:p>
        </w:tc>
        <w:tc>
          <w:tcPr>
            <w:tcW w:w="3689" w:type="dxa"/>
            <w:tcBorders>
              <w:top w:val="nil"/>
              <w:left w:val="nil"/>
              <w:bottom w:val="nil"/>
              <w:right w:val="nil"/>
            </w:tcBorders>
            <w:noWrap/>
            <w:vAlign w:val="bottom"/>
            <w:hideMark/>
          </w:tcPr>
          <w:p w14:paraId="5C3A9043" w14:textId="77777777" w:rsidR="000C2706" w:rsidRPr="000C2706" w:rsidRDefault="000C2706" w:rsidP="000C2706">
            <w:pPr>
              <w:spacing w:line="276" w:lineRule="auto"/>
              <w:jc w:val="both"/>
              <w:rPr>
                <w:b/>
                <w:bCs/>
                <w:sz w:val="16"/>
                <w:szCs w:val="16"/>
                <w:lang w:val="sq-AL"/>
              </w:rPr>
            </w:pPr>
            <w:r w:rsidRPr="000C2706">
              <w:rPr>
                <w:b/>
                <w:bCs/>
                <w:sz w:val="16"/>
                <w:szCs w:val="16"/>
                <w:lang w:val="sq-AL"/>
              </w:rPr>
              <w:t>Te ardhura Jotatimore</w:t>
            </w:r>
          </w:p>
        </w:tc>
        <w:tc>
          <w:tcPr>
            <w:tcW w:w="1363" w:type="dxa"/>
            <w:tcBorders>
              <w:top w:val="nil"/>
              <w:left w:val="double" w:sz="6" w:space="0" w:color="auto"/>
              <w:bottom w:val="nil"/>
              <w:right w:val="single" w:sz="4" w:space="0" w:color="auto"/>
            </w:tcBorders>
            <w:noWrap/>
            <w:vAlign w:val="bottom"/>
            <w:hideMark/>
          </w:tcPr>
          <w:p w14:paraId="4DBD500D"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26,650</w:t>
            </w:r>
          </w:p>
        </w:tc>
        <w:tc>
          <w:tcPr>
            <w:tcW w:w="804" w:type="dxa"/>
            <w:tcBorders>
              <w:top w:val="nil"/>
              <w:left w:val="nil"/>
              <w:bottom w:val="nil"/>
              <w:right w:val="double" w:sz="6" w:space="0" w:color="auto"/>
            </w:tcBorders>
            <w:noWrap/>
            <w:vAlign w:val="bottom"/>
            <w:hideMark/>
          </w:tcPr>
          <w:p w14:paraId="72B4EA45"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w:t>
            </w:r>
          </w:p>
        </w:tc>
        <w:tc>
          <w:tcPr>
            <w:tcW w:w="977" w:type="dxa"/>
            <w:tcBorders>
              <w:top w:val="nil"/>
              <w:left w:val="nil"/>
              <w:bottom w:val="nil"/>
              <w:right w:val="single" w:sz="4" w:space="0" w:color="auto"/>
            </w:tcBorders>
            <w:shd w:val="clear" w:color="auto" w:fill="FFFFFF" w:themeFill="background1"/>
            <w:noWrap/>
            <w:vAlign w:val="bottom"/>
            <w:hideMark/>
          </w:tcPr>
          <w:p w14:paraId="218C5A5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29,773</w:t>
            </w:r>
          </w:p>
        </w:tc>
        <w:tc>
          <w:tcPr>
            <w:tcW w:w="804" w:type="dxa"/>
            <w:tcBorders>
              <w:top w:val="nil"/>
              <w:left w:val="nil"/>
              <w:bottom w:val="nil"/>
              <w:right w:val="double" w:sz="6" w:space="0" w:color="auto"/>
            </w:tcBorders>
            <w:shd w:val="clear" w:color="auto" w:fill="FFFFFF" w:themeFill="background1"/>
            <w:noWrap/>
            <w:vAlign w:val="bottom"/>
            <w:hideMark/>
          </w:tcPr>
          <w:p w14:paraId="2071BC01"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1.1%</w:t>
            </w:r>
          </w:p>
        </w:tc>
        <w:tc>
          <w:tcPr>
            <w:tcW w:w="901" w:type="dxa"/>
            <w:tcBorders>
              <w:top w:val="nil"/>
              <w:left w:val="nil"/>
              <w:bottom w:val="nil"/>
              <w:right w:val="double" w:sz="6" w:space="0" w:color="auto"/>
            </w:tcBorders>
            <w:noWrap/>
            <w:vAlign w:val="bottom"/>
            <w:hideMark/>
          </w:tcPr>
          <w:p w14:paraId="46463F64" w14:textId="77777777" w:rsidR="000C2706" w:rsidRPr="000C2706" w:rsidRDefault="000C2706" w:rsidP="000C2706">
            <w:pPr>
              <w:spacing w:line="276" w:lineRule="auto"/>
              <w:jc w:val="both"/>
              <w:rPr>
                <w:b/>
                <w:bCs/>
                <w:sz w:val="20"/>
                <w:szCs w:val="20"/>
                <w:lang w:val="sq-AL"/>
              </w:rPr>
            </w:pPr>
            <w:r w:rsidRPr="000C2706">
              <w:rPr>
                <w:b/>
                <w:bCs/>
                <w:sz w:val="20"/>
                <w:szCs w:val="20"/>
                <w:lang w:val="sq-AL"/>
              </w:rPr>
              <w:t>3,123</w:t>
            </w:r>
          </w:p>
        </w:tc>
        <w:tc>
          <w:tcPr>
            <w:tcW w:w="901" w:type="dxa"/>
            <w:tcBorders>
              <w:top w:val="nil"/>
              <w:left w:val="nil"/>
              <w:bottom w:val="nil"/>
              <w:right w:val="double" w:sz="6" w:space="0" w:color="auto"/>
            </w:tcBorders>
            <w:noWrap/>
            <w:vAlign w:val="bottom"/>
            <w:hideMark/>
          </w:tcPr>
          <w:p w14:paraId="0FFAAEAE"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0.11%</w:t>
            </w:r>
          </w:p>
        </w:tc>
      </w:tr>
      <w:tr w:rsidR="000C2706" w:rsidRPr="000C2706" w14:paraId="29FCB1D1"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2BF7C5F2"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5B71950D" w14:textId="77777777" w:rsidR="000C2706" w:rsidRPr="000C2706" w:rsidRDefault="000C2706" w:rsidP="000C2706">
            <w:pPr>
              <w:spacing w:line="276" w:lineRule="auto"/>
              <w:jc w:val="both"/>
              <w:rPr>
                <w:sz w:val="16"/>
                <w:szCs w:val="16"/>
                <w:lang w:val="sq-AL"/>
              </w:rPr>
            </w:pPr>
            <w:r w:rsidRPr="000C2706">
              <w:rPr>
                <w:sz w:val="16"/>
                <w:szCs w:val="16"/>
                <w:lang w:val="sq-AL"/>
              </w:rPr>
              <w:t>Transferta e fitimit nga Banka e Shqiperise</w:t>
            </w:r>
          </w:p>
        </w:tc>
        <w:tc>
          <w:tcPr>
            <w:tcW w:w="1363" w:type="dxa"/>
            <w:tcBorders>
              <w:top w:val="nil"/>
              <w:left w:val="double" w:sz="6" w:space="0" w:color="auto"/>
              <w:bottom w:val="nil"/>
              <w:right w:val="single" w:sz="4" w:space="0" w:color="auto"/>
            </w:tcBorders>
            <w:noWrap/>
            <w:vAlign w:val="bottom"/>
            <w:hideMark/>
          </w:tcPr>
          <w:p w14:paraId="2F700025"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804" w:type="dxa"/>
            <w:tcBorders>
              <w:top w:val="nil"/>
              <w:left w:val="nil"/>
              <w:bottom w:val="nil"/>
              <w:right w:val="double" w:sz="6" w:space="0" w:color="auto"/>
            </w:tcBorders>
            <w:noWrap/>
            <w:vAlign w:val="bottom"/>
            <w:hideMark/>
          </w:tcPr>
          <w:p w14:paraId="76C25EE9"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19BFF7D3"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804" w:type="dxa"/>
            <w:tcBorders>
              <w:top w:val="nil"/>
              <w:left w:val="nil"/>
              <w:bottom w:val="nil"/>
              <w:right w:val="double" w:sz="6" w:space="0" w:color="auto"/>
            </w:tcBorders>
            <w:shd w:val="clear" w:color="auto" w:fill="FFFFFF" w:themeFill="background1"/>
            <w:noWrap/>
            <w:vAlign w:val="bottom"/>
            <w:hideMark/>
          </w:tcPr>
          <w:p w14:paraId="749311C5"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491DB4A4"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13A7DE02"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53BCD87E"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5E3E7684"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1D558CC2" w14:textId="77777777" w:rsidR="000C2706" w:rsidRPr="000C2706" w:rsidRDefault="000C2706" w:rsidP="000C2706">
            <w:pPr>
              <w:spacing w:line="276" w:lineRule="auto"/>
              <w:jc w:val="both"/>
              <w:rPr>
                <w:sz w:val="16"/>
                <w:szCs w:val="16"/>
                <w:lang w:val="sq-AL"/>
              </w:rPr>
            </w:pPr>
            <w:r w:rsidRPr="000C2706">
              <w:rPr>
                <w:sz w:val="16"/>
                <w:szCs w:val="16"/>
                <w:lang w:val="sq-AL"/>
              </w:rPr>
              <w:t>Te ardhura nga Institucionet Buxhetore</w:t>
            </w:r>
          </w:p>
        </w:tc>
        <w:tc>
          <w:tcPr>
            <w:tcW w:w="1363" w:type="dxa"/>
            <w:tcBorders>
              <w:top w:val="nil"/>
              <w:left w:val="double" w:sz="6" w:space="0" w:color="auto"/>
              <w:bottom w:val="nil"/>
              <w:right w:val="single" w:sz="4" w:space="0" w:color="auto"/>
            </w:tcBorders>
            <w:noWrap/>
            <w:vAlign w:val="bottom"/>
            <w:hideMark/>
          </w:tcPr>
          <w:p w14:paraId="7605AA0B" w14:textId="77777777" w:rsidR="000C2706" w:rsidRPr="000C2706" w:rsidRDefault="000C2706" w:rsidP="000C2706">
            <w:pPr>
              <w:spacing w:line="276" w:lineRule="auto"/>
              <w:jc w:val="both"/>
              <w:rPr>
                <w:sz w:val="16"/>
                <w:szCs w:val="16"/>
                <w:lang w:val="sq-AL"/>
              </w:rPr>
            </w:pPr>
            <w:r w:rsidRPr="000C2706">
              <w:rPr>
                <w:sz w:val="16"/>
                <w:szCs w:val="16"/>
                <w:lang w:val="sq-AL"/>
              </w:rPr>
              <w:t>13,850</w:t>
            </w:r>
          </w:p>
        </w:tc>
        <w:tc>
          <w:tcPr>
            <w:tcW w:w="804" w:type="dxa"/>
            <w:tcBorders>
              <w:top w:val="nil"/>
              <w:left w:val="nil"/>
              <w:bottom w:val="nil"/>
              <w:right w:val="double" w:sz="6" w:space="0" w:color="auto"/>
            </w:tcBorders>
            <w:noWrap/>
            <w:vAlign w:val="bottom"/>
            <w:hideMark/>
          </w:tcPr>
          <w:p w14:paraId="52595158" w14:textId="77777777" w:rsidR="000C2706" w:rsidRPr="000C2706" w:rsidRDefault="000C2706" w:rsidP="000C2706">
            <w:pPr>
              <w:spacing w:line="276" w:lineRule="auto"/>
              <w:jc w:val="both"/>
              <w:rPr>
                <w:sz w:val="16"/>
                <w:szCs w:val="16"/>
                <w:lang w:val="sq-AL"/>
              </w:rPr>
            </w:pPr>
            <w:r w:rsidRPr="000C2706">
              <w:rPr>
                <w:sz w:val="16"/>
                <w:szCs w:val="16"/>
                <w:lang w:val="sq-AL"/>
              </w:rPr>
              <w:t>0.5%</w:t>
            </w:r>
          </w:p>
        </w:tc>
        <w:tc>
          <w:tcPr>
            <w:tcW w:w="977" w:type="dxa"/>
            <w:tcBorders>
              <w:top w:val="nil"/>
              <w:left w:val="nil"/>
              <w:bottom w:val="nil"/>
              <w:right w:val="single" w:sz="4" w:space="0" w:color="auto"/>
            </w:tcBorders>
            <w:shd w:val="clear" w:color="auto" w:fill="FFFFFF" w:themeFill="background1"/>
            <w:noWrap/>
            <w:vAlign w:val="bottom"/>
            <w:hideMark/>
          </w:tcPr>
          <w:p w14:paraId="479285CB" w14:textId="77777777" w:rsidR="000C2706" w:rsidRPr="000C2706" w:rsidRDefault="000C2706" w:rsidP="000C2706">
            <w:pPr>
              <w:spacing w:line="276" w:lineRule="auto"/>
              <w:jc w:val="both"/>
              <w:rPr>
                <w:sz w:val="16"/>
                <w:szCs w:val="16"/>
                <w:lang w:val="sq-AL"/>
              </w:rPr>
            </w:pPr>
            <w:r w:rsidRPr="000C2706">
              <w:rPr>
                <w:sz w:val="16"/>
                <w:szCs w:val="16"/>
                <w:lang w:val="sq-AL"/>
              </w:rPr>
              <w:t>16,173</w:t>
            </w:r>
          </w:p>
        </w:tc>
        <w:tc>
          <w:tcPr>
            <w:tcW w:w="804" w:type="dxa"/>
            <w:tcBorders>
              <w:top w:val="nil"/>
              <w:left w:val="nil"/>
              <w:bottom w:val="nil"/>
              <w:right w:val="double" w:sz="6" w:space="0" w:color="auto"/>
            </w:tcBorders>
            <w:shd w:val="clear" w:color="auto" w:fill="FFFFFF" w:themeFill="background1"/>
            <w:noWrap/>
            <w:vAlign w:val="bottom"/>
            <w:hideMark/>
          </w:tcPr>
          <w:p w14:paraId="5B239B01" w14:textId="77777777" w:rsidR="000C2706" w:rsidRPr="000C2706" w:rsidRDefault="000C2706" w:rsidP="000C2706">
            <w:pPr>
              <w:spacing w:line="276" w:lineRule="auto"/>
              <w:jc w:val="both"/>
              <w:rPr>
                <w:sz w:val="16"/>
                <w:szCs w:val="16"/>
                <w:lang w:val="sq-AL"/>
              </w:rPr>
            </w:pPr>
            <w:r w:rsidRPr="000C2706">
              <w:rPr>
                <w:sz w:val="16"/>
                <w:szCs w:val="16"/>
                <w:lang w:val="sq-AL"/>
              </w:rPr>
              <w:t>0.6%</w:t>
            </w:r>
          </w:p>
        </w:tc>
        <w:tc>
          <w:tcPr>
            <w:tcW w:w="901" w:type="dxa"/>
            <w:tcBorders>
              <w:top w:val="nil"/>
              <w:left w:val="nil"/>
              <w:bottom w:val="nil"/>
              <w:right w:val="double" w:sz="6" w:space="0" w:color="auto"/>
            </w:tcBorders>
            <w:noWrap/>
            <w:vAlign w:val="bottom"/>
            <w:hideMark/>
          </w:tcPr>
          <w:p w14:paraId="7FFE6288" w14:textId="77777777" w:rsidR="000C2706" w:rsidRPr="000C2706" w:rsidRDefault="000C2706" w:rsidP="000C2706">
            <w:pPr>
              <w:spacing w:line="276" w:lineRule="auto"/>
              <w:jc w:val="both"/>
              <w:rPr>
                <w:sz w:val="16"/>
                <w:szCs w:val="16"/>
                <w:lang w:val="sq-AL"/>
              </w:rPr>
            </w:pPr>
            <w:r w:rsidRPr="000C2706">
              <w:rPr>
                <w:sz w:val="16"/>
                <w:szCs w:val="16"/>
                <w:lang w:val="sq-AL"/>
              </w:rPr>
              <w:t>2,323</w:t>
            </w:r>
          </w:p>
        </w:tc>
        <w:tc>
          <w:tcPr>
            <w:tcW w:w="901" w:type="dxa"/>
            <w:tcBorders>
              <w:top w:val="nil"/>
              <w:left w:val="nil"/>
              <w:bottom w:val="nil"/>
              <w:right w:val="double" w:sz="6" w:space="0" w:color="auto"/>
            </w:tcBorders>
            <w:noWrap/>
            <w:vAlign w:val="bottom"/>
            <w:hideMark/>
          </w:tcPr>
          <w:p w14:paraId="5D16EE32" w14:textId="77777777" w:rsidR="000C2706" w:rsidRPr="000C2706" w:rsidRDefault="000C2706" w:rsidP="000C2706">
            <w:pPr>
              <w:spacing w:line="276" w:lineRule="auto"/>
              <w:jc w:val="both"/>
              <w:rPr>
                <w:sz w:val="16"/>
                <w:szCs w:val="16"/>
                <w:lang w:val="sq-AL"/>
              </w:rPr>
            </w:pPr>
            <w:r w:rsidRPr="000C2706">
              <w:rPr>
                <w:sz w:val="16"/>
                <w:szCs w:val="16"/>
                <w:lang w:val="sq-AL"/>
              </w:rPr>
              <w:t>0.08%</w:t>
            </w:r>
          </w:p>
        </w:tc>
      </w:tr>
      <w:tr w:rsidR="000C2706" w:rsidRPr="000C2706" w14:paraId="6236F620"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0ECA3BEF"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7F69F159" w14:textId="77777777" w:rsidR="000C2706" w:rsidRPr="000C2706" w:rsidRDefault="000C2706" w:rsidP="000C2706">
            <w:pPr>
              <w:spacing w:line="276" w:lineRule="auto"/>
              <w:jc w:val="both"/>
              <w:rPr>
                <w:sz w:val="16"/>
                <w:szCs w:val="16"/>
                <w:lang w:val="sq-AL"/>
              </w:rPr>
            </w:pPr>
            <w:r w:rsidRPr="000C2706">
              <w:rPr>
                <w:sz w:val="16"/>
                <w:szCs w:val="16"/>
                <w:lang w:val="sq-AL"/>
              </w:rPr>
              <w:t>Dividenti</w:t>
            </w:r>
          </w:p>
        </w:tc>
        <w:tc>
          <w:tcPr>
            <w:tcW w:w="1363" w:type="dxa"/>
            <w:tcBorders>
              <w:top w:val="nil"/>
              <w:left w:val="double" w:sz="6" w:space="0" w:color="auto"/>
              <w:bottom w:val="nil"/>
              <w:right w:val="single" w:sz="4" w:space="0" w:color="auto"/>
            </w:tcBorders>
            <w:noWrap/>
            <w:vAlign w:val="bottom"/>
            <w:hideMark/>
          </w:tcPr>
          <w:p w14:paraId="1E5CE602" w14:textId="77777777" w:rsidR="000C2706" w:rsidRPr="000C2706" w:rsidRDefault="000C2706" w:rsidP="000C2706">
            <w:pPr>
              <w:spacing w:line="276" w:lineRule="auto"/>
              <w:jc w:val="both"/>
              <w:rPr>
                <w:sz w:val="16"/>
                <w:szCs w:val="16"/>
                <w:lang w:val="sq-AL"/>
              </w:rPr>
            </w:pPr>
            <w:r w:rsidRPr="000C2706">
              <w:rPr>
                <w:sz w:val="16"/>
                <w:szCs w:val="16"/>
                <w:lang w:val="sq-AL"/>
              </w:rPr>
              <w:t>300</w:t>
            </w:r>
          </w:p>
        </w:tc>
        <w:tc>
          <w:tcPr>
            <w:tcW w:w="804" w:type="dxa"/>
            <w:tcBorders>
              <w:top w:val="nil"/>
              <w:left w:val="nil"/>
              <w:bottom w:val="nil"/>
              <w:right w:val="double" w:sz="6" w:space="0" w:color="auto"/>
            </w:tcBorders>
            <w:noWrap/>
            <w:vAlign w:val="bottom"/>
            <w:hideMark/>
          </w:tcPr>
          <w:p w14:paraId="6CF0AC2C"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6809FED4" w14:textId="77777777" w:rsidR="000C2706" w:rsidRPr="000C2706" w:rsidRDefault="000C2706" w:rsidP="000C2706">
            <w:pPr>
              <w:spacing w:line="276" w:lineRule="auto"/>
              <w:jc w:val="both"/>
              <w:rPr>
                <w:sz w:val="16"/>
                <w:szCs w:val="16"/>
                <w:lang w:val="sq-AL"/>
              </w:rPr>
            </w:pPr>
            <w:r w:rsidRPr="000C2706">
              <w:rPr>
                <w:sz w:val="16"/>
                <w:szCs w:val="16"/>
                <w:lang w:val="sq-AL"/>
              </w:rPr>
              <w:t>300</w:t>
            </w:r>
          </w:p>
        </w:tc>
        <w:tc>
          <w:tcPr>
            <w:tcW w:w="804" w:type="dxa"/>
            <w:tcBorders>
              <w:top w:val="nil"/>
              <w:left w:val="nil"/>
              <w:bottom w:val="nil"/>
              <w:right w:val="double" w:sz="6" w:space="0" w:color="auto"/>
            </w:tcBorders>
            <w:shd w:val="clear" w:color="auto" w:fill="FFFFFF" w:themeFill="background1"/>
            <w:noWrap/>
            <w:vAlign w:val="bottom"/>
            <w:hideMark/>
          </w:tcPr>
          <w:p w14:paraId="62820C1E"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3217B377"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524CAA88"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48E30395"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718D17D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4CD89ABA" w14:textId="77777777" w:rsidR="000C2706" w:rsidRPr="000C2706" w:rsidRDefault="000C2706" w:rsidP="000C2706">
            <w:pPr>
              <w:spacing w:line="276" w:lineRule="auto"/>
              <w:jc w:val="both"/>
              <w:rPr>
                <w:sz w:val="16"/>
                <w:szCs w:val="16"/>
                <w:lang w:val="sq-AL"/>
              </w:rPr>
            </w:pPr>
            <w:r w:rsidRPr="000C2706">
              <w:rPr>
                <w:sz w:val="16"/>
                <w:szCs w:val="16"/>
                <w:lang w:val="sq-AL"/>
              </w:rPr>
              <w:t>Tarifat e Sherbimeve</w:t>
            </w:r>
          </w:p>
        </w:tc>
        <w:tc>
          <w:tcPr>
            <w:tcW w:w="1363" w:type="dxa"/>
            <w:tcBorders>
              <w:top w:val="nil"/>
              <w:left w:val="double" w:sz="6" w:space="0" w:color="auto"/>
              <w:bottom w:val="nil"/>
              <w:right w:val="single" w:sz="4" w:space="0" w:color="auto"/>
            </w:tcBorders>
            <w:noWrap/>
            <w:vAlign w:val="bottom"/>
            <w:hideMark/>
          </w:tcPr>
          <w:p w14:paraId="2CB4A2B8" w14:textId="77777777" w:rsidR="000C2706" w:rsidRPr="000C2706" w:rsidRDefault="000C2706" w:rsidP="000C2706">
            <w:pPr>
              <w:spacing w:line="276" w:lineRule="auto"/>
              <w:jc w:val="both"/>
              <w:rPr>
                <w:sz w:val="16"/>
                <w:szCs w:val="16"/>
                <w:lang w:val="sq-AL"/>
              </w:rPr>
            </w:pPr>
            <w:r w:rsidRPr="000C2706">
              <w:rPr>
                <w:sz w:val="16"/>
                <w:szCs w:val="16"/>
                <w:lang w:val="sq-AL"/>
              </w:rPr>
              <w:t>3,800</w:t>
            </w:r>
          </w:p>
        </w:tc>
        <w:tc>
          <w:tcPr>
            <w:tcW w:w="804" w:type="dxa"/>
            <w:tcBorders>
              <w:top w:val="nil"/>
              <w:left w:val="nil"/>
              <w:bottom w:val="nil"/>
              <w:right w:val="double" w:sz="6" w:space="0" w:color="auto"/>
            </w:tcBorders>
            <w:noWrap/>
            <w:vAlign w:val="bottom"/>
            <w:hideMark/>
          </w:tcPr>
          <w:p w14:paraId="28D33BD2"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4AAAABFF" w14:textId="77777777" w:rsidR="000C2706" w:rsidRPr="000C2706" w:rsidRDefault="000C2706" w:rsidP="000C2706">
            <w:pPr>
              <w:spacing w:line="276" w:lineRule="auto"/>
              <w:jc w:val="both"/>
              <w:rPr>
                <w:sz w:val="16"/>
                <w:szCs w:val="16"/>
                <w:lang w:val="sq-AL"/>
              </w:rPr>
            </w:pPr>
            <w:r w:rsidRPr="000C2706">
              <w:rPr>
                <w:sz w:val="16"/>
                <w:szCs w:val="16"/>
                <w:lang w:val="sq-AL"/>
              </w:rPr>
              <w:t>3,800</w:t>
            </w:r>
          </w:p>
        </w:tc>
        <w:tc>
          <w:tcPr>
            <w:tcW w:w="804" w:type="dxa"/>
            <w:tcBorders>
              <w:top w:val="nil"/>
              <w:left w:val="nil"/>
              <w:bottom w:val="nil"/>
              <w:right w:val="double" w:sz="6" w:space="0" w:color="auto"/>
            </w:tcBorders>
            <w:shd w:val="clear" w:color="auto" w:fill="FFFFFF" w:themeFill="background1"/>
            <w:noWrap/>
            <w:vAlign w:val="bottom"/>
            <w:hideMark/>
          </w:tcPr>
          <w:p w14:paraId="10954522"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4989E79E"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4A877010"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7E07F7C0"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480D48F0"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40B408E9" w14:textId="77777777" w:rsidR="000C2706" w:rsidRPr="000C2706" w:rsidRDefault="000C2706" w:rsidP="000C2706">
            <w:pPr>
              <w:spacing w:line="276" w:lineRule="auto"/>
              <w:jc w:val="both"/>
              <w:rPr>
                <w:sz w:val="16"/>
                <w:szCs w:val="16"/>
                <w:lang w:val="sq-AL"/>
              </w:rPr>
            </w:pPr>
            <w:r w:rsidRPr="000C2706">
              <w:rPr>
                <w:sz w:val="16"/>
                <w:szCs w:val="16"/>
                <w:lang w:val="sq-AL"/>
              </w:rPr>
              <w:t>Te tjera</w:t>
            </w:r>
          </w:p>
        </w:tc>
        <w:tc>
          <w:tcPr>
            <w:tcW w:w="1363" w:type="dxa"/>
            <w:tcBorders>
              <w:top w:val="nil"/>
              <w:left w:val="double" w:sz="6" w:space="0" w:color="auto"/>
              <w:bottom w:val="nil"/>
              <w:right w:val="single" w:sz="4" w:space="0" w:color="auto"/>
            </w:tcBorders>
            <w:noWrap/>
            <w:vAlign w:val="bottom"/>
            <w:hideMark/>
          </w:tcPr>
          <w:p w14:paraId="55C6B7CC" w14:textId="77777777" w:rsidR="000C2706" w:rsidRPr="000C2706" w:rsidRDefault="000C2706" w:rsidP="000C2706">
            <w:pPr>
              <w:spacing w:line="276" w:lineRule="auto"/>
              <w:jc w:val="both"/>
              <w:rPr>
                <w:sz w:val="16"/>
                <w:szCs w:val="16"/>
                <w:lang w:val="sq-AL"/>
              </w:rPr>
            </w:pPr>
            <w:r w:rsidRPr="000C2706">
              <w:rPr>
                <w:sz w:val="16"/>
                <w:szCs w:val="16"/>
                <w:lang w:val="sq-AL"/>
              </w:rPr>
              <w:t>8,700</w:t>
            </w:r>
          </w:p>
        </w:tc>
        <w:tc>
          <w:tcPr>
            <w:tcW w:w="804" w:type="dxa"/>
            <w:tcBorders>
              <w:top w:val="nil"/>
              <w:left w:val="nil"/>
              <w:bottom w:val="nil"/>
              <w:right w:val="double" w:sz="6" w:space="0" w:color="auto"/>
            </w:tcBorders>
            <w:noWrap/>
            <w:vAlign w:val="bottom"/>
            <w:hideMark/>
          </w:tcPr>
          <w:p w14:paraId="4385EF31" w14:textId="77777777" w:rsidR="000C2706" w:rsidRPr="000C2706" w:rsidRDefault="000C2706" w:rsidP="000C2706">
            <w:pPr>
              <w:spacing w:line="276" w:lineRule="auto"/>
              <w:jc w:val="both"/>
              <w:rPr>
                <w:sz w:val="16"/>
                <w:szCs w:val="16"/>
                <w:lang w:val="sq-AL"/>
              </w:rPr>
            </w:pPr>
            <w:r w:rsidRPr="000C2706">
              <w:rPr>
                <w:sz w:val="16"/>
                <w:szCs w:val="16"/>
                <w:lang w:val="sq-AL"/>
              </w:rPr>
              <w:t>0.3%</w:t>
            </w:r>
          </w:p>
        </w:tc>
        <w:tc>
          <w:tcPr>
            <w:tcW w:w="977" w:type="dxa"/>
            <w:tcBorders>
              <w:top w:val="nil"/>
              <w:left w:val="nil"/>
              <w:bottom w:val="nil"/>
              <w:right w:val="single" w:sz="4" w:space="0" w:color="auto"/>
            </w:tcBorders>
            <w:shd w:val="clear" w:color="auto" w:fill="FFFFFF" w:themeFill="background1"/>
            <w:noWrap/>
            <w:vAlign w:val="bottom"/>
            <w:hideMark/>
          </w:tcPr>
          <w:p w14:paraId="0435FBBA" w14:textId="77777777" w:rsidR="000C2706" w:rsidRPr="000C2706" w:rsidRDefault="000C2706" w:rsidP="000C2706">
            <w:pPr>
              <w:spacing w:line="276" w:lineRule="auto"/>
              <w:jc w:val="both"/>
              <w:rPr>
                <w:sz w:val="16"/>
                <w:szCs w:val="16"/>
                <w:lang w:val="sq-AL"/>
              </w:rPr>
            </w:pPr>
            <w:r w:rsidRPr="000C2706">
              <w:rPr>
                <w:sz w:val="16"/>
                <w:szCs w:val="16"/>
                <w:lang w:val="sq-AL"/>
              </w:rPr>
              <w:t>9,500</w:t>
            </w:r>
          </w:p>
        </w:tc>
        <w:tc>
          <w:tcPr>
            <w:tcW w:w="804" w:type="dxa"/>
            <w:tcBorders>
              <w:top w:val="nil"/>
              <w:left w:val="nil"/>
              <w:bottom w:val="nil"/>
              <w:right w:val="double" w:sz="6" w:space="0" w:color="auto"/>
            </w:tcBorders>
            <w:shd w:val="clear" w:color="auto" w:fill="FFFFFF" w:themeFill="background1"/>
            <w:noWrap/>
            <w:vAlign w:val="bottom"/>
            <w:hideMark/>
          </w:tcPr>
          <w:p w14:paraId="2606C8A4" w14:textId="77777777" w:rsidR="000C2706" w:rsidRPr="000C2706" w:rsidRDefault="000C2706" w:rsidP="000C2706">
            <w:pPr>
              <w:spacing w:line="276" w:lineRule="auto"/>
              <w:jc w:val="both"/>
              <w:rPr>
                <w:sz w:val="16"/>
                <w:szCs w:val="16"/>
                <w:lang w:val="sq-AL"/>
              </w:rPr>
            </w:pPr>
            <w:r w:rsidRPr="000C2706">
              <w:rPr>
                <w:sz w:val="16"/>
                <w:szCs w:val="16"/>
                <w:lang w:val="sq-AL"/>
              </w:rPr>
              <w:t>0.3%</w:t>
            </w:r>
          </w:p>
        </w:tc>
        <w:tc>
          <w:tcPr>
            <w:tcW w:w="901" w:type="dxa"/>
            <w:tcBorders>
              <w:top w:val="nil"/>
              <w:left w:val="nil"/>
              <w:bottom w:val="nil"/>
              <w:right w:val="double" w:sz="6" w:space="0" w:color="auto"/>
            </w:tcBorders>
            <w:noWrap/>
            <w:vAlign w:val="bottom"/>
            <w:hideMark/>
          </w:tcPr>
          <w:p w14:paraId="6D4C0CA6" w14:textId="77777777" w:rsidR="000C2706" w:rsidRPr="000C2706" w:rsidRDefault="000C2706" w:rsidP="000C2706">
            <w:pPr>
              <w:spacing w:line="276" w:lineRule="auto"/>
              <w:jc w:val="both"/>
              <w:rPr>
                <w:sz w:val="16"/>
                <w:szCs w:val="16"/>
                <w:lang w:val="sq-AL"/>
              </w:rPr>
            </w:pPr>
            <w:r w:rsidRPr="000C2706">
              <w:rPr>
                <w:sz w:val="16"/>
                <w:szCs w:val="16"/>
                <w:lang w:val="sq-AL"/>
              </w:rPr>
              <w:t>800</w:t>
            </w:r>
          </w:p>
        </w:tc>
        <w:tc>
          <w:tcPr>
            <w:tcW w:w="901" w:type="dxa"/>
            <w:tcBorders>
              <w:top w:val="nil"/>
              <w:left w:val="nil"/>
              <w:bottom w:val="nil"/>
              <w:right w:val="double" w:sz="6" w:space="0" w:color="auto"/>
            </w:tcBorders>
            <w:noWrap/>
            <w:vAlign w:val="bottom"/>
            <w:hideMark/>
          </w:tcPr>
          <w:p w14:paraId="198E2AAD" w14:textId="77777777" w:rsidR="000C2706" w:rsidRPr="000C2706" w:rsidRDefault="000C2706" w:rsidP="000C2706">
            <w:pPr>
              <w:spacing w:line="276" w:lineRule="auto"/>
              <w:jc w:val="both"/>
              <w:rPr>
                <w:sz w:val="16"/>
                <w:szCs w:val="16"/>
                <w:lang w:val="sq-AL"/>
              </w:rPr>
            </w:pPr>
            <w:r w:rsidRPr="000C2706">
              <w:rPr>
                <w:sz w:val="16"/>
                <w:szCs w:val="16"/>
                <w:lang w:val="sq-AL"/>
              </w:rPr>
              <w:t>0.03%</w:t>
            </w:r>
          </w:p>
        </w:tc>
      </w:tr>
      <w:tr w:rsidR="000C2706" w:rsidRPr="000C2706" w14:paraId="68B88F3E" w14:textId="77777777" w:rsidTr="00A41DE9">
        <w:trPr>
          <w:trHeight w:val="262"/>
        </w:trPr>
        <w:tc>
          <w:tcPr>
            <w:tcW w:w="490" w:type="dxa"/>
            <w:tcBorders>
              <w:top w:val="double" w:sz="6" w:space="0" w:color="auto"/>
              <w:left w:val="single" w:sz="12" w:space="0" w:color="auto"/>
              <w:bottom w:val="nil"/>
              <w:right w:val="double" w:sz="6" w:space="0" w:color="auto"/>
            </w:tcBorders>
            <w:noWrap/>
            <w:vAlign w:val="bottom"/>
            <w:hideMark/>
          </w:tcPr>
          <w:p w14:paraId="12B876D7"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double" w:sz="6" w:space="0" w:color="auto"/>
              <w:left w:val="nil"/>
              <w:bottom w:val="nil"/>
              <w:right w:val="nil"/>
            </w:tcBorders>
            <w:noWrap/>
            <w:vAlign w:val="bottom"/>
            <w:hideMark/>
          </w:tcPr>
          <w:p w14:paraId="49B3D3C5"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1363" w:type="dxa"/>
            <w:tcBorders>
              <w:top w:val="double" w:sz="6" w:space="0" w:color="auto"/>
              <w:left w:val="double" w:sz="6" w:space="0" w:color="auto"/>
              <w:bottom w:val="nil"/>
              <w:right w:val="single" w:sz="4" w:space="0" w:color="auto"/>
            </w:tcBorders>
            <w:noWrap/>
            <w:vAlign w:val="bottom"/>
            <w:hideMark/>
          </w:tcPr>
          <w:p w14:paraId="12D01937"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804" w:type="dxa"/>
            <w:tcBorders>
              <w:top w:val="double" w:sz="6" w:space="0" w:color="auto"/>
              <w:left w:val="nil"/>
              <w:bottom w:val="nil"/>
              <w:right w:val="double" w:sz="6" w:space="0" w:color="auto"/>
            </w:tcBorders>
            <w:noWrap/>
            <w:vAlign w:val="bottom"/>
            <w:hideMark/>
          </w:tcPr>
          <w:p w14:paraId="546414FE"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77" w:type="dxa"/>
            <w:tcBorders>
              <w:top w:val="double" w:sz="6" w:space="0" w:color="auto"/>
              <w:left w:val="nil"/>
              <w:bottom w:val="nil"/>
              <w:right w:val="single" w:sz="4" w:space="0" w:color="auto"/>
            </w:tcBorders>
            <w:shd w:val="clear" w:color="auto" w:fill="FFFFFF" w:themeFill="background1"/>
            <w:noWrap/>
            <w:vAlign w:val="bottom"/>
            <w:hideMark/>
          </w:tcPr>
          <w:p w14:paraId="1E862F17"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804" w:type="dxa"/>
            <w:tcBorders>
              <w:top w:val="double" w:sz="6" w:space="0" w:color="auto"/>
              <w:left w:val="nil"/>
              <w:bottom w:val="nil"/>
              <w:right w:val="double" w:sz="6" w:space="0" w:color="auto"/>
            </w:tcBorders>
            <w:shd w:val="clear" w:color="auto" w:fill="FFFFFF" w:themeFill="background1"/>
            <w:noWrap/>
            <w:vAlign w:val="bottom"/>
            <w:hideMark/>
          </w:tcPr>
          <w:p w14:paraId="1CC93E87"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01" w:type="dxa"/>
            <w:tcBorders>
              <w:top w:val="double" w:sz="6" w:space="0" w:color="auto"/>
              <w:left w:val="nil"/>
              <w:bottom w:val="nil"/>
              <w:right w:val="double" w:sz="6" w:space="0" w:color="auto"/>
            </w:tcBorders>
            <w:noWrap/>
            <w:vAlign w:val="bottom"/>
            <w:hideMark/>
          </w:tcPr>
          <w:p w14:paraId="6F708B38"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01" w:type="dxa"/>
            <w:tcBorders>
              <w:top w:val="double" w:sz="6" w:space="0" w:color="auto"/>
              <w:left w:val="nil"/>
              <w:bottom w:val="nil"/>
              <w:right w:val="double" w:sz="6" w:space="0" w:color="auto"/>
            </w:tcBorders>
            <w:noWrap/>
            <w:vAlign w:val="bottom"/>
            <w:hideMark/>
          </w:tcPr>
          <w:p w14:paraId="4B99DCCD" w14:textId="77777777" w:rsidR="000C2706" w:rsidRPr="000C2706" w:rsidRDefault="000C2706" w:rsidP="000C2706">
            <w:pPr>
              <w:spacing w:line="276" w:lineRule="auto"/>
              <w:jc w:val="both"/>
              <w:rPr>
                <w:sz w:val="20"/>
                <w:szCs w:val="20"/>
                <w:lang w:val="sq-AL"/>
              </w:rPr>
            </w:pPr>
            <w:r w:rsidRPr="000C2706">
              <w:rPr>
                <w:sz w:val="20"/>
                <w:szCs w:val="20"/>
                <w:lang w:val="sq-AL"/>
              </w:rPr>
              <w:t> </w:t>
            </w:r>
          </w:p>
        </w:tc>
      </w:tr>
      <w:tr w:rsidR="000C2706" w:rsidRPr="000C2706" w14:paraId="0D7A8AFF"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0B5C3783" w14:textId="77777777" w:rsidR="000C2706" w:rsidRPr="000C2706" w:rsidRDefault="000C2706" w:rsidP="000C2706">
            <w:pPr>
              <w:spacing w:line="276" w:lineRule="auto"/>
              <w:jc w:val="both"/>
              <w:rPr>
                <w:b/>
                <w:bCs/>
                <w:sz w:val="16"/>
                <w:szCs w:val="16"/>
                <w:lang w:val="sq-AL"/>
              </w:rPr>
            </w:pPr>
            <w:r w:rsidRPr="000C2706">
              <w:rPr>
                <w:b/>
                <w:bCs/>
                <w:sz w:val="16"/>
                <w:szCs w:val="16"/>
                <w:lang w:val="sq-AL"/>
              </w:rPr>
              <w:t>II.</w:t>
            </w:r>
          </w:p>
        </w:tc>
        <w:tc>
          <w:tcPr>
            <w:tcW w:w="3689" w:type="dxa"/>
            <w:tcBorders>
              <w:top w:val="nil"/>
              <w:left w:val="nil"/>
              <w:bottom w:val="nil"/>
              <w:right w:val="nil"/>
            </w:tcBorders>
            <w:noWrap/>
            <w:vAlign w:val="bottom"/>
            <w:hideMark/>
          </w:tcPr>
          <w:p w14:paraId="6BCA44F9" w14:textId="77777777" w:rsidR="000C2706" w:rsidRPr="000C2706" w:rsidRDefault="000C2706" w:rsidP="000C2706">
            <w:pPr>
              <w:spacing w:line="276" w:lineRule="auto"/>
              <w:jc w:val="both"/>
              <w:rPr>
                <w:b/>
                <w:bCs/>
                <w:sz w:val="16"/>
                <w:szCs w:val="16"/>
                <w:lang w:val="sq-AL"/>
              </w:rPr>
            </w:pPr>
            <w:r w:rsidRPr="000C2706">
              <w:rPr>
                <w:b/>
                <w:bCs/>
                <w:sz w:val="16"/>
                <w:szCs w:val="16"/>
                <w:lang w:val="sq-AL"/>
              </w:rPr>
              <w:t>Shpenzime Korrente</w:t>
            </w:r>
          </w:p>
        </w:tc>
        <w:tc>
          <w:tcPr>
            <w:tcW w:w="1363" w:type="dxa"/>
            <w:tcBorders>
              <w:top w:val="nil"/>
              <w:left w:val="double" w:sz="6" w:space="0" w:color="auto"/>
              <w:bottom w:val="nil"/>
              <w:right w:val="single" w:sz="4" w:space="0" w:color="auto"/>
            </w:tcBorders>
            <w:noWrap/>
            <w:vAlign w:val="bottom"/>
            <w:hideMark/>
          </w:tcPr>
          <w:p w14:paraId="49C500FD"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804" w:type="dxa"/>
            <w:tcBorders>
              <w:top w:val="nil"/>
              <w:left w:val="nil"/>
              <w:bottom w:val="nil"/>
              <w:right w:val="double" w:sz="6" w:space="0" w:color="auto"/>
            </w:tcBorders>
            <w:noWrap/>
            <w:vAlign w:val="bottom"/>
            <w:hideMark/>
          </w:tcPr>
          <w:p w14:paraId="25C3BF8E"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77" w:type="dxa"/>
            <w:tcBorders>
              <w:top w:val="nil"/>
              <w:left w:val="nil"/>
              <w:bottom w:val="nil"/>
              <w:right w:val="single" w:sz="4" w:space="0" w:color="auto"/>
            </w:tcBorders>
            <w:shd w:val="clear" w:color="auto" w:fill="FFFFFF" w:themeFill="background1"/>
            <w:noWrap/>
            <w:vAlign w:val="bottom"/>
            <w:hideMark/>
          </w:tcPr>
          <w:p w14:paraId="619875AA"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804" w:type="dxa"/>
            <w:tcBorders>
              <w:top w:val="nil"/>
              <w:left w:val="nil"/>
              <w:bottom w:val="nil"/>
              <w:right w:val="double" w:sz="6" w:space="0" w:color="auto"/>
            </w:tcBorders>
            <w:shd w:val="clear" w:color="auto" w:fill="FFFFFF" w:themeFill="background1"/>
            <w:noWrap/>
            <w:vAlign w:val="bottom"/>
            <w:hideMark/>
          </w:tcPr>
          <w:p w14:paraId="30E6D4BF"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01" w:type="dxa"/>
            <w:tcBorders>
              <w:top w:val="nil"/>
              <w:left w:val="nil"/>
              <w:bottom w:val="nil"/>
              <w:right w:val="double" w:sz="6" w:space="0" w:color="auto"/>
            </w:tcBorders>
            <w:noWrap/>
            <w:vAlign w:val="bottom"/>
            <w:hideMark/>
          </w:tcPr>
          <w:p w14:paraId="227C82FF" w14:textId="77777777" w:rsidR="000C2706" w:rsidRPr="000C2706" w:rsidRDefault="000C2706" w:rsidP="000C2706">
            <w:pPr>
              <w:spacing w:line="276" w:lineRule="auto"/>
              <w:jc w:val="both"/>
              <w:rPr>
                <w:sz w:val="20"/>
                <w:szCs w:val="20"/>
                <w:lang w:val="sq-AL"/>
              </w:rPr>
            </w:pPr>
            <w:r w:rsidRPr="000C2706">
              <w:rPr>
                <w:sz w:val="20"/>
                <w:szCs w:val="20"/>
                <w:lang w:val="sq-AL"/>
              </w:rPr>
              <w:t> </w:t>
            </w:r>
          </w:p>
        </w:tc>
        <w:tc>
          <w:tcPr>
            <w:tcW w:w="901" w:type="dxa"/>
            <w:tcBorders>
              <w:top w:val="nil"/>
              <w:left w:val="nil"/>
              <w:bottom w:val="nil"/>
              <w:right w:val="double" w:sz="6" w:space="0" w:color="auto"/>
            </w:tcBorders>
            <w:noWrap/>
            <w:vAlign w:val="bottom"/>
            <w:hideMark/>
          </w:tcPr>
          <w:p w14:paraId="1DBA41C9" w14:textId="77777777" w:rsidR="000C2706" w:rsidRPr="000C2706" w:rsidRDefault="000C2706" w:rsidP="000C2706">
            <w:pPr>
              <w:spacing w:line="276" w:lineRule="auto"/>
              <w:jc w:val="both"/>
              <w:rPr>
                <w:sz w:val="20"/>
                <w:szCs w:val="20"/>
                <w:lang w:val="sq-AL"/>
              </w:rPr>
            </w:pPr>
            <w:r w:rsidRPr="000C2706">
              <w:rPr>
                <w:sz w:val="20"/>
                <w:szCs w:val="20"/>
                <w:lang w:val="sq-AL"/>
              </w:rPr>
              <w:t> </w:t>
            </w:r>
          </w:p>
        </w:tc>
      </w:tr>
      <w:tr w:rsidR="000C2706" w:rsidRPr="000C2706" w14:paraId="1135A072"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31331D59"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1 </w:t>
            </w:r>
          </w:p>
        </w:tc>
        <w:tc>
          <w:tcPr>
            <w:tcW w:w="3689" w:type="dxa"/>
            <w:tcBorders>
              <w:top w:val="nil"/>
              <w:left w:val="nil"/>
              <w:bottom w:val="nil"/>
              <w:right w:val="nil"/>
            </w:tcBorders>
            <w:noWrap/>
            <w:vAlign w:val="bottom"/>
            <w:hideMark/>
          </w:tcPr>
          <w:p w14:paraId="10F9A877" w14:textId="77777777" w:rsidR="000C2706" w:rsidRPr="000C2706" w:rsidRDefault="000C2706" w:rsidP="000C2706">
            <w:pPr>
              <w:spacing w:line="276" w:lineRule="auto"/>
              <w:jc w:val="both"/>
              <w:rPr>
                <w:b/>
                <w:bCs/>
                <w:sz w:val="16"/>
                <w:szCs w:val="16"/>
                <w:lang w:val="sq-AL"/>
              </w:rPr>
            </w:pPr>
            <w:r w:rsidRPr="000C2706">
              <w:rPr>
                <w:b/>
                <w:bCs/>
                <w:sz w:val="16"/>
                <w:szCs w:val="16"/>
                <w:lang w:val="sq-AL"/>
              </w:rPr>
              <w:t>Personeli</w:t>
            </w:r>
          </w:p>
        </w:tc>
        <w:tc>
          <w:tcPr>
            <w:tcW w:w="1363" w:type="dxa"/>
            <w:tcBorders>
              <w:top w:val="nil"/>
              <w:left w:val="double" w:sz="6" w:space="0" w:color="auto"/>
              <w:bottom w:val="nil"/>
              <w:right w:val="single" w:sz="4" w:space="0" w:color="auto"/>
            </w:tcBorders>
            <w:noWrap/>
            <w:vAlign w:val="bottom"/>
            <w:hideMark/>
          </w:tcPr>
          <w:p w14:paraId="54C09B7F"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133,069</w:t>
            </w:r>
          </w:p>
        </w:tc>
        <w:tc>
          <w:tcPr>
            <w:tcW w:w="804" w:type="dxa"/>
            <w:tcBorders>
              <w:top w:val="nil"/>
              <w:left w:val="nil"/>
              <w:bottom w:val="nil"/>
              <w:right w:val="double" w:sz="6" w:space="0" w:color="auto"/>
            </w:tcBorders>
            <w:noWrap/>
            <w:vAlign w:val="bottom"/>
            <w:hideMark/>
          </w:tcPr>
          <w:p w14:paraId="7C1A2ECD" w14:textId="77777777" w:rsidR="000C2706" w:rsidRPr="000C2706" w:rsidRDefault="000C2706" w:rsidP="000C2706">
            <w:pPr>
              <w:spacing w:line="276" w:lineRule="auto"/>
              <w:jc w:val="both"/>
              <w:rPr>
                <w:b/>
                <w:bCs/>
                <w:sz w:val="20"/>
                <w:szCs w:val="20"/>
                <w:lang w:val="sq-AL"/>
              </w:rPr>
            </w:pPr>
            <w:r w:rsidRPr="000C2706">
              <w:rPr>
                <w:b/>
                <w:bCs/>
                <w:sz w:val="20"/>
                <w:szCs w:val="20"/>
                <w:lang w:val="sq-AL"/>
              </w:rPr>
              <w:t>4.8%</w:t>
            </w:r>
          </w:p>
        </w:tc>
        <w:tc>
          <w:tcPr>
            <w:tcW w:w="977" w:type="dxa"/>
            <w:tcBorders>
              <w:top w:val="nil"/>
              <w:left w:val="nil"/>
              <w:bottom w:val="nil"/>
              <w:right w:val="single" w:sz="4" w:space="0" w:color="auto"/>
            </w:tcBorders>
            <w:shd w:val="clear" w:color="auto" w:fill="FFFFFF" w:themeFill="background1"/>
            <w:noWrap/>
            <w:vAlign w:val="bottom"/>
            <w:hideMark/>
          </w:tcPr>
          <w:p w14:paraId="13825C3F"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140,140</w:t>
            </w:r>
          </w:p>
        </w:tc>
        <w:tc>
          <w:tcPr>
            <w:tcW w:w="804" w:type="dxa"/>
            <w:tcBorders>
              <w:top w:val="nil"/>
              <w:left w:val="nil"/>
              <w:bottom w:val="nil"/>
              <w:right w:val="double" w:sz="6" w:space="0" w:color="auto"/>
            </w:tcBorders>
            <w:shd w:val="clear" w:color="auto" w:fill="FFFFFF" w:themeFill="background1"/>
            <w:noWrap/>
            <w:vAlign w:val="bottom"/>
            <w:hideMark/>
          </w:tcPr>
          <w:p w14:paraId="0B19946A" w14:textId="77777777" w:rsidR="000C2706" w:rsidRPr="000C2706" w:rsidRDefault="000C2706" w:rsidP="000C2706">
            <w:pPr>
              <w:spacing w:line="276" w:lineRule="auto"/>
              <w:jc w:val="both"/>
              <w:rPr>
                <w:b/>
                <w:bCs/>
                <w:sz w:val="20"/>
                <w:szCs w:val="20"/>
                <w:lang w:val="sq-AL"/>
              </w:rPr>
            </w:pPr>
            <w:r w:rsidRPr="000C2706">
              <w:rPr>
                <w:b/>
                <w:bCs/>
                <w:sz w:val="20"/>
                <w:szCs w:val="20"/>
                <w:lang w:val="sq-AL"/>
              </w:rPr>
              <w:t>5.0%</w:t>
            </w:r>
          </w:p>
        </w:tc>
        <w:tc>
          <w:tcPr>
            <w:tcW w:w="901" w:type="dxa"/>
            <w:tcBorders>
              <w:top w:val="nil"/>
              <w:left w:val="nil"/>
              <w:bottom w:val="nil"/>
              <w:right w:val="double" w:sz="6" w:space="0" w:color="auto"/>
            </w:tcBorders>
            <w:noWrap/>
            <w:vAlign w:val="bottom"/>
            <w:hideMark/>
          </w:tcPr>
          <w:p w14:paraId="6F5F4A79" w14:textId="77777777" w:rsidR="000C2706" w:rsidRPr="000C2706" w:rsidRDefault="000C2706" w:rsidP="000C2706">
            <w:pPr>
              <w:spacing w:line="276" w:lineRule="auto"/>
              <w:jc w:val="both"/>
              <w:rPr>
                <w:b/>
                <w:bCs/>
                <w:sz w:val="20"/>
                <w:szCs w:val="20"/>
                <w:lang w:val="sq-AL"/>
              </w:rPr>
            </w:pPr>
            <w:r w:rsidRPr="000C2706">
              <w:rPr>
                <w:b/>
                <w:bCs/>
                <w:sz w:val="20"/>
                <w:szCs w:val="20"/>
                <w:lang w:val="sq-AL"/>
              </w:rPr>
              <w:t>7,071</w:t>
            </w:r>
          </w:p>
        </w:tc>
        <w:tc>
          <w:tcPr>
            <w:tcW w:w="901" w:type="dxa"/>
            <w:tcBorders>
              <w:top w:val="nil"/>
              <w:left w:val="nil"/>
              <w:bottom w:val="nil"/>
              <w:right w:val="double" w:sz="6" w:space="0" w:color="auto"/>
            </w:tcBorders>
            <w:noWrap/>
            <w:vAlign w:val="bottom"/>
            <w:hideMark/>
          </w:tcPr>
          <w:p w14:paraId="35B8E4FD"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0.25%</w:t>
            </w:r>
          </w:p>
        </w:tc>
      </w:tr>
      <w:tr w:rsidR="000C2706" w:rsidRPr="000C2706" w14:paraId="3C3C2030"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5158E36B"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5A196DF1" w14:textId="77777777" w:rsidR="000C2706" w:rsidRPr="000C2706" w:rsidRDefault="000C2706" w:rsidP="000C2706">
            <w:pPr>
              <w:spacing w:line="276" w:lineRule="auto"/>
              <w:jc w:val="both"/>
              <w:rPr>
                <w:sz w:val="16"/>
                <w:szCs w:val="16"/>
                <w:lang w:val="sq-AL"/>
              </w:rPr>
            </w:pPr>
            <w:r w:rsidRPr="000C2706">
              <w:rPr>
                <w:sz w:val="16"/>
                <w:szCs w:val="16"/>
                <w:lang w:val="sq-AL"/>
              </w:rPr>
              <w:t>Paga</w:t>
            </w:r>
          </w:p>
        </w:tc>
        <w:tc>
          <w:tcPr>
            <w:tcW w:w="1363" w:type="dxa"/>
            <w:tcBorders>
              <w:top w:val="nil"/>
              <w:left w:val="double" w:sz="6" w:space="0" w:color="auto"/>
              <w:bottom w:val="nil"/>
              <w:right w:val="single" w:sz="4" w:space="0" w:color="auto"/>
            </w:tcBorders>
            <w:noWrap/>
            <w:vAlign w:val="bottom"/>
            <w:hideMark/>
          </w:tcPr>
          <w:p w14:paraId="1C9B89E0" w14:textId="77777777" w:rsidR="000C2706" w:rsidRPr="000C2706" w:rsidRDefault="000C2706" w:rsidP="000C2706">
            <w:pPr>
              <w:spacing w:line="276" w:lineRule="auto"/>
              <w:jc w:val="both"/>
              <w:rPr>
                <w:sz w:val="16"/>
                <w:szCs w:val="16"/>
                <w:lang w:val="sq-AL"/>
              </w:rPr>
            </w:pPr>
            <w:r w:rsidRPr="000C2706">
              <w:rPr>
                <w:sz w:val="16"/>
                <w:szCs w:val="16"/>
                <w:lang w:val="sq-AL"/>
              </w:rPr>
              <w:t>109,450</w:t>
            </w:r>
          </w:p>
        </w:tc>
        <w:tc>
          <w:tcPr>
            <w:tcW w:w="804" w:type="dxa"/>
            <w:tcBorders>
              <w:top w:val="nil"/>
              <w:left w:val="nil"/>
              <w:bottom w:val="nil"/>
              <w:right w:val="double" w:sz="6" w:space="0" w:color="auto"/>
            </w:tcBorders>
            <w:noWrap/>
            <w:vAlign w:val="bottom"/>
            <w:hideMark/>
          </w:tcPr>
          <w:p w14:paraId="16050941" w14:textId="77777777" w:rsidR="000C2706" w:rsidRPr="000C2706" w:rsidRDefault="000C2706" w:rsidP="000C2706">
            <w:pPr>
              <w:spacing w:line="276" w:lineRule="auto"/>
              <w:jc w:val="both"/>
              <w:rPr>
                <w:sz w:val="16"/>
                <w:szCs w:val="16"/>
                <w:lang w:val="sq-AL"/>
              </w:rPr>
            </w:pPr>
            <w:r w:rsidRPr="000C2706">
              <w:rPr>
                <w:sz w:val="16"/>
                <w:szCs w:val="16"/>
                <w:lang w:val="sq-AL"/>
              </w:rPr>
              <w:t>4.0%</w:t>
            </w:r>
          </w:p>
        </w:tc>
        <w:tc>
          <w:tcPr>
            <w:tcW w:w="977" w:type="dxa"/>
            <w:tcBorders>
              <w:top w:val="nil"/>
              <w:left w:val="nil"/>
              <w:bottom w:val="nil"/>
              <w:right w:val="single" w:sz="4" w:space="0" w:color="auto"/>
            </w:tcBorders>
            <w:shd w:val="clear" w:color="auto" w:fill="FFFFFF" w:themeFill="background1"/>
            <w:noWrap/>
            <w:vAlign w:val="bottom"/>
            <w:hideMark/>
          </w:tcPr>
          <w:p w14:paraId="5A40C2E7" w14:textId="77777777" w:rsidR="000C2706" w:rsidRPr="000C2706" w:rsidRDefault="000C2706" w:rsidP="000C2706">
            <w:pPr>
              <w:spacing w:line="276" w:lineRule="auto"/>
              <w:jc w:val="both"/>
              <w:rPr>
                <w:sz w:val="16"/>
                <w:szCs w:val="16"/>
                <w:lang w:val="sq-AL"/>
              </w:rPr>
            </w:pPr>
            <w:r w:rsidRPr="000C2706">
              <w:rPr>
                <w:sz w:val="16"/>
                <w:szCs w:val="16"/>
                <w:lang w:val="sq-AL"/>
              </w:rPr>
              <w:t>119,463</w:t>
            </w:r>
          </w:p>
        </w:tc>
        <w:tc>
          <w:tcPr>
            <w:tcW w:w="804" w:type="dxa"/>
            <w:tcBorders>
              <w:top w:val="nil"/>
              <w:left w:val="nil"/>
              <w:bottom w:val="nil"/>
              <w:right w:val="double" w:sz="6" w:space="0" w:color="auto"/>
            </w:tcBorders>
            <w:shd w:val="clear" w:color="auto" w:fill="FFFFFF" w:themeFill="background1"/>
            <w:noWrap/>
            <w:vAlign w:val="bottom"/>
            <w:hideMark/>
          </w:tcPr>
          <w:p w14:paraId="0181EBEB" w14:textId="77777777" w:rsidR="000C2706" w:rsidRPr="000C2706" w:rsidRDefault="000C2706" w:rsidP="000C2706">
            <w:pPr>
              <w:spacing w:line="276" w:lineRule="auto"/>
              <w:jc w:val="both"/>
              <w:rPr>
                <w:sz w:val="16"/>
                <w:szCs w:val="16"/>
                <w:lang w:val="sq-AL"/>
              </w:rPr>
            </w:pPr>
            <w:r w:rsidRPr="000C2706">
              <w:rPr>
                <w:sz w:val="16"/>
                <w:szCs w:val="16"/>
                <w:lang w:val="sq-AL"/>
              </w:rPr>
              <w:t>4.3%</w:t>
            </w:r>
          </w:p>
        </w:tc>
        <w:tc>
          <w:tcPr>
            <w:tcW w:w="901" w:type="dxa"/>
            <w:tcBorders>
              <w:top w:val="nil"/>
              <w:left w:val="nil"/>
              <w:bottom w:val="nil"/>
              <w:right w:val="double" w:sz="6" w:space="0" w:color="auto"/>
            </w:tcBorders>
            <w:noWrap/>
            <w:vAlign w:val="bottom"/>
            <w:hideMark/>
          </w:tcPr>
          <w:p w14:paraId="70443B3C" w14:textId="77777777" w:rsidR="000C2706" w:rsidRPr="000C2706" w:rsidRDefault="000C2706" w:rsidP="000C2706">
            <w:pPr>
              <w:spacing w:line="276" w:lineRule="auto"/>
              <w:jc w:val="both"/>
              <w:rPr>
                <w:sz w:val="16"/>
                <w:szCs w:val="16"/>
                <w:lang w:val="sq-AL"/>
              </w:rPr>
            </w:pPr>
            <w:r w:rsidRPr="000C2706">
              <w:rPr>
                <w:sz w:val="16"/>
                <w:szCs w:val="16"/>
                <w:lang w:val="sq-AL"/>
              </w:rPr>
              <w:t>10,013</w:t>
            </w:r>
          </w:p>
        </w:tc>
        <w:tc>
          <w:tcPr>
            <w:tcW w:w="901" w:type="dxa"/>
            <w:tcBorders>
              <w:top w:val="nil"/>
              <w:left w:val="nil"/>
              <w:bottom w:val="nil"/>
              <w:right w:val="double" w:sz="6" w:space="0" w:color="auto"/>
            </w:tcBorders>
            <w:noWrap/>
            <w:vAlign w:val="bottom"/>
            <w:hideMark/>
          </w:tcPr>
          <w:p w14:paraId="04A154BA" w14:textId="77777777" w:rsidR="000C2706" w:rsidRPr="000C2706" w:rsidRDefault="000C2706" w:rsidP="000C2706">
            <w:pPr>
              <w:spacing w:line="276" w:lineRule="auto"/>
              <w:jc w:val="both"/>
              <w:rPr>
                <w:sz w:val="16"/>
                <w:szCs w:val="16"/>
                <w:lang w:val="sq-AL"/>
              </w:rPr>
            </w:pPr>
            <w:r w:rsidRPr="000C2706">
              <w:rPr>
                <w:sz w:val="16"/>
                <w:szCs w:val="16"/>
                <w:lang w:val="sq-AL"/>
              </w:rPr>
              <w:t>0.36%</w:t>
            </w:r>
          </w:p>
        </w:tc>
      </w:tr>
      <w:tr w:rsidR="000C2706" w:rsidRPr="000C2706" w14:paraId="4D7DF71C"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69ABA940"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7988F7F4" w14:textId="77777777" w:rsidR="000C2706" w:rsidRPr="000C2706" w:rsidRDefault="000C2706" w:rsidP="000C2706">
            <w:pPr>
              <w:spacing w:line="276" w:lineRule="auto"/>
              <w:jc w:val="both"/>
              <w:rPr>
                <w:sz w:val="16"/>
                <w:szCs w:val="16"/>
                <w:lang w:val="sq-AL"/>
              </w:rPr>
            </w:pPr>
            <w:r w:rsidRPr="000C2706">
              <w:rPr>
                <w:sz w:val="16"/>
                <w:szCs w:val="16"/>
                <w:lang w:val="sq-AL"/>
              </w:rPr>
              <w:t>Kontributi per Sigurime Shoqerore</w:t>
            </w:r>
          </w:p>
        </w:tc>
        <w:tc>
          <w:tcPr>
            <w:tcW w:w="1363" w:type="dxa"/>
            <w:tcBorders>
              <w:top w:val="nil"/>
              <w:left w:val="double" w:sz="6" w:space="0" w:color="auto"/>
              <w:bottom w:val="nil"/>
              <w:right w:val="single" w:sz="4" w:space="0" w:color="auto"/>
            </w:tcBorders>
            <w:noWrap/>
            <w:vAlign w:val="bottom"/>
            <w:hideMark/>
          </w:tcPr>
          <w:p w14:paraId="169D4793" w14:textId="77777777" w:rsidR="000C2706" w:rsidRPr="000C2706" w:rsidRDefault="000C2706" w:rsidP="000C2706">
            <w:pPr>
              <w:spacing w:line="276" w:lineRule="auto"/>
              <w:jc w:val="both"/>
              <w:rPr>
                <w:sz w:val="16"/>
                <w:szCs w:val="16"/>
                <w:lang w:val="sq-AL"/>
              </w:rPr>
            </w:pPr>
            <w:r w:rsidRPr="000C2706">
              <w:rPr>
                <w:sz w:val="16"/>
                <w:szCs w:val="16"/>
                <w:lang w:val="sq-AL"/>
              </w:rPr>
              <w:t>18,100</w:t>
            </w:r>
          </w:p>
        </w:tc>
        <w:tc>
          <w:tcPr>
            <w:tcW w:w="804" w:type="dxa"/>
            <w:tcBorders>
              <w:top w:val="nil"/>
              <w:left w:val="nil"/>
              <w:bottom w:val="nil"/>
              <w:right w:val="double" w:sz="6" w:space="0" w:color="auto"/>
            </w:tcBorders>
            <w:noWrap/>
            <w:vAlign w:val="bottom"/>
            <w:hideMark/>
          </w:tcPr>
          <w:p w14:paraId="2ACF96AA" w14:textId="77777777" w:rsidR="000C2706" w:rsidRPr="000C2706" w:rsidRDefault="000C2706" w:rsidP="000C2706">
            <w:pPr>
              <w:spacing w:line="276" w:lineRule="auto"/>
              <w:jc w:val="both"/>
              <w:rPr>
                <w:sz w:val="16"/>
                <w:szCs w:val="16"/>
                <w:lang w:val="sq-AL"/>
              </w:rPr>
            </w:pPr>
            <w:r w:rsidRPr="000C2706">
              <w:rPr>
                <w:sz w:val="16"/>
                <w:szCs w:val="16"/>
                <w:lang w:val="sq-AL"/>
              </w:rPr>
              <w:t>0.7%</w:t>
            </w:r>
          </w:p>
        </w:tc>
        <w:tc>
          <w:tcPr>
            <w:tcW w:w="977" w:type="dxa"/>
            <w:tcBorders>
              <w:top w:val="nil"/>
              <w:left w:val="nil"/>
              <w:bottom w:val="nil"/>
              <w:right w:val="single" w:sz="4" w:space="0" w:color="auto"/>
            </w:tcBorders>
            <w:shd w:val="clear" w:color="auto" w:fill="FFFFFF" w:themeFill="background1"/>
            <w:noWrap/>
            <w:vAlign w:val="bottom"/>
            <w:hideMark/>
          </w:tcPr>
          <w:p w14:paraId="78D3BD70" w14:textId="77777777" w:rsidR="000C2706" w:rsidRPr="000C2706" w:rsidRDefault="000C2706" w:rsidP="000C2706">
            <w:pPr>
              <w:spacing w:line="276" w:lineRule="auto"/>
              <w:jc w:val="both"/>
              <w:rPr>
                <w:sz w:val="16"/>
                <w:szCs w:val="16"/>
                <w:lang w:val="sq-AL"/>
              </w:rPr>
            </w:pPr>
            <w:r w:rsidRPr="000C2706">
              <w:rPr>
                <w:sz w:val="16"/>
                <w:szCs w:val="16"/>
                <w:lang w:val="sq-AL"/>
              </w:rPr>
              <w:t>19,177</w:t>
            </w:r>
          </w:p>
        </w:tc>
        <w:tc>
          <w:tcPr>
            <w:tcW w:w="804" w:type="dxa"/>
            <w:tcBorders>
              <w:top w:val="nil"/>
              <w:left w:val="nil"/>
              <w:bottom w:val="nil"/>
              <w:right w:val="double" w:sz="6" w:space="0" w:color="auto"/>
            </w:tcBorders>
            <w:shd w:val="clear" w:color="auto" w:fill="FFFFFF" w:themeFill="background1"/>
            <w:noWrap/>
            <w:vAlign w:val="bottom"/>
            <w:hideMark/>
          </w:tcPr>
          <w:p w14:paraId="6E176F0A" w14:textId="77777777" w:rsidR="000C2706" w:rsidRPr="000C2706" w:rsidRDefault="000C2706" w:rsidP="000C2706">
            <w:pPr>
              <w:spacing w:line="276" w:lineRule="auto"/>
              <w:jc w:val="both"/>
              <w:rPr>
                <w:sz w:val="16"/>
                <w:szCs w:val="16"/>
                <w:lang w:val="sq-AL"/>
              </w:rPr>
            </w:pPr>
            <w:r w:rsidRPr="000C2706">
              <w:rPr>
                <w:sz w:val="16"/>
                <w:szCs w:val="16"/>
                <w:lang w:val="sq-AL"/>
              </w:rPr>
              <w:t>0.7%</w:t>
            </w:r>
          </w:p>
        </w:tc>
        <w:tc>
          <w:tcPr>
            <w:tcW w:w="901" w:type="dxa"/>
            <w:tcBorders>
              <w:top w:val="nil"/>
              <w:left w:val="nil"/>
              <w:bottom w:val="nil"/>
              <w:right w:val="double" w:sz="6" w:space="0" w:color="auto"/>
            </w:tcBorders>
            <w:noWrap/>
            <w:vAlign w:val="bottom"/>
            <w:hideMark/>
          </w:tcPr>
          <w:p w14:paraId="140BCE7E" w14:textId="77777777" w:rsidR="000C2706" w:rsidRPr="000C2706" w:rsidRDefault="000C2706" w:rsidP="000C2706">
            <w:pPr>
              <w:spacing w:line="276" w:lineRule="auto"/>
              <w:jc w:val="both"/>
              <w:rPr>
                <w:sz w:val="16"/>
                <w:szCs w:val="16"/>
                <w:lang w:val="sq-AL"/>
              </w:rPr>
            </w:pPr>
            <w:r w:rsidRPr="000C2706">
              <w:rPr>
                <w:sz w:val="16"/>
                <w:szCs w:val="16"/>
                <w:lang w:val="sq-AL"/>
              </w:rPr>
              <w:t>1,077</w:t>
            </w:r>
          </w:p>
        </w:tc>
        <w:tc>
          <w:tcPr>
            <w:tcW w:w="901" w:type="dxa"/>
            <w:tcBorders>
              <w:top w:val="nil"/>
              <w:left w:val="nil"/>
              <w:bottom w:val="nil"/>
              <w:right w:val="double" w:sz="6" w:space="0" w:color="auto"/>
            </w:tcBorders>
            <w:noWrap/>
            <w:vAlign w:val="bottom"/>
            <w:hideMark/>
          </w:tcPr>
          <w:p w14:paraId="23FD74FE"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789EBB31"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747DC7E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186B0E36" w14:textId="77777777" w:rsidR="000C2706" w:rsidRPr="000C2706" w:rsidRDefault="000C2706" w:rsidP="000C2706">
            <w:pPr>
              <w:spacing w:line="276" w:lineRule="auto"/>
              <w:jc w:val="both"/>
              <w:rPr>
                <w:sz w:val="16"/>
                <w:szCs w:val="16"/>
                <w:lang w:val="sq-AL"/>
              </w:rPr>
            </w:pPr>
            <w:r w:rsidRPr="000C2706">
              <w:rPr>
                <w:sz w:val="16"/>
                <w:szCs w:val="16"/>
                <w:lang w:val="sq-AL"/>
              </w:rPr>
              <w:t>Fondi i vecante i pagave</w:t>
            </w:r>
          </w:p>
        </w:tc>
        <w:tc>
          <w:tcPr>
            <w:tcW w:w="1363" w:type="dxa"/>
            <w:tcBorders>
              <w:top w:val="nil"/>
              <w:left w:val="double" w:sz="6" w:space="0" w:color="auto"/>
              <w:bottom w:val="nil"/>
              <w:right w:val="single" w:sz="4" w:space="0" w:color="auto"/>
            </w:tcBorders>
            <w:noWrap/>
            <w:vAlign w:val="bottom"/>
            <w:hideMark/>
          </w:tcPr>
          <w:p w14:paraId="5E0CFC11" w14:textId="77777777" w:rsidR="000C2706" w:rsidRPr="000C2706" w:rsidRDefault="000C2706" w:rsidP="000C2706">
            <w:pPr>
              <w:spacing w:line="276" w:lineRule="auto"/>
              <w:jc w:val="both"/>
              <w:rPr>
                <w:sz w:val="16"/>
                <w:szCs w:val="16"/>
                <w:lang w:val="sq-AL"/>
              </w:rPr>
            </w:pPr>
            <w:r w:rsidRPr="000C2706">
              <w:rPr>
                <w:sz w:val="16"/>
                <w:szCs w:val="16"/>
                <w:lang w:val="sq-AL"/>
              </w:rPr>
              <w:t>500</w:t>
            </w:r>
          </w:p>
        </w:tc>
        <w:tc>
          <w:tcPr>
            <w:tcW w:w="804" w:type="dxa"/>
            <w:tcBorders>
              <w:top w:val="nil"/>
              <w:left w:val="nil"/>
              <w:bottom w:val="nil"/>
              <w:right w:val="double" w:sz="6" w:space="0" w:color="auto"/>
            </w:tcBorders>
            <w:noWrap/>
            <w:vAlign w:val="bottom"/>
            <w:hideMark/>
          </w:tcPr>
          <w:p w14:paraId="332EF8D6"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2C0CE95C" w14:textId="77777777" w:rsidR="000C2706" w:rsidRPr="000C2706" w:rsidRDefault="000C2706" w:rsidP="000C2706">
            <w:pPr>
              <w:spacing w:line="276" w:lineRule="auto"/>
              <w:jc w:val="both"/>
              <w:rPr>
                <w:sz w:val="16"/>
                <w:szCs w:val="16"/>
                <w:lang w:val="sq-AL"/>
              </w:rPr>
            </w:pPr>
            <w:r w:rsidRPr="000C2706">
              <w:rPr>
                <w:sz w:val="16"/>
                <w:szCs w:val="16"/>
                <w:lang w:val="sq-AL"/>
              </w:rPr>
              <w:t>500</w:t>
            </w:r>
          </w:p>
        </w:tc>
        <w:tc>
          <w:tcPr>
            <w:tcW w:w="804" w:type="dxa"/>
            <w:tcBorders>
              <w:top w:val="nil"/>
              <w:left w:val="nil"/>
              <w:bottom w:val="nil"/>
              <w:right w:val="double" w:sz="6" w:space="0" w:color="auto"/>
            </w:tcBorders>
            <w:shd w:val="clear" w:color="auto" w:fill="FFFFFF" w:themeFill="background1"/>
            <w:noWrap/>
            <w:vAlign w:val="bottom"/>
            <w:hideMark/>
          </w:tcPr>
          <w:p w14:paraId="06612A12"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58979821"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4AB40E8B"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0742BF26"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7C8038B0"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5E0BBBBC" w14:textId="77777777" w:rsidR="000C2706" w:rsidRPr="000C2706" w:rsidRDefault="000C2706" w:rsidP="000C2706">
            <w:pPr>
              <w:spacing w:line="276" w:lineRule="auto"/>
              <w:jc w:val="both"/>
              <w:rPr>
                <w:sz w:val="16"/>
                <w:szCs w:val="16"/>
                <w:lang w:val="sq-AL"/>
              </w:rPr>
            </w:pPr>
            <w:r w:rsidRPr="000C2706">
              <w:rPr>
                <w:sz w:val="16"/>
                <w:szCs w:val="16"/>
                <w:lang w:val="sq-AL"/>
              </w:rPr>
              <w:t xml:space="preserve">Politika te reja pagash </w:t>
            </w:r>
          </w:p>
        </w:tc>
        <w:tc>
          <w:tcPr>
            <w:tcW w:w="1363" w:type="dxa"/>
            <w:tcBorders>
              <w:top w:val="nil"/>
              <w:left w:val="double" w:sz="6" w:space="0" w:color="auto"/>
              <w:bottom w:val="nil"/>
              <w:right w:val="single" w:sz="4" w:space="0" w:color="auto"/>
            </w:tcBorders>
            <w:noWrap/>
            <w:vAlign w:val="bottom"/>
            <w:hideMark/>
          </w:tcPr>
          <w:p w14:paraId="032E089F"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804" w:type="dxa"/>
            <w:tcBorders>
              <w:top w:val="nil"/>
              <w:left w:val="nil"/>
              <w:bottom w:val="nil"/>
              <w:right w:val="double" w:sz="6" w:space="0" w:color="auto"/>
            </w:tcBorders>
            <w:noWrap/>
            <w:vAlign w:val="bottom"/>
            <w:hideMark/>
          </w:tcPr>
          <w:p w14:paraId="180D6FC4"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568567EE"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804" w:type="dxa"/>
            <w:tcBorders>
              <w:top w:val="nil"/>
              <w:left w:val="nil"/>
              <w:bottom w:val="nil"/>
              <w:right w:val="double" w:sz="6" w:space="0" w:color="auto"/>
            </w:tcBorders>
            <w:shd w:val="clear" w:color="auto" w:fill="FFFFFF" w:themeFill="background1"/>
            <w:noWrap/>
            <w:vAlign w:val="bottom"/>
            <w:hideMark/>
          </w:tcPr>
          <w:p w14:paraId="56F0E901"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7327B981"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56048A84"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23B5F153"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26ABDC70"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2A34810B" w14:textId="77777777" w:rsidR="000C2706" w:rsidRPr="000C2706" w:rsidRDefault="000C2706" w:rsidP="000C2706">
            <w:pPr>
              <w:spacing w:line="276" w:lineRule="auto"/>
              <w:jc w:val="both"/>
              <w:rPr>
                <w:sz w:val="16"/>
                <w:szCs w:val="16"/>
                <w:lang w:val="sq-AL"/>
              </w:rPr>
            </w:pPr>
            <w:r w:rsidRPr="000C2706">
              <w:rPr>
                <w:sz w:val="16"/>
                <w:szCs w:val="16"/>
                <w:lang w:val="sq-AL"/>
              </w:rPr>
              <w:t>Indeksimi i Pagave</w:t>
            </w:r>
          </w:p>
        </w:tc>
        <w:tc>
          <w:tcPr>
            <w:tcW w:w="1363" w:type="dxa"/>
            <w:tcBorders>
              <w:top w:val="nil"/>
              <w:left w:val="double" w:sz="6" w:space="0" w:color="auto"/>
              <w:bottom w:val="nil"/>
              <w:right w:val="single" w:sz="4" w:space="0" w:color="auto"/>
            </w:tcBorders>
            <w:noWrap/>
            <w:vAlign w:val="bottom"/>
            <w:hideMark/>
          </w:tcPr>
          <w:p w14:paraId="3B4739FE" w14:textId="77777777" w:rsidR="000C2706" w:rsidRPr="000C2706" w:rsidRDefault="000C2706" w:rsidP="000C2706">
            <w:pPr>
              <w:spacing w:line="276" w:lineRule="auto"/>
              <w:jc w:val="both"/>
              <w:rPr>
                <w:sz w:val="16"/>
                <w:szCs w:val="16"/>
                <w:lang w:val="sq-AL"/>
              </w:rPr>
            </w:pPr>
            <w:r w:rsidRPr="000C2706">
              <w:rPr>
                <w:sz w:val="16"/>
                <w:szCs w:val="16"/>
                <w:lang w:val="sq-AL"/>
              </w:rPr>
              <w:t>4,019</w:t>
            </w:r>
          </w:p>
        </w:tc>
        <w:tc>
          <w:tcPr>
            <w:tcW w:w="804" w:type="dxa"/>
            <w:tcBorders>
              <w:top w:val="nil"/>
              <w:left w:val="nil"/>
              <w:bottom w:val="nil"/>
              <w:right w:val="double" w:sz="6" w:space="0" w:color="auto"/>
            </w:tcBorders>
            <w:noWrap/>
            <w:vAlign w:val="bottom"/>
            <w:hideMark/>
          </w:tcPr>
          <w:p w14:paraId="3688AB8D"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342A17BD"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804" w:type="dxa"/>
            <w:tcBorders>
              <w:top w:val="nil"/>
              <w:left w:val="nil"/>
              <w:bottom w:val="nil"/>
              <w:right w:val="double" w:sz="6" w:space="0" w:color="auto"/>
            </w:tcBorders>
            <w:shd w:val="clear" w:color="auto" w:fill="FFFFFF" w:themeFill="background1"/>
            <w:noWrap/>
            <w:vAlign w:val="bottom"/>
            <w:hideMark/>
          </w:tcPr>
          <w:p w14:paraId="4DDD8D7E"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478A00D3" w14:textId="77777777" w:rsidR="000C2706" w:rsidRPr="000C2706" w:rsidRDefault="000C2706" w:rsidP="000C2706">
            <w:pPr>
              <w:spacing w:line="276" w:lineRule="auto"/>
              <w:jc w:val="both"/>
              <w:rPr>
                <w:sz w:val="16"/>
                <w:szCs w:val="16"/>
                <w:lang w:val="sq-AL"/>
              </w:rPr>
            </w:pPr>
            <w:r w:rsidRPr="000C2706">
              <w:rPr>
                <w:sz w:val="16"/>
                <w:szCs w:val="16"/>
                <w:lang w:val="sq-AL"/>
              </w:rPr>
              <w:t>-4,019</w:t>
            </w:r>
          </w:p>
        </w:tc>
        <w:tc>
          <w:tcPr>
            <w:tcW w:w="901" w:type="dxa"/>
            <w:tcBorders>
              <w:top w:val="nil"/>
              <w:left w:val="nil"/>
              <w:bottom w:val="nil"/>
              <w:right w:val="double" w:sz="6" w:space="0" w:color="auto"/>
            </w:tcBorders>
            <w:noWrap/>
            <w:vAlign w:val="bottom"/>
            <w:hideMark/>
          </w:tcPr>
          <w:p w14:paraId="144E87A1" w14:textId="77777777" w:rsidR="000C2706" w:rsidRPr="000C2706" w:rsidRDefault="000C2706" w:rsidP="000C2706">
            <w:pPr>
              <w:spacing w:line="276" w:lineRule="auto"/>
              <w:jc w:val="both"/>
              <w:rPr>
                <w:sz w:val="16"/>
                <w:szCs w:val="16"/>
                <w:lang w:val="sq-AL"/>
              </w:rPr>
            </w:pPr>
            <w:r w:rsidRPr="000C2706">
              <w:rPr>
                <w:sz w:val="16"/>
                <w:szCs w:val="16"/>
                <w:lang w:val="sq-AL"/>
              </w:rPr>
              <w:t>-0.14%</w:t>
            </w:r>
          </w:p>
        </w:tc>
      </w:tr>
      <w:tr w:rsidR="000C2706" w:rsidRPr="000C2706" w14:paraId="38868BC2"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15F7BBB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5BE94F05" w14:textId="77777777" w:rsidR="000C2706" w:rsidRPr="000C2706" w:rsidRDefault="000C2706" w:rsidP="000C2706">
            <w:pPr>
              <w:spacing w:line="276" w:lineRule="auto"/>
              <w:jc w:val="both"/>
              <w:rPr>
                <w:sz w:val="16"/>
                <w:szCs w:val="16"/>
                <w:lang w:val="sq-AL"/>
              </w:rPr>
            </w:pPr>
            <w:r w:rsidRPr="000C2706">
              <w:rPr>
                <w:sz w:val="16"/>
                <w:szCs w:val="16"/>
                <w:lang w:val="sq-AL"/>
              </w:rPr>
              <w:t>Arsimi i Larte nga te ardhurat e veta</w:t>
            </w:r>
          </w:p>
        </w:tc>
        <w:tc>
          <w:tcPr>
            <w:tcW w:w="1363" w:type="dxa"/>
            <w:tcBorders>
              <w:top w:val="nil"/>
              <w:left w:val="double" w:sz="6" w:space="0" w:color="auto"/>
              <w:bottom w:val="nil"/>
              <w:right w:val="single" w:sz="4" w:space="0" w:color="auto"/>
            </w:tcBorders>
            <w:noWrap/>
            <w:vAlign w:val="bottom"/>
            <w:hideMark/>
          </w:tcPr>
          <w:p w14:paraId="2089501B" w14:textId="77777777" w:rsidR="000C2706" w:rsidRPr="000C2706" w:rsidRDefault="000C2706" w:rsidP="000C2706">
            <w:pPr>
              <w:spacing w:line="276" w:lineRule="auto"/>
              <w:jc w:val="both"/>
              <w:rPr>
                <w:sz w:val="16"/>
                <w:szCs w:val="16"/>
                <w:lang w:val="sq-AL"/>
              </w:rPr>
            </w:pPr>
            <w:r w:rsidRPr="000C2706">
              <w:rPr>
                <w:sz w:val="16"/>
                <w:szCs w:val="16"/>
                <w:lang w:val="sq-AL"/>
              </w:rPr>
              <w:t>1,000</w:t>
            </w:r>
          </w:p>
        </w:tc>
        <w:tc>
          <w:tcPr>
            <w:tcW w:w="804" w:type="dxa"/>
            <w:tcBorders>
              <w:top w:val="nil"/>
              <w:left w:val="nil"/>
              <w:bottom w:val="nil"/>
              <w:right w:val="double" w:sz="6" w:space="0" w:color="auto"/>
            </w:tcBorders>
            <w:noWrap/>
            <w:vAlign w:val="bottom"/>
            <w:hideMark/>
          </w:tcPr>
          <w:p w14:paraId="4ED2D4C1"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0938CBC1" w14:textId="77777777" w:rsidR="000C2706" w:rsidRPr="000C2706" w:rsidRDefault="000C2706" w:rsidP="000C2706">
            <w:pPr>
              <w:spacing w:line="276" w:lineRule="auto"/>
              <w:jc w:val="both"/>
              <w:rPr>
                <w:sz w:val="16"/>
                <w:szCs w:val="16"/>
                <w:lang w:val="sq-AL"/>
              </w:rPr>
            </w:pPr>
            <w:r w:rsidRPr="000C2706">
              <w:rPr>
                <w:sz w:val="16"/>
                <w:szCs w:val="16"/>
                <w:lang w:val="sq-AL"/>
              </w:rPr>
              <w:t>1,000</w:t>
            </w:r>
          </w:p>
        </w:tc>
        <w:tc>
          <w:tcPr>
            <w:tcW w:w="804" w:type="dxa"/>
            <w:tcBorders>
              <w:top w:val="nil"/>
              <w:left w:val="nil"/>
              <w:bottom w:val="nil"/>
              <w:right w:val="double" w:sz="6" w:space="0" w:color="auto"/>
            </w:tcBorders>
            <w:shd w:val="clear" w:color="auto" w:fill="FFFFFF" w:themeFill="background1"/>
            <w:noWrap/>
            <w:vAlign w:val="bottom"/>
            <w:hideMark/>
          </w:tcPr>
          <w:p w14:paraId="62ED6435"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482A2ED4"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1553523C" w14:textId="77777777" w:rsidR="000C2706" w:rsidRPr="000C2706" w:rsidRDefault="000C2706" w:rsidP="000C2706">
            <w:pPr>
              <w:spacing w:line="276" w:lineRule="auto"/>
              <w:jc w:val="both"/>
              <w:rPr>
                <w:sz w:val="16"/>
                <w:szCs w:val="16"/>
                <w:lang w:val="sq-AL"/>
              </w:rPr>
            </w:pPr>
            <w:r w:rsidRPr="000C2706">
              <w:rPr>
                <w:sz w:val="16"/>
                <w:szCs w:val="16"/>
                <w:lang w:val="sq-AL"/>
              </w:rPr>
              <w:t>0</w:t>
            </w:r>
          </w:p>
        </w:tc>
      </w:tr>
      <w:tr w:rsidR="000C2706" w:rsidRPr="000C2706" w14:paraId="485FCE72"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1CAC61A7"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2 </w:t>
            </w:r>
          </w:p>
        </w:tc>
        <w:tc>
          <w:tcPr>
            <w:tcW w:w="3689" w:type="dxa"/>
            <w:tcBorders>
              <w:top w:val="nil"/>
              <w:left w:val="nil"/>
              <w:bottom w:val="nil"/>
              <w:right w:val="nil"/>
            </w:tcBorders>
            <w:noWrap/>
            <w:vAlign w:val="bottom"/>
            <w:hideMark/>
          </w:tcPr>
          <w:p w14:paraId="1C2B04C8" w14:textId="77777777" w:rsidR="000C2706" w:rsidRPr="000C2706" w:rsidRDefault="000C2706" w:rsidP="000C2706">
            <w:pPr>
              <w:spacing w:line="276" w:lineRule="auto"/>
              <w:jc w:val="both"/>
              <w:rPr>
                <w:b/>
                <w:bCs/>
                <w:sz w:val="16"/>
                <w:szCs w:val="16"/>
                <w:lang w:val="sq-AL"/>
              </w:rPr>
            </w:pPr>
            <w:r w:rsidRPr="000C2706">
              <w:rPr>
                <w:b/>
                <w:bCs/>
                <w:sz w:val="16"/>
                <w:szCs w:val="16"/>
                <w:lang w:val="sq-AL"/>
              </w:rPr>
              <w:t>Shpenzime Operative Mirembajtje nga te cilat:</w:t>
            </w:r>
          </w:p>
        </w:tc>
        <w:tc>
          <w:tcPr>
            <w:tcW w:w="1363" w:type="dxa"/>
            <w:tcBorders>
              <w:top w:val="nil"/>
              <w:left w:val="double" w:sz="6" w:space="0" w:color="auto"/>
              <w:bottom w:val="nil"/>
              <w:right w:val="single" w:sz="4" w:space="0" w:color="auto"/>
            </w:tcBorders>
            <w:noWrap/>
            <w:vAlign w:val="bottom"/>
            <w:hideMark/>
          </w:tcPr>
          <w:p w14:paraId="39634094" w14:textId="77777777" w:rsidR="000C2706" w:rsidRPr="000C2706" w:rsidRDefault="000C2706" w:rsidP="000C2706">
            <w:pPr>
              <w:spacing w:line="276" w:lineRule="auto"/>
              <w:jc w:val="both"/>
              <w:rPr>
                <w:b/>
                <w:bCs/>
                <w:sz w:val="20"/>
                <w:szCs w:val="20"/>
                <w:lang w:val="sq-AL"/>
              </w:rPr>
            </w:pPr>
            <w:r w:rsidRPr="000C2706">
              <w:rPr>
                <w:b/>
                <w:bCs/>
                <w:sz w:val="20"/>
                <w:szCs w:val="20"/>
                <w:lang w:val="sq-AL"/>
              </w:rPr>
              <w:t>76,551</w:t>
            </w:r>
          </w:p>
        </w:tc>
        <w:tc>
          <w:tcPr>
            <w:tcW w:w="804" w:type="dxa"/>
            <w:tcBorders>
              <w:top w:val="nil"/>
              <w:left w:val="nil"/>
              <w:bottom w:val="nil"/>
              <w:right w:val="double" w:sz="6" w:space="0" w:color="auto"/>
            </w:tcBorders>
            <w:noWrap/>
            <w:vAlign w:val="bottom"/>
            <w:hideMark/>
          </w:tcPr>
          <w:p w14:paraId="2FB13207"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2.8%</w:t>
            </w:r>
          </w:p>
        </w:tc>
        <w:tc>
          <w:tcPr>
            <w:tcW w:w="977" w:type="dxa"/>
            <w:tcBorders>
              <w:top w:val="nil"/>
              <w:left w:val="nil"/>
              <w:bottom w:val="nil"/>
              <w:right w:val="single" w:sz="4" w:space="0" w:color="auto"/>
            </w:tcBorders>
            <w:shd w:val="clear" w:color="auto" w:fill="FFFFFF" w:themeFill="background1"/>
            <w:noWrap/>
            <w:vAlign w:val="bottom"/>
            <w:hideMark/>
          </w:tcPr>
          <w:p w14:paraId="3BD8FC3A" w14:textId="77777777" w:rsidR="000C2706" w:rsidRPr="000C2706" w:rsidRDefault="000C2706" w:rsidP="000C2706">
            <w:pPr>
              <w:spacing w:line="276" w:lineRule="auto"/>
              <w:jc w:val="both"/>
              <w:rPr>
                <w:b/>
                <w:bCs/>
                <w:sz w:val="20"/>
                <w:szCs w:val="20"/>
                <w:lang w:val="sq-AL"/>
              </w:rPr>
            </w:pPr>
            <w:r w:rsidRPr="000C2706">
              <w:rPr>
                <w:b/>
                <w:bCs/>
                <w:sz w:val="20"/>
                <w:szCs w:val="20"/>
                <w:lang w:val="sq-AL"/>
              </w:rPr>
              <w:t>84,605</w:t>
            </w:r>
          </w:p>
        </w:tc>
        <w:tc>
          <w:tcPr>
            <w:tcW w:w="804" w:type="dxa"/>
            <w:tcBorders>
              <w:top w:val="nil"/>
              <w:left w:val="nil"/>
              <w:bottom w:val="nil"/>
              <w:right w:val="double" w:sz="6" w:space="0" w:color="auto"/>
            </w:tcBorders>
            <w:shd w:val="clear" w:color="auto" w:fill="FFFFFF" w:themeFill="background1"/>
            <w:noWrap/>
            <w:vAlign w:val="bottom"/>
            <w:hideMark/>
          </w:tcPr>
          <w:p w14:paraId="0E511411" w14:textId="77777777" w:rsidR="000C2706" w:rsidRPr="000C2706" w:rsidRDefault="000C2706" w:rsidP="000C2706">
            <w:pPr>
              <w:spacing w:line="276" w:lineRule="auto"/>
              <w:jc w:val="both"/>
              <w:rPr>
                <w:b/>
                <w:bCs/>
                <w:sz w:val="20"/>
                <w:szCs w:val="20"/>
                <w:lang w:val="sq-AL"/>
              </w:rPr>
            </w:pPr>
            <w:r w:rsidRPr="000C2706">
              <w:rPr>
                <w:b/>
                <w:bCs/>
                <w:sz w:val="20"/>
                <w:szCs w:val="20"/>
                <w:lang w:val="sq-AL"/>
              </w:rPr>
              <w:t>3.0%</w:t>
            </w:r>
          </w:p>
        </w:tc>
        <w:tc>
          <w:tcPr>
            <w:tcW w:w="901" w:type="dxa"/>
            <w:tcBorders>
              <w:top w:val="nil"/>
              <w:left w:val="nil"/>
              <w:bottom w:val="nil"/>
              <w:right w:val="double" w:sz="6" w:space="0" w:color="auto"/>
            </w:tcBorders>
            <w:noWrap/>
            <w:vAlign w:val="bottom"/>
            <w:hideMark/>
          </w:tcPr>
          <w:p w14:paraId="577B7F3B" w14:textId="77777777" w:rsidR="000C2706" w:rsidRPr="000C2706" w:rsidRDefault="000C2706" w:rsidP="000C2706">
            <w:pPr>
              <w:spacing w:line="276" w:lineRule="auto"/>
              <w:jc w:val="both"/>
              <w:rPr>
                <w:b/>
                <w:bCs/>
                <w:sz w:val="20"/>
                <w:szCs w:val="20"/>
                <w:lang w:val="sq-AL"/>
              </w:rPr>
            </w:pPr>
            <w:r w:rsidRPr="000C2706">
              <w:rPr>
                <w:b/>
                <w:bCs/>
                <w:sz w:val="20"/>
                <w:szCs w:val="20"/>
                <w:lang w:val="sq-AL"/>
              </w:rPr>
              <w:t>8,054</w:t>
            </w:r>
          </w:p>
        </w:tc>
        <w:tc>
          <w:tcPr>
            <w:tcW w:w="901" w:type="dxa"/>
            <w:tcBorders>
              <w:top w:val="nil"/>
              <w:left w:val="nil"/>
              <w:bottom w:val="nil"/>
              <w:right w:val="double" w:sz="6" w:space="0" w:color="auto"/>
            </w:tcBorders>
            <w:noWrap/>
            <w:vAlign w:val="bottom"/>
            <w:hideMark/>
          </w:tcPr>
          <w:p w14:paraId="37CCD6F9"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0.29%</w:t>
            </w:r>
          </w:p>
        </w:tc>
      </w:tr>
      <w:tr w:rsidR="000C2706" w:rsidRPr="000C2706" w14:paraId="43ED51C5"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1E7FC9E7"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27715845" w14:textId="77777777" w:rsidR="000C2706" w:rsidRPr="000C2706" w:rsidRDefault="000C2706" w:rsidP="000C2706">
            <w:pPr>
              <w:spacing w:line="276" w:lineRule="auto"/>
              <w:jc w:val="both"/>
              <w:rPr>
                <w:sz w:val="16"/>
                <w:szCs w:val="16"/>
                <w:lang w:val="sq-AL"/>
              </w:rPr>
            </w:pPr>
            <w:r w:rsidRPr="000C2706">
              <w:rPr>
                <w:sz w:val="16"/>
                <w:szCs w:val="16"/>
                <w:lang w:val="sq-AL"/>
              </w:rPr>
              <w:t>Te qeverisjes qendrore</w:t>
            </w:r>
          </w:p>
        </w:tc>
        <w:tc>
          <w:tcPr>
            <w:tcW w:w="1363" w:type="dxa"/>
            <w:tcBorders>
              <w:top w:val="nil"/>
              <w:left w:val="double" w:sz="6" w:space="0" w:color="auto"/>
              <w:bottom w:val="nil"/>
              <w:right w:val="single" w:sz="4" w:space="0" w:color="auto"/>
            </w:tcBorders>
            <w:noWrap/>
            <w:vAlign w:val="bottom"/>
            <w:hideMark/>
          </w:tcPr>
          <w:p w14:paraId="42540F21" w14:textId="77777777" w:rsidR="000C2706" w:rsidRPr="000C2706" w:rsidRDefault="000C2706" w:rsidP="000C2706">
            <w:pPr>
              <w:spacing w:line="276" w:lineRule="auto"/>
              <w:jc w:val="both"/>
              <w:rPr>
                <w:sz w:val="16"/>
                <w:szCs w:val="16"/>
                <w:lang w:val="sq-AL"/>
              </w:rPr>
            </w:pPr>
            <w:r w:rsidRPr="000C2706">
              <w:rPr>
                <w:sz w:val="16"/>
                <w:szCs w:val="16"/>
                <w:lang w:val="sq-AL"/>
              </w:rPr>
              <w:t>72,651</w:t>
            </w:r>
          </w:p>
        </w:tc>
        <w:tc>
          <w:tcPr>
            <w:tcW w:w="804" w:type="dxa"/>
            <w:tcBorders>
              <w:top w:val="nil"/>
              <w:left w:val="nil"/>
              <w:bottom w:val="nil"/>
              <w:right w:val="double" w:sz="6" w:space="0" w:color="auto"/>
            </w:tcBorders>
            <w:noWrap/>
            <w:vAlign w:val="bottom"/>
            <w:hideMark/>
          </w:tcPr>
          <w:p w14:paraId="2DD54A71" w14:textId="77777777" w:rsidR="000C2706" w:rsidRPr="000C2706" w:rsidRDefault="000C2706" w:rsidP="000C2706">
            <w:pPr>
              <w:spacing w:line="276" w:lineRule="auto"/>
              <w:jc w:val="both"/>
              <w:rPr>
                <w:sz w:val="16"/>
                <w:szCs w:val="16"/>
                <w:lang w:val="sq-AL"/>
              </w:rPr>
            </w:pPr>
            <w:r w:rsidRPr="000C2706">
              <w:rPr>
                <w:sz w:val="16"/>
                <w:szCs w:val="16"/>
                <w:lang w:val="sq-AL"/>
              </w:rPr>
              <w:t>2.6%</w:t>
            </w:r>
          </w:p>
        </w:tc>
        <w:tc>
          <w:tcPr>
            <w:tcW w:w="977" w:type="dxa"/>
            <w:tcBorders>
              <w:top w:val="nil"/>
              <w:left w:val="nil"/>
              <w:bottom w:val="nil"/>
              <w:right w:val="single" w:sz="4" w:space="0" w:color="auto"/>
            </w:tcBorders>
            <w:shd w:val="clear" w:color="auto" w:fill="FFFFFF" w:themeFill="background1"/>
            <w:noWrap/>
            <w:vAlign w:val="bottom"/>
            <w:hideMark/>
          </w:tcPr>
          <w:p w14:paraId="6A95A8A4" w14:textId="77777777" w:rsidR="000C2706" w:rsidRPr="000C2706" w:rsidRDefault="000C2706" w:rsidP="000C2706">
            <w:pPr>
              <w:spacing w:line="276" w:lineRule="auto"/>
              <w:jc w:val="both"/>
              <w:rPr>
                <w:sz w:val="16"/>
                <w:szCs w:val="16"/>
                <w:lang w:val="sq-AL"/>
              </w:rPr>
            </w:pPr>
            <w:r w:rsidRPr="000C2706">
              <w:rPr>
                <w:sz w:val="16"/>
                <w:szCs w:val="16"/>
                <w:lang w:val="sq-AL"/>
              </w:rPr>
              <w:t>80,705</w:t>
            </w:r>
          </w:p>
        </w:tc>
        <w:tc>
          <w:tcPr>
            <w:tcW w:w="804" w:type="dxa"/>
            <w:tcBorders>
              <w:top w:val="nil"/>
              <w:left w:val="nil"/>
              <w:bottom w:val="nil"/>
              <w:right w:val="double" w:sz="6" w:space="0" w:color="auto"/>
            </w:tcBorders>
            <w:shd w:val="clear" w:color="auto" w:fill="FFFFFF" w:themeFill="background1"/>
            <w:noWrap/>
            <w:vAlign w:val="bottom"/>
            <w:hideMark/>
          </w:tcPr>
          <w:p w14:paraId="0A738262" w14:textId="77777777" w:rsidR="000C2706" w:rsidRPr="000C2706" w:rsidRDefault="000C2706" w:rsidP="000C2706">
            <w:pPr>
              <w:spacing w:line="276" w:lineRule="auto"/>
              <w:jc w:val="both"/>
              <w:rPr>
                <w:sz w:val="16"/>
                <w:szCs w:val="16"/>
                <w:lang w:val="sq-AL"/>
              </w:rPr>
            </w:pPr>
            <w:r w:rsidRPr="000C2706">
              <w:rPr>
                <w:sz w:val="16"/>
                <w:szCs w:val="16"/>
                <w:lang w:val="sq-AL"/>
              </w:rPr>
              <w:t>2.9%</w:t>
            </w:r>
          </w:p>
        </w:tc>
        <w:tc>
          <w:tcPr>
            <w:tcW w:w="901" w:type="dxa"/>
            <w:tcBorders>
              <w:top w:val="nil"/>
              <w:left w:val="nil"/>
              <w:bottom w:val="nil"/>
              <w:right w:val="double" w:sz="6" w:space="0" w:color="auto"/>
            </w:tcBorders>
            <w:noWrap/>
            <w:vAlign w:val="bottom"/>
            <w:hideMark/>
          </w:tcPr>
          <w:p w14:paraId="0C5DA52C" w14:textId="77777777" w:rsidR="000C2706" w:rsidRPr="000C2706" w:rsidRDefault="000C2706" w:rsidP="000C2706">
            <w:pPr>
              <w:spacing w:line="276" w:lineRule="auto"/>
              <w:jc w:val="both"/>
              <w:rPr>
                <w:sz w:val="16"/>
                <w:szCs w:val="16"/>
                <w:lang w:val="sq-AL"/>
              </w:rPr>
            </w:pPr>
            <w:r w:rsidRPr="000C2706">
              <w:rPr>
                <w:sz w:val="16"/>
                <w:szCs w:val="16"/>
                <w:lang w:val="sq-AL"/>
              </w:rPr>
              <w:t>8,054</w:t>
            </w:r>
          </w:p>
        </w:tc>
        <w:tc>
          <w:tcPr>
            <w:tcW w:w="901" w:type="dxa"/>
            <w:tcBorders>
              <w:top w:val="nil"/>
              <w:left w:val="nil"/>
              <w:bottom w:val="nil"/>
              <w:right w:val="double" w:sz="6" w:space="0" w:color="auto"/>
            </w:tcBorders>
            <w:noWrap/>
            <w:vAlign w:val="bottom"/>
            <w:hideMark/>
          </w:tcPr>
          <w:p w14:paraId="7F964BF7" w14:textId="77777777" w:rsidR="000C2706" w:rsidRPr="000C2706" w:rsidRDefault="000C2706" w:rsidP="000C2706">
            <w:pPr>
              <w:spacing w:line="276" w:lineRule="auto"/>
              <w:jc w:val="both"/>
              <w:rPr>
                <w:sz w:val="16"/>
                <w:szCs w:val="16"/>
                <w:lang w:val="sq-AL"/>
              </w:rPr>
            </w:pPr>
            <w:r w:rsidRPr="000C2706">
              <w:rPr>
                <w:sz w:val="16"/>
                <w:szCs w:val="16"/>
                <w:lang w:val="sq-AL"/>
              </w:rPr>
              <w:t>0.29%</w:t>
            </w:r>
          </w:p>
        </w:tc>
      </w:tr>
      <w:tr w:rsidR="000C2706" w:rsidRPr="000C2706" w14:paraId="2A3A3395"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0266C2F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3B5253C0" w14:textId="77777777" w:rsidR="000C2706" w:rsidRPr="000C2706" w:rsidRDefault="000C2706" w:rsidP="000C2706">
            <w:pPr>
              <w:spacing w:line="276" w:lineRule="auto"/>
              <w:jc w:val="both"/>
              <w:rPr>
                <w:sz w:val="16"/>
                <w:szCs w:val="16"/>
                <w:lang w:val="sq-AL"/>
              </w:rPr>
            </w:pPr>
            <w:r w:rsidRPr="000C2706">
              <w:rPr>
                <w:sz w:val="16"/>
                <w:szCs w:val="16"/>
                <w:lang w:val="sq-AL"/>
              </w:rPr>
              <w:t>Arsimi i Larte nga te ardhurat e veta</w:t>
            </w:r>
          </w:p>
        </w:tc>
        <w:tc>
          <w:tcPr>
            <w:tcW w:w="1363" w:type="dxa"/>
            <w:tcBorders>
              <w:top w:val="nil"/>
              <w:left w:val="double" w:sz="6" w:space="0" w:color="auto"/>
              <w:bottom w:val="nil"/>
              <w:right w:val="single" w:sz="4" w:space="0" w:color="auto"/>
            </w:tcBorders>
            <w:noWrap/>
            <w:vAlign w:val="bottom"/>
            <w:hideMark/>
          </w:tcPr>
          <w:p w14:paraId="6063B44F" w14:textId="77777777" w:rsidR="000C2706" w:rsidRPr="000C2706" w:rsidRDefault="000C2706" w:rsidP="000C2706">
            <w:pPr>
              <w:spacing w:line="276" w:lineRule="auto"/>
              <w:jc w:val="both"/>
              <w:rPr>
                <w:sz w:val="16"/>
                <w:szCs w:val="16"/>
                <w:lang w:val="sq-AL"/>
              </w:rPr>
            </w:pPr>
            <w:r w:rsidRPr="000C2706">
              <w:rPr>
                <w:sz w:val="16"/>
                <w:szCs w:val="16"/>
                <w:lang w:val="sq-AL"/>
              </w:rPr>
              <w:t>1,000</w:t>
            </w:r>
          </w:p>
        </w:tc>
        <w:tc>
          <w:tcPr>
            <w:tcW w:w="804" w:type="dxa"/>
            <w:tcBorders>
              <w:top w:val="nil"/>
              <w:left w:val="nil"/>
              <w:bottom w:val="nil"/>
              <w:right w:val="double" w:sz="6" w:space="0" w:color="auto"/>
            </w:tcBorders>
            <w:noWrap/>
            <w:vAlign w:val="bottom"/>
            <w:hideMark/>
          </w:tcPr>
          <w:p w14:paraId="6C091715"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33C77F69" w14:textId="77777777" w:rsidR="000C2706" w:rsidRPr="000C2706" w:rsidRDefault="000C2706" w:rsidP="000C2706">
            <w:pPr>
              <w:spacing w:line="276" w:lineRule="auto"/>
              <w:jc w:val="both"/>
              <w:rPr>
                <w:sz w:val="16"/>
                <w:szCs w:val="16"/>
                <w:lang w:val="sq-AL"/>
              </w:rPr>
            </w:pPr>
            <w:r w:rsidRPr="000C2706">
              <w:rPr>
                <w:sz w:val="16"/>
                <w:szCs w:val="16"/>
                <w:lang w:val="sq-AL"/>
              </w:rPr>
              <w:t>1,000</w:t>
            </w:r>
          </w:p>
        </w:tc>
        <w:tc>
          <w:tcPr>
            <w:tcW w:w="804" w:type="dxa"/>
            <w:tcBorders>
              <w:top w:val="nil"/>
              <w:left w:val="nil"/>
              <w:bottom w:val="nil"/>
              <w:right w:val="double" w:sz="6" w:space="0" w:color="auto"/>
            </w:tcBorders>
            <w:shd w:val="clear" w:color="auto" w:fill="FFFFFF" w:themeFill="background1"/>
            <w:noWrap/>
            <w:vAlign w:val="bottom"/>
            <w:hideMark/>
          </w:tcPr>
          <w:p w14:paraId="076F9F83"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60471930"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229E33E9"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31D70491"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15D9AEFA"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5B1A6A1C" w14:textId="77777777" w:rsidR="000C2706" w:rsidRPr="000C2706" w:rsidRDefault="000C2706" w:rsidP="000C2706">
            <w:pPr>
              <w:spacing w:line="276" w:lineRule="auto"/>
              <w:jc w:val="both"/>
              <w:rPr>
                <w:sz w:val="16"/>
                <w:szCs w:val="16"/>
                <w:lang w:val="sq-AL"/>
              </w:rPr>
            </w:pPr>
            <w:r w:rsidRPr="000C2706">
              <w:rPr>
                <w:sz w:val="16"/>
                <w:szCs w:val="16"/>
                <w:lang w:val="sq-AL"/>
              </w:rPr>
              <w:t>Te tjera jashte limitit</w:t>
            </w:r>
          </w:p>
        </w:tc>
        <w:tc>
          <w:tcPr>
            <w:tcW w:w="1363" w:type="dxa"/>
            <w:tcBorders>
              <w:top w:val="nil"/>
              <w:left w:val="double" w:sz="6" w:space="0" w:color="auto"/>
              <w:bottom w:val="nil"/>
              <w:right w:val="single" w:sz="4" w:space="0" w:color="auto"/>
            </w:tcBorders>
            <w:noWrap/>
            <w:vAlign w:val="bottom"/>
            <w:hideMark/>
          </w:tcPr>
          <w:p w14:paraId="1F65A458" w14:textId="77777777" w:rsidR="000C2706" w:rsidRPr="000C2706" w:rsidRDefault="000C2706" w:rsidP="000C2706">
            <w:pPr>
              <w:spacing w:line="276" w:lineRule="auto"/>
              <w:jc w:val="both"/>
              <w:rPr>
                <w:sz w:val="16"/>
                <w:szCs w:val="16"/>
                <w:lang w:val="sq-AL"/>
              </w:rPr>
            </w:pPr>
            <w:r w:rsidRPr="000C2706">
              <w:rPr>
                <w:sz w:val="16"/>
                <w:szCs w:val="16"/>
                <w:lang w:val="sq-AL"/>
              </w:rPr>
              <w:t>2,900</w:t>
            </w:r>
          </w:p>
        </w:tc>
        <w:tc>
          <w:tcPr>
            <w:tcW w:w="804" w:type="dxa"/>
            <w:tcBorders>
              <w:top w:val="nil"/>
              <w:left w:val="nil"/>
              <w:bottom w:val="nil"/>
              <w:right w:val="double" w:sz="6" w:space="0" w:color="auto"/>
            </w:tcBorders>
            <w:noWrap/>
            <w:vAlign w:val="bottom"/>
            <w:hideMark/>
          </w:tcPr>
          <w:p w14:paraId="195E743A"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579D87A5" w14:textId="77777777" w:rsidR="000C2706" w:rsidRPr="000C2706" w:rsidRDefault="000C2706" w:rsidP="000C2706">
            <w:pPr>
              <w:spacing w:line="276" w:lineRule="auto"/>
              <w:jc w:val="both"/>
              <w:rPr>
                <w:sz w:val="16"/>
                <w:szCs w:val="16"/>
                <w:lang w:val="sq-AL"/>
              </w:rPr>
            </w:pPr>
            <w:r w:rsidRPr="000C2706">
              <w:rPr>
                <w:sz w:val="16"/>
                <w:szCs w:val="16"/>
                <w:lang w:val="sq-AL"/>
              </w:rPr>
              <w:t>2,900</w:t>
            </w:r>
          </w:p>
        </w:tc>
        <w:tc>
          <w:tcPr>
            <w:tcW w:w="804" w:type="dxa"/>
            <w:tcBorders>
              <w:top w:val="nil"/>
              <w:left w:val="nil"/>
              <w:bottom w:val="nil"/>
              <w:right w:val="double" w:sz="6" w:space="0" w:color="auto"/>
            </w:tcBorders>
            <w:shd w:val="clear" w:color="auto" w:fill="FFFFFF" w:themeFill="background1"/>
            <w:noWrap/>
            <w:vAlign w:val="bottom"/>
            <w:hideMark/>
          </w:tcPr>
          <w:p w14:paraId="5169B615"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5F7B281B"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12BE83E8"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0DF518C0"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20D70BBD"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3 </w:t>
            </w:r>
          </w:p>
        </w:tc>
        <w:tc>
          <w:tcPr>
            <w:tcW w:w="3689" w:type="dxa"/>
            <w:tcBorders>
              <w:top w:val="nil"/>
              <w:left w:val="nil"/>
              <w:bottom w:val="nil"/>
              <w:right w:val="nil"/>
            </w:tcBorders>
            <w:noWrap/>
            <w:vAlign w:val="bottom"/>
            <w:hideMark/>
          </w:tcPr>
          <w:p w14:paraId="74EA1C10" w14:textId="77777777" w:rsidR="000C2706" w:rsidRPr="000C2706" w:rsidRDefault="000C2706" w:rsidP="000C2706">
            <w:pPr>
              <w:spacing w:line="276" w:lineRule="auto"/>
              <w:jc w:val="both"/>
              <w:rPr>
                <w:b/>
                <w:bCs/>
                <w:sz w:val="16"/>
                <w:szCs w:val="16"/>
                <w:lang w:val="sq-AL"/>
              </w:rPr>
            </w:pPr>
            <w:r w:rsidRPr="000C2706">
              <w:rPr>
                <w:b/>
                <w:bCs/>
                <w:sz w:val="16"/>
                <w:szCs w:val="16"/>
                <w:lang w:val="sq-AL"/>
              </w:rPr>
              <w:t>Subvencionet</w:t>
            </w:r>
          </w:p>
        </w:tc>
        <w:tc>
          <w:tcPr>
            <w:tcW w:w="1363" w:type="dxa"/>
            <w:tcBorders>
              <w:top w:val="nil"/>
              <w:left w:val="double" w:sz="6" w:space="0" w:color="auto"/>
              <w:bottom w:val="nil"/>
              <w:right w:val="single" w:sz="4" w:space="0" w:color="auto"/>
            </w:tcBorders>
            <w:noWrap/>
            <w:vAlign w:val="bottom"/>
            <w:hideMark/>
          </w:tcPr>
          <w:p w14:paraId="544379D0"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1,950</w:t>
            </w:r>
          </w:p>
        </w:tc>
        <w:tc>
          <w:tcPr>
            <w:tcW w:w="804" w:type="dxa"/>
            <w:tcBorders>
              <w:top w:val="nil"/>
              <w:left w:val="nil"/>
              <w:bottom w:val="nil"/>
              <w:right w:val="double" w:sz="6" w:space="0" w:color="auto"/>
            </w:tcBorders>
            <w:noWrap/>
            <w:vAlign w:val="bottom"/>
            <w:hideMark/>
          </w:tcPr>
          <w:p w14:paraId="3BA4FEE6"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43D38B55"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2,450</w:t>
            </w:r>
          </w:p>
        </w:tc>
        <w:tc>
          <w:tcPr>
            <w:tcW w:w="804" w:type="dxa"/>
            <w:tcBorders>
              <w:top w:val="nil"/>
              <w:left w:val="nil"/>
              <w:bottom w:val="nil"/>
              <w:right w:val="double" w:sz="6" w:space="0" w:color="auto"/>
            </w:tcBorders>
            <w:shd w:val="clear" w:color="auto" w:fill="FFFFFF" w:themeFill="background1"/>
            <w:noWrap/>
            <w:vAlign w:val="bottom"/>
            <w:hideMark/>
          </w:tcPr>
          <w:p w14:paraId="25950430"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0.1%</w:t>
            </w:r>
          </w:p>
        </w:tc>
        <w:tc>
          <w:tcPr>
            <w:tcW w:w="901" w:type="dxa"/>
            <w:tcBorders>
              <w:top w:val="nil"/>
              <w:left w:val="nil"/>
              <w:bottom w:val="nil"/>
              <w:right w:val="double" w:sz="6" w:space="0" w:color="auto"/>
            </w:tcBorders>
            <w:noWrap/>
            <w:vAlign w:val="bottom"/>
            <w:hideMark/>
          </w:tcPr>
          <w:p w14:paraId="60CE63C7" w14:textId="77777777" w:rsidR="000C2706" w:rsidRPr="000C2706" w:rsidRDefault="000C2706" w:rsidP="000C2706">
            <w:pPr>
              <w:spacing w:line="276" w:lineRule="auto"/>
              <w:jc w:val="both"/>
              <w:rPr>
                <w:b/>
                <w:bCs/>
                <w:sz w:val="20"/>
                <w:szCs w:val="20"/>
                <w:lang w:val="sq-AL"/>
              </w:rPr>
            </w:pPr>
            <w:r w:rsidRPr="000C2706">
              <w:rPr>
                <w:b/>
                <w:bCs/>
                <w:sz w:val="20"/>
                <w:szCs w:val="20"/>
                <w:lang w:val="sq-AL"/>
              </w:rPr>
              <w:t>500</w:t>
            </w:r>
          </w:p>
        </w:tc>
        <w:tc>
          <w:tcPr>
            <w:tcW w:w="901" w:type="dxa"/>
            <w:tcBorders>
              <w:top w:val="nil"/>
              <w:left w:val="nil"/>
              <w:bottom w:val="nil"/>
              <w:right w:val="double" w:sz="6" w:space="0" w:color="auto"/>
            </w:tcBorders>
            <w:noWrap/>
            <w:vAlign w:val="bottom"/>
            <w:hideMark/>
          </w:tcPr>
          <w:p w14:paraId="68D6A7ED"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0.02%</w:t>
            </w:r>
          </w:p>
        </w:tc>
      </w:tr>
      <w:tr w:rsidR="000C2706" w:rsidRPr="000C2706" w14:paraId="473866F9"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0EC33593"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4 </w:t>
            </w:r>
          </w:p>
        </w:tc>
        <w:tc>
          <w:tcPr>
            <w:tcW w:w="3689" w:type="dxa"/>
            <w:tcBorders>
              <w:top w:val="nil"/>
              <w:left w:val="nil"/>
              <w:bottom w:val="nil"/>
              <w:right w:val="nil"/>
            </w:tcBorders>
            <w:vAlign w:val="bottom"/>
            <w:hideMark/>
          </w:tcPr>
          <w:p w14:paraId="71EB083D" w14:textId="77777777" w:rsidR="000C2706" w:rsidRPr="000C2706" w:rsidRDefault="000C2706" w:rsidP="000C2706">
            <w:pPr>
              <w:spacing w:line="276" w:lineRule="auto"/>
              <w:jc w:val="both"/>
              <w:rPr>
                <w:b/>
                <w:bCs/>
                <w:sz w:val="16"/>
                <w:szCs w:val="16"/>
                <w:lang w:val="sq-AL"/>
              </w:rPr>
            </w:pPr>
            <w:r w:rsidRPr="000C2706">
              <w:rPr>
                <w:b/>
                <w:bCs/>
                <w:sz w:val="16"/>
                <w:szCs w:val="16"/>
                <w:lang w:val="sq-AL"/>
              </w:rPr>
              <w:t>Shpenzime per Fondet Speciale</w:t>
            </w:r>
          </w:p>
        </w:tc>
        <w:tc>
          <w:tcPr>
            <w:tcW w:w="1363" w:type="dxa"/>
            <w:tcBorders>
              <w:top w:val="nil"/>
              <w:left w:val="double" w:sz="6" w:space="0" w:color="auto"/>
              <w:bottom w:val="nil"/>
              <w:right w:val="single" w:sz="4" w:space="0" w:color="auto"/>
            </w:tcBorders>
            <w:noWrap/>
            <w:vAlign w:val="bottom"/>
            <w:hideMark/>
          </w:tcPr>
          <w:p w14:paraId="60A8031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274,843</w:t>
            </w:r>
          </w:p>
        </w:tc>
        <w:tc>
          <w:tcPr>
            <w:tcW w:w="804" w:type="dxa"/>
            <w:tcBorders>
              <w:top w:val="nil"/>
              <w:left w:val="nil"/>
              <w:bottom w:val="nil"/>
              <w:right w:val="double" w:sz="6" w:space="0" w:color="auto"/>
            </w:tcBorders>
            <w:noWrap/>
            <w:vAlign w:val="bottom"/>
            <w:hideMark/>
          </w:tcPr>
          <w:p w14:paraId="288AAD9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10.0%</w:t>
            </w:r>
          </w:p>
        </w:tc>
        <w:tc>
          <w:tcPr>
            <w:tcW w:w="977" w:type="dxa"/>
            <w:tcBorders>
              <w:top w:val="nil"/>
              <w:left w:val="nil"/>
              <w:bottom w:val="nil"/>
              <w:right w:val="single" w:sz="4" w:space="0" w:color="auto"/>
            </w:tcBorders>
            <w:shd w:val="clear" w:color="auto" w:fill="FFFFFF" w:themeFill="background1"/>
            <w:noWrap/>
            <w:vAlign w:val="bottom"/>
            <w:hideMark/>
          </w:tcPr>
          <w:p w14:paraId="6B31805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286,573</w:t>
            </w:r>
          </w:p>
        </w:tc>
        <w:tc>
          <w:tcPr>
            <w:tcW w:w="804" w:type="dxa"/>
            <w:tcBorders>
              <w:top w:val="nil"/>
              <w:left w:val="nil"/>
              <w:bottom w:val="nil"/>
              <w:right w:val="double" w:sz="6" w:space="0" w:color="auto"/>
            </w:tcBorders>
            <w:shd w:val="clear" w:color="auto" w:fill="FFFFFF" w:themeFill="background1"/>
            <w:noWrap/>
            <w:vAlign w:val="bottom"/>
            <w:hideMark/>
          </w:tcPr>
          <w:p w14:paraId="6514B22A"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10.3%</w:t>
            </w:r>
          </w:p>
        </w:tc>
        <w:tc>
          <w:tcPr>
            <w:tcW w:w="901" w:type="dxa"/>
            <w:tcBorders>
              <w:top w:val="nil"/>
              <w:left w:val="nil"/>
              <w:bottom w:val="nil"/>
              <w:right w:val="double" w:sz="6" w:space="0" w:color="auto"/>
            </w:tcBorders>
            <w:noWrap/>
            <w:vAlign w:val="bottom"/>
            <w:hideMark/>
          </w:tcPr>
          <w:p w14:paraId="6603D025"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11,730</w:t>
            </w:r>
          </w:p>
        </w:tc>
        <w:tc>
          <w:tcPr>
            <w:tcW w:w="901" w:type="dxa"/>
            <w:tcBorders>
              <w:top w:val="nil"/>
              <w:left w:val="nil"/>
              <w:bottom w:val="nil"/>
              <w:right w:val="double" w:sz="6" w:space="0" w:color="auto"/>
            </w:tcBorders>
            <w:noWrap/>
            <w:vAlign w:val="bottom"/>
            <w:hideMark/>
          </w:tcPr>
          <w:p w14:paraId="3B5501F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0.42%</w:t>
            </w:r>
          </w:p>
        </w:tc>
      </w:tr>
      <w:tr w:rsidR="000C2706" w:rsidRPr="000C2706" w14:paraId="598D9FD0"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59D331ED"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162F3847" w14:textId="77777777" w:rsidR="000C2706" w:rsidRPr="000C2706" w:rsidRDefault="000C2706" w:rsidP="000C2706">
            <w:pPr>
              <w:spacing w:line="276" w:lineRule="auto"/>
              <w:jc w:val="both"/>
              <w:rPr>
                <w:sz w:val="16"/>
                <w:szCs w:val="16"/>
                <w:lang w:val="sq-AL"/>
              </w:rPr>
            </w:pPr>
            <w:r w:rsidRPr="000C2706">
              <w:rPr>
                <w:sz w:val="16"/>
                <w:szCs w:val="16"/>
                <w:lang w:val="sq-AL"/>
              </w:rPr>
              <w:t>Sigurime Shoqerore</w:t>
            </w:r>
          </w:p>
        </w:tc>
        <w:tc>
          <w:tcPr>
            <w:tcW w:w="1363" w:type="dxa"/>
            <w:tcBorders>
              <w:top w:val="nil"/>
              <w:left w:val="double" w:sz="6" w:space="0" w:color="auto"/>
              <w:bottom w:val="nil"/>
              <w:right w:val="single" w:sz="4" w:space="0" w:color="auto"/>
            </w:tcBorders>
            <w:noWrap/>
            <w:vAlign w:val="bottom"/>
            <w:hideMark/>
          </w:tcPr>
          <w:p w14:paraId="2C8EB3D7" w14:textId="77777777" w:rsidR="000C2706" w:rsidRPr="000C2706" w:rsidRDefault="000C2706" w:rsidP="000C2706">
            <w:pPr>
              <w:spacing w:line="276" w:lineRule="auto"/>
              <w:jc w:val="both"/>
              <w:rPr>
                <w:sz w:val="16"/>
                <w:szCs w:val="16"/>
                <w:lang w:val="sq-AL"/>
              </w:rPr>
            </w:pPr>
            <w:r w:rsidRPr="000C2706">
              <w:rPr>
                <w:sz w:val="16"/>
                <w:szCs w:val="16"/>
                <w:lang w:val="sq-AL"/>
              </w:rPr>
              <w:t>202,888</w:t>
            </w:r>
          </w:p>
        </w:tc>
        <w:tc>
          <w:tcPr>
            <w:tcW w:w="804" w:type="dxa"/>
            <w:tcBorders>
              <w:top w:val="nil"/>
              <w:left w:val="nil"/>
              <w:bottom w:val="nil"/>
              <w:right w:val="double" w:sz="6" w:space="0" w:color="auto"/>
            </w:tcBorders>
            <w:noWrap/>
            <w:vAlign w:val="bottom"/>
            <w:hideMark/>
          </w:tcPr>
          <w:p w14:paraId="799613D9" w14:textId="77777777" w:rsidR="000C2706" w:rsidRPr="000C2706" w:rsidRDefault="000C2706" w:rsidP="000C2706">
            <w:pPr>
              <w:spacing w:line="276" w:lineRule="auto"/>
              <w:jc w:val="both"/>
              <w:rPr>
                <w:sz w:val="16"/>
                <w:szCs w:val="16"/>
                <w:lang w:val="sq-AL"/>
              </w:rPr>
            </w:pPr>
            <w:r w:rsidRPr="000C2706">
              <w:rPr>
                <w:sz w:val="16"/>
                <w:szCs w:val="16"/>
                <w:lang w:val="sq-AL"/>
              </w:rPr>
              <w:t>7.4%</w:t>
            </w:r>
          </w:p>
        </w:tc>
        <w:tc>
          <w:tcPr>
            <w:tcW w:w="977" w:type="dxa"/>
            <w:tcBorders>
              <w:top w:val="nil"/>
              <w:left w:val="nil"/>
              <w:bottom w:val="nil"/>
              <w:right w:val="single" w:sz="4" w:space="0" w:color="auto"/>
            </w:tcBorders>
            <w:shd w:val="clear" w:color="auto" w:fill="FFFFFF" w:themeFill="background1"/>
            <w:noWrap/>
            <w:vAlign w:val="bottom"/>
            <w:hideMark/>
          </w:tcPr>
          <w:p w14:paraId="0D845662" w14:textId="77777777" w:rsidR="000C2706" w:rsidRPr="000C2706" w:rsidRDefault="000C2706" w:rsidP="000C2706">
            <w:pPr>
              <w:spacing w:line="276" w:lineRule="auto"/>
              <w:jc w:val="both"/>
              <w:rPr>
                <w:sz w:val="16"/>
                <w:szCs w:val="16"/>
                <w:lang w:val="sq-AL"/>
              </w:rPr>
            </w:pPr>
            <w:r w:rsidRPr="000C2706">
              <w:rPr>
                <w:sz w:val="16"/>
                <w:szCs w:val="16"/>
                <w:lang w:val="sq-AL"/>
              </w:rPr>
              <w:t>204,088</w:t>
            </w:r>
          </w:p>
        </w:tc>
        <w:tc>
          <w:tcPr>
            <w:tcW w:w="804" w:type="dxa"/>
            <w:tcBorders>
              <w:top w:val="nil"/>
              <w:left w:val="nil"/>
              <w:bottom w:val="nil"/>
              <w:right w:val="double" w:sz="6" w:space="0" w:color="auto"/>
            </w:tcBorders>
            <w:shd w:val="clear" w:color="auto" w:fill="FFFFFF" w:themeFill="background1"/>
            <w:noWrap/>
            <w:vAlign w:val="bottom"/>
            <w:hideMark/>
          </w:tcPr>
          <w:p w14:paraId="28F2AC78" w14:textId="77777777" w:rsidR="000C2706" w:rsidRPr="000C2706" w:rsidRDefault="000C2706" w:rsidP="000C2706">
            <w:pPr>
              <w:spacing w:line="276" w:lineRule="auto"/>
              <w:jc w:val="both"/>
              <w:rPr>
                <w:sz w:val="16"/>
                <w:szCs w:val="16"/>
                <w:lang w:val="sq-AL"/>
              </w:rPr>
            </w:pPr>
            <w:r w:rsidRPr="000C2706">
              <w:rPr>
                <w:sz w:val="16"/>
                <w:szCs w:val="16"/>
                <w:lang w:val="sq-AL"/>
              </w:rPr>
              <w:t>7.3%</w:t>
            </w:r>
          </w:p>
        </w:tc>
        <w:tc>
          <w:tcPr>
            <w:tcW w:w="901" w:type="dxa"/>
            <w:tcBorders>
              <w:top w:val="nil"/>
              <w:left w:val="nil"/>
              <w:bottom w:val="nil"/>
              <w:right w:val="double" w:sz="6" w:space="0" w:color="auto"/>
            </w:tcBorders>
            <w:noWrap/>
            <w:vAlign w:val="bottom"/>
            <w:hideMark/>
          </w:tcPr>
          <w:p w14:paraId="00CF3A49" w14:textId="77777777" w:rsidR="000C2706" w:rsidRPr="000C2706" w:rsidRDefault="000C2706" w:rsidP="000C2706">
            <w:pPr>
              <w:spacing w:line="276" w:lineRule="auto"/>
              <w:jc w:val="both"/>
              <w:rPr>
                <w:sz w:val="16"/>
                <w:szCs w:val="16"/>
                <w:lang w:val="sq-AL"/>
              </w:rPr>
            </w:pPr>
            <w:r w:rsidRPr="000C2706">
              <w:rPr>
                <w:sz w:val="16"/>
                <w:szCs w:val="16"/>
                <w:lang w:val="sq-AL"/>
              </w:rPr>
              <w:t>1,200</w:t>
            </w:r>
          </w:p>
        </w:tc>
        <w:tc>
          <w:tcPr>
            <w:tcW w:w="901" w:type="dxa"/>
            <w:tcBorders>
              <w:top w:val="nil"/>
              <w:left w:val="nil"/>
              <w:bottom w:val="nil"/>
              <w:right w:val="double" w:sz="6" w:space="0" w:color="auto"/>
            </w:tcBorders>
            <w:noWrap/>
            <w:vAlign w:val="bottom"/>
            <w:hideMark/>
          </w:tcPr>
          <w:p w14:paraId="28FBA8F6" w14:textId="77777777" w:rsidR="000C2706" w:rsidRPr="000C2706" w:rsidRDefault="000C2706" w:rsidP="000C2706">
            <w:pPr>
              <w:spacing w:line="276" w:lineRule="auto"/>
              <w:jc w:val="both"/>
              <w:rPr>
                <w:sz w:val="16"/>
                <w:szCs w:val="16"/>
                <w:lang w:val="sq-AL"/>
              </w:rPr>
            </w:pPr>
            <w:r w:rsidRPr="000C2706">
              <w:rPr>
                <w:sz w:val="16"/>
                <w:szCs w:val="16"/>
                <w:lang w:val="sq-AL"/>
              </w:rPr>
              <w:t>0.04%</w:t>
            </w:r>
          </w:p>
        </w:tc>
      </w:tr>
      <w:tr w:rsidR="000C2706" w:rsidRPr="000C2706" w14:paraId="41416511"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2938C79E"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024EBA7D" w14:textId="77777777" w:rsidR="000C2706" w:rsidRPr="000C2706" w:rsidRDefault="000C2706" w:rsidP="000C2706">
            <w:pPr>
              <w:spacing w:line="276" w:lineRule="auto"/>
              <w:jc w:val="both"/>
              <w:rPr>
                <w:sz w:val="16"/>
                <w:szCs w:val="16"/>
                <w:lang w:val="sq-AL"/>
              </w:rPr>
            </w:pPr>
            <w:r w:rsidRPr="000C2706">
              <w:rPr>
                <w:sz w:val="16"/>
                <w:szCs w:val="16"/>
                <w:lang w:val="sq-AL"/>
              </w:rPr>
              <w:t>Politika te reja pensionesh</w:t>
            </w:r>
          </w:p>
        </w:tc>
        <w:tc>
          <w:tcPr>
            <w:tcW w:w="1363" w:type="dxa"/>
            <w:tcBorders>
              <w:top w:val="nil"/>
              <w:left w:val="double" w:sz="6" w:space="0" w:color="auto"/>
              <w:bottom w:val="nil"/>
              <w:right w:val="single" w:sz="4" w:space="0" w:color="auto"/>
            </w:tcBorders>
            <w:noWrap/>
            <w:vAlign w:val="bottom"/>
            <w:hideMark/>
          </w:tcPr>
          <w:p w14:paraId="215508D5" w14:textId="77777777" w:rsidR="000C2706" w:rsidRPr="000C2706" w:rsidRDefault="000C2706" w:rsidP="000C2706">
            <w:pPr>
              <w:spacing w:line="276" w:lineRule="auto"/>
              <w:jc w:val="both"/>
              <w:rPr>
                <w:sz w:val="16"/>
                <w:szCs w:val="16"/>
                <w:lang w:val="sq-AL"/>
              </w:rPr>
            </w:pPr>
            <w:r w:rsidRPr="000C2706">
              <w:rPr>
                <w:sz w:val="16"/>
                <w:szCs w:val="16"/>
                <w:lang w:val="sq-AL"/>
              </w:rPr>
              <w:t>1,703</w:t>
            </w:r>
          </w:p>
        </w:tc>
        <w:tc>
          <w:tcPr>
            <w:tcW w:w="804" w:type="dxa"/>
            <w:tcBorders>
              <w:top w:val="nil"/>
              <w:left w:val="nil"/>
              <w:bottom w:val="nil"/>
              <w:right w:val="double" w:sz="6" w:space="0" w:color="auto"/>
            </w:tcBorders>
            <w:noWrap/>
            <w:vAlign w:val="bottom"/>
            <w:hideMark/>
          </w:tcPr>
          <w:p w14:paraId="5640886E"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04BEC586" w14:textId="77777777" w:rsidR="000C2706" w:rsidRPr="000C2706" w:rsidRDefault="000C2706" w:rsidP="000C2706">
            <w:pPr>
              <w:spacing w:line="276" w:lineRule="auto"/>
              <w:jc w:val="both"/>
              <w:rPr>
                <w:sz w:val="16"/>
                <w:szCs w:val="16"/>
                <w:lang w:val="sq-AL"/>
              </w:rPr>
            </w:pPr>
            <w:r w:rsidRPr="000C2706">
              <w:rPr>
                <w:sz w:val="16"/>
                <w:szCs w:val="16"/>
                <w:lang w:val="sq-AL"/>
              </w:rPr>
              <w:t>1,653</w:t>
            </w:r>
          </w:p>
        </w:tc>
        <w:tc>
          <w:tcPr>
            <w:tcW w:w="804" w:type="dxa"/>
            <w:tcBorders>
              <w:top w:val="nil"/>
              <w:left w:val="nil"/>
              <w:bottom w:val="nil"/>
              <w:right w:val="double" w:sz="6" w:space="0" w:color="auto"/>
            </w:tcBorders>
            <w:shd w:val="clear" w:color="auto" w:fill="FFFFFF" w:themeFill="background1"/>
            <w:noWrap/>
            <w:vAlign w:val="bottom"/>
            <w:hideMark/>
          </w:tcPr>
          <w:p w14:paraId="25AC45D3"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5CFF8691" w14:textId="77777777" w:rsidR="000C2706" w:rsidRPr="000C2706" w:rsidRDefault="000C2706" w:rsidP="000C2706">
            <w:pPr>
              <w:spacing w:line="276" w:lineRule="auto"/>
              <w:jc w:val="both"/>
              <w:rPr>
                <w:sz w:val="16"/>
                <w:szCs w:val="16"/>
                <w:lang w:val="sq-AL"/>
              </w:rPr>
            </w:pPr>
            <w:r w:rsidRPr="000C2706">
              <w:rPr>
                <w:sz w:val="16"/>
                <w:szCs w:val="16"/>
                <w:lang w:val="sq-AL"/>
              </w:rPr>
              <w:t>-50</w:t>
            </w:r>
          </w:p>
        </w:tc>
        <w:tc>
          <w:tcPr>
            <w:tcW w:w="901" w:type="dxa"/>
            <w:tcBorders>
              <w:top w:val="nil"/>
              <w:left w:val="nil"/>
              <w:bottom w:val="nil"/>
              <w:right w:val="double" w:sz="6" w:space="0" w:color="auto"/>
            </w:tcBorders>
            <w:noWrap/>
            <w:vAlign w:val="bottom"/>
            <w:hideMark/>
          </w:tcPr>
          <w:p w14:paraId="51DA5D7D"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1A2D5978"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04CF232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1984712D" w14:textId="77777777" w:rsidR="000C2706" w:rsidRPr="000C2706" w:rsidRDefault="000C2706" w:rsidP="000C2706">
            <w:pPr>
              <w:spacing w:line="276" w:lineRule="auto"/>
              <w:jc w:val="both"/>
              <w:rPr>
                <w:sz w:val="16"/>
                <w:szCs w:val="16"/>
                <w:lang w:val="sq-AL"/>
              </w:rPr>
            </w:pPr>
            <w:r w:rsidRPr="000C2706">
              <w:rPr>
                <w:sz w:val="16"/>
                <w:szCs w:val="16"/>
                <w:lang w:val="sq-AL"/>
              </w:rPr>
              <w:t>Bonusi i Pensionisteve</w:t>
            </w:r>
          </w:p>
        </w:tc>
        <w:tc>
          <w:tcPr>
            <w:tcW w:w="1363" w:type="dxa"/>
            <w:tcBorders>
              <w:top w:val="nil"/>
              <w:left w:val="double" w:sz="6" w:space="0" w:color="auto"/>
              <w:bottom w:val="nil"/>
              <w:right w:val="single" w:sz="4" w:space="0" w:color="auto"/>
            </w:tcBorders>
            <w:noWrap/>
            <w:vAlign w:val="bottom"/>
            <w:hideMark/>
          </w:tcPr>
          <w:p w14:paraId="08F6954E" w14:textId="77777777" w:rsidR="000C2706" w:rsidRPr="000C2706" w:rsidRDefault="000C2706" w:rsidP="000C2706">
            <w:pPr>
              <w:spacing w:line="276" w:lineRule="auto"/>
              <w:jc w:val="both"/>
              <w:rPr>
                <w:sz w:val="16"/>
                <w:szCs w:val="16"/>
                <w:lang w:val="sq-AL"/>
              </w:rPr>
            </w:pPr>
            <w:r w:rsidRPr="000C2706">
              <w:rPr>
                <w:sz w:val="16"/>
                <w:szCs w:val="16"/>
                <w:lang w:val="sq-AL"/>
              </w:rPr>
              <w:t>3,800</w:t>
            </w:r>
          </w:p>
        </w:tc>
        <w:tc>
          <w:tcPr>
            <w:tcW w:w="804" w:type="dxa"/>
            <w:tcBorders>
              <w:top w:val="nil"/>
              <w:left w:val="nil"/>
              <w:bottom w:val="nil"/>
              <w:right w:val="double" w:sz="6" w:space="0" w:color="auto"/>
            </w:tcBorders>
            <w:noWrap/>
            <w:vAlign w:val="bottom"/>
            <w:hideMark/>
          </w:tcPr>
          <w:p w14:paraId="76CA8F86"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53F0FEBD" w14:textId="77777777" w:rsidR="000C2706" w:rsidRPr="000C2706" w:rsidRDefault="000C2706" w:rsidP="000C2706">
            <w:pPr>
              <w:spacing w:line="276" w:lineRule="auto"/>
              <w:jc w:val="both"/>
              <w:rPr>
                <w:sz w:val="16"/>
                <w:szCs w:val="16"/>
                <w:lang w:val="sq-AL"/>
              </w:rPr>
            </w:pPr>
            <w:r w:rsidRPr="000C2706">
              <w:rPr>
                <w:sz w:val="16"/>
                <w:szCs w:val="16"/>
                <w:lang w:val="sq-AL"/>
              </w:rPr>
              <w:t>10,000</w:t>
            </w:r>
          </w:p>
        </w:tc>
        <w:tc>
          <w:tcPr>
            <w:tcW w:w="804" w:type="dxa"/>
            <w:tcBorders>
              <w:top w:val="nil"/>
              <w:left w:val="nil"/>
              <w:bottom w:val="nil"/>
              <w:right w:val="double" w:sz="6" w:space="0" w:color="auto"/>
            </w:tcBorders>
            <w:shd w:val="clear" w:color="auto" w:fill="FFFFFF" w:themeFill="background1"/>
            <w:noWrap/>
            <w:vAlign w:val="bottom"/>
            <w:hideMark/>
          </w:tcPr>
          <w:p w14:paraId="5F698AA0" w14:textId="77777777" w:rsidR="000C2706" w:rsidRPr="000C2706" w:rsidRDefault="000C2706" w:rsidP="000C2706">
            <w:pPr>
              <w:spacing w:line="276" w:lineRule="auto"/>
              <w:jc w:val="both"/>
              <w:rPr>
                <w:sz w:val="16"/>
                <w:szCs w:val="16"/>
                <w:lang w:val="sq-AL"/>
              </w:rPr>
            </w:pPr>
            <w:r w:rsidRPr="000C2706">
              <w:rPr>
                <w:sz w:val="16"/>
                <w:szCs w:val="16"/>
                <w:lang w:val="sq-AL"/>
              </w:rPr>
              <w:t>0.4%</w:t>
            </w:r>
          </w:p>
        </w:tc>
        <w:tc>
          <w:tcPr>
            <w:tcW w:w="901" w:type="dxa"/>
            <w:tcBorders>
              <w:top w:val="nil"/>
              <w:left w:val="nil"/>
              <w:bottom w:val="nil"/>
              <w:right w:val="double" w:sz="6" w:space="0" w:color="auto"/>
            </w:tcBorders>
            <w:noWrap/>
            <w:vAlign w:val="bottom"/>
            <w:hideMark/>
          </w:tcPr>
          <w:p w14:paraId="6EF80087" w14:textId="77777777" w:rsidR="000C2706" w:rsidRPr="000C2706" w:rsidRDefault="000C2706" w:rsidP="000C2706">
            <w:pPr>
              <w:spacing w:line="276" w:lineRule="auto"/>
              <w:jc w:val="both"/>
              <w:rPr>
                <w:sz w:val="16"/>
                <w:szCs w:val="16"/>
                <w:lang w:val="sq-AL"/>
              </w:rPr>
            </w:pPr>
            <w:r w:rsidRPr="000C2706">
              <w:rPr>
                <w:sz w:val="16"/>
                <w:szCs w:val="16"/>
                <w:lang w:val="sq-AL"/>
              </w:rPr>
              <w:t>6,200</w:t>
            </w:r>
          </w:p>
        </w:tc>
        <w:tc>
          <w:tcPr>
            <w:tcW w:w="901" w:type="dxa"/>
            <w:tcBorders>
              <w:top w:val="nil"/>
              <w:left w:val="nil"/>
              <w:bottom w:val="nil"/>
              <w:right w:val="double" w:sz="6" w:space="0" w:color="auto"/>
            </w:tcBorders>
            <w:noWrap/>
            <w:vAlign w:val="bottom"/>
            <w:hideMark/>
          </w:tcPr>
          <w:p w14:paraId="3B39242B" w14:textId="77777777" w:rsidR="000C2706" w:rsidRPr="000C2706" w:rsidRDefault="000C2706" w:rsidP="000C2706">
            <w:pPr>
              <w:spacing w:line="276" w:lineRule="auto"/>
              <w:jc w:val="both"/>
              <w:rPr>
                <w:sz w:val="16"/>
                <w:szCs w:val="16"/>
                <w:lang w:val="sq-AL"/>
              </w:rPr>
            </w:pPr>
            <w:r w:rsidRPr="000C2706">
              <w:rPr>
                <w:sz w:val="16"/>
                <w:szCs w:val="16"/>
                <w:lang w:val="sq-AL"/>
              </w:rPr>
              <w:t>0.22%</w:t>
            </w:r>
          </w:p>
        </w:tc>
      </w:tr>
      <w:tr w:rsidR="000C2706" w:rsidRPr="000C2706" w14:paraId="3176F2A1"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58CE0DE2"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73F78744" w14:textId="77777777" w:rsidR="000C2706" w:rsidRPr="000C2706" w:rsidRDefault="000C2706" w:rsidP="000C2706">
            <w:pPr>
              <w:spacing w:line="276" w:lineRule="auto"/>
              <w:jc w:val="both"/>
              <w:rPr>
                <w:sz w:val="16"/>
                <w:szCs w:val="16"/>
                <w:lang w:val="sq-AL"/>
              </w:rPr>
            </w:pPr>
            <w:r w:rsidRPr="000C2706">
              <w:rPr>
                <w:sz w:val="16"/>
                <w:szCs w:val="16"/>
                <w:lang w:val="sq-AL"/>
              </w:rPr>
              <w:t>Sigurime Shendetesore</w:t>
            </w:r>
          </w:p>
        </w:tc>
        <w:tc>
          <w:tcPr>
            <w:tcW w:w="1363" w:type="dxa"/>
            <w:tcBorders>
              <w:top w:val="nil"/>
              <w:left w:val="double" w:sz="6" w:space="0" w:color="auto"/>
              <w:bottom w:val="nil"/>
              <w:right w:val="single" w:sz="4" w:space="0" w:color="auto"/>
            </w:tcBorders>
            <w:noWrap/>
            <w:vAlign w:val="bottom"/>
            <w:hideMark/>
          </w:tcPr>
          <w:p w14:paraId="7A0D38AE" w14:textId="77777777" w:rsidR="000C2706" w:rsidRPr="000C2706" w:rsidRDefault="000C2706" w:rsidP="000C2706">
            <w:pPr>
              <w:spacing w:line="276" w:lineRule="auto"/>
              <w:jc w:val="both"/>
              <w:rPr>
                <w:sz w:val="16"/>
                <w:szCs w:val="16"/>
                <w:lang w:val="sq-AL"/>
              </w:rPr>
            </w:pPr>
            <w:r w:rsidRPr="000C2706">
              <w:rPr>
                <w:sz w:val="16"/>
                <w:szCs w:val="16"/>
                <w:lang w:val="sq-AL"/>
              </w:rPr>
              <w:t>63,452</w:t>
            </w:r>
          </w:p>
        </w:tc>
        <w:tc>
          <w:tcPr>
            <w:tcW w:w="804" w:type="dxa"/>
            <w:tcBorders>
              <w:top w:val="nil"/>
              <w:left w:val="nil"/>
              <w:bottom w:val="nil"/>
              <w:right w:val="double" w:sz="6" w:space="0" w:color="auto"/>
            </w:tcBorders>
            <w:noWrap/>
            <w:vAlign w:val="bottom"/>
            <w:hideMark/>
          </w:tcPr>
          <w:p w14:paraId="68446A83" w14:textId="77777777" w:rsidR="000C2706" w:rsidRPr="000C2706" w:rsidRDefault="000C2706" w:rsidP="000C2706">
            <w:pPr>
              <w:spacing w:line="276" w:lineRule="auto"/>
              <w:jc w:val="both"/>
              <w:rPr>
                <w:sz w:val="16"/>
                <w:szCs w:val="16"/>
                <w:lang w:val="sq-AL"/>
              </w:rPr>
            </w:pPr>
            <w:r w:rsidRPr="000C2706">
              <w:rPr>
                <w:sz w:val="16"/>
                <w:szCs w:val="16"/>
                <w:lang w:val="sq-AL"/>
              </w:rPr>
              <w:t>2.3%</w:t>
            </w:r>
          </w:p>
        </w:tc>
        <w:tc>
          <w:tcPr>
            <w:tcW w:w="977" w:type="dxa"/>
            <w:tcBorders>
              <w:top w:val="nil"/>
              <w:left w:val="nil"/>
              <w:bottom w:val="nil"/>
              <w:right w:val="single" w:sz="4" w:space="0" w:color="auto"/>
            </w:tcBorders>
            <w:shd w:val="clear" w:color="auto" w:fill="FFFFFF" w:themeFill="background1"/>
            <w:noWrap/>
            <w:vAlign w:val="bottom"/>
            <w:hideMark/>
          </w:tcPr>
          <w:p w14:paraId="23B714CF" w14:textId="77777777" w:rsidR="000C2706" w:rsidRPr="000C2706" w:rsidRDefault="000C2706" w:rsidP="000C2706">
            <w:pPr>
              <w:spacing w:line="276" w:lineRule="auto"/>
              <w:jc w:val="both"/>
              <w:rPr>
                <w:sz w:val="16"/>
                <w:szCs w:val="16"/>
                <w:lang w:val="sq-AL"/>
              </w:rPr>
            </w:pPr>
            <w:r w:rsidRPr="000C2706">
              <w:rPr>
                <w:sz w:val="16"/>
                <w:szCs w:val="16"/>
                <w:lang w:val="sq-AL"/>
              </w:rPr>
              <w:t>67,332</w:t>
            </w:r>
          </w:p>
        </w:tc>
        <w:tc>
          <w:tcPr>
            <w:tcW w:w="804" w:type="dxa"/>
            <w:tcBorders>
              <w:top w:val="nil"/>
              <w:left w:val="nil"/>
              <w:bottom w:val="nil"/>
              <w:right w:val="double" w:sz="6" w:space="0" w:color="auto"/>
            </w:tcBorders>
            <w:shd w:val="clear" w:color="auto" w:fill="FFFFFF" w:themeFill="background1"/>
            <w:noWrap/>
            <w:vAlign w:val="bottom"/>
            <w:hideMark/>
          </w:tcPr>
          <w:p w14:paraId="41A60E49" w14:textId="77777777" w:rsidR="000C2706" w:rsidRPr="000C2706" w:rsidRDefault="000C2706" w:rsidP="000C2706">
            <w:pPr>
              <w:spacing w:line="276" w:lineRule="auto"/>
              <w:jc w:val="both"/>
              <w:rPr>
                <w:sz w:val="16"/>
                <w:szCs w:val="16"/>
                <w:lang w:val="sq-AL"/>
              </w:rPr>
            </w:pPr>
            <w:r w:rsidRPr="000C2706">
              <w:rPr>
                <w:sz w:val="16"/>
                <w:szCs w:val="16"/>
                <w:lang w:val="sq-AL"/>
              </w:rPr>
              <w:t>2.4%</w:t>
            </w:r>
          </w:p>
        </w:tc>
        <w:tc>
          <w:tcPr>
            <w:tcW w:w="901" w:type="dxa"/>
            <w:tcBorders>
              <w:top w:val="nil"/>
              <w:left w:val="nil"/>
              <w:bottom w:val="nil"/>
              <w:right w:val="double" w:sz="6" w:space="0" w:color="auto"/>
            </w:tcBorders>
            <w:noWrap/>
            <w:vAlign w:val="bottom"/>
            <w:hideMark/>
          </w:tcPr>
          <w:p w14:paraId="1A7ECC21" w14:textId="77777777" w:rsidR="000C2706" w:rsidRPr="000C2706" w:rsidRDefault="000C2706" w:rsidP="000C2706">
            <w:pPr>
              <w:spacing w:line="276" w:lineRule="auto"/>
              <w:jc w:val="both"/>
              <w:rPr>
                <w:sz w:val="16"/>
                <w:szCs w:val="16"/>
                <w:lang w:val="sq-AL"/>
              </w:rPr>
            </w:pPr>
            <w:r w:rsidRPr="000C2706">
              <w:rPr>
                <w:sz w:val="16"/>
                <w:szCs w:val="16"/>
                <w:lang w:val="sq-AL"/>
              </w:rPr>
              <w:t>3,880</w:t>
            </w:r>
          </w:p>
        </w:tc>
        <w:tc>
          <w:tcPr>
            <w:tcW w:w="901" w:type="dxa"/>
            <w:tcBorders>
              <w:top w:val="nil"/>
              <w:left w:val="nil"/>
              <w:bottom w:val="nil"/>
              <w:right w:val="double" w:sz="6" w:space="0" w:color="auto"/>
            </w:tcBorders>
            <w:noWrap/>
            <w:vAlign w:val="bottom"/>
            <w:hideMark/>
          </w:tcPr>
          <w:p w14:paraId="0D69DE04" w14:textId="77777777" w:rsidR="000C2706" w:rsidRPr="000C2706" w:rsidRDefault="000C2706" w:rsidP="000C2706">
            <w:pPr>
              <w:spacing w:line="276" w:lineRule="auto"/>
              <w:jc w:val="both"/>
              <w:rPr>
                <w:sz w:val="16"/>
                <w:szCs w:val="16"/>
                <w:lang w:val="sq-AL"/>
              </w:rPr>
            </w:pPr>
            <w:r w:rsidRPr="000C2706">
              <w:rPr>
                <w:sz w:val="16"/>
                <w:szCs w:val="16"/>
                <w:lang w:val="sq-AL"/>
              </w:rPr>
              <w:t>0.14%</w:t>
            </w:r>
          </w:p>
        </w:tc>
      </w:tr>
      <w:tr w:rsidR="000C2706" w:rsidRPr="000C2706" w14:paraId="75017ADF"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3B46E6A7"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2A0B582E" w14:textId="77777777" w:rsidR="000C2706" w:rsidRPr="000C2706" w:rsidRDefault="000C2706" w:rsidP="000C2706">
            <w:pPr>
              <w:spacing w:line="276" w:lineRule="auto"/>
              <w:jc w:val="both"/>
              <w:rPr>
                <w:sz w:val="16"/>
                <w:szCs w:val="16"/>
                <w:lang w:val="sq-AL"/>
              </w:rPr>
            </w:pPr>
            <w:r w:rsidRPr="000C2706">
              <w:rPr>
                <w:sz w:val="16"/>
                <w:szCs w:val="16"/>
                <w:lang w:val="sq-AL"/>
              </w:rPr>
              <w:t>Shpenzime per Kompensimin ne Vlere te Pronareve</w:t>
            </w:r>
          </w:p>
        </w:tc>
        <w:tc>
          <w:tcPr>
            <w:tcW w:w="1363" w:type="dxa"/>
            <w:tcBorders>
              <w:top w:val="nil"/>
              <w:left w:val="double" w:sz="6" w:space="0" w:color="auto"/>
              <w:bottom w:val="nil"/>
              <w:right w:val="single" w:sz="4" w:space="0" w:color="auto"/>
            </w:tcBorders>
            <w:noWrap/>
            <w:vAlign w:val="bottom"/>
            <w:hideMark/>
          </w:tcPr>
          <w:p w14:paraId="1042A971" w14:textId="77777777" w:rsidR="000C2706" w:rsidRPr="000C2706" w:rsidRDefault="000C2706" w:rsidP="000C2706">
            <w:pPr>
              <w:spacing w:line="276" w:lineRule="auto"/>
              <w:jc w:val="both"/>
              <w:rPr>
                <w:sz w:val="16"/>
                <w:szCs w:val="16"/>
                <w:lang w:val="sq-AL"/>
              </w:rPr>
            </w:pPr>
            <w:r w:rsidRPr="000C2706">
              <w:rPr>
                <w:sz w:val="16"/>
                <w:szCs w:val="16"/>
                <w:lang w:val="sq-AL"/>
              </w:rPr>
              <w:t>3,000</w:t>
            </w:r>
          </w:p>
        </w:tc>
        <w:tc>
          <w:tcPr>
            <w:tcW w:w="804" w:type="dxa"/>
            <w:tcBorders>
              <w:top w:val="nil"/>
              <w:left w:val="nil"/>
              <w:bottom w:val="nil"/>
              <w:right w:val="double" w:sz="6" w:space="0" w:color="auto"/>
            </w:tcBorders>
            <w:noWrap/>
            <w:vAlign w:val="bottom"/>
            <w:hideMark/>
          </w:tcPr>
          <w:p w14:paraId="686B0786"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6D0C97B6" w14:textId="77777777" w:rsidR="000C2706" w:rsidRPr="000C2706" w:rsidRDefault="000C2706" w:rsidP="000C2706">
            <w:pPr>
              <w:spacing w:line="276" w:lineRule="auto"/>
              <w:jc w:val="both"/>
              <w:rPr>
                <w:sz w:val="16"/>
                <w:szCs w:val="16"/>
                <w:lang w:val="sq-AL"/>
              </w:rPr>
            </w:pPr>
            <w:r w:rsidRPr="000C2706">
              <w:rPr>
                <w:sz w:val="16"/>
                <w:szCs w:val="16"/>
                <w:lang w:val="sq-AL"/>
              </w:rPr>
              <w:t>3,500</w:t>
            </w:r>
          </w:p>
        </w:tc>
        <w:tc>
          <w:tcPr>
            <w:tcW w:w="804" w:type="dxa"/>
            <w:tcBorders>
              <w:top w:val="nil"/>
              <w:left w:val="nil"/>
              <w:bottom w:val="nil"/>
              <w:right w:val="double" w:sz="6" w:space="0" w:color="auto"/>
            </w:tcBorders>
            <w:shd w:val="clear" w:color="auto" w:fill="FFFFFF" w:themeFill="background1"/>
            <w:noWrap/>
            <w:vAlign w:val="bottom"/>
            <w:hideMark/>
          </w:tcPr>
          <w:p w14:paraId="172520DF"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066AD951" w14:textId="77777777" w:rsidR="000C2706" w:rsidRPr="000C2706" w:rsidRDefault="000C2706" w:rsidP="000C2706">
            <w:pPr>
              <w:spacing w:line="276" w:lineRule="auto"/>
              <w:jc w:val="both"/>
              <w:rPr>
                <w:sz w:val="16"/>
                <w:szCs w:val="16"/>
                <w:lang w:val="sq-AL"/>
              </w:rPr>
            </w:pPr>
            <w:r w:rsidRPr="000C2706">
              <w:rPr>
                <w:sz w:val="16"/>
                <w:szCs w:val="16"/>
                <w:lang w:val="sq-AL"/>
              </w:rPr>
              <w:t>500</w:t>
            </w:r>
          </w:p>
        </w:tc>
        <w:tc>
          <w:tcPr>
            <w:tcW w:w="901" w:type="dxa"/>
            <w:tcBorders>
              <w:top w:val="nil"/>
              <w:left w:val="nil"/>
              <w:bottom w:val="nil"/>
              <w:right w:val="double" w:sz="6" w:space="0" w:color="auto"/>
            </w:tcBorders>
            <w:noWrap/>
            <w:vAlign w:val="bottom"/>
            <w:hideMark/>
          </w:tcPr>
          <w:p w14:paraId="4C1FA4C8" w14:textId="77777777" w:rsidR="000C2706" w:rsidRPr="000C2706" w:rsidRDefault="000C2706" w:rsidP="000C2706">
            <w:pPr>
              <w:spacing w:line="276" w:lineRule="auto"/>
              <w:jc w:val="both"/>
              <w:rPr>
                <w:sz w:val="16"/>
                <w:szCs w:val="16"/>
                <w:lang w:val="sq-AL"/>
              </w:rPr>
            </w:pPr>
            <w:r w:rsidRPr="000C2706">
              <w:rPr>
                <w:sz w:val="16"/>
                <w:szCs w:val="16"/>
                <w:lang w:val="sq-AL"/>
              </w:rPr>
              <w:t>0.02%</w:t>
            </w:r>
          </w:p>
        </w:tc>
      </w:tr>
      <w:tr w:rsidR="000C2706" w:rsidRPr="000C2706" w14:paraId="620663D8"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54D3C4A2"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5 </w:t>
            </w:r>
          </w:p>
        </w:tc>
        <w:tc>
          <w:tcPr>
            <w:tcW w:w="3689" w:type="dxa"/>
            <w:tcBorders>
              <w:top w:val="nil"/>
              <w:left w:val="nil"/>
              <w:bottom w:val="nil"/>
              <w:right w:val="nil"/>
            </w:tcBorders>
            <w:noWrap/>
            <w:vAlign w:val="bottom"/>
            <w:hideMark/>
          </w:tcPr>
          <w:p w14:paraId="5B2B4BFF"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Shpenzime te tjera </w:t>
            </w:r>
          </w:p>
        </w:tc>
        <w:tc>
          <w:tcPr>
            <w:tcW w:w="1363" w:type="dxa"/>
            <w:tcBorders>
              <w:top w:val="nil"/>
              <w:left w:val="double" w:sz="6" w:space="0" w:color="auto"/>
              <w:bottom w:val="nil"/>
              <w:right w:val="single" w:sz="4" w:space="0" w:color="auto"/>
            </w:tcBorders>
            <w:noWrap/>
            <w:vAlign w:val="bottom"/>
            <w:hideMark/>
          </w:tcPr>
          <w:p w14:paraId="270F6AFA"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28,600</w:t>
            </w:r>
          </w:p>
        </w:tc>
        <w:tc>
          <w:tcPr>
            <w:tcW w:w="804" w:type="dxa"/>
            <w:tcBorders>
              <w:top w:val="nil"/>
              <w:left w:val="nil"/>
              <w:bottom w:val="nil"/>
              <w:right w:val="double" w:sz="6" w:space="0" w:color="auto"/>
            </w:tcBorders>
            <w:noWrap/>
            <w:vAlign w:val="bottom"/>
            <w:hideMark/>
          </w:tcPr>
          <w:p w14:paraId="1587BD88"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w:t>
            </w:r>
          </w:p>
        </w:tc>
        <w:tc>
          <w:tcPr>
            <w:tcW w:w="977" w:type="dxa"/>
            <w:tcBorders>
              <w:top w:val="nil"/>
              <w:left w:val="nil"/>
              <w:bottom w:val="nil"/>
              <w:right w:val="single" w:sz="4" w:space="0" w:color="auto"/>
            </w:tcBorders>
            <w:shd w:val="clear" w:color="auto" w:fill="FFFFFF" w:themeFill="background1"/>
            <w:noWrap/>
            <w:vAlign w:val="bottom"/>
            <w:hideMark/>
          </w:tcPr>
          <w:p w14:paraId="137ED38A"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28,700</w:t>
            </w:r>
          </w:p>
        </w:tc>
        <w:tc>
          <w:tcPr>
            <w:tcW w:w="804" w:type="dxa"/>
            <w:tcBorders>
              <w:top w:val="nil"/>
              <w:left w:val="nil"/>
              <w:bottom w:val="nil"/>
              <w:right w:val="double" w:sz="6" w:space="0" w:color="auto"/>
            </w:tcBorders>
            <w:shd w:val="clear" w:color="auto" w:fill="FFFFFF" w:themeFill="background1"/>
            <w:noWrap/>
            <w:vAlign w:val="bottom"/>
            <w:hideMark/>
          </w:tcPr>
          <w:p w14:paraId="03861367"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w:t>
            </w:r>
          </w:p>
        </w:tc>
        <w:tc>
          <w:tcPr>
            <w:tcW w:w="901" w:type="dxa"/>
            <w:tcBorders>
              <w:top w:val="nil"/>
              <w:left w:val="nil"/>
              <w:bottom w:val="nil"/>
              <w:right w:val="double" w:sz="6" w:space="0" w:color="auto"/>
            </w:tcBorders>
            <w:noWrap/>
            <w:vAlign w:val="bottom"/>
            <w:hideMark/>
          </w:tcPr>
          <w:p w14:paraId="49A307B8" w14:textId="77777777" w:rsidR="000C2706" w:rsidRPr="000C2706" w:rsidRDefault="000C2706" w:rsidP="000C2706">
            <w:pPr>
              <w:spacing w:line="276" w:lineRule="auto"/>
              <w:jc w:val="both"/>
              <w:rPr>
                <w:b/>
                <w:bCs/>
                <w:sz w:val="20"/>
                <w:szCs w:val="20"/>
                <w:lang w:val="sq-AL"/>
              </w:rPr>
            </w:pPr>
            <w:r w:rsidRPr="000C2706">
              <w:rPr>
                <w:b/>
                <w:bCs/>
                <w:sz w:val="20"/>
                <w:szCs w:val="20"/>
                <w:lang w:val="sq-AL"/>
              </w:rPr>
              <w:t>100</w:t>
            </w:r>
          </w:p>
        </w:tc>
        <w:tc>
          <w:tcPr>
            <w:tcW w:w="901" w:type="dxa"/>
            <w:tcBorders>
              <w:top w:val="nil"/>
              <w:left w:val="nil"/>
              <w:bottom w:val="nil"/>
              <w:right w:val="double" w:sz="6" w:space="0" w:color="auto"/>
            </w:tcBorders>
            <w:noWrap/>
            <w:vAlign w:val="bottom"/>
            <w:hideMark/>
          </w:tcPr>
          <w:p w14:paraId="0E6C0B9E"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0.00%</w:t>
            </w:r>
          </w:p>
        </w:tc>
      </w:tr>
      <w:tr w:rsidR="000C2706" w:rsidRPr="000C2706" w14:paraId="27497A40"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2A313F32"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3E521FF4" w14:textId="77777777" w:rsidR="000C2706" w:rsidRPr="000C2706" w:rsidRDefault="000C2706" w:rsidP="000C2706">
            <w:pPr>
              <w:spacing w:line="276" w:lineRule="auto"/>
              <w:jc w:val="both"/>
              <w:rPr>
                <w:sz w:val="16"/>
                <w:szCs w:val="16"/>
                <w:lang w:val="sq-AL"/>
              </w:rPr>
            </w:pPr>
            <w:r w:rsidRPr="000C2706">
              <w:rPr>
                <w:sz w:val="16"/>
                <w:szCs w:val="16"/>
                <w:lang w:val="sq-AL"/>
              </w:rPr>
              <w:t>Pagesa e Papunesise</w:t>
            </w:r>
          </w:p>
        </w:tc>
        <w:tc>
          <w:tcPr>
            <w:tcW w:w="1363" w:type="dxa"/>
            <w:tcBorders>
              <w:top w:val="nil"/>
              <w:left w:val="double" w:sz="6" w:space="0" w:color="auto"/>
              <w:bottom w:val="nil"/>
              <w:right w:val="single" w:sz="4" w:space="0" w:color="auto"/>
            </w:tcBorders>
            <w:noWrap/>
            <w:vAlign w:val="bottom"/>
            <w:hideMark/>
          </w:tcPr>
          <w:p w14:paraId="6FA0B5B8" w14:textId="77777777" w:rsidR="000C2706" w:rsidRPr="000C2706" w:rsidRDefault="000C2706" w:rsidP="000C2706">
            <w:pPr>
              <w:spacing w:line="276" w:lineRule="auto"/>
              <w:jc w:val="both"/>
              <w:rPr>
                <w:sz w:val="16"/>
                <w:szCs w:val="16"/>
                <w:lang w:val="sq-AL"/>
              </w:rPr>
            </w:pPr>
            <w:r w:rsidRPr="000C2706">
              <w:rPr>
                <w:sz w:val="16"/>
                <w:szCs w:val="16"/>
                <w:lang w:val="sq-AL"/>
              </w:rPr>
              <w:t>800</w:t>
            </w:r>
          </w:p>
        </w:tc>
        <w:tc>
          <w:tcPr>
            <w:tcW w:w="804" w:type="dxa"/>
            <w:tcBorders>
              <w:top w:val="nil"/>
              <w:left w:val="nil"/>
              <w:bottom w:val="nil"/>
              <w:right w:val="double" w:sz="6" w:space="0" w:color="auto"/>
            </w:tcBorders>
            <w:noWrap/>
            <w:vAlign w:val="bottom"/>
            <w:hideMark/>
          </w:tcPr>
          <w:p w14:paraId="03684B22"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77" w:type="dxa"/>
            <w:tcBorders>
              <w:top w:val="nil"/>
              <w:left w:val="nil"/>
              <w:bottom w:val="nil"/>
              <w:right w:val="single" w:sz="4" w:space="0" w:color="auto"/>
            </w:tcBorders>
            <w:shd w:val="clear" w:color="auto" w:fill="FFFFFF" w:themeFill="background1"/>
            <w:noWrap/>
            <w:vAlign w:val="bottom"/>
            <w:hideMark/>
          </w:tcPr>
          <w:p w14:paraId="5317116C" w14:textId="77777777" w:rsidR="000C2706" w:rsidRPr="000C2706" w:rsidRDefault="000C2706" w:rsidP="000C2706">
            <w:pPr>
              <w:spacing w:line="276" w:lineRule="auto"/>
              <w:jc w:val="both"/>
              <w:rPr>
                <w:sz w:val="16"/>
                <w:szCs w:val="16"/>
                <w:lang w:val="sq-AL"/>
              </w:rPr>
            </w:pPr>
            <w:r w:rsidRPr="000C2706">
              <w:rPr>
                <w:sz w:val="16"/>
                <w:szCs w:val="16"/>
                <w:lang w:val="sq-AL"/>
              </w:rPr>
              <w:t>1,000</w:t>
            </w:r>
          </w:p>
        </w:tc>
        <w:tc>
          <w:tcPr>
            <w:tcW w:w="804" w:type="dxa"/>
            <w:tcBorders>
              <w:top w:val="nil"/>
              <w:left w:val="nil"/>
              <w:bottom w:val="nil"/>
              <w:right w:val="double" w:sz="6" w:space="0" w:color="auto"/>
            </w:tcBorders>
            <w:shd w:val="clear" w:color="auto" w:fill="FFFFFF" w:themeFill="background1"/>
            <w:noWrap/>
            <w:vAlign w:val="bottom"/>
            <w:hideMark/>
          </w:tcPr>
          <w:p w14:paraId="37042D4F" w14:textId="77777777" w:rsidR="000C2706" w:rsidRPr="000C2706" w:rsidRDefault="000C2706" w:rsidP="000C2706">
            <w:pPr>
              <w:spacing w:line="276" w:lineRule="auto"/>
              <w:jc w:val="both"/>
              <w:rPr>
                <w:sz w:val="16"/>
                <w:szCs w:val="16"/>
                <w:lang w:val="sq-AL"/>
              </w:rPr>
            </w:pPr>
            <w:r w:rsidRPr="000C2706">
              <w:rPr>
                <w:sz w:val="16"/>
                <w:szCs w:val="16"/>
                <w:lang w:val="sq-AL"/>
              </w:rPr>
              <w:t>0.0%</w:t>
            </w:r>
          </w:p>
        </w:tc>
        <w:tc>
          <w:tcPr>
            <w:tcW w:w="901" w:type="dxa"/>
            <w:tcBorders>
              <w:top w:val="nil"/>
              <w:left w:val="nil"/>
              <w:bottom w:val="nil"/>
              <w:right w:val="double" w:sz="6" w:space="0" w:color="auto"/>
            </w:tcBorders>
            <w:noWrap/>
            <w:vAlign w:val="bottom"/>
            <w:hideMark/>
          </w:tcPr>
          <w:p w14:paraId="364AF7B5" w14:textId="77777777" w:rsidR="000C2706" w:rsidRPr="000C2706" w:rsidRDefault="000C2706" w:rsidP="000C2706">
            <w:pPr>
              <w:spacing w:line="276" w:lineRule="auto"/>
              <w:jc w:val="both"/>
              <w:rPr>
                <w:sz w:val="16"/>
                <w:szCs w:val="16"/>
                <w:lang w:val="sq-AL"/>
              </w:rPr>
            </w:pPr>
            <w:r w:rsidRPr="000C2706">
              <w:rPr>
                <w:sz w:val="16"/>
                <w:szCs w:val="16"/>
                <w:lang w:val="sq-AL"/>
              </w:rPr>
              <w:t>200</w:t>
            </w:r>
          </w:p>
        </w:tc>
        <w:tc>
          <w:tcPr>
            <w:tcW w:w="901" w:type="dxa"/>
            <w:tcBorders>
              <w:top w:val="nil"/>
              <w:left w:val="nil"/>
              <w:bottom w:val="nil"/>
              <w:right w:val="double" w:sz="6" w:space="0" w:color="auto"/>
            </w:tcBorders>
            <w:noWrap/>
            <w:vAlign w:val="bottom"/>
            <w:hideMark/>
          </w:tcPr>
          <w:p w14:paraId="750DA395" w14:textId="77777777" w:rsidR="000C2706" w:rsidRPr="000C2706" w:rsidRDefault="000C2706" w:rsidP="000C2706">
            <w:pPr>
              <w:spacing w:line="276" w:lineRule="auto"/>
              <w:jc w:val="both"/>
              <w:rPr>
                <w:sz w:val="16"/>
                <w:szCs w:val="16"/>
                <w:lang w:val="sq-AL"/>
              </w:rPr>
            </w:pPr>
            <w:r w:rsidRPr="000C2706">
              <w:rPr>
                <w:sz w:val="16"/>
                <w:szCs w:val="16"/>
                <w:lang w:val="sq-AL"/>
              </w:rPr>
              <w:t>0.01%</w:t>
            </w:r>
          </w:p>
        </w:tc>
      </w:tr>
      <w:tr w:rsidR="000C2706" w:rsidRPr="000C2706" w14:paraId="1D0FEECA"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48E3AB1D"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61284469" w14:textId="77777777" w:rsidR="000C2706" w:rsidRPr="000C2706" w:rsidRDefault="000C2706" w:rsidP="000C2706">
            <w:pPr>
              <w:spacing w:line="276" w:lineRule="auto"/>
              <w:jc w:val="both"/>
              <w:rPr>
                <w:sz w:val="16"/>
                <w:szCs w:val="16"/>
                <w:lang w:val="sq-AL"/>
              </w:rPr>
            </w:pPr>
            <w:r w:rsidRPr="000C2706">
              <w:rPr>
                <w:sz w:val="16"/>
                <w:szCs w:val="16"/>
                <w:lang w:val="sq-AL"/>
              </w:rPr>
              <w:t>Ndihma Ekonomike dhe Paaftesia</w:t>
            </w:r>
          </w:p>
        </w:tc>
        <w:tc>
          <w:tcPr>
            <w:tcW w:w="1363" w:type="dxa"/>
            <w:tcBorders>
              <w:top w:val="nil"/>
              <w:left w:val="double" w:sz="6" w:space="0" w:color="auto"/>
              <w:bottom w:val="nil"/>
              <w:right w:val="single" w:sz="4" w:space="0" w:color="auto"/>
            </w:tcBorders>
            <w:noWrap/>
            <w:vAlign w:val="bottom"/>
            <w:hideMark/>
          </w:tcPr>
          <w:p w14:paraId="60D557EB" w14:textId="77777777" w:rsidR="000C2706" w:rsidRPr="000C2706" w:rsidRDefault="000C2706" w:rsidP="000C2706">
            <w:pPr>
              <w:spacing w:line="276" w:lineRule="auto"/>
              <w:jc w:val="both"/>
              <w:rPr>
                <w:sz w:val="16"/>
                <w:szCs w:val="16"/>
                <w:lang w:val="sq-AL"/>
              </w:rPr>
            </w:pPr>
            <w:r w:rsidRPr="000C2706">
              <w:rPr>
                <w:sz w:val="16"/>
                <w:szCs w:val="16"/>
                <w:lang w:val="sq-AL"/>
              </w:rPr>
              <w:t>23,900</w:t>
            </w:r>
          </w:p>
        </w:tc>
        <w:tc>
          <w:tcPr>
            <w:tcW w:w="804" w:type="dxa"/>
            <w:tcBorders>
              <w:top w:val="nil"/>
              <w:left w:val="nil"/>
              <w:bottom w:val="nil"/>
              <w:right w:val="double" w:sz="6" w:space="0" w:color="auto"/>
            </w:tcBorders>
            <w:noWrap/>
            <w:vAlign w:val="bottom"/>
            <w:hideMark/>
          </w:tcPr>
          <w:p w14:paraId="739AC229" w14:textId="77777777" w:rsidR="000C2706" w:rsidRPr="000C2706" w:rsidRDefault="000C2706" w:rsidP="000C2706">
            <w:pPr>
              <w:spacing w:line="276" w:lineRule="auto"/>
              <w:jc w:val="both"/>
              <w:rPr>
                <w:sz w:val="16"/>
                <w:szCs w:val="16"/>
                <w:lang w:val="sq-AL"/>
              </w:rPr>
            </w:pPr>
            <w:r w:rsidRPr="000C2706">
              <w:rPr>
                <w:sz w:val="16"/>
                <w:szCs w:val="16"/>
                <w:lang w:val="sq-AL"/>
              </w:rPr>
              <w:t>0.9%</w:t>
            </w:r>
          </w:p>
        </w:tc>
        <w:tc>
          <w:tcPr>
            <w:tcW w:w="977" w:type="dxa"/>
            <w:tcBorders>
              <w:top w:val="nil"/>
              <w:left w:val="nil"/>
              <w:bottom w:val="nil"/>
              <w:right w:val="single" w:sz="4" w:space="0" w:color="auto"/>
            </w:tcBorders>
            <w:shd w:val="clear" w:color="auto" w:fill="FFFFFF" w:themeFill="background1"/>
            <w:noWrap/>
            <w:vAlign w:val="bottom"/>
            <w:hideMark/>
          </w:tcPr>
          <w:p w14:paraId="13179F66" w14:textId="77777777" w:rsidR="000C2706" w:rsidRPr="000C2706" w:rsidRDefault="000C2706" w:rsidP="000C2706">
            <w:pPr>
              <w:spacing w:line="276" w:lineRule="auto"/>
              <w:jc w:val="both"/>
              <w:rPr>
                <w:sz w:val="16"/>
                <w:szCs w:val="16"/>
                <w:lang w:val="sq-AL"/>
              </w:rPr>
            </w:pPr>
            <w:r w:rsidRPr="000C2706">
              <w:rPr>
                <w:sz w:val="16"/>
                <w:szCs w:val="16"/>
                <w:lang w:val="sq-AL"/>
              </w:rPr>
              <w:t>23,900</w:t>
            </w:r>
          </w:p>
        </w:tc>
        <w:tc>
          <w:tcPr>
            <w:tcW w:w="804" w:type="dxa"/>
            <w:tcBorders>
              <w:top w:val="nil"/>
              <w:left w:val="nil"/>
              <w:bottom w:val="nil"/>
              <w:right w:val="double" w:sz="6" w:space="0" w:color="auto"/>
            </w:tcBorders>
            <w:shd w:val="clear" w:color="auto" w:fill="FFFFFF" w:themeFill="background1"/>
            <w:noWrap/>
            <w:vAlign w:val="bottom"/>
            <w:hideMark/>
          </w:tcPr>
          <w:p w14:paraId="0C4AD351" w14:textId="77777777" w:rsidR="000C2706" w:rsidRPr="000C2706" w:rsidRDefault="000C2706" w:rsidP="000C2706">
            <w:pPr>
              <w:spacing w:line="276" w:lineRule="auto"/>
              <w:jc w:val="both"/>
              <w:rPr>
                <w:sz w:val="16"/>
                <w:szCs w:val="16"/>
                <w:lang w:val="sq-AL"/>
              </w:rPr>
            </w:pPr>
            <w:r w:rsidRPr="000C2706">
              <w:rPr>
                <w:sz w:val="16"/>
                <w:szCs w:val="16"/>
                <w:lang w:val="sq-AL"/>
              </w:rPr>
              <w:t>0.9%</w:t>
            </w:r>
          </w:p>
        </w:tc>
        <w:tc>
          <w:tcPr>
            <w:tcW w:w="901" w:type="dxa"/>
            <w:tcBorders>
              <w:top w:val="nil"/>
              <w:left w:val="nil"/>
              <w:bottom w:val="nil"/>
              <w:right w:val="double" w:sz="6" w:space="0" w:color="auto"/>
            </w:tcBorders>
            <w:noWrap/>
            <w:vAlign w:val="bottom"/>
            <w:hideMark/>
          </w:tcPr>
          <w:p w14:paraId="2D9973F0"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730189CA"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2B8781E6"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07487E26"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031C2537" w14:textId="77777777" w:rsidR="000C2706" w:rsidRPr="000C2706" w:rsidRDefault="000C2706" w:rsidP="000C2706">
            <w:pPr>
              <w:spacing w:line="276" w:lineRule="auto"/>
              <w:jc w:val="both"/>
              <w:rPr>
                <w:sz w:val="16"/>
                <w:szCs w:val="16"/>
                <w:lang w:val="sq-AL"/>
              </w:rPr>
            </w:pPr>
            <w:r w:rsidRPr="000C2706">
              <w:rPr>
                <w:sz w:val="16"/>
                <w:szCs w:val="16"/>
                <w:lang w:val="sq-AL"/>
              </w:rPr>
              <w:t>Kompensim per ish te perndjekurit politike</w:t>
            </w:r>
          </w:p>
        </w:tc>
        <w:tc>
          <w:tcPr>
            <w:tcW w:w="1363" w:type="dxa"/>
            <w:tcBorders>
              <w:top w:val="nil"/>
              <w:left w:val="double" w:sz="6" w:space="0" w:color="auto"/>
              <w:bottom w:val="nil"/>
              <w:right w:val="single" w:sz="4" w:space="0" w:color="auto"/>
            </w:tcBorders>
            <w:noWrap/>
            <w:vAlign w:val="bottom"/>
            <w:hideMark/>
          </w:tcPr>
          <w:p w14:paraId="69CC654D" w14:textId="77777777" w:rsidR="000C2706" w:rsidRPr="000C2706" w:rsidRDefault="000C2706" w:rsidP="000C2706">
            <w:pPr>
              <w:spacing w:line="276" w:lineRule="auto"/>
              <w:jc w:val="both"/>
              <w:rPr>
                <w:sz w:val="16"/>
                <w:szCs w:val="16"/>
                <w:lang w:val="sq-AL"/>
              </w:rPr>
            </w:pPr>
            <w:r w:rsidRPr="000C2706">
              <w:rPr>
                <w:sz w:val="16"/>
                <w:szCs w:val="16"/>
                <w:lang w:val="sq-AL"/>
              </w:rPr>
              <w:t>1,600</w:t>
            </w:r>
          </w:p>
        </w:tc>
        <w:tc>
          <w:tcPr>
            <w:tcW w:w="804" w:type="dxa"/>
            <w:tcBorders>
              <w:top w:val="nil"/>
              <w:left w:val="nil"/>
              <w:bottom w:val="nil"/>
              <w:right w:val="double" w:sz="6" w:space="0" w:color="auto"/>
            </w:tcBorders>
            <w:noWrap/>
            <w:vAlign w:val="bottom"/>
            <w:hideMark/>
          </w:tcPr>
          <w:p w14:paraId="61572F43"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68BD0A95" w14:textId="77777777" w:rsidR="000C2706" w:rsidRPr="000C2706" w:rsidRDefault="000C2706" w:rsidP="000C2706">
            <w:pPr>
              <w:spacing w:line="276" w:lineRule="auto"/>
              <w:jc w:val="both"/>
              <w:rPr>
                <w:sz w:val="16"/>
                <w:szCs w:val="16"/>
                <w:lang w:val="sq-AL"/>
              </w:rPr>
            </w:pPr>
            <w:r w:rsidRPr="000C2706">
              <w:rPr>
                <w:sz w:val="16"/>
                <w:szCs w:val="16"/>
                <w:lang w:val="sq-AL"/>
              </w:rPr>
              <w:t>1,500</w:t>
            </w:r>
          </w:p>
        </w:tc>
        <w:tc>
          <w:tcPr>
            <w:tcW w:w="804" w:type="dxa"/>
            <w:tcBorders>
              <w:top w:val="nil"/>
              <w:left w:val="nil"/>
              <w:bottom w:val="nil"/>
              <w:right w:val="double" w:sz="6" w:space="0" w:color="auto"/>
            </w:tcBorders>
            <w:shd w:val="clear" w:color="auto" w:fill="FFFFFF" w:themeFill="background1"/>
            <w:noWrap/>
            <w:vAlign w:val="bottom"/>
            <w:hideMark/>
          </w:tcPr>
          <w:p w14:paraId="374BEFE3"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773EB7AB" w14:textId="77777777" w:rsidR="000C2706" w:rsidRPr="000C2706" w:rsidRDefault="000C2706" w:rsidP="000C2706">
            <w:pPr>
              <w:spacing w:line="276" w:lineRule="auto"/>
              <w:jc w:val="both"/>
              <w:rPr>
                <w:sz w:val="16"/>
                <w:szCs w:val="16"/>
                <w:lang w:val="sq-AL"/>
              </w:rPr>
            </w:pPr>
            <w:r w:rsidRPr="000C2706">
              <w:rPr>
                <w:sz w:val="16"/>
                <w:szCs w:val="16"/>
                <w:lang w:val="sq-AL"/>
              </w:rPr>
              <w:t>-100</w:t>
            </w:r>
          </w:p>
        </w:tc>
        <w:tc>
          <w:tcPr>
            <w:tcW w:w="901" w:type="dxa"/>
            <w:tcBorders>
              <w:top w:val="nil"/>
              <w:left w:val="nil"/>
              <w:bottom w:val="nil"/>
              <w:right w:val="double" w:sz="6" w:space="0" w:color="auto"/>
            </w:tcBorders>
            <w:noWrap/>
            <w:vAlign w:val="bottom"/>
            <w:hideMark/>
          </w:tcPr>
          <w:p w14:paraId="3C192404"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53E5CA37" w14:textId="77777777" w:rsidTr="00A41DE9">
        <w:trPr>
          <w:trHeight w:val="262"/>
        </w:trPr>
        <w:tc>
          <w:tcPr>
            <w:tcW w:w="490" w:type="dxa"/>
            <w:tcBorders>
              <w:top w:val="nil"/>
              <w:left w:val="single" w:sz="12" w:space="0" w:color="auto"/>
              <w:bottom w:val="nil"/>
              <w:right w:val="double" w:sz="6" w:space="0" w:color="auto"/>
            </w:tcBorders>
            <w:noWrap/>
            <w:vAlign w:val="bottom"/>
            <w:hideMark/>
          </w:tcPr>
          <w:p w14:paraId="088F233C"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76475DA1" w14:textId="77777777" w:rsidR="000C2706" w:rsidRPr="000C2706" w:rsidRDefault="000C2706" w:rsidP="000C2706">
            <w:pPr>
              <w:spacing w:line="276" w:lineRule="auto"/>
              <w:jc w:val="both"/>
              <w:rPr>
                <w:sz w:val="16"/>
                <w:szCs w:val="16"/>
                <w:lang w:val="sq-AL"/>
              </w:rPr>
            </w:pPr>
            <w:r w:rsidRPr="000C2706">
              <w:rPr>
                <w:sz w:val="16"/>
                <w:szCs w:val="16"/>
                <w:lang w:val="sq-AL"/>
              </w:rPr>
              <w:t>Bonusi i lindjeve</w:t>
            </w:r>
          </w:p>
        </w:tc>
        <w:tc>
          <w:tcPr>
            <w:tcW w:w="1363" w:type="dxa"/>
            <w:tcBorders>
              <w:top w:val="nil"/>
              <w:left w:val="double" w:sz="6" w:space="0" w:color="auto"/>
              <w:bottom w:val="nil"/>
              <w:right w:val="single" w:sz="4" w:space="0" w:color="auto"/>
            </w:tcBorders>
            <w:noWrap/>
            <w:vAlign w:val="bottom"/>
            <w:hideMark/>
          </w:tcPr>
          <w:p w14:paraId="2ADFE978" w14:textId="77777777" w:rsidR="000C2706" w:rsidRPr="000C2706" w:rsidRDefault="000C2706" w:rsidP="000C2706">
            <w:pPr>
              <w:spacing w:line="276" w:lineRule="auto"/>
              <w:jc w:val="both"/>
              <w:rPr>
                <w:sz w:val="16"/>
                <w:szCs w:val="16"/>
                <w:lang w:val="sq-AL"/>
              </w:rPr>
            </w:pPr>
            <w:r w:rsidRPr="000C2706">
              <w:rPr>
                <w:sz w:val="16"/>
                <w:szCs w:val="16"/>
                <w:lang w:val="sq-AL"/>
              </w:rPr>
              <w:t>2,300</w:t>
            </w:r>
          </w:p>
        </w:tc>
        <w:tc>
          <w:tcPr>
            <w:tcW w:w="804" w:type="dxa"/>
            <w:tcBorders>
              <w:top w:val="nil"/>
              <w:left w:val="nil"/>
              <w:bottom w:val="nil"/>
              <w:right w:val="double" w:sz="6" w:space="0" w:color="auto"/>
            </w:tcBorders>
            <w:noWrap/>
            <w:vAlign w:val="bottom"/>
            <w:hideMark/>
          </w:tcPr>
          <w:p w14:paraId="6B0C5D5C"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5466782C" w14:textId="77777777" w:rsidR="000C2706" w:rsidRPr="000C2706" w:rsidRDefault="000C2706" w:rsidP="000C2706">
            <w:pPr>
              <w:spacing w:line="276" w:lineRule="auto"/>
              <w:jc w:val="both"/>
              <w:rPr>
                <w:sz w:val="16"/>
                <w:szCs w:val="16"/>
                <w:lang w:val="sq-AL"/>
              </w:rPr>
            </w:pPr>
            <w:r w:rsidRPr="000C2706">
              <w:rPr>
                <w:sz w:val="16"/>
                <w:szCs w:val="16"/>
                <w:lang w:val="sq-AL"/>
              </w:rPr>
              <w:t>2,300</w:t>
            </w:r>
          </w:p>
        </w:tc>
        <w:tc>
          <w:tcPr>
            <w:tcW w:w="804" w:type="dxa"/>
            <w:tcBorders>
              <w:top w:val="nil"/>
              <w:left w:val="nil"/>
              <w:bottom w:val="nil"/>
              <w:right w:val="double" w:sz="6" w:space="0" w:color="auto"/>
            </w:tcBorders>
            <w:shd w:val="clear" w:color="auto" w:fill="FFFFFF" w:themeFill="background1"/>
            <w:noWrap/>
            <w:vAlign w:val="bottom"/>
            <w:hideMark/>
          </w:tcPr>
          <w:p w14:paraId="7A1D2398"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4AEB88D6"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48ED5514"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43184647" w14:textId="77777777" w:rsidTr="00A41DE9">
        <w:trPr>
          <w:trHeight w:val="247"/>
        </w:trPr>
        <w:tc>
          <w:tcPr>
            <w:tcW w:w="490" w:type="dxa"/>
            <w:tcBorders>
              <w:top w:val="nil"/>
              <w:left w:val="single" w:sz="12" w:space="0" w:color="auto"/>
              <w:bottom w:val="nil"/>
              <w:right w:val="double" w:sz="6" w:space="0" w:color="auto"/>
            </w:tcBorders>
            <w:noWrap/>
            <w:vAlign w:val="bottom"/>
            <w:hideMark/>
          </w:tcPr>
          <w:p w14:paraId="318B73AD" w14:textId="77777777" w:rsidR="000C2706" w:rsidRPr="000C2706" w:rsidRDefault="000C2706" w:rsidP="000C2706">
            <w:pPr>
              <w:spacing w:line="276" w:lineRule="auto"/>
              <w:jc w:val="both"/>
              <w:rPr>
                <w:b/>
                <w:bCs/>
                <w:sz w:val="16"/>
                <w:szCs w:val="16"/>
                <w:lang w:val="sq-AL"/>
              </w:rPr>
            </w:pPr>
            <w:r w:rsidRPr="000C2706">
              <w:rPr>
                <w:b/>
                <w:bCs/>
                <w:sz w:val="16"/>
                <w:szCs w:val="16"/>
                <w:lang w:val="sq-AL"/>
              </w:rPr>
              <w:t>III.</w:t>
            </w:r>
          </w:p>
        </w:tc>
        <w:tc>
          <w:tcPr>
            <w:tcW w:w="3689" w:type="dxa"/>
            <w:tcBorders>
              <w:top w:val="nil"/>
              <w:left w:val="nil"/>
              <w:bottom w:val="nil"/>
              <w:right w:val="nil"/>
            </w:tcBorders>
            <w:noWrap/>
            <w:vAlign w:val="bottom"/>
            <w:hideMark/>
          </w:tcPr>
          <w:p w14:paraId="4DE18991" w14:textId="77777777" w:rsidR="000C2706" w:rsidRPr="000C2706" w:rsidRDefault="000C2706" w:rsidP="000C2706">
            <w:pPr>
              <w:spacing w:line="276" w:lineRule="auto"/>
              <w:jc w:val="both"/>
              <w:rPr>
                <w:b/>
                <w:bCs/>
                <w:sz w:val="16"/>
                <w:szCs w:val="16"/>
                <w:lang w:val="sq-AL"/>
              </w:rPr>
            </w:pPr>
            <w:r w:rsidRPr="000C2706">
              <w:rPr>
                <w:b/>
                <w:bCs/>
                <w:sz w:val="16"/>
                <w:szCs w:val="16"/>
                <w:lang w:val="sq-AL"/>
              </w:rPr>
              <w:t>Fonde te tjera te pashperndara</w:t>
            </w:r>
          </w:p>
        </w:tc>
        <w:tc>
          <w:tcPr>
            <w:tcW w:w="1363" w:type="dxa"/>
            <w:tcBorders>
              <w:top w:val="nil"/>
              <w:left w:val="double" w:sz="6" w:space="0" w:color="auto"/>
              <w:bottom w:val="nil"/>
              <w:right w:val="single" w:sz="4" w:space="0" w:color="auto"/>
            </w:tcBorders>
            <w:noWrap/>
            <w:vAlign w:val="bottom"/>
            <w:hideMark/>
          </w:tcPr>
          <w:p w14:paraId="606751B8"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2,500</w:t>
            </w:r>
          </w:p>
        </w:tc>
        <w:tc>
          <w:tcPr>
            <w:tcW w:w="804" w:type="dxa"/>
            <w:tcBorders>
              <w:top w:val="nil"/>
              <w:left w:val="nil"/>
              <w:bottom w:val="nil"/>
              <w:right w:val="double" w:sz="6" w:space="0" w:color="auto"/>
            </w:tcBorders>
            <w:noWrap/>
            <w:vAlign w:val="bottom"/>
            <w:hideMark/>
          </w:tcPr>
          <w:p w14:paraId="76B6FC1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64F144E2" w14:textId="77777777" w:rsidR="000C2706" w:rsidRPr="000C2706" w:rsidRDefault="000C2706" w:rsidP="000C2706">
            <w:pPr>
              <w:spacing w:line="276" w:lineRule="auto"/>
              <w:jc w:val="both"/>
              <w:rPr>
                <w:b/>
                <w:bCs/>
                <w:sz w:val="20"/>
                <w:szCs w:val="20"/>
                <w:lang w:val="sq-AL"/>
              </w:rPr>
            </w:pPr>
            <w:r w:rsidRPr="000C2706">
              <w:rPr>
                <w:b/>
                <w:bCs/>
                <w:sz w:val="20"/>
                <w:szCs w:val="20"/>
                <w:lang w:val="sq-AL"/>
              </w:rPr>
              <w:t>2,500</w:t>
            </w:r>
          </w:p>
        </w:tc>
        <w:tc>
          <w:tcPr>
            <w:tcW w:w="804" w:type="dxa"/>
            <w:tcBorders>
              <w:top w:val="nil"/>
              <w:left w:val="nil"/>
              <w:bottom w:val="nil"/>
              <w:right w:val="double" w:sz="6" w:space="0" w:color="auto"/>
            </w:tcBorders>
            <w:shd w:val="clear" w:color="auto" w:fill="FFFFFF" w:themeFill="background1"/>
            <w:noWrap/>
            <w:vAlign w:val="bottom"/>
            <w:hideMark/>
          </w:tcPr>
          <w:p w14:paraId="16EC862B"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0.1%</w:t>
            </w:r>
          </w:p>
        </w:tc>
        <w:tc>
          <w:tcPr>
            <w:tcW w:w="901" w:type="dxa"/>
            <w:tcBorders>
              <w:top w:val="nil"/>
              <w:left w:val="nil"/>
              <w:bottom w:val="nil"/>
              <w:right w:val="double" w:sz="6" w:space="0" w:color="auto"/>
            </w:tcBorders>
            <w:noWrap/>
            <w:vAlign w:val="bottom"/>
            <w:hideMark/>
          </w:tcPr>
          <w:p w14:paraId="0AE3E0F6"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w:t>
            </w:r>
          </w:p>
        </w:tc>
        <w:tc>
          <w:tcPr>
            <w:tcW w:w="901" w:type="dxa"/>
            <w:tcBorders>
              <w:top w:val="nil"/>
              <w:left w:val="nil"/>
              <w:bottom w:val="nil"/>
              <w:right w:val="double" w:sz="6" w:space="0" w:color="auto"/>
            </w:tcBorders>
            <w:noWrap/>
            <w:vAlign w:val="bottom"/>
            <w:hideMark/>
          </w:tcPr>
          <w:p w14:paraId="6339FFD4" w14:textId="77777777" w:rsidR="000C2706" w:rsidRPr="000C2706" w:rsidRDefault="000C2706" w:rsidP="000C2706">
            <w:pPr>
              <w:spacing w:line="276" w:lineRule="auto"/>
              <w:jc w:val="both"/>
              <w:rPr>
                <w:b/>
                <w:bCs/>
                <w:sz w:val="20"/>
                <w:szCs w:val="20"/>
                <w:lang w:val="sq-AL"/>
              </w:rPr>
            </w:pPr>
            <w:r w:rsidRPr="000C2706">
              <w:rPr>
                <w:b/>
                <w:bCs/>
                <w:sz w:val="20"/>
                <w:szCs w:val="20"/>
                <w:lang w:val="sq-AL"/>
              </w:rPr>
              <w:t>0.00%</w:t>
            </w:r>
          </w:p>
        </w:tc>
      </w:tr>
      <w:tr w:rsidR="000C2706" w:rsidRPr="000C2706" w14:paraId="1761A4A9" w14:textId="77777777" w:rsidTr="00A41DE9">
        <w:trPr>
          <w:trHeight w:val="276"/>
        </w:trPr>
        <w:tc>
          <w:tcPr>
            <w:tcW w:w="490" w:type="dxa"/>
            <w:tcBorders>
              <w:top w:val="nil"/>
              <w:left w:val="single" w:sz="12" w:space="0" w:color="auto"/>
              <w:bottom w:val="nil"/>
              <w:right w:val="double" w:sz="6" w:space="0" w:color="auto"/>
            </w:tcBorders>
            <w:noWrap/>
            <w:vAlign w:val="bottom"/>
            <w:hideMark/>
          </w:tcPr>
          <w:p w14:paraId="154CD89A"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nil"/>
              <w:left w:val="nil"/>
              <w:bottom w:val="nil"/>
              <w:right w:val="nil"/>
            </w:tcBorders>
            <w:noWrap/>
            <w:vAlign w:val="bottom"/>
            <w:hideMark/>
          </w:tcPr>
          <w:p w14:paraId="401E585F" w14:textId="77777777" w:rsidR="000C2706" w:rsidRPr="000C2706" w:rsidRDefault="000C2706" w:rsidP="000C2706">
            <w:pPr>
              <w:spacing w:line="276" w:lineRule="auto"/>
              <w:jc w:val="both"/>
              <w:rPr>
                <w:sz w:val="16"/>
                <w:szCs w:val="16"/>
                <w:lang w:val="sq-AL"/>
              </w:rPr>
            </w:pPr>
            <w:r w:rsidRPr="000C2706">
              <w:rPr>
                <w:sz w:val="16"/>
                <w:szCs w:val="16"/>
                <w:lang w:val="sq-AL"/>
              </w:rPr>
              <w:t>Fondi Rezerve</w:t>
            </w:r>
          </w:p>
        </w:tc>
        <w:tc>
          <w:tcPr>
            <w:tcW w:w="1363" w:type="dxa"/>
            <w:tcBorders>
              <w:top w:val="nil"/>
              <w:left w:val="double" w:sz="6" w:space="0" w:color="auto"/>
              <w:bottom w:val="nil"/>
              <w:right w:val="single" w:sz="4" w:space="0" w:color="auto"/>
            </w:tcBorders>
            <w:noWrap/>
            <w:vAlign w:val="bottom"/>
            <w:hideMark/>
          </w:tcPr>
          <w:p w14:paraId="673118D7" w14:textId="77777777" w:rsidR="000C2706" w:rsidRPr="000C2706" w:rsidRDefault="000C2706" w:rsidP="000C2706">
            <w:pPr>
              <w:spacing w:line="276" w:lineRule="auto"/>
              <w:jc w:val="both"/>
              <w:rPr>
                <w:sz w:val="16"/>
                <w:szCs w:val="16"/>
                <w:lang w:val="sq-AL"/>
              </w:rPr>
            </w:pPr>
            <w:r w:rsidRPr="000C2706">
              <w:rPr>
                <w:sz w:val="16"/>
                <w:szCs w:val="16"/>
                <w:lang w:val="sq-AL"/>
              </w:rPr>
              <w:t>2,500</w:t>
            </w:r>
          </w:p>
        </w:tc>
        <w:tc>
          <w:tcPr>
            <w:tcW w:w="804" w:type="dxa"/>
            <w:tcBorders>
              <w:top w:val="nil"/>
              <w:left w:val="nil"/>
              <w:bottom w:val="nil"/>
              <w:right w:val="double" w:sz="6" w:space="0" w:color="auto"/>
            </w:tcBorders>
            <w:noWrap/>
            <w:vAlign w:val="bottom"/>
            <w:hideMark/>
          </w:tcPr>
          <w:p w14:paraId="6192D243"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77" w:type="dxa"/>
            <w:tcBorders>
              <w:top w:val="nil"/>
              <w:left w:val="nil"/>
              <w:bottom w:val="nil"/>
              <w:right w:val="single" w:sz="4" w:space="0" w:color="auto"/>
            </w:tcBorders>
            <w:shd w:val="clear" w:color="auto" w:fill="FFFFFF" w:themeFill="background1"/>
            <w:noWrap/>
            <w:vAlign w:val="bottom"/>
            <w:hideMark/>
          </w:tcPr>
          <w:p w14:paraId="58992C3B" w14:textId="77777777" w:rsidR="000C2706" w:rsidRPr="000C2706" w:rsidRDefault="000C2706" w:rsidP="000C2706">
            <w:pPr>
              <w:spacing w:line="276" w:lineRule="auto"/>
              <w:jc w:val="both"/>
              <w:rPr>
                <w:sz w:val="16"/>
                <w:szCs w:val="16"/>
                <w:lang w:val="sq-AL"/>
              </w:rPr>
            </w:pPr>
            <w:r w:rsidRPr="000C2706">
              <w:rPr>
                <w:sz w:val="16"/>
                <w:szCs w:val="16"/>
                <w:lang w:val="sq-AL"/>
              </w:rPr>
              <w:t>2,500</w:t>
            </w:r>
          </w:p>
        </w:tc>
        <w:tc>
          <w:tcPr>
            <w:tcW w:w="804" w:type="dxa"/>
            <w:tcBorders>
              <w:top w:val="nil"/>
              <w:left w:val="nil"/>
              <w:bottom w:val="nil"/>
              <w:right w:val="double" w:sz="6" w:space="0" w:color="auto"/>
            </w:tcBorders>
            <w:shd w:val="clear" w:color="auto" w:fill="FFFFFF" w:themeFill="background1"/>
            <w:noWrap/>
            <w:vAlign w:val="bottom"/>
            <w:hideMark/>
          </w:tcPr>
          <w:p w14:paraId="0742AFC0" w14:textId="77777777" w:rsidR="000C2706" w:rsidRPr="000C2706" w:rsidRDefault="000C2706" w:rsidP="000C2706">
            <w:pPr>
              <w:spacing w:line="276" w:lineRule="auto"/>
              <w:jc w:val="both"/>
              <w:rPr>
                <w:sz w:val="16"/>
                <w:szCs w:val="16"/>
                <w:lang w:val="sq-AL"/>
              </w:rPr>
            </w:pPr>
            <w:r w:rsidRPr="000C2706">
              <w:rPr>
                <w:sz w:val="16"/>
                <w:szCs w:val="16"/>
                <w:lang w:val="sq-AL"/>
              </w:rPr>
              <w:t>0.1%</w:t>
            </w:r>
          </w:p>
        </w:tc>
        <w:tc>
          <w:tcPr>
            <w:tcW w:w="901" w:type="dxa"/>
            <w:tcBorders>
              <w:top w:val="nil"/>
              <w:left w:val="nil"/>
              <w:bottom w:val="nil"/>
              <w:right w:val="double" w:sz="6" w:space="0" w:color="auto"/>
            </w:tcBorders>
            <w:noWrap/>
            <w:vAlign w:val="bottom"/>
            <w:hideMark/>
          </w:tcPr>
          <w:p w14:paraId="245D03D6" w14:textId="77777777" w:rsidR="000C2706" w:rsidRPr="000C2706" w:rsidRDefault="000C2706" w:rsidP="000C2706">
            <w:pPr>
              <w:spacing w:line="276" w:lineRule="auto"/>
              <w:jc w:val="both"/>
              <w:rPr>
                <w:sz w:val="16"/>
                <w:szCs w:val="16"/>
                <w:lang w:val="sq-AL"/>
              </w:rPr>
            </w:pPr>
            <w:r w:rsidRPr="000C2706">
              <w:rPr>
                <w:sz w:val="16"/>
                <w:szCs w:val="16"/>
                <w:lang w:val="sq-AL"/>
              </w:rPr>
              <w:t>0</w:t>
            </w:r>
          </w:p>
        </w:tc>
        <w:tc>
          <w:tcPr>
            <w:tcW w:w="901" w:type="dxa"/>
            <w:tcBorders>
              <w:top w:val="nil"/>
              <w:left w:val="nil"/>
              <w:bottom w:val="nil"/>
              <w:right w:val="double" w:sz="6" w:space="0" w:color="auto"/>
            </w:tcBorders>
            <w:noWrap/>
            <w:vAlign w:val="bottom"/>
            <w:hideMark/>
          </w:tcPr>
          <w:p w14:paraId="1F68ED3B" w14:textId="77777777" w:rsidR="000C2706" w:rsidRPr="000C2706" w:rsidRDefault="000C2706" w:rsidP="000C2706">
            <w:pPr>
              <w:spacing w:line="276" w:lineRule="auto"/>
              <w:jc w:val="both"/>
              <w:rPr>
                <w:sz w:val="16"/>
                <w:szCs w:val="16"/>
                <w:lang w:val="sq-AL"/>
              </w:rPr>
            </w:pPr>
            <w:r w:rsidRPr="000C2706">
              <w:rPr>
                <w:sz w:val="16"/>
                <w:szCs w:val="16"/>
                <w:lang w:val="sq-AL"/>
              </w:rPr>
              <w:t>0.00%</w:t>
            </w:r>
          </w:p>
        </w:tc>
      </w:tr>
      <w:tr w:rsidR="000C2706" w:rsidRPr="000C2706" w14:paraId="64433803" w14:textId="77777777" w:rsidTr="00A41DE9">
        <w:trPr>
          <w:trHeight w:val="291"/>
        </w:trPr>
        <w:tc>
          <w:tcPr>
            <w:tcW w:w="490" w:type="dxa"/>
            <w:tcBorders>
              <w:top w:val="single" w:sz="12" w:space="0" w:color="auto"/>
              <w:left w:val="single" w:sz="12" w:space="0" w:color="auto"/>
              <w:bottom w:val="single" w:sz="12" w:space="0" w:color="auto"/>
              <w:right w:val="double" w:sz="6" w:space="0" w:color="auto"/>
            </w:tcBorders>
            <w:shd w:val="clear" w:color="auto" w:fill="FFFFFF" w:themeFill="background1"/>
            <w:noWrap/>
            <w:vAlign w:val="bottom"/>
            <w:hideMark/>
          </w:tcPr>
          <w:p w14:paraId="17F6B207"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3689" w:type="dxa"/>
            <w:tcBorders>
              <w:top w:val="single" w:sz="12" w:space="0" w:color="auto"/>
              <w:left w:val="nil"/>
              <w:bottom w:val="single" w:sz="12" w:space="0" w:color="auto"/>
              <w:right w:val="nil"/>
            </w:tcBorders>
            <w:shd w:val="clear" w:color="auto" w:fill="FFFFFF" w:themeFill="background1"/>
            <w:noWrap/>
            <w:vAlign w:val="bottom"/>
            <w:hideMark/>
          </w:tcPr>
          <w:p w14:paraId="6E1866B8" w14:textId="77777777" w:rsidR="000C2706" w:rsidRPr="000C2706" w:rsidRDefault="000C2706" w:rsidP="000C2706">
            <w:pPr>
              <w:spacing w:line="276" w:lineRule="auto"/>
              <w:jc w:val="both"/>
              <w:rPr>
                <w:b/>
                <w:bCs/>
                <w:sz w:val="16"/>
                <w:szCs w:val="16"/>
                <w:lang w:val="sq-AL"/>
              </w:rPr>
            </w:pPr>
            <w:r w:rsidRPr="000C2706">
              <w:rPr>
                <w:b/>
                <w:bCs/>
                <w:sz w:val="16"/>
                <w:szCs w:val="16"/>
                <w:lang w:val="sq-AL"/>
              </w:rPr>
              <w:t xml:space="preserve">Produkti i Brendshem Bruto (PBB) </w:t>
            </w:r>
          </w:p>
        </w:tc>
        <w:tc>
          <w:tcPr>
            <w:tcW w:w="1363" w:type="dxa"/>
            <w:tcBorders>
              <w:top w:val="single" w:sz="12" w:space="0" w:color="auto"/>
              <w:left w:val="double" w:sz="6" w:space="0" w:color="auto"/>
              <w:bottom w:val="single" w:sz="12" w:space="0" w:color="auto"/>
              <w:right w:val="single" w:sz="4" w:space="0" w:color="auto"/>
            </w:tcBorders>
            <w:shd w:val="clear" w:color="auto" w:fill="FFFFFF" w:themeFill="background1"/>
            <w:noWrap/>
            <w:vAlign w:val="bottom"/>
            <w:hideMark/>
          </w:tcPr>
          <w:p w14:paraId="3929992E" w14:textId="77777777" w:rsidR="000C2706" w:rsidRPr="000C2706" w:rsidRDefault="000C2706" w:rsidP="000C2706">
            <w:pPr>
              <w:spacing w:line="276" w:lineRule="auto"/>
              <w:jc w:val="center"/>
              <w:rPr>
                <w:b/>
                <w:bCs/>
                <w:sz w:val="18"/>
                <w:szCs w:val="18"/>
                <w:lang w:val="sq-AL"/>
              </w:rPr>
            </w:pPr>
            <w:r w:rsidRPr="000C2706">
              <w:rPr>
                <w:b/>
                <w:bCs/>
                <w:sz w:val="18"/>
                <w:szCs w:val="18"/>
                <w:lang w:val="sq-AL"/>
              </w:rPr>
              <w:t>2,756,663</w:t>
            </w:r>
          </w:p>
        </w:tc>
        <w:tc>
          <w:tcPr>
            <w:tcW w:w="804" w:type="dxa"/>
            <w:tcBorders>
              <w:top w:val="single" w:sz="12" w:space="0" w:color="auto"/>
              <w:left w:val="nil"/>
              <w:bottom w:val="single" w:sz="12" w:space="0" w:color="auto"/>
              <w:right w:val="double" w:sz="6" w:space="0" w:color="auto"/>
            </w:tcBorders>
            <w:shd w:val="clear" w:color="auto" w:fill="FFFFFF" w:themeFill="background1"/>
            <w:noWrap/>
            <w:vAlign w:val="bottom"/>
          </w:tcPr>
          <w:p w14:paraId="0BE648C4" w14:textId="6301D42B" w:rsidR="000C2706" w:rsidRPr="000C2706" w:rsidRDefault="000C2706" w:rsidP="000C2706">
            <w:pPr>
              <w:spacing w:line="276" w:lineRule="auto"/>
              <w:jc w:val="center"/>
              <w:rPr>
                <w:b/>
                <w:bCs/>
                <w:sz w:val="18"/>
                <w:szCs w:val="18"/>
                <w:lang w:val="sq-AL"/>
              </w:rPr>
            </w:pPr>
          </w:p>
        </w:tc>
        <w:tc>
          <w:tcPr>
            <w:tcW w:w="977" w:type="dxa"/>
            <w:tcBorders>
              <w:top w:val="single" w:sz="12" w:space="0" w:color="auto"/>
              <w:left w:val="nil"/>
              <w:bottom w:val="single" w:sz="12" w:space="0" w:color="auto"/>
              <w:right w:val="single" w:sz="4" w:space="0" w:color="auto"/>
            </w:tcBorders>
            <w:shd w:val="clear" w:color="auto" w:fill="FFFFFF" w:themeFill="background1"/>
            <w:noWrap/>
            <w:vAlign w:val="bottom"/>
            <w:hideMark/>
          </w:tcPr>
          <w:p w14:paraId="1C822C85" w14:textId="77777777" w:rsidR="000C2706" w:rsidRPr="000C2706" w:rsidRDefault="000C2706" w:rsidP="000C2706">
            <w:pPr>
              <w:spacing w:line="276" w:lineRule="auto"/>
              <w:jc w:val="center"/>
              <w:rPr>
                <w:b/>
                <w:bCs/>
                <w:sz w:val="18"/>
                <w:szCs w:val="18"/>
                <w:lang w:val="sq-AL"/>
              </w:rPr>
            </w:pPr>
            <w:r w:rsidRPr="000C2706">
              <w:rPr>
                <w:b/>
                <w:bCs/>
                <w:sz w:val="18"/>
                <w:szCs w:val="18"/>
                <w:lang w:val="sq-AL"/>
              </w:rPr>
              <w:t>2,781,433</w:t>
            </w:r>
          </w:p>
        </w:tc>
        <w:tc>
          <w:tcPr>
            <w:tcW w:w="804" w:type="dxa"/>
            <w:tcBorders>
              <w:top w:val="single" w:sz="12" w:space="0" w:color="auto"/>
              <w:left w:val="nil"/>
              <w:bottom w:val="single" w:sz="12" w:space="0" w:color="auto"/>
              <w:right w:val="double" w:sz="6" w:space="0" w:color="auto"/>
            </w:tcBorders>
            <w:shd w:val="clear" w:color="auto" w:fill="FFFFFF" w:themeFill="background1"/>
            <w:noWrap/>
            <w:vAlign w:val="bottom"/>
          </w:tcPr>
          <w:p w14:paraId="48F2AF53" w14:textId="58357393" w:rsidR="000C2706" w:rsidRPr="000C2706" w:rsidRDefault="000C2706" w:rsidP="000C2706">
            <w:pPr>
              <w:spacing w:line="276" w:lineRule="auto"/>
              <w:jc w:val="center"/>
              <w:rPr>
                <w:b/>
                <w:bCs/>
                <w:sz w:val="18"/>
                <w:szCs w:val="18"/>
                <w:lang w:val="sq-AL"/>
              </w:rPr>
            </w:pPr>
          </w:p>
        </w:tc>
        <w:tc>
          <w:tcPr>
            <w:tcW w:w="901" w:type="dxa"/>
            <w:tcBorders>
              <w:top w:val="single" w:sz="12" w:space="0" w:color="auto"/>
              <w:left w:val="nil"/>
              <w:bottom w:val="single" w:sz="12" w:space="0" w:color="auto"/>
              <w:right w:val="double" w:sz="6" w:space="0" w:color="auto"/>
            </w:tcBorders>
            <w:shd w:val="clear" w:color="auto" w:fill="FFFFFF" w:themeFill="background1"/>
            <w:noWrap/>
            <w:vAlign w:val="bottom"/>
            <w:hideMark/>
          </w:tcPr>
          <w:p w14:paraId="213CE828" w14:textId="77777777" w:rsidR="000C2706" w:rsidRPr="000C2706" w:rsidRDefault="000C2706" w:rsidP="000C2706">
            <w:pPr>
              <w:spacing w:line="276" w:lineRule="auto"/>
              <w:jc w:val="both"/>
              <w:rPr>
                <w:sz w:val="16"/>
                <w:szCs w:val="16"/>
                <w:lang w:val="sq-AL"/>
              </w:rPr>
            </w:pPr>
            <w:r w:rsidRPr="000C2706">
              <w:rPr>
                <w:sz w:val="16"/>
                <w:szCs w:val="16"/>
                <w:lang w:val="sq-AL"/>
              </w:rPr>
              <w:t> </w:t>
            </w:r>
          </w:p>
        </w:tc>
        <w:tc>
          <w:tcPr>
            <w:tcW w:w="901" w:type="dxa"/>
            <w:tcBorders>
              <w:top w:val="single" w:sz="12" w:space="0" w:color="auto"/>
              <w:left w:val="nil"/>
              <w:bottom w:val="single" w:sz="12" w:space="0" w:color="auto"/>
              <w:right w:val="double" w:sz="6" w:space="0" w:color="auto"/>
            </w:tcBorders>
            <w:shd w:val="clear" w:color="auto" w:fill="FFFFFF" w:themeFill="background1"/>
            <w:noWrap/>
            <w:vAlign w:val="bottom"/>
            <w:hideMark/>
          </w:tcPr>
          <w:p w14:paraId="38A31AAD" w14:textId="77777777" w:rsidR="000C2706" w:rsidRPr="000C2706" w:rsidRDefault="000C2706" w:rsidP="000C2706">
            <w:pPr>
              <w:spacing w:line="276" w:lineRule="auto"/>
              <w:jc w:val="both"/>
              <w:rPr>
                <w:sz w:val="16"/>
                <w:szCs w:val="16"/>
                <w:lang w:val="sq-AL"/>
              </w:rPr>
            </w:pPr>
            <w:r w:rsidRPr="000C2706">
              <w:rPr>
                <w:sz w:val="16"/>
                <w:szCs w:val="16"/>
                <w:lang w:val="sq-AL"/>
              </w:rPr>
              <w:t> </w:t>
            </w:r>
          </w:p>
        </w:tc>
      </w:tr>
    </w:tbl>
    <w:p w14:paraId="37F176FF" w14:textId="77777777" w:rsidR="00A41DE9" w:rsidRPr="00A41DE9" w:rsidRDefault="00A41DE9" w:rsidP="00A41DE9">
      <w:pPr>
        <w:spacing w:after="120" w:line="276" w:lineRule="auto"/>
        <w:jc w:val="both"/>
        <w:rPr>
          <w:rFonts w:eastAsia="Arial Narrow"/>
          <w:i/>
          <w:iCs/>
          <w:color w:val="000000"/>
          <w:sz w:val="20"/>
          <w:szCs w:val="20"/>
          <w:lang w:val="sq-AL"/>
        </w:rPr>
      </w:pPr>
      <w:r w:rsidRPr="00A41DE9">
        <w:rPr>
          <w:rFonts w:eastAsia="Arial Narrow"/>
          <w:i/>
          <w:iCs/>
          <w:sz w:val="20"/>
          <w:szCs w:val="20"/>
          <w:lang w:val="sq-AL"/>
        </w:rPr>
        <w:t>Burimi: Ministria e Financave (2026)</w:t>
      </w:r>
    </w:p>
    <w:p w14:paraId="1EE39A1D" w14:textId="77777777" w:rsidR="000C2706" w:rsidRPr="000C2706" w:rsidRDefault="000C2706" w:rsidP="000C2706"/>
    <w:p w14:paraId="422AF2CC" w14:textId="7D303ABA" w:rsidR="000C2706" w:rsidRDefault="004263C5" w:rsidP="004263C5">
      <w:pPr>
        <w:pStyle w:val="Heading1"/>
        <w:numPr>
          <w:ilvl w:val="0"/>
          <w:numId w:val="97"/>
        </w:numPr>
        <w:spacing w:line="276" w:lineRule="auto"/>
        <w:jc w:val="both"/>
        <w:rPr>
          <w:sz w:val="24"/>
          <w:szCs w:val="24"/>
          <w:lang w:val="sq-AL"/>
        </w:rPr>
      </w:pPr>
      <w:bookmarkStart w:id="16" w:name="_Toc228275800"/>
      <w:r>
        <w:rPr>
          <w:sz w:val="24"/>
          <w:szCs w:val="24"/>
          <w:lang w:val="sq-AL"/>
        </w:rPr>
        <w:t>Devijancat n</w:t>
      </w:r>
      <w:r w:rsidR="00455816">
        <w:rPr>
          <w:sz w:val="24"/>
          <w:szCs w:val="24"/>
          <w:lang w:val="sq-AL"/>
        </w:rPr>
        <w:t>ë</w:t>
      </w:r>
      <w:r>
        <w:rPr>
          <w:sz w:val="24"/>
          <w:szCs w:val="24"/>
          <w:lang w:val="sq-AL"/>
        </w:rPr>
        <w:t xml:space="preserve"> t</w:t>
      </w:r>
      <w:r w:rsidR="00455816">
        <w:rPr>
          <w:sz w:val="24"/>
          <w:szCs w:val="24"/>
          <w:lang w:val="sq-AL"/>
        </w:rPr>
        <w:t>ë</w:t>
      </w:r>
      <w:r>
        <w:rPr>
          <w:sz w:val="24"/>
          <w:szCs w:val="24"/>
          <w:lang w:val="sq-AL"/>
        </w:rPr>
        <w:t xml:space="preserve"> ardhurat jo-tatimore</w:t>
      </w:r>
      <w:bookmarkEnd w:id="16"/>
    </w:p>
    <w:p w14:paraId="4663A435" w14:textId="77777777" w:rsidR="004263C5" w:rsidRPr="004263C5" w:rsidRDefault="004263C5" w:rsidP="004263C5">
      <w:pPr>
        <w:pStyle w:val="Heading1"/>
        <w:numPr>
          <w:ilvl w:val="0"/>
          <w:numId w:val="0"/>
        </w:numPr>
        <w:spacing w:line="276" w:lineRule="auto"/>
        <w:ind w:left="7"/>
        <w:jc w:val="both"/>
        <w:rPr>
          <w:b w:val="0"/>
          <w:bCs w:val="0"/>
          <w:sz w:val="24"/>
          <w:szCs w:val="24"/>
          <w:lang w:val="sq-AL"/>
        </w:rPr>
      </w:pPr>
    </w:p>
    <w:p w14:paraId="02BFD0DC" w14:textId="5F8D292E" w:rsidR="004263C5" w:rsidRPr="004263C5" w:rsidRDefault="004263C5" w:rsidP="004263C5">
      <w:pPr>
        <w:pStyle w:val="Heading1"/>
        <w:numPr>
          <w:ilvl w:val="0"/>
          <w:numId w:val="0"/>
        </w:numPr>
        <w:spacing w:line="276" w:lineRule="auto"/>
        <w:ind w:right="48"/>
        <w:jc w:val="both"/>
        <w:rPr>
          <w:b w:val="0"/>
          <w:bCs w:val="0"/>
          <w:sz w:val="24"/>
          <w:szCs w:val="24"/>
          <w:lang w:val="sq-AL"/>
        </w:rPr>
      </w:pPr>
      <w:bookmarkStart w:id="17" w:name="_Toc228275801"/>
      <w:r w:rsidRPr="004263C5">
        <w:rPr>
          <w:b w:val="0"/>
          <w:bCs w:val="0"/>
          <w:sz w:val="24"/>
          <w:szCs w:val="24"/>
          <w:lang w:val="sq-AL"/>
        </w:rPr>
        <w:t>Devijanca nominale</w:t>
      </w:r>
      <w:r>
        <w:rPr>
          <w:b w:val="0"/>
          <w:bCs w:val="0"/>
          <w:sz w:val="24"/>
          <w:szCs w:val="24"/>
          <w:lang w:val="sq-AL"/>
        </w:rPr>
        <w:t xml:space="preserve"> mes t</w:t>
      </w:r>
      <w:r w:rsidR="00455816">
        <w:rPr>
          <w:b w:val="0"/>
          <w:bCs w:val="0"/>
          <w:sz w:val="24"/>
          <w:szCs w:val="24"/>
          <w:lang w:val="sq-AL"/>
        </w:rPr>
        <w:t>ë</w:t>
      </w:r>
      <w:r>
        <w:rPr>
          <w:b w:val="0"/>
          <w:bCs w:val="0"/>
          <w:sz w:val="24"/>
          <w:szCs w:val="24"/>
          <w:lang w:val="sq-AL"/>
        </w:rPr>
        <w:t xml:space="preserve"> ardhurave jo-tatimore t</w:t>
      </w:r>
      <w:r w:rsidR="00455816">
        <w:rPr>
          <w:b w:val="0"/>
          <w:bCs w:val="0"/>
          <w:sz w:val="24"/>
          <w:szCs w:val="24"/>
          <w:lang w:val="sq-AL"/>
        </w:rPr>
        <w:t>ë</w:t>
      </w:r>
      <w:r>
        <w:rPr>
          <w:b w:val="0"/>
          <w:bCs w:val="0"/>
          <w:sz w:val="24"/>
          <w:szCs w:val="24"/>
          <w:lang w:val="sq-AL"/>
        </w:rPr>
        <w:t xml:space="preserve"> miratuara me ligjin e buxhetit p</w:t>
      </w:r>
      <w:r w:rsidR="00455816">
        <w:rPr>
          <w:b w:val="0"/>
          <w:bCs w:val="0"/>
          <w:sz w:val="24"/>
          <w:szCs w:val="24"/>
          <w:lang w:val="sq-AL"/>
        </w:rPr>
        <w:t>ë</w:t>
      </w:r>
      <w:r>
        <w:rPr>
          <w:b w:val="0"/>
          <w:bCs w:val="0"/>
          <w:sz w:val="24"/>
          <w:szCs w:val="24"/>
          <w:lang w:val="sq-AL"/>
        </w:rPr>
        <w:t>r vitin 2026 krahasuar me parashikimin 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kuadrin makroekonomik dhe fiskal p</w:t>
      </w:r>
      <w:r w:rsidR="00455816">
        <w:rPr>
          <w:b w:val="0"/>
          <w:bCs w:val="0"/>
          <w:sz w:val="24"/>
          <w:szCs w:val="24"/>
          <w:lang w:val="sq-AL"/>
        </w:rPr>
        <w:t>ë</w:t>
      </w:r>
      <w:r>
        <w:rPr>
          <w:b w:val="0"/>
          <w:bCs w:val="0"/>
          <w:sz w:val="24"/>
          <w:szCs w:val="24"/>
          <w:lang w:val="sq-AL"/>
        </w:rPr>
        <w:t>r periudh</w:t>
      </w:r>
      <w:r w:rsidR="00455816">
        <w:rPr>
          <w:b w:val="0"/>
          <w:bCs w:val="0"/>
          <w:sz w:val="24"/>
          <w:szCs w:val="24"/>
          <w:lang w:val="sq-AL"/>
        </w:rPr>
        <w:t>ë</w:t>
      </w:r>
      <w:r>
        <w:rPr>
          <w:b w:val="0"/>
          <w:bCs w:val="0"/>
          <w:sz w:val="24"/>
          <w:szCs w:val="24"/>
          <w:lang w:val="sq-AL"/>
        </w:rPr>
        <w:t>n 2026-2028 rezulton n</w:t>
      </w:r>
      <w:r w:rsidR="00455816">
        <w:rPr>
          <w:b w:val="0"/>
          <w:bCs w:val="0"/>
          <w:sz w:val="24"/>
          <w:szCs w:val="24"/>
          <w:lang w:val="sq-AL"/>
        </w:rPr>
        <w:t>ë</w:t>
      </w:r>
      <w:r>
        <w:rPr>
          <w:b w:val="0"/>
          <w:bCs w:val="0"/>
          <w:sz w:val="24"/>
          <w:szCs w:val="24"/>
          <w:lang w:val="sq-AL"/>
        </w:rPr>
        <w:t xml:space="preserve"> mas</w:t>
      </w:r>
      <w:r w:rsidR="00455816">
        <w:rPr>
          <w:b w:val="0"/>
          <w:bCs w:val="0"/>
          <w:sz w:val="24"/>
          <w:szCs w:val="24"/>
          <w:lang w:val="sq-AL"/>
        </w:rPr>
        <w:t>ë</w:t>
      </w:r>
      <w:r>
        <w:rPr>
          <w:b w:val="0"/>
          <w:bCs w:val="0"/>
          <w:sz w:val="24"/>
          <w:szCs w:val="24"/>
          <w:lang w:val="sq-AL"/>
        </w:rPr>
        <w:t xml:space="preserve">n </w:t>
      </w:r>
      <w:r w:rsidRPr="004263C5">
        <w:rPr>
          <w:b w:val="0"/>
          <w:bCs w:val="0"/>
          <w:sz w:val="24"/>
          <w:szCs w:val="24"/>
          <w:lang w:val="sq-AL"/>
        </w:rPr>
        <w:t>+3,</w:t>
      </w:r>
      <w:r>
        <w:rPr>
          <w:b w:val="0"/>
          <w:bCs w:val="0"/>
          <w:sz w:val="24"/>
          <w:szCs w:val="24"/>
          <w:lang w:val="sq-AL"/>
        </w:rPr>
        <w:t>1 miliard</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0.11 pik</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rqindje ndaj PBB.</w:t>
      </w:r>
      <w:bookmarkEnd w:id="17"/>
    </w:p>
    <w:p w14:paraId="34317BC2" w14:textId="77777777" w:rsidR="004263C5" w:rsidRDefault="004263C5" w:rsidP="004263C5">
      <w:pPr>
        <w:pStyle w:val="Heading1"/>
        <w:numPr>
          <w:ilvl w:val="0"/>
          <w:numId w:val="0"/>
        </w:numPr>
        <w:spacing w:line="276" w:lineRule="auto"/>
        <w:ind w:left="432" w:hanging="432"/>
        <w:jc w:val="both"/>
        <w:rPr>
          <w:b w:val="0"/>
          <w:bCs w:val="0"/>
          <w:sz w:val="24"/>
          <w:szCs w:val="24"/>
          <w:lang w:val="sq-AL"/>
        </w:rPr>
      </w:pPr>
    </w:p>
    <w:p w14:paraId="7FED7CAA" w14:textId="3EBB5B08" w:rsidR="004263C5" w:rsidRPr="004263C5" w:rsidRDefault="004263C5" w:rsidP="004263C5">
      <w:pPr>
        <w:pStyle w:val="Heading1"/>
        <w:numPr>
          <w:ilvl w:val="0"/>
          <w:numId w:val="0"/>
        </w:numPr>
        <w:spacing w:line="276" w:lineRule="auto"/>
        <w:ind w:left="432" w:hanging="432"/>
        <w:jc w:val="both"/>
        <w:rPr>
          <w:b w:val="0"/>
          <w:bCs w:val="0"/>
          <w:sz w:val="24"/>
          <w:szCs w:val="24"/>
          <w:lang w:val="sq-AL"/>
        </w:rPr>
      </w:pPr>
      <w:bookmarkStart w:id="18" w:name="_Toc228275802"/>
      <w:r w:rsidRPr="004263C5">
        <w:rPr>
          <w:b w:val="0"/>
          <w:bCs w:val="0"/>
          <w:sz w:val="24"/>
          <w:szCs w:val="24"/>
          <w:lang w:val="sq-AL"/>
        </w:rPr>
        <w:t>Burim</w:t>
      </w:r>
      <w:r>
        <w:rPr>
          <w:b w:val="0"/>
          <w:bCs w:val="0"/>
          <w:sz w:val="24"/>
          <w:szCs w:val="24"/>
          <w:lang w:val="sq-AL"/>
        </w:rPr>
        <w:t>et</w:t>
      </w:r>
      <w:r w:rsidRPr="004263C5">
        <w:rPr>
          <w:b w:val="0"/>
          <w:bCs w:val="0"/>
          <w:sz w:val="24"/>
          <w:szCs w:val="24"/>
          <w:lang w:val="sq-AL"/>
        </w:rPr>
        <w:t xml:space="preserve"> kryesor</w:t>
      </w:r>
      <w:r>
        <w:rPr>
          <w:b w:val="0"/>
          <w:bCs w:val="0"/>
          <w:sz w:val="24"/>
          <w:szCs w:val="24"/>
          <w:lang w:val="sq-AL"/>
        </w:rPr>
        <w:t>e t</w:t>
      </w:r>
      <w:r w:rsidR="00455816">
        <w:rPr>
          <w:b w:val="0"/>
          <w:bCs w:val="0"/>
          <w:sz w:val="24"/>
          <w:szCs w:val="24"/>
          <w:lang w:val="sq-AL"/>
        </w:rPr>
        <w:t>ë</w:t>
      </w:r>
      <w:r w:rsidRPr="004263C5">
        <w:rPr>
          <w:b w:val="0"/>
          <w:bCs w:val="0"/>
          <w:sz w:val="24"/>
          <w:szCs w:val="24"/>
          <w:lang w:val="sq-AL"/>
        </w:rPr>
        <w:t xml:space="preserve"> devijancës jan</w:t>
      </w:r>
      <w:r w:rsidR="00455816">
        <w:rPr>
          <w:b w:val="0"/>
          <w:bCs w:val="0"/>
          <w:sz w:val="24"/>
          <w:szCs w:val="24"/>
          <w:lang w:val="sq-AL"/>
        </w:rPr>
        <w:t>ë</w:t>
      </w:r>
      <w:r w:rsidRPr="004263C5">
        <w:rPr>
          <w:b w:val="0"/>
          <w:bCs w:val="0"/>
          <w:sz w:val="24"/>
          <w:szCs w:val="24"/>
          <w:lang w:val="sq-AL"/>
        </w:rPr>
        <w:t>:</w:t>
      </w:r>
      <w:bookmarkEnd w:id="18"/>
      <w:r w:rsidRPr="004263C5">
        <w:rPr>
          <w:b w:val="0"/>
          <w:bCs w:val="0"/>
          <w:sz w:val="24"/>
          <w:szCs w:val="24"/>
          <w:lang w:val="sq-AL"/>
        </w:rPr>
        <w:t xml:space="preserve"> </w:t>
      </w:r>
    </w:p>
    <w:p w14:paraId="54D485E2" w14:textId="2EF204E5" w:rsidR="004263C5" w:rsidRPr="004263C5" w:rsidRDefault="004263C5" w:rsidP="004263C5">
      <w:pPr>
        <w:pStyle w:val="Heading1"/>
        <w:numPr>
          <w:ilvl w:val="1"/>
          <w:numId w:val="99"/>
        </w:numPr>
        <w:spacing w:line="276" w:lineRule="auto"/>
        <w:jc w:val="both"/>
        <w:rPr>
          <w:b w:val="0"/>
          <w:bCs w:val="0"/>
          <w:sz w:val="24"/>
          <w:szCs w:val="24"/>
          <w:lang w:val="sq-AL"/>
        </w:rPr>
      </w:pPr>
      <w:bookmarkStart w:id="19" w:name="_Toc228275803"/>
      <w:r w:rsidRPr="004263C5">
        <w:rPr>
          <w:b w:val="0"/>
          <w:bCs w:val="0"/>
          <w:sz w:val="24"/>
          <w:szCs w:val="24"/>
          <w:lang w:val="sq-AL"/>
        </w:rPr>
        <w:t>Të ardhurat nga institucionet buxhetore (+2,3</w:t>
      </w:r>
      <w:r>
        <w:rPr>
          <w:b w:val="0"/>
          <w:bCs w:val="0"/>
          <w:sz w:val="24"/>
          <w:szCs w:val="24"/>
          <w:lang w:val="sq-AL"/>
        </w:rPr>
        <w:t xml:space="preserve"> miliard</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w:t>
      </w:r>
      <w:r w:rsidRPr="004263C5">
        <w:rPr>
          <w:b w:val="0"/>
          <w:bCs w:val="0"/>
          <w:sz w:val="24"/>
          <w:szCs w:val="24"/>
          <w:lang w:val="sq-AL"/>
        </w:rPr>
        <w:t>0.08% e PBB)</w:t>
      </w:r>
      <w:bookmarkEnd w:id="19"/>
    </w:p>
    <w:p w14:paraId="78212051" w14:textId="3DB91A8D" w:rsidR="004263C5" w:rsidRPr="004263C5" w:rsidRDefault="004263C5" w:rsidP="004263C5">
      <w:pPr>
        <w:pStyle w:val="Heading1"/>
        <w:numPr>
          <w:ilvl w:val="1"/>
          <w:numId w:val="99"/>
        </w:numPr>
        <w:spacing w:line="276" w:lineRule="auto"/>
        <w:jc w:val="both"/>
        <w:rPr>
          <w:b w:val="0"/>
          <w:bCs w:val="0"/>
          <w:sz w:val="24"/>
          <w:szCs w:val="24"/>
          <w:lang w:val="sq-AL"/>
        </w:rPr>
      </w:pPr>
      <w:bookmarkStart w:id="20" w:name="_Toc228275804"/>
      <w:r w:rsidRPr="004263C5">
        <w:rPr>
          <w:b w:val="0"/>
          <w:bCs w:val="0"/>
          <w:sz w:val="24"/>
          <w:szCs w:val="24"/>
          <w:lang w:val="sq-AL"/>
        </w:rPr>
        <w:t>Të tjera (+800</w:t>
      </w:r>
      <w:r>
        <w:rPr>
          <w:b w:val="0"/>
          <w:bCs w:val="0"/>
          <w:sz w:val="24"/>
          <w:szCs w:val="24"/>
          <w:lang w:val="sq-AL"/>
        </w:rPr>
        <w:t xml:space="preserve"> ose </w:t>
      </w:r>
      <w:r w:rsidRPr="004263C5">
        <w:rPr>
          <w:b w:val="0"/>
          <w:bCs w:val="0"/>
          <w:sz w:val="24"/>
          <w:szCs w:val="24"/>
          <w:lang w:val="sq-AL"/>
        </w:rPr>
        <w:t>+0.03% e PBB)</w:t>
      </w:r>
      <w:bookmarkEnd w:id="20"/>
    </w:p>
    <w:p w14:paraId="7B1242D7" w14:textId="77777777" w:rsidR="004263C5" w:rsidRDefault="004263C5" w:rsidP="004263C5">
      <w:pPr>
        <w:pStyle w:val="Heading1"/>
        <w:numPr>
          <w:ilvl w:val="0"/>
          <w:numId w:val="0"/>
        </w:numPr>
        <w:spacing w:line="276" w:lineRule="auto"/>
        <w:jc w:val="both"/>
        <w:rPr>
          <w:b w:val="0"/>
          <w:bCs w:val="0"/>
          <w:sz w:val="24"/>
          <w:szCs w:val="24"/>
          <w:lang w:val="sq-AL"/>
        </w:rPr>
      </w:pPr>
    </w:p>
    <w:p w14:paraId="29E1AEE0" w14:textId="6FA338F8" w:rsidR="004263C5" w:rsidRDefault="004263C5" w:rsidP="00BF2DAA">
      <w:pPr>
        <w:pStyle w:val="Heading1"/>
        <w:numPr>
          <w:ilvl w:val="0"/>
          <w:numId w:val="0"/>
        </w:numPr>
        <w:spacing w:line="276" w:lineRule="auto"/>
        <w:ind w:right="48"/>
        <w:jc w:val="both"/>
        <w:rPr>
          <w:b w:val="0"/>
          <w:bCs w:val="0"/>
          <w:sz w:val="24"/>
          <w:szCs w:val="24"/>
          <w:lang w:val="sq-AL"/>
        </w:rPr>
      </w:pPr>
      <w:bookmarkStart w:id="21" w:name="_Toc228275805"/>
      <w:r w:rsidRPr="004263C5">
        <w:rPr>
          <w:b w:val="0"/>
          <w:bCs w:val="0"/>
          <w:sz w:val="24"/>
          <w:szCs w:val="24"/>
          <w:lang w:val="sq-AL"/>
        </w:rPr>
        <w:t>Kjo rritje tregon se Buxheti 2026 projekton një performancë më optimiste të të ardhurave jo</w:t>
      </w:r>
      <w:r w:rsidR="00BF2DAA">
        <w:rPr>
          <w:b w:val="0"/>
          <w:bCs w:val="0"/>
          <w:sz w:val="24"/>
          <w:szCs w:val="24"/>
          <w:lang w:val="sq-AL"/>
        </w:rPr>
        <w:t>-</w:t>
      </w:r>
      <w:r w:rsidRPr="004263C5">
        <w:rPr>
          <w:b w:val="0"/>
          <w:bCs w:val="0"/>
          <w:sz w:val="24"/>
          <w:szCs w:val="24"/>
          <w:lang w:val="sq-AL"/>
        </w:rPr>
        <w:t>tatimore, krahasuar me Kuadrin Makro</w:t>
      </w:r>
      <w:r w:rsidR="00BF2DAA">
        <w:rPr>
          <w:b w:val="0"/>
          <w:bCs w:val="0"/>
          <w:sz w:val="24"/>
          <w:szCs w:val="24"/>
          <w:lang w:val="sq-AL"/>
        </w:rPr>
        <w:t>ekonomik dhe Fiskal</w:t>
      </w:r>
      <w:r w:rsidRPr="004263C5">
        <w:rPr>
          <w:b w:val="0"/>
          <w:bCs w:val="0"/>
          <w:sz w:val="24"/>
          <w:szCs w:val="24"/>
          <w:lang w:val="sq-AL"/>
        </w:rPr>
        <w:t>.</w:t>
      </w:r>
      <w:r w:rsidR="00033207">
        <w:rPr>
          <w:b w:val="0"/>
          <w:bCs w:val="0"/>
          <w:sz w:val="24"/>
          <w:szCs w:val="24"/>
          <w:lang w:val="sq-AL"/>
        </w:rPr>
        <w:t xml:space="preserve"> </w:t>
      </w:r>
      <w:r w:rsidRPr="004263C5">
        <w:rPr>
          <w:b w:val="0"/>
          <w:bCs w:val="0"/>
          <w:sz w:val="24"/>
          <w:szCs w:val="24"/>
          <w:lang w:val="sq-AL"/>
        </w:rPr>
        <w:t>Rritja e parashikuar n</w:t>
      </w:r>
      <w:r w:rsidR="00455816">
        <w:rPr>
          <w:b w:val="0"/>
          <w:bCs w:val="0"/>
          <w:sz w:val="24"/>
          <w:szCs w:val="24"/>
          <w:lang w:val="sq-AL"/>
        </w:rPr>
        <w:t>ë</w:t>
      </w:r>
      <w:r w:rsidRPr="004263C5">
        <w:rPr>
          <w:b w:val="0"/>
          <w:bCs w:val="0"/>
          <w:sz w:val="24"/>
          <w:szCs w:val="24"/>
          <w:lang w:val="sq-AL"/>
        </w:rPr>
        <w:t xml:space="preserve"> t</w:t>
      </w:r>
      <w:r w:rsidR="00455816">
        <w:rPr>
          <w:b w:val="0"/>
          <w:bCs w:val="0"/>
          <w:sz w:val="24"/>
          <w:szCs w:val="24"/>
          <w:lang w:val="sq-AL"/>
        </w:rPr>
        <w:t>ë</w:t>
      </w:r>
      <w:r w:rsidRPr="004263C5">
        <w:rPr>
          <w:b w:val="0"/>
          <w:bCs w:val="0"/>
          <w:sz w:val="24"/>
          <w:szCs w:val="24"/>
          <w:lang w:val="sq-AL"/>
        </w:rPr>
        <w:t xml:space="preserve"> ardhurat jo-tatimore lidhet m</w:t>
      </w:r>
      <w:r w:rsidR="00BF2DAA">
        <w:rPr>
          <w:b w:val="0"/>
          <w:bCs w:val="0"/>
          <w:sz w:val="24"/>
          <w:szCs w:val="24"/>
          <w:lang w:val="sq-AL"/>
        </w:rPr>
        <w:t>e</w:t>
      </w:r>
      <w:r w:rsidRPr="004263C5">
        <w:rPr>
          <w:b w:val="0"/>
          <w:bCs w:val="0"/>
          <w:sz w:val="24"/>
          <w:szCs w:val="24"/>
          <w:lang w:val="sq-AL"/>
        </w:rPr>
        <w:t xml:space="preserve"> performanc</w:t>
      </w:r>
      <w:r w:rsidR="00455816">
        <w:rPr>
          <w:b w:val="0"/>
          <w:bCs w:val="0"/>
          <w:sz w:val="24"/>
          <w:szCs w:val="24"/>
          <w:lang w:val="sq-AL"/>
        </w:rPr>
        <w:t>ë</w:t>
      </w:r>
      <w:r w:rsidRPr="004263C5">
        <w:rPr>
          <w:b w:val="0"/>
          <w:bCs w:val="0"/>
          <w:sz w:val="24"/>
          <w:szCs w:val="24"/>
          <w:lang w:val="sq-AL"/>
        </w:rPr>
        <w:t xml:space="preserve">n </w:t>
      </w:r>
      <w:r w:rsidR="00033207">
        <w:rPr>
          <w:b w:val="0"/>
          <w:bCs w:val="0"/>
          <w:sz w:val="24"/>
          <w:szCs w:val="24"/>
          <w:lang w:val="sq-AL"/>
        </w:rPr>
        <w:t>pozitive</w:t>
      </w:r>
      <w:r w:rsidRPr="004263C5">
        <w:rPr>
          <w:b w:val="0"/>
          <w:bCs w:val="0"/>
          <w:sz w:val="24"/>
          <w:szCs w:val="24"/>
          <w:lang w:val="sq-AL"/>
        </w:rPr>
        <w:t xml:space="preserve"> gjat</w:t>
      </w:r>
      <w:r w:rsidR="00455816">
        <w:rPr>
          <w:b w:val="0"/>
          <w:bCs w:val="0"/>
          <w:sz w:val="24"/>
          <w:szCs w:val="24"/>
          <w:lang w:val="sq-AL"/>
        </w:rPr>
        <w:t>ë</w:t>
      </w:r>
      <w:r w:rsidRPr="004263C5">
        <w:rPr>
          <w:b w:val="0"/>
          <w:bCs w:val="0"/>
          <w:sz w:val="24"/>
          <w:szCs w:val="24"/>
          <w:lang w:val="sq-AL"/>
        </w:rPr>
        <w:t xml:space="preserve"> vitit 2025</w:t>
      </w:r>
      <w:r w:rsidR="00033207">
        <w:rPr>
          <w:b w:val="0"/>
          <w:bCs w:val="0"/>
          <w:sz w:val="24"/>
          <w:szCs w:val="24"/>
          <w:lang w:val="sq-AL"/>
        </w:rPr>
        <w:t xml:space="preserve"> </w:t>
      </w:r>
      <w:r w:rsidR="00857168">
        <w:rPr>
          <w:b w:val="0"/>
          <w:bCs w:val="0"/>
          <w:sz w:val="24"/>
          <w:szCs w:val="24"/>
          <w:lang w:val="sq-AL"/>
        </w:rPr>
        <w:t>t</w:t>
      </w:r>
      <w:r w:rsidR="00455816">
        <w:rPr>
          <w:b w:val="0"/>
          <w:bCs w:val="0"/>
          <w:sz w:val="24"/>
          <w:szCs w:val="24"/>
          <w:lang w:val="sq-AL"/>
        </w:rPr>
        <w:t>ë</w:t>
      </w:r>
      <w:r w:rsidR="00857168">
        <w:rPr>
          <w:b w:val="0"/>
          <w:bCs w:val="0"/>
          <w:sz w:val="24"/>
          <w:szCs w:val="24"/>
          <w:lang w:val="sq-AL"/>
        </w:rPr>
        <w:t xml:space="preserve"> k</w:t>
      </w:r>
      <w:r w:rsidR="00455816">
        <w:rPr>
          <w:b w:val="0"/>
          <w:bCs w:val="0"/>
          <w:sz w:val="24"/>
          <w:szCs w:val="24"/>
          <w:lang w:val="sq-AL"/>
        </w:rPr>
        <w:t>ë</w:t>
      </w:r>
      <w:r w:rsidR="00857168">
        <w:rPr>
          <w:b w:val="0"/>
          <w:bCs w:val="0"/>
          <w:sz w:val="24"/>
          <w:szCs w:val="24"/>
          <w:lang w:val="sq-AL"/>
        </w:rPr>
        <w:t>tij z</w:t>
      </w:r>
      <w:r w:rsidR="00455816">
        <w:rPr>
          <w:b w:val="0"/>
          <w:bCs w:val="0"/>
          <w:sz w:val="24"/>
          <w:szCs w:val="24"/>
          <w:lang w:val="sq-AL"/>
        </w:rPr>
        <w:t>ë</w:t>
      </w:r>
      <w:r w:rsidR="00857168">
        <w:rPr>
          <w:b w:val="0"/>
          <w:bCs w:val="0"/>
          <w:sz w:val="24"/>
          <w:szCs w:val="24"/>
          <w:lang w:val="sq-AL"/>
        </w:rPr>
        <w:t>ri  e cila rezulton me</w:t>
      </w:r>
      <w:r w:rsidR="002223B1">
        <w:rPr>
          <w:b w:val="0"/>
          <w:bCs w:val="0"/>
          <w:sz w:val="24"/>
          <w:szCs w:val="24"/>
          <w:lang w:val="sq-AL"/>
        </w:rPr>
        <w:t xml:space="preserve"> rreth 6 </w:t>
      </w:r>
      <w:r w:rsidR="002223B1">
        <w:rPr>
          <w:b w:val="0"/>
          <w:bCs w:val="0"/>
          <w:sz w:val="24"/>
          <w:szCs w:val="24"/>
          <w:lang w:val="sq-AL"/>
        </w:rPr>
        <w:lastRenderedPageBreak/>
        <w:t>miliard</w:t>
      </w:r>
      <w:r w:rsidR="00455816">
        <w:rPr>
          <w:b w:val="0"/>
          <w:bCs w:val="0"/>
          <w:sz w:val="24"/>
          <w:szCs w:val="24"/>
          <w:lang w:val="sq-AL"/>
        </w:rPr>
        <w:t>ë</w:t>
      </w:r>
      <w:r w:rsidR="002223B1">
        <w:rPr>
          <w:b w:val="0"/>
          <w:bCs w:val="0"/>
          <w:sz w:val="24"/>
          <w:szCs w:val="24"/>
          <w:lang w:val="sq-AL"/>
        </w:rPr>
        <w:t xml:space="preserve"> lek</w:t>
      </w:r>
      <w:r w:rsidR="00455816">
        <w:rPr>
          <w:b w:val="0"/>
          <w:bCs w:val="0"/>
          <w:sz w:val="24"/>
          <w:szCs w:val="24"/>
          <w:lang w:val="sq-AL"/>
        </w:rPr>
        <w:t>ë</w:t>
      </w:r>
      <w:r w:rsidR="002223B1">
        <w:rPr>
          <w:b w:val="0"/>
          <w:bCs w:val="0"/>
          <w:sz w:val="24"/>
          <w:szCs w:val="24"/>
          <w:lang w:val="sq-AL"/>
        </w:rPr>
        <w:t xml:space="preserve"> m</w:t>
      </w:r>
      <w:r w:rsidR="00455816">
        <w:rPr>
          <w:b w:val="0"/>
          <w:bCs w:val="0"/>
          <w:sz w:val="24"/>
          <w:szCs w:val="24"/>
          <w:lang w:val="sq-AL"/>
        </w:rPr>
        <w:t>ë</w:t>
      </w:r>
      <w:r w:rsidR="002223B1">
        <w:rPr>
          <w:b w:val="0"/>
          <w:bCs w:val="0"/>
          <w:sz w:val="24"/>
          <w:szCs w:val="24"/>
          <w:lang w:val="sq-AL"/>
        </w:rPr>
        <w:t xml:space="preserve"> shum</w:t>
      </w:r>
      <w:r w:rsidR="00455816">
        <w:rPr>
          <w:b w:val="0"/>
          <w:bCs w:val="0"/>
          <w:sz w:val="24"/>
          <w:szCs w:val="24"/>
          <w:lang w:val="sq-AL"/>
        </w:rPr>
        <w:t>ë</w:t>
      </w:r>
      <w:r w:rsidR="002223B1">
        <w:rPr>
          <w:b w:val="0"/>
          <w:bCs w:val="0"/>
          <w:sz w:val="24"/>
          <w:szCs w:val="24"/>
          <w:lang w:val="sq-AL"/>
        </w:rPr>
        <w:t xml:space="preserve"> se parashikimi fillestar i miratuar me ligjin e buxhetit p</w:t>
      </w:r>
      <w:r w:rsidR="00455816">
        <w:rPr>
          <w:b w:val="0"/>
          <w:bCs w:val="0"/>
          <w:sz w:val="24"/>
          <w:szCs w:val="24"/>
          <w:lang w:val="sq-AL"/>
        </w:rPr>
        <w:t>ë</w:t>
      </w:r>
      <w:r w:rsidR="002223B1">
        <w:rPr>
          <w:b w:val="0"/>
          <w:bCs w:val="0"/>
          <w:sz w:val="24"/>
          <w:szCs w:val="24"/>
          <w:lang w:val="sq-AL"/>
        </w:rPr>
        <w:t>r vitin 2025. Si rezultat, vler</w:t>
      </w:r>
      <w:r w:rsidR="00455816">
        <w:rPr>
          <w:b w:val="0"/>
          <w:bCs w:val="0"/>
          <w:sz w:val="24"/>
          <w:szCs w:val="24"/>
          <w:lang w:val="sq-AL"/>
        </w:rPr>
        <w:t>ë</w:t>
      </w:r>
      <w:r w:rsidR="002223B1">
        <w:rPr>
          <w:b w:val="0"/>
          <w:bCs w:val="0"/>
          <w:sz w:val="24"/>
          <w:szCs w:val="24"/>
          <w:lang w:val="sq-AL"/>
        </w:rPr>
        <w:t>sojm</w:t>
      </w:r>
      <w:r w:rsidR="00455816">
        <w:rPr>
          <w:b w:val="0"/>
          <w:bCs w:val="0"/>
          <w:sz w:val="24"/>
          <w:szCs w:val="24"/>
          <w:lang w:val="sq-AL"/>
        </w:rPr>
        <w:t>ë</w:t>
      </w:r>
      <w:r w:rsidR="002223B1">
        <w:rPr>
          <w:b w:val="0"/>
          <w:bCs w:val="0"/>
          <w:sz w:val="24"/>
          <w:szCs w:val="24"/>
          <w:lang w:val="sq-AL"/>
        </w:rPr>
        <w:t xml:space="preserve"> se rishikimi n</w:t>
      </w:r>
      <w:r w:rsidR="00455816">
        <w:rPr>
          <w:b w:val="0"/>
          <w:bCs w:val="0"/>
          <w:sz w:val="24"/>
          <w:szCs w:val="24"/>
          <w:lang w:val="sq-AL"/>
        </w:rPr>
        <w:t>ë</w:t>
      </w:r>
      <w:r w:rsidR="002223B1">
        <w:rPr>
          <w:b w:val="0"/>
          <w:bCs w:val="0"/>
          <w:sz w:val="24"/>
          <w:szCs w:val="24"/>
          <w:lang w:val="sq-AL"/>
        </w:rPr>
        <w:t xml:space="preserve"> </w:t>
      </w:r>
      <w:r w:rsidR="00857168">
        <w:rPr>
          <w:b w:val="0"/>
          <w:bCs w:val="0"/>
          <w:sz w:val="24"/>
          <w:szCs w:val="24"/>
          <w:lang w:val="sq-AL"/>
        </w:rPr>
        <w:t xml:space="preserve"> </w:t>
      </w:r>
      <w:r w:rsidR="002223B1">
        <w:rPr>
          <w:b w:val="0"/>
          <w:bCs w:val="0"/>
          <w:sz w:val="24"/>
          <w:szCs w:val="24"/>
          <w:lang w:val="sq-AL"/>
        </w:rPr>
        <w:t>rritje p</w:t>
      </w:r>
      <w:r w:rsidR="00455816">
        <w:rPr>
          <w:b w:val="0"/>
          <w:bCs w:val="0"/>
          <w:sz w:val="24"/>
          <w:szCs w:val="24"/>
          <w:lang w:val="sq-AL"/>
        </w:rPr>
        <w:t>ë</w:t>
      </w:r>
      <w:r w:rsidR="002223B1">
        <w:rPr>
          <w:b w:val="0"/>
          <w:bCs w:val="0"/>
          <w:sz w:val="24"/>
          <w:szCs w:val="24"/>
          <w:lang w:val="sq-AL"/>
        </w:rPr>
        <w:t>r vitin 2026 gjat</w:t>
      </w:r>
      <w:r w:rsidR="00455816">
        <w:rPr>
          <w:b w:val="0"/>
          <w:bCs w:val="0"/>
          <w:sz w:val="24"/>
          <w:szCs w:val="24"/>
          <w:lang w:val="sq-AL"/>
        </w:rPr>
        <w:t>ë</w:t>
      </w:r>
      <w:r w:rsidR="002223B1">
        <w:rPr>
          <w:b w:val="0"/>
          <w:bCs w:val="0"/>
          <w:sz w:val="24"/>
          <w:szCs w:val="24"/>
          <w:lang w:val="sq-AL"/>
        </w:rPr>
        <w:t xml:space="preserve"> fazave t</w:t>
      </w:r>
      <w:r w:rsidR="00455816">
        <w:rPr>
          <w:b w:val="0"/>
          <w:bCs w:val="0"/>
          <w:sz w:val="24"/>
          <w:szCs w:val="24"/>
          <w:lang w:val="sq-AL"/>
        </w:rPr>
        <w:t>ë</w:t>
      </w:r>
      <w:r w:rsidR="002223B1">
        <w:rPr>
          <w:b w:val="0"/>
          <w:bCs w:val="0"/>
          <w:sz w:val="24"/>
          <w:szCs w:val="24"/>
          <w:lang w:val="sq-AL"/>
        </w:rPr>
        <w:t xml:space="preserve"> planifikimit </w:t>
      </w:r>
      <w:r w:rsidRPr="004263C5">
        <w:rPr>
          <w:b w:val="0"/>
          <w:bCs w:val="0"/>
          <w:sz w:val="24"/>
          <w:szCs w:val="24"/>
          <w:lang w:val="sq-AL"/>
        </w:rPr>
        <w:t>p</w:t>
      </w:r>
      <w:r w:rsidR="00455816">
        <w:rPr>
          <w:b w:val="0"/>
          <w:bCs w:val="0"/>
          <w:sz w:val="24"/>
          <w:szCs w:val="24"/>
          <w:lang w:val="sq-AL"/>
        </w:rPr>
        <w:t>ë</w:t>
      </w:r>
      <w:r w:rsidRPr="004263C5">
        <w:rPr>
          <w:b w:val="0"/>
          <w:bCs w:val="0"/>
          <w:sz w:val="24"/>
          <w:szCs w:val="24"/>
          <w:lang w:val="sq-AL"/>
        </w:rPr>
        <w:t>rb</w:t>
      </w:r>
      <w:r w:rsidR="00455816">
        <w:rPr>
          <w:b w:val="0"/>
          <w:bCs w:val="0"/>
          <w:sz w:val="24"/>
          <w:szCs w:val="24"/>
          <w:lang w:val="sq-AL"/>
        </w:rPr>
        <w:t>ë</w:t>
      </w:r>
      <w:r w:rsidRPr="004263C5">
        <w:rPr>
          <w:b w:val="0"/>
          <w:bCs w:val="0"/>
          <w:sz w:val="24"/>
          <w:szCs w:val="24"/>
          <w:lang w:val="sq-AL"/>
        </w:rPr>
        <w:t>n një rishikim operacional q</w:t>
      </w:r>
      <w:r w:rsidR="00455816">
        <w:rPr>
          <w:b w:val="0"/>
          <w:bCs w:val="0"/>
          <w:sz w:val="24"/>
          <w:szCs w:val="24"/>
          <w:lang w:val="sq-AL"/>
        </w:rPr>
        <w:t>ë</w:t>
      </w:r>
      <w:r w:rsidRPr="004263C5">
        <w:rPr>
          <w:b w:val="0"/>
          <w:bCs w:val="0"/>
          <w:sz w:val="24"/>
          <w:szCs w:val="24"/>
          <w:lang w:val="sq-AL"/>
        </w:rPr>
        <w:t xml:space="preserve"> nuk lidhet me ndryshime strukturore të politikave të të ardhurave jo-tatimore.</w:t>
      </w:r>
      <w:bookmarkEnd w:id="21"/>
    </w:p>
    <w:p w14:paraId="0082E11E" w14:textId="77777777" w:rsidR="0000649C" w:rsidRDefault="0000649C" w:rsidP="00BF2DAA">
      <w:pPr>
        <w:pStyle w:val="Heading1"/>
        <w:numPr>
          <w:ilvl w:val="0"/>
          <w:numId w:val="0"/>
        </w:numPr>
        <w:spacing w:line="276" w:lineRule="auto"/>
        <w:ind w:right="48"/>
        <w:jc w:val="both"/>
        <w:rPr>
          <w:b w:val="0"/>
          <w:bCs w:val="0"/>
          <w:sz w:val="24"/>
          <w:szCs w:val="24"/>
          <w:lang w:val="sq-AL"/>
        </w:rPr>
      </w:pPr>
    </w:p>
    <w:p w14:paraId="6C937448" w14:textId="5CBEFE5B" w:rsidR="0000649C" w:rsidRPr="004263C5" w:rsidRDefault="0000649C" w:rsidP="0000649C">
      <w:pPr>
        <w:pStyle w:val="Heading1"/>
        <w:numPr>
          <w:ilvl w:val="0"/>
          <w:numId w:val="97"/>
        </w:numPr>
        <w:spacing w:line="276" w:lineRule="auto"/>
        <w:ind w:right="48"/>
        <w:jc w:val="both"/>
        <w:rPr>
          <w:sz w:val="24"/>
          <w:szCs w:val="24"/>
          <w:lang w:val="sq-AL"/>
        </w:rPr>
      </w:pPr>
      <w:bookmarkStart w:id="22" w:name="_Toc228275806"/>
      <w:r w:rsidRPr="0000649C">
        <w:rPr>
          <w:sz w:val="24"/>
          <w:szCs w:val="24"/>
          <w:lang w:val="sq-AL"/>
        </w:rPr>
        <w:t>Devijanca n</w:t>
      </w:r>
      <w:r w:rsidR="00455816">
        <w:rPr>
          <w:sz w:val="24"/>
          <w:szCs w:val="24"/>
          <w:lang w:val="sq-AL"/>
        </w:rPr>
        <w:t>ë</w:t>
      </w:r>
      <w:r w:rsidRPr="0000649C">
        <w:rPr>
          <w:sz w:val="24"/>
          <w:szCs w:val="24"/>
          <w:lang w:val="sq-AL"/>
        </w:rPr>
        <w:t xml:space="preserve"> shpenzimet e personelit</w:t>
      </w:r>
      <w:bookmarkEnd w:id="22"/>
    </w:p>
    <w:p w14:paraId="6F211768" w14:textId="77777777" w:rsidR="00023BF0" w:rsidRDefault="00023BF0" w:rsidP="004263C5">
      <w:pPr>
        <w:pStyle w:val="Heading1"/>
        <w:numPr>
          <w:ilvl w:val="0"/>
          <w:numId w:val="0"/>
        </w:numPr>
        <w:spacing w:line="276" w:lineRule="auto"/>
        <w:ind w:left="7"/>
        <w:jc w:val="both"/>
        <w:rPr>
          <w:b w:val="0"/>
          <w:bCs w:val="0"/>
          <w:sz w:val="24"/>
          <w:szCs w:val="24"/>
          <w:lang w:val="sq-AL"/>
        </w:rPr>
      </w:pPr>
    </w:p>
    <w:p w14:paraId="247ED73F" w14:textId="71C3CDAF" w:rsidR="00687719" w:rsidRDefault="00023BF0" w:rsidP="00023BF0">
      <w:pPr>
        <w:pStyle w:val="Heading1"/>
        <w:numPr>
          <w:ilvl w:val="0"/>
          <w:numId w:val="0"/>
        </w:numPr>
        <w:spacing w:line="276" w:lineRule="auto"/>
        <w:ind w:left="7" w:right="48"/>
        <w:jc w:val="both"/>
        <w:rPr>
          <w:b w:val="0"/>
          <w:bCs w:val="0"/>
          <w:sz w:val="24"/>
          <w:szCs w:val="24"/>
          <w:lang w:val="sq-AL"/>
        </w:rPr>
      </w:pPr>
      <w:bookmarkStart w:id="23" w:name="_Toc228275807"/>
      <w:r w:rsidRPr="004263C5">
        <w:rPr>
          <w:b w:val="0"/>
          <w:bCs w:val="0"/>
          <w:sz w:val="24"/>
          <w:szCs w:val="24"/>
          <w:lang w:val="sq-AL"/>
        </w:rPr>
        <w:t>Devijanca nominale</w:t>
      </w:r>
      <w:r>
        <w:rPr>
          <w:b w:val="0"/>
          <w:bCs w:val="0"/>
          <w:sz w:val="24"/>
          <w:szCs w:val="24"/>
          <w:lang w:val="sq-AL"/>
        </w:rPr>
        <w:t xml:space="preserve"> mes shpenzimeve t</w:t>
      </w:r>
      <w:r w:rsidR="00455816">
        <w:rPr>
          <w:b w:val="0"/>
          <w:bCs w:val="0"/>
          <w:sz w:val="24"/>
          <w:szCs w:val="24"/>
          <w:lang w:val="sq-AL"/>
        </w:rPr>
        <w:t>ë</w:t>
      </w:r>
      <w:r>
        <w:rPr>
          <w:b w:val="0"/>
          <w:bCs w:val="0"/>
          <w:sz w:val="24"/>
          <w:szCs w:val="24"/>
          <w:lang w:val="sq-AL"/>
        </w:rPr>
        <w:t xml:space="preserve"> personelit t</w:t>
      </w:r>
      <w:r w:rsidR="00455816">
        <w:rPr>
          <w:b w:val="0"/>
          <w:bCs w:val="0"/>
          <w:sz w:val="24"/>
          <w:szCs w:val="24"/>
          <w:lang w:val="sq-AL"/>
        </w:rPr>
        <w:t>ë</w:t>
      </w:r>
      <w:r>
        <w:rPr>
          <w:b w:val="0"/>
          <w:bCs w:val="0"/>
          <w:sz w:val="24"/>
          <w:szCs w:val="24"/>
          <w:lang w:val="sq-AL"/>
        </w:rPr>
        <w:t xml:space="preserve"> miratuara me ligjin e buxhetit p</w:t>
      </w:r>
      <w:r w:rsidR="00455816">
        <w:rPr>
          <w:b w:val="0"/>
          <w:bCs w:val="0"/>
          <w:sz w:val="24"/>
          <w:szCs w:val="24"/>
          <w:lang w:val="sq-AL"/>
        </w:rPr>
        <w:t>ë</w:t>
      </w:r>
      <w:r>
        <w:rPr>
          <w:b w:val="0"/>
          <w:bCs w:val="0"/>
          <w:sz w:val="24"/>
          <w:szCs w:val="24"/>
          <w:lang w:val="sq-AL"/>
        </w:rPr>
        <w:t>r vitin 2026 krahasuar me parashikimin 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kuadrin makroekonomik dhe fiskal p</w:t>
      </w:r>
      <w:r w:rsidR="00455816">
        <w:rPr>
          <w:b w:val="0"/>
          <w:bCs w:val="0"/>
          <w:sz w:val="24"/>
          <w:szCs w:val="24"/>
          <w:lang w:val="sq-AL"/>
        </w:rPr>
        <w:t>ë</w:t>
      </w:r>
      <w:r>
        <w:rPr>
          <w:b w:val="0"/>
          <w:bCs w:val="0"/>
          <w:sz w:val="24"/>
          <w:szCs w:val="24"/>
          <w:lang w:val="sq-AL"/>
        </w:rPr>
        <w:t>r periudh</w:t>
      </w:r>
      <w:r w:rsidR="00455816">
        <w:rPr>
          <w:b w:val="0"/>
          <w:bCs w:val="0"/>
          <w:sz w:val="24"/>
          <w:szCs w:val="24"/>
          <w:lang w:val="sq-AL"/>
        </w:rPr>
        <w:t>ë</w:t>
      </w:r>
      <w:r>
        <w:rPr>
          <w:b w:val="0"/>
          <w:bCs w:val="0"/>
          <w:sz w:val="24"/>
          <w:szCs w:val="24"/>
          <w:lang w:val="sq-AL"/>
        </w:rPr>
        <w:t>n 2026-2028 rezulton n</w:t>
      </w:r>
      <w:r w:rsidR="00455816">
        <w:rPr>
          <w:b w:val="0"/>
          <w:bCs w:val="0"/>
          <w:sz w:val="24"/>
          <w:szCs w:val="24"/>
          <w:lang w:val="sq-AL"/>
        </w:rPr>
        <w:t>ë</w:t>
      </w:r>
      <w:r>
        <w:rPr>
          <w:b w:val="0"/>
          <w:bCs w:val="0"/>
          <w:sz w:val="24"/>
          <w:szCs w:val="24"/>
          <w:lang w:val="sq-AL"/>
        </w:rPr>
        <w:t xml:space="preserve"> mas</w:t>
      </w:r>
      <w:r w:rsidR="00455816">
        <w:rPr>
          <w:b w:val="0"/>
          <w:bCs w:val="0"/>
          <w:sz w:val="24"/>
          <w:szCs w:val="24"/>
          <w:lang w:val="sq-AL"/>
        </w:rPr>
        <w:t>ë</w:t>
      </w:r>
      <w:r>
        <w:rPr>
          <w:b w:val="0"/>
          <w:bCs w:val="0"/>
          <w:sz w:val="24"/>
          <w:szCs w:val="24"/>
          <w:lang w:val="sq-AL"/>
        </w:rPr>
        <w:t xml:space="preserve">n </w:t>
      </w:r>
      <w:r w:rsidRPr="004263C5">
        <w:rPr>
          <w:b w:val="0"/>
          <w:bCs w:val="0"/>
          <w:sz w:val="24"/>
          <w:szCs w:val="24"/>
          <w:lang w:val="sq-AL"/>
        </w:rPr>
        <w:t>+</w:t>
      </w:r>
      <w:r w:rsidR="00687719">
        <w:rPr>
          <w:b w:val="0"/>
          <w:bCs w:val="0"/>
          <w:sz w:val="24"/>
          <w:szCs w:val="24"/>
          <w:lang w:val="sq-AL"/>
        </w:rPr>
        <w:t>7</w:t>
      </w:r>
      <w:r>
        <w:rPr>
          <w:b w:val="0"/>
          <w:bCs w:val="0"/>
          <w:sz w:val="24"/>
          <w:szCs w:val="24"/>
          <w:lang w:val="sq-AL"/>
        </w:rPr>
        <w:t xml:space="preserve"> miliard</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0.</w:t>
      </w:r>
      <w:r w:rsidR="00687719">
        <w:rPr>
          <w:b w:val="0"/>
          <w:bCs w:val="0"/>
          <w:sz w:val="24"/>
          <w:szCs w:val="24"/>
          <w:lang w:val="sq-AL"/>
        </w:rPr>
        <w:t>25</w:t>
      </w:r>
      <w:r>
        <w:rPr>
          <w:b w:val="0"/>
          <w:bCs w:val="0"/>
          <w:sz w:val="24"/>
          <w:szCs w:val="24"/>
          <w:lang w:val="sq-AL"/>
        </w:rPr>
        <w:t xml:space="preserve"> pik</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rqindje ndaj PBB</w:t>
      </w:r>
      <w:r w:rsidR="00687719">
        <w:rPr>
          <w:b w:val="0"/>
          <w:bCs w:val="0"/>
          <w:sz w:val="24"/>
          <w:szCs w:val="24"/>
          <w:lang w:val="sq-AL"/>
        </w:rPr>
        <w:t>.</w:t>
      </w:r>
      <w:bookmarkEnd w:id="23"/>
      <w:r w:rsidR="00687719">
        <w:rPr>
          <w:b w:val="0"/>
          <w:bCs w:val="0"/>
          <w:sz w:val="24"/>
          <w:szCs w:val="24"/>
          <w:lang w:val="sq-AL"/>
        </w:rPr>
        <w:t xml:space="preserve"> </w:t>
      </w:r>
    </w:p>
    <w:p w14:paraId="758F8DC0" w14:textId="77777777" w:rsidR="00687719" w:rsidRDefault="00687719" w:rsidP="00023BF0">
      <w:pPr>
        <w:pStyle w:val="Heading1"/>
        <w:numPr>
          <w:ilvl w:val="0"/>
          <w:numId w:val="0"/>
        </w:numPr>
        <w:spacing w:line="276" w:lineRule="auto"/>
        <w:ind w:left="7" w:right="48"/>
        <w:jc w:val="both"/>
        <w:rPr>
          <w:b w:val="0"/>
          <w:bCs w:val="0"/>
          <w:sz w:val="24"/>
          <w:szCs w:val="24"/>
          <w:lang w:val="sq-AL"/>
        </w:rPr>
      </w:pPr>
    </w:p>
    <w:p w14:paraId="3AB64EDF" w14:textId="235D9D49" w:rsidR="004263C5" w:rsidRDefault="00687719" w:rsidP="00023BF0">
      <w:pPr>
        <w:pStyle w:val="Heading1"/>
        <w:numPr>
          <w:ilvl w:val="0"/>
          <w:numId w:val="0"/>
        </w:numPr>
        <w:spacing w:line="276" w:lineRule="auto"/>
        <w:ind w:left="7" w:right="48"/>
        <w:jc w:val="both"/>
        <w:rPr>
          <w:b w:val="0"/>
          <w:bCs w:val="0"/>
          <w:color w:val="000000"/>
          <w:sz w:val="24"/>
          <w:szCs w:val="24"/>
          <w:lang w:val="sq-AL"/>
        </w:rPr>
      </w:pPr>
      <w:bookmarkStart w:id="24" w:name="_Toc228275808"/>
      <w:r>
        <w:rPr>
          <w:b w:val="0"/>
          <w:bCs w:val="0"/>
          <w:sz w:val="24"/>
          <w:szCs w:val="24"/>
          <w:lang w:val="sq-AL"/>
        </w:rPr>
        <w:t>Kjo rritje reflekton implementimin e politik</w:t>
      </w:r>
      <w:r w:rsidR="00455816">
        <w:rPr>
          <w:b w:val="0"/>
          <w:bCs w:val="0"/>
          <w:sz w:val="24"/>
          <w:szCs w:val="24"/>
          <w:lang w:val="sq-AL"/>
        </w:rPr>
        <w:t>ë</w:t>
      </w:r>
      <w:r>
        <w:rPr>
          <w:b w:val="0"/>
          <w:bCs w:val="0"/>
          <w:sz w:val="24"/>
          <w:szCs w:val="24"/>
          <w:lang w:val="sq-AL"/>
        </w:rPr>
        <w:t>s s</w:t>
      </w:r>
      <w:r w:rsidR="00455816">
        <w:rPr>
          <w:b w:val="0"/>
          <w:bCs w:val="0"/>
          <w:sz w:val="24"/>
          <w:szCs w:val="24"/>
          <w:lang w:val="sq-AL"/>
        </w:rPr>
        <w:t>ë</w:t>
      </w:r>
      <w:r>
        <w:rPr>
          <w:b w:val="0"/>
          <w:bCs w:val="0"/>
          <w:sz w:val="24"/>
          <w:szCs w:val="24"/>
          <w:lang w:val="sq-AL"/>
        </w:rPr>
        <w:t xml:space="preserve"> qeveris</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 rritjen e pag</w:t>
      </w:r>
      <w:r w:rsidR="00455816">
        <w:rPr>
          <w:b w:val="0"/>
          <w:bCs w:val="0"/>
          <w:sz w:val="24"/>
          <w:szCs w:val="24"/>
          <w:lang w:val="sq-AL"/>
        </w:rPr>
        <w:t>ë</w:t>
      </w:r>
      <w:r>
        <w:rPr>
          <w:b w:val="0"/>
          <w:bCs w:val="0"/>
          <w:sz w:val="24"/>
          <w:szCs w:val="24"/>
          <w:lang w:val="sq-AL"/>
        </w:rPr>
        <w:t>s minimale dhe indeksimin e pagave p</w:t>
      </w:r>
      <w:r w:rsidR="00455816">
        <w:rPr>
          <w:b w:val="0"/>
          <w:bCs w:val="0"/>
          <w:sz w:val="24"/>
          <w:szCs w:val="24"/>
          <w:lang w:val="sq-AL"/>
        </w:rPr>
        <w:t>ë</w:t>
      </w:r>
      <w:r>
        <w:rPr>
          <w:b w:val="0"/>
          <w:bCs w:val="0"/>
          <w:sz w:val="24"/>
          <w:szCs w:val="24"/>
          <w:lang w:val="sq-AL"/>
        </w:rPr>
        <w:t>r administrat</w:t>
      </w:r>
      <w:r w:rsidR="00455816">
        <w:rPr>
          <w:b w:val="0"/>
          <w:bCs w:val="0"/>
          <w:sz w:val="24"/>
          <w:szCs w:val="24"/>
          <w:lang w:val="sq-AL"/>
        </w:rPr>
        <w:t>ë</w:t>
      </w:r>
      <w:r>
        <w:rPr>
          <w:b w:val="0"/>
          <w:bCs w:val="0"/>
          <w:sz w:val="24"/>
          <w:szCs w:val="24"/>
          <w:lang w:val="sq-AL"/>
        </w:rPr>
        <w:t>n publike. Sikurse shihet nga analiza e n</w:t>
      </w:r>
      <w:r w:rsidR="00455816">
        <w:rPr>
          <w:b w:val="0"/>
          <w:bCs w:val="0"/>
          <w:sz w:val="24"/>
          <w:szCs w:val="24"/>
          <w:lang w:val="sq-AL"/>
        </w:rPr>
        <w:t>ë</w:t>
      </w:r>
      <w:r>
        <w:rPr>
          <w:b w:val="0"/>
          <w:bCs w:val="0"/>
          <w:sz w:val="24"/>
          <w:szCs w:val="24"/>
          <w:lang w:val="sq-AL"/>
        </w:rPr>
        <w:t>n-z</w:t>
      </w:r>
      <w:r w:rsidR="00455816">
        <w:rPr>
          <w:b w:val="0"/>
          <w:bCs w:val="0"/>
          <w:sz w:val="24"/>
          <w:szCs w:val="24"/>
          <w:lang w:val="sq-AL"/>
        </w:rPr>
        <w:t>ë</w:t>
      </w:r>
      <w:r>
        <w:rPr>
          <w:b w:val="0"/>
          <w:bCs w:val="0"/>
          <w:sz w:val="24"/>
          <w:szCs w:val="24"/>
          <w:lang w:val="sq-AL"/>
        </w:rPr>
        <w:t>rave t</w:t>
      </w:r>
      <w:r w:rsidR="00455816">
        <w:rPr>
          <w:b w:val="0"/>
          <w:bCs w:val="0"/>
          <w:sz w:val="24"/>
          <w:szCs w:val="24"/>
          <w:lang w:val="sq-AL"/>
        </w:rPr>
        <w:t>ë</w:t>
      </w:r>
      <w:r>
        <w:rPr>
          <w:b w:val="0"/>
          <w:bCs w:val="0"/>
          <w:sz w:val="24"/>
          <w:szCs w:val="24"/>
          <w:lang w:val="sq-AL"/>
        </w:rPr>
        <w:t xml:space="preserve"> shpenzimeve n</w:t>
      </w:r>
      <w:r w:rsidR="00455816">
        <w:rPr>
          <w:b w:val="0"/>
          <w:bCs w:val="0"/>
          <w:sz w:val="24"/>
          <w:szCs w:val="24"/>
          <w:lang w:val="sq-AL"/>
        </w:rPr>
        <w:t>ë</w:t>
      </w:r>
      <w:r>
        <w:rPr>
          <w:b w:val="0"/>
          <w:bCs w:val="0"/>
          <w:sz w:val="24"/>
          <w:szCs w:val="24"/>
          <w:lang w:val="sq-AL"/>
        </w:rPr>
        <w:t xml:space="preserve"> k</w:t>
      </w:r>
      <w:r w:rsidR="00455816">
        <w:rPr>
          <w:b w:val="0"/>
          <w:bCs w:val="0"/>
          <w:sz w:val="24"/>
          <w:szCs w:val="24"/>
          <w:lang w:val="sq-AL"/>
        </w:rPr>
        <w:t>ë</w:t>
      </w:r>
      <w:r>
        <w:rPr>
          <w:b w:val="0"/>
          <w:bCs w:val="0"/>
          <w:sz w:val="24"/>
          <w:szCs w:val="24"/>
          <w:lang w:val="sq-AL"/>
        </w:rPr>
        <w:t>t</w:t>
      </w:r>
      <w:r w:rsidR="00455816">
        <w:rPr>
          <w:b w:val="0"/>
          <w:bCs w:val="0"/>
          <w:sz w:val="24"/>
          <w:szCs w:val="24"/>
          <w:lang w:val="sq-AL"/>
        </w:rPr>
        <w:t>ë</w:t>
      </w:r>
      <w:r>
        <w:rPr>
          <w:b w:val="0"/>
          <w:bCs w:val="0"/>
          <w:sz w:val="24"/>
          <w:szCs w:val="24"/>
          <w:lang w:val="sq-AL"/>
        </w:rPr>
        <w:t xml:space="preserve"> kategori rezulton q</w:t>
      </w:r>
      <w:r w:rsidR="00455816">
        <w:rPr>
          <w:b w:val="0"/>
          <w:bCs w:val="0"/>
          <w:sz w:val="24"/>
          <w:szCs w:val="24"/>
          <w:lang w:val="sq-AL"/>
        </w:rPr>
        <w:t>ë</w:t>
      </w:r>
      <w:r>
        <w:rPr>
          <w:b w:val="0"/>
          <w:bCs w:val="0"/>
          <w:sz w:val="24"/>
          <w:szCs w:val="24"/>
          <w:lang w:val="sq-AL"/>
        </w:rPr>
        <w:t xml:space="preserve"> indeksimi i pagave ka q</w:t>
      </w:r>
      <w:r w:rsidR="00455816">
        <w:rPr>
          <w:b w:val="0"/>
          <w:bCs w:val="0"/>
          <w:sz w:val="24"/>
          <w:szCs w:val="24"/>
          <w:lang w:val="sq-AL"/>
        </w:rPr>
        <w:t>ë</w:t>
      </w:r>
      <w:r>
        <w:rPr>
          <w:b w:val="0"/>
          <w:bCs w:val="0"/>
          <w:sz w:val="24"/>
          <w:szCs w:val="24"/>
          <w:lang w:val="sq-AL"/>
        </w:rPr>
        <w:t>n</w:t>
      </w:r>
      <w:r w:rsidR="00455816">
        <w:rPr>
          <w:b w:val="0"/>
          <w:bCs w:val="0"/>
          <w:sz w:val="24"/>
          <w:szCs w:val="24"/>
          <w:lang w:val="sq-AL"/>
        </w:rPr>
        <w:t>ë</w:t>
      </w:r>
      <w:r>
        <w:rPr>
          <w:b w:val="0"/>
          <w:bCs w:val="0"/>
          <w:sz w:val="24"/>
          <w:szCs w:val="24"/>
          <w:lang w:val="sq-AL"/>
        </w:rPr>
        <w:t xml:space="preserve"> parashikuar n</w:t>
      </w:r>
      <w:r w:rsidR="00455816">
        <w:rPr>
          <w:b w:val="0"/>
          <w:bCs w:val="0"/>
          <w:sz w:val="24"/>
          <w:szCs w:val="24"/>
          <w:lang w:val="sq-AL"/>
        </w:rPr>
        <w:t>ë</w:t>
      </w:r>
      <w:r>
        <w:rPr>
          <w:b w:val="0"/>
          <w:bCs w:val="0"/>
          <w:sz w:val="24"/>
          <w:szCs w:val="24"/>
          <w:lang w:val="sq-AL"/>
        </w:rPr>
        <w:t xml:space="preserve"> kuadrin makroekonomik dhe fiskal dhe thjesht </w:t>
      </w:r>
      <w:r w:rsidR="00455816">
        <w:rPr>
          <w:b w:val="0"/>
          <w:bCs w:val="0"/>
          <w:sz w:val="24"/>
          <w:szCs w:val="24"/>
          <w:lang w:val="sq-AL"/>
        </w:rPr>
        <w:t>ë</w:t>
      </w:r>
      <w:r>
        <w:rPr>
          <w:b w:val="0"/>
          <w:bCs w:val="0"/>
          <w:sz w:val="24"/>
          <w:szCs w:val="24"/>
          <w:lang w:val="sq-AL"/>
        </w:rPr>
        <w:t>sht</w:t>
      </w:r>
      <w:r w:rsidR="00455816">
        <w:rPr>
          <w:b w:val="0"/>
          <w:bCs w:val="0"/>
          <w:sz w:val="24"/>
          <w:szCs w:val="24"/>
          <w:lang w:val="sq-AL"/>
        </w:rPr>
        <w:t>ë</w:t>
      </w:r>
      <w:r>
        <w:rPr>
          <w:b w:val="0"/>
          <w:bCs w:val="0"/>
          <w:sz w:val="24"/>
          <w:szCs w:val="24"/>
          <w:lang w:val="sq-AL"/>
        </w:rPr>
        <w:t xml:space="preserve"> ri-alokuar n</w:t>
      </w:r>
      <w:r w:rsidR="00455816">
        <w:rPr>
          <w:b w:val="0"/>
          <w:bCs w:val="0"/>
          <w:sz w:val="24"/>
          <w:szCs w:val="24"/>
          <w:lang w:val="sq-AL"/>
        </w:rPr>
        <w:t>ë</w:t>
      </w:r>
      <w:r>
        <w:rPr>
          <w:b w:val="0"/>
          <w:bCs w:val="0"/>
          <w:sz w:val="24"/>
          <w:szCs w:val="24"/>
          <w:lang w:val="sq-AL"/>
        </w:rPr>
        <w:t xml:space="preserve"> z</w:t>
      </w:r>
      <w:r w:rsidR="00455816">
        <w:rPr>
          <w:b w:val="0"/>
          <w:bCs w:val="0"/>
          <w:sz w:val="24"/>
          <w:szCs w:val="24"/>
          <w:lang w:val="sq-AL"/>
        </w:rPr>
        <w:t>ë</w:t>
      </w:r>
      <w:r>
        <w:rPr>
          <w:b w:val="0"/>
          <w:bCs w:val="0"/>
          <w:sz w:val="24"/>
          <w:szCs w:val="24"/>
          <w:lang w:val="sq-AL"/>
        </w:rPr>
        <w:t>rin e shpenzimeve p</w:t>
      </w:r>
      <w:r w:rsidR="00455816">
        <w:rPr>
          <w:b w:val="0"/>
          <w:bCs w:val="0"/>
          <w:sz w:val="24"/>
          <w:szCs w:val="24"/>
          <w:lang w:val="sq-AL"/>
        </w:rPr>
        <w:t>ë</w:t>
      </w:r>
      <w:r>
        <w:rPr>
          <w:b w:val="0"/>
          <w:bCs w:val="0"/>
          <w:sz w:val="24"/>
          <w:szCs w:val="24"/>
          <w:lang w:val="sq-AL"/>
        </w:rPr>
        <w:t>r paga dhe sigurime shoq</w:t>
      </w:r>
      <w:r w:rsidR="00455816">
        <w:rPr>
          <w:b w:val="0"/>
          <w:bCs w:val="0"/>
          <w:sz w:val="24"/>
          <w:szCs w:val="24"/>
          <w:lang w:val="sq-AL"/>
        </w:rPr>
        <w:t>ë</w:t>
      </w:r>
      <w:r>
        <w:rPr>
          <w:b w:val="0"/>
          <w:bCs w:val="0"/>
          <w:sz w:val="24"/>
          <w:szCs w:val="24"/>
          <w:lang w:val="sq-AL"/>
        </w:rPr>
        <w:t>rore dhe sh</w:t>
      </w:r>
      <w:r w:rsidR="00455816">
        <w:rPr>
          <w:b w:val="0"/>
          <w:bCs w:val="0"/>
          <w:sz w:val="24"/>
          <w:szCs w:val="24"/>
          <w:lang w:val="sq-AL"/>
        </w:rPr>
        <w:t>ë</w:t>
      </w:r>
      <w:r>
        <w:rPr>
          <w:b w:val="0"/>
          <w:bCs w:val="0"/>
          <w:sz w:val="24"/>
          <w:szCs w:val="24"/>
          <w:lang w:val="sq-AL"/>
        </w:rPr>
        <w:t>ndet</w:t>
      </w:r>
      <w:r w:rsidR="00455816">
        <w:rPr>
          <w:b w:val="0"/>
          <w:bCs w:val="0"/>
          <w:sz w:val="24"/>
          <w:szCs w:val="24"/>
          <w:lang w:val="sq-AL"/>
        </w:rPr>
        <w:t>ë</w:t>
      </w:r>
      <w:r>
        <w:rPr>
          <w:b w:val="0"/>
          <w:bCs w:val="0"/>
          <w:sz w:val="24"/>
          <w:szCs w:val="24"/>
          <w:lang w:val="sq-AL"/>
        </w:rPr>
        <w:t>sore. Pjesa tjet</w:t>
      </w:r>
      <w:r w:rsidR="00455816">
        <w:rPr>
          <w:b w:val="0"/>
          <w:bCs w:val="0"/>
          <w:sz w:val="24"/>
          <w:szCs w:val="24"/>
          <w:lang w:val="sq-AL"/>
        </w:rPr>
        <w:t>ë</w:t>
      </w:r>
      <w:r>
        <w:rPr>
          <w:b w:val="0"/>
          <w:bCs w:val="0"/>
          <w:sz w:val="24"/>
          <w:szCs w:val="24"/>
          <w:lang w:val="sq-AL"/>
        </w:rPr>
        <w:t>r e lidhur me rritjen e pag</w:t>
      </w:r>
      <w:r w:rsidR="00455816">
        <w:rPr>
          <w:b w:val="0"/>
          <w:bCs w:val="0"/>
          <w:sz w:val="24"/>
          <w:szCs w:val="24"/>
          <w:lang w:val="sq-AL"/>
        </w:rPr>
        <w:t>ë</w:t>
      </w:r>
      <w:r>
        <w:rPr>
          <w:b w:val="0"/>
          <w:bCs w:val="0"/>
          <w:sz w:val="24"/>
          <w:szCs w:val="24"/>
          <w:lang w:val="sq-AL"/>
        </w:rPr>
        <w:t>s minimale nga 40 000 lek</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muaj n</w:t>
      </w:r>
      <w:r w:rsidR="00455816">
        <w:rPr>
          <w:b w:val="0"/>
          <w:bCs w:val="0"/>
          <w:sz w:val="24"/>
          <w:szCs w:val="24"/>
          <w:lang w:val="sq-AL"/>
        </w:rPr>
        <w:t>ë</w:t>
      </w:r>
      <w:r>
        <w:rPr>
          <w:b w:val="0"/>
          <w:bCs w:val="0"/>
          <w:sz w:val="24"/>
          <w:szCs w:val="24"/>
          <w:lang w:val="sq-AL"/>
        </w:rPr>
        <w:t xml:space="preserve"> 50 000 lek</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muaj </w:t>
      </w:r>
      <w:r w:rsidR="00455816">
        <w:rPr>
          <w:b w:val="0"/>
          <w:bCs w:val="0"/>
          <w:sz w:val="24"/>
          <w:szCs w:val="24"/>
          <w:lang w:val="sq-AL"/>
        </w:rPr>
        <w:t>ë</w:t>
      </w:r>
      <w:r>
        <w:rPr>
          <w:b w:val="0"/>
          <w:bCs w:val="0"/>
          <w:sz w:val="24"/>
          <w:szCs w:val="24"/>
          <w:lang w:val="sq-AL"/>
        </w:rPr>
        <w:t>sht</w:t>
      </w:r>
      <w:r w:rsidR="00455816">
        <w:rPr>
          <w:b w:val="0"/>
          <w:bCs w:val="0"/>
          <w:sz w:val="24"/>
          <w:szCs w:val="24"/>
          <w:lang w:val="sq-AL"/>
        </w:rPr>
        <w:t>ë</w:t>
      </w:r>
      <w:r>
        <w:rPr>
          <w:b w:val="0"/>
          <w:bCs w:val="0"/>
          <w:sz w:val="24"/>
          <w:szCs w:val="24"/>
          <w:lang w:val="sq-AL"/>
        </w:rPr>
        <w:t xml:space="preserve"> reflektuar gjithashtu n</w:t>
      </w:r>
      <w:r w:rsidR="00455816">
        <w:rPr>
          <w:b w:val="0"/>
          <w:bCs w:val="0"/>
          <w:sz w:val="24"/>
          <w:szCs w:val="24"/>
          <w:lang w:val="sq-AL"/>
        </w:rPr>
        <w:t>ë</w:t>
      </w:r>
      <w:r>
        <w:rPr>
          <w:b w:val="0"/>
          <w:bCs w:val="0"/>
          <w:sz w:val="24"/>
          <w:szCs w:val="24"/>
          <w:lang w:val="sq-AL"/>
        </w:rPr>
        <w:t xml:space="preserve"> z</w:t>
      </w:r>
      <w:r w:rsidR="00455816">
        <w:rPr>
          <w:b w:val="0"/>
          <w:bCs w:val="0"/>
          <w:sz w:val="24"/>
          <w:szCs w:val="24"/>
          <w:lang w:val="sq-AL"/>
        </w:rPr>
        <w:t>ë</w:t>
      </w:r>
      <w:r>
        <w:rPr>
          <w:b w:val="0"/>
          <w:bCs w:val="0"/>
          <w:sz w:val="24"/>
          <w:szCs w:val="24"/>
          <w:lang w:val="sq-AL"/>
        </w:rPr>
        <w:t>rin e shpenzimeve p</w:t>
      </w:r>
      <w:r w:rsidR="00455816">
        <w:rPr>
          <w:b w:val="0"/>
          <w:bCs w:val="0"/>
          <w:sz w:val="24"/>
          <w:szCs w:val="24"/>
          <w:lang w:val="sq-AL"/>
        </w:rPr>
        <w:t>ë</w:t>
      </w:r>
      <w:r>
        <w:rPr>
          <w:b w:val="0"/>
          <w:bCs w:val="0"/>
          <w:sz w:val="24"/>
          <w:szCs w:val="24"/>
          <w:lang w:val="sq-AL"/>
        </w:rPr>
        <w:t>r paga dhe sigurime shoq</w:t>
      </w:r>
      <w:r w:rsidR="00455816">
        <w:rPr>
          <w:b w:val="0"/>
          <w:bCs w:val="0"/>
          <w:sz w:val="24"/>
          <w:szCs w:val="24"/>
          <w:lang w:val="sq-AL"/>
        </w:rPr>
        <w:t>ë</w:t>
      </w:r>
      <w:r>
        <w:rPr>
          <w:b w:val="0"/>
          <w:bCs w:val="0"/>
          <w:sz w:val="24"/>
          <w:szCs w:val="24"/>
          <w:lang w:val="sq-AL"/>
        </w:rPr>
        <w:t>rore dhe sh</w:t>
      </w:r>
      <w:r w:rsidR="00455816">
        <w:rPr>
          <w:b w:val="0"/>
          <w:bCs w:val="0"/>
          <w:sz w:val="24"/>
          <w:szCs w:val="24"/>
          <w:lang w:val="sq-AL"/>
        </w:rPr>
        <w:t>ë</w:t>
      </w:r>
      <w:r>
        <w:rPr>
          <w:b w:val="0"/>
          <w:bCs w:val="0"/>
          <w:sz w:val="24"/>
          <w:szCs w:val="24"/>
          <w:lang w:val="sq-AL"/>
        </w:rPr>
        <w:t>ndet</w:t>
      </w:r>
      <w:r w:rsidR="00455816">
        <w:rPr>
          <w:b w:val="0"/>
          <w:bCs w:val="0"/>
          <w:sz w:val="24"/>
          <w:szCs w:val="24"/>
          <w:lang w:val="sq-AL"/>
        </w:rPr>
        <w:t>ë</w:t>
      </w:r>
      <w:r>
        <w:rPr>
          <w:b w:val="0"/>
          <w:bCs w:val="0"/>
          <w:sz w:val="24"/>
          <w:szCs w:val="24"/>
          <w:lang w:val="sq-AL"/>
        </w:rPr>
        <w:t xml:space="preserve">sore dhe rezulton nga </w:t>
      </w:r>
      <w:r w:rsidRPr="00687719">
        <w:rPr>
          <w:b w:val="0"/>
          <w:bCs w:val="0"/>
          <w:color w:val="000000"/>
          <w:sz w:val="24"/>
          <w:szCs w:val="24"/>
          <w:lang w:val="sq-AL"/>
        </w:rPr>
        <w:t>hapësira fiskale e krijuar si rezultat i rritjes së pritshme të PBB-së dhe të të ardhurave buxhetore</w:t>
      </w:r>
      <w:r>
        <w:rPr>
          <w:b w:val="0"/>
          <w:bCs w:val="0"/>
          <w:color w:val="000000"/>
          <w:sz w:val="24"/>
          <w:szCs w:val="24"/>
          <w:lang w:val="sq-AL"/>
        </w:rPr>
        <w:t>.</w:t>
      </w:r>
      <w:bookmarkEnd w:id="24"/>
    </w:p>
    <w:p w14:paraId="1AF59F5C" w14:textId="77777777" w:rsidR="00687719" w:rsidRDefault="00687719" w:rsidP="00023BF0">
      <w:pPr>
        <w:pStyle w:val="Heading1"/>
        <w:numPr>
          <w:ilvl w:val="0"/>
          <w:numId w:val="0"/>
        </w:numPr>
        <w:spacing w:line="276" w:lineRule="auto"/>
        <w:ind w:left="7" w:right="48"/>
        <w:jc w:val="both"/>
        <w:rPr>
          <w:b w:val="0"/>
          <w:bCs w:val="0"/>
          <w:color w:val="000000"/>
          <w:sz w:val="24"/>
          <w:szCs w:val="24"/>
          <w:lang w:val="sq-AL"/>
        </w:rPr>
      </w:pPr>
    </w:p>
    <w:p w14:paraId="0789B70D" w14:textId="57AE5F54" w:rsidR="00687719" w:rsidRDefault="00687719" w:rsidP="00687719">
      <w:pPr>
        <w:pStyle w:val="Heading1"/>
        <w:numPr>
          <w:ilvl w:val="0"/>
          <w:numId w:val="97"/>
        </w:numPr>
        <w:spacing w:line="276" w:lineRule="auto"/>
        <w:ind w:right="48"/>
        <w:jc w:val="both"/>
        <w:rPr>
          <w:sz w:val="24"/>
          <w:szCs w:val="24"/>
          <w:lang w:val="sq-AL"/>
        </w:rPr>
      </w:pPr>
      <w:bookmarkStart w:id="25" w:name="_Toc228275809"/>
      <w:r>
        <w:rPr>
          <w:sz w:val="24"/>
          <w:szCs w:val="24"/>
          <w:lang w:val="sq-AL"/>
        </w:rPr>
        <w:t>Devijanca n</w:t>
      </w:r>
      <w:r w:rsidR="00455816">
        <w:rPr>
          <w:sz w:val="24"/>
          <w:szCs w:val="24"/>
          <w:lang w:val="sq-AL"/>
        </w:rPr>
        <w:t>ë</w:t>
      </w:r>
      <w:r>
        <w:rPr>
          <w:sz w:val="24"/>
          <w:szCs w:val="24"/>
          <w:lang w:val="sq-AL"/>
        </w:rPr>
        <w:t xml:space="preserve"> Shpenzimet Operative dhe Mir</w:t>
      </w:r>
      <w:r w:rsidR="00455816">
        <w:rPr>
          <w:sz w:val="24"/>
          <w:szCs w:val="24"/>
          <w:lang w:val="sq-AL"/>
        </w:rPr>
        <w:t>ë</w:t>
      </w:r>
      <w:r>
        <w:rPr>
          <w:sz w:val="24"/>
          <w:szCs w:val="24"/>
          <w:lang w:val="sq-AL"/>
        </w:rPr>
        <w:t>mbajtjes</w:t>
      </w:r>
      <w:bookmarkEnd w:id="25"/>
      <w:r>
        <w:rPr>
          <w:sz w:val="24"/>
          <w:szCs w:val="24"/>
          <w:lang w:val="sq-AL"/>
        </w:rPr>
        <w:t xml:space="preserve"> </w:t>
      </w:r>
    </w:p>
    <w:p w14:paraId="1D3E51B6" w14:textId="77777777" w:rsidR="00687719" w:rsidRDefault="00687719" w:rsidP="00687719">
      <w:pPr>
        <w:pStyle w:val="Heading1"/>
        <w:numPr>
          <w:ilvl w:val="0"/>
          <w:numId w:val="0"/>
        </w:numPr>
        <w:spacing w:line="276" w:lineRule="auto"/>
        <w:ind w:left="7" w:right="48"/>
        <w:jc w:val="both"/>
        <w:rPr>
          <w:sz w:val="24"/>
          <w:szCs w:val="24"/>
          <w:lang w:val="sq-AL"/>
        </w:rPr>
      </w:pPr>
    </w:p>
    <w:p w14:paraId="6D11CA64" w14:textId="2CBCAEB1" w:rsidR="00687719" w:rsidRDefault="00687719" w:rsidP="00687719">
      <w:pPr>
        <w:pStyle w:val="Heading1"/>
        <w:numPr>
          <w:ilvl w:val="0"/>
          <w:numId w:val="0"/>
        </w:numPr>
        <w:spacing w:line="276" w:lineRule="auto"/>
        <w:ind w:left="7" w:right="48"/>
        <w:jc w:val="both"/>
        <w:rPr>
          <w:b w:val="0"/>
          <w:bCs w:val="0"/>
          <w:sz w:val="24"/>
          <w:szCs w:val="24"/>
          <w:lang w:val="sq-AL"/>
        </w:rPr>
      </w:pPr>
      <w:bookmarkStart w:id="26" w:name="_Toc228275810"/>
      <w:r w:rsidRPr="004263C5">
        <w:rPr>
          <w:b w:val="0"/>
          <w:bCs w:val="0"/>
          <w:sz w:val="24"/>
          <w:szCs w:val="24"/>
          <w:lang w:val="sq-AL"/>
        </w:rPr>
        <w:t>Devijanca nominale</w:t>
      </w:r>
      <w:r>
        <w:rPr>
          <w:b w:val="0"/>
          <w:bCs w:val="0"/>
          <w:sz w:val="24"/>
          <w:szCs w:val="24"/>
          <w:lang w:val="sq-AL"/>
        </w:rPr>
        <w:t xml:space="preserve"> mes shpenzimeve operative dhe mir</w:t>
      </w:r>
      <w:r w:rsidR="00455816">
        <w:rPr>
          <w:b w:val="0"/>
          <w:bCs w:val="0"/>
          <w:sz w:val="24"/>
          <w:szCs w:val="24"/>
          <w:lang w:val="sq-AL"/>
        </w:rPr>
        <w:t>ë</w:t>
      </w:r>
      <w:r>
        <w:rPr>
          <w:b w:val="0"/>
          <w:bCs w:val="0"/>
          <w:sz w:val="24"/>
          <w:szCs w:val="24"/>
          <w:lang w:val="sq-AL"/>
        </w:rPr>
        <w:t>mbajtjes t</w:t>
      </w:r>
      <w:r w:rsidR="00455816">
        <w:rPr>
          <w:b w:val="0"/>
          <w:bCs w:val="0"/>
          <w:sz w:val="24"/>
          <w:szCs w:val="24"/>
          <w:lang w:val="sq-AL"/>
        </w:rPr>
        <w:t>ë</w:t>
      </w:r>
      <w:r>
        <w:rPr>
          <w:b w:val="0"/>
          <w:bCs w:val="0"/>
          <w:sz w:val="24"/>
          <w:szCs w:val="24"/>
          <w:lang w:val="sq-AL"/>
        </w:rPr>
        <w:t xml:space="preserve"> miratuara me ligjin e buxhetit p</w:t>
      </w:r>
      <w:r w:rsidR="00455816">
        <w:rPr>
          <w:b w:val="0"/>
          <w:bCs w:val="0"/>
          <w:sz w:val="24"/>
          <w:szCs w:val="24"/>
          <w:lang w:val="sq-AL"/>
        </w:rPr>
        <w:t>ë</w:t>
      </w:r>
      <w:r>
        <w:rPr>
          <w:b w:val="0"/>
          <w:bCs w:val="0"/>
          <w:sz w:val="24"/>
          <w:szCs w:val="24"/>
          <w:lang w:val="sq-AL"/>
        </w:rPr>
        <w:t>r vitin 2026 krahasuar me parashikimin 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kuadrin makroekonomik dhe fiskal p</w:t>
      </w:r>
      <w:r w:rsidR="00455816">
        <w:rPr>
          <w:b w:val="0"/>
          <w:bCs w:val="0"/>
          <w:sz w:val="24"/>
          <w:szCs w:val="24"/>
          <w:lang w:val="sq-AL"/>
        </w:rPr>
        <w:t>ë</w:t>
      </w:r>
      <w:r>
        <w:rPr>
          <w:b w:val="0"/>
          <w:bCs w:val="0"/>
          <w:sz w:val="24"/>
          <w:szCs w:val="24"/>
          <w:lang w:val="sq-AL"/>
        </w:rPr>
        <w:t>r periudh</w:t>
      </w:r>
      <w:r w:rsidR="00455816">
        <w:rPr>
          <w:b w:val="0"/>
          <w:bCs w:val="0"/>
          <w:sz w:val="24"/>
          <w:szCs w:val="24"/>
          <w:lang w:val="sq-AL"/>
        </w:rPr>
        <w:t>ë</w:t>
      </w:r>
      <w:r>
        <w:rPr>
          <w:b w:val="0"/>
          <w:bCs w:val="0"/>
          <w:sz w:val="24"/>
          <w:szCs w:val="24"/>
          <w:lang w:val="sq-AL"/>
        </w:rPr>
        <w:t>n 2026-2028 rezulton n</w:t>
      </w:r>
      <w:r w:rsidR="00455816">
        <w:rPr>
          <w:b w:val="0"/>
          <w:bCs w:val="0"/>
          <w:sz w:val="24"/>
          <w:szCs w:val="24"/>
          <w:lang w:val="sq-AL"/>
        </w:rPr>
        <w:t>ë</w:t>
      </w:r>
      <w:r>
        <w:rPr>
          <w:b w:val="0"/>
          <w:bCs w:val="0"/>
          <w:sz w:val="24"/>
          <w:szCs w:val="24"/>
          <w:lang w:val="sq-AL"/>
        </w:rPr>
        <w:t xml:space="preserve"> mas</w:t>
      </w:r>
      <w:r w:rsidR="00455816">
        <w:rPr>
          <w:b w:val="0"/>
          <w:bCs w:val="0"/>
          <w:sz w:val="24"/>
          <w:szCs w:val="24"/>
          <w:lang w:val="sq-AL"/>
        </w:rPr>
        <w:t>ë</w:t>
      </w:r>
      <w:r>
        <w:rPr>
          <w:b w:val="0"/>
          <w:bCs w:val="0"/>
          <w:sz w:val="24"/>
          <w:szCs w:val="24"/>
          <w:lang w:val="sq-AL"/>
        </w:rPr>
        <w:t xml:space="preserve">n </w:t>
      </w:r>
      <w:r w:rsidRPr="004263C5">
        <w:rPr>
          <w:b w:val="0"/>
          <w:bCs w:val="0"/>
          <w:sz w:val="24"/>
          <w:szCs w:val="24"/>
          <w:lang w:val="sq-AL"/>
        </w:rPr>
        <w:t>+</w:t>
      </w:r>
      <w:r>
        <w:rPr>
          <w:b w:val="0"/>
          <w:bCs w:val="0"/>
          <w:sz w:val="24"/>
          <w:szCs w:val="24"/>
          <w:lang w:val="sq-AL"/>
        </w:rPr>
        <w:t>8 miliard</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0.29 pik</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rqindje ndaj PBB.</w:t>
      </w:r>
      <w:bookmarkEnd w:id="26"/>
    </w:p>
    <w:p w14:paraId="434C4FFD" w14:textId="77777777" w:rsidR="00687719" w:rsidRDefault="00687719" w:rsidP="00687719">
      <w:pPr>
        <w:pStyle w:val="Heading1"/>
        <w:numPr>
          <w:ilvl w:val="0"/>
          <w:numId w:val="0"/>
        </w:numPr>
        <w:spacing w:line="276" w:lineRule="auto"/>
        <w:ind w:left="7" w:right="48"/>
        <w:jc w:val="both"/>
        <w:rPr>
          <w:b w:val="0"/>
          <w:bCs w:val="0"/>
          <w:sz w:val="24"/>
          <w:szCs w:val="24"/>
          <w:lang w:val="sq-AL"/>
        </w:rPr>
      </w:pPr>
    </w:p>
    <w:p w14:paraId="5BCFD353" w14:textId="22DDBFBA" w:rsidR="008611AE" w:rsidRDefault="008611AE" w:rsidP="008611AE">
      <w:pPr>
        <w:pStyle w:val="Heading1"/>
        <w:numPr>
          <w:ilvl w:val="0"/>
          <w:numId w:val="0"/>
        </w:numPr>
        <w:spacing w:line="276" w:lineRule="auto"/>
        <w:ind w:left="7" w:right="48"/>
        <w:jc w:val="both"/>
        <w:rPr>
          <w:b w:val="0"/>
          <w:bCs w:val="0"/>
          <w:color w:val="000000"/>
          <w:sz w:val="24"/>
          <w:szCs w:val="24"/>
          <w:lang w:val="sq-AL"/>
        </w:rPr>
      </w:pPr>
      <w:bookmarkStart w:id="27" w:name="_Toc228275811"/>
      <w:r w:rsidRPr="008611AE">
        <w:rPr>
          <w:b w:val="0"/>
          <w:bCs w:val="0"/>
          <w:sz w:val="24"/>
          <w:szCs w:val="24"/>
          <w:lang w:val="sq-AL"/>
        </w:rPr>
        <w:t>Ky fond rezulton nga</w:t>
      </w:r>
      <w:r>
        <w:rPr>
          <w:sz w:val="24"/>
          <w:szCs w:val="24"/>
          <w:lang w:val="sq-AL"/>
        </w:rPr>
        <w:t xml:space="preserve"> </w:t>
      </w:r>
      <w:r w:rsidRPr="00687719">
        <w:rPr>
          <w:b w:val="0"/>
          <w:bCs w:val="0"/>
          <w:color w:val="000000"/>
          <w:sz w:val="24"/>
          <w:szCs w:val="24"/>
          <w:lang w:val="sq-AL"/>
        </w:rPr>
        <w:t>hapësira fiskale e krijuar si rezultat i rritjes së pritshme të PBB-së dhe të të ardhurave buxhetore</w:t>
      </w:r>
      <w:r>
        <w:rPr>
          <w:b w:val="0"/>
          <w:bCs w:val="0"/>
          <w:color w:val="000000"/>
          <w:sz w:val="24"/>
          <w:szCs w:val="24"/>
          <w:lang w:val="sq-AL"/>
        </w:rPr>
        <w:t>. Financimi i shpenzimeve operative dhe t</w:t>
      </w:r>
      <w:r w:rsidR="00455816">
        <w:rPr>
          <w:b w:val="0"/>
          <w:bCs w:val="0"/>
          <w:color w:val="000000"/>
          <w:sz w:val="24"/>
          <w:szCs w:val="24"/>
          <w:lang w:val="sq-AL"/>
        </w:rPr>
        <w:t>ë</w:t>
      </w:r>
      <w:r>
        <w:rPr>
          <w:b w:val="0"/>
          <w:bCs w:val="0"/>
          <w:color w:val="000000"/>
          <w:sz w:val="24"/>
          <w:szCs w:val="24"/>
          <w:lang w:val="sq-AL"/>
        </w:rPr>
        <w:t xml:space="preserve"> mir</w:t>
      </w:r>
      <w:r w:rsidR="00455816">
        <w:rPr>
          <w:b w:val="0"/>
          <w:bCs w:val="0"/>
          <w:color w:val="000000"/>
          <w:sz w:val="24"/>
          <w:szCs w:val="24"/>
          <w:lang w:val="sq-AL"/>
        </w:rPr>
        <w:t>ë</w:t>
      </w:r>
      <w:r>
        <w:rPr>
          <w:b w:val="0"/>
          <w:bCs w:val="0"/>
          <w:color w:val="000000"/>
          <w:sz w:val="24"/>
          <w:szCs w:val="24"/>
          <w:lang w:val="sq-AL"/>
        </w:rPr>
        <w:t xml:space="preserve">mbajtjes </w:t>
      </w:r>
      <w:r w:rsidR="00455816">
        <w:rPr>
          <w:b w:val="0"/>
          <w:bCs w:val="0"/>
          <w:color w:val="000000"/>
          <w:sz w:val="24"/>
          <w:szCs w:val="24"/>
          <w:lang w:val="sq-AL"/>
        </w:rPr>
        <w:t>ë</w:t>
      </w:r>
      <w:r>
        <w:rPr>
          <w:b w:val="0"/>
          <w:bCs w:val="0"/>
          <w:color w:val="000000"/>
          <w:sz w:val="24"/>
          <w:szCs w:val="24"/>
          <w:lang w:val="sq-AL"/>
        </w:rPr>
        <w:t>sht</w:t>
      </w:r>
      <w:r w:rsidR="00455816">
        <w:rPr>
          <w:b w:val="0"/>
          <w:bCs w:val="0"/>
          <w:color w:val="000000"/>
          <w:sz w:val="24"/>
          <w:szCs w:val="24"/>
          <w:lang w:val="sq-AL"/>
        </w:rPr>
        <w:t>ë</w:t>
      </w:r>
      <w:r>
        <w:rPr>
          <w:b w:val="0"/>
          <w:bCs w:val="0"/>
          <w:color w:val="000000"/>
          <w:sz w:val="24"/>
          <w:szCs w:val="24"/>
          <w:lang w:val="sq-AL"/>
        </w:rPr>
        <w:t xml:space="preserve"> b</w:t>
      </w:r>
      <w:r w:rsidR="00455816">
        <w:rPr>
          <w:b w:val="0"/>
          <w:bCs w:val="0"/>
          <w:color w:val="000000"/>
          <w:sz w:val="24"/>
          <w:szCs w:val="24"/>
          <w:lang w:val="sq-AL"/>
        </w:rPr>
        <w:t>ë</w:t>
      </w:r>
      <w:r>
        <w:rPr>
          <w:b w:val="0"/>
          <w:bCs w:val="0"/>
          <w:color w:val="000000"/>
          <w:sz w:val="24"/>
          <w:szCs w:val="24"/>
          <w:lang w:val="sq-AL"/>
        </w:rPr>
        <w:t>r</w:t>
      </w:r>
      <w:r w:rsidR="00455816">
        <w:rPr>
          <w:b w:val="0"/>
          <w:bCs w:val="0"/>
          <w:color w:val="000000"/>
          <w:sz w:val="24"/>
          <w:szCs w:val="24"/>
          <w:lang w:val="sq-AL"/>
        </w:rPr>
        <w:t>ë</w:t>
      </w:r>
      <w:r>
        <w:rPr>
          <w:b w:val="0"/>
          <w:bCs w:val="0"/>
          <w:color w:val="000000"/>
          <w:sz w:val="24"/>
          <w:szCs w:val="24"/>
          <w:lang w:val="sq-AL"/>
        </w:rPr>
        <w:t xml:space="preserve"> mb</w:t>
      </w:r>
      <w:r w:rsidR="00455816">
        <w:rPr>
          <w:b w:val="0"/>
          <w:bCs w:val="0"/>
          <w:color w:val="000000"/>
          <w:sz w:val="24"/>
          <w:szCs w:val="24"/>
          <w:lang w:val="sq-AL"/>
        </w:rPr>
        <w:t>ë</w:t>
      </w:r>
      <w:r>
        <w:rPr>
          <w:b w:val="0"/>
          <w:bCs w:val="0"/>
          <w:color w:val="000000"/>
          <w:sz w:val="24"/>
          <w:szCs w:val="24"/>
          <w:lang w:val="sq-AL"/>
        </w:rPr>
        <w:t>shtetur n</w:t>
      </w:r>
      <w:r w:rsidR="00455816">
        <w:rPr>
          <w:b w:val="0"/>
          <w:bCs w:val="0"/>
          <w:color w:val="000000"/>
          <w:sz w:val="24"/>
          <w:szCs w:val="24"/>
          <w:lang w:val="sq-AL"/>
        </w:rPr>
        <w:t>ë</w:t>
      </w:r>
      <w:r>
        <w:rPr>
          <w:b w:val="0"/>
          <w:bCs w:val="0"/>
          <w:color w:val="000000"/>
          <w:sz w:val="24"/>
          <w:szCs w:val="24"/>
          <w:lang w:val="sq-AL"/>
        </w:rPr>
        <w:t xml:space="preserve"> procesin e diskutimit dhe negocimit t</w:t>
      </w:r>
      <w:r w:rsidR="00455816">
        <w:rPr>
          <w:b w:val="0"/>
          <w:bCs w:val="0"/>
          <w:color w:val="000000"/>
          <w:sz w:val="24"/>
          <w:szCs w:val="24"/>
          <w:lang w:val="sq-AL"/>
        </w:rPr>
        <w:t>ë</w:t>
      </w:r>
      <w:r>
        <w:rPr>
          <w:b w:val="0"/>
          <w:bCs w:val="0"/>
          <w:color w:val="000000"/>
          <w:sz w:val="24"/>
          <w:szCs w:val="24"/>
          <w:lang w:val="sq-AL"/>
        </w:rPr>
        <w:t xml:space="preserve"> k</w:t>
      </w:r>
      <w:r w:rsidR="00455816">
        <w:rPr>
          <w:b w:val="0"/>
          <w:bCs w:val="0"/>
          <w:color w:val="000000"/>
          <w:sz w:val="24"/>
          <w:szCs w:val="24"/>
          <w:lang w:val="sq-AL"/>
        </w:rPr>
        <w:t>ë</w:t>
      </w:r>
      <w:r>
        <w:rPr>
          <w:b w:val="0"/>
          <w:bCs w:val="0"/>
          <w:color w:val="000000"/>
          <w:sz w:val="24"/>
          <w:szCs w:val="24"/>
          <w:lang w:val="sq-AL"/>
        </w:rPr>
        <w:t>rkesave buxhetore gjat</w:t>
      </w:r>
      <w:r w:rsidR="00455816">
        <w:rPr>
          <w:b w:val="0"/>
          <w:bCs w:val="0"/>
          <w:color w:val="000000"/>
          <w:sz w:val="24"/>
          <w:szCs w:val="24"/>
          <w:lang w:val="sq-AL"/>
        </w:rPr>
        <w:t>ë</w:t>
      </w:r>
      <w:r>
        <w:rPr>
          <w:b w:val="0"/>
          <w:bCs w:val="0"/>
          <w:color w:val="000000"/>
          <w:sz w:val="24"/>
          <w:szCs w:val="24"/>
          <w:lang w:val="sq-AL"/>
        </w:rPr>
        <w:t xml:space="preserve"> faz</w:t>
      </w:r>
      <w:r w:rsidR="00455816">
        <w:rPr>
          <w:b w:val="0"/>
          <w:bCs w:val="0"/>
          <w:color w:val="000000"/>
          <w:sz w:val="24"/>
          <w:szCs w:val="24"/>
          <w:lang w:val="sq-AL"/>
        </w:rPr>
        <w:t>ë</w:t>
      </w:r>
      <w:r>
        <w:rPr>
          <w:b w:val="0"/>
          <w:bCs w:val="0"/>
          <w:color w:val="000000"/>
          <w:sz w:val="24"/>
          <w:szCs w:val="24"/>
          <w:lang w:val="sq-AL"/>
        </w:rPr>
        <w:t>s s</w:t>
      </w:r>
      <w:r w:rsidR="00455816">
        <w:rPr>
          <w:b w:val="0"/>
          <w:bCs w:val="0"/>
          <w:color w:val="000000"/>
          <w:sz w:val="24"/>
          <w:szCs w:val="24"/>
          <w:lang w:val="sq-AL"/>
        </w:rPr>
        <w:t>ë</w:t>
      </w:r>
      <w:r>
        <w:rPr>
          <w:b w:val="0"/>
          <w:bCs w:val="0"/>
          <w:color w:val="000000"/>
          <w:sz w:val="24"/>
          <w:szCs w:val="24"/>
          <w:lang w:val="sq-AL"/>
        </w:rPr>
        <w:t xml:space="preserve"> p</w:t>
      </w:r>
      <w:r w:rsidR="00455816">
        <w:rPr>
          <w:b w:val="0"/>
          <w:bCs w:val="0"/>
          <w:color w:val="000000"/>
          <w:sz w:val="24"/>
          <w:szCs w:val="24"/>
          <w:lang w:val="sq-AL"/>
        </w:rPr>
        <w:t>ë</w:t>
      </w:r>
      <w:r>
        <w:rPr>
          <w:b w:val="0"/>
          <w:bCs w:val="0"/>
          <w:color w:val="000000"/>
          <w:sz w:val="24"/>
          <w:szCs w:val="24"/>
          <w:lang w:val="sq-AL"/>
        </w:rPr>
        <w:t>rgatitjes s</w:t>
      </w:r>
      <w:r w:rsidR="00455816">
        <w:rPr>
          <w:b w:val="0"/>
          <w:bCs w:val="0"/>
          <w:color w:val="000000"/>
          <w:sz w:val="24"/>
          <w:szCs w:val="24"/>
          <w:lang w:val="sq-AL"/>
        </w:rPr>
        <w:t>ë</w:t>
      </w:r>
      <w:r>
        <w:rPr>
          <w:b w:val="0"/>
          <w:bCs w:val="0"/>
          <w:color w:val="000000"/>
          <w:sz w:val="24"/>
          <w:szCs w:val="24"/>
          <w:lang w:val="sq-AL"/>
        </w:rPr>
        <w:t xml:space="preserve"> programit buxhetor afatmes</w:t>
      </w:r>
      <w:r w:rsidR="00455816">
        <w:rPr>
          <w:b w:val="0"/>
          <w:bCs w:val="0"/>
          <w:color w:val="000000"/>
          <w:sz w:val="24"/>
          <w:szCs w:val="24"/>
          <w:lang w:val="sq-AL"/>
        </w:rPr>
        <w:t>ë</w:t>
      </w:r>
      <w:r>
        <w:rPr>
          <w:b w:val="0"/>
          <w:bCs w:val="0"/>
          <w:color w:val="000000"/>
          <w:sz w:val="24"/>
          <w:szCs w:val="24"/>
          <w:lang w:val="sq-AL"/>
        </w:rPr>
        <w:t>m t</w:t>
      </w:r>
      <w:r w:rsidR="00455816">
        <w:rPr>
          <w:b w:val="0"/>
          <w:bCs w:val="0"/>
          <w:color w:val="000000"/>
          <w:sz w:val="24"/>
          <w:szCs w:val="24"/>
          <w:lang w:val="sq-AL"/>
        </w:rPr>
        <w:t>ë</w:t>
      </w:r>
      <w:r>
        <w:rPr>
          <w:b w:val="0"/>
          <w:bCs w:val="0"/>
          <w:color w:val="000000"/>
          <w:sz w:val="24"/>
          <w:szCs w:val="24"/>
          <w:lang w:val="sq-AL"/>
        </w:rPr>
        <w:t xml:space="preserve"> b</w:t>
      </w:r>
      <w:r w:rsidR="00455816">
        <w:rPr>
          <w:b w:val="0"/>
          <w:bCs w:val="0"/>
          <w:color w:val="000000"/>
          <w:sz w:val="24"/>
          <w:szCs w:val="24"/>
          <w:lang w:val="sq-AL"/>
        </w:rPr>
        <w:t>ë</w:t>
      </w:r>
      <w:r>
        <w:rPr>
          <w:b w:val="0"/>
          <w:bCs w:val="0"/>
          <w:color w:val="000000"/>
          <w:sz w:val="24"/>
          <w:szCs w:val="24"/>
          <w:lang w:val="sq-AL"/>
        </w:rPr>
        <w:t>ra nga Ministrit</w:t>
      </w:r>
      <w:r w:rsidR="00455816">
        <w:rPr>
          <w:b w:val="0"/>
          <w:bCs w:val="0"/>
          <w:color w:val="000000"/>
          <w:sz w:val="24"/>
          <w:szCs w:val="24"/>
          <w:lang w:val="sq-AL"/>
        </w:rPr>
        <w:t>ë</w:t>
      </w:r>
      <w:r>
        <w:rPr>
          <w:b w:val="0"/>
          <w:bCs w:val="0"/>
          <w:color w:val="000000"/>
          <w:sz w:val="24"/>
          <w:szCs w:val="24"/>
          <w:lang w:val="sq-AL"/>
        </w:rPr>
        <w:t xml:space="preserve"> e Linj</w:t>
      </w:r>
      <w:r w:rsidR="00455816">
        <w:rPr>
          <w:b w:val="0"/>
          <w:bCs w:val="0"/>
          <w:color w:val="000000"/>
          <w:sz w:val="24"/>
          <w:szCs w:val="24"/>
          <w:lang w:val="sq-AL"/>
        </w:rPr>
        <w:t>ë</w:t>
      </w:r>
      <w:r>
        <w:rPr>
          <w:b w:val="0"/>
          <w:bCs w:val="0"/>
          <w:color w:val="000000"/>
          <w:sz w:val="24"/>
          <w:szCs w:val="24"/>
          <w:lang w:val="sq-AL"/>
        </w:rPr>
        <w:t>s dhe Institucionet Qendrore. K</w:t>
      </w:r>
      <w:r w:rsidR="00455816">
        <w:rPr>
          <w:b w:val="0"/>
          <w:bCs w:val="0"/>
          <w:color w:val="000000"/>
          <w:sz w:val="24"/>
          <w:szCs w:val="24"/>
          <w:lang w:val="sq-AL"/>
        </w:rPr>
        <w:t>ë</w:t>
      </w:r>
      <w:r>
        <w:rPr>
          <w:b w:val="0"/>
          <w:bCs w:val="0"/>
          <w:color w:val="000000"/>
          <w:sz w:val="24"/>
          <w:szCs w:val="24"/>
          <w:lang w:val="sq-AL"/>
        </w:rPr>
        <w:t>rkesat shtes</w:t>
      </w:r>
      <w:r w:rsidR="00455816">
        <w:rPr>
          <w:b w:val="0"/>
          <w:bCs w:val="0"/>
          <w:color w:val="000000"/>
          <w:sz w:val="24"/>
          <w:szCs w:val="24"/>
          <w:lang w:val="sq-AL"/>
        </w:rPr>
        <w:t>ë</w:t>
      </w:r>
      <w:r>
        <w:rPr>
          <w:b w:val="0"/>
          <w:bCs w:val="0"/>
          <w:color w:val="000000"/>
          <w:sz w:val="24"/>
          <w:szCs w:val="24"/>
          <w:lang w:val="sq-AL"/>
        </w:rPr>
        <w:t xml:space="preserve"> t</w:t>
      </w:r>
      <w:r w:rsidR="00455816">
        <w:rPr>
          <w:b w:val="0"/>
          <w:bCs w:val="0"/>
          <w:color w:val="000000"/>
          <w:sz w:val="24"/>
          <w:szCs w:val="24"/>
          <w:lang w:val="sq-AL"/>
        </w:rPr>
        <w:t>ë</w:t>
      </w:r>
      <w:r>
        <w:rPr>
          <w:b w:val="0"/>
          <w:bCs w:val="0"/>
          <w:color w:val="000000"/>
          <w:sz w:val="24"/>
          <w:szCs w:val="24"/>
          <w:lang w:val="sq-AL"/>
        </w:rPr>
        <w:t xml:space="preserve"> parashtruara nga Ministrit</w:t>
      </w:r>
      <w:r w:rsidR="00455816">
        <w:rPr>
          <w:b w:val="0"/>
          <w:bCs w:val="0"/>
          <w:color w:val="000000"/>
          <w:sz w:val="24"/>
          <w:szCs w:val="24"/>
          <w:lang w:val="sq-AL"/>
        </w:rPr>
        <w:t>ë</w:t>
      </w:r>
      <w:r>
        <w:rPr>
          <w:b w:val="0"/>
          <w:bCs w:val="0"/>
          <w:color w:val="000000"/>
          <w:sz w:val="24"/>
          <w:szCs w:val="24"/>
          <w:lang w:val="sq-AL"/>
        </w:rPr>
        <w:t xml:space="preserve"> e Linj</w:t>
      </w:r>
      <w:r w:rsidR="00455816">
        <w:rPr>
          <w:b w:val="0"/>
          <w:bCs w:val="0"/>
          <w:color w:val="000000"/>
          <w:sz w:val="24"/>
          <w:szCs w:val="24"/>
          <w:lang w:val="sq-AL"/>
        </w:rPr>
        <w:t>ë</w:t>
      </w:r>
      <w:r>
        <w:rPr>
          <w:b w:val="0"/>
          <w:bCs w:val="0"/>
          <w:color w:val="000000"/>
          <w:sz w:val="24"/>
          <w:szCs w:val="24"/>
          <w:lang w:val="sq-AL"/>
        </w:rPr>
        <w:t>s dhe Institucionet Qendrore gjat</w:t>
      </w:r>
      <w:r w:rsidR="00455816">
        <w:rPr>
          <w:b w:val="0"/>
          <w:bCs w:val="0"/>
          <w:color w:val="000000"/>
          <w:sz w:val="24"/>
          <w:szCs w:val="24"/>
          <w:lang w:val="sq-AL"/>
        </w:rPr>
        <w:t>ë</w:t>
      </w:r>
      <w:r>
        <w:rPr>
          <w:b w:val="0"/>
          <w:bCs w:val="0"/>
          <w:color w:val="000000"/>
          <w:sz w:val="24"/>
          <w:szCs w:val="24"/>
          <w:lang w:val="sq-AL"/>
        </w:rPr>
        <w:t xml:space="preserve"> faz</w:t>
      </w:r>
      <w:r w:rsidR="00455816">
        <w:rPr>
          <w:b w:val="0"/>
          <w:bCs w:val="0"/>
          <w:color w:val="000000"/>
          <w:sz w:val="24"/>
          <w:szCs w:val="24"/>
          <w:lang w:val="sq-AL"/>
        </w:rPr>
        <w:t>ë</w:t>
      </w:r>
      <w:r>
        <w:rPr>
          <w:b w:val="0"/>
          <w:bCs w:val="0"/>
          <w:color w:val="000000"/>
          <w:sz w:val="24"/>
          <w:szCs w:val="24"/>
          <w:lang w:val="sq-AL"/>
        </w:rPr>
        <w:t>s strategjike t</w:t>
      </w:r>
      <w:r w:rsidR="00455816">
        <w:rPr>
          <w:b w:val="0"/>
          <w:bCs w:val="0"/>
          <w:color w:val="000000"/>
          <w:sz w:val="24"/>
          <w:szCs w:val="24"/>
          <w:lang w:val="sq-AL"/>
        </w:rPr>
        <w:t>ë</w:t>
      </w:r>
      <w:r>
        <w:rPr>
          <w:b w:val="0"/>
          <w:bCs w:val="0"/>
          <w:color w:val="000000"/>
          <w:sz w:val="24"/>
          <w:szCs w:val="24"/>
          <w:lang w:val="sq-AL"/>
        </w:rPr>
        <w:t xml:space="preserve"> PBA 2026-2028 rezultojn</w:t>
      </w:r>
      <w:r w:rsidR="00455816">
        <w:rPr>
          <w:b w:val="0"/>
          <w:bCs w:val="0"/>
          <w:color w:val="000000"/>
          <w:sz w:val="24"/>
          <w:szCs w:val="24"/>
          <w:lang w:val="sq-AL"/>
        </w:rPr>
        <w:t>ë</w:t>
      </w:r>
      <w:r>
        <w:rPr>
          <w:b w:val="0"/>
          <w:bCs w:val="0"/>
          <w:color w:val="000000"/>
          <w:sz w:val="24"/>
          <w:szCs w:val="24"/>
          <w:lang w:val="sq-AL"/>
        </w:rPr>
        <w:t xml:space="preserve"> n</w:t>
      </w:r>
      <w:r w:rsidR="00455816">
        <w:rPr>
          <w:b w:val="0"/>
          <w:bCs w:val="0"/>
          <w:color w:val="000000"/>
          <w:sz w:val="24"/>
          <w:szCs w:val="24"/>
          <w:lang w:val="sq-AL"/>
        </w:rPr>
        <w:t>ë</w:t>
      </w:r>
      <w:r>
        <w:rPr>
          <w:b w:val="0"/>
          <w:bCs w:val="0"/>
          <w:color w:val="000000"/>
          <w:sz w:val="24"/>
          <w:szCs w:val="24"/>
          <w:lang w:val="sq-AL"/>
        </w:rPr>
        <w:t xml:space="preserve"> mas</w:t>
      </w:r>
      <w:r w:rsidR="00455816">
        <w:rPr>
          <w:b w:val="0"/>
          <w:bCs w:val="0"/>
          <w:color w:val="000000"/>
          <w:sz w:val="24"/>
          <w:szCs w:val="24"/>
          <w:lang w:val="sq-AL"/>
        </w:rPr>
        <w:t>ë</w:t>
      </w:r>
      <w:r>
        <w:rPr>
          <w:b w:val="0"/>
          <w:bCs w:val="0"/>
          <w:color w:val="000000"/>
          <w:sz w:val="24"/>
          <w:szCs w:val="24"/>
          <w:lang w:val="sq-AL"/>
        </w:rPr>
        <w:t xml:space="preserve">n </w:t>
      </w:r>
      <w:r w:rsidR="00CC6793">
        <w:rPr>
          <w:b w:val="0"/>
          <w:bCs w:val="0"/>
          <w:color w:val="000000"/>
          <w:sz w:val="24"/>
          <w:szCs w:val="24"/>
          <w:lang w:val="sq-AL"/>
        </w:rPr>
        <w:t>222.1 miliard</w:t>
      </w:r>
      <w:r w:rsidR="00455816">
        <w:rPr>
          <w:b w:val="0"/>
          <w:bCs w:val="0"/>
          <w:color w:val="000000"/>
          <w:sz w:val="24"/>
          <w:szCs w:val="24"/>
          <w:lang w:val="sq-AL"/>
        </w:rPr>
        <w:t>ë</w:t>
      </w:r>
      <w:r w:rsidR="00CC6793">
        <w:rPr>
          <w:b w:val="0"/>
          <w:bCs w:val="0"/>
          <w:color w:val="000000"/>
          <w:sz w:val="24"/>
          <w:szCs w:val="24"/>
          <w:lang w:val="sq-AL"/>
        </w:rPr>
        <w:t xml:space="preserve"> lek</w:t>
      </w:r>
      <w:r w:rsidR="00455816">
        <w:rPr>
          <w:b w:val="0"/>
          <w:bCs w:val="0"/>
          <w:color w:val="000000"/>
          <w:sz w:val="24"/>
          <w:szCs w:val="24"/>
          <w:lang w:val="sq-AL"/>
        </w:rPr>
        <w:t>ë</w:t>
      </w:r>
      <w:r w:rsidR="00CC6793">
        <w:rPr>
          <w:b w:val="0"/>
          <w:bCs w:val="0"/>
          <w:color w:val="000000"/>
          <w:sz w:val="24"/>
          <w:szCs w:val="24"/>
          <w:lang w:val="sq-AL"/>
        </w:rPr>
        <w:t xml:space="preserve"> nga t</w:t>
      </w:r>
      <w:r w:rsidR="00455816">
        <w:rPr>
          <w:b w:val="0"/>
          <w:bCs w:val="0"/>
          <w:color w:val="000000"/>
          <w:sz w:val="24"/>
          <w:szCs w:val="24"/>
          <w:lang w:val="sq-AL"/>
        </w:rPr>
        <w:t>ë</w:t>
      </w:r>
      <w:r w:rsidR="00CC6793">
        <w:rPr>
          <w:b w:val="0"/>
          <w:bCs w:val="0"/>
          <w:color w:val="000000"/>
          <w:sz w:val="24"/>
          <w:szCs w:val="24"/>
          <w:lang w:val="sq-AL"/>
        </w:rPr>
        <w:t xml:space="preserve"> cilat p</w:t>
      </w:r>
      <w:r w:rsidR="00455816">
        <w:rPr>
          <w:b w:val="0"/>
          <w:bCs w:val="0"/>
          <w:color w:val="000000"/>
          <w:sz w:val="24"/>
          <w:szCs w:val="24"/>
          <w:lang w:val="sq-AL"/>
        </w:rPr>
        <w:t>ë</w:t>
      </w:r>
      <w:r w:rsidR="00CC6793">
        <w:rPr>
          <w:b w:val="0"/>
          <w:bCs w:val="0"/>
          <w:color w:val="000000"/>
          <w:sz w:val="24"/>
          <w:szCs w:val="24"/>
          <w:lang w:val="sq-AL"/>
        </w:rPr>
        <w:t>r shpenzime t</w:t>
      </w:r>
      <w:r w:rsidR="00455816">
        <w:rPr>
          <w:b w:val="0"/>
          <w:bCs w:val="0"/>
          <w:color w:val="000000"/>
          <w:sz w:val="24"/>
          <w:szCs w:val="24"/>
          <w:lang w:val="sq-AL"/>
        </w:rPr>
        <w:t>ë</w:t>
      </w:r>
      <w:r w:rsidR="00CC6793">
        <w:rPr>
          <w:b w:val="0"/>
          <w:bCs w:val="0"/>
          <w:color w:val="000000"/>
          <w:sz w:val="24"/>
          <w:szCs w:val="24"/>
          <w:lang w:val="sq-AL"/>
        </w:rPr>
        <w:t xml:space="preserve"> tjera korrente ishin paraqitur n</w:t>
      </w:r>
      <w:r w:rsidR="00455816">
        <w:rPr>
          <w:b w:val="0"/>
          <w:bCs w:val="0"/>
          <w:color w:val="000000"/>
          <w:sz w:val="24"/>
          <w:szCs w:val="24"/>
          <w:lang w:val="sq-AL"/>
        </w:rPr>
        <w:t>ë</w:t>
      </w:r>
      <w:r w:rsidR="00CC6793">
        <w:rPr>
          <w:b w:val="0"/>
          <w:bCs w:val="0"/>
          <w:color w:val="000000"/>
          <w:sz w:val="24"/>
          <w:szCs w:val="24"/>
          <w:lang w:val="sq-AL"/>
        </w:rPr>
        <w:t xml:space="preserve"> mas</w:t>
      </w:r>
      <w:r w:rsidR="00455816">
        <w:rPr>
          <w:b w:val="0"/>
          <w:bCs w:val="0"/>
          <w:color w:val="000000"/>
          <w:sz w:val="24"/>
          <w:szCs w:val="24"/>
          <w:lang w:val="sq-AL"/>
        </w:rPr>
        <w:t>ë</w:t>
      </w:r>
      <w:r w:rsidR="00CC6793">
        <w:rPr>
          <w:b w:val="0"/>
          <w:bCs w:val="0"/>
          <w:color w:val="000000"/>
          <w:sz w:val="24"/>
          <w:szCs w:val="24"/>
          <w:lang w:val="sq-AL"/>
        </w:rPr>
        <w:t>n 32 miliard</w:t>
      </w:r>
      <w:r w:rsidR="00455816">
        <w:rPr>
          <w:b w:val="0"/>
          <w:bCs w:val="0"/>
          <w:color w:val="000000"/>
          <w:sz w:val="24"/>
          <w:szCs w:val="24"/>
          <w:lang w:val="sq-AL"/>
        </w:rPr>
        <w:t>ë</w:t>
      </w:r>
      <w:r w:rsidR="00CC6793">
        <w:rPr>
          <w:b w:val="0"/>
          <w:bCs w:val="0"/>
          <w:color w:val="000000"/>
          <w:sz w:val="24"/>
          <w:szCs w:val="24"/>
          <w:lang w:val="sq-AL"/>
        </w:rPr>
        <w:t xml:space="preserve"> lek</w:t>
      </w:r>
      <w:r w:rsidR="00455816">
        <w:rPr>
          <w:b w:val="0"/>
          <w:bCs w:val="0"/>
          <w:color w:val="000000"/>
          <w:sz w:val="24"/>
          <w:szCs w:val="24"/>
          <w:lang w:val="sq-AL"/>
        </w:rPr>
        <w:t>ë</w:t>
      </w:r>
      <w:r w:rsidR="00CC6793">
        <w:rPr>
          <w:b w:val="0"/>
          <w:bCs w:val="0"/>
          <w:color w:val="000000"/>
          <w:sz w:val="24"/>
          <w:szCs w:val="24"/>
          <w:lang w:val="sq-AL"/>
        </w:rPr>
        <w:t>.</w:t>
      </w:r>
      <w:bookmarkEnd w:id="27"/>
    </w:p>
    <w:p w14:paraId="2C506B1C" w14:textId="77777777" w:rsidR="00CC6793" w:rsidRDefault="00CC6793" w:rsidP="008611AE">
      <w:pPr>
        <w:pStyle w:val="Heading1"/>
        <w:numPr>
          <w:ilvl w:val="0"/>
          <w:numId w:val="0"/>
        </w:numPr>
        <w:spacing w:line="276" w:lineRule="auto"/>
        <w:ind w:left="7" w:right="48"/>
        <w:jc w:val="both"/>
        <w:rPr>
          <w:b w:val="0"/>
          <w:bCs w:val="0"/>
          <w:color w:val="000000"/>
          <w:sz w:val="24"/>
          <w:szCs w:val="24"/>
          <w:lang w:val="sq-AL"/>
        </w:rPr>
      </w:pPr>
    </w:p>
    <w:p w14:paraId="4EFE1DC2" w14:textId="37BF5733" w:rsidR="00CC6793" w:rsidRDefault="00CC6793" w:rsidP="00CC6793">
      <w:pPr>
        <w:pStyle w:val="Heading1"/>
        <w:numPr>
          <w:ilvl w:val="0"/>
          <w:numId w:val="97"/>
        </w:numPr>
        <w:spacing w:line="276" w:lineRule="auto"/>
        <w:ind w:right="48"/>
        <w:jc w:val="both"/>
        <w:rPr>
          <w:sz w:val="24"/>
          <w:szCs w:val="24"/>
          <w:lang w:val="sq-AL"/>
        </w:rPr>
      </w:pPr>
      <w:bookmarkStart w:id="28" w:name="_Toc228275812"/>
      <w:r>
        <w:rPr>
          <w:sz w:val="24"/>
          <w:szCs w:val="24"/>
          <w:lang w:val="sq-AL"/>
        </w:rPr>
        <w:t>Devijanca n</w:t>
      </w:r>
      <w:r w:rsidR="00455816">
        <w:rPr>
          <w:sz w:val="24"/>
          <w:szCs w:val="24"/>
          <w:lang w:val="sq-AL"/>
        </w:rPr>
        <w:t>ë</w:t>
      </w:r>
      <w:r>
        <w:rPr>
          <w:sz w:val="24"/>
          <w:szCs w:val="24"/>
          <w:lang w:val="sq-AL"/>
        </w:rPr>
        <w:t xml:space="preserve"> Z</w:t>
      </w:r>
      <w:r w:rsidR="00455816">
        <w:rPr>
          <w:sz w:val="24"/>
          <w:szCs w:val="24"/>
          <w:lang w:val="sq-AL"/>
        </w:rPr>
        <w:t>ë</w:t>
      </w:r>
      <w:r>
        <w:rPr>
          <w:sz w:val="24"/>
          <w:szCs w:val="24"/>
          <w:lang w:val="sq-AL"/>
        </w:rPr>
        <w:t>rin e Subvencioneve</w:t>
      </w:r>
      <w:bookmarkEnd w:id="28"/>
    </w:p>
    <w:p w14:paraId="09D3F5D4" w14:textId="77777777" w:rsidR="00CC6793" w:rsidRDefault="00CC6793" w:rsidP="00CC6793">
      <w:pPr>
        <w:pStyle w:val="Heading1"/>
        <w:numPr>
          <w:ilvl w:val="0"/>
          <w:numId w:val="0"/>
        </w:numPr>
        <w:spacing w:line="276" w:lineRule="auto"/>
        <w:ind w:left="7" w:right="48"/>
        <w:jc w:val="both"/>
        <w:rPr>
          <w:b w:val="0"/>
          <w:bCs w:val="0"/>
          <w:sz w:val="24"/>
          <w:szCs w:val="24"/>
          <w:lang w:val="sq-AL"/>
        </w:rPr>
      </w:pPr>
    </w:p>
    <w:p w14:paraId="28D83B76" w14:textId="543C91D2" w:rsidR="00CA32CE" w:rsidRDefault="00CC6793" w:rsidP="00CC6793">
      <w:pPr>
        <w:pStyle w:val="Heading1"/>
        <w:numPr>
          <w:ilvl w:val="0"/>
          <w:numId w:val="0"/>
        </w:numPr>
        <w:spacing w:line="276" w:lineRule="auto"/>
        <w:ind w:left="7" w:right="48"/>
        <w:jc w:val="both"/>
        <w:rPr>
          <w:b w:val="0"/>
          <w:bCs w:val="0"/>
          <w:sz w:val="24"/>
          <w:szCs w:val="24"/>
          <w:lang w:val="sq-AL"/>
        </w:rPr>
      </w:pPr>
      <w:bookmarkStart w:id="29" w:name="_Toc228275813"/>
      <w:r w:rsidRPr="004263C5">
        <w:rPr>
          <w:b w:val="0"/>
          <w:bCs w:val="0"/>
          <w:sz w:val="24"/>
          <w:szCs w:val="24"/>
          <w:lang w:val="sq-AL"/>
        </w:rPr>
        <w:t>Devijanca nominale</w:t>
      </w:r>
      <w:r>
        <w:rPr>
          <w:b w:val="0"/>
          <w:bCs w:val="0"/>
          <w:sz w:val="24"/>
          <w:szCs w:val="24"/>
          <w:lang w:val="sq-AL"/>
        </w:rPr>
        <w:t xml:space="preserve"> mes shpenzimeve p</w:t>
      </w:r>
      <w:r w:rsidR="00455816">
        <w:rPr>
          <w:b w:val="0"/>
          <w:bCs w:val="0"/>
          <w:sz w:val="24"/>
          <w:szCs w:val="24"/>
          <w:lang w:val="sq-AL"/>
        </w:rPr>
        <w:t>ë</w:t>
      </w:r>
      <w:r>
        <w:rPr>
          <w:b w:val="0"/>
          <w:bCs w:val="0"/>
          <w:sz w:val="24"/>
          <w:szCs w:val="24"/>
          <w:lang w:val="sq-AL"/>
        </w:rPr>
        <w:t>r subvencione t</w:t>
      </w:r>
      <w:r w:rsidR="00455816">
        <w:rPr>
          <w:b w:val="0"/>
          <w:bCs w:val="0"/>
          <w:sz w:val="24"/>
          <w:szCs w:val="24"/>
          <w:lang w:val="sq-AL"/>
        </w:rPr>
        <w:t>ë</w:t>
      </w:r>
      <w:r>
        <w:rPr>
          <w:b w:val="0"/>
          <w:bCs w:val="0"/>
          <w:sz w:val="24"/>
          <w:szCs w:val="24"/>
          <w:lang w:val="sq-AL"/>
        </w:rPr>
        <w:t xml:space="preserve"> miratuara me ligjin e buxhetit p</w:t>
      </w:r>
      <w:r w:rsidR="00455816">
        <w:rPr>
          <w:b w:val="0"/>
          <w:bCs w:val="0"/>
          <w:sz w:val="24"/>
          <w:szCs w:val="24"/>
          <w:lang w:val="sq-AL"/>
        </w:rPr>
        <w:t>ë</w:t>
      </w:r>
      <w:r>
        <w:rPr>
          <w:b w:val="0"/>
          <w:bCs w:val="0"/>
          <w:sz w:val="24"/>
          <w:szCs w:val="24"/>
          <w:lang w:val="sq-AL"/>
        </w:rPr>
        <w:t>r vitin 2026 krahasuar me parashikimin 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kuadrin makroekonomik dhe fiskal p</w:t>
      </w:r>
      <w:r w:rsidR="00455816">
        <w:rPr>
          <w:b w:val="0"/>
          <w:bCs w:val="0"/>
          <w:sz w:val="24"/>
          <w:szCs w:val="24"/>
          <w:lang w:val="sq-AL"/>
        </w:rPr>
        <w:t>ë</w:t>
      </w:r>
      <w:r>
        <w:rPr>
          <w:b w:val="0"/>
          <w:bCs w:val="0"/>
          <w:sz w:val="24"/>
          <w:szCs w:val="24"/>
          <w:lang w:val="sq-AL"/>
        </w:rPr>
        <w:t>r periudh</w:t>
      </w:r>
      <w:r w:rsidR="00455816">
        <w:rPr>
          <w:b w:val="0"/>
          <w:bCs w:val="0"/>
          <w:sz w:val="24"/>
          <w:szCs w:val="24"/>
          <w:lang w:val="sq-AL"/>
        </w:rPr>
        <w:t>ë</w:t>
      </w:r>
      <w:r>
        <w:rPr>
          <w:b w:val="0"/>
          <w:bCs w:val="0"/>
          <w:sz w:val="24"/>
          <w:szCs w:val="24"/>
          <w:lang w:val="sq-AL"/>
        </w:rPr>
        <w:t>n 2026-2028 rezulton n</w:t>
      </w:r>
      <w:r w:rsidR="00455816">
        <w:rPr>
          <w:b w:val="0"/>
          <w:bCs w:val="0"/>
          <w:sz w:val="24"/>
          <w:szCs w:val="24"/>
          <w:lang w:val="sq-AL"/>
        </w:rPr>
        <w:t>ë</w:t>
      </w:r>
      <w:r>
        <w:rPr>
          <w:b w:val="0"/>
          <w:bCs w:val="0"/>
          <w:sz w:val="24"/>
          <w:szCs w:val="24"/>
          <w:lang w:val="sq-AL"/>
        </w:rPr>
        <w:t xml:space="preserve"> mas</w:t>
      </w:r>
      <w:r w:rsidR="00455816">
        <w:rPr>
          <w:b w:val="0"/>
          <w:bCs w:val="0"/>
          <w:sz w:val="24"/>
          <w:szCs w:val="24"/>
          <w:lang w:val="sq-AL"/>
        </w:rPr>
        <w:t>ë</w:t>
      </w:r>
      <w:r>
        <w:rPr>
          <w:b w:val="0"/>
          <w:bCs w:val="0"/>
          <w:sz w:val="24"/>
          <w:szCs w:val="24"/>
          <w:lang w:val="sq-AL"/>
        </w:rPr>
        <w:t xml:space="preserve">n </w:t>
      </w:r>
      <w:r w:rsidRPr="004263C5">
        <w:rPr>
          <w:b w:val="0"/>
          <w:bCs w:val="0"/>
          <w:sz w:val="24"/>
          <w:szCs w:val="24"/>
          <w:lang w:val="sq-AL"/>
        </w:rPr>
        <w:t>+</w:t>
      </w:r>
      <w:r>
        <w:rPr>
          <w:b w:val="0"/>
          <w:bCs w:val="0"/>
          <w:sz w:val="24"/>
          <w:szCs w:val="24"/>
          <w:lang w:val="sq-AL"/>
        </w:rPr>
        <w:t>500 milion</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0.</w:t>
      </w:r>
      <w:r w:rsidR="00CA32CE">
        <w:rPr>
          <w:b w:val="0"/>
          <w:bCs w:val="0"/>
          <w:sz w:val="24"/>
          <w:szCs w:val="24"/>
          <w:lang w:val="sq-AL"/>
        </w:rPr>
        <w:t>02</w:t>
      </w:r>
      <w:r>
        <w:rPr>
          <w:b w:val="0"/>
          <w:bCs w:val="0"/>
          <w:sz w:val="24"/>
          <w:szCs w:val="24"/>
          <w:lang w:val="sq-AL"/>
        </w:rPr>
        <w:t xml:space="preserve"> pik</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rqindje ndaj PBB.</w:t>
      </w:r>
      <w:bookmarkEnd w:id="29"/>
      <w:r w:rsidR="00CA32CE">
        <w:rPr>
          <w:b w:val="0"/>
          <w:bCs w:val="0"/>
          <w:sz w:val="24"/>
          <w:szCs w:val="24"/>
          <w:lang w:val="sq-AL"/>
        </w:rPr>
        <w:t xml:space="preserve"> </w:t>
      </w:r>
    </w:p>
    <w:p w14:paraId="32B446C1" w14:textId="77777777" w:rsidR="00CA32CE" w:rsidRDefault="00CA32CE" w:rsidP="00CC6793">
      <w:pPr>
        <w:pStyle w:val="Heading1"/>
        <w:numPr>
          <w:ilvl w:val="0"/>
          <w:numId w:val="0"/>
        </w:numPr>
        <w:spacing w:line="276" w:lineRule="auto"/>
        <w:ind w:left="7" w:right="48"/>
        <w:jc w:val="both"/>
        <w:rPr>
          <w:b w:val="0"/>
          <w:bCs w:val="0"/>
          <w:sz w:val="24"/>
          <w:szCs w:val="24"/>
          <w:lang w:val="sq-AL"/>
        </w:rPr>
      </w:pPr>
    </w:p>
    <w:p w14:paraId="0F301C6A" w14:textId="73B3CDDB" w:rsidR="00CC6793" w:rsidRDefault="00CA32CE" w:rsidP="00CC6793">
      <w:pPr>
        <w:pStyle w:val="Heading1"/>
        <w:numPr>
          <w:ilvl w:val="0"/>
          <w:numId w:val="0"/>
        </w:numPr>
        <w:spacing w:line="276" w:lineRule="auto"/>
        <w:ind w:left="7" w:right="48"/>
        <w:jc w:val="both"/>
        <w:rPr>
          <w:b w:val="0"/>
          <w:bCs w:val="0"/>
          <w:color w:val="000000"/>
          <w:sz w:val="24"/>
          <w:szCs w:val="24"/>
          <w:lang w:val="sq-AL"/>
        </w:rPr>
      </w:pPr>
      <w:bookmarkStart w:id="30" w:name="_Toc228275814"/>
      <w:r>
        <w:rPr>
          <w:b w:val="0"/>
          <w:bCs w:val="0"/>
          <w:sz w:val="24"/>
          <w:szCs w:val="24"/>
          <w:lang w:val="sq-AL"/>
        </w:rPr>
        <w:t>Rritja n</w:t>
      </w:r>
      <w:r w:rsidR="00455816">
        <w:rPr>
          <w:b w:val="0"/>
          <w:bCs w:val="0"/>
          <w:sz w:val="24"/>
          <w:szCs w:val="24"/>
          <w:lang w:val="sq-AL"/>
        </w:rPr>
        <w:t>ë</w:t>
      </w:r>
      <w:r>
        <w:rPr>
          <w:b w:val="0"/>
          <w:bCs w:val="0"/>
          <w:sz w:val="24"/>
          <w:szCs w:val="24"/>
          <w:lang w:val="sq-AL"/>
        </w:rPr>
        <w:t xml:space="preserve"> k</w:t>
      </w:r>
      <w:r w:rsidR="00455816">
        <w:rPr>
          <w:b w:val="0"/>
          <w:bCs w:val="0"/>
          <w:sz w:val="24"/>
          <w:szCs w:val="24"/>
          <w:lang w:val="sq-AL"/>
        </w:rPr>
        <w:t>ë</w:t>
      </w:r>
      <w:r>
        <w:rPr>
          <w:b w:val="0"/>
          <w:bCs w:val="0"/>
          <w:sz w:val="24"/>
          <w:szCs w:val="24"/>
          <w:lang w:val="sq-AL"/>
        </w:rPr>
        <w:t>t</w:t>
      </w:r>
      <w:r w:rsidR="00455816">
        <w:rPr>
          <w:b w:val="0"/>
          <w:bCs w:val="0"/>
          <w:sz w:val="24"/>
          <w:szCs w:val="24"/>
          <w:lang w:val="sq-AL"/>
        </w:rPr>
        <w:t>ë</w:t>
      </w:r>
      <w:r>
        <w:rPr>
          <w:b w:val="0"/>
          <w:bCs w:val="0"/>
          <w:sz w:val="24"/>
          <w:szCs w:val="24"/>
          <w:lang w:val="sq-AL"/>
        </w:rPr>
        <w:t xml:space="preserve"> z</w:t>
      </w:r>
      <w:r w:rsidR="00455816">
        <w:rPr>
          <w:b w:val="0"/>
          <w:bCs w:val="0"/>
          <w:sz w:val="24"/>
          <w:szCs w:val="24"/>
          <w:lang w:val="sq-AL"/>
        </w:rPr>
        <w:t>ë</w:t>
      </w:r>
      <w:r>
        <w:rPr>
          <w:b w:val="0"/>
          <w:bCs w:val="0"/>
          <w:sz w:val="24"/>
          <w:szCs w:val="24"/>
          <w:lang w:val="sq-AL"/>
        </w:rPr>
        <w:t xml:space="preserve"> </w:t>
      </w:r>
      <w:r w:rsidR="00455816">
        <w:rPr>
          <w:b w:val="0"/>
          <w:bCs w:val="0"/>
          <w:sz w:val="24"/>
          <w:szCs w:val="24"/>
          <w:lang w:val="sq-AL"/>
        </w:rPr>
        <w:t>ë</w:t>
      </w:r>
      <w:r>
        <w:rPr>
          <w:b w:val="0"/>
          <w:bCs w:val="0"/>
          <w:sz w:val="24"/>
          <w:szCs w:val="24"/>
          <w:lang w:val="sq-AL"/>
        </w:rPr>
        <w:t>sht</w:t>
      </w:r>
      <w:r w:rsidR="00455816">
        <w:rPr>
          <w:b w:val="0"/>
          <w:bCs w:val="0"/>
          <w:sz w:val="24"/>
          <w:szCs w:val="24"/>
          <w:lang w:val="sq-AL"/>
        </w:rPr>
        <w:t>ë</w:t>
      </w:r>
      <w:r>
        <w:rPr>
          <w:b w:val="0"/>
          <w:bCs w:val="0"/>
          <w:sz w:val="24"/>
          <w:szCs w:val="24"/>
          <w:lang w:val="sq-AL"/>
        </w:rPr>
        <w:t xml:space="preserv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 t</w:t>
      </w:r>
      <w:r w:rsidR="00455816">
        <w:rPr>
          <w:b w:val="0"/>
          <w:bCs w:val="0"/>
          <w:sz w:val="24"/>
          <w:szCs w:val="24"/>
          <w:lang w:val="sq-AL"/>
        </w:rPr>
        <w:t>ë</w:t>
      </w:r>
      <w:r>
        <w:rPr>
          <w:b w:val="0"/>
          <w:bCs w:val="0"/>
          <w:sz w:val="24"/>
          <w:szCs w:val="24"/>
          <w:lang w:val="sq-AL"/>
        </w:rPr>
        <w:t xml:space="preserve"> reflektuar efektin e rritjes s</w:t>
      </w:r>
      <w:r w:rsidR="00455816">
        <w:rPr>
          <w:b w:val="0"/>
          <w:bCs w:val="0"/>
          <w:sz w:val="24"/>
          <w:szCs w:val="24"/>
          <w:lang w:val="sq-AL"/>
        </w:rPr>
        <w:t>ë</w:t>
      </w:r>
      <w:r>
        <w:rPr>
          <w:b w:val="0"/>
          <w:bCs w:val="0"/>
          <w:sz w:val="24"/>
          <w:szCs w:val="24"/>
          <w:lang w:val="sq-AL"/>
        </w:rPr>
        <w:t xml:space="preserve"> pag</w:t>
      </w:r>
      <w:r w:rsidR="00455816">
        <w:rPr>
          <w:b w:val="0"/>
          <w:bCs w:val="0"/>
          <w:sz w:val="24"/>
          <w:szCs w:val="24"/>
          <w:lang w:val="sq-AL"/>
        </w:rPr>
        <w:t>ë</w:t>
      </w:r>
      <w:r>
        <w:rPr>
          <w:b w:val="0"/>
          <w:bCs w:val="0"/>
          <w:sz w:val="24"/>
          <w:szCs w:val="24"/>
          <w:lang w:val="sq-AL"/>
        </w:rPr>
        <w:t>s minimale n</w:t>
      </w:r>
      <w:r w:rsidR="00455816">
        <w:rPr>
          <w:b w:val="0"/>
          <w:bCs w:val="0"/>
          <w:sz w:val="24"/>
          <w:szCs w:val="24"/>
          <w:lang w:val="sq-AL"/>
        </w:rPr>
        <w:t>ë</w:t>
      </w:r>
      <w:r>
        <w:rPr>
          <w:b w:val="0"/>
          <w:bCs w:val="0"/>
          <w:sz w:val="24"/>
          <w:szCs w:val="24"/>
          <w:lang w:val="sq-AL"/>
        </w:rPr>
        <w:t xml:space="preserve"> pagesat e programeve t</w:t>
      </w:r>
      <w:r w:rsidR="00455816">
        <w:rPr>
          <w:b w:val="0"/>
          <w:bCs w:val="0"/>
          <w:sz w:val="24"/>
          <w:szCs w:val="24"/>
          <w:lang w:val="sq-AL"/>
        </w:rPr>
        <w:t>ë</w:t>
      </w:r>
      <w:r>
        <w:rPr>
          <w:b w:val="0"/>
          <w:bCs w:val="0"/>
          <w:sz w:val="24"/>
          <w:szCs w:val="24"/>
          <w:lang w:val="sq-AL"/>
        </w:rPr>
        <w:t xml:space="preserve"> nxitjes s</w:t>
      </w:r>
      <w:r w:rsidR="00455816">
        <w:rPr>
          <w:b w:val="0"/>
          <w:bCs w:val="0"/>
          <w:sz w:val="24"/>
          <w:szCs w:val="24"/>
          <w:lang w:val="sq-AL"/>
        </w:rPr>
        <w:t>ë</w:t>
      </w:r>
      <w:r>
        <w:rPr>
          <w:b w:val="0"/>
          <w:bCs w:val="0"/>
          <w:sz w:val="24"/>
          <w:szCs w:val="24"/>
          <w:lang w:val="sq-AL"/>
        </w:rPr>
        <w:t xml:space="preserve"> pun</w:t>
      </w:r>
      <w:r w:rsidR="00455816">
        <w:rPr>
          <w:b w:val="0"/>
          <w:bCs w:val="0"/>
          <w:sz w:val="24"/>
          <w:szCs w:val="24"/>
          <w:lang w:val="sq-AL"/>
        </w:rPr>
        <w:t>ë</w:t>
      </w:r>
      <w:r>
        <w:rPr>
          <w:b w:val="0"/>
          <w:bCs w:val="0"/>
          <w:sz w:val="24"/>
          <w:szCs w:val="24"/>
          <w:lang w:val="sq-AL"/>
        </w:rPr>
        <w:t>simit pasi ato referencojn</w:t>
      </w:r>
      <w:r w:rsidR="00455816">
        <w:rPr>
          <w:b w:val="0"/>
          <w:bCs w:val="0"/>
          <w:sz w:val="24"/>
          <w:szCs w:val="24"/>
          <w:lang w:val="sq-AL"/>
        </w:rPr>
        <w:t>ë</w:t>
      </w:r>
      <w:r>
        <w:rPr>
          <w:b w:val="0"/>
          <w:bCs w:val="0"/>
          <w:sz w:val="24"/>
          <w:szCs w:val="24"/>
          <w:lang w:val="sq-AL"/>
        </w:rPr>
        <w:t xml:space="preserve"> tek paga minimale, p</w:t>
      </w:r>
      <w:r w:rsidR="00455816">
        <w:rPr>
          <w:b w:val="0"/>
          <w:bCs w:val="0"/>
          <w:sz w:val="24"/>
          <w:szCs w:val="24"/>
          <w:lang w:val="sq-AL"/>
        </w:rPr>
        <w:t>ë</w:t>
      </w:r>
      <w:r>
        <w:rPr>
          <w:b w:val="0"/>
          <w:bCs w:val="0"/>
          <w:sz w:val="24"/>
          <w:szCs w:val="24"/>
          <w:lang w:val="sq-AL"/>
        </w:rPr>
        <w:t>r t</w:t>
      </w:r>
      <w:r w:rsidR="00455816">
        <w:rPr>
          <w:b w:val="0"/>
          <w:bCs w:val="0"/>
          <w:sz w:val="24"/>
          <w:szCs w:val="24"/>
          <w:lang w:val="sq-AL"/>
        </w:rPr>
        <w:t>ë</w:t>
      </w:r>
      <w:r>
        <w:rPr>
          <w:b w:val="0"/>
          <w:bCs w:val="0"/>
          <w:sz w:val="24"/>
          <w:szCs w:val="24"/>
          <w:lang w:val="sq-AL"/>
        </w:rPr>
        <w:t xml:space="preserve"> mb</w:t>
      </w:r>
      <w:r w:rsidR="00455816">
        <w:rPr>
          <w:b w:val="0"/>
          <w:bCs w:val="0"/>
          <w:sz w:val="24"/>
          <w:szCs w:val="24"/>
          <w:lang w:val="sq-AL"/>
        </w:rPr>
        <w:t>ë</w:t>
      </w:r>
      <w:r>
        <w:rPr>
          <w:b w:val="0"/>
          <w:bCs w:val="0"/>
          <w:sz w:val="24"/>
          <w:szCs w:val="24"/>
          <w:lang w:val="sq-AL"/>
        </w:rPr>
        <w:t>shtetur programet q</w:t>
      </w:r>
      <w:r w:rsidR="00455816">
        <w:rPr>
          <w:b w:val="0"/>
          <w:bCs w:val="0"/>
          <w:sz w:val="24"/>
          <w:szCs w:val="24"/>
          <w:lang w:val="sq-AL"/>
        </w:rPr>
        <w:t>ë</w:t>
      </w:r>
      <w:r>
        <w:rPr>
          <w:b w:val="0"/>
          <w:bCs w:val="0"/>
          <w:sz w:val="24"/>
          <w:szCs w:val="24"/>
          <w:lang w:val="sq-AL"/>
        </w:rPr>
        <w:t xml:space="preserve"> lidhen me Planin e Rritjes s</w:t>
      </w:r>
      <w:r w:rsidR="00455816">
        <w:rPr>
          <w:b w:val="0"/>
          <w:bCs w:val="0"/>
          <w:sz w:val="24"/>
          <w:szCs w:val="24"/>
          <w:lang w:val="sq-AL"/>
        </w:rPr>
        <w:t>ë</w:t>
      </w:r>
      <w:r>
        <w:rPr>
          <w:b w:val="0"/>
          <w:bCs w:val="0"/>
          <w:sz w:val="24"/>
          <w:szCs w:val="24"/>
          <w:lang w:val="sq-AL"/>
        </w:rPr>
        <w:t xml:space="preserve"> BE si dhe p</w:t>
      </w:r>
      <w:r w:rsidR="00455816">
        <w:rPr>
          <w:b w:val="0"/>
          <w:bCs w:val="0"/>
          <w:sz w:val="24"/>
          <w:szCs w:val="24"/>
          <w:lang w:val="sq-AL"/>
        </w:rPr>
        <w:t>ë</w:t>
      </w:r>
      <w:r>
        <w:rPr>
          <w:b w:val="0"/>
          <w:bCs w:val="0"/>
          <w:sz w:val="24"/>
          <w:szCs w:val="24"/>
          <w:lang w:val="sq-AL"/>
        </w:rPr>
        <w:t>r t</w:t>
      </w:r>
      <w:r w:rsidR="00455816">
        <w:rPr>
          <w:b w:val="0"/>
          <w:bCs w:val="0"/>
          <w:sz w:val="24"/>
          <w:szCs w:val="24"/>
          <w:lang w:val="sq-AL"/>
        </w:rPr>
        <w:t>ë</w:t>
      </w:r>
      <w:r>
        <w:rPr>
          <w:b w:val="0"/>
          <w:bCs w:val="0"/>
          <w:sz w:val="24"/>
          <w:szCs w:val="24"/>
          <w:lang w:val="sq-AL"/>
        </w:rPr>
        <w:t xml:space="preserve"> mb</w:t>
      </w:r>
      <w:r w:rsidR="00455816">
        <w:rPr>
          <w:b w:val="0"/>
          <w:bCs w:val="0"/>
          <w:sz w:val="24"/>
          <w:szCs w:val="24"/>
          <w:lang w:val="sq-AL"/>
        </w:rPr>
        <w:t>ë</w:t>
      </w:r>
      <w:r>
        <w:rPr>
          <w:b w:val="0"/>
          <w:bCs w:val="0"/>
          <w:sz w:val="24"/>
          <w:szCs w:val="24"/>
          <w:lang w:val="sq-AL"/>
        </w:rPr>
        <w:t>shtetur reformimin e Drejtoris</w:t>
      </w:r>
      <w:r w:rsidR="00455816">
        <w:rPr>
          <w:b w:val="0"/>
          <w:bCs w:val="0"/>
          <w:sz w:val="24"/>
          <w:szCs w:val="24"/>
          <w:lang w:val="sq-AL"/>
        </w:rPr>
        <w:t>ë</w:t>
      </w:r>
      <w:r>
        <w:rPr>
          <w:b w:val="0"/>
          <w:bCs w:val="0"/>
          <w:sz w:val="24"/>
          <w:szCs w:val="24"/>
          <w:lang w:val="sq-AL"/>
        </w:rPr>
        <w:t xml:space="preserve"> s</w:t>
      </w:r>
      <w:r w:rsidR="00455816">
        <w:rPr>
          <w:b w:val="0"/>
          <w:bCs w:val="0"/>
          <w:sz w:val="24"/>
          <w:szCs w:val="24"/>
          <w:lang w:val="sq-AL"/>
        </w:rPr>
        <w:t>ë</w:t>
      </w:r>
      <w:r>
        <w:rPr>
          <w:b w:val="0"/>
          <w:bCs w:val="0"/>
          <w:sz w:val="24"/>
          <w:szCs w:val="24"/>
          <w:lang w:val="sq-AL"/>
        </w:rPr>
        <w:t xml:space="preserve"> Sh</w:t>
      </w:r>
      <w:r w:rsidR="00455816">
        <w:rPr>
          <w:b w:val="0"/>
          <w:bCs w:val="0"/>
          <w:sz w:val="24"/>
          <w:szCs w:val="24"/>
          <w:lang w:val="sq-AL"/>
        </w:rPr>
        <w:t>ë</w:t>
      </w:r>
      <w:r>
        <w:rPr>
          <w:b w:val="0"/>
          <w:bCs w:val="0"/>
          <w:sz w:val="24"/>
          <w:szCs w:val="24"/>
          <w:lang w:val="sq-AL"/>
        </w:rPr>
        <w:t xml:space="preserve">rbimeve Qeveritare. </w:t>
      </w:r>
      <w:r w:rsidRPr="008611AE">
        <w:rPr>
          <w:b w:val="0"/>
          <w:bCs w:val="0"/>
          <w:sz w:val="24"/>
          <w:szCs w:val="24"/>
          <w:lang w:val="sq-AL"/>
        </w:rPr>
        <w:t>Ky fond rezulton nga</w:t>
      </w:r>
      <w:r>
        <w:rPr>
          <w:sz w:val="24"/>
          <w:szCs w:val="24"/>
          <w:lang w:val="sq-AL"/>
        </w:rPr>
        <w:t xml:space="preserve"> </w:t>
      </w:r>
      <w:r w:rsidRPr="00687719">
        <w:rPr>
          <w:b w:val="0"/>
          <w:bCs w:val="0"/>
          <w:color w:val="000000"/>
          <w:sz w:val="24"/>
          <w:szCs w:val="24"/>
          <w:lang w:val="sq-AL"/>
        </w:rPr>
        <w:t>hapësira fiskale e krijuar si rezultat i rritjes së pritshme të PBB-së dhe të të ardhurave buxhetore</w:t>
      </w:r>
      <w:r>
        <w:rPr>
          <w:b w:val="0"/>
          <w:bCs w:val="0"/>
          <w:color w:val="000000"/>
          <w:sz w:val="24"/>
          <w:szCs w:val="24"/>
          <w:lang w:val="sq-AL"/>
        </w:rPr>
        <w:t>.</w:t>
      </w:r>
      <w:bookmarkEnd w:id="30"/>
    </w:p>
    <w:p w14:paraId="1D3E3AA2" w14:textId="77777777" w:rsidR="00CA32CE" w:rsidRDefault="00CA32CE" w:rsidP="00CC6793">
      <w:pPr>
        <w:pStyle w:val="Heading1"/>
        <w:numPr>
          <w:ilvl w:val="0"/>
          <w:numId w:val="0"/>
        </w:numPr>
        <w:spacing w:line="276" w:lineRule="auto"/>
        <w:ind w:left="7" w:right="48"/>
        <w:jc w:val="both"/>
        <w:rPr>
          <w:b w:val="0"/>
          <w:bCs w:val="0"/>
          <w:sz w:val="24"/>
          <w:szCs w:val="24"/>
          <w:lang w:val="sq-AL"/>
        </w:rPr>
      </w:pPr>
    </w:p>
    <w:p w14:paraId="28CC974F" w14:textId="525F80E4" w:rsidR="00CA32CE" w:rsidRDefault="00CA32CE" w:rsidP="00CA32CE">
      <w:pPr>
        <w:pStyle w:val="Heading1"/>
        <w:numPr>
          <w:ilvl w:val="0"/>
          <w:numId w:val="97"/>
        </w:numPr>
        <w:spacing w:line="276" w:lineRule="auto"/>
        <w:ind w:right="48"/>
        <w:jc w:val="both"/>
        <w:rPr>
          <w:sz w:val="24"/>
          <w:szCs w:val="24"/>
          <w:lang w:val="sq-AL"/>
        </w:rPr>
      </w:pPr>
      <w:bookmarkStart w:id="31" w:name="_Toc228275815"/>
      <w:r>
        <w:rPr>
          <w:sz w:val="24"/>
          <w:szCs w:val="24"/>
          <w:lang w:val="sq-AL"/>
        </w:rPr>
        <w:t>Devijanca n</w:t>
      </w:r>
      <w:r w:rsidR="00455816">
        <w:rPr>
          <w:sz w:val="24"/>
          <w:szCs w:val="24"/>
          <w:lang w:val="sq-AL"/>
        </w:rPr>
        <w:t>ë</w:t>
      </w:r>
      <w:r>
        <w:rPr>
          <w:sz w:val="24"/>
          <w:szCs w:val="24"/>
          <w:lang w:val="sq-AL"/>
        </w:rPr>
        <w:t xml:space="preserve"> Shpenzimet e Fondeve Speciale</w:t>
      </w:r>
      <w:bookmarkEnd w:id="31"/>
      <w:r>
        <w:rPr>
          <w:sz w:val="24"/>
          <w:szCs w:val="24"/>
          <w:lang w:val="sq-AL"/>
        </w:rPr>
        <w:t xml:space="preserve"> </w:t>
      </w:r>
    </w:p>
    <w:p w14:paraId="43D03C30" w14:textId="77777777" w:rsidR="00CA32CE" w:rsidRDefault="00CA32CE" w:rsidP="00CA32CE">
      <w:pPr>
        <w:pStyle w:val="Heading1"/>
        <w:numPr>
          <w:ilvl w:val="0"/>
          <w:numId w:val="0"/>
        </w:numPr>
        <w:spacing w:line="276" w:lineRule="auto"/>
        <w:ind w:left="7" w:right="48"/>
        <w:jc w:val="both"/>
        <w:rPr>
          <w:sz w:val="24"/>
          <w:szCs w:val="24"/>
          <w:lang w:val="sq-AL"/>
        </w:rPr>
      </w:pPr>
    </w:p>
    <w:p w14:paraId="1E768442" w14:textId="56718524" w:rsidR="00CA32CE" w:rsidRDefault="00CA32CE" w:rsidP="00CA32CE">
      <w:pPr>
        <w:pStyle w:val="Heading1"/>
        <w:numPr>
          <w:ilvl w:val="0"/>
          <w:numId w:val="0"/>
        </w:numPr>
        <w:spacing w:line="276" w:lineRule="auto"/>
        <w:ind w:left="7" w:right="48"/>
        <w:jc w:val="both"/>
        <w:rPr>
          <w:b w:val="0"/>
          <w:bCs w:val="0"/>
          <w:sz w:val="24"/>
          <w:szCs w:val="24"/>
          <w:lang w:val="sq-AL"/>
        </w:rPr>
      </w:pPr>
      <w:bookmarkStart w:id="32" w:name="_Toc228275816"/>
      <w:r w:rsidRPr="004263C5">
        <w:rPr>
          <w:b w:val="0"/>
          <w:bCs w:val="0"/>
          <w:sz w:val="24"/>
          <w:szCs w:val="24"/>
          <w:lang w:val="sq-AL"/>
        </w:rPr>
        <w:t>Devijanca nominale</w:t>
      </w:r>
      <w:r>
        <w:rPr>
          <w:b w:val="0"/>
          <w:bCs w:val="0"/>
          <w:sz w:val="24"/>
          <w:szCs w:val="24"/>
          <w:lang w:val="sq-AL"/>
        </w:rPr>
        <w:t xml:space="preserve"> mes shpenzimeve p</w:t>
      </w:r>
      <w:r w:rsidR="00455816">
        <w:rPr>
          <w:b w:val="0"/>
          <w:bCs w:val="0"/>
          <w:sz w:val="24"/>
          <w:szCs w:val="24"/>
          <w:lang w:val="sq-AL"/>
        </w:rPr>
        <w:t>ë</w:t>
      </w:r>
      <w:r>
        <w:rPr>
          <w:b w:val="0"/>
          <w:bCs w:val="0"/>
          <w:sz w:val="24"/>
          <w:szCs w:val="24"/>
          <w:lang w:val="sq-AL"/>
        </w:rPr>
        <w:t>r fonde speciale me ligjin e buxhetit p</w:t>
      </w:r>
      <w:r w:rsidR="00455816">
        <w:rPr>
          <w:b w:val="0"/>
          <w:bCs w:val="0"/>
          <w:sz w:val="24"/>
          <w:szCs w:val="24"/>
          <w:lang w:val="sq-AL"/>
        </w:rPr>
        <w:t>ë</w:t>
      </w:r>
      <w:r>
        <w:rPr>
          <w:b w:val="0"/>
          <w:bCs w:val="0"/>
          <w:sz w:val="24"/>
          <w:szCs w:val="24"/>
          <w:lang w:val="sq-AL"/>
        </w:rPr>
        <w:t>r vitin 2026 krahasuar me parashikimin e 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n</w:t>
      </w:r>
      <w:r w:rsidR="00455816">
        <w:rPr>
          <w:b w:val="0"/>
          <w:bCs w:val="0"/>
          <w:sz w:val="24"/>
          <w:szCs w:val="24"/>
          <w:lang w:val="sq-AL"/>
        </w:rPr>
        <w:t>ë</w:t>
      </w:r>
      <w:r>
        <w:rPr>
          <w:b w:val="0"/>
          <w:bCs w:val="0"/>
          <w:sz w:val="24"/>
          <w:szCs w:val="24"/>
          <w:lang w:val="sq-AL"/>
        </w:rPr>
        <w:t xml:space="preserve"> kuadrin makroekonomik dhe fiskal p</w:t>
      </w:r>
      <w:r w:rsidR="00455816">
        <w:rPr>
          <w:b w:val="0"/>
          <w:bCs w:val="0"/>
          <w:sz w:val="24"/>
          <w:szCs w:val="24"/>
          <w:lang w:val="sq-AL"/>
        </w:rPr>
        <w:t>ë</w:t>
      </w:r>
      <w:r>
        <w:rPr>
          <w:b w:val="0"/>
          <w:bCs w:val="0"/>
          <w:sz w:val="24"/>
          <w:szCs w:val="24"/>
          <w:lang w:val="sq-AL"/>
        </w:rPr>
        <w:t>r periudh</w:t>
      </w:r>
      <w:r w:rsidR="00455816">
        <w:rPr>
          <w:b w:val="0"/>
          <w:bCs w:val="0"/>
          <w:sz w:val="24"/>
          <w:szCs w:val="24"/>
          <w:lang w:val="sq-AL"/>
        </w:rPr>
        <w:t>ë</w:t>
      </w:r>
      <w:r>
        <w:rPr>
          <w:b w:val="0"/>
          <w:bCs w:val="0"/>
          <w:sz w:val="24"/>
          <w:szCs w:val="24"/>
          <w:lang w:val="sq-AL"/>
        </w:rPr>
        <w:t>n 2026-2028 rezulton n</w:t>
      </w:r>
      <w:r w:rsidR="00455816">
        <w:rPr>
          <w:b w:val="0"/>
          <w:bCs w:val="0"/>
          <w:sz w:val="24"/>
          <w:szCs w:val="24"/>
          <w:lang w:val="sq-AL"/>
        </w:rPr>
        <w:t>ë</w:t>
      </w:r>
      <w:r>
        <w:rPr>
          <w:b w:val="0"/>
          <w:bCs w:val="0"/>
          <w:sz w:val="24"/>
          <w:szCs w:val="24"/>
          <w:lang w:val="sq-AL"/>
        </w:rPr>
        <w:t xml:space="preserve"> mas</w:t>
      </w:r>
      <w:r w:rsidR="00455816">
        <w:rPr>
          <w:b w:val="0"/>
          <w:bCs w:val="0"/>
          <w:sz w:val="24"/>
          <w:szCs w:val="24"/>
          <w:lang w:val="sq-AL"/>
        </w:rPr>
        <w:t>ë</w:t>
      </w:r>
      <w:r>
        <w:rPr>
          <w:b w:val="0"/>
          <w:bCs w:val="0"/>
          <w:sz w:val="24"/>
          <w:szCs w:val="24"/>
          <w:lang w:val="sq-AL"/>
        </w:rPr>
        <w:t xml:space="preserve">n </w:t>
      </w:r>
      <w:r w:rsidRPr="004263C5">
        <w:rPr>
          <w:b w:val="0"/>
          <w:bCs w:val="0"/>
          <w:sz w:val="24"/>
          <w:szCs w:val="24"/>
          <w:lang w:val="sq-AL"/>
        </w:rPr>
        <w:t>+</w:t>
      </w:r>
      <w:r>
        <w:rPr>
          <w:b w:val="0"/>
          <w:bCs w:val="0"/>
          <w:sz w:val="24"/>
          <w:szCs w:val="24"/>
          <w:lang w:val="sq-AL"/>
        </w:rPr>
        <w:t>11.7 miliard</w:t>
      </w:r>
      <w:r w:rsidR="00455816">
        <w:rPr>
          <w:b w:val="0"/>
          <w:bCs w:val="0"/>
          <w:sz w:val="24"/>
          <w:szCs w:val="24"/>
          <w:lang w:val="sq-AL"/>
        </w:rPr>
        <w:t>ë</w:t>
      </w:r>
      <w:r>
        <w:rPr>
          <w:b w:val="0"/>
          <w:bCs w:val="0"/>
          <w:sz w:val="24"/>
          <w:szCs w:val="24"/>
          <w:lang w:val="sq-AL"/>
        </w:rPr>
        <w:t xml:space="preserve"> lek</w:t>
      </w:r>
      <w:r w:rsidR="00455816">
        <w:rPr>
          <w:b w:val="0"/>
          <w:bCs w:val="0"/>
          <w:sz w:val="24"/>
          <w:szCs w:val="24"/>
          <w:lang w:val="sq-AL"/>
        </w:rPr>
        <w:t>ë</w:t>
      </w:r>
      <w:r>
        <w:rPr>
          <w:b w:val="0"/>
          <w:bCs w:val="0"/>
          <w:sz w:val="24"/>
          <w:szCs w:val="24"/>
          <w:lang w:val="sq-AL"/>
        </w:rPr>
        <w:t xml:space="preserve"> ose 0.42 pik</w:t>
      </w:r>
      <w:r w:rsidR="00455816">
        <w:rPr>
          <w:b w:val="0"/>
          <w:bCs w:val="0"/>
          <w:sz w:val="24"/>
          <w:szCs w:val="24"/>
          <w:lang w:val="sq-AL"/>
        </w:rPr>
        <w:t>ë</w:t>
      </w:r>
      <w:r>
        <w:rPr>
          <w:b w:val="0"/>
          <w:bCs w:val="0"/>
          <w:sz w:val="24"/>
          <w:szCs w:val="24"/>
          <w:lang w:val="sq-AL"/>
        </w:rPr>
        <w:t xml:space="preserve"> p</w:t>
      </w:r>
      <w:r w:rsidR="00455816">
        <w:rPr>
          <w:b w:val="0"/>
          <w:bCs w:val="0"/>
          <w:sz w:val="24"/>
          <w:szCs w:val="24"/>
          <w:lang w:val="sq-AL"/>
        </w:rPr>
        <w:t>ë</w:t>
      </w:r>
      <w:r>
        <w:rPr>
          <w:b w:val="0"/>
          <w:bCs w:val="0"/>
          <w:sz w:val="24"/>
          <w:szCs w:val="24"/>
          <w:lang w:val="sq-AL"/>
        </w:rPr>
        <w:t>rqindje ndaj PBB, duke p</w:t>
      </w:r>
      <w:r w:rsidR="00455816">
        <w:rPr>
          <w:b w:val="0"/>
          <w:bCs w:val="0"/>
          <w:sz w:val="24"/>
          <w:szCs w:val="24"/>
          <w:lang w:val="sq-AL"/>
        </w:rPr>
        <w:t>ë</w:t>
      </w:r>
      <w:r>
        <w:rPr>
          <w:b w:val="0"/>
          <w:bCs w:val="0"/>
          <w:sz w:val="24"/>
          <w:szCs w:val="24"/>
          <w:lang w:val="sq-AL"/>
        </w:rPr>
        <w:t>rb</w:t>
      </w:r>
      <w:r w:rsidR="00455816">
        <w:rPr>
          <w:b w:val="0"/>
          <w:bCs w:val="0"/>
          <w:sz w:val="24"/>
          <w:szCs w:val="24"/>
          <w:lang w:val="sq-AL"/>
        </w:rPr>
        <w:t>ë</w:t>
      </w:r>
      <w:r>
        <w:rPr>
          <w:b w:val="0"/>
          <w:bCs w:val="0"/>
          <w:sz w:val="24"/>
          <w:szCs w:val="24"/>
          <w:lang w:val="sq-AL"/>
        </w:rPr>
        <w:t>r</w:t>
      </w:r>
      <w:r w:rsidR="00455816">
        <w:rPr>
          <w:b w:val="0"/>
          <w:bCs w:val="0"/>
          <w:sz w:val="24"/>
          <w:szCs w:val="24"/>
          <w:lang w:val="sq-AL"/>
        </w:rPr>
        <w:t>ë</w:t>
      </w:r>
      <w:r>
        <w:rPr>
          <w:b w:val="0"/>
          <w:bCs w:val="0"/>
          <w:sz w:val="24"/>
          <w:szCs w:val="24"/>
          <w:lang w:val="sq-AL"/>
        </w:rPr>
        <w:t xml:space="preserve"> dhe </w:t>
      </w:r>
      <w:r w:rsidRPr="00CA32CE">
        <w:rPr>
          <w:b w:val="0"/>
          <w:bCs w:val="0"/>
          <w:sz w:val="24"/>
          <w:szCs w:val="24"/>
          <w:lang w:val="sq-AL"/>
        </w:rPr>
        <w:t>z</w:t>
      </w:r>
      <w:r w:rsidR="00455816">
        <w:rPr>
          <w:b w:val="0"/>
          <w:bCs w:val="0"/>
          <w:sz w:val="24"/>
          <w:szCs w:val="24"/>
          <w:lang w:val="sq-AL"/>
        </w:rPr>
        <w:t>ë</w:t>
      </w:r>
      <w:r w:rsidRPr="00CA32CE">
        <w:rPr>
          <w:b w:val="0"/>
          <w:bCs w:val="0"/>
          <w:sz w:val="24"/>
          <w:szCs w:val="24"/>
          <w:lang w:val="sq-AL"/>
        </w:rPr>
        <w:t>rin me impaktin më të madh fiskal n</w:t>
      </w:r>
      <w:r w:rsidR="00455816">
        <w:rPr>
          <w:b w:val="0"/>
          <w:bCs w:val="0"/>
          <w:sz w:val="24"/>
          <w:szCs w:val="24"/>
          <w:lang w:val="sq-AL"/>
        </w:rPr>
        <w:t>ë</w:t>
      </w:r>
      <w:r w:rsidRPr="00CA32CE">
        <w:rPr>
          <w:b w:val="0"/>
          <w:bCs w:val="0"/>
          <w:sz w:val="24"/>
          <w:szCs w:val="24"/>
          <w:lang w:val="sq-AL"/>
        </w:rPr>
        <w:t xml:space="preserve"> k</w:t>
      </w:r>
      <w:r w:rsidR="00455816">
        <w:rPr>
          <w:b w:val="0"/>
          <w:bCs w:val="0"/>
          <w:sz w:val="24"/>
          <w:szCs w:val="24"/>
          <w:lang w:val="sq-AL"/>
        </w:rPr>
        <w:t>ë</w:t>
      </w:r>
      <w:r w:rsidRPr="00CA32CE">
        <w:rPr>
          <w:b w:val="0"/>
          <w:bCs w:val="0"/>
          <w:sz w:val="24"/>
          <w:szCs w:val="24"/>
          <w:lang w:val="sq-AL"/>
        </w:rPr>
        <w:t>t</w:t>
      </w:r>
      <w:r w:rsidR="00455816">
        <w:rPr>
          <w:b w:val="0"/>
          <w:bCs w:val="0"/>
          <w:sz w:val="24"/>
          <w:szCs w:val="24"/>
          <w:lang w:val="sq-AL"/>
        </w:rPr>
        <w:t>ë</w:t>
      </w:r>
      <w:r w:rsidRPr="00CA32CE">
        <w:rPr>
          <w:b w:val="0"/>
          <w:bCs w:val="0"/>
          <w:sz w:val="24"/>
          <w:szCs w:val="24"/>
          <w:lang w:val="sq-AL"/>
        </w:rPr>
        <w:t xml:space="preserve"> analiz</w:t>
      </w:r>
      <w:r w:rsidR="00455816">
        <w:rPr>
          <w:b w:val="0"/>
          <w:bCs w:val="0"/>
          <w:sz w:val="24"/>
          <w:szCs w:val="24"/>
          <w:lang w:val="sq-AL"/>
        </w:rPr>
        <w:t>ë</w:t>
      </w:r>
      <w:r w:rsidRPr="00CA32CE">
        <w:rPr>
          <w:b w:val="0"/>
          <w:bCs w:val="0"/>
          <w:sz w:val="24"/>
          <w:szCs w:val="24"/>
          <w:lang w:val="sq-AL"/>
        </w:rPr>
        <w:t>.</w:t>
      </w:r>
      <w:bookmarkEnd w:id="32"/>
    </w:p>
    <w:p w14:paraId="0F08B96A" w14:textId="77777777" w:rsidR="00CA32CE" w:rsidRDefault="00CA32CE" w:rsidP="00CA32CE">
      <w:pPr>
        <w:pStyle w:val="Heading1"/>
        <w:numPr>
          <w:ilvl w:val="0"/>
          <w:numId w:val="0"/>
        </w:numPr>
        <w:spacing w:line="276" w:lineRule="auto"/>
        <w:ind w:left="432" w:hanging="432"/>
        <w:jc w:val="both"/>
        <w:rPr>
          <w:b w:val="0"/>
          <w:bCs w:val="0"/>
          <w:sz w:val="24"/>
          <w:szCs w:val="24"/>
          <w:lang w:val="sq-AL"/>
        </w:rPr>
      </w:pPr>
    </w:p>
    <w:p w14:paraId="123CABE1" w14:textId="59EEE1A9" w:rsidR="00CA32CE" w:rsidRPr="004263C5" w:rsidRDefault="00CA32CE" w:rsidP="00CA32CE">
      <w:pPr>
        <w:pStyle w:val="Heading1"/>
        <w:numPr>
          <w:ilvl w:val="0"/>
          <w:numId w:val="0"/>
        </w:numPr>
        <w:spacing w:line="276" w:lineRule="auto"/>
        <w:ind w:left="432" w:hanging="432"/>
        <w:jc w:val="both"/>
        <w:rPr>
          <w:b w:val="0"/>
          <w:bCs w:val="0"/>
          <w:sz w:val="24"/>
          <w:szCs w:val="24"/>
          <w:lang w:val="sq-AL"/>
        </w:rPr>
      </w:pPr>
      <w:bookmarkStart w:id="33" w:name="_Toc228275817"/>
      <w:r w:rsidRPr="004263C5">
        <w:rPr>
          <w:b w:val="0"/>
          <w:bCs w:val="0"/>
          <w:sz w:val="24"/>
          <w:szCs w:val="24"/>
          <w:lang w:val="sq-AL"/>
        </w:rPr>
        <w:t>Burim</w:t>
      </w:r>
      <w:r>
        <w:rPr>
          <w:b w:val="0"/>
          <w:bCs w:val="0"/>
          <w:sz w:val="24"/>
          <w:szCs w:val="24"/>
          <w:lang w:val="sq-AL"/>
        </w:rPr>
        <w:t>et</w:t>
      </w:r>
      <w:r w:rsidRPr="004263C5">
        <w:rPr>
          <w:b w:val="0"/>
          <w:bCs w:val="0"/>
          <w:sz w:val="24"/>
          <w:szCs w:val="24"/>
          <w:lang w:val="sq-AL"/>
        </w:rPr>
        <w:t xml:space="preserve"> kryesor</w:t>
      </w:r>
      <w:r>
        <w:rPr>
          <w:b w:val="0"/>
          <w:bCs w:val="0"/>
          <w:sz w:val="24"/>
          <w:szCs w:val="24"/>
          <w:lang w:val="sq-AL"/>
        </w:rPr>
        <w:t>e t</w:t>
      </w:r>
      <w:r w:rsidR="00455816">
        <w:rPr>
          <w:b w:val="0"/>
          <w:bCs w:val="0"/>
          <w:sz w:val="24"/>
          <w:szCs w:val="24"/>
          <w:lang w:val="sq-AL"/>
        </w:rPr>
        <w:t>ë</w:t>
      </w:r>
      <w:r w:rsidRPr="004263C5">
        <w:rPr>
          <w:b w:val="0"/>
          <w:bCs w:val="0"/>
          <w:sz w:val="24"/>
          <w:szCs w:val="24"/>
          <w:lang w:val="sq-AL"/>
        </w:rPr>
        <w:t xml:space="preserve"> devijancës jan</w:t>
      </w:r>
      <w:r w:rsidR="00455816">
        <w:rPr>
          <w:b w:val="0"/>
          <w:bCs w:val="0"/>
          <w:sz w:val="24"/>
          <w:szCs w:val="24"/>
          <w:lang w:val="sq-AL"/>
        </w:rPr>
        <w:t>ë</w:t>
      </w:r>
      <w:r w:rsidRPr="004263C5">
        <w:rPr>
          <w:b w:val="0"/>
          <w:bCs w:val="0"/>
          <w:sz w:val="24"/>
          <w:szCs w:val="24"/>
          <w:lang w:val="sq-AL"/>
        </w:rPr>
        <w:t>:</w:t>
      </w:r>
      <w:bookmarkEnd w:id="33"/>
      <w:r w:rsidRPr="004263C5">
        <w:rPr>
          <w:b w:val="0"/>
          <w:bCs w:val="0"/>
          <w:sz w:val="24"/>
          <w:szCs w:val="24"/>
          <w:lang w:val="sq-AL"/>
        </w:rPr>
        <w:t xml:space="preserve"> </w:t>
      </w:r>
    </w:p>
    <w:p w14:paraId="2C43AB0E" w14:textId="356422C0" w:rsidR="00CA32CE" w:rsidRPr="00A41DE9" w:rsidRDefault="00CA32CE" w:rsidP="00A41DE9">
      <w:pPr>
        <w:pStyle w:val="NormalWeb"/>
        <w:numPr>
          <w:ilvl w:val="0"/>
          <w:numId w:val="100"/>
        </w:numPr>
        <w:spacing w:line="300" w:lineRule="atLeast"/>
        <w:jc w:val="both"/>
        <w:rPr>
          <w:lang w:val="sq-AL"/>
        </w:rPr>
      </w:pPr>
      <w:r w:rsidRPr="00A41DE9">
        <w:rPr>
          <w:rStyle w:val="Strong"/>
          <w:lang w:val="sq-AL"/>
        </w:rPr>
        <w:t xml:space="preserve">Shpenzimet e </w:t>
      </w:r>
      <w:r w:rsidR="00A41DE9">
        <w:rPr>
          <w:rStyle w:val="Strong"/>
          <w:lang w:val="sq-AL"/>
        </w:rPr>
        <w:t>S</w:t>
      </w:r>
      <w:r w:rsidRPr="00A41DE9">
        <w:rPr>
          <w:rStyle w:val="Strong"/>
          <w:lang w:val="sq-AL"/>
        </w:rPr>
        <w:t>kem</w:t>
      </w:r>
      <w:r w:rsidR="00455816">
        <w:rPr>
          <w:rStyle w:val="Strong"/>
          <w:lang w:val="sq-AL"/>
        </w:rPr>
        <w:t>ë</w:t>
      </w:r>
      <w:r w:rsidRPr="00A41DE9">
        <w:rPr>
          <w:rStyle w:val="Strong"/>
          <w:lang w:val="sq-AL"/>
        </w:rPr>
        <w:t>s s</w:t>
      </w:r>
      <w:r w:rsidR="00455816">
        <w:rPr>
          <w:rStyle w:val="Strong"/>
          <w:lang w:val="sq-AL"/>
        </w:rPr>
        <w:t>ë</w:t>
      </w:r>
      <w:r w:rsidRPr="00A41DE9">
        <w:rPr>
          <w:rStyle w:val="Strong"/>
          <w:lang w:val="sq-AL"/>
        </w:rPr>
        <w:t xml:space="preserve"> </w:t>
      </w:r>
      <w:r w:rsidR="00A41DE9">
        <w:rPr>
          <w:rStyle w:val="Strong"/>
          <w:lang w:val="sq-AL"/>
        </w:rPr>
        <w:t>S</w:t>
      </w:r>
      <w:r w:rsidRPr="00A41DE9">
        <w:rPr>
          <w:rStyle w:val="Strong"/>
          <w:lang w:val="sq-AL"/>
        </w:rPr>
        <w:t xml:space="preserve">igurimeve </w:t>
      </w:r>
      <w:r w:rsidR="00A41DE9">
        <w:rPr>
          <w:rStyle w:val="Strong"/>
          <w:lang w:val="sq-AL"/>
        </w:rPr>
        <w:t>S</w:t>
      </w:r>
      <w:r w:rsidRPr="00A41DE9">
        <w:rPr>
          <w:rStyle w:val="Strong"/>
          <w:lang w:val="sq-AL"/>
        </w:rPr>
        <w:t>hoqërore</w:t>
      </w:r>
      <w:r w:rsidRPr="00A41DE9">
        <w:rPr>
          <w:b/>
          <w:bCs/>
          <w:lang w:val="sq-AL"/>
        </w:rPr>
        <w:t>:</w:t>
      </w:r>
      <w:r w:rsidRPr="00A41DE9">
        <w:rPr>
          <w:lang w:val="sq-AL"/>
        </w:rPr>
        <w:t xml:space="preserve"> +1,2 miliard</w:t>
      </w:r>
      <w:r w:rsidR="00455816">
        <w:rPr>
          <w:lang w:val="sq-AL"/>
        </w:rPr>
        <w:t>ë</w:t>
      </w:r>
      <w:r w:rsidRPr="00A41DE9">
        <w:rPr>
          <w:lang w:val="sq-AL"/>
        </w:rPr>
        <w:t xml:space="preserve"> lek</w:t>
      </w:r>
      <w:r w:rsidR="00455816">
        <w:rPr>
          <w:lang w:val="sq-AL"/>
        </w:rPr>
        <w:t>ë</w:t>
      </w:r>
      <w:r w:rsidRPr="00A41DE9">
        <w:rPr>
          <w:lang w:val="sq-AL"/>
        </w:rPr>
        <w:t xml:space="preserve"> rritje e moderuar, e lidhur me dinamikën e skemës dhe efektin e rritjes s</w:t>
      </w:r>
      <w:r w:rsidR="00455816">
        <w:rPr>
          <w:lang w:val="sq-AL"/>
        </w:rPr>
        <w:t>ë</w:t>
      </w:r>
      <w:r w:rsidRPr="00A41DE9">
        <w:rPr>
          <w:lang w:val="sq-AL"/>
        </w:rPr>
        <w:t xml:space="preserve"> kontributive si rezultat i rritjes s</w:t>
      </w:r>
      <w:r w:rsidR="00455816">
        <w:rPr>
          <w:lang w:val="sq-AL"/>
        </w:rPr>
        <w:t>ë</w:t>
      </w:r>
      <w:r w:rsidRPr="00A41DE9">
        <w:rPr>
          <w:lang w:val="sq-AL"/>
        </w:rPr>
        <w:t xml:space="preserve"> pag</w:t>
      </w:r>
      <w:r w:rsidR="00455816">
        <w:rPr>
          <w:lang w:val="sq-AL"/>
        </w:rPr>
        <w:t>ë</w:t>
      </w:r>
      <w:r w:rsidRPr="00A41DE9">
        <w:rPr>
          <w:lang w:val="sq-AL"/>
        </w:rPr>
        <w:t>s minimale;</w:t>
      </w:r>
    </w:p>
    <w:p w14:paraId="3B05F23B" w14:textId="3439ED11" w:rsidR="00CA32CE" w:rsidRPr="00A41DE9" w:rsidRDefault="00CA32CE" w:rsidP="00A41DE9">
      <w:pPr>
        <w:pStyle w:val="NormalWeb"/>
        <w:numPr>
          <w:ilvl w:val="0"/>
          <w:numId w:val="100"/>
        </w:numPr>
        <w:spacing w:line="300" w:lineRule="atLeast"/>
        <w:jc w:val="both"/>
        <w:rPr>
          <w:lang w:val="sq-AL"/>
        </w:rPr>
      </w:pPr>
      <w:r w:rsidRPr="00A41DE9">
        <w:rPr>
          <w:rStyle w:val="Strong"/>
          <w:lang w:val="sq-AL"/>
        </w:rPr>
        <w:t>Bonusi i pensionistëve</w:t>
      </w:r>
      <w:r w:rsidRPr="00A41DE9">
        <w:rPr>
          <w:lang w:val="sq-AL"/>
        </w:rPr>
        <w:t>: +6,2 miliard</w:t>
      </w:r>
      <w:r w:rsidR="00455816">
        <w:rPr>
          <w:lang w:val="sq-AL"/>
        </w:rPr>
        <w:t>ë</w:t>
      </w:r>
      <w:r w:rsidRPr="00A41DE9">
        <w:rPr>
          <w:lang w:val="sq-AL"/>
        </w:rPr>
        <w:t xml:space="preserve"> lek</w:t>
      </w:r>
      <w:r w:rsidR="00455816">
        <w:rPr>
          <w:lang w:val="sq-AL"/>
        </w:rPr>
        <w:t>ë</w:t>
      </w:r>
      <w:r w:rsidRPr="00A41DE9">
        <w:rPr>
          <w:lang w:val="sq-AL"/>
        </w:rPr>
        <w:t xml:space="preserve"> (+0.22% e PBB) burimi kryesor i devijancës, me</w:t>
      </w:r>
      <w:r w:rsidR="007F02E9">
        <w:rPr>
          <w:lang w:val="sq-AL"/>
        </w:rPr>
        <w:t xml:space="preserve"> karakter</w:t>
      </w:r>
      <w:r w:rsidRPr="00A41DE9">
        <w:rPr>
          <w:lang w:val="sq-AL"/>
        </w:rPr>
        <w:t xml:space="preserve"> </w:t>
      </w:r>
      <w:r w:rsidRPr="00A41DE9">
        <w:rPr>
          <w:rStyle w:val="Strong"/>
          <w:b w:val="0"/>
          <w:bCs w:val="0"/>
          <w:lang w:val="sq-AL"/>
        </w:rPr>
        <w:t>politik pasi reflekton politik</w:t>
      </w:r>
      <w:r w:rsidR="00455816">
        <w:rPr>
          <w:rStyle w:val="Strong"/>
          <w:b w:val="0"/>
          <w:bCs w:val="0"/>
          <w:lang w:val="sq-AL"/>
        </w:rPr>
        <w:t>ë</w:t>
      </w:r>
      <w:r w:rsidRPr="00A41DE9">
        <w:rPr>
          <w:rStyle w:val="Strong"/>
          <w:b w:val="0"/>
          <w:bCs w:val="0"/>
          <w:lang w:val="sq-AL"/>
        </w:rPr>
        <w:t>n e lidhur me reform</w:t>
      </w:r>
      <w:r w:rsidR="00455816">
        <w:rPr>
          <w:rStyle w:val="Strong"/>
          <w:b w:val="0"/>
          <w:bCs w:val="0"/>
          <w:lang w:val="sq-AL"/>
        </w:rPr>
        <w:t>ë</w:t>
      </w:r>
      <w:r w:rsidRPr="00A41DE9">
        <w:rPr>
          <w:rStyle w:val="Strong"/>
          <w:b w:val="0"/>
          <w:bCs w:val="0"/>
          <w:lang w:val="sq-AL"/>
        </w:rPr>
        <w:t>n e pensioneve dhe rritjen e pensionit minimal n</w:t>
      </w:r>
      <w:r w:rsidR="00455816">
        <w:rPr>
          <w:rStyle w:val="Strong"/>
          <w:b w:val="0"/>
          <w:bCs w:val="0"/>
          <w:lang w:val="sq-AL"/>
        </w:rPr>
        <w:t>ë</w:t>
      </w:r>
      <w:r w:rsidRPr="00A41DE9">
        <w:rPr>
          <w:rStyle w:val="Strong"/>
          <w:b w:val="0"/>
          <w:bCs w:val="0"/>
          <w:lang w:val="sq-AL"/>
        </w:rPr>
        <w:t xml:space="preserve"> mas</w:t>
      </w:r>
      <w:r w:rsidR="00455816">
        <w:rPr>
          <w:rStyle w:val="Strong"/>
          <w:b w:val="0"/>
          <w:bCs w:val="0"/>
          <w:lang w:val="sq-AL"/>
        </w:rPr>
        <w:t>ë</w:t>
      </w:r>
      <w:r w:rsidRPr="00A41DE9">
        <w:rPr>
          <w:rStyle w:val="Strong"/>
          <w:b w:val="0"/>
          <w:bCs w:val="0"/>
          <w:lang w:val="sq-AL"/>
        </w:rPr>
        <w:t>n 200 euro</w:t>
      </w:r>
      <w:r w:rsidRPr="00A41DE9">
        <w:rPr>
          <w:lang w:val="sq-AL"/>
        </w:rPr>
        <w:t>. Kjo politik</w:t>
      </w:r>
      <w:r w:rsidR="00455816">
        <w:rPr>
          <w:lang w:val="sq-AL"/>
        </w:rPr>
        <w:t>ë</w:t>
      </w:r>
      <w:r w:rsidRPr="00A41DE9">
        <w:rPr>
          <w:lang w:val="sq-AL"/>
        </w:rPr>
        <w:t xml:space="preserve"> nuk ishte reflektuar në Kuadrin Makro</w:t>
      </w:r>
      <w:r w:rsidR="007F02E9">
        <w:rPr>
          <w:lang w:val="sq-AL"/>
        </w:rPr>
        <w:t>ekonomik dhe Fiskal tw Janarit 2025</w:t>
      </w:r>
      <w:r w:rsidRPr="00A41DE9">
        <w:rPr>
          <w:lang w:val="sq-AL"/>
        </w:rPr>
        <w:t>.</w:t>
      </w:r>
    </w:p>
    <w:p w14:paraId="6E2A9979" w14:textId="2E4D5DF6" w:rsidR="00CA32CE" w:rsidRPr="00CA32CE" w:rsidRDefault="00A41DE9" w:rsidP="00A41DE9">
      <w:pPr>
        <w:pStyle w:val="NormalWeb"/>
        <w:numPr>
          <w:ilvl w:val="0"/>
          <w:numId w:val="100"/>
        </w:numPr>
        <w:spacing w:line="300" w:lineRule="atLeast"/>
        <w:jc w:val="both"/>
        <w:rPr>
          <w:lang w:val="sq-AL"/>
        </w:rPr>
      </w:pPr>
      <w:r>
        <w:rPr>
          <w:rStyle w:val="Strong"/>
          <w:lang w:val="sq-AL"/>
        </w:rPr>
        <w:t>Shpenzimet e Skem</w:t>
      </w:r>
      <w:r w:rsidR="00455816">
        <w:rPr>
          <w:rStyle w:val="Strong"/>
          <w:lang w:val="sq-AL"/>
        </w:rPr>
        <w:t>ë</w:t>
      </w:r>
      <w:r>
        <w:rPr>
          <w:rStyle w:val="Strong"/>
          <w:lang w:val="sq-AL"/>
        </w:rPr>
        <w:t>s s</w:t>
      </w:r>
      <w:r w:rsidR="00455816">
        <w:rPr>
          <w:rStyle w:val="Strong"/>
          <w:lang w:val="sq-AL"/>
        </w:rPr>
        <w:t>ë</w:t>
      </w:r>
      <w:r>
        <w:rPr>
          <w:rStyle w:val="Strong"/>
          <w:lang w:val="sq-AL"/>
        </w:rPr>
        <w:t xml:space="preserve"> </w:t>
      </w:r>
      <w:r w:rsidR="00CA32CE" w:rsidRPr="00A41DE9">
        <w:rPr>
          <w:rStyle w:val="Strong"/>
          <w:lang w:val="sq-AL"/>
        </w:rPr>
        <w:t>Sigurime</w:t>
      </w:r>
      <w:r>
        <w:rPr>
          <w:rStyle w:val="Strong"/>
          <w:lang w:val="sq-AL"/>
        </w:rPr>
        <w:t>ve</w:t>
      </w:r>
      <w:r w:rsidR="00CA32CE" w:rsidRPr="00A41DE9">
        <w:rPr>
          <w:rStyle w:val="Strong"/>
          <w:lang w:val="sq-AL"/>
        </w:rPr>
        <w:t xml:space="preserve"> shëndetësore</w:t>
      </w:r>
      <w:r w:rsidR="00CA32CE" w:rsidRPr="00A41DE9">
        <w:rPr>
          <w:lang w:val="sq-AL"/>
        </w:rPr>
        <w:t>: +3,88</w:t>
      </w:r>
      <w:r w:rsidR="00CA32CE">
        <w:rPr>
          <w:lang w:val="sq-AL"/>
        </w:rPr>
        <w:t xml:space="preserve"> miliard</w:t>
      </w:r>
      <w:r w:rsidR="00455816">
        <w:rPr>
          <w:lang w:val="sq-AL"/>
        </w:rPr>
        <w:t>ë</w:t>
      </w:r>
      <w:r w:rsidR="00CA32CE">
        <w:rPr>
          <w:lang w:val="sq-AL"/>
        </w:rPr>
        <w:t xml:space="preserve"> l</w:t>
      </w:r>
      <w:r w:rsidR="007F02E9">
        <w:rPr>
          <w:lang w:val="sq-AL"/>
        </w:rPr>
        <w:t>e</w:t>
      </w:r>
      <w:r w:rsidR="00CA32CE">
        <w:rPr>
          <w:lang w:val="sq-AL"/>
        </w:rPr>
        <w:t>k</w:t>
      </w:r>
      <w:r w:rsidR="00455816">
        <w:rPr>
          <w:lang w:val="sq-AL"/>
        </w:rPr>
        <w:t>ë</w:t>
      </w:r>
      <w:r w:rsidR="00CA32CE">
        <w:rPr>
          <w:lang w:val="sq-AL"/>
        </w:rPr>
        <w:t xml:space="preserve"> </w:t>
      </w:r>
      <w:r w:rsidR="00CA32CE" w:rsidRPr="00CA32CE">
        <w:rPr>
          <w:lang w:val="sq-AL"/>
        </w:rPr>
        <w:t>(+0.14% e PBB)</w:t>
      </w:r>
      <w:r w:rsidR="00CA32CE">
        <w:rPr>
          <w:lang w:val="sq-AL"/>
        </w:rPr>
        <w:t xml:space="preserve"> reflekton efektin e rritjes s</w:t>
      </w:r>
      <w:r w:rsidR="00455816">
        <w:rPr>
          <w:lang w:val="sq-AL"/>
        </w:rPr>
        <w:t>ë</w:t>
      </w:r>
      <w:r w:rsidR="00CA32CE">
        <w:rPr>
          <w:lang w:val="sq-AL"/>
        </w:rPr>
        <w:t xml:space="preserve"> lidhur me impaktin e politik</w:t>
      </w:r>
      <w:r w:rsidR="00455816">
        <w:rPr>
          <w:lang w:val="sq-AL"/>
        </w:rPr>
        <w:t>ë</w:t>
      </w:r>
      <w:r w:rsidR="00CA32CE">
        <w:rPr>
          <w:lang w:val="sq-AL"/>
        </w:rPr>
        <w:t xml:space="preserve">s </w:t>
      </w:r>
      <w:r w:rsidR="00BF08A2">
        <w:rPr>
          <w:lang w:val="sq-AL"/>
        </w:rPr>
        <w:t>s</w:t>
      </w:r>
      <w:r w:rsidR="00455816">
        <w:rPr>
          <w:lang w:val="sq-AL"/>
        </w:rPr>
        <w:t>ë</w:t>
      </w:r>
      <w:r w:rsidR="00BF08A2">
        <w:rPr>
          <w:lang w:val="sq-AL"/>
        </w:rPr>
        <w:t xml:space="preserve"> indeksimit t</w:t>
      </w:r>
      <w:r w:rsidR="00455816">
        <w:rPr>
          <w:lang w:val="sq-AL"/>
        </w:rPr>
        <w:t>ë</w:t>
      </w:r>
      <w:r w:rsidR="00BF08A2">
        <w:rPr>
          <w:lang w:val="sq-AL"/>
        </w:rPr>
        <w:t xml:space="preserve"> pagave dhe njehsimit t</w:t>
      </w:r>
      <w:r w:rsidR="00455816">
        <w:rPr>
          <w:lang w:val="sq-AL"/>
        </w:rPr>
        <w:t>ë</w:t>
      </w:r>
      <w:r w:rsidR="00BF08A2">
        <w:rPr>
          <w:lang w:val="sq-AL"/>
        </w:rPr>
        <w:t xml:space="preserve"> vjet</w:t>
      </w:r>
      <w:r w:rsidR="00455816">
        <w:rPr>
          <w:lang w:val="sq-AL"/>
        </w:rPr>
        <w:t>ë</w:t>
      </w:r>
      <w:r w:rsidR="00BF08A2">
        <w:rPr>
          <w:lang w:val="sq-AL"/>
        </w:rPr>
        <w:t>rsis</w:t>
      </w:r>
      <w:r w:rsidR="00455816">
        <w:rPr>
          <w:lang w:val="sq-AL"/>
        </w:rPr>
        <w:t>ë</w:t>
      </w:r>
      <w:r w:rsidR="00BF08A2">
        <w:rPr>
          <w:lang w:val="sq-AL"/>
        </w:rPr>
        <w:t xml:space="preserve"> s</w:t>
      </w:r>
      <w:r w:rsidR="00455816">
        <w:rPr>
          <w:lang w:val="sq-AL"/>
        </w:rPr>
        <w:t>ë</w:t>
      </w:r>
      <w:r w:rsidR="00BF08A2">
        <w:rPr>
          <w:lang w:val="sq-AL"/>
        </w:rPr>
        <w:t xml:space="preserve"> sistemit t</w:t>
      </w:r>
      <w:r w:rsidR="00455816">
        <w:rPr>
          <w:lang w:val="sq-AL"/>
        </w:rPr>
        <w:t>ë</w:t>
      </w:r>
      <w:r w:rsidR="00BF08A2">
        <w:rPr>
          <w:lang w:val="sq-AL"/>
        </w:rPr>
        <w:t xml:space="preserve"> mjek</w:t>
      </w:r>
      <w:r w:rsidR="00455816">
        <w:rPr>
          <w:lang w:val="sq-AL"/>
        </w:rPr>
        <w:t>ë</w:t>
      </w:r>
      <w:r w:rsidR="00BF08A2">
        <w:rPr>
          <w:lang w:val="sq-AL"/>
        </w:rPr>
        <w:t>ve dhe infermi</w:t>
      </w:r>
      <w:r w:rsidR="007F02E9">
        <w:rPr>
          <w:lang w:val="sq-AL"/>
        </w:rPr>
        <w:t>e</w:t>
      </w:r>
      <w:r w:rsidR="00BF08A2">
        <w:rPr>
          <w:lang w:val="sq-AL"/>
        </w:rPr>
        <w:t>r</w:t>
      </w:r>
      <w:r w:rsidR="00455816">
        <w:rPr>
          <w:lang w:val="sq-AL"/>
        </w:rPr>
        <w:t>ë</w:t>
      </w:r>
      <w:r w:rsidR="00BF08A2">
        <w:rPr>
          <w:lang w:val="sq-AL"/>
        </w:rPr>
        <w:t>ve me sistemin e administrat</w:t>
      </w:r>
      <w:r w:rsidR="00455816">
        <w:rPr>
          <w:lang w:val="sq-AL"/>
        </w:rPr>
        <w:t>ë</w:t>
      </w:r>
      <w:r w:rsidR="00BF08A2">
        <w:rPr>
          <w:lang w:val="sq-AL"/>
        </w:rPr>
        <w:t>s publike si</w:t>
      </w:r>
      <w:r w:rsidR="00CA32CE">
        <w:rPr>
          <w:lang w:val="sq-AL"/>
        </w:rPr>
        <w:t xml:space="preserve"> dhe financimin </w:t>
      </w:r>
      <w:r w:rsidR="00BF08A2">
        <w:rPr>
          <w:lang w:val="sq-AL"/>
        </w:rPr>
        <w:t>n</w:t>
      </w:r>
      <w:r w:rsidR="00455816">
        <w:rPr>
          <w:lang w:val="sq-AL"/>
        </w:rPr>
        <w:t>ë</w:t>
      </w:r>
      <w:r w:rsidR="00BF08A2">
        <w:rPr>
          <w:lang w:val="sq-AL"/>
        </w:rPr>
        <w:t xml:space="preserve"> rritje p</w:t>
      </w:r>
      <w:r w:rsidR="00455816">
        <w:rPr>
          <w:lang w:val="sq-AL"/>
        </w:rPr>
        <w:t>ë</w:t>
      </w:r>
      <w:r w:rsidR="00BF08A2">
        <w:rPr>
          <w:lang w:val="sq-AL"/>
        </w:rPr>
        <w:t>r sistemin spitalor ku p</w:t>
      </w:r>
      <w:r w:rsidR="00455816">
        <w:rPr>
          <w:lang w:val="sq-AL"/>
        </w:rPr>
        <w:t>ë</w:t>
      </w:r>
      <w:r w:rsidR="00BF08A2">
        <w:rPr>
          <w:lang w:val="sq-AL"/>
        </w:rPr>
        <w:t>rmendimin financimin e sh</w:t>
      </w:r>
      <w:r w:rsidR="00455816">
        <w:rPr>
          <w:lang w:val="sq-AL"/>
        </w:rPr>
        <w:t>ë</w:t>
      </w:r>
      <w:r w:rsidR="00BF08A2">
        <w:rPr>
          <w:lang w:val="sq-AL"/>
        </w:rPr>
        <w:t>rbimit t</w:t>
      </w:r>
      <w:r w:rsidR="00455816">
        <w:rPr>
          <w:lang w:val="sq-AL"/>
        </w:rPr>
        <w:t>ë</w:t>
      </w:r>
      <w:r w:rsidR="00BF08A2">
        <w:rPr>
          <w:lang w:val="sq-AL"/>
        </w:rPr>
        <w:t xml:space="preserve"> ri t</w:t>
      </w:r>
      <w:r w:rsidR="00455816">
        <w:rPr>
          <w:lang w:val="sq-AL"/>
        </w:rPr>
        <w:t>ë</w:t>
      </w:r>
      <w:r w:rsidR="00BF08A2">
        <w:rPr>
          <w:lang w:val="sq-AL"/>
        </w:rPr>
        <w:t xml:space="preserve"> trombektomis</w:t>
      </w:r>
      <w:r w:rsidR="00455816">
        <w:rPr>
          <w:lang w:val="sq-AL"/>
        </w:rPr>
        <w:t>ë</w:t>
      </w:r>
      <w:r w:rsidR="00BF08A2">
        <w:rPr>
          <w:lang w:val="sq-AL"/>
        </w:rPr>
        <w:t xml:space="preserve">. </w:t>
      </w:r>
    </w:p>
    <w:p w14:paraId="548FFA45" w14:textId="20A91483" w:rsidR="00BF08A2" w:rsidRDefault="00BF08A2" w:rsidP="00BF08A2">
      <w:pPr>
        <w:pStyle w:val="Heading1"/>
        <w:numPr>
          <w:ilvl w:val="0"/>
          <w:numId w:val="0"/>
        </w:numPr>
        <w:spacing w:line="276" w:lineRule="auto"/>
        <w:ind w:left="7" w:right="48"/>
        <w:jc w:val="both"/>
        <w:rPr>
          <w:b w:val="0"/>
          <w:bCs w:val="0"/>
          <w:color w:val="000000"/>
          <w:sz w:val="24"/>
          <w:szCs w:val="24"/>
          <w:lang w:val="sq-AL"/>
        </w:rPr>
      </w:pPr>
      <w:bookmarkStart w:id="34" w:name="_Toc228275818"/>
      <w:r>
        <w:rPr>
          <w:b w:val="0"/>
          <w:bCs w:val="0"/>
          <w:sz w:val="24"/>
          <w:szCs w:val="24"/>
          <w:lang w:val="sq-AL"/>
        </w:rPr>
        <w:t>Fondi p</w:t>
      </w:r>
      <w:r w:rsidR="00455816">
        <w:rPr>
          <w:b w:val="0"/>
          <w:bCs w:val="0"/>
          <w:sz w:val="24"/>
          <w:szCs w:val="24"/>
          <w:lang w:val="sq-AL"/>
        </w:rPr>
        <w:t>ë</w:t>
      </w:r>
      <w:r>
        <w:rPr>
          <w:b w:val="0"/>
          <w:bCs w:val="0"/>
          <w:sz w:val="24"/>
          <w:szCs w:val="24"/>
          <w:lang w:val="sq-AL"/>
        </w:rPr>
        <w:t>r t</w:t>
      </w:r>
      <w:r w:rsidR="00455816">
        <w:rPr>
          <w:b w:val="0"/>
          <w:bCs w:val="0"/>
          <w:sz w:val="24"/>
          <w:szCs w:val="24"/>
          <w:lang w:val="sq-AL"/>
        </w:rPr>
        <w:t>ë</w:t>
      </w:r>
      <w:r>
        <w:rPr>
          <w:b w:val="0"/>
          <w:bCs w:val="0"/>
          <w:sz w:val="24"/>
          <w:szCs w:val="24"/>
          <w:lang w:val="sq-AL"/>
        </w:rPr>
        <w:t xml:space="preserve"> financuar k</w:t>
      </w:r>
      <w:r w:rsidR="00455816">
        <w:rPr>
          <w:b w:val="0"/>
          <w:bCs w:val="0"/>
          <w:sz w:val="24"/>
          <w:szCs w:val="24"/>
          <w:lang w:val="sq-AL"/>
        </w:rPr>
        <w:t>ë</w:t>
      </w:r>
      <w:r>
        <w:rPr>
          <w:b w:val="0"/>
          <w:bCs w:val="0"/>
          <w:sz w:val="24"/>
          <w:szCs w:val="24"/>
          <w:lang w:val="sq-AL"/>
        </w:rPr>
        <w:t>to devijanca</w:t>
      </w:r>
      <w:r w:rsidRPr="008611AE">
        <w:rPr>
          <w:b w:val="0"/>
          <w:bCs w:val="0"/>
          <w:sz w:val="24"/>
          <w:szCs w:val="24"/>
          <w:lang w:val="sq-AL"/>
        </w:rPr>
        <w:t xml:space="preserve"> rezulton nga</w:t>
      </w:r>
      <w:r>
        <w:rPr>
          <w:sz w:val="24"/>
          <w:szCs w:val="24"/>
          <w:lang w:val="sq-AL"/>
        </w:rPr>
        <w:t xml:space="preserve"> </w:t>
      </w:r>
      <w:r w:rsidRPr="00687719">
        <w:rPr>
          <w:b w:val="0"/>
          <w:bCs w:val="0"/>
          <w:color w:val="000000"/>
          <w:sz w:val="24"/>
          <w:szCs w:val="24"/>
          <w:lang w:val="sq-AL"/>
        </w:rPr>
        <w:t>hapësira fiskale e krijuar si rezultat i rritjes së pritshme të PBB-së dhe të të ardhurave buxhetore</w:t>
      </w:r>
      <w:r>
        <w:rPr>
          <w:b w:val="0"/>
          <w:bCs w:val="0"/>
          <w:color w:val="000000"/>
          <w:sz w:val="24"/>
          <w:szCs w:val="24"/>
          <w:lang w:val="sq-AL"/>
        </w:rPr>
        <w:t>.</w:t>
      </w:r>
      <w:bookmarkEnd w:id="34"/>
    </w:p>
    <w:p w14:paraId="257E61C4" w14:textId="4EEB0A04" w:rsidR="00687719" w:rsidRPr="00607DCB" w:rsidRDefault="00687719" w:rsidP="007F02E9">
      <w:pPr>
        <w:pStyle w:val="Heading1"/>
        <w:numPr>
          <w:ilvl w:val="0"/>
          <w:numId w:val="0"/>
        </w:numPr>
        <w:spacing w:line="276" w:lineRule="auto"/>
        <w:ind w:right="48"/>
        <w:jc w:val="both"/>
        <w:rPr>
          <w:sz w:val="24"/>
          <w:szCs w:val="24"/>
          <w:lang w:val="sq-AL"/>
        </w:rPr>
      </w:pPr>
    </w:p>
    <w:p w14:paraId="61A67253" w14:textId="77777777" w:rsidR="002322AE" w:rsidRPr="00607DCB" w:rsidRDefault="002322AE" w:rsidP="00607DCB">
      <w:pPr>
        <w:pStyle w:val="Heading1"/>
        <w:numPr>
          <w:ilvl w:val="0"/>
          <w:numId w:val="0"/>
        </w:numPr>
        <w:spacing w:line="276" w:lineRule="auto"/>
        <w:ind w:left="522"/>
        <w:jc w:val="both"/>
        <w:rPr>
          <w:sz w:val="24"/>
          <w:szCs w:val="24"/>
          <w:lang w:val="sq-AL"/>
        </w:rPr>
      </w:pPr>
    </w:p>
    <w:p w14:paraId="45E37C40" w14:textId="2AA5882C" w:rsidR="00DC2AB1" w:rsidRPr="00607DCB" w:rsidRDefault="00DC2AB1" w:rsidP="00A41DE9">
      <w:pPr>
        <w:pStyle w:val="Heading1"/>
        <w:numPr>
          <w:ilvl w:val="1"/>
          <w:numId w:val="67"/>
        </w:numPr>
        <w:spacing w:line="276" w:lineRule="auto"/>
        <w:ind w:right="48"/>
        <w:jc w:val="both"/>
        <w:rPr>
          <w:sz w:val="24"/>
          <w:szCs w:val="24"/>
          <w:lang w:val="sq-AL"/>
        </w:rPr>
      </w:pPr>
      <w:bookmarkStart w:id="35" w:name="_Toc228275819"/>
      <w:r w:rsidRPr="00607DCB">
        <w:rPr>
          <w:sz w:val="24"/>
          <w:szCs w:val="24"/>
          <w:lang w:val="sq-AL"/>
        </w:rPr>
        <w:t xml:space="preserve">Devijancat e </w:t>
      </w:r>
      <w:r w:rsidR="00E706B6">
        <w:rPr>
          <w:sz w:val="24"/>
          <w:szCs w:val="24"/>
          <w:lang w:val="sq-AL"/>
        </w:rPr>
        <w:t xml:space="preserve">parashikimeve </w:t>
      </w:r>
      <w:r w:rsidRPr="00607DCB">
        <w:rPr>
          <w:sz w:val="24"/>
          <w:szCs w:val="24"/>
          <w:lang w:val="sq-AL"/>
        </w:rPr>
        <w:t>t</w:t>
      </w:r>
      <w:r w:rsidR="00A721D5" w:rsidRPr="00607DCB">
        <w:rPr>
          <w:sz w:val="24"/>
          <w:szCs w:val="24"/>
          <w:lang w:val="sq-AL"/>
        </w:rPr>
        <w:t>ë</w:t>
      </w:r>
      <w:r w:rsidRPr="00607DCB">
        <w:rPr>
          <w:sz w:val="24"/>
          <w:szCs w:val="24"/>
          <w:lang w:val="sq-AL"/>
        </w:rPr>
        <w:t xml:space="preserve"> </w:t>
      </w:r>
      <w:r w:rsidR="00E706B6">
        <w:rPr>
          <w:sz w:val="24"/>
          <w:szCs w:val="24"/>
          <w:lang w:val="sq-AL"/>
        </w:rPr>
        <w:t>t</w:t>
      </w:r>
      <w:r w:rsidR="00455816">
        <w:rPr>
          <w:sz w:val="24"/>
          <w:szCs w:val="24"/>
          <w:lang w:val="sq-AL"/>
        </w:rPr>
        <w:t>ë</w:t>
      </w:r>
      <w:r w:rsidR="00E706B6">
        <w:rPr>
          <w:sz w:val="24"/>
          <w:szCs w:val="24"/>
          <w:lang w:val="sq-AL"/>
        </w:rPr>
        <w:t xml:space="preserve"> </w:t>
      </w:r>
      <w:r w:rsidRPr="00607DCB">
        <w:rPr>
          <w:sz w:val="24"/>
          <w:szCs w:val="24"/>
          <w:lang w:val="sq-AL"/>
        </w:rPr>
        <w:t>ardh</w:t>
      </w:r>
      <w:r w:rsidR="00E706B6">
        <w:rPr>
          <w:sz w:val="24"/>
          <w:szCs w:val="24"/>
          <w:lang w:val="sq-AL"/>
        </w:rPr>
        <w:t>u</w:t>
      </w:r>
      <w:r w:rsidRPr="00607DCB">
        <w:rPr>
          <w:sz w:val="24"/>
          <w:szCs w:val="24"/>
          <w:lang w:val="sq-AL"/>
        </w:rPr>
        <w:t>rave dhe shpenzimeve t</w:t>
      </w:r>
      <w:r w:rsidR="00A721D5" w:rsidRPr="00607DCB">
        <w:rPr>
          <w:sz w:val="24"/>
          <w:szCs w:val="24"/>
          <w:lang w:val="sq-AL"/>
        </w:rPr>
        <w:t>ë</w:t>
      </w:r>
      <w:r w:rsidRPr="00607DCB">
        <w:rPr>
          <w:sz w:val="24"/>
          <w:szCs w:val="24"/>
          <w:lang w:val="sq-AL"/>
        </w:rPr>
        <w:t xml:space="preserve"> pushtetit vendor p</w:t>
      </w:r>
      <w:r w:rsidR="00A721D5" w:rsidRPr="00607DCB">
        <w:rPr>
          <w:sz w:val="24"/>
          <w:szCs w:val="24"/>
          <w:lang w:val="sq-AL"/>
        </w:rPr>
        <w:t>ë</w:t>
      </w:r>
      <w:r w:rsidRPr="00607DCB">
        <w:rPr>
          <w:sz w:val="24"/>
          <w:szCs w:val="24"/>
          <w:lang w:val="sq-AL"/>
        </w:rPr>
        <w:t>r buxhetin e vitit 2026</w:t>
      </w:r>
      <w:bookmarkEnd w:id="35"/>
    </w:p>
    <w:p w14:paraId="17347E78" w14:textId="77777777" w:rsidR="009E26DE" w:rsidRPr="00607DCB" w:rsidRDefault="009E26DE" w:rsidP="00607DCB">
      <w:pPr>
        <w:spacing w:line="276" w:lineRule="auto"/>
        <w:rPr>
          <w:iCs/>
          <w:noProof/>
          <w:sz w:val="24"/>
          <w:szCs w:val="24"/>
          <w:lang w:val="sq-AL"/>
        </w:rPr>
      </w:pPr>
    </w:p>
    <w:p w14:paraId="1A2C1600" w14:textId="0BDC22EC" w:rsidR="009E26DE" w:rsidRPr="00607DCB" w:rsidRDefault="009E26DE" w:rsidP="00607DCB">
      <w:pPr>
        <w:spacing w:line="276" w:lineRule="auto"/>
        <w:jc w:val="both"/>
        <w:rPr>
          <w:iCs/>
          <w:noProof/>
          <w:sz w:val="24"/>
          <w:szCs w:val="24"/>
          <w:lang w:val="sq-AL"/>
        </w:rPr>
      </w:pPr>
      <w:r w:rsidRPr="00607DCB">
        <w:rPr>
          <w:iCs/>
          <w:noProof/>
          <w:sz w:val="24"/>
          <w:szCs w:val="24"/>
          <w:lang w:val="sq-AL"/>
        </w:rPr>
        <w:t xml:space="preserve">VKM nr. 83, datë 5.2.2025 “Për miratimin e kuadrit makroekonomik e fiskal për periudhën 2026–2028” përcaktoi “Treguesit kryesorë makroekonomikë” dhe “Treguesit fiskalë sipas buxhetit të konsoliduar” mbështetur në ecurinë e vitit 2024 dhe parashikimin e vitit 2025, ku për vitin 2026 të ardhurat nga pushteti vendor u parashikuan 43.9 miliard lekë me një rritje prej 7.7% nga viti 2025 dhe shpenzimet për buxhetin vendor u parashikuan 97.8 miliard lekë me rreth 5.2% rritje nga viti 2025. </w:t>
      </w:r>
    </w:p>
    <w:p w14:paraId="143AF0A9" w14:textId="77777777" w:rsidR="00DC2AB1" w:rsidRPr="00607DCB" w:rsidRDefault="00DC2AB1" w:rsidP="00607DCB">
      <w:pPr>
        <w:pStyle w:val="Caption"/>
        <w:spacing w:line="276" w:lineRule="auto"/>
        <w:rPr>
          <w:sz w:val="24"/>
          <w:szCs w:val="24"/>
          <w:lang w:val="sq-AL"/>
        </w:rPr>
      </w:pPr>
    </w:p>
    <w:p w14:paraId="27037E5D" w14:textId="0C743D9B" w:rsidR="00DC2AB1" w:rsidRPr="00607DCB" w:rsidRDefault="00DC2AB1" w:rsidP="00607DCB">
      <w:pPr>
        <w:pStyle w:val="Caption"/>
        <w:spacing w:line="276" w:lineRule="auto"/>
        <w:rPr>
          <w:b/>
          <w:bCs/>
          <w:sz w:val="24"/>
          <w:szCs w:val="24"/>
          <w:lang w:val="sq-AL"/>
        </w:rPr>
      </w:pPr>
      <w:bookmarkStart w:id="36" w:name="_Toc228275855"/>
      <w:r w:rsidRPr="00607DCB">
        <w:rPr>
          <w:sz w:val="24"/>
          <w:szCs w:val="24"/>
          <w:lang w:val="sq-AL"/>
        </w:rPr>
        <w:t xml:space="preserve">Tabela </w:t>
      </w:r>
      <w:r w:rsidRPr="00607DCB">
        <w:rPr>
          <w:sz w:val="24"/>
          <w:szCs w:val="24"/>
          <w:lang w:val="sq-AL"/>
        </w:rPr>
        <w:fldChar w:fldCharType="begin"/>
      </w:r>
      <w:r w:rsidRPr="00607DCB">
        <w:rPr>
          <w:sz w:val="24"/>
          <w:szCs w:val="24"/>
          <w:lang w:val="sq-AL"/>
        </w:rPr>
        <w:instrText xml:space="preserve"> SEQ Tabela \* ARABIC </w:instrText>
      </w:r>
      <w:r w:rsidRPr="00607DCB">
        <w:rPr>
          <w:sz w:val="24"/>
          <w:szCs w:val="24"/>
          <w:lang w:val="sq-AL"/>
        </w:rPr>
        <w:fldChar w:fldCharType="separate"/>
      </w:r>
      <w:r w:rsidR="006A0296">
        <w:rPr>
          <w:noProof/>
          <w:sz w:val="24"/>
          <w:szCs w:val="24"/>
          <w:lang w:val="sq-AL"/>
        </w:rPr>
        <w:t>4</w:t>
      </w:r>
      <w:r w:rsidRPr="00607DCB">
        <w:rPr>
          <w:sz w:val="24"/>
          <w:szCs w:val="24"/>
          <w:lang w:val="sq-AL"/>
        </w:rPr>
        <w:fldChar w:fldCharType="end"/>
      </w:r>
      <w:r w:rsidRPr="00607DCB">
        <w:rPr>
          <w:sz w:val="24"/>
          <w:szCs w:val="24"/>
          <w:lang w:val="sq-AL"/>
        </w:rPr>
        <w:t xml:space="preserve"> Devijimet e parashikimeve p</w:t>
      </w:r>
      <w:r w:rsidR="00A721D5" w:rsidRPr="00607DCB">
        <w:rPr>
          <w:sz w:val="24"/>
          <w:szCs w:val="24"/>
          <w:lang w:val="sq-AL"/>
        </w:rPr>
        <w:t>ë</w:t>
      </w:r>
      <w:r w:rsidRPr="00607DCB">
        <w:rPr>
          <w:sz w:val="24"/>
          <w:szCs w:val="24"/>
          <w:lang w:val="sq-AL"/>
        </w:rPr>
        <w:t>r t</w:t>
      </w:r>
      <w:r w:rsidR="00A721D5" w:rsidRPr="00607DCB">
        <w:rPr>
          <w:sz w:val="24"/>
          <w:szCs w:val="24"/>
          <w:lang w:val="sq-AL"/>
        </w:rPr>
        <w:t>ë</w:t>
      </w:r>
      <w:r w:rsidRPr="00607DCB">
        <w:rPr>
          <w:sz w:val="24"/>
          <w:szCs w:val="24"/>
          <w:lang w:val="sq-AL"/>
        </w:rPr>
        <w:t xml:space="preserve"> ardhurat dhe shpenzimet e pushtetit vendor</w:t>
      </w:r>
      <w:bookmarkEnd w:id="36"/>
    </w:p>
    <w:tbl>
      <w:tblPr>
        <w:tblW w:w="940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22"/>
        <w:gridCol w:w="4299"/>
        <w:gridCol w:w="1086"/>
        <w:gridCol w:w="766"/>
        <w:gridCol w:w="1066"/>
        <w:gridCol w:w="766"/>
        <w:gridCol w:w="901"/>
      </w:tblGrid>
      <w:tr w:rsidR="00DC2AB1" w:rsidRPr="00607DCB" w14:paraId="4F391EE9" w14:textId="77777777" w:rsidTr="00A41DE9">
        <w:trPr>
          <w:trHeight w:val="255"/>
          <w:jc w:val="center"/>
        </w:trPr>
        <w:tc>
          <w:tcPr>
            <w:tcW w:w="522" w:type="dxa"/>
            <w:noWrap/>
            <w:vAlign w:val="bottom"/>
            <w:hideMark/>
          </w:tcPr>
          <w:p w14:paraId="6B1AC00A" w14:textId="31EAAE66" w:rsidR="00DC2AB1" w:rsidRPr="0041215F" w:rsidRDefault="00DC2AB1" w:rsidP="00607DCB">
            <w:pPr>
              <w:spacing w:line="276" w:lineRule="auto"/>
              <w:rPr>
                <w:sz w:val="16"/>
                <w:szCs w:val="16"/>
                <w:lang w:val="sq-AL"/>
              </w:rPr>
            </w:pPr>
          </w:p>
        </w:tc>
        <w:tc>
          <w:tcPr>
            <w:tcW w:w="4299" w:type="dxa"/>
            <w:noWrap/>
            <w:vAlign w:val="bottom"/>
            <w:hideMark/>
          </w:tcPr>
          <w:p w14:paraId="7C46308C" w14:textId="77777777" w:rsidR="00DC2AB1" w:rsidRPr="0041215F" w:rsidRDefault="00DC2AB1" w:rsidP="00607DCB">
            <w:pPr>
              <w:spacing w:line="276" w:lineRule="auto"/>
              <w:rPr>
                <w:sz w:val="16"/>
                <w:szCs w:val="16"/>
                <w:lang w:val="sq-AL"/>
              </w:rPr>
            </w:pPr>
            <w:r w:rsidRPr="0041215F">
              <w:rPr>
                <w:sz w:val="16"/>
                <w:szCs w:val="16"/>
                <w:lang w:val="sq-AL"/>
              </w:rPr>
              <w:t>në milion lekë (in milion lekë)</w:t>
            </w:r>
          </w:p>
        </w:tc>
        <w:tc>
          <w:tcPr>
            <w:tcW w:w="1086" w:type="dxa"/>
            <w:noWrap/>
            <w:vAlign w:val="bottom"/>
            <w:hideMark/>
          </w:tcPr>
          <w:p w14:paraId="2BC160DF" w14:textId="77777777" w:rsidR="00DC2AB1" w:rsidRPr="0041215F" w:rsidRDefault="00DC2AB1" w:rsidP="00607DCB">
            <w:pPr>
              <w:spacing w:line="276" w:lineRule="auto"/>
              <w:jc w:val="center"/>
              <w:rPr>
                <w:sz w:val="16"/>
                <w:szCs w:val="16"/>
                <w:lang w:val="sq-AL"/>
              </w:rPr>
            </w:pPr>
            <w:r w:rsidRPr="0041215F">
              <w:rPr>
                <w:sz w:val="16"/>
                <w:szCs w:val="16"/>
                <w:lang w:val="sq-AL"/>
              </w:rPr>
              <w:t xml:space="preserve">Shkurt 2025 </w:t>
            </w:r>
          </w:p>
        </w:tc>
        <w:tc>
          <w:tcPr>
            <w:tcW w:w="766" w:type="dxa"/>
          </w:tcPr>
          <w:p w14:paraId="34AE2826" w14:textId="77777777" w:rsidR="00DC2AB1" w:rsidRPr="0041215F" w:rsidRDefault="00DC2AB1" w:rsidP="00607DCB">
            <w:pPr>
              <w:spacing w:line="276" w:lineRule="auto"/>
              <w:rPr>
                <w:sz w:val="16"/>
                <w:szCs w:val="16"/>
                <w:lang w:val="sq-AL"/>
              </w:rPr>
            </w:pPr>
          </w:p>
        </w:tc>
        <w:tc>
          <w:tcPr>
            <w:tcW w:w="1066" w:type="dxa"/>
            <w:noWrap/>
            <w:vAlign w:val="bottom"/>
            <w:hideMark/>
          </w:tcPr>
          <w:p w14:paraId="18470B2E" w14:textId="77777777" w:rsidR="00DC2AB1" w:rsidRPr="0041215F" w:rsidRDefault="00DC2AB1" w:rsidP="00607DCB">
            <w:pPr>
              <w:spacing w:line="276" w:lineRule="auto"/>
              <w:rPr>
                <w:sz w:val="16"/>
                <w:szCs w:val="16"/>
                <w:lang w:val="sq-AL"/>
              </w:rPr>
            </w:pPr>
            <w:r w:rsidRPr="0041215F">
              <w:rPr>
                <w:sz w:val="16"/>
                <w:szCs w:val="16"/>
                <w:lang w:val="sq-AL"/>
              </w:rPr>
              <w:t>Dhjetor 2025</w:t>
            </w:r>
          </w:p>
        </w:tc>
        <w:tc>
          <w:tcPr>
            <w:tcW w:w="766" w:type="dxa"/>
            <w:noWrap/>
            <w:vAlign w:val="bottom"/>
            <w:hideMark/>
          </w:tcPr>
          <w:p w14:paraId="7884A139" w14:textId="77777777" w:rsidR="00DC2AB1" w:rsidRPr="0041215F" w:rsidRDefault="00DC2AB1" w:rsidP="00607DCB">
            <w:pPr>
              <w:spacing w:line="276" w:lineRule="auto"/>
              <w:rPr>
                <w:sz w:val="16"/>
                <w:szCs w:val="16"/>
                <w:lang w:val="sq-AL"/>
              </w:rPr>
            </w:pPr>
            <w:r w:rsidRPr="0041215F">
              <w:rPr>
                <w:sz w:val="16"/>
                <w:szCs w:val="16"/>
                <w:lang w:val="sq-AL"/>
              </w:rPr>
              <w:t> </w:t>
            </w:r>
          </w:p>
        </w:tc>
        <w:tc>
          <w:tcPr>
            <w:tcW w:w="901" w:type="dxa"/>
            <w:noWrap/>
            <w:vAlign w:val="bottom"/>
            <w:hideMark/>
          </w:tcPr>
          <w:p w14:paraId="132A0CC8" w14:textId="77777777" w:rsidR="00DC2AB1" w:rsidRPr="0041215F" w:rsidRDefault="00DC2AB1" w:rsidP="00607DCB">
            <w:pPr>
              <w:spacing w:line="276" w:lineRule="auto"/>
              <w:rPr>
                <w:sz w:val="16"/>
                <w:szCs w:val="16"/>
                <w:lang w:val="sq-AL"/>
              </w:rPr>
            </w:pPr>
            <w:r w:rsidRPr="0041215F">
              <w:rPr>
                <w:sz w:val="16"/>
                <w:szCs w:val="16"/>
                <w:lang w:val="sq-AL"/>
              </w:rPr>
              <w:t> </w:t>
            </w:r>
          </w:p>
        </w:tc>
      </w:tr>
      <w:tr w:rsidR="00DC2AB1" w:rsidRPr="00607DCB" w14:paraId="3FE87459" w14:textId="77777777" w:rsidTr="00A41DE9">
        <w:trPr>
          <w:trHeight w:val="450"/>
          <w:jc w:val="center"/>
        </w:trPr>
        <w:tc>
          <w:tcPr>
            <w:tcW w:w="522" w:type="dxa"/>
            <w:vAlign w:val="center"/>
            <w:hideMark/>
          </w:tcPr>
          <w:p w14:paraId="5D63AAB5"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Nr.</w:t>
            </w:r>
          </w:p>
        </w:tc>
        <w:tc>
          <w:tcPr>
            <w:tcW w:w="4299" w:type="dxa"/>
            <w:vAlign w:val="center"/>
            <w:hideMark/>
          </w:tcPr>
          <w:p w14:paraId="5398C854"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E  M  E  R  T  I  M  I</w:t>
            </w:r>
          </w:p>
        </w:tc>
        <w:tc>
          <w:tcPr>
            <w:tcW w:w="1086" w:type="dxa"/>
            <w:vAlign w:val="center"/>
            <w:hideMark/>
          </w:tcPr>
          <w:p w14:paraId="274A31E8"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kuadri makro 2026-2026</w:t>
            </w:r>
          </w:p>
        </w:tc>
        <w:tc>
          <w:tcPr>
            <w:tcW w:w="766" w:type="dxa"/>
            <w:vAlign w:val="center"/>
          </w:tcPr>
          <w:p w14:paraId="646960A1"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Në % të PBB</w:t>
            </w:r>
          </w:p>
        </w:tc>
        <w:tc>
          <w:tcPr>
            <w:tcW w:w="1066" w:type="dxa"/>
            <w:vAlign w:val="center"/>
            <w:hideMark/>
          </w:tcPr>
          <w:p w14:paraId="39ACE80A"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Buxheti 2026</w:t>
            </w:r>
          </w:p>
        </w:tc>
        <w:tc>
          <w:tcPr>
            <w:tcW w:w="766" w:type="dxa"/>
            <w:vAlign w:val="center"/>
            <w:hideMark/>
          </w:tcPr>
          <w:p w14:paraId="394EA286"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Në % të PBB</w:t>
            </w:r>
          </w:p>
        </w:tc>
        <w:tc>
          <w:tcPr>
            <w:tcW w:w="901" w:type="dxa"/>
            <w:vAlign w:val="center"/>
            <w:hideMark/>
          </w:tcPr>
          <w:p w14:paraId="18BDAED2" w14:textId="77777777" w:rsidR="00DC2AB1" w:rsidRPr="0041215F" w:rsidRDefault="00DC2AB1" w:rsidP="00607DCB">
            <w:pPr>
              <w:spacing w:line="276" w:lineRule="auto"/>
              <w:jc w:val="center"/>
              <w:rPr>
                <w:b/>
                <w:bCs/>
                <w:sz w:val="16"/>
                <w:szCs w:val="16"/>
                <w:lang w:val="sq-AL"/>
              </w:rPr>
            </w:pPr>
            <w:r w:rsidRPr="0041215F">
              <w:rPr>
                <w:b/>
                <w:bCs/>
                <w:sz w:val="16"/>
                <w:szCs w:val="16"/>
                <w:lang w:val="sq-AL"/>
              </w:rPr>
              <w:t>Devijanca</w:t>
            </w:r>
          </w:p>
        </w:tc>
      </w:tr>
      <w:tr w:rsidR="00DC2AB1" w:rsidRPr="00607DCB" w14:paraId="04D03E8E" w14:textId="77777777" w:rsidTr="00A41DE9">
        <w:trPr>
          <w:trHeight w:val="216"/>
          <w:jc w:val="center"/>
        </w:trPr>
        <w:tc>
          <w:tcPr>
            <w:tcW w:w="522" w:type="dxa"/>
            <w:noWrap/>
            <w:vAlign w:val="bottom"/>
            <w:hideMark/>
          </w:tcPr>
          <w:p w14:paraId="53C44DCD" w14:textId="77777777" w:rsidR="00DC2AB1" w:rsidRPr="0041215F" w:rsidRDefault="00DC2AB1" w:rsidP="00607DCB">
            <w:pPr>
              <w:spacing w:line="276" w:lineRule="auto"/>
              <w:rPr>
                <w:b/>
                <w:bCs/>
                <w:sz w:val="20"/>
                <w:szCs w:val="20"/>
                <w:lang w:val="sq-AL"/>
              </w:rPr>
            </w:pPr>
            <w:r w:rsidRPr="0041215F">
              <w:rPr>
                <w:b/>
                <w:bCs/>
                <w:sz w:val="20"/>
                <w:szCs w:val="20"/>
                <w:lang w:val="sq-AL"/>
              </w:rPr>
              <w:t>II.2</w:t>
            </w:r>
          </w:p>
        </w:tc>
        <w:tc>
          <w:tcPr>
            <w:tcW w:w="4299" w:type="dxa"/>
            <w:noWrap/>
            <w:vAlign w:val="bottom"/>
            <w:hideMark/>
          </w:tcPr>
          <w:p w14:paraId="2CE998A7" w14:textId="77777777" w:rsidR="00DC2AB1" w:rsidRPr="0041215F" w:rsidRDefault="00DC2AB1" w:rsidP="00607DCB">
            <w:pPr>
              <w:spacing w:line="276" w:lineRule="auto"/>
              <w:rPr>
                <w:b/>
                <w:bCs/>
                <w:sz w:val="20"/>
                <w:szCs w:val="20"/>
                <w:lang w:val="sq-AL"/>
              </w:rPr>
            </w:pPr>
            <w:r w:rsidRPr="0041215F">
              <w:rPr>
                <w:b/>
                <w:bCs/>
                <w:sz w:val="20"/>
                <w:szCs w:val="20"/>
                <w:lang w:val="sq-AL"/>
              </w:rPr>
              <w:t>Të ardhura nga Pushteti Vendor</w:t>
            </w:r>
          </w:p>
        </w:tc>
        <w:tc>
          <w:tcPr>
            <w:tcW w:w="1086" w:type="dxa"/>
            <w:noWrap/>
            <w:vAlign w:val="center"/>
            <w:hideMark/>
          </w:tcPr>
          <w:p w14:paraId="1891F6B8"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43,931</w:t>
            </w:r>
          </w:p>
        </w:tc>
        <w:tc>
          <w:tcPr>
            <w:tcW w:w="766" w:type="dxa"/>
            <w:vAlign w:val="center"/>
          </w:tcPr>
          <w:p w14:paraId="32B29F3A" w14:textId="77777777" w:rsidR="00DC2AB1" w:rsidRPr="0041215F" w:rsidRDefault="00DC2AB1" w:rsidP="00607DCB">
            <w:pPr>
              <w:spacing w:line="276" w:lineRule="auto"/>
              <w:jc w:val="right"/>
              <w:rPr>
                <w:b/>
                <w:bCs/>
                <w:color w:val="000000"/>
                <w:sz w:val="20"/>
                <w:szCs w:val="20"/>
                <w:lang w:val="sq-AL"/>
              </w:rPr>
            </w:pPr>
            <w:r w:rsidRPr="0041215F">
              <w:rPr>
                <w:b/>
                <w:bCs/>
                <w:color w:val="000000"/>
                <w:sz w:val="20"/>
                <w:szCs w:val="20"/>
                <w:lang w:val="sq-AL"/>
              </w:rPr>
              <w:t>1.59%</w:t>
            </w:r>
          </w:p>
        </w:tc>
        <w:tc>
          <w:tcPr>
            <w:tcW w:w="1066" w:type="dxa"/>
            <w:noWrap/>
            <w:vAlign w:val="center"/>
            <w:hideMark/>
          </w:tcPr>
          <w:p w14:paraId="09933842"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43,932</w:t>
            </w:r>
          </w:p>
        </w:tc>
        <w:tc>
          <w:tcPr>
            <w:tcW w:w="766" w:type="dxa"/>
            <w:noWrap/>
            <w:vAlign w:val="center"/>
            <w:hideMark/>
          </w:tcPr>
          <w:p w14:paraId="6FE1FAB0"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1.58%</w:t>
            </w:r>
          </w:p>
        </w:tc>
        <w:tc>
          <w:tcPr>
            <w:tcW w:w="901" w:type="dxa"/>
            <w:noWrap/>
            <w:vAlign w:val="center"/>
            <w:hideMark/>
          </w:tcPr>
          <w:p w14:paraId="4B5B336A"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1</w:t>
            </w:r>
          </w:p>
        </w:tc>
      </w:tr>
      <w:tr w:rsidR="00DC2AB1" w:rsidRPr="00607DCB" w14:paraId="4ADC149D" w14:textId="77777777" w:rsidTr="00A41DE9">
        <w:trPr>
          <w:trHeight w:val="20"/>
          <w:jc w:val="center"/>
        </w:trPr>
        <w:tc>
          <w:tcPr>
            <w:tcW w:w="522" w:type="dxa"/>
            <w:noWrap/>
            <w:vAlign w:val="bottom"/>
            <w:hideMark/>
          </w:tcPr>
          <w:p w14:paraId="43FC8748" w14:textId="77777777" w:rsidR="00DC2AB1" w:rsidRPr="0041215F" w:rsidRDefault="00DC2AB1" w:rsidP="00607DCB">
            <w:pPr>
              <w:spacing w:line="276" w:lineRule="auto"/>
              <w:rPr>
                <w:b/>
                <w:bCs/>
                <w:sz w:val="20"/>
                <w:szCs w:val="20"/>
                <w:lang w:val="sq-AL"/>
              </w:rPr>
            </w:pPr>
            <w:r w:rsidRPr="0041215F">
              <w:rPr>
                <w:b/>
                <w:bCs/>
                <w:sz w:val="20"/>
                <w:szCs w:val="20"/>
                <w:lang w:val="sq-AL"/>
              </w:rPr>
              <w:t> </w:t>
            </w:r>
          </w:p>
        </w:tc>
        <w:tc>
          <w:tcPr>
            <w:tcW w:w="4299" w:type="dxa"/>
            <w:noWrap/>
            <w:vAlign w:val="bottom"/>
            <w:hideMark/>
          </w:tcPr>
          <w:p w14:paraId="49DEA9C0"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1086" w:type="dxa"/>
            <w:noWrap/>
            <w:vAlign w:val="center"/>
            <w:hideMark/>
          </w:tcPr>
          <w:p w14:paraId="7E23075C" w14:textId="77777777" w:rsidR="00DC2AB1" w:rsidRPr="0041215F" w:rsidRDefault="00DC2AB1" w:rsidP="00607DCB">
            <w:pPr>
              <w:spacing w:line="276" w:lineRule="auto"/>
              <w:rPr>
                <w:sz w:val="20"/>
                <w:szCs w:val="20"/>
                <w:lang w:val="sq-AL"/>
              </w:rPr>
            </w:pPr>
            <w:r w:rsidRPr="0041215F">
              <w:rPr>
                <w:color w:val="000000"/>
                <w:sz w:val="20"/>
                <w:szCs w:val="20"/>
                <w:lang w:val="sq-AL"/>
              </w:rPr>
              <w:t> </w:t>
            </w:r>
          </w:p>
        </w:tc>
        <w:tc>
          <w:tcPr>
            <w:tcW w:w="766" w:type="dxa"/>
            <w:vAlign w:val="center"/>
          </w:tcPr>
          <w:p w14:paraId="20DE41BF" w14:textId="77777777" w:rsidR="00DC2AB1" w:rsidRPr="0041215F" w:rsidRDefault="00DC2AB1" w:rsidP="00607DCB">
            <w:pPr>
              <w:spacing w:line="276" w:lineRule="auto"/>
              <w:jc w:val="right"/>
              <w:rPr>
                <w:b/>
                <w:bCs/>
                <w:color w:val="000000"/>
                <w:sz w:val="20"/>
                <w:szCs w:val="20"/>
                <w:lang w:val="sq-AL"/>
              </w:rPr>
            </w:pPr>
            <w:r w:rsidRPr="0041215F">
              <w:rPr>
                <w:b/>
                <w:bCs/>
                <w:color w:val="000000"/>
                <w:sz w:val="20"/>
                <w:szCs w:val="20"/>
                <w:lang w:val="sq-AL"/>
              </w:rPr>
              <w:t> </w:t>
            </w:r>
          </w:p>
        </w:tc>
        <w:tc>
          <w:tcPr>
            <w:tcW w:w="1066" w:type="dxa"/>
            <w:noWrap/>
            <w:vAlign w:val="center"/>
            <w:hideMark/>
          </w:tcPr>
          <w:p w14:paraId="098CF077" w14:textId="77777777" w:rsidR="00DC2AB1" w:rsidRPr="0041215F" w:rsidRDefault="00DC2AB1" w:rsidP="00607DCB">
            <w:pPr>
              <w:spacing w:line="276" w:lineRule="auto"/>
              <w:rPr>
                <w:sz w:val="20"/>
                <w:szCs w:val="20"/>
                <w:lang w:val="sq-AL"/>
              </w:rPr>
            </w:pPr>
            <w:r w:rsidRPr="0041215F">
              <w:rPr>
                <w:color w:val="000000"/>
                <w:sz w:val="20"/>
                <w:szCs w:val="20"/>
                <w:lang w:val="sq-AL"/>
              </w:rPr>
              <w:t> </w:t>
            </w:r>
          </w:p>
        </w:tc>
        <w:tc>
          <w:tcPr>
            <w:tcW w:w="766" w:type="dxa"/>
            <w:noWrap/>
            <w:vAlign w:val="center"/>
            <w:hideMark/>
          </w:tcPr>
          <w:p w14:paraId="7EF1C1EB" w14:textId="77777777" w:rsidR="00DC2AB1" w:rsidRPr="0041215F" w:rsidRDefault="00DC2AB1" w:rsidP="00607DCB">
            <w:pPr>
              <w:spacing w:line="276" w:lineRule="auto"/>
              <w:rPr>
                <w:sz w:val="20"/>
                <w:szCs w:val="20"/>
                <w:lang w:val="sq-AL"/>
              </w:rPr>
            </w:pPr>
            <w:r w:rsidRPr="0041215F">
              <w:rPr>
                <w:b/>
                <w:bCs/>
                <w:color w:val="000000"/>
                <w:sz w:val="20"/>
                <w:szCs w:val="20"/>
                <w:lang w:val="sq-AL"/>
              </w:rPr>
              <w:t> </w:t>
            </w:r>
          </w:p>
        </w:tc>
        <w:tc>
          <w:tcPr>
            <w:tcW w:w="901" w:type="dxa"/>
            <w:noWrap/>
            <w:vAlign w:val="center"/>
            <w:hideMark/>
          </w:tcPr>
          <w:p w14:paraId="1BA95985" w14:textId="77777777" w:rsidR="00DC2AB1" w:rsidRPr="0041215F" w:rsidRDefault="00DC2AB1" w:rsidP="00607DCB">
            <w:pPr>
              <w:spacing w:line="276" w:lineRule="auto"/>
              <w:rPr>
                <w:sz w:val="20"/>
                <w:szCs w:val="20"/>
                <w:lang w:val="sq-AL"/>
              </w:rPr>
            </w:pPr>
            <w:r w:rsidRPr="0041215F">
              <w:rPr>
                <w:b/>
                <w:bCs/>
                <w:color w:val="000000"/>
                <w:sz w:val="20"/>
                <w:szCs w:val="20"/>
                <w:lang w:val="sq-AL"/>
              </w:rPr>
              <w:t> </w:t>
            </w:r>
          </w:p>
        </w:tc>
      </w:tr>
      <w:tr w:rsidR="00DC2AB1" w:rsidRPr="00607DCB" w14:paraId="2502C889" w14:textId="77777777" w:rsidTr="00A41DE9">
        <w:trPr>
          <w:trHeight w:val="216"/>
          <w:jc w:val="center"/>
        </w:trPr>
        <w:tc>
          <w:tcPr>
            <w:tcW w:w="522" w:type="dxa"/>
            <w:noWrap/>
            <w:vAlign w:val="bottom"/>
            <w:hideMark/>
          </w:tcPr>
          <w:p w14:paraId="780FA7F1" w14:textId="77777777" w:rsidR="00DC2AB1" w:rsidRPr="0041215F" w:rsidRDefault="00DC2AB1" w:rsidP="00607DCB">
            <w:pPr>
              <w:spacing w:line="276" w:lineRule="auto"/>
              <w:jc w:val="right"/>
              <w:rPr>
                <w:b/>
                <w:bCs/>
                <w:sz w:val="20"/>
                <w:szCs w:val="20"/>
                <w:lang w:val="sq-AL"/>
              </w:rPr>
            </w:pPr>
            <w:r w:rsidRPr="0041215F">
              <w:rPr>
                <w:b/>
                <w:bCs/>
                <w:sz w:val="20"/>
                <w:szCs w:val="20"/>
                <w:lang w:val="sq-AL"/>
              </w:rPr>
              <w:t xml:space="preserve">6 </w:t>
            </w:r>
          </w:p>
        </w:tc>
        <w:tc>
          <w:tcPr>
            <w:tcW w:w="4299" w:type="dxa"/>
            <w:noWrap/>
            <w:vAlign w:val="bottom"/>
            <w:hideMark/>
          </w:tcPr>
          <w:p w14:paraId="0BAAD1BF" w14:textId="77777777" w:rsidR="00DC2AB1" w:rsidRPr="0041215F" w:rsidRDefault="00DC2AB1" w:rsidP="00607DCB">
            <w:pPr>
              <w:spacing w:line="276" w:lineRule="auto"/>
              <w:rPr>
                <w:b/>
                <w:bCs/>
                <w:sz w:val="20"/>
                <w:szCs w:val="20"/>
                <w:lang w:val="sq-AL"/>
              </w:rPr>
            </w:pPr>
            <w:r w:rsidRPr="0041215F">
              <w:rPr>
                <w:b/>
                <w:bCs/>
                <w:sz w:val="20"/>
                <w:szCs w:val="20"/>
                <w:lang w:val="sq-AL"/>
              </w:rPr>
              <w:t>Shpenzime për Buxhetin Vendor</w:t>
            </w:r>
          </w:p>
        </w:tc>
        <w:tc>
          <w:tcPr>
            <w:tcW w:w="1086" w:type="dxa"/>
            <w:noWrap/>
            <w:vAlign w:val="center"/>
            <w:hideMark/>
          </w:tcPr>
          <w:p w14:paraId="333D5658"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94,578</w:t>
            </w:r>
          </w:p>
        </w:tc>
        <w:tc>
          <w:tcPr>
            <w:tcW w:w="766" w:type="dxa"/>
            <w:vAlign w:val="center"/>
          </w:tcPr>
          <w:p w14:paraId="53262C29" w14:textId="77777777" w:rsidR="00DC2AB1" w:rsidRPr="0041215F" w:rsidRDefault="00DC2AB1" w:rsidP="00607DCB">
            <w:pPr>
              <w:spacing w:line="276" w:lineRule="auto"/>
              <w:jc w:val="right"/>
              <w:rPr>
                <w:b/>
                <w:bCs/>
                <w:color w:val="000000"/>
                <w:sz w:val="20"/>
                <w:szCs w:val="20"/>
                <w:lang w:val="sq-AL"/>
              </w:rPr>
            </w:pPr>
            <w:r w:rsidRPr="0041215F">
              <w:rPr>
                <w:b/>
                <w:bCs/>
                <w:color w:val="000000"/>
                <w:sz w:val="20"/>
                <w:szCs w:val="20"/>
                <w:lang w:val="sq-AL"/>
              </w:rPr>
              <w:t>3.43%</w:t>
            </w:r>
          </w:p>
        </w:tc>
        <w:tc>
          <w:tcPr>
            <w:tcW w:w="1066" w:type="dxa"/>
            <w:noWrap/>
            <w:vAlign w:val="center"/>
            <w:hideMark/>
          </w:tcPr>
          <w:p w14:paraId="7A78F197"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97,767</w:t>
            </w:r>
          </w:p>
        </w:tc>
        <w:tc>
          <w:tcPr>
            <w:tcW w:w="766" w:type="dxa"/>
            <w:noWrap/>
            <w:vAlign w:val="center"/>
            <w:hideMark/>
          </w:tcPr>
          <w:p w14:paraId="0CD91FC0"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3.51%</w:t>
            </w:r>
          </w:p>
        </w:tc>
        <w:tc>
          <w:tcPr>
            <w:tcW w:w="901" w:type="dxa"/>
            <w:noWrap/>
            <w:vAlign w:val="center"/>
            <w:hideMark/>
          </w:tcPr>
          <w:p w14:paraId="00A3BFD4" w14:textId="77777777" w:rsidR="00DC2AB1" w:rsidRPr="0041215F" w:rsidRDefault="00DC2AB1" w:rsidP="00607DCB">
            <w:pPr>
              <w:spacing w:line="276" w:lineRule="auto"/>
              <w:jc w:val="right"/>
              <w:rPr>
                <w:b/>
                <w:bCs/>
                <w:sz w:val="20"/>
                <w:szCs w:val="20"/>
                <w:lang w:val="sq-AL"/>
              </w:rPr>
            </w:pPr>
            <w:r w:rsidRPr="0041215F">
              <w:rPr>
                <w:b/>
                <w:bCs/>
                <w:color w:val="000000"/>
                <w:sz w:val="20"/>
                <w:szCs w:val="20"/>
                <w:lang w:val="sq-AL"/>
              </w:rPr>
              <w:t>3,189</w:t>
            </w:r>
          </w:p>
        </w:tc>
      </w:tr>
      <w:tr w:rsidR="00DC2AB1" w:rsidRPr="00607DCB" w14:paraId="0C2C5CFB" w14:textId="77777777" w:rsidTr="00A41DE9">
        <w:trPr>
          <w:trHeight w:val="216"/>
          <w:jc w:val="center"/>
        </w:trPr>
        <w:tc>
          <w:tcPr>
            <w:tcW w:w="522" w:type="dxa"/>
            <w:noWrap/>
            <w:vAlign w:val="bottom"/>
            <w:hideMark/>
          </w:tcPr>
          <w:p w14:paraId="76D4032A"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3E8A4DF8" w14:textId="77777777" w:rsidR="00DC2AB1" w:rsidRPr="0041215F" w:rsidRDefault="00DC2AB1" w:rsidP="00607DCB">
            <w:pPr>
              <w:spacing w:line="276" w:lineRule="auto"/>
              <w:rPr>
                <w:sz w:val="20"/>
                <w:szCs w:val="20"/>
                <w:lang w:val="sq-AL"/>
              </w:rPr>
            </w:pPr>
            <w:r w:rsidRPr="0041215F">
              <w:rPr>
                <w:sz w:val="20"/>
                <w:szCs w:val="20"/>
                <w:lang w:val="sq-AL"/>
              </w:rPr>
              <w:t>Transfertat nga Buxheti i Shtetit për pushtetin vendor</w:t>
            </w:r>
          </w:p>
        </w:tc>
        <w:tc>
          <w:tcPr>
            <w:tcW w:w="1086" w:type="dxa"/>
            <w:noWrap/>
            <w:vAlign w:val="center"/>
            <w:hideMark/>
          </w:tcPr>
          <w:p w14:paraId="5ADDEDF2"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44,447</w:t>
            </w:r>
          </w:p>
        </w:tc>
        <w:tc>
          <w:tcPr>
            <w:tcW w:w="766" w:type="dxa"/>
            <w:vAlign w:val="center"/>
          </w:tcPr>
          <w:p w14:paraId="0EFE485D"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1.61%</w:t>
            </w:r>
          </w:p>
        </w:tc>
        <w:tc>
          <w:tcPr>
            <w:tcW w:w="1066" w:type="dxa"/>
            <w:noWrap/>
            <w:vAlign w:val="center"/>
            <w:hideMark/>
          </w:tcPr>
          <w:p w14:paraId="4C2ADD65"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47,315</w:t>
            </w:r>
          </w:p>
        </w:tc>
        <w:tc>
          <w:tcPr>
            <w:tcW w:w="766" w:type="dxa"/>
            <w:noWrap/>
            <w:vAlign w:val="center"/>
            <w:hideMark/>
          </w:tcPr>
          <w:p w14:paraId="237C3BB8"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1.70%</w:t>
            </w:r>
          </w:p>
        </w:tc>
        <w:tc>
          <w:tcPr>
            <w:tcW w:w="901" w:type="dxa"/>
            <w:noWrap/>
            <w:vAlign w:val="center"/>
            <w:hideMark/>
          </w:tcPr>
          <w:p w14:paraId="700BB504" w14:textId="77777777" w:rsidR="00DC2AB1" w:rsidRPr="0041215F" w:rsidRDefault="00DC2AB1" w:rsidP="00607DCB">
            <w:pPr>
              <w:spacing w:line="276" w:lineRule="auto"/>
              <w:jc w:val="right"/>
              <w:rPr>
                <w:sz w:val="20"/>
                <w:szCs w:val="20"/>
                <w:lang w:val="sq-AL"/>
              </w:rPr>
            </w:pPr>
            <w:r w:rsidRPr="0041215F">
              <w:rPr>
                <w:b/>
                <w:bCs/>
                <w:color w:val="000000"/>
                <w:sz w:val="20"/>
                <w:szCs w:val="20"/>
                <w:lang w:val="sq-AL"/>
              </w:rPr>
              <w:t>2,868</w:t>
            </w:r>
          </w:p>
        </w:tc>
      </w:tr>
      <w:tr w:rsidR="00DC2AB1" w:rsidRPr="00607DCB" w14:paraId="6834B5A8" w14:textId="77777777" w:rsidTr="00A41DE9">
        <w:trPr>
          <w:trHeight w:val="216"/>
          <w:jc w:val="center"/>
        </w:trPr>
        <w:tc>
          <w:tcPr>
            <w:tcW w:w="522" w:type="dxa"/>
            <w:noWrap/>
            <w:vAlign w:val="bottom"/>
            <w:hideMark/>
          </w:tcPr>
          <w:p w14:paraId="1CF7CCD9"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697A5521" w14:textId="77777777" w:rsidR="00DC2AB1" w:rsidRPr="0041215F" w:rsidRDefault="00DC2AB1" w:rsidP="00607DCB">
            <w:pPr>
              <w:spacing w:line="276" w:lineRule="auto"/>
              <w:jc w:val="right"/>
              <w:rPr>
                <w:i/>
                <w:iCs/>
                <w:sz w:val="20"/>
                <w:szCs w:val="20"/>
                <w:lang w:val="sq-AL"/>
              </w:rPr>
            </w:pPr>
            <w:r w:rsidRPr="0041215F">
              <w:rPr>
                <w:i/>
                <w:iCs/>
                <w:sz w:val="20"/>
                <w:szCs w:val="20"/>
                <w:lang w:val="sq-AL"/>
              </w:rPr>
              <w:t>Transfertë e pakushtëzuar e përgjithshme</w:t>
            </w:r>
          </w:p>
        </w:tc>
        <w:tc>
          <w:tcPr>
            <w:tcW w:w="1086" w:type="dxa"/>
            <w:noWrap/>
            <w:vAlign w:val="center"/>
            <w:hideMark/>
          </w:tcPr>
          <w:p w14:paraId="1520CAF4"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27,567</w:t>
            </w:r>
          </w:p>
        </w:tc>
        <w:tc>
          <w:tcPr>
            <w:tcW w:w="766" w:type="dxa"/>
            <w:vAlign w:val="center"/>
          </w:tcPr>
          <w:p w14:paraId="26169EB3" w14:textId="77777777" w:rsidR="00DC2AB1" w:rsidRPr="0041215F" w:rsidRDefault="00DC2AB1" w:rsidP="00607DCB">
            <w:pPr>
              <w:spacing w:line="276" w:lineRule="auto"/>
              <w:jc w:val="right"/>
              <w:rPr>
                <w:i/>
                <w:iCs/>
                <w:color w:val="000000"/>
                <w:sz w:val="20"/>
                <w:szCs w:val="20"/>
                <w:lang w:val="sq-AL"/>
              </w:rPr>
            </w:pPr>
            <w:r w:rsidRPr="0041215F">
              <w:rPr>
                <w:i/>
                <w:iCs/>
                <w:color w:val="000000"/>
                <w:sz w:val="20"/>
                <w:szCs w:val="20"/>
                <w:lang w:val="sq-AL"/>
              </w:rPr>
              <w:t>1.00%</w:t>
            </w:r>
          </w:p>
        </w:tc>
        <w:tc>
          <w:tcPr>
            <w:tcW w:w="1066" w:type="dxa"/>
            <w:noWrap/>
            <w:vAlign w:val="center"/>
            <w:hideMark/>
          </w:tcPr>
          <w:p w14:paraId="4CD30B60"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27,814</w:t>
            </w:r>
          </w:p>
        </w:tc>
        <w:tc>
          <w:tcPr>
            <w:tcW w:w="766" w:type="dxa"/>
            <w:noWrap/>
            <w:vAlign w:val="center"/>
            <w:hideMark/>
          </w:tcPr>
          <w:p w14:paraId="57682D40"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1.00%</w:t>
            </w:r>
          </w:p>
        </w:tc>
        <w:tc>
          <w:tcPr>
            <w:tcW w:w="901" w:type="dxa"/>
            <w:noWrap/>
            <w:vAlign w:val="center"/>
            <w:hideMark/>
          </w:tcPr>
          <w:p w14:paraId="529CE61D" w14:textId="77777777" w:rsidR="00DC2AB1" w:rsidRPr="0041215F" w:rsidRDefault="00DC2AB1" w:rsidP="00607DCB">
            <w:pPr>
              <w:spacing w:line="276" w:lineRule="auto"/>
              <w:jc w:val="right"/>
              <w:rPr>
                <w:i/>
                <w:iCs/>
                <w:sz w:val="20"/>
                <w:szCs w:val="20"/>
                <w:lang w:val="sq-AL"/>
              </w:rPr>
            </w:pPr>
            <w:r w:rsidRPr="0041215F">
              <w:rPr>
                <w:b/>
                <w:bCs/>
                <w:color w:val="000000"/>
                <w:sz w:val="20"/>
                <w:szCs w:val="20"/>
                <w:lang w:val="sq-AL"/>
              </w:rPr>
              <w:t>247</w:t>
            </w:r>
          </w:p>
        </w:tc>
      </w:tr>
      <w:tr w:rsidR="00DC2AB1" w:rsidRPr="00607DCB" w14:paraId="4D4ACD9A" w14:textId="77777777" w:rsidTr="00A41DE9">
        <w:trPr>
          <w:trHeight w:val="216"/>
          <w:jc w:val="center"/>
        </w:trPr>
        <w:tc>
          <w:tcPr>
            <w:tcW w:w="522" w:type="dxa"/>
            <w:noWrap/>
            <w:vAlign w:val="bottom"/>
            <w:hideMark/>
          </w:tcPr>
          <w:p w14:paraId="4929E70A"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679151E2" w14:textId="77777777" w:rsidR="00DC2AB1" w:rsidRPr="0041215F" w:rsidRDefault="00DC2AB1" w:rsidP="00607DCB">
            <w:pPr>
              <w:spacing w:line="276" w:lineRule="auto"/>
              <w:jc w:val="right"/>
              <w:rPr>
                <w:i/>
                <w:iCs/>
                <w:sz w:val="20"/>
                <w:szCs w:val="20"/>
                <w:lang w:val="sq-AL"/>
              </w:rPr>
            </w:pPr>
            <w:r w:rsidRPr="0041215F">
              <w:rPr>
                <w:i/>
                <w:iCs/>
                <w:sz w:val="20"/>
                <w:szCs w:val="20"/>
                <w:lang w:val="sq-AL"/>
              </w:rPr>
              <w:t xml:space="preserve">Transfertë e pakushtëzuar sektoriale (Grant </w:t>
            </w:r>
            <w:r w:rsidRPr="0041215F">
              <w:rPr>
                <w:i/>
                <w:iCs/>
                <w:sz w:val="20"/>
                <w:szCs w:val="20"/>
                <w:lang w:val="sq-AL"/>
              </w:rPr>
              <w:lastRenderedPageBreak/>
              <w:t>Specifik)</w:t>
            </w:r>
          </w:p>
        </w:tc>
        <w:tc>
          <w:tcPr>
            <w:tcW w:w="1086" w:type="dxa"/>
            <w:noWrap/>
            <w:vAlign w:val="center"/>
            <w:hideMark/>
          </w:tcPr>
          <w:p w14:paraId="4CFF307B"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lastRenderedPageBreak/>
              <w:t>16,880</w:t>
            </w:r>
          </w:p>
        </w:tc>
        <w:tc>
          <w:tcPr>
            <w:tcW w:w="766" w:type="dxa"/>
            <w:vAlign w:val="center"/>
          </w:tcPr>
          <w:p w14:paraId="74F3AF4E" w14:textId="77777777" w:rsidR="00DC2AB1" w:rsidRPr="0041215F" w:rsidRDefault="00DC2AB1" w:rsidP="00607DCB">
            <w:pPr>
              <w:spacing w:line="276" w:lineRule="auto"/>
              <w:jc w:val="right"/>
              <w:rPr>
                <w:i/>
                <w:iCs/>
                <w:color w:val="000000"/>
                <w:sz w:val="20"/>
                <w:szCs w:val="20"/>
                <w:lang w:val="sq-AL"/>
              </w:rPr>
            </w:pPr>
            <w:r w:rsidRPr="0041215F">
              <w:rPr>
                <w:i/>
                <w:iCs/>
                <w:color w:val="000000"/>
                <w:sz w:val="20"/>
                <w:szCs w:val="20"/>
                <w:lang w:val="sq-AL"/>
              </w:rPr>
              <w:t>0.61%</w:t>
            </w:r>
          </w:p>
        </w:tc>
        <w:tc>
          <w:tcPr>
            <w:tcW w:w="1066" w:type="dxa"/>
            <w:noWrap/>
            <w:vAlign w:val="center"/>
            <w:hideMark/>
          </w:tcPr>
          <w:p w14:paraId="43992E42"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19,301</w:t>
            </w:r>
          </w:p>
        </w:tc>
        <w:tc>
          <w:tcPr>
            <w:tcW w:w="766" w:type="dxa"/>
            <w:noWrap/>
            <w:vAlign w:val="center"/>
            <w:hideMark/>
          </w:tcPr>
          <w:p w14:paraId="66907B9B"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0.69%</w:t>
            </w:r>
          </w:p>
        </w:tc>
        <w:tc>
          <w:tcPr>
            <w:tcW w:w="901" w:type="dxa"/>
            <w:noWrap/>
            <w:vAlign w:val="center"/>
            <w:hideMark/>
          </w:tcPr>
          <w:p w14:paraId="4FE2DD26" w14:textId="77777777" w:rsidR="00DC2AB1" w:rsidRPr="0041215F" w:rsidRDefault="00DC2AB1" w:rsidP="00607DCB">
            <w:pPr>
              <w:spacing w:line="276" w:lineRule="auto"/>
              <w:jc w:val="right"/>
              <w:rPr>
                <w:i/>
                <w:iCs/>
                <w:sz w:val="20"/>
                <w:szCs w:val="20"/>
                <w:lang w:val="sq-AL"/>
              </w:rPr>
            </w:pPr>
            <w:r w:rsidRPr="0041215F">
              <w:rPr>
                <w:b/>
                <w:bCs/>
                <w:color w:val="000000"/>
                <w:sz w:val="20"/>
                <w:szCs w:val="20"/>
                <w:lang w:val="sq-AL"/>
              </w:rPr>
              <w:t>2,421</w:t>
            </w:r>
          </w:p>
        </w:tc>
      </w:tr>
      <w:tr w:rsidR="00DC2AB1" w:rsidRPr="00607DCB" w14:paraId="23C65733" w14:textId="77777777" w:rsidTr="00A41DE9">
        <w:trPr>
          <w:trHeight w:val="216"/>
          <w:jc w:val="center"/>
        </w:trPr>
        <w:tc>
          <w:tcPr>
            <w:tcW w:w="522" w:type="dxa"/>
            <w:noWrap/>
            <w:vAlign w:val="bottom"/>
            <w:hideMark/>
          </w:tcPr>
          <w:p w14:paraId="49BE5BC5"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26D371B4" w14:textId="77777777" w:rsidR="00DC2AB1" w:rsidRPr="0041215F" w:rsidRDefault="00DC2AB1" w:rsidP="00607DCB">
            <w:pPr>
              <w:spacing w:line="276" w:lineRule="auto"/>
              <w:jc w:val="right"/>
              <w:rPr>
                <w:i/>
                <w:iCs/>
                <w:sz w:val="20"/>
                <w:szCs w:val="20"/>
                <w:lang w:val="sq-AL"/>
              </w:rPr>
            </w:pPr>
            <w:r w:rsidRPr="0041215F">
              <w:rPr>
                <w:i/>
                <w:iCs/>
                <w:sz w:val="20"/>
                <w:szCs w:val="20"/>
                <w:lang w:val="sq-AL"/>
              </w:rPr>
              <w:t>Transfertë e pakushtëzuar sektoriale (Grant Performance)</w:t>
            </w:r>
          </w:p>
        </w:tc>
        <w:tc>
          <w:tcPr>
            <w:tcW w:w="1086" w:type="dxa"/>
            <w:noWrap/>
            <w:vAlign w:val="center"/>
            <w:hideMark/>
          </w:tcPr>
          <w:p w14:paraId="18BDD7C4"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0</w:t>
            </w:r>
          </w:p>
        </w:tc>
        <w:tc>
          <w:tcPr>
            <w:tcW w:w="766" w:type="dxa"/>
            <w:vAlign w:val="center"/>
          </w:tcPr>
          <w:p w14:paraId="460B37B8" w14:textId="77777777" w:rsidR="00DC2AB1" w:rsidRPr="0041215F" w:rsidRDefault="00DC2AB1" w:rsidP="00607DCB">
            <w:pPr>
              <w:spacing w:line="276" w:lineRule="auto"/>
              <w:jc w:val="right"/>
              <w:rPr>
                <w:i/>
                <w:iCs/>
                <w:color w:val="000000"/>
                <w:sz w:val="20"/>
                <w:szCs w:val="20"/>
                <w:lang w:val="sq-AL"/>
              </w:rPr>
            </w:pPr>
            <w:r w:rsidRPr="0041215F">
              <w:rPr>
                <w:i/>
                <w:iCs/>
                <w:color w:val="000000"/>
                <w:sz w:val="20"/>
                <w:szCs w:val="20"/>
                <w:lang w:val="sq-AL"/>
              </w:rPr>
              <w:t>0.00%</w:t>
            </w:r>
          </w:p>
        </w:tc>
        <w:tc>
          <w:tcPr>
            <w:tcW w:w="1066" w:type="dxa"/>
            <w:noWrap/>
            <w:vAlign w:val="center"/>
            <w:hideMark/>
          </w:tcPr>
          <w:p w14:paraId="37656C8E"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200</w:t>
            </w:r>
          </w:p>
        </w:tc>
        <w:tc>
          <w:tcPr>
            <w:tcW w:w="766" w:type="dxa"/>
            <w:noWrap/>
            <w:vAlign w:val="center"/>
            <w:hideMark/>
          </w:tcPr>
          <w:p w14:paraId="49024DD7"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0.01%</w:t>
            </w:r>
          </w:p>
        </w:tc>
        <w:tc>
          <w:tcPr>
            <w:tcW w:w="901" w:type="dxa"/>
            <w:noWrap/>
            <w:vAlign w:val="center"/>
            <w:hideMark/>
          </w:tcPr>
          <w:p w14:paraId="78710B2B" w14:textId="77777777" w:rsidR="00DC2AB1" w:rsidRPr="0041215F" w:rsidRDefault="00DC2AB1" w:rsidP="00607DCB">
            <w:pPr>
              <w:spacing w:line="276" w:lineRule="auto"/>
              <w:jc w:val="right"/>
              <w:rPr>
                <w:i/>
                <w:iCs/>
                <w:sz w:val="20"/>
                <w:szCs w:val="20"/>
                <w:lang w:val="sq-AL"/>
              </w:rPr>
            </w:pPr>
            <w:r w:rsidRPr="0041215F">
              <w:rPr>
                <w:b/>
                <w:bCs/>
                <w:color w:val="000000"/>
                <w:sz w:val="20"/>
                <w:szCs w:val="20"/>
                <w:lang w:val="sq-AL"/>
              </w:rPr>
              <w:t>200</w:t>
            </w:r>
          </w:p>
        </w:tc>
      </w:tr>
      <w:tr w:rsidR="00DC2AB1" w:rsidRPr="00607DCB" w14:paraId="68F20F98" w14:textId="77777777" w:rsidTr="00A41DE9">
        <w:trPr>
          <w:trHeight w:val="216"/>
          <w:jc w:val="center"/>
        </w:trPr>
        <w:tc>
          <w:tcPr>
            <w:tcW w:w="522" w:type="dxa"/>
            <w:noWrap/>
            <w:vAlign w:val="bottom"/>
            <w:hideMark/>
          </w:tcPr>
          <w:p w14:paraId="0B0C0CA2"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684D52CE" w14:textId="77777777" w:rsidR="00DC2AB1" w:rsidRPr="0041215F" w:rsidRDefault="00DC2AB1" w:rsidP="00607DCB">
            <w:pPr>
              <w:spacing w:line="276" w:lineRule="auto"/>
              <w:jc w:val="right"/>
              <w:rPr>
                <w:i/>
                <w:iCs/>
                <w:sz w:val="20"/>
                <w:szCs w:val="20"/>
                <w:lang w:val="sq-AL"/>
              </w:rPr>
            </w:pPr>
            <w:r w:rsidRPr="0041215F">
              <w:rPr>
                <w:i/>
                <w:iCs/>
                <w:sz w:val="20"/>
                <w:szCs w:val="20"/>
                <w:lang w:val="sq-AL"/>
              </w:rPr>
              <w:t>Transfertë sektoriale për pagat</w:t>
            </w:r>
          </w:p>
        </w:tc>
        <w:tc>
          <w:tcPr>
            <w:tcW w:w="1086" w:type="dxa"/>
            <w:noWrap/>
            <w:vAlign w:val="center"/>
            <w:hideMark/>
          </w:tcPr>
          <w:p w14:paraId="796E8C43"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 </w:t>
            </w:r>
          </w:p>
        </w:tc>
        <w:tc>
          <w:tcPr>
            <w:tcW w:w="766" w:type="dxa"/>
            <w:vAlign w:val="center"/>
          </w:tcPr>
          <w:p w14:paraId="2107E7F8"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 </w:t>
            </w:r>
          </w:p>
        </w:tc>
        <w:tc>
          <w:tcPr>
            <w:tcW w:w="1066" w:type="dxa"/>
            <w:noWrap/>
            <w:vAlign w:val="center"/>
            <w:hideMark/>
          </w:tcPr>
          <w:p w14:paraId="475AD1DC"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 </w:t>
            </w:r>
          </w:p>
        </w:tc>
        <w:tc>
          <w:tcPr>
            <w:tcW w:w="766" w:type="dxa"/>
            <w:noWrap/>
            <w:vAlign w:val="center"/>
            <w:hideMark/>
          </w:tcPr>
          <w:p w14:paraId="0231CAAE" w14:textId="77777777" w:rsidR="00DC2AB1" w:rsidRPr="0041215F" w:rsidRDefault="00DC2AB1" w:rsidP="00607DCB">
            <w:pPr>
              <w:spacing w:line="276" w:lineRule="auto"/>
              <w:jc w:val="right"/>
              <w:rPr>
                <w:i/>
                <w:iCs/>
                <w:sz w:val="20"/>
                <w:szCs w:val="20"/>
                <w:lang w:val="sq-AL"/>
              </w:rPr>
            </w:pPr>
            <w:r w:rsidRPr="0041215F">
              <w:rPr>
                <w:color w:val="000000"/>
                <w:sz w:val="20"/>
                <w:szCs w:val="20"/>
                <w:lang w:val="sq-AL"/>
              </w:rPr>
              <w:t> </w:t>
            </w:r>
          </w:p>
        </w:tc>
        <w:tc>
          <w:tcPr>
            <w:tcW w:w="901" w:type="dxa"/>
            <w:noWrap/>
            <w:vAlign w:val="center"/>
            <w:hideMark/>
          </w:tcPr>
          <w:p w14:paraId="4B391BF3" w14:textId="77777777" w:rsidR="00DC2AB1" w:rsidRPr="0041215F" w:rsidRDefault="00DC2AB1" w:rsidP="00607DCB">
            <w:pPr>
              <w:spacing w:line="276" w:lineRule="auto"/>
              <w:jc w:val="right"/>
              <w:rPr>
                <w:i/>
                <w:iCs/>
                <w:sz w:val="20"/>
                <w:szCs w:val="20"/>
                <w:lang w:val="sq-AL"/>
              </w:rPr>
            </w:pPr>
            <w:r w:rsidRPr="0041215F">
              <w:rPr>
                <w:b/>
                <w:bCs/>
                <w:color w:val="000000"/>
                <w:sz w:val="20"/>
                <w:szCs w:val="20"/>
                <w:lang w:val="sq-AL"/>
              </w:rPr>
              <w:t> </w:t>
            </w:r>
          </w:p>
        </w:tc>
      </w:tr>
      <w:tr w:rsidR="00DC2AB1" w:rsidRPr="00607DCB" w14:paraId="00964931" w14:textId="77777777" w:rsidTr="00A41DE9">
        <w:trPr>
          <w:trHeight w:val="216"/>
          <w:jc w:val="center"/>
        </w:trPr>
        <w:tc>
          <w:tcPr>
            <w:tcW w:w="522" w:type="dxa"/>
            <w:noWrap/>
            <w:vAlign w:val="bottom"/>
            <w:hideMark/>
          </w:tcPr>
          <w:p w14:paraId="294D34A7"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11E9BCDE" w14:textId="77777777" w:rsidR="00DC2AB1" w:rsidRPr="0041215F" w:rsidRDefault="00DC2AB1" w:rsidP="00607DCB">
            <w:pPr>
              <w:spacing w:line="276" w:lineRule="auto"/>
              <w:rPr>
                <w:sz w:val="20"/>
                <w:szCs w:val="20"/>
                <w:lang w:val="sq-AL"/>
              </w:rPr>
            </w:pPr>
            <w:r w:rsidRPr="0041215F">
              <w:rPr>
                <w:sz w:val="20"/>
                <w:szCs w:val="20"/>
                <w:lang w:val="sq-AL"/>
              </w:rPr>
              <w:t>Buxheti vendor (të ardhurat e veta tatimore)</w:t>
            </w:r>
          </w:p>
        </w:tc>
        <w:tc>
          <w:tcPr>
            <w:tcW w:w="1086" w:type="dxa"/>
            <w:noWrap/>
            <w:vAlign w:val="center"/>
            <w:hideMark/>
          </w:tcPr>
          <w:p w14:paraId="4EFF4E17" w14:textId="77777777" w:rsidR="00DC2AB1" w:rsidRPr="0041215F" w:rsidRDefault="00DC2AB1" w:rsidP="00607DCB">
            <w:pPr>
              <w:spacing w:line="276" w:lineRule="auto"/>
              <w:jc w:val="right"/>
              <w:rPr>
                <w:i/>
                <w:iCs/>
                <w:sz w:val="20"/>
                <w:szCs w:val="20"/>
                <w:lang w:val="sq-AL"/>
              </w:rPr>
            </w:pPr>
            <w:r w:rsidRPr="0041215F">
              <w:rPr>
                <w:i/>
                <w:iCs/>
                <w:color w:val="000000"/>
                <w:sz w:val="20"/>
                <w:szCs w:val="20"/>
                <w:lang w:val="sq-AL"/>
              </w:rPr>
              <w:t>43,931</w:t>
            </w:r>
          </w:p>
        </w:tc>
        <w:tc>
          <w:tcPr>
            <w:tcW w:w="766" w:type="dxa"/>
            <w:vAlign w:val="center"/>
          </w:tcPr>
          <w:p w14:paraId="3363A019"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1.59%</w:t>
            </w:r>
          </w:p>
        </w:tc>
        <w:tc>
          <w:tcPr>
            <w:tcW w:w="1066" w:type="dxa"/>
            <w:noWrap/>
            <w:vAlign w:val="center"/>
            <w:hideMark/>
          </w:tcPr>
          <w:p w14:paraId="1001AD76"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43,932</w:t>
            </w:r>
          </w:p>
        </w:tc>
        <w:tc>
          <w:tcPr>
            <w:tcW w:w="766" w:type="dxa"/>
            <w:noWrap/>
            <w:vAlign w:val="center"/>
            <w:hideMark/>
          </w:tcPr>
          <w:p w14:paraId="2B683B32"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1.58%</w:t>
            </w:r>
          </w:p>
        </w:tc>
        <w:tc>
          <w:tcPr>
            <w:tcW w:w="901" w:type="dxa"/>
            <w:noWrap/>
            <w:vAlign w:val="center"/>
            <w:hideMark/>
          </w:tcPr>
          <w:p w14:paraId="58B3B0E6" w14:textId="77777777" w:rsidR="00DC2AB1" w:rsidRPr="0041215F" w:rsidRDefault="00DC2AB1" w:rsidP="00607DCB">
            <w:pPr>
              <w:spacing w:line="276" w:lineRule="auto"/>
              <w:jc w:val="right"/>
              <w:rPr>
                <w:i/>
                <w:iCs/>
                <w:sz w:val="20"/>
                <w:szCs w:val="20"/>
                <w:lang w:val="sq-AL"/>
              </w:rPr>
            </w:pPr>
            <w:r w:rsidRPr="0041215F">
              <w:rPr>
                <w:b/>
                <w:bCs/>
                <w:color w:val="000000"/>
                <w:sz w:val="20"/>
                <w:szCs w:val="20"/>
                <w:lang w:val="sq-AL"/>
              </w:rPr>
              <w:t>1</w:t>
            </w:r>
          </w:p>
        </w:tc>
      </w:tr>
      <w:tr w:rsidR="00DC2AB1" w:rsidRPr="00607DCB" w14:paraId="56922A5F" w14:textId="77777777" w:rsidTr="00A41DE9">
        <w:trPr>
          <w:trHeight w:val="216"/>
          <w:jc w:val="center"/>
        </w:trPr>
        <w:tc>
          <w:tcPr>
            <w:tcW w:w="522" w:type="dxa"/>
            <w:noWrap/>
            <w:vAlign w:val="bottom"/>
            <w:hideMark/>
          </w:tcPr>
          <w:p w14:paraId="208283EA"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4A0B7ACE" w14:textId="77777777" w:rsidR="00DC2AB1" w:rsidRPr="0041215F" w:rsidRDefault="00DC2AB1" w:rsidP="00607DCB">
            <w:pPr>
              <w:spacing w:line="276" w:lineRule="auto"/>
              <w:rPr>
                <w:sz w:val="20"/>
                <w:szCs w:val="20"/>
                <w:lang w:val="sq-AL"/>
              </w:rPr>
            </w:pPr>
            <w:r w:rsidRPr="0041215F">
              <w:rPr>
                <w:sz w:val="20"/>
                <w:szCs w:val="20"/>
                <w:lang w:val="sq-AL"/>
              </w:rPr>
              <w:t>Taksa të ndara</w:t>
            </w:r>
          </w:p>
        </w:tc>
        <w:tc>
          <w:tcPr>
            <w:tcW w:w="1086" w:type="dxa"/>
            <w:noWrap/>
            <w:vAlign w:val="center"/>
            <w:hideMark/>
          </w:tcPr>
          <w:p w14:paraId="35730B2A"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1,500</w:t>
            </w:r>
          </w:p>
        </w:tc>
        <w:tc>
          <w:tcPr>
            <w:tcW w:w="766" w:type="dxa"/>
            <w:vAlign w:val="center"/>
          </w:tcPr>
          <w:p w14:paraId="19800FA5"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0.05%</w:t>
            </w:r>
          </w:p>
        </w:tc>
        <w:tc>
          <w:tcPr>
            <w:tcW w:w="1066" w:type="dxa"/>
            <w:noWrap/>
            <w:vAlign w:val="center"/>
            <w:hideMark/>
          </w:tcPr>
          <w:p w14:paraId="60E4E80F"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1,820</w:t>
            </w:r>
          </w:p>
        </w:tc>
        <w:tc>
          <w:tcPr>
            <w:tcW w:w="766" w:type="dxa"/>
            <w:noWrap/>
            <w:vAlign w:val="center"/>
            <w:hideMark/>
          </w:tcPr>
          <w:p w14:paraId="48A76D5A"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0.07%</w:t>
            </w:r>
          </w:p>
        </w:tc>
        <w:tc>
          <w:tcPr>
            <w:tcW w:w="901" w:type="dxa"/>
            <w:noWrap/>
            <w:vAlign w:val="center"/>
            <w:hideMark/>
          </w:tcPr>
          <w:p w14:paraId="5A1AF0BB" w14:textId="77777777" w:rsidR="00DC2AB1" w:rsidRPr="0041215F" w:rsidRDefault="00DC2AB1" w:rsidP="00607DCB">
            <w:pPr>
              <w:spacing w:line="276" w:lineRule="auto"/>
              <w:jc w:val="right"/>
              <w:rPr>
                <w:sz w:val="20"/>
                <w:szCs w:val="20"/>
                <w:lang w:val="sq-AL"/>
              </w:rPr>
            </w:pPr>
            <w:r w:rsidRPr="0041215F">
              <w:rPr>
                <w:b/>
                <w:bCs/>
                <w:color w:val="000000"/>
                <w:sz w:val="20"/>
                <w:szCs w:val="20"/>
                <w:lang w:val="sq-AL"/>
              </w:rPr>
              <w:t>320</w:t>
            </w:r>
          </w:p>
        </w:tc>
      </w:tr>
      <w:tr w:rsidR="00DC2AB1" w:rsidRPr="00607DCB" w14:paraId="62770AA8" w14:textId="77777777" w:rsidTr="00A41DE9">
        <w:trPr>
          <w:trHeight w:val="216"/>
          <w:jc w:val="center"/>
        </w:trPr>
        <w:tc>
          <w:tcPr>
            <w:tcW w:w="522" w:type="dxa"/>
            <w:noWrap/>
            <w:vAlign w:val="bottom"/>
            <w:hideMark/>
          </w:tcPr>
          <w:p w14:paraId="407062B1"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3286F485" w14:textId="77777777" w:rsidR="00DC2AB1" w:rsidRPr="0041215F" w:rsidRDefault="00DC2AB1" w:rsidP="00607DCB">
            <w:pPr>
              <w:spacing w:line="276" w:lineRule="auto"/>
              <w:rPr>
                <w:sz w:val="20"/>
                <w:szCs w:val="20"/>
                <w:lang w:val="sq-AL"/>
              </w:rPr>
            </w:pPr>
            <w:r w:rsidRPr="0041215F">
              <w:rPr>
                <w:sz w:val="20"/>
                <w:szCs w:val="20"/>
                <w:lang w:val="sq-AL"/>
              </w:rPr>
              <w:t>Buxheti vendor (të ardhurat e veta jo-tatimore)</w:t>
            </w:r>
          </w:p>
        </w:tc>
        <w:tc>
          <w:tcPr>
            <w:tcW w:w="1086" w:type="dxa"/>
            <w:noWrap/>
            <w:vAlign w:val="center"/>
            <w:hideMark/>
          </w:tcPr>
          <w:p w14:paraId="7E5F7272"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3,200</w:t>
            </w:r>
          </w:p>
        </w:tc>
        <w:tc>
          <w:tcPr>
            <w:tcW w:w="766" w:type="dxa"/>
            <w:vAlign w:val="center"/>
          </w:tcPr>
          <w:p w14:paraId="2EB68157"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0.12%</w:t>
            </w:r>
          </w:p>
        </w:tc>
        <w:tc>
          <w:tcPr>
            <w:tcW w:w="1066" w:type="dxa"/>
            <w:noWrap/>
            <w:vAlign w:val="center"/>
            <w:hideMark/>
          </w:tcPr>
          <w:p w14:paraId="2A8CBF3F"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3,200</w:t>
            </w:r>
          </w:p>
        </w:tc>
        <w:tc>
          <w:tcPr>
            <w:tcW w:w="766" w:type="dxa"/>
            <w:noWrap/>
            <w:vAlign w:val="center"/>
            <w:hideMark/>
          </w:tcPr>
          <w:p w14:paraId="7491A927"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0.12%</w:t>
            </w:r>
          </w:p>
        </w:tc>
        <w:tc>
          <w:tcPr>
            <w:tcW w:w="901" w:type="dxa"/>
            <w:noWrap/>
            <w:vAlign w:val="center"/>
            <w:hideMark/>
          </w:tcPr>
          <w:p w14:paraId="13133222" w14:textId="77777777" w:rsidR="00DC2AB1" w:rsidRPr="0041215F" w:rsidRDefault="00DC2AB1" w:rsidP="00607DCB">
            <w:pPr>
              <w:spacing w:line="276" w:lineRule="auto"/>
              <w:jc w:val="right"/>
              <w:rPr>
                <w:sz w:val="20"/>
                <w:szCs w:val="20"/>
                <w:lang w:val="sq-AL"/>
              </w:rPr>
            </w:pPr>
            <w:r w:rsidRPr="0041215F">
              <w:rPr>
                <w:b/>
                <w:bCs/>
                <w:color w:val="000000"/>
                <w:sz w:val="20"/>
                <w:szCs w:val="20"/>
                <w:lang w:val="sq-AL"/>
              </w:rPr>
              <w:t>0</w:t>
            </w:r>
          </w:p>
        </w:tc>
      </w:tr>
      <w:tr w:rsidR="00DC2AB1" w:rsidRPr="00607DCB" w14:paraId="51DEAA6B" w14:textId="77777777" w:rsidTr="00A41DE9">
        <w:trPr>
          <w:trHeight w:val="216"/>
          <w:jc w:val="center"/>
        </w:trPr>
        <w:tc>
          <w:tcPr>
            <w:tcW w:w="522" w:type="dxa"/>
            <w:noWrap/>
            <w:vAlign w:val="bottom"/>
            <w:hideMark/>
          </w:tcPr>
          <w:p w14:paraId="0BE0B3BD"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465C11EE" w14:textId="77777777" w:rsidR="00DC2AB1" w:rsidRPr="0041215F" w:rsidRDefault="00DC2AB1" w:rsidP="00607DCB">
            <w:pPr>
              <w:spacing w:line="276" w:lineRule="auto"/>
              <w:rPr>
                <w:sz w:val="20"/>
                <w:szCs w:val="20"/>
                <w:lang w:val="sq-AL"/>
              </w:rPr>
            </w:pPr>
            <w:r w:rsidRPr="0041215F">
              <w:rPr>
                <w:sz w:val="20"/>
                <w:szCs w:val="20"/>
                <w:lang w:val="sq-AL"/>
              </w:rPr>
              <w:t>Financimi i huaj vendor dhe të tjera të mbartura</w:t>
            </w:r>
          </w:p>
        </w:tc>
        <w:tc>
          <w:tcPr>
            <w:tcW w:w="1086" w:type="dxa"/>
            <w:noWrap/>
            <w:vAlign w:val="center"/>
            <w:hideMark/>
          </w:tcPr>
          <w:p w14:paraId="5528C11C"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1,500</w:t>
            </w:r>
          </w:p>
        </w:tc>
        <w:tc>
          <w:tcPr>
            <w:tcW w:w="766" w:type="dxa"/>
            <w:vAlign w:val="center"/>
          </w:tcPr>
          <w:p w14:paraId="17852D5C" w14:textId="77777777" w:rsidR="00DC2AB1" w:rsidRPr="0041215F" w:rsidRDefault="00DC2AB1" w:rsidP="00607DCB">
            <w:pPr>
              <w:spacing w:line="276" w:lineRule="auto"/>
              <w:jc w:val="right"/>
              <w:rPr>
                <w:color w:val="000000"/>
                <w:sz w:val="20"/>
                <w:szCs w:val="20"/>
                <w:lang w:val="sq-AL"/>
              </w:rPr>
            </w:pPr>
            <w:r w:rsidRPr="0041215F">
              <w:rPr>
                <w:color w:val="000000"/>
                <w:sz w:val="20"/>
                <w:szCs w:val="20"/>
                <w:lang w:val="sq-AL"/>
              </w:rPr>
              <w:t>0.05%</w:t>
            </w:r>
          </w:p>
        </w:tc>
        <w:tc>
          <w:tcPr>
            <w:tcW w:w="1066" w:type="dxa"/>
            <w:noWrap/>
            <w:vAlign w:val="center"/>
            <w:hideMark/>
          </w:tcPr>
          <w:p w14:paraId="6B29E242"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1,500</w:t>
            </w:r>
          </w:p>
        </w:tc>
        <w:tc>
          <w:tcPr>
            <w:tcW w:w="766" w:type="dxa"/>
            <w:noWrap/>
            <w:vAlign w:val="center"/>
            <w:hideMark/>
          </w:tcPr>
          <w:p w14:paraId="40D9F4E3" w14:textId="77777777" w:rsidR="00DC2AB1" w:rsidRPr="0041215F" w:rsidRDefault="00DC2AB1" w:rsidP="00607DCB">
            <w:pPr>
              <w:spacing w:line="276" w:lineRule="auto"/>
              <w:jc w:val="right"/>
              <w:rPr>
                <w:sz w:val="20"/>
                <w:szCs w:val="20"/>
                <w:lang w:val="sq-AL"/>
              </w:rPr>
            </w:pPr>
            <w:r w:rsidRPr="0041215F">
              <w:rPr>
                <w:color w:val="000000"/>
                <w:sz w:val="20"/>
                <w:szCs w:val="20"/>
                <w:lang w:val="sq-AL"/>
              </w:rPr>
              <w:t>0.05%</w:t>
            </w:r>
          </w:p>
        </w:tc>
        <w:tc>
          <w:tcPr>
            <w:tcW w:w="901" w:type="dxa"/>
            <w:noWrap/>
            <w:vAlign w:val="center"/>
            <w:hideMark/>
          </w:tcPr>
          <w:p w14:paraId="04948C80" w14:textId="77777777" w:rsidR="00DC2AB1" w:rsidRPr="0041215F" w:rsidRDefault="00DC2AB1" w:rsidP="00607DCB">
            <w:pPr>
              <w:spacing w:line="276" w:lineRule="auto"/>
              <w:jc w:val="right"/>
              <w:rPr>
                <w:sz w:val="20"/>
                <w:szCs w:val="20"/>
                <w:lang w:val="sq-AL"/>
              </w:rPr>
            </w:pPr>
            <w:r w:rsidRPr="0041215F">
              <w:rPr>
                <w:b/>
                <w:bCs/>
                <w:color w:val="000000"/>
                <w:sz w:val="20"/>
                <w:szCs w:val="20"/>
                <w:lang w:val="sq-AL"/>
              </w:rPr>
              <w:t>0</w:t>
            </w:r>
          </w:p>
        </w:tc>
      </w:tr>
      <w:tr w:rsidR="00DC2AB1" w:rsidRPr="00607DCB" w14:paraId="44E54F4F" w14:textId="77777777" w:rsidTr="00A41DE9">
        <w:trPr>
          <w:trHeight w:val="216"/>
          <w:jc w:val="center"/>
        </w:trPr>
        <w:tc>
          <w:tcPr>
            <w:tcW w:w="522" w:type="dxa"/>
            <w:noWrap/>
            <w:vAlign w:val="bottom"/>
            <w:hideMark/>
          </w:tcPr>
          <w:p w14:paraId="663CB33F" w14:textId="77777777" w:rsidR="00DC2AB1" w:rsidRPr="0041215F" w:rsidRDefault="00DC2AB1" w:rsidP="00607DCB">
            <w:pPr>
              <w:spacing w:line="276" w:lineRule="auto"/>
              <w:rPr>
                <w:sz w:val="20"/>
                <w:szCs w:val="20"/>
                <w:lang w:val="sq-AL"/>
              </w:rPr>
            </w:pPr>
            <w:r w:rsidRPr="0041215F">
              <w:rPr>
                <w:sz w:val="20"/>
                <w:szCs w:val="20"/>
                <w:lang w:val="sq-AL"/>
              </w:rPr>
              <w:t> </w:t>
            </w:r>
          </w:p>
        </w:tc>
        <w:tc>
          <w:tcPr>
            <w:tcW w:w="4299" w:type="dxa"/>
            <w:noWrap/>
            <w:vAlign w:val="bottom"/>
            <w:hideMark/>
          </w:tcPr>
          <w:p w14:paraId="41B552B3" w14:textId="77777777" w:rsidR="00DC2AB1" w:rsidRPr="0041215F" w:rsidRDefault="00DC2AB1" w:rsidP="00607DCB">
            <w:pPr>
              <w:spacing w:line="276" w:lineRule="auto"/>
              <w:rPr>
                <w:sz w:val="20"/>
                <w:szCs w:val="20"/>
                <w:lang w:val="sq-AL"/>
              </w:rPr>
            </w:pPr>
            <w:r w:rsidRPr="0041215F">
              <w:rPr>
                <w:sz w:val="20"/>
                <w:szCs w:val="20"/>
                <w:lang w:val="sq-AL"/>
              </w:rPr>
              <w:t>Shpenzime nga të ardhurat jashtë limitit</w:t>
            </w:r>
          </w:p>
        </w:tc>
        <w:tc>
          <w:tcPr>
            <w:tcW w:w="1086" w:type="dxa"/>
            <w:noWrap/>
            <w:vAlign w:val="center"/>
            <w:hideMark/>
          </w:tcPr>
          <w:p w14:paraId="64327C8F" w14:textId="77777777" w:rsidR="00DC2AB1" w:rsidRPr="0041215F" w:rsidRDefault="00DC2AB1" w:rsidP="00607DCB">
            <w:pPr>
              <w:spacing w:line="276" w:lineRule="auto"/>
              <w:rPr>
                <w:sz w:val="20"/>
                <w:szCs w:val="20"/>
                <w:lang w:val="sq-AL"/>
              </w:rPr>
            </w:pPr>
            <w:r w:rsidRPr="0041215F">
              <w:rPr>
                <w:color w:val="000000"/>
                <w:sz w:val="20"/>
                <w:szCs w:val="20"/>
                <w:lang w:val="sq-AL"/>
              </w:rPr>
              <w:t> </w:t>
            </w:r>
          </w:p>
        </w:tc>
        <w:tc>
          <w:tcPr>
            <w:tcW w:w="766" w:type="dxa"/>
            <w:vAlign w:val="center"/>
          </w:tcPr>
          <w:p w14:paraId="7FE16A7D" w14:textId="77777777" w:rsidR="00DC2AB1" w:rsidRPr="0041215F" w:rsidRDefault="00DC2AB1" w:rsidP="00607DCB">
            <w:pPr>
              <w:spacing w:line="276" w:lineRule="auto"/>
              <w:jc w:val="right"/>
              <w:rPr>
                <w:color w:val="000000"/>
                <w:sz w:val="20"/>
                <w:szCs w:val="20"/>
                <w:lang w:val="sq-AL"/>
              </w:rPr>
            </w:pPr>
          </w:p>
        </w:tc>
        <w:tc>
          <w:tcPr>
            <w:tcW w:w="1066" w:type="dxa"/>
            <w:noWrap/>
            <w:vAlign w:val="center"/>
            <w:hideMark/>
          </w:tcPr>
          <w:p w14:paraId="05BF36DF" w14:textId="77777777" w:rsidR="00DC2AB1" w:rsidRPr="0041215F" w:rsidRDefault="00DC2AB1" w:rsidP="00607DCB">
            <w:pPr>
              <w:spacing w:line="276" w:lineRule="auto"/>
              <w:rPr>
                <w:sz w:val="20"/>
                <w:szCs w:val="20"/>
                <w:lang w:val="sq-AL"/>
              </w:rPr>
            </w:pPr>
            <w:r w:rsidRPr="0041215F">
              <w:rPr>
                <w:color w:val="000000"/>
                <w:sz w:val="20"/>
                <w:szCs w:val="20"/>
                <w:lang w:val="sq-AL"/>
              </w:rPr>
              <w:t> </w:t>
            </w:r>
          </w:p>
        </w:tc>
        <w:tc>
          <w:tcPr>
            <w:tcW w:w="766" w:type="dxa"/>
            <w:noWrap/>
            <w:vAlign w:val="center"/>
            <w:hideMark/>
          </w:tcPr>
          <w:p w14:paraId="13A8CD6D" w14:textId="77777777" w:rsidR="00DC2AB1" w:rsidRPr="0041215F" w:rsidRDefault="00DC2AB1" w:rsidP="00607DCB">
            <w:pPr>
              <w:spacing w:line="276" w:lineRule="auto"/>
              <w:rPr>
                <w:sz w:val="20"/>
                <w:szCs w:val="20"/>
                <w:lang w:val="sq-AL"/>
              </w:rPr>
            </w:pPr>
            <w:r w:rsidRPr="0041215F">
              <w:rPr>
                <w:color w:val="000000"/>
                <w:sz w:val="20"/>
                <w:szCs w:val="20"/>
                <w:lang w:val="sq-AL"/>
              </w:rPr>
              <w:t> </w:t>
            </w:r>
          </w:p>
        </w:tc>
        <w:tc>
          <w:tcPr>
            <w:tcW w:w="901" w:type="dxa"/>
            <w:noWrap/>
            <w:vAlign w:val="center"/>
            <w:hideMark/>
          </w:tcPr>
          <w:p w14:paraId="4DDD7BDB" w14:textId="77777777" w:rsidR="00DC2AB1" w:rsidRPr="0041215F" w:rsidRDefault="00DC2AB1" w:rsidP="00607DCB">
            <w:pPr>
              <w:spacing w:line="276" w:lineRule="auto"/>
              <w:jc w:val="right"/>
              <w:rPr>
                <w:sz w:val="20"/>
                <w:szCs w:val="20"/>
                <w:lang w:val="sq-AL"/>
              </w:rPr>
            </w:pPr>
            <w:r w:rsidRPr="0041215F">
              <w:rPr>
                <w:b/>
                <w:bCs/>
                <w:color w:val="000000"/>
                <w:sz w:val="20"/>
                <w:szCs w:val="20"/>
                <w:lang w:val="sq-AL"/>
              </w:rPr>
              <w:t>0</w:t>
            </w:r>
          </w:p>
        </w:tc>
      </w:tr>
      <w:tr w:rsidR="00DC2AB1" w:rsidRPr="00607DCB" w14:paraId="784FD47E" w14:textId="77777777" w:rsidTr="00A41DE9">
        <w:trPr>
          <w:trHeight w:val="216"/>
          <w:jc w:val="center"/>
        </w:trPr>
        <w:tc>
          <w:tcPr>
            <w:tcW w:w="522" w:type="dxa"/>
            <w:noWrap/>
            <w:vAlign w:val="bottom"/>
            <w:hideMark/>
          </w:tcPr>
          <w:p w14:paraId="2C205FDE" w14:textId="77777777" w:rsidR="00DC2AB1" w:rsidRPr="0041215F" w:rsidRDefault="00DC2AB1" w:rsidP="00607DCB">
            <w:pPr>
              <w:spacing w:line="276" w:lineRule="auto"/>
              <w:jc w:val="center"/>
              <w:rPr>
                <w:i/>
                <w:iCs/>
                <w:sz w:val="20"/>
                <w:szCs w:val="20"/>
                <w:lang w:val="sq-AL"/>
              </w:rPr>
            </w:pPr>
            <w:r w:rsidRPr="0041215F">
              <w:rPr>
                <w:i/>
                <w:iCs/>
                <w:sz w:val="20"/>
                <w:szCs w:val="20"/>
                <w:lang w:val="sq-AL"/>
              </w:rPr>
              <w:t> </w:t>
            </w:r>
          </w:p>
        </w:tc>
        <w:tc>
          <w:tcPr>
            <w:tcW w:w="4299" w:type="dxa"/>
            <w:noWrap/>
            <w:vAlign w:val="bottom"/>
            <w:hideMark/>
          </w:tcPr>
          <w:p w14:paraId="710A9D24" w14:textId="77777777" w:rsidR="00DC2AB1" w:rsidRPr="0041215F" w:rsidRDefault="00DC2AB1" w:rsidP="00607DCB">
            <w:pPr>
              <w:spacing w:line="276" w:lineRule="auto"/>
              <w:jc w:val="center"/>
              <w:rPr>
                <w:b/>
                <w:bCs/>
                <w:i/>
                <w:iCs/>
                <w:sz w:val="20"/>
                <w:szCs w:val="20"/>
                <w:lang w:val="sq-AL"/>
              </w:rPr>
            </w:pPr>
            <w:r w:rsidRPr="0041215F">
              <w:rPr>
                <w:b/>
                <w:bCs/>
                <w:i/>
                <w:iCs/>
                <w:sz w:val="20"/>
                <w:szCs w:val="20"/>
                <w:lang w:val="sq-AL"/>
              </w:rPr>
              <w:t xml:space="preserve">Produkti i Brendshem Bruto (PBB) </w:t>
            </w:r>
          </w:p>
        </w:tc>
        <w:tc>
          <w:tcPr>
            <w:tcW w:w="1086" w:type="dxa"/>
            <w:noWrap/>
            <w:vAlign w:val="center"/>
            <w:hideMark/>
          </w:tcPr>
          <w:p w14:paraId="3F3B5195" w14:textId="77777777" w:rsidR="00DC2AB1" w:rsidRPr="0041215F" w:rsidRDefault="00DC2AB1" w:rsidP="00607DCB">
            <w:pPr>
              <w:spacing w:line="276" w:lineRule="auto"/>
              <w:jc w:val="right"/>
              <w:rPr>
                <w:b/>
                <w:bCs/>
                <w:i/>
                <w:iCs/>
                <w:sz w:val="20"/>
                <w:szCs w:val="20"/>
                <w:lang w:val="sq-AL"/>
              </w:rPr>
            </w:pPr>
            <w:r w:rsidRPr="0041215F">
              <w:rPr>
                <w:b/>
                <w:bCs/>
                <w:i/>
                <w:iCs/>
                <w:color w:val="000000"/>
                <w:sz w:val="20"/>
                <w:szCs w:val="20"/>
                <w:lang w:val="sq-AL"/>
              </w:rPr>
              <w:t>2,756,663</w:t>
            </w:r>
          </w:p>
        </w:tc>
        <w:tc>
          <w:tcPr>
            <w:tcW w:w="766" w:type="dxa"/>
            <w:vAlign w:val="center"/>
          </w:tcPr>
          <w:p w14:paraId="61B5A35C" w14:textId="77777777" w:rsidR="00DC2AB1" w:rsidRPr="0041215F" w:rsidRDefault="00DC2AB1" w:rsidP="00607DCB">
            <w:pPr>
              <w:spacing w:line="276" w:lineRule="auto"/>
              <w:jc w:val="right"/>
              <w:rPr>
                <w:b/>
                <w:bCs/>
                <w:i/>
                <w:iCs/>
                <w:color w:val="000000"/>
                <w:sz w:val="20"/>
                <w:szCs w:val="20"/>
                <w:lang w:val="sq-AL"/>
              </w:rPr>
            </w:pPr>
            <w:r w:rsidRPr="0041215F">
              <w:rPr>
                <w:b/>
                <w:bCs/>
                <w:i/>
                <w:iCs/>
                <w:color w:val="000000"/>
                <w:sz w:val="20"/>
                <w:szCs w:val="20"/>
                <w:lang w:val="sq-AL"/>
              </w:rPr>
              <w:t>100% </w:t>
            </w:r>
          </w:p>
        </w:tc>
        <w:tc>
          <w:tcPr>
            <w:tcW w:w="1066" w:type="dxa"/>
            <w:noWrap/>
            <w:vAlign w:val="center"/>
            <w:hideMark/>
          </w:tcPr>
          <w:p w14:paraId="1048DF49" w14:textId="77777777" w:rsidR="00DC2AB1" w:rsidRPr="0041215F" w:rsidRDefault="00DC2AB1" w:rsidP="00607DCB">
            <w:pPr>
              <w:spacing w:line="276" w:lineRule="auto"/>
              <w:jc w:val="right"/>
              <w:rPr>
                <w:b/>
                <w:bCs/>
                <w:i/>
                <w:iCs/>
                <w:sz w:val="20"/>
                <w:szCs w:val="20"/>
                <w:lang w:val="sq-AL"/>
              </w:rPr>
            </w:pPr>
            <w:r w:rsidRPr="0041215F">
              <w:rPr>
                <w:b/>
                <w:bCs/>
                <w:i/>
                <w:iCs/>
                <w:color w:val="000000"/>
                <w:sz w:val="20"/>
                <w:szCs w:val="20"/>
                <w:lang w:val="sq-AL"/>
              </w:rPr>
              <w:t>2,781,433</w:t>
            </w:r>
          </w:p>
        </w:tc>
        <w:tc>
          <w:tcPr>
            <w:tcW w:w="766" w:type="dxa"/>
            <w:noWrap/>
            <w:vAlign w:val="center"/>
            <w:hideMark/>
          </w:tcPr>
          <w:p w14:paraId="56AAA559" w14:textId="77777777" w:rsidR="00DC2AB1" w:rsidRPr="0041215F" w:rsidRDefault="00DC2AB1" w:rsidP="00607DCB">
            <w:pPr>
              <w:spacing w:line="276" w:lineRule="auto"/>
              <w:jc w:val="right"/>
              <w:rPr>
                <w:b/>
                <w:bCs/>
                <w:i/>
                <w:iCs/>
                <w:sz w:val="20"/>
                <w:szCs w:val="20"/>
                <w:lang w:val="sq-AL"/>
              </w:rPr>
            </w:pPr>
            <w:r w:rsidRPr="0041215F">
              <w:rPr>
                <w:b/>
                <w:bCs/>
                <w:i/>
                <w:iCs/>
                <w:color w:val="000000"/>
                <w:sz w:val="20"/>
                <w:szCs w:val="20"/>
                <w:lang w:val="sq-AL"/>
              </w:rPr>
              <w:t>100%</w:t>
            </w:r>
          </w:p>
        </w:tc>
        <w:tc>
          <w:tcPr>
            <w:tcW w:w="901" w:type="dxa"/>
            <w:noWrap/>
            <w:vAlign w:val="center"/>
            <w:hideMark/>
          </w:tcPr>
          <w:p w14:paraId="6B961927" w14:textId="77777777" w:rsidR="00DC2AB1" w:rsidRPr="0041215F" w:rsidRDefault="00DC2AB1" w:rsidP="00607DCB">
            <w:pPr>
              <w:spacing w:line="276" w:lineRule="auto"/>
              <w:jc w:val="right"/>
              <w:rPr>
                <w:b/>
                <w:bCs/>
                <w:i/>
                <w:iCs/>
                <w:sz w:val="20"/>
                <w:szCs w:val="20"/>
                <w:lang w:val="sq-AL"/>
              </w:rPr>
            </w:pPr>
            <w:r w:rsidRPr="0041215F">
              <w:rPr>
                <w:b/>
                <w:bCs/>
                <w:i/>
                <w:iCs/>
                <w:color w:val="000000"/>
                <w:sz w:val="20"/>
                <w:szCs w:val="20"/>
                <w:lang w:val="sq-AL"/>
              </w:rPr>
              <w:t>24,770</w:t>
            </w:r>
          </w:p>
        </w:tc>
      </w:tr>
    </w:tbl>
    <w:p w14:paraId="4D4C3E25" w14:textId="77777777" w:rsidR="00A41DE9" w:rsidRPr="00A41DE9" w:rsidRDefault="00A41DE9" w:rsidP="00A41DE9">
      <w:pPr>
        <w:spacing w:after="120" w:line="276" w:lineRule="auto"/>
        <w:jc w:val="both"/>
        <w:rPr>
          <w:rFonts w:eastAsia="Arial Narrow"/>
          <w:i/>
          <w:iCs/>
          <w:color w:val="000000"/>
          <w:sz w:val="20"/>
          <w:szCs w:val="20"/>
          <w:lang w:val="sq-AL"/>
        </w:rPr>
      </w:pPr>
      <w:r w:rsidRPr="00A41DE9">
        <w:rPr>
          <w:rFonts w:eastAsia="Arial Narrow"/>
          <w:i/>
          <w:iCs/>
          <w:sz w:val="20"/>
          <w:szCs w:val="20"/>
          <w:lang w:val="sq-AL"/>
        </w:rPr>
        <w:t>Burimi: Ministria e Financave (2026)</w:t>
      </w:r>
    </w:p>
    <w:p w14:paraId="40DEB303" w14:textId="77777777" w:rsidR="002640B7" w:rsidRPr="00607DCB" w:rsidRDefault="002640B7" w:rsidP="00607DCB">
      <w:pPr>
        <w:spacing w:line="276" w:lineRule="auto"/>
        <w:rPr>
          <w:rStyle w:val="jlqj4b"/>
          <w:sz w:val="24"/>
          <w:szCs w:val="24"/>
          <w:lang w:val="sq-AL"/>
        </w:rPr>
      </w:pPr>
    </w:p>
    <w:p w14:paraId="47FFB5D3" w14:textId="77777777" w:rsidR="009E26DE" w:rsidRPr="00607DCB" w:rsidRDefault="009E26DE" w:rsidP="00607DCB">
      <w:pPr>
        <w:tabs>
          <w:tab w:val="left" w:pos="426"/>
        </w:tabs>
        <w:spacing w:line="276" w:lineRule="auto"/>
        <w:jc w:val="both"/>
        <w:rPr>
          <w:iCs/>
          <w:noProof/>
          <w:sz w:val="24"/>
          <w:szCs w:val="24"/>
          <w:lang w:val="sq-AL"/>
        </w:rPr>
      </w:pPr>
      <w:r w:rsidRPr="00607DCB">
        <w:rPr>
          <w:iCs/>
          <w:noProof/>
          <w:sz w:val="24"/>
          <w:szCs w:val="24"/>
          <w:lang w:val="sq-AL"/>
        </w:rPr>
        <w:t xml:space="preserve">Ecuria e realizimit të të ardhurave nga Pushteti Vendor gjatë vitit 2025 eci në përputhje me parashikimet sipas ligjit të buxhetit të vitit 2025 dhe kuadrit makroekonomik e fiskal të rishikuar. Mbështetur në këtë ecuri edhe në buxhetin 2026 të ardhurat nga pushteti vendor u planifikuan në të njëjtën vlerë duke mos krijuar devijim mes planeve për këtë zë. </w:t>
      </w:r>
    </w:p>
    <w:p w14:paraId="37EF4CD3" w14:textId="77777777" w:rsidR="009E26DE" w:rsidRPr="00607DCB" w:rsidRDefault="009E26DE" w:rsidP="00607DCB">
      <w:pPr>
        <w:tabs>
          <w:tab w:val="left" w:pos="426"/>
        </w:tabs>
        <w:spacing w:line="276" w:lineRule="auto"/>
        <w:jc w:val="both"/>
        <w:rPr>
          <w:iCs/>
          <w:noProof/>
          <w:sz w:val="24"/>
          <w:szCs w:val="24"/>
          <w:lang w:val="sq-AL"/>
        </w:rPr>
      </w:pPr>
    </w:p>
    <w:p w14:paraId="72630714" w14:textId="77777777" w:rsidR="009E26DE" w:rsidRPr="00607DCB" w:rsidRDefault="009E26DE" w:rsidP="00607DCB">
      <w:pPr>
        <w:spacing w:line="276" w:lineRule="auto"/>
        <w:jc w:val="both"/>
        <w:rPr>
          <w:color w:val="000000"/>
          <w:sz w:val="24"/>
          <w:szCs w:val="24"/>
          <w:lang w:val="sq-AL"/>
        </w:rPr>
      </w:pPr>
      <w:r w:rsidRPr="00607DCB">
        <w:rPr>
          <w:color w:val="000000"/>
          <w:sz w:val="24"/>
          <w:szCs w:val="24"/>
          <w:lang w:val="sq-AL"/>
        </w:rPr>
        <w:t xml:space="preserve">Shpenzimet për buxhetin vendor për vitin 2026 rezultojnë me një devijacion të moderuar prej rreth 3.2 miliard lekë mes ligjit nr.87/2025 “Për buxhetin e vitit 2026” dhe kuadrit makro 2026-2028 miratuar me </w:t>
      </w:r>
      <w:r w:rsidRPr="00607DCB">
        <w:rPr>
          <w:iCs/>
          <w:noProof/>
          <w:sz w:val="24"/>
          <w:szCs w:val="24"/>
          <w:lang w:val="sq-AL"/>
        </w:rPr>
        <w:t xml:space="preserve">VKM nr. 83, datë 5.2.2025, </w:t>
      </w:r>
      <w:r w:rsidRPr="00607DCB">
        <w:rPr>
          <w:color w:val="000000"/>
          <w:sz w:val="24"/>
          <w:szCs w:val="24"/>
          <w:lang w:val="sq-AL"/>
        </w:rPr>
        <w:t>devijime që konkretisht vijnë nga:</w:t>
      </w:r>
    </w:p>
    <w:p w14:paraId="5C136E98" w14:textId="77777777" w:rsidR="009E26DE" w:rsidRPr="00607DCB" w:rsidRDefault="009E26DE" w:rsidP="00607DCB">
      <w:pPr>
        <w:spacing w:line="276" w:lineRule="auto"/>
        <w:jc w:val="both"/>
        <w:rPr>
          <w:color w:val="000000"/>
          <w:sz w:val="24"/>
          <w:szCs w:val="24"/>
          <w:lang w:val="sq-AL"/>
        </w:rPr>
      </w:pPr>
    </w:p>
    <w:p w14:paraId="70869F72" w14:textId="77777777" w:rsidR="009E26DE" w:rsidRPr="00607DCB" w:rsidRDefault="009E26DE" w:rsidP="00607DCB">
      <w:pPr>
        <w:pStyle w:val="ListParagraph"/>
        <w:widowControl/>
        <w:numPr>
          <w:ilvl w:val="0"/>
          <w:numId w:val="93"/>
        </w:numPr>
        <w:autoSpaceDE/>
        <w:autoSpaceDN/>
        <w:spacing w:after="160" w:line="276" w:lineRule="auto"/>
        <w:contextualSpacing/>
        <w:rPr>
          <w:color w:val="000000"/>
          <w:sz w:val="24"/>
          <w:szCs w:val="24"/>
          <w:lang w:val="sq-AL"/>
        </w:rPr>
      </w:pPr>
      <w:r w:rsidRPr="00607DCB">
        <w:rPr>
          <w:color w:val="000000"/>
          <w:sz w:val="24"/>
          <w:szCs w:val="24"/>
          <w:lang w:val="sq-AL"/>
        </w:rPr>
        <w:t>Transferta e pakushtëzuar e përgjithshme u rishikua me rreth 247 milion lekë rritje për shkak të ndryshimit të Produktit të Brendshëm Bruto, pasi në bazë të ligjit nr.68/2017 “Për financat e Vetëqeverisjes Vendore” të ndryshuar, transferta e pakushtëzuar duhet të jetë jo më pak se 1 për qind e produktit të brendshëm bruto, dhe PPB në buxhetin e vitit 2026 është rishikuar me rreth 24.7 miliard lekë rritje.</w:t>
      </w:r>
    </w:p>
    <w:p w14:paraId="779FDDA2" w14:textId="77777777" w:rsidR="009E26DE" w:rsidRPr="00607DCB" w:rsidRDefault="009E26DE" w:rsidP="00607DCB">
      <w:pPr>
        <w:pStyle w:val="ListParagraph"/>
        <w:widowControl/>
        <w:numPr>
          <w:ilvl w:val="0"/>
          <w:numId w:val="93"/>
        </w:numPr>
        <w:autoSpaceDE/>
        <w:autoSpaceDN/>
        <w:spacing w:after="160" w:line="276" w:lineRule="auto"/>
        <w:contextualSpacing/>
        <w:rPr>
          <w:color w:val="000000"/>
          <w:sz w:val="24"/>
          <w:szCs w:val="24"/>
          <w:lang w:val="sq-AL"/>
        </w:rPr>
      </w:pPr>
      <w:r w:rsidRPr="00607DCB">
        <w:rPr>
          <w:color w:val="000000"/>
          <w:sz w:val="24"/>
          <w:szCs w:val="24"/>
          <w:lang w:val="sq-AL"/>
        </w:rPr>
        <w:t>Transferta e pakushtëzuar sektoriale (Granti Specifik) është rishikuar me 2 421 milion lekë rritje në nivelin e pagave për funksionet e transferuara për shkak të ndryshimit të VKM-ve përkatëse sipas sektorëve dhe në kuadër të politikës kombëtare për rrijen e nivelit të pagave/rritjen e pagës minimale.</w:t>
      </w:r>
    </w:p>
    <w:p w14:paraId="4B068E8E" w14:textId="77777777" w:rsidR="009E26DE" w:rsidRPr="00607DCB" w:rsidRDefault="009E26DE" w:rsidP="00607DCB">
      <w:pPr>
        <w:pStyle w:val="ListParagraph"/>
        <w:widowControl/>
        <w:numPr>
          <w:ilvl w:val="0"/>
          <w:numId w:val="93"/>
        </w:numPr>
        <w:autoSpaceDE/>
        <w:autoSpaceDN/>
        <w:spacing w:after="160" w:line="276" w:lineRule="auto"/>
        <w:contextualSpacing/>
        <w:rPr>
          <w:i/>
          <w:iCs/>
          <w:color w:val="000000"/>
          <w:sz w:val="24"/>
          <w:szCs w:val="24"/>
          <w:lang w:val="sq-AL"/>
        </w:rPr>
      </w:pPr>
      <w:r w:rsidRPr="00607DCB">
        <w:rPr>
          <w:color w:val="000000"/>
          <w:sz w:val="24"/>
          <w:szCs w:val="24"/>
          <w:lang w:val="sq-AL"/>
        </w:rPr>
        <w:t xml:space="preserve">Transferta e pakushtëzuar sektoriale (Granti i Performancës) prej 200 milion lekë, është një mekanizëm financiar që mbështeti qeverisjen vendore në vitin 2025 dhe do të vazhdojë edhe në 2026, sipas marrëveshjes me partnerët e huaj. Ky grant nuk ishte pjesë e parashikimeve makroekonomike pasi është vetëm për dy vite dhe është pjesë e shpenzimeve për buxhetin vendor si detyrim që rrjedh nga Ligji nr. 114/2024, </w:t>
      </w:r>
      <w:r w:rsidRPr="00607DCB">
        <w:rPr>
          <w:i/>
          <w:iCs/>
          <w:color w:val="000000"/>
          <w:sz w:val="24"/>
          <w:szCs w:val="24"/>
          <w:lang w:val="sq-AL"/>
        </w:rPr>
        <w:t>“Për ratifikimin e marrëveshjes ndërmjet Këshillit të Ministrave të Republikës së Shqipërisë, përfaqësuar nga Ministri i Shtetit për Pushtetin Vendor, dhe Qeverisë së Konfederatës Zvicerane, përfaqësuar nga Agjencia Zvicerane për Zhvillim dhe Bashkëpunim, që vepron përmes Ambasadës së Zvicrës në Shqipëri, për projektin “Bashki të Forta (BtF), faza 2”.</w:t>
      </w:r>
    </w:p>
    <w:p w14:paraId="5597BD6B" w14:textId="77777777" w:rsidR="009E26DE" w:rsidRPr="00607DCB" w:rsidRDefault="009E26DE" w:rsidP="00607DCB">
      <w:pPr>
        <w:pStyle w:val="ListParagraph"/>
        <w:widowControl/>
        <w:numPr>
          <w:ilvl w:val="0"/>
          <w:numId w:val="93"/>
        </w:numPr>
        <w:autoSpaceDE/>
        <w:autoSpaceDN/>
        <w:spacing w:after="160" w:line="276" w:lineRule="auto"/>
        <w:contextualSpacing/>
        <w:rPr>
          <w:color w:val="000000"/>
          <w:sz w:val="24"/>
          <w:szCs w:val="24"/>
          <w:lang w:val="sq-AL"/>
        </w:rPr>
      </w:pPr>
      <w:r w:rsidRPr="00607DCB">
        <w:rPr>
          <w:color w:val="000000"/>
          <w:sz w:val="24"/>
          <w:szCs w:val="24"/>
          <w:lang w:val="sq-AL"/>
        </w:rPr>
        <w:t>Taksat e ndara ku përfshihen të ardhurat nga renta minerare dhe të ardhurat nga tatimi mbi te ardhurat personale (TAP) janë rishikuar me 320 milion lekë rritje për shkak ecurisë së  realizimit të këtij zëri në vitin 2025 si dhe të rritjes së planifikimit të TAP në nivel kombëtar.</w:t>
      </w:r>
    </w:p>
    <w:p w14:paraId="394A97ED" w14:textId="77777777" w:rsidR="009E26DE" w:rsidRPr="00607DCB" w:rsidRDefault="009E26DE" w:rsidP="00607DCB">
      <w:pPr>
        <w:spacing w:line="276" w:lineRule="auto"/>
        <w:jc w:val="both"/>
        <w:rPr>
          <w:b/>
          <w:bCs/>
          <w:color w:val="000000"/>
          <w:sz w:val="24"/>
          <w:szCs w:val="24"/>
          <w:lang w:val="sq-AL"/>
        </w:rPr>
      </w:pPr>
      <w:r w:rsidRPr="00607DCB">
        <w:rPr>
          <w:color w:val="000000"/>
          <w:sz w:val="24"/>
          <w:szCs w:val="24"/>
          <w:lang w:val="sq-AL"/>
        </w:rPr>
        <w:t>Në përgjithësi buxheti vendor për vitin 2026 nuk ka devijime të thella nga kuadri makro 2026-2028 duke mbajtur një peshë prej 1.6% të PBB sa i përket të ardhurave të pushtetit vendor, kurse shpenzimet e buxhetit vendor për vitin 2026</w:t>
      </w:r>
      <w:r w:rsidRPr="00607DCB">
        <w:rPr>
          <w:i/>
          <w:iCs/>
          <w:color w:val="000000"/>
          <w:sz w:val="24"/>
          <w:szCs w:val="24"/>
          <w:lang w:val="sq-AL"/>
        </w:rPr>
        <w:t>,</w:t>
      </w:r>
      <w:r w:rsidRPr="00607DCB">
        <w:rPr>
          <w:color w:val="000000"/>
          <w:sz w:val="24"/>
          <w:szCs w:val="24"/>
          <w:lang w:val="sq-AL"/>
        </w:rPr>
        <w:t xml:space="preserve"> janë planifikuar 97.7 miliardë lekë, duke zënë 3.51% të PBB-së nga 3.43% që zinin në parashikimin fillestar të kuadrit makro në fillim të vitit 2025</w:t>
      </w:r>
      <w:r w:rsidRPr="00607DCB">
        <w:rPr>
          <w:bCs/>
          <w:color w:val="000000"/>
          <w:sz w:val="24"/>
          <w:szCs w:val="24"/>
          <w:lang w:val="sq-AL"/>
        </w:rPr>
        <w:t>.</w:t>
      </w:r>
    </w:p>
    <w:p w14:paraId="7DB321B5" w14:textId="77777777" w:rsidR="009E26DE" w:rsidRPr="00607DCB" w:rsidRDefault="009E26DE" w:rsidP="00607DCB">
      <w:pPr>
        <w:spacing w:line="276" w:lineRule="auto"/>
        <w:rPr>
          <w:sz w:val="24"/>
          <w:szCs w:val="24"/>
          <w:lang w:val="sq-AL"/>
        </w:rPr>
      </w:pPr>
    </w:p>
    <w:p w14:paraId="6E6309CF" w14:textId="14E883A7" w:rsidR="009E26DE" w:rsidRPr="00607DCB" w:rsidRDefault="009E26DE" w:rsidP="00607DCB">
      <w:pPr>
        <w:pStyle w:val="Heading1"/>
        <w:numPr>
          <w:ilvl w:val="1"/>
          <w:numId w:val="67"/>
        </w:numPr>
        <w:spacing w:line="276" w:lineRule="auto"/>
        <w:jc w:val="both"/>
        <w:rPr>
          <w:sz w:val="24"/>
          <w:szCs w:val="24"/>
          <w:lang w:val="sq-AL"/>
        </w:rPr>
      </w:pPr>
      <w:bookmarkStart w:id="37" w:name="_Toc228275820"/>
      <w:r w:rsidRPr="00607DCB">
        <w:rPr>
          <w:sz w:val="24"/>
          <w:szCs w:val="24"/>
          <w:lang w:val="sq-AL"/>
        </w:rPr>
        <w:t>Devijancat e</w:t>
      </w:r>
      <w:r w:rsidR="00E706B6">
        <w:rPr>
          <w:sz w:val="24"/>
          <w:szCs w:val="24"/>
          <w:lang w:val="sq-AL"/>
        </w:rPr>
        <w:t xml:space="preserve"> parashikimeve</w:t>
      </w:r>
      <w:r w:rsidRPr="00607DCB">
        <w:rPr>
          <w:sz w:val="24"/>
          <w:szCs w:val="24"/>
          <w:lang w:val="sq-AL"/>
        </w:rPr>
        <w:t xml:space="preserve"> t</w:t>
      </w:r>
      <w:r w:rsidR="00A721D5" w:rsidRPr="00607DCB">
        <w:rPr>
          <w:sz w:val="24"/>
          <w:szCs w:val="24"/>
          <w:lang w:val="sq-AL"/>
        </w:rPr>
        <w:t>ë</w:t>
      </w:r>
      <w:r w:rsidRPr="00607DCB">
        <w:rPr>
          <w:sz w:val="24"/>
          <w:szCs w:val="24"/>
          <w:lang w:val="sq-AL"/>
        </w:rPr>
        <w:t xml:space="preserve"> shpenzimeve kapitale p</w:t>
      </w:r>
      <w:r w:rsidR="00A721D5" w:rsidRPr="00607DCB">
        <w:rPr>
          <w:sz w:val="24"/>
          <w:szCs w:val="24"/>
          <w:lang w:val="sq-AL"/>
        </w:rPr>
        <w:t>ë</w:t>
      </w:r>
      <w:r w:rsidRPr="00607DCB">
        <w:rPr>
          <w:sz w:val="24"/>
          <w:szCs w:val="24"/>
          <w:lang w:val="sq-AL"/>
        </w:rPr>
        <w:t>r buxhetin e vitit 2026</w:t>
      </w:r>
      <w:bookmarkEnd w:id="37"/>
    </w:p>
    <w:p w14:paraId="53144A6D" w14:textId="77777777" w:rsidR="009E26DE" w:rsidRPr="00607DCB" w:rsidRDefault="009E26DE" w:rsidP="00607DCB">
      <w:pPr>
        <w:spacing w:line="276" w:lineRule="auto"/>
        <w:rPr>
          <w:iCs/>
          <w:noProof/>
          <w:sz w:val="24"/>
          <w:szCs w:val="24"/>
          <w:lang w:val="sq-AL"/>
        </w:rPr>
      </w:pPr>
    </w:p>
    <w:p w14:paraId="408736EC" w14:textId="3466493C" w:rsidR="009E26DE" w:rsidRPr="00607DCB" w:rsidRDefault="009E26DE" w:rsidP="00607DCB">
      <w:pPr>
        <w:spacing w:line="276" w:lineRule="auto"/>
        <w:jc w:val="both"/>
        <w:rPr>
          <w:iCs/>
          <w:noProof/>
          <w:sz w:val="24"/>
          <w:szCs w:val="24"/>
          <w:lang w:val="sq-AL"/>
        </w:rPr>
      </w:pPr>
      <w:r w:rsidRPr="00607DCB">
        <w:rPr>
          <w:iCs/>
          <w:noProof/>
          <w:sz w:val="24"/>
          <w:szCs w:val="24"/>
          <w:lang w:val="sq-AL"/>
        </w:rPr>
        <w:t>VKM nr. 83, datë 5.2.2025 “</w:t>
      </w:r>
      <w:r w:rsidRPr="00607DCB">
        <w:rPr>
          <w:i/>
          <w:noProof/>
          <w:sz w:val="24"/>
          <w:szCs w:val="24"/>
          <w:lang w:val="sq-AL"/>
        </w:rPr>
        <w:t>Për miratimin e kuadrit makroekonomik e fiskal për periudhën 2026–2028</w:t>
      </w:r>
      <w:r w:rsidRPr="00607DCB">
        <w:rPr>
          <w:iCs/>
          <w:noProof/>
          <w:sz w:val="24"/>
          <w:szCs w:val="24"/>
          <w:lang w:val="sq-AL"/>
        </w:rPr>
        <w:t>” përcaktoi “</w:t>
      </w:r>
      <w:r w:rsidRPr="00607DCB">
        <w:rPr>
          <w:i/>
          <w:noProof/>
          <w:sz w:val="24"/>
          <w:szCs w:val="24"/>
          <w:lang w:val="sq-AL"/>
        </w:rPr>
        <w:t>Treguesit kryesorë makroekonomikë</w:t>
      </w:r>
      <w:r w:rsidRPr="00607DCB">
        <w:rPr>
          <w:iCs/>
          <w:noProof/>
          <w:sz w:val="24"/>
          <w:szCs w:val="24"/>
          <w:lang w:val="sq-AL"/>
        </w:rPr>
        <w:t>” dhe “</w:t>
      </w:r>
      <w:r w:rsidRPr="00607DCB">
        <w:rPr>
          <w:i/>
          <w:noProof/>
          <w:sz w:val="24"/>
          <w:szCs w:val="24"/>
          <w:lang w:val="sq-AL"/>
        </w:rPr>
        <w:t>Treguesit fiskalë sipas buxhetit të konsoliduar</w:t>
      </w:r>
      <w:r w:rsidRPr="00607DCB">
        <w:rPr>
          <w:iCs/>
          <w:noProof/>
          <w:sz w:val="24"/>
          <w:szCs w:val="24"/>
          <w:lang w:val="sq-AL"/>
        </w:rPr>
        <w:t xml:space="preserve">” mbështetur në ecurinë e vitit 2024 dhe parashikimin e vitit 2025, ku për vitin 2026 shpenzimet kapitale u parashikuan 179.8 miliard lekë me një rritje prej rreth </w:t>
      </w:r>
      <w:r w:rsidRPr="00607DCB">
        <w:rPr>
          <w:iCs/>
          <w:noProof/>
          <w:color w:val="000000" w:themeColor="text1"/>
          <w:sz w:val="24"/>
          <w:szCs w:val="24"/>
          <w:lang w:val="sq-AL"/>
        </w:rPr>
        <w:t xml:space="preserve">9.7% </w:t>
      </w:r>
      <w:r w:rsidRPr="00607DCB">
        <w:rPr>
          <w:iCs/>
          <w:noProof/>
          <w:sz w:val="24"/>
          <w:szCs w:val="24"/>
          <w:lang w:val="sq-AL"/>
        </w:rPr>
        <w:t>nga viti 2025.</w:t>
      </w:r>
    </w:p>
    <w:p w14:paraId="6AFE154F" w14:textId="77777777" w:rsidR="009E26DE" w:rsidRPr="00607DCB" w:rsidRDefault="009E26DE" w:rsidP="00607DCB">
      <w:pPr>
        <w:spacing w:line="276" w:lineRule="auto"/>
        <w:jc w:val="both"/>
        <w:rPr>
          <w:iCs/>
          <w:noProof/>
          <w:sz w:val="24"/>
          <w:szCs w:val="24"/>
          <w:lang w:val="sq-AL"/>
        </w:rPr>
      </w:pPr>
    </w:p>
    <w:p w14:paraId="7EC789D5" w14:textId="4D2CEE7E" w:rsidR="009E26DE" w:rsidRPr="00607DCB" w:rsidRDefault="009E26DE" w:rsidP="00607DCB">
      <w:pPr>
        <w:pStyle w:val="Caption"/>
        <w:spacing w:line="276" w:lineRule="auto"/>
        <w:rPr>
          <w:rStyle w:val="jlqj4b"/>
          <w:sz w:val="24"/>
          <w:szCs w:val="24"/>
          <w:lang w:val="sq-AL"/>
        </w:rPr>
      </w:pPr>
      <w:bookmarkStart w:id="38" w:name="_Toc228275856"/>
      <w:r w:rsidRPr="00607DCB">
        <w:rPr>
          <w:sz w:val="24"/>
          <w:szCs w:val="24"/>
          <w:lang w:val="sq-AL"/>
        </w:rPr>
        <w:t xml:space="preserve">Tabela </w:t>
      </w:r>
      <w:r w:rsidRPr="00607DCB">
        <w:rPr>
          <w:sz w:val="24"/>
          <w:szCs w:val="24"/>
          <w:lang w:val="sq-AL"/>
        </w:rPr>
        <w:fldChar w:fldCharType="begin"/>
      </w:r>
      <w:r w:rsidRPr="00607DCB">
        <w:rPr>
          <w:sz w:val="24"/>
          <w:szCs w:val="24"/>
          <w:lang w:val="sq-AL"/>
        </w:rPr>
        <w:instrText xml:space="preserve"> SEQ Tabela \* ARABIC </w:instrText>
      </w:r>
      <w:r w:rsidRPr="00607DCB">
        <w:rPr>
          <w:sz w:val="24"/>
          <w:szCs w:val="24"/>
          <w:lang w:val="sq-AL"/>
        </w:rPr>
        <w:fldChar w:fldCharType="separate"/>
      </w:r>
      <w:r w:rsidR="006A0296">
        <w:rPr>
          <w:noProof/>
          <w:sz w:val="24"/>
          <w:szCs w:val="24"/>
          <w:lang w:val="sq-AL"/>
        </w:rPr>
        <w:t>5</w:t>
      </w:r>
      <w:r w:rsidRPr="00607DCB">
        <w:rPr>
          <w:sz w:val="24"/>
          <w:szCs w:val="24"/>
          <w:lang w:val="sq-AL"/>
        </w:rPr>
        <w:fldChar w:fldCharType="end"/>
      </w:r>
      <w:r w:rsidRPr="00607DCB">
        <w:rPr>
          <w:sz w:val="24"/>
          <w:szCs w:val="24"/>
          <w:lang w:val="sq-AL"/>
        </w:rPr>
        <w:t xml:space="preserve"> Devijimet e parashikimeve p</w:t>
      </w:r>
      <w:r w:rsidR="00A721D5" w:rsidRPr="00607DCB">
        <w:rPr>
          <w:sz w:val="24"/>
          <w:szCs w:val="24"/>
          <w:lang w:val="sq-AL"/>
        </w:rPr>
        <w:t>ë</w:t>
      </w:r>
      <w:r w:rsidRPr="00607DCB">
        <w:rPr>
          <w:sz w:val="24"/>
          <w:szCs w:val="24"/>
          <w:lang w:val="sq-AL"/>
        </w:rPr>
        <w:t>r shpenzimet kapitale</w:t>
      </w:r>
      <w:bookmarkEnd w:id="38"/>
    </w:p>
    <w:tbl>
      <w:tblPr>
        <w:tblW w:w="9350"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61"/>
        <w:gridCol w:w="4299"/>
        <w:gridCol w:w="1086"/>
        <w:gridCol w:w="775"/>
        <w:gridCol w:w="1066"/>
        <w:gridCol w:w="762"/>
        <w:gridCol w:w="901"/>
      </w:tblGrid>
      <w:tr w:rsidR="00791F53" w:rsidRPr="00607DCB" w14:paraId="20D2EC7F" w14:textId="77777777" w:rsidTr="00A41DE9">
        <w:trPr>
          <w:trHeight w:val="255"/>
          <w:jc w:val="center"/>
        </w:trPr>
        <w:tc>
          <w:tcPr>
            <w:tcW w:w="461" w:type="dxa"/>
            <w:noWrap/>
            <w:vAlign w:val="bottom"/>
            <w:hideMark/>
          </w:tcPr>
          <w:p w14:paraId="5F1A2958" w14:textId="77777777" w:rsidR="009E26DE" w:rsidRPr="00791F53" w:rsidRDefault="009E26DE" w:rsidP="00607DCB">
            <w:pPr>
              <w:spacing w:line="276" w:lineRule="auto"/>
              <w:jc w:val="both"/>
              <w:rPr>
                <w:sz w:val="16"/>
                <w:szCs w:val="16"/>
                <w:lang w:val="sq-AL"/>
              </w:rPr>
            </w:pPr>
            <w:r w:rsidRPr="00791F53">
              <w:rPr>
                <w:sz w:val="16"/>
                <w:szCs w:val="16"/>
                <w:lang w:val="sq-AL"/>
              </w:rPr>
              <w:t> </w:t>
            </w:r>
          </w:p>
        </w:tc>
        <w:tc>
          <w:tcPr>
            <w:tcW w:w="4299" w:type="dxa"/>
            <w:noWrap/>
            <w:vAlign w:val="bottom"/>
            <w:hideMark/>
          </w:tcPr>
          <w:p w14:paraId="09B0EFDC" w14:textId="77777777" w:rsidR="009E26DE" w:rsidRPr="00791F53" w:rsidRDefault="009E26DE" w:rsidP="00607DCB">
            <w:pPr>
              <w:spacing w:line="276" w:lineRule="auto"/>
              <w:jc w:val="both"/>
              <w:rPr>
                <w:sz w:val="16"/>
                <w:szCs w:val="16"/>
                <w:lang w:val="sq-AL"/>
              </w:rPr>
            </w:pPr>
            <w:r w:rsidRPr="00791F53">
              <w:rPr>
                <w:sz w:val="16"/>
                <w:szCs w:val="16"/>
                <w:lang w:val="sq-AL"/>
              </w:rPr>
              <w:t>në milion lekë (in milion lekë)</w:t>
            </w:r>
          </w:p>
        </w:tc>
        <w:tc>
          <w:tcPr>
            <w:tcW w:w="1086" w:type="dxa"/>
            <w:noWrap/>
            <w:vAlign w:val="bottom"/>
            <w:hideMark/>
          </w:tcPr>
          <w:p w14:paraId="63EE8B0F" w14:textId="77777777" w:rsidR="009E26DE" w:rsidRPr="00791F53" w:rsidRDefault="009E26DE" w:rsidP="00607DCB">
            <w:pPr>
              <w:spacing w:line="276" w:lineRule="auto"/>
              <w:jc w:val="both"/>
              <w:rPr>
                <w:sz w:val="16"/>
                <w:szCs w:val="16"/>
                <w:lang w:val="sq-AL"/>
              </w:rPr>
            </w:pPr>
            <w:r w:rsidRPr="00791F53">
              <w:rPr>
                <w:sz w:val="16"/>
                <w:szCs w:val="16"/>
                <w:lang w:val="sq-AL"/>
              </w:rPr>
              <w:t xml:space="preserve">Shkurt 2025 </w:t>
            </w:r>
          </w:p>
        </w:tc>
        <w:tc>
          <w:tcPr>
            <w:tcW w:w="775" w:type="dxa"/>
          </w:tcPr>
          <w:p w14:paraId="5159AADF" w14:textId="77777777" w:rsidR="009E26DE" w:rsidRPr="00791F53" w:rsidRDefault="009E26DE" w:rsidP="00607DCB">
            <w:pPr>
              <w:spacing w:line="276" w:lineRule="auto"/>
              <w:jc w:val="both"/>
              <w:rPr>
                <w:sz w:val="16"/>
                <w:szCs w:val="16"/>
                <w:lang w:val="sq-AL"/>
              </w:rPr>
            </w:pPr>
          </w:p>
        </w:tc>
        <w:tc>
          <w:tcPr>
            <w:tcW w:w="1066" w:type="dxa"/>
            <w:noWrap/>
            <w:vAlign w:val="bottom"/>
            <w:hideMark/>
          </w:tcPr>
          <w:p w14:paraId="77FD007B" w14:textId="77777777" w:rsidR="009E26DE" w:rsidRPr="00791F53" w:rsidRDefault="009E26DE" w:rsidP="00607DCB">
            <w:pPr>
              <w:spacing w:line="276" w:lineRule="auto"/>
              <w:jc w:val="both"/>
              <w:rPr>
                <w:sz w:val="16"/>
                <w:szCs w:val="16"/>
                <w:lang w:val="sq-AL"/>
              </w:rPr>
            </w:pPr>
            <w:r w:rsidRPr="00791F53">
              <w:rPr>
                <w:sz w:val="16"/>
                <w:szCs w:val="16"/>
                <w:lang w:val="sq-AL"/>
              </w:rPr>
              <w:t>Dhjetor 2025</w:t>
            </w:r>
          </w:p>
        </w:tc>
        <w:tc>
          <w:tcPr>
            <w:tcW w:w="762" w:type="dxa"/>
            <w:noWrap/>
            <w:vAlign w:val="bottom"/>
            <w:hideMark/>
          </w:tcPr>
          <w:p w14:paraId="400855DC" w14:textId="77777777" w:rsidR="009E26DE" w:rsidRPr="00791F53" w:rsidRDefault="009E26DE" w:rsidP="00607DCB">
            <w:pPr>
              <w:spacing w:line="276" w:lineRule="auto"/>
              <w:jc w:val="both"/>
              <w:rPr>
                <w:sz w:val="16"/>
                <w:szCs w:val="16"/>
                <w:lang w:val="sq-AL"/>
              </w:rPr>
            </w:pPr>
            <w:r w:rsidRPr="00791F53">
              <w:rPr>
                <w:sz w:val="16"/>
                <w:szCs w:val="16"/>
                <w:lang w:val="sq-AL"/>
              </w:rPr>
              <w:t> </w:t>
            </w:r>
          </w:p>
        </w:tc>
        <w:tc>
          <w:tcPr>
            <w:tcW w:w="901" w:type="dxa"/>
            <w:noWrap/>
            <w:vAlign w:val="bottom"/>
            <w:hideMark/>
          </w:tcPr>
          <w:p w14:paraId="1AD2B769" w14:textId="77777777" w:rsidR="009E26DE" w:rsidRPr="00791F53" w:rsidRDefault="009E26DE" w:rsidP="00607DCB">
            <w:pPr>
              <w:spacing w:line="276" w:lineRule="auto"/>
              <w:jc w:val="both"/>
              <w:rPr>
                <w:sz w:val="16"/>
                <w:szCs w:val="16"/>
                <w:lang w:val="sq-AL"/>
              </w:rPr>
            </w:pPr>
            <w:r w:rsidRPr="00791F53">
              <w:rPr>
                <w:sz w:val="16"/>
                <w:szCs w:val="16"/>
                <w:lang w:val="sq-AL"/>
              </w:rPr>
              <w:t> </w:t>
            </w:r>
          </w:p>
        </w:tc>
      </w:tr>
      <w:tr w:rsidR="00791F53" w:rsidRPr="00607DCB" w14:paraId="2A465542" w14:textId="77777777" w:rsidTr="00A41DE9">
        <w:trPr>
          <w:trHeight w:val="450"/>
          <w:jc w:val="center"/>
        </w:trPr>
        <w:tc>
          <w:tcPr>
            <w:tcW w:w="461" w:type="dxa"/>
            <w:vAlign w:val="center"/>
            <w:hideMark/>
          </w:tcPr>
          <w:p w14:paraId="56C78433" w14:textId="77777777" w:rsidR="009E26DE" w:rsidRPr="00791F53" w:rsidRDefault="009E26DE" w:rsidP="00607DCB">
            <w:pPr>
              <w:spacing w:line="276" w:lineRule="auto"/>
              <w:jc w:val="both"/>
              <w:rPr>
                <w:b/>
                <w:bCs/>
                <w:sz w:val="16"/>
                <w:szCs w:val="16"/>
                <w:lang w:val="sq-AL"/>
              </w:rPr>
            </w:pPr>
            <w:r w:rsidRPr="00791F53">
              <w:rPr>
                <w:b/>
                <w:bCs/>
                <w:sz w:val="16"/>
                <w:szCs w:val="16"/>
                <w:lang w:val="sq-AL"/>
              </w:rPr>
              <w:t>Nr.</w:t>
            </w:r>
          </w:p>
        </w:tc>
        <w:tc>
          <w:tcPr>
            <w:tcW w:w="4299" w:type="dxa"/>
            <w:vAlign w:val="center"/>
            <w:hideMark/>
          </w:tcPr>
          <w:p w14:paraId="3F277DFB" w14:textId="77777777" w:rsidR="009E26DE" w:rsidRPr="00791F53" w:rsidRDefault="009E26DE" w:rsidP="00607DCB">
            <w:pPr>
              <w:spacing w:line="276" w:lineRule="auto"/>
              <w:jc w:val="both"/>
              <w:rPr>
                <w:b/>
                <w:bCs/>
                <w:sz w:val="16"/>
                <w:szCs w:val="16"/>
                <w:lang w:val="sq-AL"/>
              </w:rPr>
            </w:pPr>
            <w:r w:rsidRPr="00791F53">
              <w:rPr>
                <w:b/>
                <w:bCs/>
                <w:sz w:val="16"/>
                <w:szCs w:val="16"/>
                <w:lang w:val="sq-AL"/>
              </w:rPr>
              <w:t>E  M  E  R  T  I  M  I</w:t>
            </w:r>
          </w:p>
        </w:tc>
        <w:tc>
          <w:tcPr>
            <w:tcW w:w="1086" w:type="dxa"/>
            <w:vAlign w:val="center"/>
            <w:hideMark/>
          </w:tcPr>
          <w:p w14:paraId="6918DDC6" w14:textId="1A24566E" w:rsidR="009E26DE" w:rsidRPr="00791F53" w:rsidRDefault="00791F53" w:rsidP="00607DCB">
            <w:pPr>
              <w:spacing w:line="276" w:lineRule="auto"/>
              <w:jc w:val="both"/>
              <w:rPr>
                <w:b/>
                <w:bCs/>
                <w:sz w:val="16"/>
                <w:szCs w:val="16"/>
                <w:lang w:val="sq-AL"/>
              </w:rPr>
            </w:pPr>
            <w:r>
              <w:rPr>
                <w:b/>
                <w:bCs/>
                <w:sz w:val="16"/>
                <w:szCs w:val="16"/>
                <w:lang w:val="sq-AL"/>
              </w:rPr>
              <w:t>K</w:t>
            </w:r>
            <w:r w:rsidR="009E26DE" w:rsidRPr="00791F53">
              <w:rPr>
                <w:b/>
                <w:bCs/>
                <w:sz w:val="16"/>
                <w:szCs w:val="16"/>
                <w:lang w:val="sq-AL"/>
              </w:rPr>
              <w:t>uadri makro 2026-2028</w:t>
            </w:r>
          </w:p>
        </w:tc>
        <w:tc>
          <w:tcPr>
            <w:tcW w:w="775" w:type="dxa"/>
            <w:vAlign w:val="center"/>
          </w:tcPr>
          <w:p w14:paraId="7A00DBBA" w14:textId="77777777" w:rsidR="009E26DE" w:rsidRPr="00791F53" w:rsidRDefault="009E26DE" w:rsidP="00607DCB">
            <w:pPr>
              <w:spacing w:line="276" w:lineRule="auto"/>
              <w:jc w:val="both"/>
              <w:rPr>
                <w:b/>
                <w:bCs/>
                <w:sz w:val="16"/>
                <w:szCs w:val="16"/>
                <w:lang w:val="sq-AL"/>
              </w:rPr>
            </w:pPr>
            <w:r w:rsidRPr="00791F53">
              <w:rPr>
                <w:b/>
                <w:bCs/>
                <w:sz w:val="16"/>
                <w:szCs w:val="16"/>
                <w:lang w:val="sq-AL"/>
              </w:rPr>
              <w:t>Në % të PBB</w:t>
            </w:r>
          </w:p>
        </w:tc>
        <w:tc>
          <w:tcPr>
            <w:tcW w:w="1066" w:type="dxa"/>
            <w:vAlign w:val="center"/>
            <w:hideMark/>
          </w:tcPr>
          <w:p w14:paraId="0DFA76DE" w14:textId="77777777" w:rsidR="009E26DE" w:rsidRPr="00791F53" w:rsidRDefault="009E26DE" w:rsidP="00607DCB">
            <w:pPr>
              <w:spacing w:line="276" w:lineRule="auto"/>
              <w:jc w:val="both"/>
              <w:rPr>
                <w:b/>
                <w:bCs/>
                <w:sz w:val="16"/>
                <w:szCs w:val="16"/>
                <w:lang w:val="sq-AL"/>
              </w:rPr>
            </w:pPr>
            <w:r w:rsidRPr="00791F53">
              <w:rPr>
                <w:b/>
                <w:bCs/>
                <w:sz w:val="16"/>
                <w:szCs w:val="16"/>
                <w:lang w:val="sq-AL"/>
              </w:rPr>
              <w:t>Buxheti 2026</w:t>
            </w:r>
          </w:p>
        </w:tc>
        <w:tc>
          <w:tcPr>
            <w:tcW w:w="762" w:type="dxa"/>
            <w:vAlign w:val="center"/>
            <w:hideMark/>
          </w:tcPr>
          <w:p w14:paraId="5CAEE5B5" w14:textId="77777777" w:rsidR="009E26DE" w:rsidRPr="00791F53" w:rsidRDefault="009E26DE" w:rsidP="00607DCB">
            <w:pPr>
              <w:spacing w:line="276" w:lineRule="auto"/>
              <w:jc w:val="both"/>
              <w:rPr>
                <w:b/>
                <w:bCs/>
                <w:sz w:val="16"/>
                <w:szCs w:val="16"/>
                <w:lang w:val="sq-AL"/>
              </w:rPr>
            </w:pPr>
            <w:r w:rsidRPr="00791F53">
              <w:rPr>
                <w:b/>
                <w:bCs/>
                <w:sz w:val="16"/>
                <w:szCs w:val="16"/>
                <w:lang w:val="sq-AL"/>
              </w:rPr>
              <w:t>Në % të PBB</w:t>
            </w:r>
          </w:p>
        </w:tc>
        <w:tc>
          <w:tcPr>
            <w:tcW w:w="901" w:type="dxa"/>
            <w:vAlign w:val="center"/>
            <w:hideMark/>
          </w:tcPr>
          <w:p w14:paraId="3CAF4066" w14:textId="77777777" w:rsidR="009E26DE" w:rsidRPr="00791F53" w:rsidRDefault="009E26DE" w:rsidP="00607DCB">
            <w:pPr>
              <w:spacing w:line="276" w:lineRule="auto"/>
              <w:jc w:val="both"/>
              <w:rPr>
                <w:b/>
                <w:bCs/>
                <w:sz w:val="16"/>
                <w:szCs w:val="16"/>
                <w:lang w:val="sq-AL"/>
              </w:rPr>
            </w:pPr>
            <w:r w:rsidRPr="00791F53">
              <w:rPr>
                <w:b/>
                <w:bCs/>
                <w:sz w:val="16"/>
                <w:szCs w:val="16"/>
                <w:lang w:val="sq-AL"/>
              </w:rPr>
              <w:t>Devijanca</w:t>
            </w:r>
          </w:p>
        </w:tc>
      </w:tr>
      <w:tr w:rsidR="00791F53" w:rsidRPr="00607DCB" w14:paraId="0FD7F2A6" w14:textId="77777777" w:rsidTr="00A41DE9">
        <w:trPr>
          <w:trHeight w:val="216"/>
          <w:jc w:val="center"/>
        </w:trPr>
        <w:tc>
          <w:tcPr>
            <w:tcW w:w="461" w:type="dxa"/>
            <w:noWrap/>
            <w:vAlign w:val="bottom"/>
            <w:hideMark/>
          </w:tcPr>
          <w:p w14:paraId="67419466" w14:textId="77777777" w:rsidR="009E26DE" w:rsidRPr="00607DCB" w:rsidRDefault="009E26DE" w:rsidP="00607DCB">
            <w:pPr>
              <w:spacing w:line="276" w:lineRule="auto"/>
              <w:jc w:val="both"/>
              <w:rPr>
                <w:b/>
                <w:bCs/>
                <w:sz w:val="24"/>
                <w:szCs w:val="24"/>
                <w:lang w:val="sq-AL"/>
              </w:rPr>
            </w:pPr>
            <w:r w:rsidRPr="00607DCB">
              <w:rPr>
                <w:b/>
                <w:bCs/>
                <w:sz w:val="24"/>
                <w:szCs w:val="24"/>
                <w:lang w:val="sq-AL"/>
              </w:rPr>
              <w:t xml:space="preserve">7 </w:t>
            </w:r>
          </w:p>
        </w:tc>
        <w:tc>
          <w:tcPr>
            <w:tcW w:w="4299" w:type="dxa"/>
            <w:noWrap/>
            <w:vAlign w:val="bottom"/>
            <w:hideMark/>
          </w:tcPr>
          <w:p w14:paraId="59E6FB93" w14:textId="77777777" w:rsidR="009E26DE" w:rsidRPr="00791F53" w:rsidRDefault="009E26DE" w:rsidP="00607DCB">
            <w:pPr>
              <w:spacing w:line="276" w:lineRule="auto"/>
              <w:jc w:val="both"/>
              <w:rPr>
                <w:b/>
                <w:bCs/>
                <w:sz w:val="20"/>
                <w:szCs w:val="20"/>
                <w:lang w:val="sq-AL"/>
              </w:rPr>
            </w:pPr>
            <w:r w:rsidRPr="00791F53">
              <w:rPr>
                <w:b/>
                <w:bCs/>
                <w:sz w:val="20"/>
                <w:szCs w:val="20"/>
                <w:lang w:val="sq-AL"/>
              </w:rPr>
              <w:t>Shpenzime Kapitale</w:t>
            </w:r>
          </w:p>
        </w:tc>
        <w:tc>
          <w:tcPr>
            <w:tcW w:w="1086" w:type="dxa"/>
            <w:noWrap/>
            <w:vAlign w:val="center"/>
            <w:hideMark/>
          </w:tcPr>
          <w:p w14:paraId="0D4E0D2C" w14:textId="77777777" w:rsidR="009E26DE" w:rsidRPr="00791F53" w:rsidRDefault="009E26DE" w:rsidP="00607DCB">
            <w:pPr>
              <w:spacing w:line="276" w:lineRule="auto"/>
              <w:jc w:val="both"/>
              <w:rPr>
                <w:b/>
                <w:bCs/>
                <w:color w:val="000000"/>
                <w:sz w:val="20"/>
                <w:szCs w:val="20"/>
                <w:lang w:val="sq-AL"/>
              </w:rPr>
            </w:pPr>
            <w:r w:rsidRPr="00791F53">
              <w:rPr>
                <w:b/>
                <w:bCs/>
                <w:color w:val="000000"/>
                <w:sz w:val="20"/>
                <w:szCs w:val="20"/>
                <w:lang w:val="sq-AL"/>
              </w:rPr>
              <w:t>167,564</w:t>
            </w:r>
          </w:p>
          <w:p w14:paraId="065C1180" w14:textId="77777777" w:rsidR="009E26DE" w:rsidRPr="00791F53" w:rsidRDefault="009E26DE" w:rsidP="00607DCB">
            <w:pPr>
              <w:spacing w:line="276" w:lineRule="auto"/>
              <w:jc w:val="both"/>
              <w:rPr>
                <w:b/>
                <w:bCs/>
                <w:sz w:val="20"/>
                <w:szCs w:val="20"/>
                <w:lang w:val="sq-AL"/>
              </w:rPr>
            </w:pPr>
          </w:p>
        </w:tc>
        <w:tc>
          <w:tcPr>
            <w:tcW w:w="775" w:type="dxa"/>
            <w:vAlign w:val="center"/>
          </w:tcPr>
          <w:p w14:paraId="15181E0A" w14:textId="77777777" w:rsidR="009E26DE" w:rsidRPr="00791F53" w:rsidRDefault="009E26DE" w:rsidP="00607DCB">
            <w:pPr>
              <w:spacing w:line="276" w:lineRule="auto"/>
              <w:jc w:val="both"/>
              <w:rPr>
                <w:b/>
                <w:bCs/>
                <w:color w:val="000000"/>
                <w:sz w:val="20"/>
                <w:szCs w:val="20"/>
                <w:lang w:val="sq-AL"/>
              </w:rPr>
            </w:pPr>
            <w:r w:rsidRPr="00791F53">
              <w:rPr>
                <w:b/>
                <w:bCs/>
                <w:color w:val="000000"/>
                <w:sz w:val="20"/>
                <w:szCs w:val="20"/>
                <w:lang w:val="sq-AL"/>
              </w:rPr>
              <w:t>6.1%</w:t>
            </w:r>
          </w:p>
        </w:tc>
        <w:tc>
          <w:tcPr>
            <w:tcW w:w="1066" w:type="dxa"/>
            <w:noWrap/>
            <w:vAlign w:val="center"/>
            <w:hideMark/>
          </w:tcPr>
          <w:p w14:paraId="5945247F" w14:textId="77777777" w:rsidR="009E26DE" w:rsidRPr="00791F53" w:rsidRDefault="009E26DE" w:rsidP="00607DCB">
            <w:pPr>
              <w:spacing w:line="276" w:lineRule="auto"/>
              <w:jc w:val="both"/>
              <w:rPr>
                <w:b/>
                <w:bCs/>
                <w:color w:val="000000"/>
                <w:sz w:val="20"/>
                <w:szCs w:val="20"/>
                <w:lang w:val="sq-AL"/>
              </w:rPr>
            </w:pPr>
            <w:r w:rsidRPr="00791F53">
              <w:rPr>
                <w:b/>
                <w:bCs/>
                <w:color w:val="000000"/>
                <w:sz w:val="20"/>
                <w:szCs w:val="20"/>
                <w:lang w:val="sq-AL"/>
              </w:rPr>
              <w:t>179,823</w:t>
            </w:r>
          </w:p>
          <w:p w14:paraId="4C960530" w14:textId="77777777" w:rsidR="009E26DE" w:rsidRPr="00791F53" w:rsidRDefault="009E26DE" w:rsidP="00607DCB">
            <w:pPr>
              <w:spacing w:line="276" w:lineRule="auto"/>
              <w:jc w:val="both"/>
              <w:rPr>
                <w:b/>
                <w:bCs/>
                <w:sz w:val="20"/>
                <w:szCs w:val="20"/>
                <w:lang w:val="sq-AL"/>
              </w:rPr>
            </w:pPr>
          </w:p>
        </w:tc>
        <w:tc>
          <w:tcPr>
            <w:tcW w:w="762" w:type="dxa"/>
            <w:noWrap/>
            <w:vAlign w:val="center"/>
            <w:hideMark/>
          </w:tcPr>
          <w:p w14:paraId="3251CF3D" w14:textId="77777777" w:rsidR="009E26DE" w:rsidRPr="00791F53" w:rsidRDefault="009E26DE" w:rsidP="00607DCB">
            <w:pPr>
              <w:spacing w:line="276" w:lineRule="auto"/>
              <w:jc w:val="both"/>
              <w:rPr>
                <w:b/>
                <w:bCs/>
                <w:sz w:val="20"/>
                <w:szCs w:val="20"/>
                <w:lang w:val="sq-AL"/>
              </w:rPr>
            </w:pPr>
            <w:r w:rsidRPr="00791F53">
              <w:rPr>
                <w:b/>
                <w:bCs/>
                <w:color w:val="000000"/>
                <w:sz w:val="20"/>
                <w:szCs w:val="20"/>
                <w:lang w:val="sq-AL"/>
              </w:rPr>
              <w:t>6.5%</w:t>
            </w:r>
          </w:p>
        </w:tc>
        <w:tc>
          <w:tcPr>
            <w:tcW w:w="901" w:type="dxa"/>
            <w:noWrap/>
            <w:vAlign w:val="center"/>
            <w:hideMark/>
          </w:tcPr>
          <w:p w14:paraId="078837F9" w14:textId="77777777" w:rsidR="009E26DE" w:rsidRPr="00791F53" w:rsidRDefault="009E26DE" w:rsidP="00607DCB">
            <w:pPr>
              <w:spacing w:line="276" w:lineRule="auto"/>
              <w:jc w:val="both"/>
              <w:rPr>
                <w:b/>
                <w:bCs/>
                <w:sz w:val="20"/>
                <w:szCs w:val="20"/>
                <w:lang w:val="sq-AL"/>
              </w:rPr>
            </w:pPr>
            <w:r w:rsidRPr="00791F53">
              <w:rPr>
                <w:b/>
                <w:bCs/>
                <w:color w:val="000000"/>
                <w:sz w:val="20"/>
                <w:szCs w:val="20"/>
                <w:lang w:val="sq-AL"/>
              </w:rPr>
              <w:t>12,259</w:t>
            </w:r>
          </w:p>
        </w:tc>
      </w:tr>
      <w:tr w:rsidR="00791F53" w:rsidRPr="00607DCB" w14:paraId="771C5DAB" w14:textId="77777777" w:rsidTr="00A41DE9">
        <w:trPr>
          <w:trHeight w:val="216"/>
          <w:jc w:val="center"/>
        </w:trPr>
        <w:tc>
          <w:tcPr>
            <w:tcW w:w="461" w:type="dxa"/>
            <w:noWrap/>
            <w:vAlign w:val="bottom"/>
            <w:hideMark/>
          </w:tcPr>
          <w:p w14:paraId="6A847DB4"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77D75374" w14:textId="77777777" w:rsidR="009E26DE" w:rsidRPr="00791F53" w:rsidRDefault="009E26DE" w:rsidP="00607DCB">
            <w:pPr>
              <w:spacing w:line="276" w:lineRule="auto"/>
              <w:jc w:val="both"/>
              <w:rPr>
                <w:sz w:val="20"/>
                <w:szCs w:val="20"/>
                <w:lang w:val="sq-AL"/>
              </w:rPr>
            </w:pPr>
            <w:r w:rsidRPr="00791F53">
              <w:rPr>
                <w:sz w:val="20"/>
                <w:szCs w:val="20"/>
                <w:lang w:val="sq-AL"/>
              </w:rPr>
              <w:t>Financimi i Brendshëm</w:t>
            </w:r>
          </w:p>
        </w:tc>
        <w:tc>
          <w:tcPr>
            <w:tcW w:w="1086" w:type="dxa"/>
            <w:noWrap/>
            <w:vAlign w:val="center"/>
            <w:hideMark/>
          </w:tcPr>
          <w:p w14:paraId="1AA98D04"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112,466</w:t>
            </w:r>
          </w:p>
        </w:tc>
        <w:tc>
          <w:tcPr>
            <w:tcW w:w="775" w:type="dxa"/>
            <w:vAlign w:val="center"/>
          </w:tcPr>
          <w:p w14:paraId="7593A04D"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4.1%</w:t>
            </w:r>
          </w:p>
        </w:tc>
        <w:tc>
          <w:tcPr>
            <w:tcW w:w="1066" w:type="dxa"/>
            <w:noWrap/>
            <w:vAlign w:val="center"/>
            <w:hideMark/>
          </w:tcPr>
          <w:p w14:paraId="3B799F9C"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126,811</w:t>
            </w:r>
          </w:p>
        </w:tc>
        <w:tc>
          <w:tcPr>
            <w:tcW w:w="762" w:type="dxa"/>
            <w:noWrap/>
            <w:vAlign w:val="center"/>
            <w:hideMark/>
          </w:tcPr>
          <w:p w14:paraId="43ED0468"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4.6%</w:t>
            </w:r>
          </w:p>
        </w:tc>
        <w:tc>
          <w:tcPr>
            <w:tcW w:w="901" w:type="dxa"/>
            <w:noWrap/>
            <w:vAlign w:val="center"/>
            <w:hideMark/>
          </w:tcPr>
          <w:p w14:paraId="76CED05C" w14:textId="77777777" w:rsidR="009E26DE" w:rsidRPr="00791F53" w:rsidRDefault="009E26DE" w:rsidP="00607DCB">
            <w:pPr>
              <w:spacing w:line="276" w:lineRule="auto"/>
              <w:jc w:val="both"/>
              <w:rPr>
                <w:sz w:val="20"/>
                <w:szCs w:val="20"/>
                <w:lang w:val="sq-AL"/>
              </w:rPr>
            </w:pPr>
            <w:r w:rsidRPr="00791F53">
              <w:rPr>
                <w:b/>
                <w:bCs/>
                <w:color w:val="000000"/>
                <w:sz w:val="20"/>
                <w:szCs w:val="20"/>
                <w:lang w:val="sq-AL"/>
              </w:rPr>
              <w:t>14,345</w:t>
            </w:r>
          </w:p>
        </w:tc>
      </w:tr>
      <w:tr w:rsidR="00791F53" w:rsidRPr="00607DCB" w14:paraId="34DB0836" w14:textId="77777777" w:rsidTr="00A41DE9">
        <w:trPr>
          <w:trHeight w:val="216"/>
          <w:jc w:val="center"/>
        </w:trPr>
        <w:tc>
          <w:tcPr>
            <w:tcW w:w="461" w:type="dxa"/>
            <w:noWrap/>
            <w:vAlign w:val="bottom"/>
          </w:tcPr>
          <w:p w14:paraId="164259E4" w14:textId="77777777" w:rsidR="009E26DE" w:rsidRPr="00607DCB" w:rsidRDefault="009E26DE" w:rsidP="00607DCB">
            <w:pPr>
              <w:spacing w:line="276" w:lineRule="auto"/>
              <w:jc w:val="both"/>
              <w:rPr>
                <w:sz w:val="24"/>
                <w:szCs w:val="24"/>
                <w:lang w:val="sq-AL"/>
              </w:rPr>
            </w:pPr>
          </w:p>
        </w:tc>
        <w:tc>
          <w:tcPr>
            <w:tcW w:w="4299" w:type="dxa"/>
            <w:noWrap/>
            <w:vAlign w:val="bottom"/>
          </w:tcPr>
          <w:p w14:paraId="0A7F418B" w14:textId="77777777" w:rsidR="009E26DE" w:rsidRPr="00791F53" w:rsidRDefault="009E26DE" w:rsidP="00607DCB">
            <w:pPr>
              <w:spacing w:line="276" w:lineRule="auto"/>
              <w:jc w:val="both"/>
              <w:rPr>
                <w:sz w:val="20"/>
                <w:szCs w:val="20"/>
                <w:lang w:val="sq-AL"/>
              </w:rPr>
            </w:pPr>
            <w:r w:rsidRPr="00791F53">
              <w:rPr>
                <w:sz w:val="20"/>
                <w:szCs w:val="20"/>
                <w:lang w:val="sq-AL"/>
              </w:rPr>
              <w:t>Nga e cila: Injektim/Kthim kapitali nga AIC/BZHSH</w:t>
            </w:r>
          </w:p>
        </w:tc>
        <w:tc>
          <w:tcPr>
            <w:tcW w:w="1086" w:type="dxa"/>
            <w:noWrap/>
            <w:vAlign w:val="center"/>
          </w:tcPr>
          <w:p w14:paraId="4F02306F" w14:textId="77777777" w:rsidR="009E26DE" w:rsidRPr="00791F53" w:rsidRDefault="009E26DE" w:rsidP="00607DCB">
            <w:pPr>
              <w:spacing w:line="276" w:lineRule="auto"/>
              <w:jc w:val="both"/>
              <w:rPr>
                <w:color w:val="000000"/>
                <w:sz w:val="20"/>
                <w:szCs w:val="20"/>
                <w:lang w:val="sq-AL"/>
              </w:rPr>
            </w:pPr>
          </w:p>
        </w:tc>
        <w:tc>
          <w:tcPr>
            <w:tcW w:w="775" w:type="dxa"/>
            <w:vAlign w:val="center"/>
          </w:tcPr>
          <w:p w14:paraId="22090258" w14:textId="77777777" w:rsidR="009E26DE" w:rsidRPr="00791F53" w:rsidRDefault="009E26DE" w:rsidP="00607DCB">
            <w:pPr>
              <w:spacing w:line="276" w:lineRule="auto"/>
              <w:jc w:val="both"/>
              <w:rPr>
                <w:color w:val="000000"/>
                <w:sz w:val="20"/>
                <w:szCs w:val="20"/>
                <w:lang w:val="sq-AL"/>
              </w:rPr>
            </w:pPr>
          </w:p>
        </w:tc>
        <w:tc>
          <w:tcPr>
            <w:tcW w:w="1066" w:type="dxa"/>
            <w:noWrap/>
            <w:vAlign w:val="center"/>
          </w:tcPr>
          <w:p w14:paraId="4EABB2A6"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1,000</w:t>
            </w:r>
          </w:p>
        </w:tc>
        <w:tc>
          <w:tcPr>
            <w:tcW w:w="762" w:type="dxa"/>
            <w:noWrap/>
            <w:vAlign w:val="center"/>
          </w:tcPr>
          <w:p w14:paraId="2BF16B7D"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0.0%</w:t>
            </w:r>
          </w:p>
        </w:tc>
        <w:tc>
          <w:tcPr>
            <w:tcW w:w="901" w:type="dxa"/>
            <w:noWrap/>
            <w:vAlign w:val="center"/>
          </w:tcPr>
          <w:p w14:paraId="67B56470" w14:textId="77777777" w:rsidR="009E26DE" w:rsidRPr="00791F53" w:rsidRDefault="009E26DE" w:rsidP="00607DCB">
            <w:pPr>
              <w:spacing w:line="276" w:lineRule="auto"/>
              <w:jc w:val="both"/>
              <w:rPr>
                <w:b/>
                <w:bCs/>
                <w:color w:val="000000"/>
                <w:sz w:val="20"/>
                <w:szCs w:val="20"/>
                <w:lang w:val="sq-AL"/>
              </w:rPr>
            </w:pPr>
            <w:r w:rsidRPr="00791F53">
              <w:rPr>
                <w:b/>
                <w:bCs/>
                <w:color w:val="000000"/>
                <w:sz w:val="20"/>
                <w:szCs w:val="20"/>
                <w:lang w:val="sq-AL"/>
              </w:rPr>
              <w:t>1,000</w:t>
            </w:r>
          </w:p>
        </w:tc>
      </w:tr>
      <w:tr w:rsidR="00791F53" w:rsidRPr="00607DCB" w14:paraId="72A0DFD0" w14:textId="77777777" w:rsidTr="00A41DE9">
        <w:trPr>
          <w:trHeight w:val="216"/>
          <w:jc w:val="center"/>
        </w:trPr>
        <w:tc>
          <w:tcPr>
            <w:tcW w:w="461" w:type="dxa"/>
            <w:noWrap/>
            <w:vAlign w:val="bottom"/>
            <w:hideMark/>
          </w:tcPr>
          <w:p w14:paraId="51D6CC31"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38646611" w14:textId="77777777" w:rsidR="009E26DE" w:rsidRPr="00791F53" w:rsidRDefault="009E26DE" w:rsidP="00607DCB">
            <w:pPr>
              <w:spacing w:line="276" w:lineRule="auto"/>
              <w:jc w:val="both"/>
              <w:rPr>
                <w:i/>
                <w:iCs/>
                <w:sz w:val="20"/>
                <w:szCs w:val="20"/>
                <w:lang w:val="sq-AL"/>
              </w:rPr>
            </w:pPr>
            <w:r w:rsidRPr="00791F53">
              <w:rPr>
                <w:i/>
                <w:iCs/>
                <w:sz w:val="20"/>
                <w:szCs w:val="20"/>
                <w:lang w:val="sq-AL"/>
              </w:rPr>
              <w:t>Incestime nga të ardhurat e Arsimit të Lartë</w:t>
            </w:r>
          </w:p>
        </w:tc>
        <w:tc>
          <w:tcPr>
            <w:tcW w:w="1086" w:type="dxa"/>
            <w:noWrap/>
            <w:vAlign w:val="center"/>
            <w:hideMark/>
          </w:tcPr>
          <w:p w14:paraId="7EAC7416"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1,000</w:t>
            </w:r>
          </w:p>
        </w:tc>
        <w:tc>
          <w:tcPr>
            <w:tcW w:w="775" w:type="dxa"/>
            <w:vAlign w:val="center"/>
          </w:tcPr>
          <w:p w14:paraId="38EE6EFF" w14:textId="77777777" w:rsidR="009E26DE" w:rsidRPr="00791F53" w:rsidRDefault="009E26DE" w:rsidP="00607DCB">
            <w:pPr>
              <w:spacing w:line="276" w:lineRule="auto"/>
              <w:jc w:val="both"/>
              <w:rPr>
                <w:i/>
                <w:iCs/>
                <w:color w:val="000000"/>
                <w:sz w:val="20"/>
                <w:szCs w:val="20"/>
                <w:lang w:val="sq-AL"/>
              </w:rPr>
            </w:pPr>
            <w:r w:rsidRPr="00791F53">
              <w:rPr>
                <w:i/>
                <w:iCs/>
                <w:color w:val="000000"/>
                <w:sz w:val="20"/>
                <w:szCs w:val="20"/>
                <w:lang w:val="sq-AL"/>
              </w:rPr>
              <w:t>0.0%</w:t>
            </w:r>
          </w:p>
        </w:tc>
        <w:tc>
          <w:tcPr>
            <w:tcW w:w="1066" w:type="dxa"/>
            <w:noWrap/>
            <w:vAlign w:val="center"/>
            <w:hideMark/>
          </w:tcPr>
          <w:p w14:paraId="2E2501FB" w14:textId="77777777" w:rsidR="009E26DE" w:rsidRPr="00791F53" w:rsidRDefault="009E26DE" w:rsidP="00607DCB">
            <w:pPr>
              <w:spacing w:line="276" w:lineRule="auto"/>
              <w:jc w:val="both"/>
              <w:rPr>
                <w:i/>
                <w:iCs/>
                <w:sz w:val="20"/>
                <w:szCs w:val="20"/>
                <w:lang w:val="sq-AL"/>
              </w:rPr>
            </w:pPr>
            <w:r w:rsidRPr="00791F53">
              <w:rPr>
                <w:i/>
                <w:iCs/>
                <w:sz w:val="20"/>
                <w:szCs w:val="20"/>
                <w:lang w:val="sq-AL"/>
              </w:rPr>
              <w:t>1,000</w:t>
            </w:r>
          </w:p>
        </w:tc>
        <w:tc>
          <w:tcPr>
            <w:tcW w:w="762" w:type="dxa"/>
            <w:noWrap/>
            <w:vAlign w:val="center"/>
            <w:hideMark/>
          </w:tcPr>
          <w:p w14:paraId="5CC9CFC0"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0.0%</w:t>
            </w:r>
          </w:p>
        </w:tc>
        <w:tc>
          <w:tcPr>
            <w:tcW w:w="901" w:type="dxa"/>
            <w:noWrap/>
            <w:vAlign w:val="center"/>
            <w:hideMark/>
          </w:tcPr>
          <w:p w14:paraId="4533E339" w14:textId="77777777" w:rsidR="009E26DE" w:rsidRPr="00791F53" w:rsidRDefault="009E26DE" w:rsidP="00607DCB">
            <w:pPr>
              <w:spacing w:line="276" w:lineRule="auto"/>
              <w:jc w:val="both"/>
              <w:rPr>
                <w:i/>
                <w:iCs/>
                <w:sz w:val="20"/>
                <w:szCs w:val="20"/>
                <w:lang w:val="sq-AL"/>
              </w:rPr>
            </w:pPr>
            <w:r w:rsidRPr="00791F53">
              <w:rPr>
                <w:b/>
                <w:bCs/>
                <w:color w:val="000000"/>
                <w:sz w:val="20"/>
                <w:szCs w:val="20"/>
                <w:lang w:val="sq-AL"/>
              </w:rPr>
              <w:t>0</w:t>
            </w:r>
          </w:p>
        </w:tc>
      </w:tr>
      <w:tr w:rsidR="00791F53" w:rsidRPr="00607DCB" w14:paraId="712F324D" w14:textId="77777777" w:rsidTr="00A41DE9">
        <w:trPr>
          <w:trHeight w:val="216"/>
          <w:jc w:val="center"/>
        </w:trPr>
        <w:tc>
          <w:tcPr>
            <w:tcW w:w="461" w:type="dxa"/>
            <w:noWrap/>
            <w:vAlign w:val="bottom"/>
            <w:hideMark/>
          </w:tcPr>
          <w:p w14:paraId="20B73429"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2F58DDA4" w14:textId="77777777" w:rsidR="009E26DE" w:rsidRPr="00791F53" w:rsidRDefault="009E26DE" w:rsidP="00607DCB">
            <w:pPr>
              <w:spacing w:line="276" w:lineRule="auto"/>
              <w:jc w:val="both"/>
              <w:rPr>
                <w:i/>
                <w:iCs/>
                <w:sz w:val="20"/>
                <w:szCs w:val="20"/>
                <w:lang w:val="sq-AL"/>
              </w:rPr>
            </w:pPr>
            <w:r w:rsidRPr="00791F53">
              <w:rPr>
                <w:i/>
                <w:iCs/>
                <w:sz w:val="20"/>
                <w:szCs w:val="20"/>
                <w:lang w:val="sq-AL"/>
              </w:rPr>
              <w:t>Financimi i Huaj, nga të cilat;:</w:t>
            </w:r>
          </w:p>
        </w:tc>
        <w:tc>
          <w:tcPr>
            <w:tcW w:w="1086" w:type="dxa"/>
            <w:noWrap/>
            <w:vAlign w:val="center"/>
            <w:hideMark/>
          </w:tcPr>
          <w:p w14:paraId="7F3BA0C2"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49,098</w:t>
            </w:r>
          </w:p>
        </w:tc>
        <w:tc>
          <w:tcPr>
            <w:tcW w:w="775" w:type="dxa"/>
            <w:vAlign w:val="center"/>
          </w:tcPr>
          <w:p w14:paraId="2D933DEB" w14:textId="77777777" w:rsidR="009E26DE" w:rsidRPr="00791F53" w:rsidRDefault="009E26DE" w:rsidP="00607DCB">
            <w:pPr>
              <w:spacing w:line="276" w:lineRule="auto"/>
              <w:jc w:val="both"/>
              <w:rPr>
                <w:i/>
                <w:iCs/>
                <w:color w:val="000000"/>
                <w:sz w:val="20"/>
                <w:szCs w:val="20"/>
                <w:lang w:val="sq-AL"/>
              </w:rPr>
            </w:pPr>
            <w:r w:rsidRPr="00791F53">
              <w:rPr>
                <w:i/>
                <w:iCs/>
                <w:color w:val="000000"/>
                <w:sz w:val="20"/>
                <w:szCs w:val="20"/>
                <w:lang w:val="sq-AL"/>
              </w:rPr>
              <w:t>1.8%</w:t>
            </w:r>
          </w:p>
        </w:tc>
        <w:tc>
          <w:tcPr>
            <w:tcW w:w="1066" w:type="dxa"/>
            <w:noWrap/>
            <w:vAlign w:val="center"/>
            <w:hideMark/>
          </w:tcPr>
          <w:p w14:paraId="04BB3B90" w14:textId="77777777" w:rsidR="009E26DE" w:rsidRPr="00791F53" w:rsidRDefault="009E26DE" w:rsidP="00607DCB">
            <w:pPr>
              <w:spacing w:line="276" w:lineRule="auto"/>
              <w:jc w:val="both"/>
              <w:rPr>
                <w:i/>
                <w:iCs/>
                <w:sz w:val="20"/>
                <w:szCs w:val="20"/>
                <w:lang w:val="sq-AL"/>
              </w:rPr>
            </w:pPr>
            <w:r w:rsidRPr="00791F53">
              <w:rPr>
                <w:i/>
                <w:iCs/>
                <w:sz w:val="20"/>
                <w:szCs w:val="20"/>
                <w:lang w:val="sq-AL"/>
              </w:rPr>
              <w:t>47,012</w:t>
            </w:r>
          </w:p>
        </w:tc>
        <w:tc>
          <w:tcPr>
            <w:tcW w:w="762" w:type="dxa"/>
            <w:noWrap/>
            <w:vAlign w:val="center"/>
            <w:hideMark/>
          </w:tcPr>
          <w:p w14:paraId="1DE8B8F7"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1.7%</w:t>
            </w:r>
          </w:p>
        </w:tc>
        <w:tc>
          <w:tcPr>
            <w:tcW w:w="901" w:type="dxa"/>
            <w:noWrap/>
            <w:vAlign w:val="center"/>
            <w:hideMark/>
          </w:tcPr>
          <w:p w14:paraId="040C914F" w14:textId="77777777" w:rsidR="009E26DE" w:rsidRPr="00791F53" w:rsidRDefault="009E26DE" w:rsidP="00607DCB">
            <w:pPr>
              <w:spacing w:line="276" w:lineRule="auto"/>
              <w:jc w:val="both"/>
              <w:rPr>
                <w:i/>
                <w:iCs/>
                <w:sz w:val="20"/>
                <w:szCs w:val="20"/>
                <w:lang w:val="sq-AL"/>
              </w:rPr>
            </w:pPr>
            <w:r w:rsidRPr="00791F53">
              <w:rPr>
                <w:b/>
                <w:bCs/>
                <w:color w:val="000000"/>
                <w:sz w:val="20"/>
                <w:szCs w:val="20"/>
                <w:lang w:val="sq-AL"/>
              </w:rPr>
              <w:t>-2,086</w:t>
            </w:r>
          </w:p>
        </w:tc>
      </w:tr>
      <w:tr w:rsidR="00791F53" w:rsidRPr="00607DCB" w14:paraId="3CFAAACD" w14:textId="77777777" w:rsidTr="00A41DE9">
        <w:trPr>
          <w:trHeight w:val="216"/>
          <w:jc w:val="center"/>
        </w:trPr>
        <w:tc>
          <w:tcPr>
            <w:tcW w:w="461" w:type="dxa"/>
            <w:noWrap/>
            <w:vAlign w:val="bottom"/>
            <w:hideMark/>
          </w:tcPr>
          <w:p w14:paraId="3AA9B36D"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1B553564" w14:textId="77777777" w:rsidR="009E26DE" w:rsidRPr="00791F53" w:rsidRDefault="009E26DE" w:rsidP="00607DCB">
            <w:pPr>
              <w:spacing w:line="276" w:lineRule="auto"/>
              <w:jc w:val="both"/>
              <w:rPr>
                <w:i/>
                <w:iCs/>
                <w:sz w:val="20"/>
                <w:szCs w:val="20"/>
                <w:lang w:val="sq-AL"/>
              </w:rPr>
            </w:pPr>
            <w:r w:rsidRPr="00791F53">
              <w:rPr>
                <w:i/>
                <w:iCs/>
                <w:sz w:val="20"/>
                <w:szCs w:val="20"/>
                <w:lang w:val="sq-AL"/>
              </w:rPr>
              <w:t>Në sektorin e energjisë</w:t>
            </w:r>
          </w:p>
        </w:tc>
        <w:tc>
          <w:tcPr>
            <w:tcW w:w="1086" w:type="dxa"/>
            <w:noWrap/>
            <w:vAlign w:val="center"/>
            <w:hideMark/>
          </w:tcPr>
          <w:p w14:paraId="2EEDFA2C"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2,000</w:t>
            </w:r>
          </w:p>
        </w:tc>
        <w:tc>
          <w:tcPr>
            <w:tcW w:w="775" w:type="dxa"/>
            <w:vAlign w:val="center"/>
          </w:tcPr>
          <w:p w14:paraId="7AA33057" w14:textId="77777777" w:rsidR="009E26DE" w:rsidRPr="00791F53" w:rsidRDefault="009E26DE" w:rsidP="00607DCB">
            <w:pPr>
              <w:spacing w:line="276" w:lineRule="auto"/>
              <w:jc w:val="both"/>
              <w:rPr>
                <w:i/>
                <w:iCs/>
                <w:color w:val="000000"/>
                <w:sz w:val="20"/>
                <w:szCs w:val="20"/>
                <w:lang w:val="sq-AL"/>
              </w:rPr>
            </w:pPr>
            <w:r w:rsidRPr="00791F53">
              <w:rPr>
                <w:i/>
                <w:iCs/>
                <w:color w:val="000000"/>
                <w:sz w:val="20"/>
                <w:szCs w:val="20"/>
                <w:lang w:val="sq-AL"/>
              </w:rPr>
              <w:t>0.1%</w:t>
            </w:r>
          </w:p>
        </w:tc>
        <w:tc>
          <w:tcPr>
            <w:tcW w:w="1066" w:type="dxa"/>
            <w:noWrap/>
            <w:vAlign w:val="center"/>
            <w:hideMark/>
          </w:tcPr>
          <w:p w14:paraId="618268F2" w14:textId="77777777" w:rsidR="009E26DE" w:rsidRPr="00791F53" w:rsidRDefault="009E26DE" w:rsidP="00607DCB">
            <w:pPr>
              <w:spacing w:line="276" w:lineRule="auto"/>
              <w:jc w:val="both"/>
              <w:rPr>
                <w:i/>
                <w:iCs/>
                <w:sz w:val="20"/>
                <w:szCs w:val="20"/>
                <w:lang w:val="sq-AL"/>
              </w:rPr>
            </w:pPr>
          </w:p>
        </w:tc>
        <w:tc>
          <w:tcPr>
            <w:tcW w:w="762" w:type="dxa"/>
            <w:noWrap/>
            <w:vAlign w:val="center"/>
            <w:hideMark/>
          </w:tcPr>
          <w:p w14:paraId="6301091E" w14:textId="77777777" w:rsidR="009E26DE" w:rsidRPr="00791F53" w:rsidRDefault="009E26DE" w:rsidP="00607DCB">
            <w:pPr>
              <w:spacing w:line="276" w:lineRule="auto"/>
              <w:jc w:val="both"/>
              <w:rPr>
                <w:i/>
                <w:iCs/>
                <w:sz w:val="20"/>
                <w:szCs w:val="20"/>
                <w:lang w:val="sq-AL"/>
              </w:rPr>
            </w:pPr>
          </w:p>
        </w:tc>
        <w:tc>
          <w:tcPr>
            <w:tcW w:w="901" w:type="dxa"/>
            <w:noWrap/>
            <w:vAlign w:val="center"/>
            <w:hideMark/>
          </w:tcPr>
          <w:p w14:paraId="39C7B1BE" w14:textId="77777777" w:rsidR="009E26DE" w:rsidRPr="00791F53" w:rsidRDefault="009E26DE" w:rsidP="00607DCB">
            <w:pPr>
              <w:spacing w:line="276" w:lineRule="auto"/>
              <w:jc w:val="both"/>
              <w:rPr>
                <w:i/>
                <w:iCs/>
                <w:sz w:val="20"/>
                <w:szCs w:val="20"/>
                <w:lang w:val="sq-AL"/>
              </w:rPr>
            </w:pPr>
            <w:r w:rsidRPr="00791F53">
              <w:rPr>
                <w:b/>
                <w:bCs/>
                <w:color w:val="000000"/>
                <w:sz w:val="20"/>
                <w:szCs w:val="20"/>
                <w:lang w:val="sq-AL"/>
              </w:rPr>
              <w:t>-2,000</w:t>
            </w:r>
          </w:p>
        </w:tc>
      </w:tr>
      <w:tr w:rsidR="00791F53" w:rsidRPr="00607DCB" w14:paraId="42C217CD" w14:textId="77777777" w:rsidTr="00A41DE9">
        <w:trPr>
          <w:trHeight w:val="216"/>
          <w:jc w:val="center"/>
        </w:trPr>
        <w:tc>
          <w:tcPr>
            <w:tcW w:w="461" w:type="dxa"/>
            <w:noWrap/>
            <w:vAlign w:val="bottom"/>
            <w:hideMark/>
          </w:tcPr>
          <w:p w14:paraId="77776013"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39AD9E6E" w14:textId="6030963B" w:rsidR="009E26DE" w:rsidRPr="00791F53" w:rsidRDefault="009E26DE" w:rsidP="00607DCB">
            <w:pPr>
              <w:spacing w:line="276" w:lineRule="auto"/>
              <w:jc w:val="both"/>
              <w:rPr>
                <w:i/>
                <w:iCs/>
                <w:sz w:val="20"/>
                <w:szCs w:val="20"/>
                <w:lang w:val="sq-AL"/>
              </w:rPr>
            </w:pPr>
            <w:r w:rsidRPr="00791F53">
              <w:rPr>
                <w:i/>
                <w:iCs/>
                <w:sz w:val="20"/>
                <w:szCs w:val="20"/>
                <w:lang w:val="sq-AL"/>
              </w:rPr>
              <w:t>Prej Ne</w:t>
            </w:r>
            <w:r w:rsidR="00455816">
              <w:rPr>
                <w:i/>
                <w:iCs/>
                <w:sz w:val="20"/>
                <w:szCs w:val="20"/>
                <w:lang w:val="sq-AL"/>
              </w:rPr>
              <w:t>ë</w:t>
            </w:r>
            <w:r w:rsidRPr="00791F53">
              <w:rPr>
                <w:i/>
                <w:iCs/>
                <w:sz w:val="20"/>
                <w:szCs w:val="20"/>
                <w:lang w:val="sq-AL"/>
              </w:rPr>
              <w:t xml:space="preserve"> Gro</w:t>
            </w:r>
            <w:r w:rsidR="00455816">
              <w:rPr>
                <w:i/>
                <w:iCs/>
                <w:sz w:val="20"/>
                <w:szCs w:val="20"/>
                <w:lang w:val="sq-AL"/>
              </w:rPr>
              <w:t>ë</w:t>
            </w:r>
            <w:r w:rsidRPr="00791F53">
              <w:rPr>
                <w:i/>
                <w:iCs/>
                <w:sz w:val="20"/>
                <w:szCs w:val="20"/>
                <w:lang w:val="sq-AL"/>
              </w:rPr>
              <w:t>th Plan</w:t>
            </w:r>
          </w:p>
        </w:tc>
        <w:tc>
          <w:tcPr>
            <w:tcW w:w="1086" w:type="dxa"/>
            <w:noWrap/>
            <w:vAlign w:val="center"/>
            <w:hideMark/>
          </w:tcPr>
          <w:p w14:paraId="54A3C098"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 6,886</w:t>
            </w:r>
          </w:p>
        </w:tc>
        <w:tc>
          <w:tcPr>
            <w:tcW w:w="775" w:type="dxa"/>
            <w:vAlign w:val="center"/>
          </w:tcPr>
          <w:p w14:paraId="292070DF"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 </w:t>
            </w:r>
          </w:p>
        </w:tc>
        <w:tc>
          <w:tcPr>
            <w:tcW w:w="1066" w:type="dxa"/>
            <w:noWrap/>
            <w:vAlign w:val="center"/>
            <w:hideMark/>
          </w:tcPr>
          <w:p w14:paraId="5C96D2D5" w14:textId="77777777" w:rsidR="009E26DE" w:rsidRPr="00791F53" w:rsidRDefault="009E26DE" w:rsidP="00607DCB">
            <w:pPr>
              <w:spacing w:line="276" w:lineRule="auto"/>
              <w:jc w:val="both"/>
              <w:rPr>
                <w:i/>
                <w:iCs/>
                <w:sz w:val="20"/>
                <w:szCs w:val="20"/>
                <w:lang w:val="sq-AL"/>
              </w:rPr>
            </w:pPr>
            <w:r w:rsidRPr="00791F53">
              <w:rPr>
                <w:i/>
                <w:iCs/>
                <w:color w:val="000000"/>
                <w:sz w:val="20"/>
                <w:szCs w:val="20"/>
                <w:lang w:val="sq-AL"/>
              </w:rPr>
              <w:t>6,800 </w:t>
            </w:r>
          </w:p>
        </w:tc>
        <w:tc>
          <w:tcPr>
            <w:tcW w:w="762" w:type="dxa"/>
            <w:noWrap/>
            <w:vAlign w:val="center"/>
            <w:hideMark/>
          </w:tcPr>
          <w:p w14:paraId="21231B95" w14:textId="77777777" w:rsidR="009E26DE" w:rsidRPr="00791F53" w:rsidRDefault="009E26DE" w:rsidP="00607DCB">
            <w:pPr>
              <w:spacing w:line="276" w:lineRule="auto"/>
              <w:jc w:val="both"/>
              <w:rPr>
                <w:i/>
                <w:iCs/>
                <w:sz w:val="20"/>
                <w:szCs w:val="20"/>
                <w:lang w:val="sq-AL"/>
              </w:rPr>
            </w:pPr>
            <w:r w:rsidRPr="00791F53">
              <w:rPr>
                <w:color w:val="000000"/>
                <w:sz w:val="20"/>
                <w:szCs w:val="20"/>
                <w:lang w:val="sq-AL"/>
              </w:rPr>
              <w:t>0.2% </w:t>
            </w:r>
          </w:p>
        </w:tc>
        <w:tc>
          <w:tcPr>
            <w:tcW w:w="901" w:type="dxa"/>
            <w:noWrap/>
            <w:vAlign w:val="center"/>
            <w:hideMark/>
          </w:tcPr>
          <w:p w14:paraId="5AE5F3AD" w14:textId="77777777" w:rsidR="009E26DE" w:rsidRPr="00791F53" w:rsidRDefault="009E26DE" w:rsidP="00607DCB">
            <w:pPr>
              <w:spacing w:line="276" w:lineRule="auto"/>
              <w:jc w:val="both"/>
              <w:rPr>
                <w:i/>
                <w:iCs/>
                <w:sz w:val="20"/>
                <w:szCs w:val="20"/>
                <w:lang w:val="sq-AL"/>
              </w:rPr>
            </w:pPr>
            <w:r w:rsidRPr="00791F53">
              <w:rPr>
                <w:b/>
                <w:bCs/>
                <w:color w:val="000000"/>
                <w:sz w:val="20"/>
                <w:szCs w:val="20"/>
                <w:lang w:val="sq-AL"/>
              </w:rPr>
              <w:t>-86 </w:t>
            </w:r>
          </w:p>
        </w:tc>
      </w:tr>
      <w:tr w:rsidR="00791F53" w:rsidRPr="00607DCB" w14:paraId="10CF0ED2" w14:textId="77777777" w:rsidTr="00A41DE9">
        <w:trPr>
          <w:trHeight w:val="216"/>
          <w:jc w:val="center"/>
        </w:trPr>
        <w:tc>
          <w:tcPr>
            <w:tcW w:w="461" w:type="dxa"/>
            <w:noWrap/>
            <w:vAlign w:val="bottom"/>
            <w:hideMark/>
          </w:tcPr>
          <w:p w14:paraId="2B17F927"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51BE134D" w14:textId="77777777" w:rsidR="009E26DE" w:rsidRPr="00791F53" w:rsidRDefault="009E26DE" w:rsidP="00607DCB">
            <w:pPr>
              <w:spacing w:line="276" w:lineRule="auto"/>
              <w:jc w:val="both"/>
              <w:rPr>
                <w:sz w:val="20"/>
                <w:szCs w:val="20"/>
                <w:lang w:val="sq-AL"/>
              </w:rPr>
            </w:pPr>
            <w:r w:rsidRPr="00791F53">
              <w:rPr>
                <w:sz w:val="20"/>
                <w:szCs w:val="20"/>
                <w:lang w:val="sq-AL"/>
              </w:rPr>
              <w:t>Trans. Kapitale për llog. Speciale të shpronësimeve</w:t>
            </w:r>
          </w:p>
        </w:tc>
        <w:tc>
          <w:tcPr>
            <w:tcW w:w="1086" w:type="dxa"/>
            <w:noWrap/>
            <w:vAlign w:val="center"/>
            <w:hideMark/>
          </w:tcPr>
          <w:p w14:paraId="03F74B6A" w14:textId="77777777" w:rsidR="009E26DE" w:rsidRPr="00791F53" w:rsidRDefault="009E26DE" w:rsidP="00607DCB">
            <w:pPr>
              <w:spacing w:line="276" w:lineRule="auto"/>
              <w:jc w:val="both"/>
              <w:rPr>
                <w:i/>
                <w:iCs/>
                <w:sz w:val="20"/>
                <w:szCs w:val="20"/>
                <w:lang w:val="sq-AL"/>
              </w:rPr>
            </w:pPr>
          </w:p>
        </w:tc>
        <w:tc>
          <w:tcPr>
            <w:tcW w:w="775" w:type="dxa"/>
            <w:vAlign w:val="center"/>
          </w:tcPr>
          <w:p w14:paraId="4114DE33" w14:textId="77777777" w:rsidR="009E26DE" w:rsidRPr="00791F53" w:rsidRDefault="009E26DE" w:rsidP="00607DCB">
            <w:pPr>
              <w:spacing w:line="276" w:lineRule="auto"/>
              <w:jc w:val="both"/>
              <w:rPr>
                <w:color w:val="000000"/>
                <w:sz w:val="20"/>
                <w:szCs w:val="20"/>
                <w:lang w:val="sq-AL"/>
              </w:rPr>
            </w:pPr>
          </w:p>
        </w:tc>
        <w:tc>
          <w:tcPr>
            <w:tcW w:w="1066" w:type="dxa"/>
            <w:noWrap/>
            <w:vAlign w:val="center"/>
            <w:hideMark/>
          </w:tcPr>
          <w:p w14:paraId="589D294F" w14:textId="77777777" w:rsidR="009E26DE" w:rsidRPr="00791F53" w:rsidRDefault="009E26DE" w:rsidP="00607DCB">
            <w:pPr>
              <w:spacing w:line="276" w:lineRule="auto"/>
              <w:jc w:val="both"/>
              <w:rPr>
                <w:sz w:val="20"/>
                <w:szCs w:val="20"/>
                <w:lang w:val="sq-AL"/>
              </w:rPr>
            </w:pPr>
          </w:p>
        </w:tc>
        <w:tc>
          <w:tcPr>
            <w:tcW w:w="762" w:type="dxa"/>
            <w:noWrap/>
            <w:vAlign w:val="center"/>
            <w:hideMark/>
          </w:tcPr>
          <w:p w14:paraId="2046B349" w14:textId="77777777" w:rsidR="009E26DE" w:rsidRPr="00791F53" w:rsidRDefault="009E26DE" w:rsidP="00607DCB">
            <w:pPr>
              <w:spacing w:line="276" w:lineRule="auto"/>
              <w:jc w:val="both"/>
              <w:rPr>
                <w:sz w:val="20"/>
                <w:szCs w:val="20"/>
                <w:lang w:val="sq-AL"/>
              </w:rPr>
            </w:pPr>
          </w:p>
        </w:tc>
        <w:tc>
          <w:tcPr>
            <w:tcW w:w="901" w:type="dxa"/>
            <w:noWrap/>
            <w:vAlign w:val="center"/>
            <w:hideMark/>
          </w:tcPr>
          <w:p w14:paraId="5358CD76" w14:textId="77777777" w:rsidR="009E26DE" w:rsidRPr="00791F53" w:rsidRDefault="009E26DE" w:rsidP="00607DCB">
            <w:pPr>
              <w:spacing w:line="276" w:lineRule="auto"/>
              <w:jc w:val="both"/>
              <w:rPr>
                <w:i/>
                <w:iCs/>
                <w:sz w:val="20"/>
                <w:szCs w:val="20"/>
                <w:lang w:val="sq-AL"/>
              </w:rPr>
            </w:pPr>
            <w:r w:rsidRPr="00791F53">
              <w:rPr>
                <w:b/>
                <w:bCs/>
                <w:color w:val="000000"/>
                <w:sz w:val="20"/>
                <w:szCs w:val="20"/>
                <w:lang w:val="sq-AL"/>
              </w:rPr>
              <w:t>0</w:t>
            </w:r>
          </w:p>
        </w:tc>
      </w:tr>
      <w:tr w:rsidR="00791F53" w:rsidRPr="00607DCB" w14:paraId="5419A5E0" w14:textId="77777777" w:rsidTr="00A41DE9">
        <w:trPr>
          <w:trHeight w:val="216"/>
          <w:jc w:val="center"/>
        </w:trPr>
        <w:tc>
          <w:tcPr>
            <w:tcW w:w="461" w:type="dxa"/>
            <w:noWrap/>
            <w:vAlign w:val="bottom"/>
            <w:hideMark/>
          </w:tcPr>
          <w:p w14:paraId="727857CA"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0DCCE7DB" w14:textId="77777777" w:rsidR="009E26DE" w:rsidRPr="00791F53" w:rsidRDefault="009E26DE" w:rsidP="00607DCB">
            <w:pPr>
              <w:spacing w:line="276" w:lineRule="auto"/>
              <w:jc w:val="both"/>
              <w:rPr>
                <w:sz w:val="20"/>
                <w:szCs w:val="20"/>
                <w:lang w:val="sq-AL"/>
              </w:rPr>
            </w:pPr>
            <w:r w:rsidRPr="00791F53">
              <w:rPr>
                <w:sz w:val="20"/>
                <w:szCs w:val="20"/>
                <w:lang w:val="sq-AL"/>
              </w:rPr>
              <w:t>Fondi i ri-ndërtimit pas tërmetit:</w:t>
            </w:r>
          </w:p>
        </w:tc>
        <w:tc>
          <w:tcPr>
            <w:tcW w:w="1086" w:type="dxa"/>
            <w:noWrap/>
            <w:vAlign w:val="center"/>
            <w:hideMark/>
          </w:tcPr>
          <w:p w14:paraId="08E77FA0" w14:textId="77777777" w:rsidR="009E26DE" w:rsidRPr="00791F53" w:rsidRDefault="009E26DE" w:rsidP="00607DCB">
            <w:pPr>
              <w:spacing w:line="276" w:lineRule="auto"/>
              <w:jc w:val="both"/>
              <w:rPr>
                <w:sz w:val="20"/>
                <w:szCs w:val="20"/>
                <w:lang w:val="sq-AL"/>
              </w:rPr>
            </w:pPr>
            <w:r w:rsidRPr="00791F53">
              <w:rPr>
                <w:sz w:val="20"/>
                <w:szCs w:val="20"/>
                <w:lang w:val="sq-AL"/>
              </w:rPr>
              <w:t>5,000</w:t>
            </w:r>
          </w:p>
        </w:tc>
        <w:tc>
          <w:tcPr>
            <w:tcW w:w="775" w:type="dxa"/>
            <w:vAlign w:val="center"/>
          </w:tcPr>
          <w:p w14:paraId="3417C00B"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0.2%</w:t>
            </w:r>
          </w:p>
        </w:tc>
        <w:tc>
          <w:tcPr>
            <w:tcW w:w="1066" w:type="dxa"/>
            <w:noWrap/>
            <w:vAlign w:val="center"/>
            <w:hideMark/>
          </w:tcPr>
          <w:p w14:paraId="0E2F3234"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5,000</w:t>
            </w:r>
          </w:p>
        </w:tc>
        <w:tc>
          <w:tcPr>
            <w:tcW w:w="762" w:type="dxa"/>
            <w:noWrap/>
            <w:vAlign w:val="center"/>
            <w:hideMark/>
          </w:tcPr>
          <w:p w14:paraId="43A59DF4"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0.2%</w:t>
            </w:r>
          </w:p>
        </w:tc>
        <w:tc>
          <w:tcPr>
            <w:tcW w:w="901" w:type="dxa"/>
            <w:noWrap/>
            <w:vAlign w:val="center"/>
            <w:hideMark/>
          </w:tcPr>
          <w:p w14:paraId="43A961CC" w14:textId="77777777" w:rsidR="009E26DE" w:rsidRPr="00791F53" w:rsidRDefault="009E26DE" w:rsidP="00607DCB">
            <w:pPr>
              <w:spacing w:line="276" w:lineRule="auto"/>
              <w:jc w:val="both"/>
              <w:rPr>
                <w:sz w:val="20"/>
                <w:szCs w:val="20"/>
                <w:lang w:val="sq-AL"/>
              </w:rPr>
            </w:pPr>
            <w:r w:rsidRPr="00791F53">
              <w:rPr>
                <w:b/>
                <w:bCs/>
                <w:color w:val="000000"/>
                <w:sz w:val="20"/>
                <w:szCs w:val="20"/>
                <w:lang w:val="sq-AL"/>
              </w:rPr>
              <w:t>0</w:t>
            </w:r>
          </w:p>
        </w:tc>
      </w:tr>
      <w:tr w:rsidR="00791F53" w:rsidRPr="00607DCB" w14:paraId="1E82F627" w14:textId="77777777" w:rsidTr="00A41DE9">
        <w:trPr>
          <w:trHeight w:val="216"/>
          <w:jc w:val="center"/>
        </w:trPr>
        <w:tc>
          <w:tcPr>
            <w:tcW w:w="461" w:type="dxa"/>
            <w:noWrap/>
            <w:vAlign w:val="bottom"/>
            <w:hideMark/>
          </w:tcPr>
          <w:p w14:paraId="76FD6940" w14:textId="77777777" w:rsidR="009E26DE" w:rsidRPr="00607DCB" w:rsidRDefault="009E26DE" w:rsidP="00607DCB">
            <w:pPr>
              <w:spacing w:line="276" w:lineRule="auto"/>
              <w:jc w:val="both"/>
              <w:rPr>
                <w:sz w:val="24"/>
                <w:szCs w:val="24"/>
                <w:lang w:val="sq-AL"/>
              </w:rPr>
            </w:pPr>
            <w:r w:rsidRPr="00607DCB">
              <w:rPr>
                <w:sz w:val="24"/>
                <w:szCs w:val="24"/>
                <w:lang w:val="sq-AL"/>
              </w:rPr>
              <w:t> </w:t>
            </w:r>
          </w:p>
        </w:tc>
        <w:tc>
          <w:tcPr>
            <w:tcW w:w="4299" w:type="dxa"/>
            <w:noWrap/>
            <w:vAlign w:val="bottom"/>
            <w:hideMark/>
          </w:tcPr>
          <w:p w14:paraId="72BBA526" w14:textId="77777777" w:rsidR="009E26DE" w:rsidRPr="00791F53" w:rsidRDefault="009E26DE" w:rsidP="00607DCB">
            <w:pPr>
              <w:spacing w:line="276" w:lineRule="auto"/>
              <w:jc w:val="both"/>
              <w:rPr>
                <w:sz w:val="20"/>
                <w:szCs w:val="20"/>
                <w:lang w:val="sq-AL"/>
              </w:rPr>
            </w:pPr>
            <w:r w:rsidRPr="00791F53">
              <w:rPr>
                <w:sz w:val="20"/>
                <w:szCs w:val="20"/>
                <w:lang w:val="sq-AL"/>
              </w:rPr>
              <w:t>Fondi i ri-ndërtimit pas tërmetit (buxheti i shtetit)</w:t>
            </w:r>
          </w:p>
        </w:tc>
        <w:tc>
          <w:tcPr>
            <w:tcW w:w="1086" w:type="dxa"/>
            <w:noWrap/>
            <w:vAlign w:val="center"/>
            <w:hideMark/>
          </w:tcPr>
          <w:p w14:paraId="23BB8809"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5,000</w:t>
            </w:r>
          </w:p>
        </w:tc>
        <w:tc>
          <w:tcPr>
            <w:tcW w:w="775" w:type="dxa"/>
            <w:vAlign w:val="center"/>
          </w:tcPr>
          <w:p w14:paraId="6C5E8407" w14:textId="77777777" w:rsidR="009E26DE" w:rsidRPr="00791F53" w:rsidRDefault="009E26DE" w:rsidP="00607DCB">
            <w:pPr>
              <w:spacing w:line="276" w:lineRule="auto"/>
              <w:jc w:val="both"/>
              <w:rPr>
                <w:color w:val="000000"/>
                <w:sz w:val="20"/>
                <w:szCs w:val="20"/>
                <w:lang w:val="sq-AL"/>
              </w:rPr>
            </w:pPr>
            <w:r w:rsidRPr="00791F53">
              <w:rPr>
                <w:color w:val="000000"/>
                <w:sz w:val="20"/>
                <w:szCs w:val="20"/>
                <w:lang w:val="sq-AL"/>
              </w:rPr>
              <w:t>0.2%</w:t>
            </w:r>
          </w:p>
        </w:tc>
        <w:tc>
          <w:tcPr>
            <w:tcW w:w="1066" w:type="dxa"/>
            <w:noWrap/>
            <w:vAlign w:val="center"/>
            <w:hideMark/>
          </w:tcPr>
          <w:p w14:paraId="00FBFAAE" w14:textId="77777777" w:rsidR="009E26DE" w:rsidRPr="00791F53" w:rsidRDefault="009E26DE" w:rsidP="00607DCB">
            <w:pPr>
              <w:spacing w:line="276" w:lineRule="auto"/>
              <w:jc w:val="both"/>
              <w:rPr>
                <w:sz w:val="20"/>
                <w:szCs w:val="20"/>
                <w:lang w:val="sq-AL"/>
              </w:rPr>
            </w:pPr>
            <w:r w:rsidRPr="00791F53">
              <w:rPr>
                <w:sz w:val="20"/>
                <w:szCs w:val="20"/>
                <w:lang w:val="sq-AL"/>
              </w:rPr>
              <w:t>5,000</w:t>
            </w:r>
          </w:p>
        </w:tc>
        <w:tc>
          <w:tcPr>
            <w:tcW w:w="762" w:type="dxa"/>
            <w:noWrap/>
            <w:vAlign w:val="center"/>
            <w:hideMark/>
          </w:tcPr>
          <w:p w14:paraId="5DCC9BAF" w14:textId="77777777" w:rsidR="009E26DE" w:rsidRPr="00791F53" w:rsidRDefault="009E26DE" w:rsidP="00607DCB">
            <w:pPr>
              <w:spacing w:line="276" w:lineRule="auto"/>
              <w:jc w:val="both"/>
              <w:rPr>
                <w:sz w:val="20"/>
                <w:szCs w:val="20"/>
                <w:lang w:val="sq-AL"/>
              </w:rPr>
            </w:pPr>
            <w:r w:rsidRPr="00791F53">
              <w:rPr>
                <w:color w:val="000000"/>
                <w:sz w:val="20"/>
                <w:szCs w:val="20"/>
                <w:lang w:val="sq-AL"/>
              </w:rPr>
              <w:t>0.2%</w:t>
            </w:r>
          </w:p>
        </w:tc>
        <w:tc>
          <w:tcPr>
            <w:tcW w:w="901" w:type="dxa"/>
            <w:noWrap/>
            <w:vAlign w:val="center"/>
            <w:hideMark/>
          </w:tcPr>
          <w:p w14:paraId="0D7D6471" w14:textId="77777777" w:rsidR="009E26DE" w:rsidRPr="00791F53" w:rsidRDefault="009E26DE" w:rsidP="00607DCB">
            <w:pPr>
              <w:spacing w:line="276" w:lineRule="auto"/>
              <w:jc w:val="both"/>
              <w:rPr>
                <w:sz w:val="20"/>
                <w:szCs w:val="20"/>
                <w:lang w:val="sq-AL"/>
              </w:rPr>
            </w:pPr>
            <w:r w:rsidRPr="00791F53">
              <w:rPr>
                <w:b/>
                <w:bCs/>
                <w:color w:val="000000"/>
                <w:sz w:val="20"/>
                <w:szCs w:val="20"/>
                <w:lang w:val="sq-AL"/>
              </w:rPr>
              <w:t>0</w:t>
            </w:r>
          </w:p>
        </w:tc>
      </w:tr>
      <w:tr w:rsidR="00791F53" w:rsidRPr="00607DCB" w14:paraId="32883A57" w14:textId="77777777" w:rsidTr="00A41DE9">
        <w:trPr>
          <w:trHeight w:val="216"/>
          <w:jc w:val="center"/>
        </w:trPr>
        <w:tc>
          <w:tcPr>
            <w:tcW w:w="461" w:type="dxa"/>
            <w:noWrap/>
            <w:vAlign w:val="bottom"/>
            <w:hideMark/>
          </w:tcPr>
          <w:p w14:paraId="212A0B5D" w14:textId="77777777" w:rsidR="009E26DE" w:rsidRPr="00607DCB" w:rsidRDefault="009E26DE" w:rsidP="00607DCB">
            <w:pPr>
              <w:spacing w:line="276" w:lineRule="auto"/>
              <w:jc w:val="both"/>
              <w:rPr>
                <w:i/>
                <w:iCs/>
                <w:sz w:val="24"/>
                <w:szCs w:val="24"/>
                <w:lang w:val="sq-AL"/>
              </w:rPr>
            </w:pPr>
            <w:r w:rsidRPr="00607DCB">
              <w:rPr>
                <w:i/>
                <w:iCs/>
                <w:sz w:val="24"/>
                <w:szCs w:val="24"/>
                <w:lang w:val="sq-AL"/>
              </w:rPr>
              <w:t> </w:t>
            </w:r>
          </w:p>
        </w:tc>
        <w:tc>
          <w:tcPr>
            <w:tcW w:w="4299" w:type="dxa"/>
            <w:noWrap/>
            <w:vAlign w:val="bottom"/>
            <w:hideMark/>
          </w:tcPr>
          <w:p w14:paraId="6502B66A" w14:textId="77777777" w:rsidR="009E26DE" w:rsidRPr="00791F53" w:rsidRDefault="009E26DE" w:rsidP="00607DCB">
            <w:pPr>
              <w:spacing w:line="276" w:lineRule="auto"/>
              <w:jc w:val="both"/>
              <w:rPr>
                <w:b/>
                <w:bCs/>
                <w:i/>
                <w:iCs/>
                <w:sz w:val="20"/>
                <w:szCs w:val="20"/>
                <w:lang w:val="sq-AL"/>
              </w:rPr>
            </w:pPr>
            <w:r w:rsidRPr="00791F53">
              <w:rPr>
                <w:b/>
                <w:bCs/>
                <w:i/>
                <w:iCs/>
                <w:sz w:val="20"/>
                <w:szCs w:val="20"/>
                <w:lang w:val="sq-AL"/>
              </w:rPr>
              <w:t xml:space="preserve">Produkti i Brendshem Bruto (PBB) </w:t>
            </w:r>
          </w:p>
        </w:tc>
        <w:tc>
          <w:tcPr>
            <w:tcW w:w="1086" w:type="dxa"/>
            <w:noWrap/>
            <w:vAlign w:val="center"/>
            <w:hideMark/>
          </w:tcPr>
          <w:p w14:paraId="341CF339" w14:textId="77777777" w:rsidR="009E26DE" w:rsidRPr="00791F53" w:rsidRDefault="009E26DE" w:rsidP="00607DCB">
            <w:pPr>
              <w:spacing w:line="276" w:lineRule="auto"/>
              <w:jc w:val="both"/>
              <w:rPr>
                <w:b/>
                <w:bCs/>
                <w:i/>
                <w:iCs/>
                <w:sz w:val="20"/>
                <w:szCs w:val="20"/>
                <w:lang w:val="sq-AL"/>
              </w:rPr>
            </w:pPr>
            <w:r w:rsidRPr="00791F53">
              <w:rPr>
                <w:b/>
                <w:bCs/>
                <w:i/>
                <w:iCs/>
                <w:color w:val="000000"/>
                <w:sz w:val="20"/>
                <w:szCs w:val="20"/>
                <w:lang w:val="sq-AL"/>
              </w:rPr>
              <w:t>2,756,663</w:t>
            </w:r>
          </w:p>
        </w:tc>
        <w:tc>
          <w:tcPr>
            <w:tcW w:w="775" w:type="dxa"/>
            <w:vAlign w:val="center"/>
          </w:tcPr>
          <w:p w14:paraId="55ABAF11" w14:textId="77777777" w:rsidR="009E26DE" w:rsidRPr="00791F53" w:rsidRDefault="009E26DE" w:rsidP="00607DCB">
            <w:pPr>
              <w:spacing w:line="276" w:lineRule="auto"/>
              <w:jc w:val="both"/>
              <w:rPr>
                <w:b/>
                <w:bCs/>
                <w:i/>
                <w:iCs/>
                <w:color w:val="000000"/>
                <w:sz w:val="20"/>
                <w:szCs w:val="20"/>
                <w:lang w:val="sq-AL"/>
              </w:rPr>
            </w:pPr>
            <w:r w:rsidRPr="00791F53">
              <w:rPr>
                <w:b/>
                <w:bCs/>
                <w:i/>
                <w:iCs/>
                <w:color w:val="000000"/>
                <w:sz w:val="20"/>
                <w:szCs w:val="20"/>
                <w:lang w:val="sq-AL"/>
              </w:rPr>
              <w:t>100% </w:t>
            </w:r>
          </w:p>
        </w:tc>
        <w:tc>
          <w:tcPr>
            <w:tcW w:w="1066" w:type="dxa"/>
            <w:noWrap/>
            <w:vAlign w:val="center"/>
            <w:hideMark/>
          </w:tcPr>
          <w:p w14:paraId="36680574" w14:textId="77777777" w:rsidR="009E26DE" w:rsidRPr="00791F53" w:rsidRDefault="009E26DE" w:rsidP="00607DCB">
            <w:pPr>
              <w:spacing w:line="276" w:lineRule="auto"/>
              <w:jc w:val="both"/>
              <w:rPr>
                <w:b/>
                <w:bCs/>
                <w:i/>
                <w:iCs/>
                <w:sz w:val="20"/>
                <w:szCs w:val="20"/>
                <w:lang w:val="sq-AL"/>
              </w:rPr>
            </w:pPr>
            <w:r w:rsidRPr="00791F53">
              <w:rPr>
                <w:b/>
                <w:bCs/>
                <w:i/>
                <w:iCs/>
                <w:color w:val="000000"/>
                <w:sz w:val="20"/>
                <w:szCs w:val="20"/>
                <w:lang w:val="sq-AL"/>
              </w:rPr>
              <w:t>2,781,433</w:t>
            </w:r>
          </w:p>
        </w:tc>
        <w:tc>
          <w:tcPr>
            <w:tcW w:w="762" w:type="dxa"/>
            <w:noWrap/>
            <w:vAlign w:val="center"/>
            <w:hideMark/>
          </w:tcPr>
          <w:p w14:paraId="4FA60AA8" w14:textId="77777777" w:rsidR="009E26DE" w:rsidRPr="00791F53" w:rsidRDefault="009E26DE" w:rsidP="00607DCB">
            <w:pPr>
              <w:spacing w:line="276" w:lineRule="auto"/>
              <w:jc w:val="both"/>
              <w:rPr>
                <w:b/>
                <w:bCs/>
                <w:i/>
                <w:iCs/>
                <w:sz w:val="20"/>
                <w:szCs w:val="20"/>
                <w:lang w:val="sq-AL"/>
              </w:rPr>
            </w:pPr>
            <w:r w:rsidRPr="00791F53">
              <w:rPr>
                <w:b/>
                <w:bCs/>
                <w:i/>
                <w:iCs/>
                <w:color w:val="000000"/>
                <w:sz w:val="20"/>
                <w:szCs w:val="20"/>
                <w:lang w:val="sq-AL"/>
              </w:rPr>
              <w:t>100%</w:t>
            </w:r>
          </w:p>
        </w:tc>
        <w:tc>
          <w:tcPr>
            <w:tcW w:w="901" w:type="dxa"/>
            <w:noWrap/>
            <w:vAlign w:val="center"/>
            <w:hideMark/>
          </w:tcPr>
          <w:p w14:paraId="2FF3AEDE" w14:textId="77777777" w:rsidR="009E26DE" w:rsidRPr="00791F53" w:rsidRDefault="009E26DE" w:rsidP="00607DCB">
            <w:pPr>
              <w:spacing w:line="276" w:lineRule="auto"/>
              <w:jc w:val="both"/>
              <w:rPr>
                <w:b/>
                <w:bCs/>
                <w:i/>
                <w:iCs/>
                <w:sz w:val="20"/>
                <w:szCs w:val="20"/>
                <w:lang w:val="sq-AL"/>
              </w:rPr>
            </w:pPr>
            <w:r w:rsidRPr="00791F53">
              <w:rPr>
                <w:b/>
                <w:bCs/>
                <w:i/>
                <w:iCs/>
                <w:color w:val="000000"/>
                <w:sz w:val="20"/>
                <w:szCs w:val="20"/>
                <w:lang w:val="sq-AL"/>
              </w:rPr>
              <w:t>24,770</w:t>
            </w:r>
          </w:p>
        </w:tc>
      </w:tr>
    </w:tbl>
    <w:p w14:paraId="00F8F194" w14:textId="77777777" w:rsidR="00A41DE9" w:rsidRPr="00A41DE9" w:rsidRDefault="00A41DE9" w:rsidP="00A41DE9">
      <w:pPr>
        <w:spacing w:after="120" w:line="276" w:lineRule="auto"/>
        <w:jc w:val="both"/>
        <w:rPr>
          <w:rFonts w:eastAsia="Arial Narrow"/>
          <w:i/>
          <w:iCs/>
          <w:color w:val="000000"/>
          <w:sz w:val="20"/>
          <w:szCs w:val="20"/>
          <w:lang w:val="sq-AL"/>
        </w:rPr>
      </w:pPr>
      <w:r w:rsidRPr="00A41DE9">
        <w:rPr>
          <w:rFonts w:eastAsia="Arial Narrow"/>
          <w:i/>
          <w:iCs/>
          <w:sz w:val="20"/>
          <w:szCs w:val="20"/>
          <w:lang w:val="sq-AL"/>
        </w:rPr>
        <w:t>Burimi: Ministria e Financave (2026)</w:t>
      </w:r>
    </w:p>
    <w:p w14:paraId="36E73648" w14:textId="77777777" w:rsidR="009E26DE" w:rsidRPr="00607DCB" w:rsidRDefault="009E26DE" w:rsidP="00607DCB">
      <w:pPr>
        <w:spacing w:line="276" w:lineRule="auto"/>
        <w:rPr>
          <w:rStyle w:val="jlqj4b"/>
          <w:sz w:val="24"/>
          <w:szCs w:val="24"/>
          <w:lang w:val="sq-AL"/>
        </w:rPr>
      </w:pPr>
    </w:p>
    <w:p w14:paraId="54B417A7" w14:textId="77777777" w:rsidR="009E26DE" w:rsidRPr="00607DCB" w:rsidRDefault="009E26DE" w:rsidP="00607DCB">
      <w:pPr>
        <w:tabs>
          <w:tab w:val="left" w:pos="426"/>
        </w:tabs>
        <w:spacing w:line="276" w:lineRule="auto"/>
        <w:jc w:val="both"/>
        <w:rPr>
          <w:iCs/>
          <w:noProof/>
          <w:color w:val="000000" w:themeColor="text1"/>
          <w:sz w:val="24"/>
          <w:szCs w:val="24"/>
          <w:lang w:val="sq-AL"/>
        </w:rPr>
      </w:pPr>
      <w:r w:rsidRPr="00607DCB">
        <w:rPr>
          <w:iCs/>
          <w:noProof/>
          <w:color w:val="000000" w:themeColor="text1"/>
          <w:sz w:val="24"/>
          <w:szCs w:val="24"/>
          <w:lang w:val="sq-AL"/>
        </w:rPr>
        <w:t>Ecuria e realizimit të shpenzimeve kapitale gjatë vitit 2025 ka reflektuar një performancë përgjithësisht të qëndrueshme, duke u karakterizuar nga një devijim prej rreth 15% në raport me parashikimet e përcaktuara në Ligjin e Buxhetit për vitin 2025, si dhe në kuadrin e rishikuar makroekonomik dhe fiskal.</w:t>
      </w:r>
    </w:p>
    <w:p w14:paraId="1BFC3DFB" w14:textId="77777777" w:rsidR="009E26DE" w:rsidRPr="00607DCB" w:rsidRDefault="009E26DE" w:rsidP="00607DCB">
      <w:pPr>
        <w:tabs>
          <w:tab w:val="left" w:pos="426"/>
        </w:tabs>
        <w:spacing w:line="276" w:lineRule="auto"/>
        <w:jc w:val="both"/>
        <w:rPr>
          <w:iCs/>
          <w:noProof/>
          <w:color w:val="000000" w:themeColor="text1"/>
          <w:sz w:val="24"/>
          <w:szCs w:val="24"/>
          <w:lang w:val="sq-AL"/>
        </w:rPr>
      </w:pPr>
    </w:p>
    <w:p w14:paraId="36E297A2" w14:textId="77777777" w:rsidR="009E26DE" w:rsidRPr="00607DCB" w:rsidRDefault="009E26DE" w:rsidP="00607DCB">
      <w:pPr>
        <w:tabs>
          <w:tab w:val="left" w:pos="426"/>
        </w:tabs>
        <w:spacing w:line="276" w:lineRule="auto"/>
        <w:jc w:val="both"/>
        <w:rPr>
          <w:iCs/>
          <w:noProof/>
          <w:color w:val="000000" w:themeColor="text1"/>
          <w:sz w:val="24"/>
          <w:szCs w:val="24"/>
          <w:lang w:val="sq-AL"/>
        </w:rPr>
      </w:pPr>
      <w:r w:rsidRPr="00607DCB">
        <w:rPr>
          <w:iCs/>
          <w:noProof/>
          <w:color w:val="000000" w:themeColor="text1"/>
          <w:sz w:val="24"/>
          <w:szCs w:val="24"/>
          <w:lang w:val="sq-AL"/>
        </w:rPr>
        <w:t>Në vijim, për vitin 2026, shpenzimet kapitale janë planifikuar të ndjekin një trajektore rritëse, në përputhje me dinamikën e viteve të fundit. Njëkohësisht, në kuadër të reformave të ndërmarra për përmirësimin e mëtejshëm të procedurave të menaxhimit të investimeve publike (</w:t>
      </w:r>
      <w:r w:rsidRPr="00607DCB">
        <w:rPr>
          <w:i/>
          <w:noProof/>
          <w:color w:val="000000" w:themeColor="text1"/>
          <w:sz w:val="24"/>
          <w:szCs w:val="24"/>
          <w:lang w:val="sq-AL"/>
        </w:rPr>
        <w:t>VKM nr. 887/2022 “Për procedurat e menaxhimit të investimeve publike”, i ndryshuar)</w:t>
      </w:r>
      <w:r w:rsidRPr="00607DCB">
        <w:rPr>
          <w:iCs/>
          <w:noProof/>
          <w:color w:val="000000" w:themeColor="text1"/>
          <w:sz w:val="24"/>
          <w:szCs w:val="24"/>
          <w:lang w:val="sq-AL"/>
        </w:rPr>
        <w:t>, synohet forcimi i kapaciteteve zbatuese dhe rritja e cilësisë së realizimit të investimeve publike, në përputhje të plotë me përcaktimet e Ligjit të Buxhetit për vitin 2026.</w:t>
      </w:r>
    </w:p>
    <w:p w14:paraId="2DDFE656" w14:textId="77777777" w:rsidR="009E26DE" w:rsidRPr="00607DCB" w:rsidRDefault="009E26DE" w:rsidP="00607DCB">
      <w:pPr>
        <w:tabs>
          <w:tab w:val="left" w:pos="426"/>
        </w:tabs>
        <w:spacing w:line="276" w:lineRule="auto"/>
        <w:jc w:val="both"/>
        <w:rPr>
          <w:iCs/>
          <w:noProof/>
          <w:sz w:val="24"/>
          <w:szCs w:val="24"/>
          <w:lang w:val="sq-AL"/>
        </w:rPr>
      </w:pPr>
    </w:p>
    <w:p w14:paraId="01944BD6" w14:textId="77777777" w:rsidR="009E26DE" w:rsidRPr="00607DCB" w:rsidRDefault="009E26DE" w:rsidP="00607DCB">
      <w:pPr>
        <w:spacing w:line="276" w:lineRule="auto"/>
        <w:jc w:val="both"/>
        <w:rPr>
          <w:color w:val="000000"/>
          <w:sz w:val="24"/>
          <w:szCs w:val="24"/>
          <w:lang w:val="sq-AL"/>
        </w:rPr>
      </w:pPr>
      <w:r w:rsidRPr="00607DCB">
        <w:rPr>
          <w:color w:val="000000"/>
          <w:sz w:val="24"/>
          <w:szCs w:val="24"/>
          <w:lang w:val="sq-AL"/>
        </w:rPr>
        <w:t>Shpenzimet kapitale për vitin 2026 rezultojnë me një devijacion të moderuar prej rreth 12.3 miliard lekë mes ligjit nr.87/2025 “</w:t>
      </w:r>
      <w:r w:rsidRPr="00607DCB">
        <w:rPr>
          <w:i/>
          <w:iCs/>
          <w:color w:val="000000"/>
          <w:sz w:val="24"/>
          <w:szCs w:val="24"/>
          <w:lang w:val="sq-AL"/>
        </w:rPr>
        <w:t>Për buxhetin e vitit 2026</w:t>
      </w:r>
      <w:r w:rsidRPr="00607DCB">
        <w:rPr>
          <w:color w:val="000000"/>
          <w:sz w:val="24"/>
          <w:szCs w:val="24"/>
          <w:lang w:val="sq-AL"/>
        </w:rPr>
        <w:t xml:space="preserve">” dhe kuadrit makro 2026-2028 miratuar me </w:t>
      </w:r>
      <w:r w:rsidRPr="00607DCB">
        <w:rPr>
          <w:iCs/>
          <w:noProof/>
          <w:sz w:val="24"/>
          <w:szCs w:val="24"/>
          <w:lang w:val="sq-AL"/>
        </w:rPr>
        <w:t xml:space="preserve">VKM nr. 83, datë 5.2.2025, </w:t>
      </w:r>
      <w:r w:rsidRPr="00607DCB">
        <w:rPr>
          <w:color w:val="000000"/>
          <w:sz w:val="24"/>
          <w:szCs w:val="24"/>
          <w:lang w:val="sq-AL"/>
        </w:rPr>
        <w:t>devijime të cilat konkretisht rrjedhin nga:</w:t>
      </w:r>
    </w:p>
    <w:p w14:paraId="312DF502" w14:textId="77777777" w:rsidR="009E26DE" w:rsidRPr="00607DCB" w:rsidRDefault="009E26DE" w:rsidP="00607DCB">
      <w:pPr>
        <w:spacing w:line="276" w:lineRule="auto"/>
        <w:jc w:val="both"/>
        <w:rPr>
          <w:color w:val="000000"/>
          <w:sz w:val="24"/>
          <w:szCs w:val="24"/>
          <w:lang w:val="sq-AL"/>
        </w:rPr>
      </w:pPr>
    </w:p>
    <w:p w14:paraId="4B1D2445" w14:textId="77777777" w:rsidR="009E26DE" w:rsidRPr="00607DCB" w:rsidRDefault="009E26DE" w:rsidP="00607DCB">
      <w:pPr>
        <w:pStyle w:val="ListParagraph"/>
        <w:widowControl/>
        <w:numPr>
          <w:ilvl w:val="0"/>
          <w:numId w:val="93"/>
        </w:numPr>
        <w:autoSpaceDE/>
        <w:autoSpaceDN/>
        <w:spacing w:after="160" w:line="276" w:lineRule="auto"/>
        <w:contextualSpacing/>
        <w:rPr>
          <w:color w:val="000000"/>
          <w:sz w:val="24"/>
          <w:szCs w:val="24"/>
          <w:lang w:val="sq-AL"/>
        </w:rPr>
      </w:pPr>
      <w:r w:rsidRPr="00607DCB">
        <w:rPr>
          <w:color w:val="000000"/>
          <w:sz w:val="24"/>
          <w:szCs w:val="24"/>
          <w:lang w:val="sq-AL"/>
        </w:rPr>
        <w:t>Financimi i brendshëm është rishikuar me një rritje prej rreth 14.3 miliardë lekësh, si rezultat i rritjes së Produktit të Brendshëm Bruto (PBB).</w:t>
      </w:r>
    </w:p>
    <w:p w14:paraId="3805488A" w14:textId="77777777" w:rsidR="009E26DE" w:rsidRPr="00607DCB" w:rsidRDefault="009E26DE" w:rsidP="00607DCB">
      <w:pPr>
        <w:pStyle w:val="ListParagraph"/>
        <w:widowControl/>
        <w:numPr>
          <w:ilvl w:val="0"/>
          <w:numId w:val="93"/>
        </w:numPr>
        <w:autoSpaceDE/>
        <w:autoSpaceDN/>
        <w:spacing w:after="160" w:line="276" w:lineRule="auto"/>
        <w:contextualSpacing/>
        <w:rPr>
          <w:i/>
          <w:iCs/>
          <w:color w:val="000000"/>
          <w:sz w:val="24"/>
          <w:szCs w:val="24"/>
          <w:lang w:val="sq-AL"/>
        </w:rPr>
      </w:pPr>
      <w:r w:rsidRPr="00607DCB">
        <w:rPr>
          <w:color w:val="000000"/>
          <w:sz w:val="24"/>
          <w:szCs w:val="24"/>
          <w:lang w:val="sq-AL"/>
        </w:rPr>
        <w:lastRenderedPageBreak/>
        <w:t>Injektimi/kthimi i kapitalit nga AIC/BZHSH është planifikuar në masën 1 miliard lekë, masë kjo që nuk ishte parashikuar.</w:t>
      </w:r>
      <w:r w:rsidRPr="00607DCB">
        <w:rPr>
          <w:rStyle w:val="FootnoteReference"/>
          <w:color w:val="000000"/>
          <w:sz w:val="24"/>
          <w:szCs w:val="24"/>
          <w:lang w:val="sq-AL"/>
        </w:rPr>
        <w:footnoteReference w:id="1"/>
      </w:r>
    </w:p>
    <w:p w14:paraId="3DBCB3A5" w14:textId="77777777" w:rsidR="009E26DE" w:rsidRPr="00607DCB" w:rsidRDefault="009E26DE" w:rsidP="00607DCB">
      <w:pPr>
        <w:pStyle w:val="ListParagraph"/>
        <w:widowControl/>
        <w:numPr>
          <w:ilvl w:val="0"/>
          <w:numId w:val="93"/>
        </w:numPr>
        <w:autoSpaceDE/>
        <w:autoSpaceDN/>
        <w:spacing w:after="160" w:line="276" w:lineRule="auto"/>
        <w:contextualSpacing/>
        <w:rPr>
          <w:i/>
          <w:iCs/>
          <w:color w:val="000000"/>
          <w:sz w:val="24"/>
          <w:szCs w:val="24"/>
          <w:lang w:val="sq-AL"/>
        </w:rPr>
      </w:pPr>
      <w:r w:rsidRPr="00607DCB">
        <w:rPr>
          <w:color w:val="000000"/>
          <w:sz w:val="24"/>
          <w:szCs w:val="24"/>
          <w:lang w:val="sq-AL"/>
        </w:rPr>
        <w:t>Financimi i huaj është rishikuar në ulje me rreth 2 miliardë lekë, si rezultat i procesit të rishikimit dhe ri-planifikimit të flukseve financiare për projektet aktuale në zbatim. Ky zhvillim reflekton një qasje më të kujdesshme dhe të koordinuar me partnerët ndërkombëtarë, përfshirë donatorët dhe institucionet financiare, duke synuar konsolidimin dhe përmbylljen e suksesshme të projekteve ekzistuese, përpara ndërmarrjes së angazhimeve në iniciativa të reja. Në këtë kuadër, rishikimi pasqyron një harmonizim më të mirë të prioriteteve, kapaciteteve zbatuese dhe ritmit të disbursimeve, në funksion të rritjes së efektivitetit dhe qëndrueshmërisë së financimeve të huaja.</w:t>
      </w:r>
    </w:p>
    <w:p w14:paraId="0B448ECC" w14:textId="77777777" w:rsidR="009E26DE" w:rsidRPr="00607DCB" w:rsidRDefault="009E26DE" w:rsidP="00607DCB">
      <w:pPr>
        <w:spacing w:line="276" w:lineRule="auto"/>
        <w:jc w:val="both"/>
        <w:rPr>
          <w:iCs/>
          <w:color w:val="000000"/>
          <w:sz w:val="24"/>
          <w:szCs w:val="24"/>
          <w:lang w:val="sq-AL"/>
        </w:rPr>
      </w:pPr>
    </w:p>
    <w:p w14:paraId="6026D105" w14:textId="77777777" w:rsidR="009E26DE" w:rsidRPr="00607DCB" w:rsidRDefault="009E26DE" w:rsidP="00607DCB">
      <w:pPr>
        <w:spacing w:line="276" w:lineRule="auto"/>
        <w:jc w:val="both"/>
        <w:rPr>
          <w:color w:val="000000"/>
          <w:sz w:val="24"/>
          <w:szCs w:val="24"/>
          <w:lang w:val="sq-AL"/>
        </w:rPr>
      </w:pPr>
      <w:r w:rsidRPr="00607DCB">
        <w:rPr>
          <w:color w:val="000000"/>
          <w:sz w:val="24"/>
          <w:szCs w:val="24"/>
          <w:lang w:val="sq-AL"/>
        </w:rPr>
        <w:t>Shpenzimet kapitale për vitin 2026 paraqesin një devijim prej rreth 12.3 miliardë lekësh krahasuar me kuadrin makroekonomik dhe fiskal 2026–2028, duke ruajtur një peshë prej rreth 6.5% të PBB-së. Ky rishikim në rritje pasqyron hapësirën fiskale të krijuar si rezultat i rritjes së pritshme të PBB-së dhe të të ardhurave buxhetore, duke mundësuar një nivel më të lartë të financimit të investimeve publike, në përputhje me prioritetet strategjike të zhvillimit dhe objektivat afatmesëm të politikave qeveritare.</w:t>
      </w:r>
    </w:p>
    <w:p w14:paraId="4C2D8D66" w14:textId="77777777" w:rsidR="009E26DE" w:rsidRPr="00607DCB" w:rsidRDefault="009E26DE" w:rsidP="00607DCB">
      <w:pPr>
        <w:spacing w:line="276" w:lineRule="auto"/>
        <w:jc w:val="both"/>
        <w:rPr>
          <w:color w:val="000000"/>
          <w:sz w:val="24"/>
          <w:szCs w:val="24"/>
          <w:lang w:val="sq-AL"/>
        </w:rPr>
      </w:pPr>
    </w:p>
    <w:p w14:paraId="415F7F18" w14:textId="77777777" w:rsidR="009E26DE" w:rsidRDefault="009E26DE" w:rsidP="00607DCB">
      <w:pPr>
        <w:spacing w:line="276" w:lineRule="auto"/>
        <w:rPr>
          <w:rStyle w:val="jlqj4b"/>
          <w:sz w:val="24"/>
          <w:szCs w:val="24"/>
          <w:lang w:val="sq-AL"/>
        </w:rPr>
      </w:pPr>
    </w:p>
    <w:p w14:paraId="5F0A92BD" w14:textId="77777777" w:rsidR="006A0296" w:rsidRDefault="006A0296" w:rsidP="00607DCB">
      <w:pPr>
        <w:spacing w:line="276" w:lineRule="auto"/>
        <w:rPr>
          <w:rStyle w:val="jlqj4b"/>
          <w:sz w:val="24"/>
          <w:szCs w:val="24"/>
          <w:lang w:val="sq-AL"/>
        </w:rPr>
      </w:pPr>
    </w:p>
    <w:p w14:paraId="25D2B5FC" w14:textId="77777777" w:rsidR="006A0296" w:rsidRDefault="006A0296" w:rsidP="00607DCB">
      <w:pPr>
        <w:spacing w:line="276" w:lineRule="auto"/>
        <w:rPr>
          <w:rStyle w:val="jlqj4b"/>
          <w:sz w:val="24"/>
          <w:szCs w:val="24"/>
          <w:lang w:val="sq-AL"/>
        </w:rPr>
      </w:pPr>
    </w:p>
    <w:p w14:paraId="47FB65E5" w14:textId="77777777" w:rsidR="006A0296" w:rsidRDefault="006A0296" w:rsidP="00607DCB">
      <w:pPr>
        <w:spacing w:line="276" w:lineRule="auto"/>
        <w:rPr>
          <w:rStyle w:val="jlqj4b"/>
          <w:sz w:val="24"/>
          <w:szCs w:val="24"/>
          <w:lang w:val="sq-AL"/>
        </w:rPr>
      </w:pPr>
    </w:p>
    <w:p w14:paraId="72E52354" w14:textId="77777777" w:rsidR="006A0296" w:rsidRDefault="006A0296" w:rsidP="00607DCB">
      <w:pPr>
        <w:spacing w:line="276" w:lineRule="auto"/>
        <w:rPr>
          <w:rStyle w:val="jlqj4b"/>
          <w:sz w:val="24"/>
          <w:szCs w:val="24"/>
          <w:lang w:val="sq-AL"/>
        </w:rPr>
      </w:pPr>
    </w:p>
    <w:p w14:paraId="3AF65A5B" w14:textId="77777777" w:rsidR="006A0296" w:rsidRDefault="006A0296" w:rsidP="00607DCB">
      <w:pPr>
        <w:spacing w:line="276" w:lineRule="auto"/>
        <w:rPr>
          <w:rStyle w:val="jlqj4b"/>
          <w:sz w:val="24"/>
          <w:szCs w:val="24"/>
          <w:lang w:val="sq-AL"/>
        </w:rPr>
      </w:pPr>
    </w:p>
    <w:p w14:paraId="33C1A2FA" w14:textId="77777777" w:rsidR="006A0296" w:rsidRDefault="006A0296" w:rsidP="00607DCB">
      <w:pPr>
        <w:spacing w:line="276" w:lineRule="auto"/>
        <w:rPr>
          <w:rStyle w:val="jlqj4b"/>
          <w:sz w:val="24"/>
          <w:szCs w:val="24"/>
          <w:lang w:val="sq-AL"/>
        </w:rPr>
      </w:pPr>
    </w:p>
    <w:p w14:paraId="6A87C036" w14:textId="77777777" w:rsidR="006A0296" w:rsidRDefault="006A0296" w:rsidP="00607DCB">
      <w:pPr>
        <w:spacing w:line="276" w:lineRule="auto"/>
        <w:rPr>
          <w:rStyle w:val="jlqj4b"/>
          <w:sz w:val="24"/>
          <w:szCs w:val="24"/>
          <w:lang w:val="sq-AL"/>
        </w:rPr>
      </w:pPr>
    </w:p>
    <w:p w14:paraId="6C9F732C" w14:textId="7F51E622" w:rsidR="006A0296" w:rsidRPr="006A0296" w:rsidRDefault="006A0296" w:rsidP="006A0296">
      <w:pPr>
        <w:spacing w:line="276" w:lineRule="auto"/>
        <w:jc w:val="both"/>
        <w:rPr>
          <w:i/>
          <w:iCs/>
          <w:sz w:val="18"/>
          <w:szCs w:val="18"/>
          <w:lang w:val="sq-AL"/>
        </w:rPr>
      </w:pPr>
      <w:r w:rsidRPr="006A0296">
        <w:rPr>
          <w:i/>
          <w:iCs/>
          <w:sz w:val="18"/>
          <w:szCs w:val="18"/>
          <w:lang w:val="sq-AL"/>
        </w:rPr>
        <w:t xml:space="preserve">Konceptoi: Ina Dhaskali; Ardita Xhyheri,, </w:t>
      </w:r>
    </w:p>
    <w:p w14:paraId="6D03B84D" w14:textId="3AC875C8" w:rsidR="006A0296" w:rsidRPr="006A0296" w:rsidRDefault="006A0296" w:rsidP="006A0296">
      <w:pPr>
        <w:spacing w:line="276" w:lineRule="auto"/>
        <w:ind w:firstLine="720"/>
        <w:jc w:val="both"/>
        <w:rPr>
          <w:i/>
          <w:iCs/>
          <w:sz w:val="18"/>
          <w:szCs w:val="18"/>
          <w:lang w:val="sq-AL"/>
        </w:rPr>
      </w:pPr>
      <w:r>
        <w:rPr>
          <w:i/>
          <w:iCs/>
          <w:sz w:val="18"/>
          <w:szCs w:val="18"/>
          <w:lang w:val="sq-AL"/>
        </w:rPr>
        <w:t xml:space="preserve">  </w:t>
      </w:r>
      <w:r w:rsidRPr="006A0296">
        <w:rPr>
          <w:i/>
          <w:iCs/>
          <w:sz w:val="18"/>
          <w:szCs w:val="18"/>
          <w:lang w:val="sq-AL"/>
        </w:rPr>
        <w:t>Andi Idrizi</w:t>
      </w:r>
      <w:r>
        <w:rPr>
          <w:i/>
          <w:iCs/>
          <w:sz w:val="18"/>
          <w:szCs w:val="18"/>
          <w:lang w:val="sq-AL"/>
        </w:rPr>
        <w:t xml:space="preserve">; </w:t>
      </w:r>
      <w:r w:rsidRPr="006A0296">
        <w:rPr>
          <w:i/>
          <w:iCs/>
          <w:sz w:val="18"/>
          <w:szCs w:val="18"/>
          <w:lang w:val="sq-AL"/>
        </w:rPr>
        <w:t>Ilvis Ballvora</w:t>
      </w:r>
    </w:p>
    <w:p w14:paraId="29AB4306" w14:textId="4F8FF638" w:rsidR="006A0296" w:rsidRDefault="006A0296" w:rsidP="006A0296">
      <w:pPr>
        <w:spacing w:line="276" w:lineRule="auto"/>
        <w:jc w:val="both"/>
        <w:rPr>
          <w:i/>
          <w:iCs/>
          <w:sz w:val="18"/>
          <w:szCs w:val="18"/>
          <w:lang w:val="pl-PL"/>
        </w:rPr>
      </w:pPr>
      <w:r w:rsidRPr="006A0296">
        <w:rPr>
          <w:i/>
          <w:iCs/>
          <w:sz w:val="18"/>
          <w:szCs w:val="18"/>
          <w:lang w:val="pl-PL"/>
        </w:rPr>
        <w:t>Pranoi:</w:t>
      </w:r>
      <w:r>
        <w:rPr>
          <w:i/>
          <w:iCs/>
          <w:sz w:val="18"/>
          <w:szCs w:val="18"/>
          <w:lang w:val="pl-PL"/>
        </w:rPr>
        <w:t xml:space="preserve">    </w:t>
      </w:r>
      <w:r w:rsidRPr="006A0296">
        <w:rPr>
          <w:i/>
          <w:iCs/>
          <w:sz w:val="18"/>
          <w:szCs w:val="18"/>
          <w:lang w:val="pl-PL"/>
        </w:rPr>
        <w:t xml:space="preserve">Gentian Opre;Fran Brahimi, </w:t>
      </w:r>
    </w:p>
    <w:p w14:paraId="42C24960" w14:textId="387989E1" w:rsidR="006A0296" w:rsidRPr="006A0296" w:rsidRDefault="006A0296" w:rsidP="006A0296">
      <w:pPr>
        <w:spacing w:line="276" w:lineRule="auto"/>
        <w:ind w:firstLine="720"/>
        <w:jc w:val="both"/>
        <w:rPr>
          <w:i/>
          <w:iCs/>
          <w:sz w:val="18"/>
          <w:szCs w:val="18"/>
          <w:lang w:val="pl-PL"/>
        </w:rPr>
      </w:pPr>
      <w:r w:rsidRPr="006A0296">
        <w:rPr>
          <w:i/>
          <w:iCs/>
          <w:sz w:val="18"/>
          <w:szCs w:val="18"/>
          <w:lang w:val="pl-PL"/>
        </w:rPr>
        <w:t>Renald Petri</w:t>
      </w:r>
      <w:r>
        <w:rPr>
          <w:i/>
          <w:iCs/>
          <w:sz w:val="18"/>
          <w:szCs w:val="18"/>
          <w:lang w:val="pl-PL"/>
        </w:rPr>
        <w:t>ti, Jonida Kaza</w:t>
      </w:r>
    </w:p>
    <w:p w14:paraId="692F6EAC" w14:textId="77777777" w:rsidR="006A0296" w:rsidRDefault="006A0296" w:rsidP="006A0296">
      <w:pPr>
        <w:spacing w:line="276" w:lineRule="auto"/>
        <w:jc w:val="both"/>
        <w:rPr>
          <w:i/>
          <w:iCs/>
          <w:sz w:val="18"/>
          <w:szCs w:val="18"/>
          <w:lang w:val="pl-PL"/>
        </w:rPr>
      </w:pPr>
      <w:r w:rsidRPr="006A0296">
        <w:rPr>
          <w:i/>
          <w:iCs/>
          <w:sz w:val="18"/>
          <w:szCs w:val="18"/>
          <w:lang w:val="pl-PL"/>
        </w:rPr>
        <w:t>Miratoi:</w:t>
      </w:r>
      <w:r>
        <w:rPr>
          <w:i/>
          <w:iCs/>
          <w:sz w:val="18"/>
          <w:szCs w:val="18"/>
          <w:lang w:val="pl-PL"/>
        </w:rPr>
        <w:t xml:space="preserve">  </w:t>
      </w:r>
      <w:r w:rsidRPr="006A0296">
        <w:rPr>
          <w:i/>
          <w:iCs/>
          <w:sz w:val="18"/>
          <w:szCs w:val="18"/>
          <w:lang w:val="pl-PL"/>
        </w:rPr>
        <w:t>Mimoza Dhëmbi;</w:t>
      </w:r>
    </w:p>
    <w:p w14:paraId="646B10BF" w14:textId="77777777" w:rsidR="006A0296" w:rsidRDefault="006A0296" w:rsidP="006A0296">
      <w:pPr>
        <w:spacing w:line="276" w:lineRule="auto"/>
        <w:ind w:firstLine="720"/>
        <w:jc w:val="both"/>
        <w:rPr>
          <w:i/>
          <w:iCs/>
          <w:sz w:val="18"/>
          <w:szCs w:val="18"/>
          <w:lang w:val="pl-PL"/>
        </w:rPr>
      </w:pPr>
      <w:r>
        <w:rPr>
          <w:i/>
          <w:iCs/>
          <w:sz w:val="18"/>
          <w:szCs w:val="18"/>
          <w:lang w:val="pl-PL"/>
        </w:rPr>
        <w:t xml:space="preserve">Arjana Dyrmishi, </w:t>
      </w:r>
    </w:p>
    <w:p w14:paraId="3285B4D4" w14:textId="5BB5B199" w:rsidR="006A0296" w:rsidRPr="006A0296" w:rsidRDefault="006A0296" w:rsidP="006A0296">
      <w:pPr>
        <w:spacing w:line="276" w:lineRule="auto"/>
        <w:ind w:firstLine="720"/>
        <w:jc w:val="both"/>
        <w:rPr>
          <w:i/>
          <w:iCs/>
          <w:sz w:val="18"/>
          <w:szCs w:val="18"/>
          <w:lang w:val="pl-PL"/>
        </w:rPr>
      </w:pPr>
      <w:r>
        <w:rPr>
          <w:i/>
          <w:iCs/>
          <w:sz w:val="18"/>
          <w:szCs w:val="18"/>
          <w:lang w:val="pl-PL"/>
        </w:rPr>
        <w:t>Endrit Lami</w:t>
      </w:r>
    </w:p>
    <w:p w14:paraId="2C87B3A6" w14:textId="4E76F165" w:rsidR="006A0296" w:rsidRPr="006A0296" w:rsidRDefault="006A0296" w:rsidP="006A0296">
      <w:pPr>
        <w:spacing w:line="276" w:lineRule="auto"/>
        <w:rPr>
          <w:rStyle w:val="jlqj4b"/>
          <w:sz w:val="24"/>
          <w:szCs w:val="24"/>
          <w:lang w:val="pl-PL"/>
        </w:rPr>
      </w:pPr>
      <w:r w:rsidRPr="006A0296">
        <w:rPr>
          <w:i/>
          <w:iCs/>
          <w:sz w:val="18"/>
          <w:szCs w:val="18"/>
          <w:lang w:val="pl-PL"/>
        </w:rPr>
        <w:t>Konfirmoi: Gentian Këri</w:t>
      </w:r>
      <w:r w:rsidRPr="006A0296">
        <w:rPr>
          <w:i/>
          <w:sz w:val="18"/>
          <w:szCs w:val="18"/>
          <w:lang w:val="pl-PL"/>
        </w:rPr>
        <w:t xml:space="preserve">        </w:t>
      </w:r>
    </w:p>
    <w:sectPr w:rsidR="006A0296" w:rsidRPr="006A0296" w:rsidSect="00B91998">
      <w:footerReference w:type="even" r:id="rId10"/>
      <w:footerReference w:type="default" r:id="rId11"/>
      <w:pgSz w:w="11910" w:h="16840"/>
      <w:pgMar w:top="1020" w:right="1137" w:bottom="560" w:left="1275" w:header="0"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AD16" w14:textId="77777777" w:rsidR="00F94945" w:rsidRDefault="00F94945">
      <w:r>
        <w:separator/>
      </w:r>
    </w:p>
  </w:endnote>
  <w:endnote w:type="continuationSeparator" w:id="0">
    <w:p w14:paraId="36B2E930" w14:textId="77777777" w:rsidR="00F94945" w:rsidRDefault="00F9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24169"/>
      <w:docPartObj>
        <w:docPartGallery w:val="Page Numbers (Bottom of Page)"/>
        <w:docPartUnique/>
      </w:docPartObj>
    </w:sdtPr>
    <w:sdtEndPr>
      <w:rPr>
        <w:noProof/>
      </w:rPr>
    </w:sdtEndPr>
    <w:sdtContent>
      <w:p w14:paraId="49AC15B8" w14:textId="08F9718E" w:rsidR="00C014F3" w:rsidRDefault="00C01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323A6" w14:textId="77777777" w:rsidR="00C014F3" w:rsidRDefault="00C0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6BA2" w14:textId="77777777" w:rsidR="00E22B30" w:rsidRDefault="00E22B30">
    <w:pPr>
      <w:pStyle w:val="BodyText"/>
      <w:spacing w:line="14" w:lineRule="auto"/>
      <w:rPr>
        <w:sz w:val="20"/>
      </w:rPr>
    </w:pPr>
    <w:r>
      <w:rPr>
        <w:noProof/>
        <w:sz w:val="20"/>
      </w:rPr>
      <mc:AlternateContent>
        <mc:Choice Requires="wps">
          <w:drawing>
            <wp:anchor distT="0" distB="0" distL="0" distR="0" simplePos="0" relativeHeight="483253760" behindDoc="1" locked="0" layoutInCell="1" allowOverlap="1" wp14:anchorId="5A3D29A7" wp14:editId="7773D16B">
              <wp:simplePos x="0" y="0"/>
              <wp:positionH relativeFrom="page">
                <wp:posOffset>863600</wp:posOffset>
              </wp:positionH>
              <wp:positionV relativeFrom="page">
                <wp:posOffset>7182161</wp:posOffset>
              </wp:positionV>
              <wp:extent cx="15367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E0BC232" w14:textId="17B96A42" w:rsidR="00E22B30" w:rsidRDefault="00E22B30" w:rsidP="00273C69">
                          <w:pPr>
                            <w:spacing w:before="10"/>
                            <w:rPr>
                              <w:sz w:val="20"/>
                            </w:rPr>
                          </w:pPr>
                        </w:p>
                      </w:txbxContent>
                    </wps:txbx>
                    <wps:bodyPr wrap="square" lIns="0" tIns="0" rIns="0" bIns="0" rtlCol="0">
                      <a:noAutofit/>
                    </wps:bodyPr>
                  </wps:wsp>
                </a:graphicData>
              </a:graphic>
            </wp:anchor>
          </w:drawing>
        </mc:Choice>
        <mc:Fallback>
          <w:pict>
            <v:shapetype w14:anchorId="5A3D29A7" id="_x0000_t202" coordsize="21600,21600" o:spt="202" path="m,l,21600r21600,l21600,xe">
              <v:stroke joinstyle="miter"/>
              <v:path gradientshapeok="t" o:connecttype="rect"/>
            </v:shapetype>
            <v:shape id="Textbox 38" o:spid="_x0000_s1026" type="#_x0000_t202" style="position:absolute;margin-left:68pt;margin-top:565.5pt;width:12.1pt;height:13.05pt;z-index:-2006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" filled="f" stroked="f">
              <v:textbox inset="0,0,0,0">
                <w:txbxContent>
                  <w:p w14:paraId="1E0BC232" w14:textId="17B96A42" w:rsidR="00E22B30" w:rsidRDefault="00E22B30" w:rsidP="00273C69">
                    <w:pPr>
                      <w:spacing w:before="1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6281" w14:textId="77777777" w:rsidR="00F94945" w:rsidRDefault="00F94945">
      <w:r>
        <w:separator/>
      </w:r>
    </w:p>
  </w:footnote>
  <w:footnote w:type="continuationSeparator" w:id="0">
    <w:p w14:paraId="44D12C7C" w14:textId="77777777" w:rsidR="00F94945" w:rsidRDefault="00F94945">
      <w:r>
        <w:continuationSeparator/>
      </w:r>
    </w:p>
  </w:footnote>
  <w:footnote w:id="1">
    <w:p w14:paraId="0A966111" w14:textId="77777777" w:rsidR="009E26DE" w:rsidRDefault="009E26DE" w:rsidP="009E26DE">
      <w:pPr>
        <w:pStyle w:val="FootnoteText"/>
      </w:pPr>
      <w:r>
        <w:rPr>
          <w:rStyle w:val="FootnoteReference"/>
        </w:rPr>
        <w:footnoteRef/>
      </w:r>
      <w:r>
        <w:t xml:space="preserve"> </w:t>
      </w:r>
      <w:r w:rsidRPr="00536FB6">
        <w:t>Fondi i parashikuar p</w:t>
      </w:r>
      <w:r>
        <w:t>ë</w:t>
      </w:r>
      <w:r w:rsidRPr="00536FB6">
        <w:t xml:space="preserve">r </w:t>
      </w:r>
      <w:r>
        <w:t>projektin “</w:t>
      </w:r>
      <w:r w:rsidRPr="00536FB6">
        <w:rPr>
          <w:i/>
          <w:iCs/>
        </w:rPr>
        <w:t>Transferta kapitale për Bankën Shqiptare të Zhvillimit</w:t>
      </w:r>
      <w:r>
        <w:t>”</w:t>
      </w:r>
      <w:r w:rsidRPr="00536FB6">
        <w:t xml:space="preserve"> </w:t>
      </w:r>
      <w:r>
        <w:t>ë</w:t>
      </w:r>
      <w:r w:rsidRPr="00536FB6">
        <w:t>sht</w:t>
      </w:r>
      <w:r>
        <w:t>ë</w:t>
      </w:r>
      <w:r w:rsidRPr="00536FB6">
        <w:t xml:space="preserve"> celur </w:t>
      </w:r>
      <w:r>
        <w:t>në</w:t>
      </w:r>
      <w:r w:rsidRPr="00536FB6">
        <w:t xml:space="preserve"> vler</w:t>
      </w:r>
      <w:r>
        <w:t>ë</w:t>
      </w:r>
      <w:r w:rsidRPr="00536FB6">
        <w:t>n 15 m</w:t>
      </w:r>
      <w:r>
        <w:t>ilionë lekë</w:t>
      </w:r>
      <w:r w:rsidRPr="00536FB6">
        <w:t xml:space="preserve"> me AN nr. 6, dat</w:t>
      </w:r>
      <w:r>
        <w:t>ë</w:t>
      </w:r>
      <w:r w:rsidRPr="00536FB6">
        <w:t xml:space="preserve"> 11.06.2025, n</w:t>
      </w:r>
      <w:r>
        <w:t>ë</w:t>
      </w:r>
      <w:r w:rsidRPr="00536FB6">
        <w:t xml:space="preserve"> zbatim t</w:t>
      </w:r>
      <w:r>
        <w:t>ë</w:t>
      </w:r>
      <w:r w:rsidRPr="00536FB6">
        <w:t xml:space="preserve"> ligjit n</w:t>
      </w:r>
      <w:r>
        <w:t xml:space="preserve">r. </w:t>
      </w:r>
      <w:r w:rsidRPr="00536FB6">
        <w:t>23/2025 "</w:t>
      </w:r>
      <w:r w:rsidRPr="00536FB6">
        <w:rPr>
          <w:i/>
          <w:iCs/>
        </w:rPr>
        <w:t>P</w:t>
      </w:r>
      <w:r>
        <w:rPr>
          <w:i/>
          <w:iCs/>
        </w:rPr>
        <w:t>ë</w:t>
      </w:r>
      <w:r w:rsidRPr="00536FB6">
        <w:rPr>
          <w:i/>
          <w:iCs/>
        </w:rPr>
        <w:t>r Banken Shqip</w:t>
      </w:r>
      <w:r>
        <w:rPr>
          <w:i/>
          <w:iCs/>
        </w:rPr>
        <w:t>tare</w:t>
      </w:r>
      <w:r w:rsidRPr="00536FB6">
        <w:rPr>
          <w:i/>
          <w:iCs/>
        </w:rPr>
        <w:t xml:space="preserve"> t</w:t>
      </w:r>
      <w:r>
        <w:rPr>
          <w:i/>
          <w:iCs/>
        </w:rPr>
        <w:t>ë</w:t>
      </w:r>
      <w:r w:rsidRPr="00536FB6">
        <w:rPr>
          <w:i/>
          <w:iCs/>
        </w:rPr>
        <w:t xml:space="preserve"> Zhvillimit</w:t>
      </w:r>
      <w:r w:rsidRPr="00536FB6">
        <w:t>" dhe p</w:t>
      </w:r>
      <w:r>
        <w:t>ë</w:t>
      </w:r>
      <w:r w:rsidRPr="00536FB6">
        <w:t>rdoret rast pas rasti, n</w:t>
      </w:r>
      <w:r>
        <w:t>ë</w:t>
      </w:r>
      <w:r w:rsidRPr="00536FB6">
        <w:t xml:space="preserve">n menaxhimin e DPB. Fondi </w:t>
      </w:r>
      <w:r>
        <w:t>ë</w:t>
      </w:r>
      <w:r w:rsidRPr="00536FB6">
        <w:t>sht</w:t>
      </w:r>
      <w:r>
        <w:t>ë</w:t>
      </w:r>
      <w:r w:rsidRPr="00536FB6">
        <w:t xml:space="preserve"> shtuar n</w:t>
      </w:r>
      <w:r>
        <w:t>ë</w:t>
      </w:r>
      <w:r w:rsidRPr="00536FB6">
        <w:t xml:space="preserve"> vler</w:t>
      </w:r>
      <w:r>
        <w:t>ë</w:t>
      </w:r>
      <w:r w:rsidRPr="00536FB6">
        <w:t>n 1 miliard</w:t>
      </w:r>
      <w:r>
        <w:t>ë lekë</w:t>
      </w:r>
      <w:r w:rsidRPr="00536FB6">
        <w:t xml:space="preserve"> me AN nr.11, </w:t>
      </w:r>
      <w:r>
        <w:t xml:space="preserve">date </w:t>
      </w:r>
      <w:r w:rsidRPr="00536FB6">
        <w:t>19.12.2025.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0C1"/>
    <w:multiLevelType w:val="multilevel"/>
    <w:tmpl w:val="53B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1750"/>
    <w:multiLevelType w:val="multilevel"/>
    <w:tmpl w:val="EDB616F8"/>
    <w:lvl w:ilvl="0">
      <w:start w:val="1"/>
      <w:numFmt w:val="decimal"/>
      <w:lvlText w:val="%1."/>
      <w:lvlJc w:val="left"/>
      <w:pPr>
        <w:ind w:left="360" w:hanging="360"/>
      </w:pPr>
      <w:rPr>
        <w:sz w:val="24"/>
        <w:szCs w:val="24"/>
      </w:rPr>
    </w:lvl>
    <w:lvl w:ilvl="1">
      <w:start w:val="1"/>
      <w:numFmt w:val="decimal"/>
      <w:lvlText w:val="%1.%2."/>
      <w:lvlJc w:val="left"/>
      <w:pPr>
        <w:ind w:left="52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E3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97AD1"/>
    <w:multiLevelType w:val="multilevel"/>
    <w:tmpl w:val="FE50CAFA"/>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b/>
        <w:bCs/>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 w15:restartNumberingAfterBreak="0">
    <w:nsid w:val="087F32AF"/>
    <w:multiLevelType w:val="multilevel"/>
    <w:tmpl w:val="441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252A1"/>
    <w:multiLevelType w:val="hybridMultilevel"/>
    <w:tmpl w:val="6AD8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4848"/>
    <w:multiLevelType w:val="hybridMultilevel"/>
    <w:tmpl w:val="60B459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AE64E9E"/>
    <w:multiLevelType w:val="multilevel"/>
    <w:tmpl w:val="90E0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31EFF"/>
    <w:multiLevelType w:val="hybridMultilevel"/>
    <w:tmpl w:val="B2726F44"/>
    <w:lvl w:ilvl="0" w:tplc="1CF09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552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5086B"/>
    <w:multiLevelType w:val="multilevel"/>
    <w:tmpl w:val="FE50CAFA"/>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b/>
        <w:bCs/>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15:restartNumberingAfterBreak="0">
    <w:nsid w:val="0DB057CE"/>
    <w:multiLevelType w:val="hybridMultilevel"/>
    <w:tmpl w:val="A05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8074F"/>
    <w:multiLevelType w:val="multilevel"/>
    <w:tmpl w:val="27A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C4C91"/>
    <w:multiLevelType w:val="hybridMultilevel"/>
    <w:tmpl w:val="1A0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84A25"/>
    <w:multiLevelType w:val="multilevel"/>
    <w:tmpl w:val="667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A2164"/>
    <w:multiLevelType w:val="hybridMultilevel"/>
    <w:tmpl w:val="7856E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E91B2D"/>
    <w:multiLevelType w:val="multilevel"/>
    <w:tmpl w:val="A330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17B04"/>
    <w:multiLevelType w:val="hybridMultilevel"/>
    <w:tmpl w:val="2248A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D37C3"/>
    <w:multiLevelType w:val="hybridMultilevel"/>
    <w:tmpl w:val="E1A64D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8D5B08"/>
    <w:multiLevelType w:val="hybridMultilevel"/>
    <w:tmpl w:val="FD02FC94"/>
    <w:lvl w:ilvl="0" w:tplc="E1A618C6">
      <w:start w:val="1"/>
      <w:numFmt w:val="bullet"/>
      <w:lvlText w:val="•"/>
      <w:lvlJc w:val="left"/>
      <w:pPr>
        <w:tabs>
          <w:tab w:val="num" w:pos="720"/>
        </w:tabs>
        <w:ind w:left="720" w:hanging="360"/>
      </w:pPr>
      <w:rPr>
        <w:rFonts w:ascii="Arial" w:hAnsi="Arial" w:hint="default"/>
      </w:rPr>
    </w:lvl>
    <w:lvl w:ilvl="1" w:tplc="D5165032" w:tentative="1">
      <w:start w:val="1"/>
      <w:numFmt w:val="bullet"/>
      <w:lvlText w:val="•"/>
      <w:lvlJc w:val="left"/>
      <w:pPr>
        <w:tabs>
          <w:tab w:val="num" w:pos="1440"/>
        </w:tabs>
        <w:ind w:left="1440" w:hanging="360"/>
      </w:pPr>
      <w:rPr>
        <w:rFonts w:ascii="Arial" w:hAnsi="Arial" w:hint="default"/>
      </w:rPr>
    </w:lvl>
    <w:lvl w:ilvl="2" w:tplc="196A57A2" w:tentative="1">
      <w:start w:val="1"/>
      <w:numFmt w:val="bullet"/>
      <w:lvlText w:val="•"/>
      <w:lvlJc w:val="left"/>
      <w:pPr>
        <w:tabs>
          <w:tab w:val="num" w:pos="2160"/>
        </w:tabs>
        <w:ind w:left="2160" w:hanging="360"/>
      </w:pPr>
      <w:rPr>
        <w:rFonts w:ascii="Arial" w:hAnsi="Arial" w:hint="default"/>
      </w:rPr>
    </w:lvl>
    <w:lvl w:ilvl="3" w:tplc="41BAE602" w:tentative="1">
      <w:start w:val="1"/>
      <w:numFmt w:val="bullet"/>
      <w:lvlText w:val="•"/>
      <w:lvlJc w:val="left"/>
      <w:pPr>
        <w:tabs>
          <w:tab w:val="num" w:pos="2880"/>
        </w:tabs>
        <w:ind w:left="2880" w:hanging="360"/>
      </w:pPr>
      <w:rPr>
        <w:rFonts w:ascii="Arial" w:hAnsi="Arial" w:hint="default"/>
      </w:rPr>
    </w:lvl>
    <w:lvl w:ilvl="4" w:tplc="9BC2D892" w:tentative="1">
      <w:start w:val="1"/>
      <w:numFmt w:val="bullet"/>
      <w:lvlText w:val="•"/>
      <w:lvlJc w:val="left"/>
      <w:pPr>
        <w:tabs>
          <w:tab w:val="num" w:pos="3600"/>
        </w:tabs>
        <w:ind w:left="3600" w:hanging="360"/>
      </w:pPr>
      <w:rPr>
        <w:rFonts w:ascii="Arial" w:hAnsi="Arial" w:hint="default"/>
      </w:rPr>
    </w:lvl>
    <w:lvl w:ilvl="5" w:tplc="176A995E" w:tentative="1">
      <w:start w:val="1"/>
      <w:numFmt w:val="bullet"/>
      <w:lvlText w:val="•"/>
      <w:lvlJc w:val="left"/>
      <w:pPr>
        <w:tabs>
          <w:tab w:val="num" w:pos="4320"/>
        </w:tabs>
        <w:ind w:left="4320" w:hanging="360"/>
      </w:pPr>
      <w:rPr>
        <w:rFonts w:ascii="Arial" w:hAnsi="Arial" w:hint="default"/>
      </w:rPr>
    </w:lvl>
    <w:lvl w:ilvl="6" w:tplc="4906CAF0" w:tentative="1">
      <w:start w:val="1"/>
      <w:numFmt w:val="bullet"/>
      <w:lvlText w:val="•"/>
      <w:lvlJc w:val="left"/>
      <w:pPr>
        <w:tabs>
          <w:tab w:val="num" w:pos="5040"/>
        </w:tabs>
        <w:ind w:left="5040" w:hanging="360"/>
      </w:pPr>
      <w:rPr>
        <w:rFonts w:ascii="Arial" w:hAnsi="Arial" w:hint="default"/>
      </w:rPr>
    </w:lvl>
    <w:lvl w:ilvl="7" w:tplc="D4B4BD22" w:tentative="1">
      <w:start w:val="1"/>
      <w:numFmt w:val="bullet"/>
      <w:lvlText w:val="•"/>
      <w:lvlJc w:val="left"/>
      <w:pPr>
        <w:tabs>
          <w:tab w:val="num" w:pos="5760"/>
        </w:tabs>
        <w:ind w:left="5760" w:hanging="360"/>
      </w:pPr>
      <w:rPr>
        <w:rFonts w:ascii="Arial" w:hAnsi="Arial" w:hint="default"/>
      </w:rPr>
    </w:lvl>
    <w:lvl w:ilvl="8" w:tplc="64A0D6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C2567EC"/>
    <w:multiLevelType w:val="multilevel"/>
    <w:tmpl w:val="42CA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2E21FF"/>
    <w:multiLevelType w:val="multilevel"/>
    <w:tmpl w:val="CFB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2E5EFA"/>
    <w:multiLevelType w:val="multilevel"/>
    <w:tmpl w:val="DA5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DE1421"/>
    <w:multiLevelType w:val="hybridMultilevel"/>
    <w:tmpl w:val="EB5235F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D36484"/>
    <w:multiLevelType w:val="hybridMultilevel"/>
    <w:tmpl w:val="ABEE5F34"/>
    <w:lvl w:ilvl="0" w:tplc="EB5AA3C8">
      <w:numFmt w:val="bullet"/>
      <w:lvlText w:val=""/>
      <w:lvlJc w:val="left"/>
      <w:pPr>
        <w:ind w:left="825" w:hanging="360"/>
      </w:pPr>
      <w:rPr>
        <w:rFonts w:ascii="Symbol" w:eastAsia="Symbol" w:hAnsi="Symbol" w:cs="Symbol" w:hint="default"/>
        <w:spacing w:val="0"/>
        <w:w w:val="100"/>
        <w:lang w:val="en-US" w:eastAsia="en-US" w:bidi="ar-SA"/>
      </w:rPr>
    </w:lvl>
    <w:lvl w:ilvl="1" w:tplc="C8644958">
      <w:numFmt w:val="bullet"/>
      <w:lvlText w:val="•"/>
      <w:lvlJc w:val="left"/>
      <w:pPr>
        <w:ind w:left="1773" w:hanging="360"/>
      </w:pPr>
      <w:rPr>
        <w:rFonts w:hint="default"/>
        <w:lang w:val="en-US" w:eastAsia="en-US" w:bidi="ar-SA"/>
      </w:rPr>
    </w:lvl>
    <w:lvl w:ilvl="2" w:tplc="322C52D4">
      <w:numFmt w:val="bullet"/>
      <w:lvlText w:val="•"/>
      <w:lvlJc w:val="left"/>
      <w:pPr>
        <w:ind w:left="2726" w:hanging="360"/>
      </w:pPr>
      <w:rPr>
        <w:rFonts w:hint="default"/>
        <w:lang w:val="en-US" w:eastAsia="en-US" w:bidi="ar-SA"/>
      </w:rPr>
    </w:lvl>
    <w:lvl w:ilvl="3" w:tplc="EE664B5A">
      <w:numFmt w:val="bullet"/>
      <w:lvlText w:val="•"/>
      <w:lvlJc w:val="left"/>
      <w:pPr>
        <w:ind w:left="3679" w:hanging="360"/>
      </w:pPr>
      <w:rPr>
        <w:rFonts w:hint="default"/>
        <w:lang w:val="en-US" w:eastAsia="en-US" w:bidi="ar-SA"/>
      </w:rPr>
    </w:lvl>
    <w:lvl w:ilvl="4" w:tplc="1946EA96">
      <w:numFmt w:val="bullet"/>
      <w:lvlText w:val="•"/>
      <w:lvlJc w:val="left"/>
      <w:pPr>
        <w:ind w:left="4632" w:hanging="360"/>
      </w:pPr>
      <w:rPr>
        <w:rFonts w:hint="default"/>
        <w:lang w:val="en-US" w:eastAsia="en-US" w:bidi="ar-SA"/>
      </w:rPr>
    </w:lvl>
    <w:lvl w:ilvl="5" w:tplc="43C42E2A">
      <w:numFmt w:val="bullet"/>
      <w:lvlText w:val="•"/>
      <w:lvlJc w:val="left"/>
      <w:pPr>
        <w:ind w:left="5585" w:hanging="360"/>
      </w:pPr>
      <w:rPr>
        <w:rFonts w:hint="default"/>
        <w:lang w:val="en-US" w:eastAsia="en-US" w:bidi="ar-SA"/>
      </w:rPr>
    </w:lvl>
    <w:lvl w:ilvl="6" w:tplc="7F369F34">
      <w:numFmt w:val="bullet"/>
      <w:lvlText w:val="•"/>
      <w:lvlJc w:val="left"/>
      <w:pPr>
        <w:ind w:left="6538" w:hanging="360"/>
      </w:pPr>
      <w:rPr>
        <w:rFonts w:hint="default"/>
        <w:lang w:val="en-US" w:eastAsia="en-US" w:bidi="ar-SA"/>
      </w:rPr>
    </w:lvl>
    <w:lvl w:ilvl="7" w:tplc="0DE208EC">
      <w:numFmt w:val="bullet"/>
      <w:lvlText w:val="•"/>
      <w:lvlJc w:val="left"/>
      <w:pPr>
        <w:ind w:left="7491" w:hanging="360"/>
      </w:pPr>
      <w:rPr>
        <w:rFonts w:hint="default"/>
        <w:lang w:val="en-US" w:eastAsia="en-US" w:bidi="ar-SA"/>
      </w:rPr>
    </w:lvl>
    <w:lvl w:ilvl="8" w:tplc="C33A4452">
      <w:numFmt w:val="bullet"/>
      <w:lvlText w:val="•"/>
      <w:lvlJc w:val="left"/>
      <w:pPr>
        <w:ind w:left="8444" w:hanging="360"/>
      </w:pPr>
      <w:rPr>
        <w:rFonts w:hint="default"/>
        <w:lang w:val="en-US" w:eastAsia="en-US" w:bidi="ar-SA"/>
      </w:rPr>
    </w:lvl>
  </w:abstractNum>
  <w:abstractNum w:abstractNumId="25" w15:restartNumberingAfterBreak="0">
    <w:nsid w:val="226823E0"/>
    <w:multiLevelType w:val="hybridMultilevel"/>
    <w:tmpl w:val="3C784FA2"/>
    <w:lvl w:ilvl="0" w:tplc="50CE726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7E7941"/>
    <w:multiLevelType w:val="multilevel"/>
    <w:tmpl w:val="FB52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C475DC"/>
    <w:multiLevelType w:val="hybridMultilevel"/>
    <w:tmpl w:val="98F45AD2"/>
    <w:lvl w:ilvl="0" w:tplc="169CBAF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8770FEE"/>
    <w:multiLevelType w:val="multilevel"/>
    <w:tmpl w:val="9BB0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3908FA"/>
    <w:multiLevelType w:val="hybridMultilevel"/>
    <w:tmpl w:val="0A96649A"/>
    <w:lvl w:ilvl="0" w:tplc="EC7A94E4">
      <w:start w:val="1"/>
      <w:numFmt w:val="bullet"/>
      <w:lvlText w:val=""/>
      <w:lvlJc w:val="left"/>
      <w:pPr>
        <w:tabs>
          <w:tab w:val="num" w:pos="720"/>
        </w:tabs>
        <w:ind w:left="720" w:hanging="360"/>
      </w:pPr>
      <w:rPr>
        <w:rFonts w:ascii="Wingdings" w:hAnsi="Wingdings" w:hint="default"/>
      </w:rPr>
    </w:lvl>
    <w:lvl w:ilvl="1" w:tplc="598831DC" w:tentative="1">
      <w:start w:val="1"/>
      <w:numFmt w:val="bullet"/>
      <w:lvlText w:val=""/>
      <w:lvlJc w:val="left"/>
      <w:pPr>
        <w:tabs>
          <w:tab w:val="num" w:pos="1440"/>
        </w:tabs>
        <w:ind w:left="1440" w:hanging="360"/>
      </w:pPr>
      <w:rPr>
        <w:rFonts w:ascii="Wingdings" w:hAnsi="Wingdings" w:hint="default"/>
      </w:rPr>
    </w:lvl>
    <w:lvl w:ilvl="2" w:tplc="42147A78" w:tentative="1">
      <w:start w:val="1"/>
      <w:numFmt w:val="bullet"/>
      <w:lvlText w:val=""/>
      <w:lvlJc w:val="left"/>
      <w:pPr>
        <w:tabs>
          <w:tab w:val="num" w:pos="2160"/>
        </w:tabs>
        <w:ind w:left="2160" w:hanging="360"/>
      </w:pPr>
      <w:rPr>
        <w:rFonts w:ascii="Wingdings" w:hAnsi="Wingdings" w:hint="default"/>
      </w:rPr>
    </w:lvl>
    <w:lvl w:ilvl="3" w:tplc="BCEA161C" w:tentative="1">
      <w:start w:val="1"/>
      <w:numFmt w:val="bullet"/>
      <w:lvlText w:val=""/>
      <w:lvlJc w:val="left"/>
      <w:pPr>
        <w:tabs>
          <w:tab w:val="num" w:pos="2880"/>
        </w:tabs>
        <w:ind w:left="2880" w:hanging="360"/>
      </w:pPr>
      <w:rPr>
        <w:rFonts w:ascii="Wingdings" w:hAnsi="Wingdings" w:hint="default"/>
      </w:rPr>
    </w:lvl>
    <w:lvl w:ilvl="4" w:tplc="B128F998" w:tentative="1">
      <w:start w:val="1"/>
      <w:numFmt w:val="bullet"/>
      <w:lvlText w:val=""/>
      <w:lvlJc w:val="left"/>
      <w:pPr>
        <w:tabs>
          <w:tab w:val="num" w:pos="3600"/>
        </w:tabs>
        <w:ind w:left="3600" w:hanging="360"/>
      </w:pPr>
      <w:rPr>
        <w:rFonts w:ascii="Wingdings" w:hAnsi="Wingdings" w:hint="default"/>
      </w:rPr>
    </w:lvl>
    <w:lvl w:ilvl="5" w:tplc="E552103A" w:tentative="1">
      <w:start w:val="1"/>
      <w:numFmt w:val="bullet"/>
      <w:lvlText w:val=""/>
      <w:lvlJc w:val="left"/>
      <w:pPr>
        <w:tabs>
          <w:tab w:val="num" w:pos="4320"/>
        </w:tabs>
        <w:ind w:left="4320" w:hanging="360"/>
      </w:pPr>
      <w:rPr>
        <w:rFonts w:ascii="Wingdings" w:hAnsi="Wingdings" w:hint="default"/>
      </w:rPr>
    </w:lvl>
    <w:lvl w:ilvl="6" w:tplc="F5E0327A" w:tentative="1">
      <w:start w:val="1"/>
      <w:numFmt w:val="bullet"/>
      <w:lvlText w:val=""/>
      <w:lvlJc w:val="left"/>
      <w:pPr>
        <w:tabs>
          <w:tab w:val="num" w:pos="5040"/>
        </w:tabs>
        <w:ind w:left="5040" w:hanging="360"/>
      </w:pPr>
      <w:rPr>
        <w:rFonts w:ascii="Wingdings" w:hAnsi="Wingdings" w:hint="default"/>
      </w:rPr>
    </w:lvl>
    <w:lvl w:ilvl="7" w:tplc="C6541B5E" w:tentative="1">
      <w:start w:val="1"/>
      <w:numFmt w:val="bullet"/>
      <w:lvlText w:val=""/>
      <w:lvlJc w:val="left"/>
      <w:pPr>
        <w:tabs>
          <w:tab w:val="num" w:pos="5760"/>
        </w:tabs>
        <w:ind w:left="5760" w:hanging="360"/>
      </w:pPr>
      <w:rPr>
        <w:rFonts w:ascii="Wingdings" w:hAnsi="Wingdings" w:hint="default"/>
      </w:rPr>
    </w:lvl>
    <w:lvl w:ilvl="8" w:tplc="5AA4A8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1C13B5"/>
    <w:multiLevelType w:val="hybridMultilevel"/>
    <w:tmpl w:val="9BFA5352"/>
    <w:lvl w:ilvl="0" w:tplc="ECFCFEA2">
      <w:numFmt w:val="bullet"/>
      <w:lvlText w:val="-"/>
      <w:lvlJc w:val="left"/>
      <w:pPr>
        <w:ind w:left="818" w:hanging="356"/>
      </w:pPr>
      <w:rPr>
        <w:rFonts w:ascii="Calibri" w:eastAsia="Calibri" w:hAnsi="Calibri" w:cs="Calibri" w:hint="default"/>
        <w:b w:val="0"/>
        <w:bCs w:val="0"/>
        <w:i w:val="0"/>
        <w:iCs w:val="0"/>
        <w:spacing w:val="0"/>
        <w:w w:val="100"/>
        <w:sz w:val="23"/>
        <w:szCs w:val="23"/>
        <w:lang w:val="en-US" w:eastAsia="en-US" w:bidi="ar-SA"/>
      </w:rPr>
    </w:lvl>
    <w:lvl w:ilvl="1" w:tplc="16A65622">
      <w:numFmt w:val="bullet"/>
      <w:lvlText w:val="•"/>
      <w:lvlJc w:val="left"/>
      <w:pPr>
        <w:ind w:left="1773" w:hanging="356"/>
      </w:pPr>
      <w:rPr>
        <w:rFonts w:hint="default"/>
        <w:lang w:val="en-US" w:eastAsia="en-US" w:bidi="ar-SA"/>
      </w:rPr>
    </w:lvl>
    <w:lvl w:ilvl="2" w:tplc="DCC0352C">
      <w:numFmt w:val="bullet"/>
      <w:lvlText w:val="•"/>
      <w:lvlJc w:val="left"/>
      <w:pPr>
        <w:ind w:left="2726" w:hanging="356"/>
      </w:pPr>
      <w:rPr>
        <w:rFonts w:hint="default"/>
        <w:lang w:val="en-US" w:eastAsia="en-US" w:bidi="ar-SA"/>
      </w:rPr>
    </w:lvl>
    <w:lvl w:ilvl="3" w:tplc="46360466">
      <w:numFmt w:val="bullet"/>
      <w:lvlText w:val="•"/>
      <w:lvlJc w:val="left"/>
      <w:pPr>
        <w:ind w:left="3679" w:hanging="356"/>
      </w:pPr>
      <w:rPr>
        <w:rFonts w:hint="default"/>
        <w:lang w:val="en-US" w:eastAsia="en-US" w:bidi="ar-SA"/>
      </w:rPr>
    </w:lvl>
    <w:lvl w:ilvl="4" w:tplc="2190EE7E">
      <w:numFmt w:val="bullet"/>
      <w:lvlText w:val="•"/>
      <w:lvlJc w:val="left"/>
      <w:pPr>
        <w:ind w:left="4632" w:hanging="356"/>
      </w:pPr>
      <w:rPr>
        <w:rFonts w:hint="default"/>
        <w:lang w:val="en-US" w:eastAsia="en-US" w:bidi="ar-SA"/>
      </w:rPr>
    </w:lvl>
    <w:lvl w:ilvl="5" w:tplc="F3409086">
      <w:numFmt w:val="bullet"/>
      <w:lvlText w:val="•"/>
      <w:lvlJc w:val="left"/>
      <w:pPr>
        <w:ind w:left="5585" w:hanging="356"/>
      </w:pPr>
      <w:rPr>
        <w:rFonts w:hint="default"/>
        <w:lang w:val="en-US" w:eastAsia="en-US" w:bidi="ar-SA"/>
      </w:rPr>
    </w:lvl>
    <w:lvl w:ilvl="6" w:tplc="CEE48172">
      <w:numFmt w:val="bullet"/>
      <w:lvlText w:val="•"/>
      <w:lvlJc w:val="left"/>
      <w:pPr>
        <w:ind w:left="6538" w:hanging="356"/>
      </w:pPr>
      <w:rPr>
        <w:rFonts w:hint="default"/>
        <w:lang w:val="en-US" w:eastAsia="en-US" w:bidi="ar-SA"/>
      </w:rPr>
    </w:lvl>
    <w:lvl w:ilvl="7" w:tplc="528AE7B4">
      <w:numFmt w:val="bullet"/>
      <w:lvlText w:val="•"/>
      <w:lvlJc w:val="left"/>
      <w:pPr>
        <w:ind w:left="7491" w:hanging="356"/>
      </w:pPr>
      <w:rPr>
        <w:rFonts w:hint="default"/>
        <w:lang w:val="en-US" w:eastAsia="en-US" w:bidi="ar-SA"/>
      </w:rPr>
    </w:lvl>
    <w:lvl w:ilvl="8" w:tplc="62B2C508">
      <w:numFmt w:val="bullet"/>
      <w:lvlText w:val="•"/>
      <w:lvlJc w:val="left"/>
      <w:pPr>
        <w:ind w:left="8444" w:hanging="356"/>
      </w:pPr>
      <w:rPr>
        <w:rFonts w:hint="default"/>
        <w:lang w:val="en-US" w:eastAsia="en-US" w:bidi="ar-SA"/>
      </w:rPr>
    </w:lvl>
  </w:abstractNum>
  <w:abstractNum w:abstractNumId="31" w15:restartNumberingAfterBreak="0">
    <w:nsid w:val="2E386418"/>
    <w:multiLevelType w:val="hybridMultilevel"/>
    <w:tmpl w:val="6BEE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F0501BB"/>
    <w:multiLevelType w:val="hybridMultilevel"/>
    <w:tmpl w:val="004CBC8E"/>
    <w:lvl w:ilvl="0" w:tplc="1CF09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D004F2"/>
    <w:multiLevelType w:val="hybridMultilevel"/>
    <w:tmpl w:val="CD7E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1C4168"/>
    <w:multiLevelType w:val="multilevel"/>
    <w:tmpl w:val="E148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D422B1"/>
    <w:multiLevelType w:val="hybridMultilevel"/>
    <w:tmpl w:val="4F167A60"/>
    <w:lvl w:ilvl="0" w:tplc="04090017">
      <w:start w:val="1"/>
      <w:numFmt w:val="lowerLetter"/>
      <w:lvlText w:val="%1)"/>
      <w:lvlJc w:val="left"/>
      <w:pPr>
        <w:ind w:left="367" w:hanging="360"/>
      </w:p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6" w15:restartNumberingAfterBreak="0">
    <w:nsid w:val="334D4D4A"/>
    <w:multiLevelType w:val="hybridMultilevel"/>
    <w:tmpl w:val="A6AA3508"/>
    <w:lvl w:ilvl="0" w:tplc="BD6C7D5A">
      <w:numFmt w:val="bullet"/>
      <w:lvlText w:val=""/>
      <w:lvlJc w:val="left"/>
      <w:pPr>
        <w:ind w:left="1116" w:hanging="356"/>
      </w:pPr>
      <w:rPr>
        <w:rFonts w:ascii="Symbol" w:eastAsia="Symbol" w:hAnsi="Symbol" w:cs="Symbol" w:hint="default"/>
        <w:b w:val="0"/>
        <w:bCs w:val="0"/>
        <w:i w:val="0"/>
        <w:iCs w:val="0"/>
        <w:spacing w:val="0"/>
        <w:w w:val="99"/>
        <w:sz w:val="20"/>
        <w:szCs w:val="20"/>
        <w:lang w:val="en-US" w:eastAsia="en-US" w:bidi="ar-SA"/>
      </w:rPr>
    </w:lvl>
    <w:lvl w:ilvl="1" w:tplc="603C480E">
      <w:numFmt w:val="bullet"/>
      <w:lvlText w:val="•"/>
      <w:lvlJc w:val="left"/>
      <w:pPr>
        <w:ind w:left="2493" w:hanging="356"/>
      </w:pPr>
      <w:rPr>
        <w:rFonts w:hint="default"/>
        <w:lang w:val="en-US" w:eastAsia="en-US" w:bidi="ar-SA"/>
      </w:rPr>
    </w:lvl>
    <w:lvl w:ilvl="2" w:tplc="91B2DE26">
      <w:numFmt w:val="bullet"/>
      <w:lvlText w:val="•"/>
      <w:lvlJc w:val="left"/>
      <w:pPr>
        <w:ind w:left="3866" w:hanging="356"/>
      </w:pPr>
      <w:rPr>
        <w:rFonts w:hint="default"/>
        <w:lang w:val="en-US" w:eastAsia="en-US" w:bidi="ar-SA"/>
      </w:rPr>
    </w:lvl>
    <w:lvl w:ilvl="3" w:tplc="D4AA2F60">
      <w:numFmt w:val="bullet"/>
      <w:lvlText w:val="•"/>
      <w:lvlJc w:val="left"/>
      <w:pPr>
        <w:ind w:left="5239" w:hanging="356"/>
      </w:pPr>
      <w:rPr>
        <w:rFonts w:hint="default"/>
        <w:lang w:val="en-US" w:eastAsia="en-US" w:bidi="ar-SA"/>
      </w:rPr>
    </w:lvl>
    <w:lvl w:ilvl="4" w:tplc="DB8E8418">
      <w:numFmt w:val="bullet"/>
      <w:lvlText w:val="•"/>
      <w:lvlJc w:val="left"/>
      <w:pPr>
        <w:ind w:left="6612" w:hanging="356"/>
      </w:pPr>
      <w:rPr>
        <w:rFonts w:hint="default"/>
        <w:lang w:val="en-US" w:eastAsia="en-US" w:bidi="ar-SA"/>
      </w:rPr>
    </w:lvl>
    <w:lvl w:ilvl="5" w:tplc="21F665A8">
      <w:numFmt w:val="bullet"/>
      <w:lvlText w:val="•"/>
      <w:lvlJc w:val="left"/>
      <w:pPr>
        <w:ind w:left="7985" w:hanging="356"/>
      </w:pPr>
      <w:rPr>
        <w:rFonts w:hint="default"/>
        <w:lang w:val="en-US" w:eastAsia="en-US" w:bidi="ar-SA"/>
      </w:rPr>
    </w:lvl>
    <w:lvl w:ilvl="6" w:tplc="4FA02802">
      <w:numFmt w:val="bullet"/>
      <w:lvlText w:val="•"/>
      <w:lvlJc w:val="left"/>
      <w:pPr>
        <w:ind w:left="9358" w:hanging="356"/>
      </w:pPr>
      <w:rPr>
        <w:rFonts w:hint="default"/>
        <w:lang w:val="en-US" w:eastAsia="en-US" w:bidi="ar-SA"/>
      </w:rPr>
    </w:lvl>
    <w:lvl w:ilvl="7" w:tplc="39B8A5DA">
      <w:numFmt w:val="bullet"/>
      <w:lvlText w:val="•"/>
      <w:lvlJc w:val="left"/>
      <w:pPr>
        <w:ind w:left="10731" w:hanging="356"/>
      </w:pPr>
      <w:rPr>
        <w:rFonts w:hint="default"/>
        <w:lang w:val="en-US" w:eastAsia="en-US" w:bidi="ar-SA"/>
      </w:rPr>
    </w:lvl>
    <w:lvl w:ilvl="8" w:tplc="222C65FC">
      <w:numFmt w:val="bullet"/>
      <w:lvlText w:val="•"/>
      <w:lvlJc w:val="left"/>
      <w:pPr>
        <w:ind w:left="12104" w:hanging="356"/>
      </w:pPr>
      <w:rPr>
        <w:rFonts w:hint="default"/>
        <w:lang w:val="en-US" w:eastAsia="en-US" w:bidi="ar-SA"/>
      </w:rPr>
    </w:lvl>
  </w:abstractNum>
  <w:abstractNum w:abstractNumId="37" w15:restartNumberingAfterBreak="0">
    <w:nsid w:val="340E48A1"/>
    <w:multiLevelType w:val="hybridMultilevel"/>
    <w:tmpl w:val="B4825320"/>
    <w:lvl w:ilvl="0" w:tplc="1CF09BD6">
      <w:start w:val="1"/>
      <w:numFmt w:val="bullet"/>
      <w:lvlText w:val=""/>
      <w:lvlJc w:val="left"/>
      <w:pPr>
        <w:ind w:left="720" w:hanging="360"/>
      </w:pPr>
      <w:rPr>
        <w:rFonts w:ascii="Symbol" w:hAnsi="Symbol" w:hint="default"/>
      </w:rPr>
    </w:lvl>
    <w:lvl w:ilvl="1" w:tplc="575CEC4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19163E"/>
    <w:multiLevelType w:val="hybridMultilevel"/>
    <w:tmpl w:val="D550F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49558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36A92A74"/>
    <w:multiLevelType w:val="multilevel"/>
    <w:tmpl w:val="D078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3348EA"/>
    <w:multiLevelType w:val="multilevel"/>
    <w:tmpl w:val="032E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E61767"/>
    <w:multiLevelType w:val="multilevel"/>
    <w:tmpl w:val="FA2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55295C"/>
    <w:multiLevelType w:val="multilevel"/>
    <w:tmpl w:val="AFF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F163A4"/>
    <w:multiLevelType w:val="multilevel"/>
    <w:tmpl w:val="C408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FD12B6"/>
    <w:multiLevelType w:val="multilevel"/>
    <w:tmpl w:val="0EC646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D36247"/>
    <w:multiLevelType w:val="hybridMultilevel"/>
    <w:tmpl w:val="ECE6B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8351DA"/>
    <w:multiLevelType w:val="hybridMultilevel"/>
    <w:tmpl w:val="D3D2BB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CB0320"/>
    <w:multiLevelType w:val="multilevel"/>
    <w:tmpl w:val="FFC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49632E"/>
    <w:multiLevelType w:val="hybridMultilevel"/>
    <w:tmpl w:val="6EF65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BE76D2"/>
    <w:multiLevelType w:val="hybridMultilevel"/>
    <w:tmpl w:val="3188B01E"/>
    <w:lvl w:ilvl="0" w:tplc="1CF09B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11A370C"/>
    <w:multiLevelType w:val="hybridMultilevel"/>
    <w:tmpl w:val="74067652"/>
    <w:lvl w:ilvl="0" w:tplc="04090001">
      <w:start w:val="1"/>
      <w:numFmt w:val="bullet"/>
      <w:lvlText w:val=""/>
      <w:lvlJc w:val="left"/>
      <w:pPr>
        <w:ind w:left="3580" w:hanging="360"/>
      </w:pPr>
      <w:rPr>
        <w:rFonts w:ascii="Symbol" w:hAnsi="Symbol" w:hint="default"/>
      </w:rPr>
    </w:lvl>
    <w:lvl w:ilvl="1" w:tplc="04090003" w:tentative="1">
      <w:start w:val="1"/>
      <w:numFmt w:val="bullet"/>
      <w:lvlText w:val="o"/>
      <w:lvlJc w:val="left"/>
      <w:pPr>
        <w:ind w:left="4300" w:hanging="360"/>
      </w:pPr>
      <w:rPr>
        <w:rFonts w:ascii="Courier New" w:hAnsi="Courier New" w:cs="Courier New" w:hint="default"/>
      </w:rPr>
    </w:lvl>
    <w:lvl w:ilvl="2" w:tplc="04090005" w:tentative="1">
      <w:start w:val="1"/>
      <w:numFmt w:val="bullet"/>
      <w:lvlText w:val=""/>
      <w:lvlJc w:val="left"/>
      <w:pPr>
        <w:ind w:left="5020" w:hanging="360"/>
      </w:pPr>
      <w:rPr>
        <w:rFonts w:ascii="Wingdings" w:hAnsi="Wingdings" w:hint="default"/>
      </w:rPr>
    </w:lvl>
    <w:lvl w:ilvl="3" w:tplc="04090001" w:tentative="1">
      <w:start w:val="1"/>
      <w:numFmt w:val="bullet"/>
      <w:lvlText w:val=""/>
      <w:lvlJc w:val="left"/>
      <w:pPr>
        <w:ind w:left="5740" w:hanging="360"/>
      </w:pPr>
      <w:rPr>
        <w:rFonts w:ascii="Symbol" w:hAnsi="Symbol" w:hint="default"/>
      </w:rPr>
    </w:lvl>
    <w:lvl w:ilvl="4" w:tplc="04090003" w:tentative="1">
      <w:start w:val="1"/>
      <w:numFmt w:val="bullet"/>
      <w:lvlText w:val="o"/>
      <w:lvlJc w:val="left"/>
      <w:pPr>
        <w:ind w:left="6460" w:hanging="360"/>
      </w:pPr>
      <w:rPr>
        <w:rFonts w:ascii="Courier New" w:hAnsi="Courier New" w:cs="Courier New" w:hint="default"/>
      </w:rPr>
    </w:lvl>
    <w:lvl w:ilvl="5" w:tplc="04090005" w:tentative="1">
      <w:start w:val="1"/>
      <w:numFmt w:val="bullet"/>
      <w:lvlText w:val=""/>
      <w:lvlJc w:val="left"/>
      <w:pPr>
        <w:ind w:left="7180" w:hanging="360"/>
      </w:pPr>
      <w:rPr>
        <w:rFonts w:ascii="Wingdings" w:hAnsi="Wingdings" w:hint="default"/>
      </w:rPr>
    </w:lvl>
    <w:lvl w:ilvl="6" w:tplc="04090001" w:tentative="1">
      <w:start w:val="1"/>
      <w:numFmt w:val="bullet"/>
      <w:lvlText w:val=""/>
      <w:lvlJc w:val="left"/>
      <w:pPr>
        <w:ind w:left="7900" w:hanging="360"/>
      </w:pPr>
      <w:rPr>
        <w:rFonts w:ascii="Symbol" w:hAnsi="Symbol" w:hint="default"/>
      </w:rPr>
    </w:lvl>
    <w:lvl w:ilvl="7" w:tplc="04090003" w:tentative="1">
      <w:start w:val="1"/>
      <w:numFmt w:val="bullet"/>
      <w:lvlText w:val="o"/>
      <w:lvlJc w:val="left"/>
      <w:pPr>
        <w:ind w:left="8620" w:hanging="360"/>
      </w:pPr>
      <w:rPr>
        <w:rFonts w:ascii="Courier New" w:hAnsi="Courier New" w:cs="Courier New" w:hint="default"/>
      </w:rPr>
    </w:lvl>
    <w:lvl w:ilvl="8" w:tplc="04090005" w:tentative="1">
      <w:start w:val="1"/>
      <w:numFmt w:val="bullet"/>
      <w:lvlText w:val=""/>
      <w:lvlJc w:val="left"/>
      <w:pPr>
        <w:ind w:left="9340" w:hanging="360"/>
      </w:pPr>
      <w:rPr>
        <w:rFonts w:ascii="Wingdings" w:hAnsi="Wingdings" w:hint="default"/>
      </w:rPr>
    </w:lvl>
  </w:abstractNum>
  <w:abstractNum w:abstractNumId="52" w15:restartNumberingAfterBreak="0">
    <w:nsid w:val="41785B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18546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6625E36"/>
    <w:multiLevelType w:val="multilevel"/>
    <w:tmpl w:val="1BA6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B075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8670EE"/>
    <w:multiLevelType w:val="hybridMultilevel"/>
    <w:tmpl w:val="6C406442"/>
    <w:lvl w:ilvl="0" w:tplc="1CF09B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9231AAC"/>
    <w:multiLevelType w:val="multilevel"/>
    <w:tmpl w:val="EDBA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B261CD"/>
    <w:multiLevelType w:val="multilevel"/>
    <w:tmpl w:val="848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784A27"/>
    <w:multiLevelType w:val="hybridMultilevel"/>
    <w:tmpl w:val="D194D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DC546E5"/>
    <w:multiLevelType w:val="multilevel"/>
    <w:tmpl w:val="0409001F"/>
    <w:lvl w:ilvl="0">
      <w:start w:val="1"/>
      <w:numFmt w:val="decimal"/>
      <w:lvlText w:val="%1."/>
      <w:lvlJc w:val="left"/>
      <w:pPr>
        <w:ind w:left="367" w:hanging="360"/>
      </w:pPr>
    </w:lvl>
    <w:lvl w:ilvl="1">
      <w:start w:val="1"/>
      <w:numFmt w:val="decimal"/>
      <w:lvlText w:val="%1.%2."/>
      <w:lvlJc w:val="left"/>
      <w:pPr>
        <w:ind w:left="799" w:hanging="432"/>
      </w:pPr>
    </w:lvl>
    <w:lvl w:ilvl="2">
      <w:start w:val="1"/>
      <w:numFmt w:val="decimal"/>
      <w:lvlText w:val="%1.%2.%3."/>
      <w:lvlJc w:val="left"/>
      <w:pPr>
        <w:ind w:left="1231" w:hanging="504"/>
      </w:pPr>
    </w:lvl>
    <w:lvl w:ilvl="3">
      <w:start w:val="1"/>
      <w:numFmt w:val="decimal"/>
      <w:lvlText w:val="%1.%2.%3.%4."/>
      <w:lvlJc w:val="left"/>
      <w:pPr>
        <w:ind w:left="1735" w:hanging="648"/>
      </w:pPr>
    </w:lvl>
    <w:lvl w:ilvl="4">
      <w:start w:val="1"/>
      <w:numFmt w:val="decimal"/>
      <w:lvlText w:val="%1.%2.%3.%4.%5."/>
      <w:lvlJc w:val="left"/>
      <w:pPr>
        <w:ind w:left="2239" w:hanging="792"/>
      </w:pPr>
    </w:lvl>
    <w:lvl w:ilvl="5">
      <w:start w:val="1"/>
      <w:numFmt w:val="decimal"/>
      <w:lvlText w:val="%1.%2.%3.%4.%5.%6."/>
      <w:lvlJc w:val="left"/>
      <w:pPr>
        <w:ind w:left="2743" w:hanging="936"/>
      </w:pPr>
    </w:lvl>
    <w:lvl w:ilvl="6">
      <w:start w:val="1"/>
      <w:numFmt w:val="decimal"/>
      <w:lvlText w:val="%1.%2.%3.%4.%5.%6.%7."/>
      <w:lvlJc w:val="left"/>
      <w:pPr>
        <w:ind w:left="3247" w:hanging="1080"/>
      </w:pPr>
    </w:lvl>
    <w:lvl w:ilvl="7">
      <w:start w:val="1"/>
      <w:numFmt w:val="decimal"/>
      <w:lvlText w:val="%1.%2.%3.%4.%5.%6.%7.%8."/>
      <w:lvlJc w:val="left"/>
      <w:pPr>
        <w:ind w:left="3751" w:hanging="1224"/>
      </w:pPr>
    </w:lvl>
    <w:lvl w:ilvl="8">
      <w:start w:val="1"/>
      <w:numFmt w:val="decimal"/>
      <w:lvlText w:val="%1.%2.%3.%4.%5.%6.%7.%8.%9."/>
      <w:lvlJc w:val="left"/>
      <w:pPr>
        <w:ind w:left="4327" w:hanging="1440"/>
      </w:pPr>
    </w:lvl>
  </w:abstractNum>
  <w:abstractNum w:abstractNumId="61" w15:restartNumberingAfterBreak="0">
    <w:nsid w:val="4F7E60F1"/>
    <w:multiLevelType w:val="hybridMultilevel"/>
    <w:tmpl w:val="9FBA2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DD6ACC"/>
    <w:multiLevelType w:val="multilevel"/>
    <w:tmpl w:val="BEF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5C6120"/>
    <w:multiLevelType w:val="multilevel"/>
    <w:tmpl w:val="C46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C75E10"/>
    <w:multiLevelType w:val="hybridMultilevel"/>
    <w:tmpl w:val="BAC4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FC4A7A"/>
    <w:multiLevelType w:val="hybridMultilevel"/>
    <w:tmpl w:val="80E43EAE"/>
    <w:lvl w:ilvl="0" w:tplc="08B2048C">
      <w:start w:val="1"/>
      <w:numFmt w:val="bullet"/>
      <w:lvlText w:val=""/>
      <w:lvlJc w:val="left"/>
      <w:pPr>
        <w:ind w:left="644" w:hanging="360"/>
      </w:pPr>
      <w:rPr>
        <w:rFonts w:ascii="Wingdings" w:hAnsi="Wingdings" w:hint="default"/>
        <w:sz w:val="24"/>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6" w15:restartNumberingAfterBreak="0">
    <w:nsid w:val="5C480356"/>
    <w:multiLevelType w:val="hybridMultilevel"/>
    <w:tmpl w:val="2F2C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594792"/>
    <w:multiLevelType w:val="hybridMultilevel"/>
    <w:tmpl w:val="C8481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F1862FB"/>
    <w:multiLevelType w:val="hybridMultilevel"/>
    <w:tmpl w:val="04AC7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201AAF"/>
    <w:multiLevelType w:val="multilevel"/>
    <w:tmpl w:val="DEBA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906C06"/>
    <w:multiLevelType w:val="hybridMultilevel"/>
    <w:tmpl w:val="0C80F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D6B87"/>
    <w:multiLevelType w:val="hybridMultilevel"/>
    <w:tmpl w:val="ACC0EB54"/>
    <w:lvl w:ilvl="0" w:tplc="AB02DFFC">
      <w:start w:val="6"/>
      <w:numFmt w:val="decimal"/>
      <w:lvlText w:val="%1."/>
      <w:lvlJc w:val="left"/>
      <w:pPr>
        <w:ind w:left="616" w:hanging="512"/>
      </w:pPr>
      <w:rPr>
        <w:rFonts w:ascii="Times New Roman" w:eastAsia="Times New Roman" w:hAnsi="Times New Roman" w:cs="Times New Roman" w:hint="default"/>
        <w:b/>
        <w:bCs/>
        <w:i w:val="0"/>
        <w:iCs w:val="0"/>
        <w:spacing w:val="0"/>
        <w:w w:val="100"/>
        <w:sz w:val="23"/>
        <w:szCs w:val="23"/>
        <w:lang w:val="en-US" w:eastAsia="en-US" w:bidi="ar-SA"/>
      </w:rPr>
    </w:lvl>
    <w:lvl w:ilvl="1" w:tplc="83B41780">
      <w:numFmt w:val="bullet"/>
      <w:lvlText w:val="■"/>
      <w:lvlJc w:val="left"/>
      <w:pPr>
        <w:ind w:left="844" w:hanging="339"/>
      </w:pPr>
      <w:rPr>
        <w:rFonts w:ascii="Times New Roman" w:eastAsia="Times New Roman" w:hAnsi="Times New Roman" w:cs="Times New Roman" w:hint="default"/>
        <w:b w:val="0"/>
        <w:bCs w:val="0"/>
        <w:i w:val="0"/>
        <w:iCs w:val="0"/>
        <w:spacing w:val="0"/>
        <w:w w:val="100"/>
        <w:sz w:val="21"/>
        <w:szCs w:val="21"/>
        <w:lang w:val="en-US" w:eastAsia="en-US" w:bidi="ar-SA"/>
      </w:rPr>
    </w:lvl>
    <w:lvl w:ilvl="2" w:tplc="F050E364">
      <w:numFmt w:val="bullet"/>
      <w:lvlText w:val="•"/>
      <w:lvlJc w:val="left"/>
      <w:pPr>
        <w:ind w:left="1896" w:hanging="339"/>
      </w:pPr>
      <w:rPr>
        <w:rFonts w:hint="default"/>
        <w:lang w:val="en-US" w:eastAsia="en-US" w:bidi="ar-SA"/>
      </w:rPr>
    </w:lvl>
    <w:lvl w:ilvl="3" w:tplc="3168C28C">
      <w:numFmt w:val="bullet"/>
      <w:lvlText w:val="•"/>
      <w:lvlJc w:val="left"/>
      <w:pPr>
        <w:ind w:left="2953" w:hanging="339"/>
      </w:pPr>
      <w:rPr>
        <w:rFonts w:hint="default"/>
        <w:lang w:val="en-US" w:eastAsia="en-US" w:bidi="ar-SA"/>
      </w:rPr>
    </w:lvl>
    <w:lvl w:ilvl="4" w:tplc="F5EE76A4">
      <w:numFmt w:val="bullet"/>
      <w:lvlText w:val="•"/>
      <w:lvlJc w:val="left"/>
      <w:pPr>
        <w:ind w:left="4010" w:hanging="339"/>
      </w:pPr>
      <w:rPr>
        <w:rFonts w:hint="default"/>
        <w:lang w:val="en-US" w:eastAsia="en-US" w:bidi="ar-SA"/>
      </w:rPr>
    </w:lvl>
    <w:lvl w:ilvl="5" w:tplc="F31AAD40">
      <w:numFmt w:val="bullet"/>
      <w:lvlText w:val="•"/>
      <w:lvlJc w:val="left"/>
      <w:pPr>
        <w:ind w:left="5067" w:hanging="339"/>
      </w:pPr>
      <w:rPr>
        <w:rFonts w:hint="default"/>
        <w:lang w:val="en-US" w:eastAsia="en-US" w:bidi="ar-SA"/>
      </w:rPr>
    </w:lvl>
    <w:lvl w:ilvl="6" w:tplc="0062F890">
      <w:numFmt w:val="bullet"/>
      <w:lvlText w:val="•"/>
      <w:lvlJc w:val="left"/>
      <w:pPr>
        <w:ind w:left="6123" w:hanging="339"/>
      </w:pPr>
      <w:rPr>
        <w:rFonts w:hint="default"/>
        <w:lang w:val="en-US" w:eastAsia="en-US" w:bidi="ar-SA"/>
      </w:rPr>
    </w:lvl>
    <w:lvl w:ilvl="7" w:tplc="4790DB34">
      <w:numFmt w:val="bullet"/>
      <w:lvlText w:val="•"/>
      <w:lvlJc w:val="left"/>
      <w:pPr>
        <w:ind w:left="7180" w:hanging="339"/>
      </w:pPr>
      <w:rPr>
        <w:rFonts w:hint="default"/>
        <w:lang w:val="en-US" w:eastAsia="en-US" w:bidi="ar-SA"/>
      </w:rPr>
    </w:lvl>
    <w:lvl w:ilvl="8" w:tplc="D41CE070">
      <w:numFmt w:val="bullet"/>
      <w:lvlText w:val="•"/>
      <w:lvlJc w:val="left"/>
      <w:pPr>
        <w:ind w:left="8237" w:hanging="339"/>
      </w:pPr>
      <w:rPr>
        <w:rFonts w:hint="default"/>
        <w:lang w:val="en-US" w:eastAsia="en-US" w:bidi="ar-SA"/>
      </w:rPr>
    </w:lvl>
  </w:abstractNum>
  <w:abstractNum w:abstractNumId="72" w15:restartNumberingAfterBreak="0">
    <w:nsid w:val="65E436A9"/>
    <w:multiLevelType w:val="hybridMultilevel"/>
    <w:tmpl w:val="47BC6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7D096A"/>
    <w:multiLevelType w:val="hybridMultilevel"/>
    <w:tmpl w:val="DBA28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8D0536A"/>
    <w:multiLevelType w:val="hybridMultilevel"/>
    <w:tmpl w:val="C3BE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9A63BA"/>
    <w:multiLevelType w:val="multilevel"/>
    <w:tmpl w:val="3BFC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176695"/>
    <w:multiLevelType w:val="hybridMultilevel"/>
    <w:tmpl w:val="5C58213A"/>
    <w:lvl w:ilvl="0" w:tplc="2922524A">
      <w:start w:val="1"/>
      <w:numFmt w:val="bullet"/>
      <w:lvlText w:val=""/>
      <w:lvlJc w:val="left"/>
      <w:pPr>
        <w:tabs>
          <w:tab w:val="num" w:pos="720"/>
        </w:tabs>
        <w:ind w:left="720" w:hanging="360"/>
      </w:pPr>
      <w:rPr>
        <w:rFonts w:ascii="Wingdings" w:hAnsi="Wingdings" w:hint="default"/>
      </w:rPr>
    </w:lvl>
    <w:lvl w:ilvl="1" w:tplc="55029104" w:tentative="1">
      <w:start w:val="1"/>
      <w:numFmt w:val="bullet"/>
      <w:lvlText w:val=""/>
      <w:lvlJc w:val="left"/>
      <w:pPr>
        <w:tabs>
          <w:tab w:val="num" w:pos="1440"/>
        </w:tabs>
        <w:ind w:left="1440" w:hanging="360"/>
      </w:pPr>
      <w:rPr>
        <w:rFonts w:ascii="Wingdings" w:hAnsi="Wingdings" w:hint="default"/>
      </w:rPr>
    </w:lvl>
    <w:lvl w:ilvl="2" w:tplc="C316CBB8" w:tentative="1">
      <w:start w:val="1"/>
      <w:numFmt w:val="bullet"/>
      <w:lvlText w:val=""/>
      <w:lvlJc w:val="left"/>
      <w:pPr>
        <w:tabs>
          <w:tab w:val="num" w:pos="2160"/>
        </w:tabs>
        <w:ind w:left="2160" w:hanging="360"/>
      </w:pPr>
      <w:rPr>
        <w:rFonts w:ascii="Wingdings" w:hAnsi="Wingdings" w:hint="default"/>
      </w:rPr>
    </w:lvl>
    <w:lvl w:ilvl="3" w:tplc="FAE6FA4A" w:tentative="1">
      <w:start w:val="1"/>
      <w:numFmt w:val="bullet"/>
      <w:lvlText w:val=""/>
      <w:lvlJc w:val="left"/>
      <w:pPr>
        <w:tabs>
          <w:tab w:val="num" w:pos="2880"/>
        </w:tabs>
        <w:ind w:left="2880" w:hanging="360"/>
      </w:pPr>
      <w:rPr>
        <w:rFonts w:ascii="Wingdings" w:hAnsi="Wingdings" w:hint="default"/>
      </w:rPr>
    </w:lvl>
    <w:lvl w:ilvl="4" w:tplc="703AE0FE" w:tentative="1">
      <w:start w:val="1"/>
      <w:numFmt w:val="bullet"/>
      <w:lvlText w:val=""/>
      <w:lvlJc w:val="left"/>
      <w:pPr>
        <w:tabs>
          <w:tab w:val="num" w:pos="3600"/>
        </w:tabs>
        <w:ind w:left="3600" w:hanging="360"/>
      </w:pPr>
      <w:rPr>
        <w:rFonts w:ascii="Wingdings" w:hAnsi="Wingdings" w:hint="default"/>
      </w:rPr>
    </w:lvl>
    <w:lvl w:ilvl="5" w:tplc="0C300806" w:tentative="1">
      <w:start w:val="1"/>
      <w:numFmt w:val="bullet"/>
      <w:lvlText w:val=""/>
      <w:lvlJc w:val="left"/>
      <w:pPr>
        <w:tabs>
          <w:tab w:val="num" w:pos="4320"/>
        </w:tabs>
        <w:ind w:left="4320" w:hanging="360"/>
      </w:pPr>
      <w:rPr>
        <w:rFonts w:ascii="Wingdings" w:hAnsi="Wingdings" w:hint="default"/>
      </w:rPr>
    </w:lvl>
    <w:lvl w:ilvl="6" w:tplc="530EB0F0" w:tentative="1">
      <w:start w:val="1"/>
      <w:numFmt w:val="bullet"/>
      <w:lvlText w:val=""/>
      <w:lvlJc w:val="left"/>
      <w:pPr>
        <w:tabs>
          <w:tab w:val="num" w:pos="5040"/>
        </w:tabs>
        <w:ind w:left="5040" w:hanging="360"/>
      </w:pPr>
      <w:rPr>
        <w:rFonts w:ascii="Wingdings" w:hAnsi="Wingdings" w:hint="default"/>
      </w:rPr>
    </w:lvl>
    <w:lvl w:ilvl="7" w:tplc="53682590" w:tentative="1">
      <w:start w:val="1"/>
      <w:numFmt w:val="bullet"/>
      <w:lvlText w:val=""/>
      <w:lvlJc w:val="left"/>
      <w:pPr>
        <w:tabs>
          <w:tab w:val="num" w:pos="5760"/>
        </w:tabs>
        <w:ind w:left="5760" w:hanging="360"/>
      </w:pPr>
      <w:rPr>
        <w:rFonts w:ascii="Wingdings" w:hAnsi="Wingdings" w:hint="default"/>
      </w:rPr>
    </w:lvl>
    <w:lvl w:ilvl="8" w:tplc="7EC8468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E545FC2"/>
    <w:multiLevelType w:val="multilevel"/>
    <w:tmpl w:val="9C14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014424"/>
    <w:multiLevelType w:val="hybridMultilevel"/>
    <w:tmpl w:val="B9B04D22"/>
    <w:lvl w:ilvl="0" w:tplc="1CF09B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E91BD3"/>
    <w:multiLevelType w:val="hybridMultilevel"/>
    <w:tmpl w:val="D9AC29C0"/>
    <w:lvl w:ilvl="0" w:tplc="FFFFFFFF">
      <w:start w:val="1"/>
      <w:numFmt w:val="lowerLetter"/>
      <w:lvlText w:val="%1)"/>
      <w:lvlJc w:val="left"/>
      <w:pPr>
        <w:ind w:left="367" w:hanging="360"/>
      </w:p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80" w15:restartNumberingAfterBreak="0">
    <w:nsid w:val="71B45C95"/>
    <w:multiLevelType w:val="multilevel"/>
    <w:tmpl w:val="F03A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B23223"/>
    <w:multiLevelType w:val="multilevel"/>
    <w:tmpl w:val="2C98427E"/>
    <w:lvl w:ilvl="0">
      <w:start w:val="1"/>
      <w:numFmt w:val="decimal"/>
      <w:lvlText w:val="%1."/>
      <w:lvlJc w:val="left"/>
      <w:pPr>
        <w:ind w:left="662" w:hanging="557"/>
      </w:pPr>
      <w:rPr>
        <w:rFonts w:ascii="Times New Roman" w:eastAsia="Times New Roman" w:hAnsi="Times New Roman" w:cs="Times New Roman" w:hint="default"/>
        <w:b/>
        <w:bCs/>
        <w:i w:val="0"/>
        <w:iCs w:val="0"/>
        <w:spacing w:val="0"/>
        <w:w w:val="100"/>
        <w:sz w:val="23"/>
        <w:szCs w:val="23"/>
        <w:lang w:val="en-US" w:eastAsia="en-US" w:bidi="ar-SA"/>
      </w:rPr>
    </w:lvl>
    <w:lvl w:ilvl="1">
      <w:start w:val="1"/>
      <w:numFmt w:val="decimal"/>
      <w:lvlText w:val="%1.%2."/>
      <w:lvlJc w:val="left"/>
      <w:pPr>
        <w:ind w:left="616" w:hanging="512"/>
      </w:pPr>
      <w:rPr>
        <w:rFonts w:ascii="Times New Roman" w:eastAsia="Times New Roman" w:hAnsi="Times New Roman" w:cs="Times New Roman" w:hint="default"/>
        <w:b/>
        <w:bCs/>
        <w:i w:val="0"/>
        <w:iCs w:val="0"/>
        <w:spacing w:val="0"/>
        <w:w w:val="100"/>
        <w:sz w:val="23"/>
        <w:szCs w:val="23"/>
        <w:lang w:val="en-US" w:eastAsia="en-US" w:bidi="ar-SA"/>
      </w:rPr>
    </w:lvl>
    <w:lvl w:ilvl="2">
      <w:numFmt w:val="bullet"/>
      <w:lvlText w:val="-"/>
      <w:lvlJc w:val="left"/>
      <w:pPr>
        <w:ind w:left="239"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3">
      <w:numFmt w:val="bullet"/>
      <w:lvlText w:val="•"/>
      <w:lvlJc w:val="left"/>
      <w:pPr>
        <w:ind w:left="1871" w:hanging="135"/>
      </w:pPr>
      <w:rPr>
        <w:rFonts w:hint="default"/>
        <w:lang w:val="en-US" w:eastAsia="en-US" w:bidi="ar-SA"/>
      </w:rPr>
    </w:lvl>
    <w:lvl w:ilvl="4">
      <w:numFmt w:val="bullet"/>
      <w:lvlText w:val="•"/>
      <w:lvlJc w:val="left"/>
      <w:pPr>
        <w:ind w:left="3082" w:hanging="135"/>
      </w:pPr>
      <w:rPr>
        <w:rFonts w:hint="default"/>
        <w:lang w:val="en-US" w:eastAsia="en-US" w:bidi="ar-SA"/>
      </w:rPr>
    </w:lvl>
    <w:lvl w:ilvl="5">
      <w:numFmt w:val="bullet"/>
      <w:lvlText w:val="•"/>
      <w:lvlJc w:val="left"/>
      <w:pPr>
        <w:ind w:left="4294" w:hanging="135"/>
      </w:pPr>
      <w:rPr>
        <w:rFonts w:hint="default"/>
        <w:lang w:val="en-US" w:eastAsia="en-US" w:bidi="ar-SA"/>
      </w:rPr>
    </w:lvl>
    <w:lvl w:ilvl="6">
      <w:numFmt w:val="bullet"/>
      <w:lvlText w:val="•"/>
      <w:lvlJc w:val="left"/>
      <w:pPr>
        <w:ind w:left="5505" w:hanging="135"/>
      </w:pPr>
      <w:rPr>
        <w:rFonts w:hint="default"/>
        <w:lang w:val="en-US" w:eastAsia="en-US" w:bidi="ar-SA"/>
      </w:rPr>
    </w:lvl>
    <w:lvl w:ilvl="7">
      <w:numFmt w:val="bullet"/>
      <w:lvlText w:val="•"/>
      <w:lvlJc w:val="left"/>
      <w:pPr>
        <w:ind w:left="6716" w:hanging="135"/>
      </w:pPr>
      <w:rPr>
        <w:rFonts w:hint="default"/>
        <w:lang w:val="en-US" w:eastAsia="en-US" w:bidi="ar-SA"/>
      </w:rPr>
    </w:lvl>
    <w:lvl w:ilvl="8">
      <w:numFmt w:val="bullet"/>
      <w:lvlText w:val="•"/>
      <w:lvlJc w:val="left"/>
      <w:pPr>
        <w:ind w:left="7928" w:hanging="135"/>
      </w:pPr>
      <w:rPr>
        <w:rFonts w:hint="default"/>
        <w:lang w:val="en-US" w:eastAsia="en-US" w:bidi="ar-SA"/>
      </w:rPr>
    </w:lvl>
  </w:abstractNum>
  <w:abstractNum w:abstractNumId="82" w15:restartNumberingAfterBreak="0">
    <w:nsid w:val="74BA4CE2"/>
    <w:multiLevelType w:val="hybridMultilevel"/>
    <w:tmpl w:val="498A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A331F1"/>
    <w:multiLevelType w:val="multilevel"/>
    <w:tmpl w:val="6158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5E2BD2"/>
    <w:multiLevelType w:val="multilevel"/>
    <w:tmpl w:val="B086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C67C66"/>
    <w:multiLevelType w:val="multilevel"/>
    <w:tmpl w:val="2EBEB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BA19A2"/>
    <w:multiLevelType w:val="hybridMultilevel"/>
    <w:tmpl w:val="08A268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E01A1D"/>
    <w:multiLevelType w:val="multilevel"/>
    <w:tmpl w:val="0A2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6E609F"/>
    <w:multiLevelType w:val="multilevel"/>
    <w:tmpl w:val="EDB616F8"/>
    <w:lvl w:ilvl="0">
      <w:start w:val="1"/>
      <w:numFmt w:val="decimal"/>
      <w:lvlText w:val="%1."/>
      <w:lvlJc w:val="left"/>
      <w:pPr>
        <w:ind w:left="360" w:hanging="360"/>
      </w:pPr>
      <w:rPr>
        <w:sz w:val="24"/>
        <w:szCs w:val="24"/>
      </w:rPr>
    </w:lvl>
    <w:lvl w:ilvl="1">
      <w:start w:val="1"/>
      <w:numFmt w:val="decimal"/>
      <w:lvlText w:val="%1.%2."/>
      <w:lvlJc w:val="left"/>
      <w:pPr>
        <w:ind w:left="52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7034EB"/>
    <w:multiLevelType w:val="hybridMultilevel"/>
    <w:tmpl w:val="AF22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734609">
    <w:abstractNumId w:val="24"/>
  </w:num>
  <w:num w:numId="2" w16cid:durableId="1500459279">
    <w:abstractNumId w:val="36"/>
  </w:num>
  <w:num w:numId="3" w16cid:durableId="199896998">
    <w:abstractNumId w:val="71"/>
  </w:num>
  <w:num w:numId="4" w16cid:durableId="238833945">
    <w:abstractNumId w:val="30"/>
  </w:num>
  <w:num w:numId="5" w16cid:durableId="1962029107">
    <w:abstractNumId w:val="81"/>
  </w:num>
  <w:num w:numId="6" w16cid:durableId="1506088295">
    <w:abstractNumId w:val="3"/>
  </w:num>
  <w:num w:numId="7" w16cid:durableId="1678574632">
    <w:abstractNumId w:val="10"/>
  </w:num>
  <w:num w:numId="8" w16cid:durableId="1732920894">
    <w:abstractNumId w:val="26"/>
  </w:num>
  <w:num w:numId="9" w16cid:durableId="829441072">
    <w:abstractNumId w:val="41"/>
  </w:num>
  <w:num w:numId="10" w16cid:durableId="640306790">
    <w:abstractNumId w:val="59"/>
  </w:num>
  <w:num w:numId="11" w16cid:durableId="794756630">
    <w:abstractNumId w:val="58"/>
  </w:num>
  <w:num w:numId="12" w16cid:durableId="1770929533">
    <w:abstractNumId w:val="49"/>
  </w:num>
  <w:num w:numId="13" w16cid:durableId="1851066220">
    <w:abstractNumId w:val="66"/>
  </w:num>
  <w:num w:numId="14" w16cid:durableId="1666125614">
    <w:abstractNumId w:val="68"/>
  </w:num>
  <w:num w:numId="15" w16cid:durableId="315569737">
    <w:abstractNumId w:val="15"/>
  </w:num>
  <w:num w:numId="16" w16cid:durableId="1787918765">
    <w:abstractNumId w:val="13"/>
  </w:num>
  <w:num w:numId="17" w16cid:durableId="1997563644">
    <w:abstractNumId w:val="11"/>
  </w:num>
  <w:num w:numId="18" w16cid:durableId="1466853928">
    <w:abstractNumId w:val="23"/>
  </w:num>
  <w:num w:numId="19" w16cid:durableId="1124499077">
    <w:abstractNumId w:val="73"/>
  </w:num>
  <w:num w:numId="20" w16cid:durableId="1475945172">
    <w:abstractNumId w:val="61"/>
  </w:num>
  <w:num w:numId="21" w16cid:durableId="29573776">
    <w:abstractNumId w:val="51"/>
  </w:num>
  <w:num w:numId="22" w16cid:durableId="18286212">
    <w:abstractNumId w:val="25"/>
  </w:num>
  <w:num w:numId="23" w16cid:durableId="274871481">
    <w:abstractNumId w:val="65"/>
  </w:num>
  <w:num w:numId="24" w16cid:durableId="1004363029">
    <w:abstractNumId w:val="27"/>
  </w:num>
  <w:num w:numId="25" w16cid:durableId="1430083606">
    <w:abstractNumId w:val="70"/>
  </w:num>
  <w:num w:numId="26" w16cid:durableId="1594703757">
    <w:abstractNumId w:val="74"/>
  </w:num>
  <w:num w:numId="27" w16cid:durableId="514464692">
    <w:abstractNumId w:val="5"/>
  </w:num>
  <w:num w:numId="28" w16cid:durableId="1825928284">
    <w:abstractNumId w:val="18"/>
  </w:num>
  <w:num w:numId="29" w16cid:durableId="653073618">
    <w:abstractNumId w:val="86"/>
  </w:num>
  <w:num w:numId="30" w16cid:durableId="1219584123">
    <w:abstractNumId w:val="19"/>
  </w:num>
  <w:num w:numId="31" w16cid:durableId="1623685335">
    <w:abstractNumId w:val="31"/>
  </w:num>
  <w:num w:numId="32" w16cid:durableId="450444809">
    <w:abstractNumId w:val="64"/>
  </w:num>
  <w:num w:numId="33" w16cid:durableId="1546018959">
    <w:abstractNumId w:val="82"/>
  </w:num>
  <w:num w:numId="34" w16cid:durableId="970135266">
    <w:abstractNumId w:val="29"/>
  </w:num>
  <w:num w:numId="35" w16cid:durableId="941106409">
    <w:abstractNumId w:val="76"/>
  </w:num>
  <w:num w:numId="36" w16cid:durableId="245309431">
    <w:abstractNumId w:val="38"/>
  </w:num>
  <w:num w:numId="37" w16cid:durableId="1720546720">
    <w:abstractNumId w:val="72"/>
  </w:num>
  <w:num w:numId="38" w16cid:durableId="1983608139">
    <w:abstractNumId w:val="21"/>
  </w:num>
  <w:num w:numId="39" w16cid:durableId="963852387">
    <w:abstractNumId w:val="45"/>
  </w:num>
  <w:num w:numId="40" w16cid:durableId="1905875401">
    <w:abstractNumId w:val="47"/>
  </w:num>
  <w:num w:numId="41" w16cid:durableId="826089291">
    <w:abstractNumId w:val="89"/>
  </w:num>
  <w:num w:numId="42" w16cid:durableId="963268361">
    <w:abstractNumId w:val="6"/>
  </w:num>
  <w:num w:numId="43" w16cid:durableId="1825852651">
    <w:abstractNumId w:val="80"/>
  </w:num>
  <w:num w:numId="44" w16cid:durableId="1065028446">
    <w:abstractNumId w:val="16"/>
  </w:num>
  <w:num w:numId="45" w16cid:durableId="645478283">
    <w:abstractNumId w:val="63"/>
  </w:num>
  <w:num w:numId="46" w16cid:durableId="1752655808">
    <w:abstractNumId w:val="0"/>
  </w:num>
  <w:num w:numId="47" w16cid:durableId="1944872441">
    <w:abstractNumId w:val="83"/>
  </w:num>
  <w:num w:numId="48" w16cid:durableId="1850673778">
    <w:abstractNumId w:val="48"/>
  </w:num>
  <w:num w:numId="49" w16cid:durableId="663359459">
    <w:abstractNumId w:val="85"/>
  </w:num>
  <w:num w:numId="50" w16cid:durableId="1428114165">
    <w:abstractNumId w:val="28"/>
  </w:num>
  <w:num w:numId="51" w16cid:durableId="1728845232">
    <w:abstractNumId w:val="75"/>
  </w:num>
  <w:num w:numId="52" w16cid:durableId="1175416309">
    <w:abstractNumId w:val="44"/>
  </w:num>
  <w:num w:numId="53" w16cid:durableId="872351192">
    <w:abstractNumId w:val="14"/>
  </w:num>
  <w:num w:numId="54" w16cid:durableId="284779493">
    <w:abstractNumId w:val="77"/>
  </w:num>
  <w:num w:numId="55" w16cid:durableId="563680324">
    <w:abstractNumId w:val="22"/>
  </w:num>
  <w:num w:numId="56" w16cid:durableId="1364746858">
    <w:abstractNumId w:val="34"/>
  </w:num>
  <w:num w:numId="57" w16cid:durableId="354770630">
    <w:abstractNumId w:val="43"/>
  </w:num>
  <w:num w:numId="58" w16cid:durableId="2085176871">
    <w:abstractNumId w:val="20"/>
  </w:num>
  <w:num w:numId="59" w16cid:durableId="24982631">
    <w:abstractNumId w:val="87"/>
  </w:num>
  <w:num w:numId="60" w16cid:durableId="232470673">
    <w:abstractNumId w:val="12"/>
  </w:num>
  <w:num w:numId="61" w16cid:durableId="651787588">
    <w:abstractNumId w:val="57"/>
  </w:num>
  <w:num w:numId="62" w16cid:durableId="1718771379">
    <w:abstractNumId w:val="69"/>
  </w:num>
  <w:num w:numId="63" w16cid:durableId="654450747">
    <w:abstractNumId w:val="42"/>
  </w:num>
  <w:num w:numId="64" w16cid:durableId="1761366558">
    <w:abstractNumId w:val="40"/>
  </w:num>
  <w:num w:numId="65" w16cid:durableId="173038039">
    <w:abstractNumId w:val="4"/>
  </w:num>
  <w:num w:numId="66" w16cid:durableId="1665281947">
    <w:abstractNumId w:val="62"/>
  </w:num>
  <w:num w:numId="67" w16cid:durableId="1044865180">
    <w:abstractNumId w:val="88"/>
  </w:num>
  <w:num w:numId="68" w16cid:durableId="342056361">
    <w:abstractNumId w:val="67"/>
  </w:num>
  <w:num w:numId="69" w16cid:durableId="1101536676">
    <w:abstractNumId w:val="60"/>
  </w:num>
  <w:num w:numId="70" w16cid:durableId="1155492178">
    <w:abstractNumId w:val="39"/>
  </w:num>
  <w:num w:numId="71" w16cid:durableId="1432892316">
    <w:abstractNumId w:val="35"/>
  </w:num>
  <w:num w:numId="72" w16cid:durableId="1361707192">
    <w:abstractNumId w:val="52"/>
  </w:num>
  <w:num w:numId="73" w16cid:durableId="507599568">
    <w:abstractNumId w:val="32"/>
  </w:num>
  <w:num w:numId="74" w16cid:durableId="1557470906">
    <w:abstractNumId w:val="8"/>
  </w:num>
  <w:num w:numId="75" w16cid:durableId="780492590">
    <w:abstractNumId w:val="37"/>
  </w:num>
  <w:num w:numId="76" w16cid:durableId="1661154489">
    <w:abstractNumId w:val="56"/>
  </w:num>
  <w:num w:numId="77" w16cid:durableId="1981883923">
    <w:abstractNumId w:val="78"/>
  </w:num>
  <w:num w:numId="78" w16cid:durableId="1355761890">
    <w:abstractNumId w:val="46"/>
  </w:num>
  <w:num w:numId="79" w16cid:durableId="85152024">
    <w:abstractNumId w:val="50"/>
  </w:num>
  <w:num w:numId="80" w16cid:durableId="1226452651">
    <w:abstractNumId w:val="9"/>
  </w:num>
  <w:num w:numId="81" w16cid:durableId="944773804">
    <w:abstractNumId w:val="39"/>
  </w:num>
  <w:num w:numId="82" w16cid:durableId="1578512540">
    <w:abstractNumId w:val="2"/>
  </w:num>
  <w:num w:numId="83" w16cid:durableId="599803008">
    <w:abstractNumId w:val="39"/>
  </w:num>
  <w:num w:numId="84" w16cid:durableId="1504196930">
    <w:abstractNumId w:val="55"/>
  </w:num>
  <w:num w:numId="85" w16cid:durableId="1783572556">
    <w:abstractNumId w:val="39"/>
  </w:num>
  <w:num w:numId="86" w16cid:durableId="17586656">
    <w:abstractNumId w:val="39"/>
  </w:num>
  <w:num w:numId="87" w16cid:durableId="1608394084">
    <w:abstractNumId w:val="39"/>
  </w:num>
  <w:num w:numId="88" w16cid:durableId="321668376">
    <w:abstractNumId w:val="39"/>
  </w:num>
  <w:num w:numId="89" w16cid:durableId="1459950813">
    <w:abstractNumId w:val="39"/>
  </w:num>
  <w:num w:numId="90" w16cid:durableId="81799684">
    <w:abstractNumId w:val="39"/>
  </w:num>
  <w:num w:numId="91" w16cid:durableId="1688942553">
    <w:abstractNumId w:val="53"/>
  </w:num>
  <w:num w:numId="92" w16cid:durableId="1889763224">
    <w:abstractNumId w:val="39"/>
  </w:num>
  <w:num w:numId="93" w16cid:durableId="1874069968">
    <w:abstractNumId w:val="17"/>
  </w:num>
  <w:num w:numId="94" w16cid:durableId="395706619">
    <w:abstractNumId w:val="1"/>
  </w:num>
  <w:num w:numId="95" w16cid:durableId="621764026">
    <w:abstractNumId w:val="39"/>
  </w:num>
  <w:num w:numId="96" w16cid:durableId="1861891016">
    <w:abstractNumId w:val="54"/>
  </w:num>
  <w:num w:numId="97" w16cid:durableId="764574331">
    <w:abstractNumId w:val="79"/>
  </w:num>
  <w:num w:numId="98" w16cid:durableId="127743643">
    <w:abstractNumId w:val="84"/>
  </w:num>
  <w:num w:numId="99" w16cid:durableId="793209985">
    <w:abstractNumId w:val="7"/>
  </w:num>
  <w:num w:numId="100" w16cid:durableId="105928559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94"/>
    <w:rsid w:val="0000649C"/>
    <w:rsid w:val="00023BF0"/>
    <w:rsid w:val="00024242"/>
    <w:rsid w:val="00033207"/>
    <w:rsid w:val="0005027C"/>
    <w:rsid w:val="00070E3D"/>
    <w:rsid w:val="0007611A"/>
    <w:rsid w:val="000775DE"/>
    <w:rsid w:val="00081272"/>
    <w:rsid w:val="00081A12"/>
    <w:rsid w:val="0009597C"/>
    <w:rsid w:val="000B662F"/>
    <w:rsid w:val="000C2706"/>
    <w:rsid w:val="000C43B9"/>
    <w:rsid w:val="000C514C"/>
    <w:rsid w:val="000F1A4D"/>
    <w:rsid w:val="000F286B"/>
    <w:rsid w:val="000F3A06"/>
    <w:rsid w:val="00105836"/>
    <w:rsid w:val="00115688"/>
    <w:rsid w:val="00117121"/>
    <w:rsid w:val="00126DC2"/>
    <w:rsid w:val="001337BE"/>
    <w:rsid w:val="00142CE4"/>
    <w:rsid w:val="00150802"/>
    <w:rsid w:val="0015651F"/>
    <w:rsid w:val="001602BC"/>
    <w:rsid w:val="001658EB"/>
    <w:rsid w:val="0019006B"/>
    <w:rsid w:val="001B34B4"/>
    <w:rsid w:val="001B43A7"/>
    <w:rsid w:val="001E1CA6"/>
    <w:rsid w:val="001E773A"/>
    <w:rsid w:val="001F63B0"/>
    <w:rsid w:val="001F794C"/>
    <w:rsid w:val="00212A28"/>
    <w:rsid w:val="00214B79"/>
    <w:rsid w:val="002223B1"/>
    <w:rsid w:val="00225B14"/>
    <w:rsid w:val="002322AE"/>
    <w:rsid w:val="0023305B"/>
    <w:rsid w:val="0023466A"/>
    <w:rsid w:val="00237E27"/>
    <w:rsid w:val="002532FA"/>
    <w:rsid w:val="002640B7"/>
    <w:rsid w:val="00273C69"/>
    <w:rsid w:val="00281649"/>
    <w:rsid w:val="002829F3"/>
    <w:rsid w:val="0028406A"/>
    <w:rsid w:val="00285701"/>
    <w:rsid w:val="002859A0"/>
    <w:rsid w:val="002902E1"/>
    <w:rsid w:val="002A58DC"/>
    <w:rsid w:val="002D32D4"/>
    <w:rsid w:val="00301526"/>
    <w:rsid w:val="003160CC"/>
    <w:rsid w:val="00323B8A"/>
    <w:rsid w:val="00337F91"/>
    <w:rsid w:val="00343D70"/>
    <w:rsid w:val="00351359"/>
    <w:rsid w:val="00353CC1"/>
    <w:rsid w:val="00356227"/>
    <w:rsid w:val="00363F75"/>
    <w:rsid w:val="0037280F"/>
    <w:rsid w:val="00373DEA"/>
    <w:rsid w:val="00376AAF"/>
    <w:rsid w:val="00380F39"/>
    <w:rsid w:val="00393EE4"/>
    <w:rsid w:val="00396A02"/>
    <w:rsid w:val="003A10D9"/>
    <w:rsid w:val="003B0F17"/>
    <w:rsid w:val="003C6ABE"/>
    <w:rsid w:val="003D1EBE"/>
    <w:rsid w:val="003D568D"/>
    <w:rsid w:val="003E1EE1"/>
    <w:rsid w:val="00406294"/>
    <w:rsid w:val="0041215F"/>
    <w:rsid w:val="0041584F"/>
    <w:rsid w:val="00416627"/>
    <w:rsid w:val="0041676A"/>
    <w:rsid w:val="004177E7"/>
    <w:rsid w:val="00422B50"/>
    <w:rsid w:val="004263C5"/>
    <w:rsid w:val="00433D74"/>
    <w:rsid w:val="00442A5E"/>
    <w:rsid w:val="00455816"/>
    <w:rsid w:val="00462615"/>
    <w:rsid w:val="00462CBA"/>
    <w:rsid w:val="00476A44"/>
    <w:rsid w:val="004865BC"/>
    <w:rsid w:val="0049361B"/>
    <w:rsid w:val="004A6367"/>
    <w:rsid w:val="004A7547"/>
    <w:rsid w:val="004C1EF3"/>
    <w:rsid w:val="004C3783"/>
    <w:rsid w:val="004D2BF6"/>
    <w:rsid w:val="004D3AF1"/>
    <w:rsid w:val="004E2440"/>
    <w:rsid w:val="004E6C80"/>
    <w:rsid w:val="004F3674"/>
    <w:rsid w:val="004F48BB"/>
    <w:rsid w:val="00500C7A"/>
    <w:rsid w:val="005231FD"/>
    <w:rsid w:val="00532783"/>
    <w:rsid w:val="00537336"/>
    <w:rsid w:val="0054390B"/>
    <w:rsid w:val="00545B2C"/>
    <w:rsid w:val="00561458"/>
    <w:rsid w:val="00566403"/>
    <w:rsid w:val="00566650"/>
    <w:rsid w:val="00573D12"/>
    <w:rsid w:val="00574316"/>
    <w:rsid w:val="0058200D"/>
    <w:rsid w:val="005872F1"/>
    <w:rsid w:val="0059549F"/>
    <w:rsid w:val="005969E5"/>
    <w:rsid w:val="005A6AFC"/>
    <w:rsid w:val="005A6C8C"/>
    <w:rsid w:val="005B685B"/>
    <w:rsid w:val="005C1575"/>
    <w:rsid w:val="005D5B11"/>
    <w:rsid w:val="005D7BFA"/>
    <w:rsid w:val="005E5E92"/>
    <w:rsid w:val="006017C4"/>
    <w:rsid w:val="00604372"/>
    <w:rsid w:val="00607DCB"/>
    <w:rsid w:val="00637584"/>
    <w:rsid w:val="00642449"/>
    <w:rsid w:val="00652570"/>
    <w:rsid w:val="006541C7"/>
    <w:rsid w:val="00665EEA"/>
    <w:rsid w:val="00666B24"/>
    <w:rsid w:val="00685299"/>
    <w:rsid w:val="00687719"/>
    <w:rsid w:val="006A0296"/>
    <w:rsid w:val="006A4F9E"/>
    <w:rsid w:val="006B4609"/>
    <w:rsid w:val="006D470E"/>
    <w:rsid w:val="006E4B02"/>
    <w:rsid w:val="006E554B"/>
    <w:rsid w:val="006F08AD"/>
    <w:rsid w:val="007011B7"/>
    <w:rsid w:val="00711149"/>
    <w:rsid w:val="007206BA"/>
    <w:rsid w:val="00723401"/>
    <w:rsid w:val="00724DB4"/>
    <w:rsid w:val="00733F1F"/>
    <w:rsid w:val="007377E0"/>
    <w:rsid w:val="0074206D"/>
    <w:rsid w:val="00761CC6"/>
    <w:rsid w:val="00762586"/>
    <w:rsid w:val="007639E5"/>
    <w:rsid w:val="00763A94"/>
    <w:rsid w:val="00763E42"/>
    <w:rsid w:val="00771AB2"/>
    <w:rsid w:val="00775C2A"/>
    <w:rsid w:val="00776193"/>
    <w:rsid w:val="00777FDB"/>
    <w:rsid w:val="00791F53"/>
    <w:rsid w:val="007B1B8E"/>
    <w:rsid w:val="007B2CAB"/>
    <w:rsid w:val="007C0A3D"/>
    <w:rsid w:val="007D09F6"/>
    <w:rsid w:val="007D4443"/>
    <w:rsid w:val="007E0F12"/>
    <w:rsid w:val="007F02E9"/>
    <w:rsid w:val="007F162B"/>
    <w:rsid w:val="007F5FA4"/>
    <w:rsid w:val="007F65FF"/>
    <w:rsid w:val="00802BEC"/>
    <w:rsid w:val="00804974"/>
    <w:rsid w:val="00816098"/>
    <w:rsid w:val="00830DCC"/>
    <w:rsid w:val="00850AAC"/>
    <w:rsid w:val="00857168"/>
    <w:rsid w:val="008611AE"/>
    <w:rsid w:val="0088243A"/>
    <w:rsid w:val="00896DC9"/>
    <w:rsid w:val="008A03EC"/>
    <w:rsid w:val="008C199F"/>
    <w:rsid w:val="008E174E"/>
    <w:rsid w:val="008E7EDB"/>
    <w:rsid w:val="008F1338"/>
    <w:rsid w:val="008F16A7"/>
    <w:rsid w:val="00905B9D"/>
    <w:rsid w:val="00906666"/>
    <w:rsid w:val="00935940"/>
    <w:rsid w:val="00956C2E"/>
    <w:rsid w:val="009570A8"/>
    <w:rsid w:val="00962881"/>
    <w:rsid w:val="0096777A"/>
    <w:rsid w:val="00973B26"/>
    <w:rsid w:val="009742E5"/>
    <w:rsid w:val="00976ADB"/>
    <w:rsid w:val="00981072"/>
    <w:rsid w:val="00986C04"/>
    <w:rsid w:val="00997D81"/>
    <w:rsid w:val="009A7E22"/>
    <w:rsid w:val="009D7C48"/>
    <w:rsid w:val="009E26DE"/>
    <w:rsid w:val="009E742A"/>
    <w:rsid w:val="00A00185"/>
    <w:rsid w:val="00A00634"/>
    <w:rsid w:val="00A01CF3"/>
    <w:rsid w:val="00A154DB"/>
    <w:rsid w:val="00A41DE9"/>
    <w:rsid w:val="00A43A38"/>
    <w:rsid w:val="00A44C31"/>
    <w:rsid w:val="00A44E64"/>
    <w:rsid w:val="00A55378"/>
    <w:rsid w:val="00A662BE"/>
    <w:rsid w:val="00A718CE"/>
    <w:rsid w:val="00A71E34"/>
    <w:rsid w:val="00A721D5"/>
    <w:rsid w:val="00A743EF"/>
    <w:rsid w:val="00A80BD9"/>
    <w:rsid w:val="00A84352"/>
    <w:rsid w:val="00A90335"/>
    <w:rsid w:val="00AA45D4"/>
    <w:rsid w:val="00AA7857"/>
    <w:rsid w:val="00AC55CA"/>
    <w:rsid w:val="00AD7497"/>
    <w:rsid w:val="00AF47BB"/>
    <w:rsid w:val="00AF4BDE"/>
    <w:rsid w:val="00AF7161"/>
    <w:rsid w:val="00B04BA7"/>
    <w:rsid w:val="00B124CD"/>
    <w:rsid w:val="00B14B1E"/>
    <w:rsid w:val="00B1677D"/>
    <w:rsid w:val="00B2769D"/>
    <w:rsid w:val="00B31FF5"/>
    <w:rsid w:val="00B4202B"/>
    <w:rsid w:val="00B42E68"/>
    <w:rsid w:val="00B47D87"/>
    <w:rsid w:val="00B508F6"/>
    <w:rsid w:val="00B518A4"/>
    <w:rsid w:val="00B51C43"/>
    <w:rsid w:val="00B91998"/>
    <w:rsid w:val="00BA42E9"/>
    <w:rsid w:val="00BA4F7D"/>
    <w:rsid w:val="00BB2715"/>
    <w:rsid w:val="00BC2432"/>
    <w:rsid w:val="00BD1F09"/>
    <w:rsid w:val="00BD49FB"/>
    <w:rsid w:val="00BE1A0A"/>
    <w:rsid w:val="00BE4DB0"/>
    <w:rsid w:val="00BF08A2"/>
    <w:rsid w:val="00BF2DAA"/>
    <w:rsid w:val="00BF53BC"/>
    <w:rsid w:val="00C01220"/>
    <w:rsid w:val="00C014F3"/>
    <w:rsid w:val="00C033ED"/>
    <w:rsid w:val="00C168AE"/>
    <w:rsid w:val="00C35E9A"/>
    <w:rsid w:val="00C44E6F"/>
    <w:rsid w:val="00C50624"/>
    <w:rsid w:val="00C514D7"/>
    <w:rsid w:val="00C517B0"/>
    <w:rsid w:val="00C5591E"/>
    <w:rsid w:val="00C60E29"/>
    <w:rsid w:val="00C6103F"/>
    <w:rsid w:val="00C632F7"/>
    <w:rsid w:val="00C638C2"/>
    <w:rsid w:val="00C72E7C"/>
    <w:rsid w:val="00C8307F"/>
    <w:rsid w:val="00CA1F50"/>
    <w:rsid w:val="00CA32CE"/>
    <w:rsid w:val="00CB4FA2"/>
    <w:rsid w:val="00CC3EE9"/>
    <w:rsid w:val="00CC6793"/>
    <w:rsid w:val="00CC7E92"/>
    <w:rsid w:val="00CD089A"/>
    <w:rsid w:val="00CD09C5"/>
    <w:rsid w:val="00CD3F74"/>
    <w:rsid w:val="00CE3FF4"/>
    <w:rsid w:val="00CF34BD"/>
    <w:rsid w:val="00CF4771"/>
    <w:rsid w:val="00D11AAC"/>
    <w:rsid w:val="00D17F4E"/>
    <w:rsid w:val="00D270AC"/>
    <w:rsid w:val="00D34AF6"/>
    <w:rsid w:val="00D37C87"/>
    <w:rsid w:val="00D40735"/>
    <w:rsid w:val="00D620A4"/>
    <w:rsid w:val="00D62825"/>
    <w:rsid w:val="00D77DCF"/>
    <w:rsid w:val="00D903AD"/>
    <w:rsid w:val="00D9297D"/>
    <w:rsid w:val="00D95E9F"/>
    <w:rsid w:val="00DB36A3"/>
    <w:rsid w:val="00DB6554"/>
    <w:rsid w:val="00DC1698"/>
    <w:rsid w:val="00DC2AB1"/>
    <w:rsid w:val="00DC2DE6"/>
    <w:rsid w:val="00DC4726"/>
    <w:rsid w:val="00DC5406"/>
    <w:rsid w:val="00DE4728"/>
    <w:rsid w:val="00DE71C6"/>
    <w:rsid w:val="00DF0A72"/>
    <w:rsid w:val="00DF700C"/>
    <w:rsid w:val="00DF71B8"/>
    <w:rsid w:val="00E12BA3"/>
    <w:rsid w:val="00E22B30"/>
    <w:rsid w:val="00E37544"/>
    <w:rsid w:val="00E41D02"/>
    <w:rsid w:val="00E54CEF"/>
    <w:rsid w:val="00E57D70"/>
    <w:rsid w:val="00E6373D"/>
    <w:rsid w:val="00E63DC3"/>
    <w:rsid w:val="00E706B6"/>
    <w:rsid w:val="00E707CB"/>
    <w:rsid w:val="00E731F6"/>
    <w:rsid w:val="00E80815"/>
    <w:rsid w:val="00E9061C"/>
    <w:rsid w:val="00E96876"/>
    <w:rsid w:val="00EA30F7"/>
    <w:rsid w:val="00EA66DE"/>
    <w:rsid w:val="00EB30D8"/>
    <w:rsid w:val="00EB7A3C"/>
    <w:rsid w:val="00ED7CD0"/>
    <w:rsid w:val="00EE0C34"/>
    <w:rsid w:val="00EE3278"/>
    <w:rsid w:val="00EF1D2C"/>
    <w:rsid w:val="00F00995"/>
    <w:rsid w:val="00F024C1"/>
    <w:rsid w:val="00F12173"/>
    <w:rsid w:val="00F133A5"/>
    <w:rsid w:val="00F3232C"/>
    <w:rsid w:val="00F36F1A"/>
    <w:rsid w:val="00F615AE"/>
    <w:rsid w:val="00F70CF0"/>
    <w:rsid w:val="00F74730"/>
    <w:rsid w:val="00F81D9A"/>
    <w:rsid w:val="00F83251"/>
    <w:rsid w:val="00F84D87"/>
    <w:rsid w:val="00F87E14"/>
    <w:rsid w:val="00F94945"/>
    <w:rsid w:val="00F97932"/>
    <w:rsid w:val="00FC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C83B4"/>
  <w15:docId w15:val="{F49B2738-31BC-42F5-83A9-43C17117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numPr>
        <w:numId w:val="70"/>
      </w:numPr>
      <w:ind w:right="990"/>
      <w:jc w:val="center"/>
      <w:outlineLvl w:val="0"/>
    </w:pPr>
    <w:rPr>
      <w:b/>
      <w:bCs/>
      <w:sz w:val="28"/>
      <w:szCs w:val="28"/>
    </w:rPr>
  </w:style>
  <w:style w:type="paragraph" w:styleId="Heading2">
    <w:name w:val="heading 2"/>
    <w:basedOn w:val="Normal"/>
    <w:link w:val="Heading2Char"/>
    <w:uiPriority w:val="9"/>
    <w:unhideWhenUsed/>
    <w:qFormat/>
    <w:pPr>
      <w:numPr>
        <w:ilvl w:val="1"/>
        <w:numId w:val="70"/>
      </w:numPr>
      <w:outlineLvl w:val="1"/>
    </w:pPr>
    <w:rPr>
      <w:b/>
      <w:bCs/>
      <w:sz w:val="24"/>
      <w:szCs w:val="24"/>
    </w:rPr>
  </w:style>
  <w:style w:type="paragraph" w:styleId="Heading3">
    <w:name w:val="heading 3"/>
    <w:basedOn w:val="Normal"/>
    <w:link w:val="Heading3Char"/>
    <w:uiPriority w:val="9"/>
    <w:unhideWhenUsed/>
    <w:qFormat/>
    <w:pPr>
      <w:numPr>
        <w:ilvl w:val="2"/>
        <w:numId w:val="70"/>
      </w:numPr>
      <w:jc w:val="both"/>
      <w:outlineLvl w:val="2"/>
    </w:pPr>
    <w:rPr>
      <w:sz w:val="24"/>
      <w:szCs w:val="24"/>
    </w:rPr>
  </w:style>
  <w:style w:type="paragraph" w:styleId="Heading4">
    <w:name w:val="heading 4"/>
    <w:basedOn w:val="Normal"/>
    <w:link w:val="Heading4Char"/>
    <w:uiPriority w:val="9"/>
    <w:unhideWhenUsed/>
    <w:qFormat/>
    <w:pPr>
      <w:numPr>
        <w:ilvl w:val="3"/>
        <w:numId w:val="70"/>
      </w:numPr>
      <w:jc w:val="both"/>
      <w:outlineLvl w:val="3"/>
    </w:pPr>
    <w:rPr>
      <w:b/>
      <w:bCs/>
      <w:sz w:val="23"/>
      <w:szCs w:val="23"/>
    </w:rPr>
  </w:style>
  <w:style w:type="paragraph" w:styleId="Heading5">
    <w:name w:val="heading 5"/>
    <w:basedOn w:val="Normal"/>
    <w:link w:val="Heading5Char"/>
    <w:uiPriority w:val="9"/>
    <w:unhideWhenUsed/>
    <w:qFormat/>
    <w:pPr>
      <w:numPr>
        <w:ilvl w:val="4"/>
        <w:numId w:val="70"/>
      </w:numPr>
      <w:outlineLvl w:val="4"/>
    </w:pPr>
    <w:rPr>
      <w:b/>
      <w:bCs/>
      <w:i/>
      <w:iCs/>
      <w:sz w:val="23"/>
      <w:szCs w:val="23"/>
    </w:rPr>
  </w:style>
  <w:style w:type="paragraph" w:styleId="Heading6">
    <w:name w:val="heading 6"/>
    <w:basedOn w:val="Normal"/>
    <w:next w:val="Normal"/>
    <w:link w:val="Heading6Char"/>
    <w:uiPriority w:val="9"/>
    <w:semiHidden/>
    <w:unhideWhenUsed/>
    <w:qFormat/>
    <w:rsid w:val="00150802"/>
    <w:pPr>
      <w:keepNext/>
      <w:keepLines/>
      <w:widowControl/>
      <w:numPr>
        <w:ilvl w:val="5"/>
        <w:numId w:val="70"/>
      </w:numPr>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0802"/>
    <w:pPr>
      <w:keepNext/>
      <w:keepLines/>
      <w:widowControl/>
      <w:numPr>
        <w:ilvl w:val="6"/>
        <w:numId w:val="70"/>
      </w:numPr>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0802"/>
    <w:pPr>
      <w:keepNext/>
      <w:keepLines/>
      <w:widowControl/>
      <w:numPr>
        <w:ilvl w:val="7"/>
        <w:numId w:val="70"/>
      </w:numPr>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0802"/>
    <w:pPr>
      <w:keepNext/>
      <w:keepLines/>
      <w:widowControl/>
      <w:numPr>
        <w:ilvl w:val="8"/>
        <w:numId w:val="70"/>
      </w:numPr>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690" w:hanging="302"/>
    </w:pPr>
    <w:rPr>
      <w:b/>
      <w:bCs/>
      <w:sz w:val="24"/>
      <w:szCs w:val="24"/>
    </w:rPr>
  </w:style>
  <w:style w:type="paragraph" w:styleId="TOC2">
    <w:name w:val="toc 2"/>
    <w:basedOn w:val="Normal"/>
    <w:uiPriority w:val="39"/>
    <w:qFormat/>
    <w:pPr>
      <w:ind w:left="388"/>
    </w:pPr>
    <w:rPr>
      <w:b/>
      <w:bCs/>
      <w:i/>
      <w:iCs/>
    </w:rPr>
  </w:style>
  <w:style w:type="paragraph" w:styleId="TOC3">
    <w:name w:val="toc 3"/>
    <w:basedOn w:val="Normal"/>
    <w:uiPriority w:val="1"/>
    <w:qFormat/>
    <w:pPr>
      <w:spacing w:before="41"/>
      <w:ind w:left="1305" w:hanging="576"/>
    </w:pPr>
    <w:rPr>
      <w:sz w:val="24"/>
      <w:szCs w:val="24"/>
    </w:rPr>
  </w:style>
  <w:style w:type="paragraph" w:styleId="BodyText">
    <w:name w:val="Body Text"/>
    <w:basedOn w:val="Normal"/>
    <w:link w:val="BodyTextChar"/>
    <w:uiPriority w:val="1"/>
    <w:qFormat/>
    <w:rPr>
      <w:sz w:val="23"/>
      <w:szCs w:val="23"/>
    </w:rPr>
  </w:style>
  <w:style w:type="paragraph" w:styleId="Title">
    <w:name w:val="Title"/>
    <w:basedOn w:val="Normal"/>
    <w:link w:val="TitleChar"/>
    <w:uiPriority w:val="10"/>
    <w:qFormat/>
    <w:pPr>
      <w:ind w:right="536"/>
      <w:jc w:val="center"/>
    </w:pPr>
    <w:rPr>
      <w:b/>
      <w:bCs/>
      <w:sz w:val="36"/>
      <w:szCs w:val="36"/>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Graphic,L"/>
    <w:basedOn w:val="Normal"/>
    <w:link w:val="ListParagraphChar"/>
    <w:uiPriority w:val="34"/>
    <w:qFormat/>
    <w:pPr>
      <w:ind w:left="1305" w:hanging="576"/>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639E5"/>
    <w:rPr>
      <w:rFonts w:ascii="Times New Roman" w:eastAsia="Times New Roman" w:hAnsi="Times New Roman" w:cs="Times New Roman"/>
      <w:sz w:val="23"/>
      <w:szCs w:val="23"/>
    </w:rPr>
  </w:style>
  <w:style w:type="character" w:styleId="CommentReference">
    <w:name w:val="annotation reference"/>
    <w:basedOn w:val="DefaultParagraphFont"/>
    <w:uiPriority w:val="99"/>
    <w:unhideWhenUsed/>
    <w:rsid w:val="00BF53BC"/>
    <w:rPr>
      <w:sz w:val="16"/>
      <w:szCs w:val="16"/>
    </w:rPr>
  </w:style>
  <w:style w:type="paragraph" w:styleId="CommentText">
    <w:name w:val="annotation text"/>
    <w:basedOn w:val="Normal"/>
    <w:link w:val="CommentTextChar"/>
    <w:uiPriority w:val="99"/>
    <w:unhideWhenUsed/>
    <w:rsid w:val="00BF53BC"/>
    <w:rPr>
      <w:sz w:val="20"/>
      <w:szCs w:val="20"/>
    </w:rPr>
  </w:style>
  <w:style w:type="character" w:customStyle="1" w:styleId="CommentTextChar">
    <w:name w:val="Comment Text Char"/>
    <w:basedOn w:val="DefaultParagraphFont"/>
    <w:link w:val="CommentText"/>
    <w:uiPriority w:val="99"/>
    <w:rsid w:val="00BF5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3BC"/>
    <w:rPr>
      <w:b/>
      <w:bCs/>
    </w:rPr>
  </w:style>
  <w:style w:type="character" w:customStyle="1" w:styleId="CommentSubjectChar">
    <w:name w:val="Comment Subject Char"/>
    <w:basedOn w:val="CommentTextChar"/>
    <w:link w:val="CommentSubject"/>
    <w:uiPriority w:val="99"/>
    <w:semiHidden/>
    <w:rsid w:val="00BF53BC"/>
    <w:rPr>
      <w:rFonts w:ascii="Times New Roman" w:eastAsia="Times New Roman" w:hAnsi="Times New Roman" w:cs="Times New Roman"/>
      <w:b/>
      <w:bCs/>
      <w:sz w:val="20"/>
      <w:szCs w:val="20"/>
    </w:rPr>
  </w:style>
  <w:style w:type="paragraph" w:styleId="Revision">
    <w:name w:val="Revision"/>
    <w:hidden/>
    <w:uiPriority w:val="99"/>
    <w:semiHidden/>
    <w:rsid w:val="00BA4F7D"/>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A4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F7D"/>
    <w:rPr>
      <w:rFonts w:ascii="Segoe UI" w:eastAsia="Times New Roman" w:hAnsi="Segoe UI" w:cs="Segoe UI"/>
      <w:sz w:val="18"/>
      <w:szCs w:val="18"/>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19006B"/>
    <w:rPr>
      <w:rFonts w:ascii="Times New Roman" w:eastAsia="Times New Roman" w:hAnsi="Times New Roman" w:cs="Times New Roman"/>
    </w:rPr>
  </w:style>
  <w:style w:type="character" w:customStyle="1" w:styleId="rynqvb">
    <w:name w:val="rynqvb"/>
    <w:basedOn w:val="DefaultParagraphFont"/>
    <w:rsid w:val="0019006B"/>
  </w:style>
  <w:style w:type="paragraph" w:styleId="NormalWeb">
    <w:name w:val="Normal (Web)"/>
    <w:basedOn w:val="Normal"/>
    <w:uiPriority w:val="99"/>
    <w:unhideWhenUsed/>
    <w:rsid w:val="0019006B"/>
    <w:pPr>
      <w:widowControl/>
      <w:autoSpaceDE/>
      <w:autoSpaceDN/>
      <w:spacing w:before="100" w:beforeAutospacing="1" w:after="100" w:afterAutospacing="1"/>
    </w:pPr>
    <w:rPr>
      <w:sz w:val="24"/>
      <w:szCs w:val="24"/>
      <w:lang w:val="en-GB" w:eastAsia="en-GB"/>
    </w:rPr>
  </w:style>
  <w:style w:type="character" w:customStyle="1" w:styleId="jlqj4b">
    <w:name w:val="jlqj4b"/>
    <w:basedOn w:val="DefaultParagraphFont"/>
    <w:rsid w:val="0019006B"/>
  </w:style>
  <w:style w:type="character" w:styleId="FootnoteReference">
    <w:name w:val="footnote reference"/>
    <w:basedOn w:val="DefaultParagraphFont"/>
    <w:uiPriority w:val="99"/>
    <w:semiHidden/>
    <w:unhideWhenUsed/>
    <w:rsid w:val="001B34B4"/>
    <w:rPr>
      <w:vertAlign w:val="superscript"/>
    </w:rPr>
  </w:style>
  <w:style w:type="paragraph" w:styleId="FootnoteText">
    <w:name w:val="footnote text"/>
    <w:basedOn w:val="Normal"/>
    <w:link w:val="FootnoteTextChar1"/>
    <w:uiPriority w:val="99"/>
    <w:semiHidden/>
    <w:unhideWhenUsed/>
    <w:rsid w:val="001B34B4"/>
    <w:pPr>
      <w:widowControl/>
      <w:autoSpaceDE/>
      <w:autoSpaceDN/>
    </w:pPr>
    <w:rPr>
      <w:rFonts w:ascii="Book Antiqua" w:hAnsi="Book Antiqua"/>
      <w:sz w:val="20"/>
      <w:szCs w:val="20"/>
      <w:lang w:val="sq-AL"/>
    </w:rPr>
  </w:style>
  <w:style w:type="character" w:customStyle="1" w:styleId="FootnoteTextChar">
    <w:name w:val="Footnote Text Char"/>
    <w:basedOn w:val="DefaultParagraphFont"/>
    <w:link w:val="FootnoteText1"/>
    <w:uiPriority w:val="99"/>
    <w:semiHidden/>
    <w:rsid w:val="001B34B4"/>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semiHidden/>
    <w:rsid w:val="001B34B4"/>
    <w:rPr>
      <w:rFonts w:ascii="Book Antiqua" w:eastAsia="Times New Roman" w:hAnsi="Book Antiqua" w:cs="Times New Roman"/>
      <w:sz w:val="20"/>
      <w:szCs w:val="20"/>
      <w:lang w:val="sq-AL"/>
    </w:rPr>
  </w:style>
  <w:style w:type="table" w:styleId="GridTable1Light-Accent1">
    <w:name w:val="Grid Table 1 Light Accent 1"/>
    <w:basedOn w:val="TableNormal"/>
    <w:uiPriority w:val="46"/>
    <w:rsid w:val="00F024C1"/>
    <w:pPr>
      <w:widowControl/>
      <w:autoSpaceDE/>
      <w:autoSpaceDN/>
    </w:pPr>
    <w:rPr>
      <w:lang w:val="sq-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15080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5080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5080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50802"/>
    <w:rPr>
      <w:rFonts w:eastAsiaTheme="majorEastAsia"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15080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5080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5080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50802"/>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150802"/>
    <w:rPr>
      <w:rFonts w:ascii="Times New Roman" w:eastAsia="Times New Roman" w:hAnsi="Times New Roman" w:cs="Times New Roman"/>
      <w:b/>
      <w:bCs/>
      <w:i/>
      <w:iCs/>
      <w:sz w:val="23"/>
      <w:szCs w:val="23"/>
    </w:rPr>
  </w:style>
  <w:style w:type="character" w:customStyle="1" w:styleId="TitleChar">
    <w:name w:val="Title Char"/>
    <w:basedOn w:val="DefaultParagraphFont"/>
    <w:link w:val="Title"/>
    <w:uiPriority w:val="10"/>
    <w:rsid w:val="00150802"/>
    <w:rPr>
      <w:rFonts w:ascii="Times New Roman" w:eastAsia="Times New Roman" w:hAnsi="Times New Roman" w:cs="Times New Roman"/>
      <w:b/>
      <w:bCs/>
      <w:sz w:val="36"/>
      <w:szCs w:val="36"/>
    </w:rPr>
  </w:style>
  <w:style w:type="paragraph" w:styleId="Subtitle">
    <w:name w:val="Subtitle"/>
    <w:basedOn w:val="Normal"/>
    <w:next w:val="Normal"/>
    <w:link w:val="SubtitleChar"/>
    <w:uiPriority w:val="11"/>
    <w:qFormat/>
    <w:rsid w:val="0015080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80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5080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0802"/>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50802"/>
    <w:rPr>
      <w:i/>
      <w:iCs/>
      <w:color w:val="365F91" w:themeColor="accent1" w:themeShade="BF"/>
    </w:rPr>
  </w:style>
  <w:style w:type="paragraph" w:styleId="IntenseQuote">
    <w:name w:val="Intense Quote"/>
    <w:basedOn w:val="Normal"/>
    <w:next w:val="Normal"/>
    <w:link w:val="IntenseQuoteChar"/>
    <w:uiPriority w:val="30"/>
    <w:qFormat/>
    <w:rsid w:val="00150802"/>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0802"/>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150802"/>
    <w:rPr>
      <w:b/>
      <w:bCs/>
      <w:smallCaps/>
      <w:color w:val="365F91" w:themeColor="accent1" w:themeShade="BF"/>
      <w:spacing w:val="5"/>
    </w:rPr>
  </w:style>
  <w:style w:type="numbering" w:customStyle="1" w:styleId="NoList1">
    <w:name w:val="No List1"/>
    <w:next w:val="NoList"/>
    <w:uiPriority w:val="99"/>
    <w:semiHidden/>
    <w:unhideWhenUsed/>
    <w:rsid w:val="00150802"/>
  </w:style>
  <w:style w:type="paragraph" w:customStyle="1" w:styleId="BodyText212pt">
    <w:name w:val="Body Text 2 + 12 pt"/>
    <w:aliases w:val="Justified,Line spacing:  1.5 lines"/>
    <w:basedOn w:val="Normal"/>
    <w:uiPriority w:val="99"/>
    <w:rsid w:val="00150802"/>
    <w:pPr>
      <w:widowControl/>
      <w:autoSpaceDE/>
      <w:autoSpaceDN/>
      <w:spacing w:after="160" w:line="259" w:lineRule="auto"/>
    </w:pPr>
    <w:rPr>
      <w:b/>
      <w:bCs/>
      <w:sz w:val="24"/>
      <w:szCs w:val="24"/>
      <w:lang w:eastAsia="zh-CN"/>
    </w:rPr>
  </w:style>
  <w:style w:type="paragraph" w:customStyle="1" w:styleId="xmsonormal">
    <w:name w:val="x_msonormal"/>
    <w:basedOn w:val="Normal"/>
    <w:rsid w:val="00150802"/>
    <w:pPr>
      <w:widowControl/>
      <w:autoSpaceDE/>
      <w:autoSpaceDN/>
      <w:spacing w:before="100" w:beforeAutospacing="1" w:after="100" w:afterAutospacing="1" w:line="259" w:lineRule="auto"/>
    </w:pPr>
    <w:rPr>
      <w:sz w:val="24"/>
      <w:szCs w:val="24"/>
      <w:lang w:val="en-GB" w:eastAsia="en-GB"/>
    </w:rPr>
  </w:style>
  <w:style w:type="table" w:styleId="GridTable1Light-Accent2">
    <w:name w:val="Grid Table 1 Light Accent 2"/>
    <w:basedOn w:val="TableNormal"/>
    <w:uiPriority w:val="46"/>
    <w:rsid w:val="00150802"/>
    <w:pPr>
      <w:widowControl/>
      <w:autoSpaceDE/>
      <w:autoSpaceDN/>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150802"/>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50802"/>
    <w:pPr>
      <w:widowControl/>
      <w:tabs>
        <w:tab w:val="center" w:pos="4320"/>
        <w:tab w:val="right" w:pos="8640"/>
      </w:tabs>
      <w:autoSpaceDE/>
      <w:autoSpaceDN/>
      <w:spacing w:after="160" w:line="259" w:lineRule="auto"/>
    </w:pPr>
    <w:rPr>
      <w:rFonts w:ascii="Book Antiqua" w:hAnsi="Book Antiqua"/>
      <w:sz w:val="24"/>
      <w:szCs w:val="24"/>
      <w:lang w:val="sq-AL"/>
    </w:rPr>
  </w:style>
  <w:style w:type="character" w:customStyle="1" w:styleId="FooterChar">
    <w:name w:val="Footer Char"/>
    <w:basedOn w:val="DefaultParagraphFont"/>
    <w:link w:val="Footer"/>
    <w:uiPriority w:val="99"/>
    <w:rsid w:val="00150802"/>
    <w:rPr>
      <w:rFonts w:ascii="Book Antiqua" w:eastAsia="Times New Roman" w:hAnsi="Book Antiqua" w:cs="Times New Roman"/>
      <w:sz w:val="24"/>
      <w:szCs w:val="24"/>
      <w:lang w:val="sq-AL"/>
    </w:rPr>
  </w:style>
  <w:style w:type="character" w:styleId="PageNumber">
    <w:name w:val="page number"/>
    <w:basedOn w:val="DefaultParagraphFont"/>
    <w:rsid w:val="00150802"/>
  </w:style>
  <w:style w:type="character" w:customStyle="1" w:styleId="Hyperlink1">
    <w:name w:val="Hyperlink1"/>
    <w:basedOn w:val="DefaultParagraphFont"/>
    <w:uiPriority w:val="99"/>
    <w:unhideWhenUsed/>
    <w:rsid w:val="00150802"/>
    <w:rPr>
      <w:color w:val="0563C1"/>
      <w:u w:val="single"/>
    </w:rPr>
  </w:style>
  <w:style w:type="paragraph" w:customStyle="1" w:styleId="Default">
    <w:name w:val="Default"/>
    <w:rsid w:val="00150802"/>
    <w:pPr>
      <w:widowControl/>
      <w:adjustRightInd w:val="0"/>
    </w:pPr>
    <w:rPr>
      <w:rFonts w:ascii="Times New Roman" w:hAnsi="Times New Roman" w:cs="Times New Roman"/>
      <w:color w:val="000000"/>
      <w:sz w:val="24"/>
      <w:szCs w:val="24"/>
      <w:lang w:val="sq-AL"/>
    </w:rPr>
  </w:style>
  <w:style w:type="paragraph" w:customStyle="1" w:styleId="NormalWeb1">
    <w:name w:val="Normal (Web)1"/>
    <w:basedOn w:val="Normal"/>
    <w:next w:val="NormalWeb"/>
    <w:uiPriority w:val="99"/>
    <w:unhideWhenUsed/>
    <w:rsid w:val="00150802"/>
    <w:pPr>
      <w:widowControl/>
      <w:autoSpaceDE/>
      <w:autoSpaceDN/>
      <w:spacing w:after="160" w:line="259" w:lineRule="auto"/>
    </w:pPr>
    <w:rPr>
      <w:rFonts w:eastAsia="Calibri"/>
      <w:sz w:val="24"/>
      <w:szCs w:val="24"/>
      <w:lang w:val="sq-AL" w:eastAsia="sq-AL"/>
    </w:rPr>
  </w:style>
  <w:style w:type="character" w:customStyle="1" w:styleId="xcontentpasted0">
    <w:name w:val="x_contentpasted0"/>
    <w:basedOn w:val="DefaultParagraphFont"/>
    <w:rsid w:val="00150802"/>
  </w:style>
  <w:style w:type="paragraph" w:styleId="NoSpacing">
    <w:name w:val="No Spacing"/>
    <w:link w:val="NoSpacingChar"/>
    <w:uiPriority w:val="1"/>
    <w:qFormat/>
    <w:rsid w:val="00150802"/>
    <w:pPr>
      <w:widowControl/>
      <w:autoSpaceDE/>
      <w:autoSpaceDN/>
    </w:pPr>
    <w:rPr>
      <w:rFonts w:ascii="Book Antiqua" w:eastAsia="Times New Roman" w:hAnsi="Book Antiqua" w:cs="Times New Roman"/>
      <w:sz w:val="24"/>
      <w:szCs w:val="24"/>
      <w:lang w:val="sq-AL"/>
    </w:rPr>
  </w:style>
  <w:style w:type="paragraph" w:customStyle="1" w:styleId="PlainText1">
    <w:name w:val="Plain Text1"/>
    <w:basedOn w:val="Normal"/>
    <w:next w:val="PlainText"/>
    <w:link w:val="PlainTextChar"/>
    <w:uiPriority w:val="99"/>
    <w:semiHidden/>
    <w:unhideWhenUsed/>
    <w:rsid w:val="00150802"/>
    <w:pPr>
      <w:widowControl/>
      <w:autoSpaceDE/>
      <w:autoSpaceDN/>
      <w:spacing w:after="160" w:line="259" w:lineRule="auto"/>
    </w:pPr>
    <w:rPr>
      <w:rFonts w:ascii="Calibri" w:eastAsiaTheme="minorHAnsi" w:hAnsi="Calibri" w:cs="Consolas"/>
      <w:kern w:val="2"/>
      <w:sz w:val="24"/>
      <w:szCs w:val="21"/>
      <w14:ligatures w14:val="standardContextual"/>
    </w:rPr>
  </w:style>
  <w:style w:type="character" w:customStyle="1" w:styleId="PlainTextChar">
    <w:name w:val="Plain Text Char"/>
    <w:basedOn w:val="DefaultParagraphFont"/>
    <w:link w:val="PlainText1"/>
    <w:uiPriority w:val="99"/>
    <w:semiHidden/>
    <w:rsid w:val="00150802"/>
    <w:rPr>
      <w:rFonts w:ascii="Calibri" w:hAnsi="Calibri" w:cs="Consolas"/>
      <w:kern w:val="2"/>
      <w:sz w:val="24"/>
      <w:szCs w:val="21"/>
      <w14:ligatures w14:val="standardContextual"/>
    </w:rPr>
  </w:style>
  <w:style w:type="character" w:customStyle="1" w:styleId="y2iqfc">
    <w:name w:val="y2iqfc"/>
    <w:basedOn w:val="DefaultParagraphFont"/>
    <w:rsid w:val="00150802"/>
  </w:style>
  <w:style w:type="paragraph" w:customStyle="1" w:styleId="Header1">
    <w:name w:val="Header1"/>
    <w:basedOn w:val="Normal"/>
    <w:next w:val="Header"/>
    <w:link w:val="HeaderChar"/>
    <w:uiPriority w:val="99"/>
    <w:unhideWhenUsed/>
    <w:rsid w:val="00150802"/>
    <w:pPr>
      <w:widowControl/>
      <w:tabs>
        <w:tab w:val="center" w:pos="4680"/>
        <w:tab w:val="right" w:pos="9360"/>
      </w:tabs>
      <w:autoSpaceDE/>
      <w:autoSpaceDN/>
      <w:spacing w:after="160" w:line="259"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1"/>
    <w:uiPriority w:val="99"/>
    <w:rsid w:val="00150802"/>
    <w:rPr>
      <w:kern w:val="2"/>
      <w:sz w:val="24"/>
      <w:szCs w:val="24"/>
      <w14:ligatures w14:val="standardContextual"/>
    </w:rPr>
  </w:style>
  <w:style w:type="paragraph" w:customStyle="1" w:styleId="FootnoteText1">
    <w:name w:val="Footnote Text1"/>
    <w:basedOn w:val="Normal"/>
    <w:next w:val="FootnoteText"/>
    <w:link w:val="FootnoteTextChar"/>
    <w:uiPriority w:val="99"/>
    <w:semiHidden/>
    <w:unhideWhenUsed/>
    <w:rsid w:val="00150802"/>
    <w:pPr>
      <w:widowControl/>
      <w:autoSpaceDE/>
      <w:autoSpaceDN/>
      <w:spacing w:after="160" w:line="259" w:lineRule="auto"/>
    </w:pPr>
    <w:rPr>
      <w:sz w:val="20"/>
      <w:szCs w:val="20"/>
    </w:rPr>
  </w:style>
  <w:style w:type="table" w:customStyle="1" w:styleId="TableGrid1">
    <w:name w:val="Table Grid1"/>
    <w:basedOn w:val="TableNormal"/>
    <w:next w:val="TableGrid"/>
    <w:uiPriority w:val="39"/>
    <w:rsid w:val="0015080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50802"/>
    <w:pPr>
      <w:keepNext/>
      <w:keepLines/>
      <w:widowControl/>
      <w:autoSpaceDE/>
      <w:autoSpaceDN/>
      <w:spacing w:before="240" w:after="16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TOC11">
    <w:name w:val="TOC 11"/>
    <w:basedOn w:val="Normal"/>
    <w:next w:val="Normal"/>
    <w:autoRedefine/>
    <w:uiPriority w:val="39"/>
    <w:unhideWhenUsed/>
    <w:rsid w:val="00150802"/>
    <w:pPr>
      <w:widowControl/>
      <w:tabs>
        <w:tab w:val="right" w:leader="dot" w:pos="9017"/>
      </w:tabs>
      <w:autoSpaceDE/>
      <w:autoSpaceDN/>
      <w:spacing w:after="100" w:line="259" w:lineRule="auto"/>
    </w:pPr>
    <w:rPr>
      <w:rFonts w:eastAsia="Calibri"/>
      <w:b/>
      <w:bCs/>
      <w:noProof/>
    </w:rPr>
  </w:style>
  <w:style w:type="paragraph" w:customStyle="1" w:styleId="TOC21">
    <w:name w:val="TOC 21"/>
    <w:basedOn w:val="Normal"/>
    <w:next w:val="Normal"/>
    <w:autoRedefine/>
    <w:uiPriority w:val="39"/>
    <w:unhideWhenUsed/>
    <w:rsid w:val="00150802"/>
    <w:pPr>
      <w:widowControl/>
      <w:autoSpaceDE/>
      <w:autoSpaceDN/>
      <w:spacing w:after="100" w:line="259" w:lineRule="auto"/>
      <w:ind w:left="220"/>
    </w:pPr>
    <w:rPr>
      <w:rFonts w:ascii="Calibri" w:eastAsia="Calibri" w:hAnsi="Calibri"/>
    </w:rPr>
  </w:style>
  <w:style w:type="paragraph" w:customStyle="1" w:styleId="TOC31">
    <w:name w:val="TOC 31"/>
    <w:basedOn w:val="Normal"/>
    <w:next w:val="Normal"/>
    <w:autoRedefine/>
    <w:uiPriority w:val="39"/>
    <w:unhideWhenUsed/>
    <w:rsid w:val="00150802"/>
    <w:pPr>
      <w:widowControl/>
      <w:autoSpaceDE/>
      <w:autoSpaceDN/>
      <w:spacing w:after="100" w:line="259" w:lineRule="auto"/>
      <w:ind w:left="440"/>
    </w:pPr>
    <w:rPr>
      <w:rFonts w:ascii="Calibri" w:eastAsia="Calibri" w:hAnsi="Calibri"/>
    </w:rPr>
  </w:style>
  <w:style w:type="table" w:customStyle="1" w:styleId="PlainTable11">
    <w:name w:val="Plain Table 11"/>
    <w:basedOn w:val="TableNormal"/>
    <w:next w:val="PlainTable1"/>
    <w:uiPriority w:val="41"/>
    <w:rsid w:val="00150802"/>
    <w:pPr>
      <w:widowControl/>
      <w:autoSpaceDE/>
      <w:autoSpaceDN/>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150802"/>
    <w:pPr>
      <w:widowControl/>
      <w:autoSpaceDE/>
      <w:autoSpaceDN/>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150802"/>
    <w:rPr>
      <w:color w:val="605E5C"/>
      <w:shd w:val="clear" w:color="auto" w:fill="E1DFDD"/>
    </w:rPr>
  </w:style>
  <w:style w:type="character" w:customStyle="1" w:styleId="NoSpacingChar">
    <w:name w:val="No Spacing Char"/>
    <w:basedOn w:val="DefaultParagraphFont"/>
    <w:link w:val="NoSpacing"/>
    <w:uiPriority w:val="1"/>
    <w:rsid w:val="00150802"/>
    <w:rPr>
      <w:rFonts w:ascii="Book Antiqua" w:eastAsia="Times New Roman" w:hAnsi="Book Antiqua" w:cs="Times New Roman"/>
      <w:sz w:val="24"/>
      <w:szCs w:val="24"/>
      <w:lang w:val="sq-AL"/>
    </w:rPr>
  </w:style>
  <w:style w:type="table" w:customStyle="1" w:styleId="GridTable1Light1">
    <w:name w:val="Grid Table 1 Light1"/>
    <w:basedOn w:val="TableNormal"/>
    <w:next w:val="GridTable1Light"/>
    <w:uiPriority w:val="46"/>
    <w:rsid w:val="00150802"/>
    <w:pPr>
      <w:widowControl/>
      <w:autoSpaceDE/>
      <w:autoSpaceDN/>
    </w:pPr>
    <w:rPr>
      <w:lang w:val="sq-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50802"/>
    <w:rPr>
      <w:color w:val="0000FF" w:themeColor="hyperlink"/>
      <w:u w:val="single"/>
    </w:rPr>
  </w:style>
  <w:style w:type="paragraph" w:styleId="PlainText">
    <w:name w:val="Plain Text"/>
    <w:basedOn w:val="Normal"/>
    <w:link w:val="PlainTextChar1"/>
    <w:uiPriority w:val="99"/>
    <w:semiHidden/>
    <w:unhideWhenUsed/>
    <w:rsid w:val="00150802"/>
    <w:pPr>
      <w:widowControl/>
      <w:autoSpaceDE/>
      <w:autoSpaceDN/>
    </w:pPr>
    <w:rPr>
      <w:rFonts w:ascii="Consolas" w:hAnsi="Consolas"/>
      <w:sz w:val="21"/>
      <w:szCs w:val="21"/>
      <w:lang w:val="sq-AL"/>
    </w:rPr>
  </w:style>
  <w:style w:type="character" w:customStyle="1" w:styleId="PlainTextChar1">
    <w:name w:val="Plain Text Char1"/>
    <w:basedOn w:val="DefaultParagraphFont"/>
    <w:link w:val="PlainText"/>
    <w:uiPriority w:val="99"/>
    <w:semiHidden/>
    <w:rsid w:val="00150802"/>
    <w:rPr>
      <w:rFonts w:ascii="Consolas" w:eastAsia="Times New Roman" w:hAnsi="Consolas" w:cs="Times New Roman"/>
      <w:sz w:val="21"/>
      <w:szCs w:val="21"/>
      <w:lang w:val="sq-AL"/>
    </w:rPr>
  </w:style>
  <w:style w:type="paragraph" w:styleId="Header">
    <w:name w:val="header"/>
    <w:basedOn w:val="Normal"/>
    <w:link w:val="HeaderChar1"/>
    <w:uiPriority w:val="99"/>
    <w:unhideWhenUsed/>
    <w:rsid w:val="00150802"/>
    <w:pPr>
      <w:widowControl/>
      <w:tabs>
        <w:tab w:val="center" w:pos="4680"/>
        <w:tab w:val="right" w:pos="9360"/>
      </w:tabs>
      <w:autoSpaceDE/>
      <w:autoSpaceDN/>
    </w:pPr>
    <w:rPr>
      <w:rFonts w:ascii="Book Antiqua" w:hAnsi="Book Antiqua"/>
      <w:sz w:val="24"/>
      <w:szCs w:val="24"/>
      <w:lang w:val="sq-AL"/>
    </w:rPr>
  </w:style>
  <w:style w:type="character" w:customStyle="1" w:styleId="HeaderChar1">
    <w:name w:val="Header Char1"/>
    <w:basedOn w:val="DefaultParagraphFont"/>
    <w:link w:val="Header"/>
    <w:uiPriority w:val="99"/>
    <w:rsid w:val="00150802"/>
    <w:rPr>
      <w:rFonts w:ascii="Book Antiqua" w:eastAsia="Times New Roman" w:hAnsi="Book Antiqua" w:cs="Times New Roman"/>
      <w:sz w:val="24"/>
      <w:szCs w:val="24"/>
      <w:lang w:val="sq-AL"/>
    </w:rPr>
  </w:style>
  <w:style w:type="table" w:styleId="PlainTable1">
    <w:name w:val="Plain Table 1"/>
    <w:basedOn w:val="TableNormal"/>
    <w:uiPriority w:val="41"/>
    <w:rsid w:val="00150802"/>
    <w:pPr>
      <w:widowControl/>
      <w:autoSpaceDE/>
      <w:autoSpaceDN/>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50802"/>
    <w:pPr>
      <w:widowControl/>
      <w:autoSpaceDE/>
      <w:autoSpaceDN/>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11712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7121"/>
    <w:rPr>
      <w:rFonts w:ascii="Consolas" w:eastAsia="Times New Roman" w:hAnsi="Consolas" w:cs="Times New Roman"/>
      <w:sz w:val="20"/>
      <w:szCs w:val="20"/>
    </w:rPr>
  </w:style>
  <w:style w:type="character" w:styleId="Strong">
    <w:name w:val="Strong"/>
    <w:basedOn w:val="DefaultParagraphFont"/>
    <w:uiPriority w:val="22"/>
    <w:qFormat/>
    <w:rsid w:val="005872F1"/>
    <w:rPr>
      <w:b/>
      <w:bCs/>
    </w:rPr>
  </w:style>
  <w:style w:type="paragraph" w:styleId="Caption">
    <w:name w:val="caption"/>
    <w:basedOn w:val="Normal"/>
    <w:next w:val="Normal"/>
    <w:uiPriority w:val="35"/>
    <w:unhideWhenUsed/>
    <w:qFormat/>
    <w:rsid w:val="006017C4"/>
    <w:pPr>
      <w:spacing w:after="200"/>
    </w:pPr>
    <w:rPr>
      <w:i/>
      <w:iCs/>
      <w:color w:val="1F497D" w:themeColor="text2"/>
      <w:sz w:val="18"/>
      <w:szCs w:val="18"/>
    </w:rPr>
  </w:style>
  <w:style w:type="paragraph" w:styleId="TableofFigures">
    <w:name w:val="table of figures"/>
    <w:basedOn w:val="Normal"/>
    <w:next w:val="Normal"/>
    <w:uiPriority w:val="99"/>
    <w:unhideWhenUsed/>
    <w:rsid w:val="0045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9028">
      <w:bodyDiv w:val="1"/>
      <w:marLeft w:val="0"/>
      <w:marRight w:val="0"/>
      <w:marTop w:val="0"/>
      <w:marBottom w:val="0"/>
      <w:divBdr>
        <w:top w:val="none" w:sz="0" w:space="0" w:color="auto"/>
        <w:left w:val="none" w:sz="0" w:space="0" w:color="auto"/>
        <w:bottom w:val="none" w:sz="0" w:space="0" w:color="auto"/>
        <w:right w:val="none" w:sz="0" w:space="0" w:color="auto"/>
      </w:divBdr>
      <w:divsChild>
        <w:div w:id="305353424">
          <w:marLeft w:val="0"/>
          <w:marRight w:val="0"/>
          <w:marTop w:val="0"/>
          <w:marBottom w:val="0"/>
          <w:divBdr>
            <w:top w:val="none" w:sz="0" w:space="0" w:color="auto"/>
            <w:left w:val="none" w:sz="0" w:space="0" w:color="auto"/>
            <w:bottom w:val="none" w:sz="0" w:space="0" w:color="auto"/>
            <w:right w:val="none" w:sz="0" w:space="0" w:color="auto"/>
          </w:divBdr>
        </w:div>
      </w:divsChild>
    </w:div>
    <w:div w:id="382565132">
      <w:bodyDiv w:val="1"/>
      <w:marLeft w:val="0"/>
      <w:marRight w:val="0"/>
      <w:marTop w:val="0"/>
      <w:marBottom w:val="0"/>
      <w:divBdr>
        <w:top w:val="none" w:sz="0" w:space="0" w:color="auto"/>
        <w:left w:val="none" w:sz="0" w:space="0" w:color="auto"/>
        <w:bottom w:val="none" w:sz="0" w:space="0" w:color="auto"/>
        <w:right w:val="none" w:sz="0" w:space="0" w:color="auto"/>
      </w:divBdr>
      <w:divsChild>
        <w:div w:id="1123578982">
          <w:marLeft w:val="0"/>
          <w:marRight w:val="0"/>
          <w:marTop w:val="0"/>
          <w:marBottom w:val="0"/>
          <w:divBdr>
            <w:top w:val="none" w:sz="0" w:space="0" w:color="auto"/>
            <w:left w:val="none" w:sz="0" w:space="0" w:color="auto"/>
            <w:bottom w:val="none" w:sz="0" w:space="0" w:color="auto"/>
            <w:right w:val="none" w:sz="0" w:space="0" w:color="auto"/>
          </w:divBdr>
        </w:div>
      </w:divsChild>
    </w:div>
    <w:div w:id="421225817">
      <w:bodyDiv w:val="1"/>
      <w:marLeft w:val="0"/>
      <w:marRight w:val="0"/>
      <w:marTop w:val="0"/>
      <w:marBottom w:val="0"/>
      <w:divBdr>
        <w:top w:val="none" w:sz="0" w:space="0" w:color="auto"/>
        <w:left w:val="none" w:sz="0" w:space="0" w:color="auto"/>
        <w:bottom w:val="none" w:sz="0" w:space="0" w:color="auto"/>
        <w:right w:val="none" w:sz="0" w:space="0" w:color="auto"/>
      </w:divBdr>
    </w:div>
    <w:div w:id="425732923">
      <w:bodyDiv w:val="1"/>
      <w:marLeft w:val="0"/>
      <w:marRight w:val="0"/>
      <w:marTop w:val="0"/>
      <w:marBottom w:val="0"/>
      <w:divBdr>
        <w:top w:val="none" w:sz="0" w:space="0" w:color="auto"/>
        <w:left w:val="none" w:sz="0" w:space="0" w:color="auto"/>
        <w:bottom w:val="none" w:sz="0" w:space="0" w:color="auto"/>
        <w:right w:val="none" w:sz="0" w:space="0" w:color="auto"/>
      </w:divBdr>
      <w:divsChild>
        <w:div w:id="1344891488">
          <w:marLeft w:val="0"/>
          <w:marRight w:val="0"/>
          <w:marTop w:val="0"/>
          <w:marBottom w:val="0"/>
          <w:divBdr>
            <w:top w:val="none" w:sz="0" w:space="0" w:color="auto"/>
            <w:left w:val="none" w:sz="0" w:space="0" w:color="auto"/>
            <w:bottom w:val="none" w:sz="0" w:space="0" w:color="auto"/>
            <w:right w:val="none" w:sz="0" w:space="0" w:color="auto"/>
          </w:divBdr>
        </w:div>
      </w:divsChild>
    </w:div>
    <w:div w:id="742989331">
      <w:bodyDiv w:val="1"/>
      <w:marLeft w:val="0"/>
      <w:marRight w:val="0"/>
      <w:marTop w:val="0"/>
      <w:marBottom w:val="0"/>
      <w:divBdr>
        <w:top w:val="none" w:sz="0" w:space="0" w:color="auto"/>
        <w:left w:val="none" w:sz="0" w:space="0" w:color="auto"/>
        <w:bottom w:val="none" w:sz="0" w:space="0" w:color="auto"/>
        <w:right w:val="none" w:sz="0" w:space="0" w:color="auto"/>
      </w:divBdr>
      <w:divsChild>
        <w:div w:id="509100007">
          <w:marLeft w:val="0"/>
          <w:marRight w:val="0"/>
          <w:marTop w:val="0"/>
          <w:marBottom w:val="0"/>
          <w:divBdr>
            <w:top w:val="none" w:sz="0" w:space="0" w:color="auto"/>
            <w:left w:val="none" w:sz="0" w:space="0" w:color="auto"/>
            <w:bottom w:val="none" w:sz="0" w:space="0" w:color="auto"/>
            <w:right w:val="none" w:sz="0" w:space="0" w:color="auto"/>
          </w:divBdr>
        </w:div>
      </w:divsChild>
    </w:div>
    <w:div w:id="995837405">
      <w:bodyDiv w:val="1"/>
      <w:marLeft w:val="0"/>
      <w:marRight w:val="0"/>
      <w:marTop w:val="0"/>
      <w:marBottom w:val="0"/>
      <w:divBdr>
        <w:top w:val="none" w:sz="0" w:space="0" w:color="auto"/>
        <w:left w:val="none" w:sz="0" w:space="0" w:color="auto"/>
        <w:bottom w:val="none" w:sz="0" w:space="0" w:color="auto"/>
        <w:right w:val="none" w:sz="0" w:space="0" w:color="auto"/>
      </w:divBdr>
    </w:div>
    <w:div w:id="1049113439">
      <w:bodyDiv w:val="1"/>
      <w:marLeft w:val="0"/>
      <w:marRight w:val="0"/>
      <w:marTop w:val="0"/>
      <w:marBottom w:val="0"/>
      <w:divBdr>
        <w:top w:val="none" w:sz="0" w:space="0" w:color="auto"/>
        <w:left w:val="none" w:sz="0" w:space="0" w:color="auto"/>
        <w:bottom w:val="none" w:sz="0" w:space="0" w:color="auto"/>
        <w:right w:val="none" w:sz="0" w:space="0" w:color="auto"/>
      </w:divBdr>
      <w:divsChild>
        <w:div w:id="317273924">
          <w:marLeft w:val="0"/>
          <w:marRight w:val="0"/>
          <w:marTop w:val="0"/>
          <w:marBottom w:val="0"/>
          <w:divBdr>
            <w:top w:val="none" w:sz="0" w:space="0" w:color="auto"/>
            <w:left w:val="none" w:sz="0" w:space="0" w:color="auto"/>
            <w:bottom w:val="none" w:sz="0" w:space="0" w:color="auto"/>
            <w:right w:val="none" w:sz="0" w:space="0" w:color="auto"/>
          </w:divBdr>
        </w:div>
      </w:divsChild>
    </w:div>
    <w:div w:id="1079711368">
      <w:bodyDiv w:val="1"/>
      <w:marLeft w:val="0"/>
      <w:marRight w:val="0"/>
      <w:marTop w:val="0"/>
      <w:marBottom w:val="0"/>
      <w:divBdr>
        <w:top w:val="none" w:sz="0" w:space="0" w:color="auto"/>
        <w:left w:val="none" w:sz="0" w:space="0" w:color="auto"/>
        <w:bottom w:val="none" w:sz="0" w:space="0" w:color="auto"/>
        <w:right w:val="none" w:sz="0" w:space="0" w:color="auto"/>
      </w:divBdr>
    </w:div>
    <w:div w:id="1115440277">
      <w:bodyDiv w:val="1"/>
      <w:marLeft w:val="0"/>
      <w:marRight w:val="0"/>
      <w:marTop w:val="0"/>
      <w:marBottom w:val="0"/>
      <w:divBdr>
        <w:top w:val="none" w:sz="0" w:space="0" w:color="auto"/>
        <w:left w:val="none" w:sz="0" w:space="0" w:color="auto"/>
        <w:bottom w:val="none" w:sz="0" w:space="0" w:color="auto"/>
        <w:right w:val="none" w:sz="0" w:space="0" w:color="auto"/>
      </w:divBdr>
    </w:div>
    <w:div w:id="1167404420">
      <w:bodyDiv w:val="1"/>
      <w:marLeft w:val="0"/>
      <w:marRight w:val="0"/>
      <w:marTop w:val="0"/>
      <w:marBottom w:val="0"/>
      <w:divBdr>
        <w:top w:val="none" w:sz="0" w:space="0" w:color="auto"/>
        <w:left w:val="none" w:sz="0" w:space="0" w:color="auto"/>
        <w:bottom w:val="none" w:sz="0" w:space="0" w:color="auto"/>
        <w:right w:val="none" w:sz="0" w:space="0" w:color="auto"/>
      </w:divBdr>
      <w:divsChild>
        <w:div w:id="2137791832">
          <w:marLeft w:val="0"/>
          <w:marRight w:val="0"/>
          <w:marTop w:val="0"/>
          <w:marBottom w:val="0"/>
          <w:divBdr>
            <w:top w:val="none" w:sz="0" w:space="0" w:color="auto"/>
            <w:left w:val="none" w:sz="0" w:space="0" w:color="auto"/>
            <w:bottom w:val="none" w:sz="0" w:space="0" w:color="auto"/>
            <w:right w:val="none" w:sz="0" w:space="0" w:color="auto"/>
          </w:divBdr>
        </w:div>
      </w:divsChild>
    </w:div>
    <w:div w:id="1596278612">
      <w:bodyDiv w:val="1"/>
      <w:marLeft w:val="0"/>
      <w:marRight w:val="0"/>
      <w:marTop w:val="0"/>
      <w:marBottom w:val="0"/>
      <w:divBdr>
        <w:top w:val="none" w:sz="0" w:space="0" w:color="auto"/>
        <w:left w:val="none" w:sz="0" w:space="0" w:color="auto"/>
        <w:bottom w:val="none" w:sz="0" w:space="0" w:color="auto"/>
        <w:right w:val="none" w:sz="0" w:space="0" w:color="auto"/>
      </w:divBdr>
    </w:div>
    <w:div w:id="1640916494">
      <w:bodyDiv w:val="1"/>
      <w:marLeft w:val="0"/>
      <w:marRight w:val="0"/>
      <w:marTop w:val="0"/>
      <w:marBottom w:val="0"/>
      <w:divBdr>
        <w:top w:val="none" w:sz="0" w:space="0" w:color="auto"/>
        <w:left w:val="none" w:sz="0" w:space="0" w:color="auto"/>
        <w:bottom w:val="none" w:sz="0" w:space="0" w:color="auto"/>
        <w:right w:val="none" w:sz="0" w:space="0" w:color="auto"/>
      </w:divBdr>
      <w:divsChild>
        <w:div w:id="1362821790">
          <w:marLeft w:val="0"/>
          <w:marRight w:val="0"/>
          <w:marTop w:val="0"/>
          <w:marBottom w:val="0"/>
          <w:divBdr>
            <w:top w:val="none" w:sz="0" w:space="0" w:color="auto"/>
            <w:left w:val="none" w:sz="0" w:space="0" w:color="auto"/>
            <w:bottom w:val="none" w:sz="0" w:space="0" w:color="auto"/>
            <w:right w:val="none" w:sz="0" w:space="0" w:color="auto"/>
          </w:divBdr>
        </w:div>
      </w:divsChild>
    </w:div>
    <w:div w:id="1645230566">
      <w:bodyDiv w:val="1"/>
      <w:marLeft w:val="0"/>
      <w:marRight w:val="0"/>
      <w:marTop w:val="0"/>
      <w:marBottom w:val="0"/>
      <w:divBdr>
        <w:top w:val="none" w:sz="0" w:space="0" w:color="auto"/>
        <w:left w:val="none" w:sz="0" w:space="0" w:color="auto"/>
        <w:bottom w:val="none" w:sz="0" w:space="0" w:color="auto"/>
        <w:right w:val="none" w:sz="0" w:space="0" w:color="auto"/>
      </w:divBdr>
      <w:divsChild>
        <w:div w:id="1656061123">
          <w:marLeft w:val="0"/>
          <w:marRight w:val="0"/>
          <w:marTop w:val="0"/>
          <w:marBottom w:val="0"/>
          <w:divBdr>
            <w:top w:val="none" w:sz="0" w:space="0" w:color="auto"/>
            <w:left w:val="none" w:sz="0" w:space="0" w:color="auto"/>
            <w:bottom w:val="none" w:sz="0" w:space="0" w:color="auto"/>
            <w:right w:val="none" w:sz="0" w:space="0" w:color="auto"/>
          </w:divBdr>
        </w:div>
      </w:divsChild>
    </w:div>
    <w:div w:id="1701661689">
      <w:bodyDiv w:val="1"/>
      <w:marLeft w:val="0"/>
      <w:marRight w:val="0"/>
      <w:marTop w:val="0"/>
      <w:marBottom w:val="0"/>
      <w:divBdr>
        <w:top w:val="none" w:sz="0" w:space="0" w:color="auto"/>
        <w:left w:val="none" w:sz="0" w:space="0" w:color="auto"/>
        <w:bottom w:val="none" w:sz="0" w:space="0" w:color="auto"/>
        <w:right w:val="none" w:sz="0" w:space="0" w:color="auto"/>
      </w:divBdr>
    </w:div>
    <w:div w:id="1726098309">
      <w:bodyDiv w:val="1"/>
      <w:marLeft w:val="0"/>
      <w:marRight w:val="0"/>
      <w:marTop w:val="0"/>
      <w:marBottom w:val="0"/>
      <w:divBdr>
        <w:top w:val="none" w:sz="0" w:space="0" w:color="auto"/>
        <w:left w:val="none" w:sz="0" w:space="0" w:color="auto"/>
        <w:bottom w:val="none" w:sz="0" w:space="0" w:color="auto"/>
        <w:right w:val="none" w:sz="0" w:space="0" w:color="auto"/>
      </w:divBdr>
    </w:div>
    <w:div w:id="1787768013">
      <w:bodyDiv w:val="1"/>
      <w:marLeft w:val="0"/>
      <w:marRight w:val="0"/>
      <w:marTop w:val="0"/>
      <w:marBottom w:val="0"/>
      <w:divBdr>
        <w:top w:val="none" w:sz="0" w:space="0" w:color="auto"/>
        <w:left w:val="none" w:sz="0" w:space="0" w:color="auto"/>
        <w:bottom w:val="none" w:sz="0" w:space="0" w:color="auto"/>
        <w:right w:val="none" w:sz="0" w:space="0" w:color="auto"/>
      </w:divBdr>
      <w:divsChild>
        <w:div w:id="1380518969">
          <w:marLeft w:val="0"/>
          <w:marRight w:val="0"/>
          <w:marTop w:val="0"/>
          <w:marBottom w:val="0"/>
          <w:divBdr>
            <w:top w:val="none" w:sz="0" w:space="0" w:color="auto"/>
            <w:left w:val="none" w:sz="0" w:space="0" w:color="auto"/>
            <w:bottom w:val="none" w:sz="0" w:space="0" w:color="auto"/>
            <w:right w:val="none" w:sz="0" w:space="0" w:color="auto"/>
          </w:divBdr>
        </w:div>
      </w:divsChild>
    </w:div>
    <w:div w:id="1850833735">
      <w:bodyDiv w:val="1"/>
      <w:marLeft w:val="0"/>
      <w:marRight w:val="0"/>
      <w:marTop w:val="0"/>
      <w:marBottom w:val="0"/>
      <w:divBdr>
        <w:top w:val="none" w:sz="0" w:space="0" w:color="auto"/>
        <w:left w:val="none" w:sz="0" w:space="0" w:color="auto"/>
        <w:bottom w:val="none" w:sz="0" w:space="0" w:color="auto"/>
        <w:right w:val="none" w:sz="0" w:space="0" w:color="auto"/>
      </w:divBdr>
    </w:div>
    <w:div w:id="1894728798">
      <w:bodyDiv w:val="1"/>
      <w:marLeft w:val="0"/>
      <w:marRight w:val="0"/>
      <w:marTop w:val="0"/>
      <w:marBottom w:val="0"/>
      <w:divBdr>
        <w:top w:val="none" w:sz="0" w:space="0" w:color="auto"/>
        <w:left w:val="none" w:sz="0" w:space="0" w:color="auto"/>
        <w:bottom w:val="none" w:sz="0" w:space="0" w:color="auto"/>
        <w:right w:val="none" w:sz="0" w:space="0" w:color="auto"/>
      </w:divBdr>
      <w:divsChild>
        <w:div w:id="1153984088">
          <w:marLeft w:val="0"/>
          <w:marRight w:val="0"/>
          <w:marTop w:val="0"/>
          <w:marBottom w:val="0"/>
          <w:divBdr>
            <w:top w:val="none" w:sz="0" w:space="0" w:color="auto"/>
            <w:left w:val="none" w:sz="0" w:space="0" w:color="auto"/>
            <w:bottom w:val="none" w:sz="0" w:space="0" w:color="auto"/>
            <w:right w:val="none" w:sz="0" w:space="0" w:color="auto"/>
          </w:divBdr>
        </w:div>
      </w:divsChild>
    </w:div>
    <w:div w:id="1968664147">
      <w:bodyDiv w:val="1"/>
      <w:marLeft w:val="0"/>
      <w:marRight w:val="0"/>
      <w:marTop w:val="0"/>
      <w:marBottom w:val="0"/>
      <w:divBdr>
        <w:top w:val="none" w:sz="0" w:space="0" w:color="auto"/>
        <w:left w:val="none" w:sz="0" w:space="0" w:color="auto"/>
        <w:bottom w:val="none" w:sz="0" w:space="0" w:color="auto"/>
        <w:right w:val="none" w:sz="0" w:space="0" w:color="auto"/>
      </w:divBdr>
      <w:divsChild>
        <w:div w:id="657854108">
          <w:marLeft w:val="0"/>
          <w:marRight w:val="0"/>
          <w:marTop w:val="0"/>
          <w:marBottom w:val="0"/>
          <w:divBdr>
            <w:top w:val="none" w:sz="0" w:space="0" w:color="auto"/>
            <w:left w:val="none" w:sz="0" w:space="0" w:color="auto"/>
            <w:bottom w:val="none" w:sz="0" w:space="0" w:color="auto"/>
            <w:right w:val="none" w:sz="0" w:space="0" w:color="auto"/>
          </w:divBdr>
        </w:div>
      </w:divsChild>
    </w:div>
    <w:div w:id="2056463052">
      <w:bodyDiv w:val="1"/>
      <w:marLeft w:val="0"/>
      <w:marRight w:val="0"/>
      <w:marTop w:val="0"/>
      <w:marBottom w:val="0"/>
      <w:divBdr>
        <w:top w:val="none" w:sz="0" w:space="0" w:color="auto"/>
        <w:left w:val="none" w:sz="0" w:space="0" w:color="auto"/>
        <w:bottom w:val="none" w:sz="0" w:space="0" w:color="auto"/>
        <w:right w:val="none" w:sz="0" w:space="0" w:color="auto"/>
      </w:divBdr>
    </w:div>
    <w:div w:id="2075658315">
      <w:bodyDiv w:val="1"/>
      <w:marLeft w:val="0"/>
      <w:marRight w:val="0"/>
      <w:marTop w:val="0"/>
      <w:marBottom w:val="0"/>
      <w:divBdr>
        <w:top w:val="none" w:sz="0" w:space="0" w:color="auto"/>
        <w:left w:val="none" w:sz="0" w:space="0" w:color="auto"/>
        <w:bottom w:val="none" w:sz="0" w:space="0" w:color="auto"/>
        <w:right w:val="none" w:sz="0" w:space="0" w:color="auto"/>
      </w:divBdr>
      <w:divsChild>
        <w:div w:id="1783181642">
          <w:marLeft w:val="0"/>
          <w:marRight w:val="0"/>
          <w:marTop w:val="0"/>
          <w:marBottom w:val="0"/>
          <w:divBdr>
            <w:top w:val="none" w:sz="0" w:space="0" w:color="auto"/>
            <w:left w:val="none" w:sz="0" w:space="0" w:color="auto"/>
            <w:bottom w:val="none" w:sz="0" w:space="0" w:color="auto"/>
            <w:right w:val="none" w:sz="0" w:space="0" w:color="auto"/>
          </w:divBdr>
        </w:div>
      </w:divsChild>
    </w:div>
    <w:div w:id="211459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B571-D417-4694-BF66-E96EFC00FAF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Guidelines on the content and format</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the content and format</dc:title>
  <dc:creator>Vasyl Zubaka</dc:creator>
  <cp:lastModifiedBy>Info Financa</cp:lastModifiedBy>
  <cp:revision>2</cp:revision>
  <cp:lastPrinted>2026-04-29T11:44:00Z</cp:lastPrinted>
  <dcterms:created xsi:type="dcterms:W3CDTF">2026-05-08T07:46:00Z</dcterms:created>
  <dcterms:modified xsi:type="dcterms:W3CDTF">2026-05-08T07:46:00Z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 CoDe 5.2502.915.0 (c) 2002-2024 European Commission</vt:lpwstr>
  </property>
  <property fmtid="{D5CDD505-2E9C-101B-9397-08002B2CF9AE}" pid="4" name="LastSaved">
    <vt:filetime>2025-11-10T00:00:00Z</vt:filetime>
  </property>
  <property fmtid="{D5CDD505-2E9C-101B-9397-08002B2CF9AE}" pid="5" name="Producer">
    <vt:lpwstr>PDF CoDe 5.2502.915.0 (c) 2002-2024 European Commission</vt:lpwstr>
  </property>
  <property fmtid="{D5CDD505-2E9C-101B-9397-08002B2CF9AE}" pid="6" name="MSIP_Label_6cf46c2e-64e9-484b-aa4e-3ffc4469b01c_Enabled">
    <vt:lpwstr>true</vt:lpwstr>
  </property>
  <property fmtid="{D5CDD505-2E9C-101B-9397-08002B2CF9AE}" pid="7" name="MSIP_Label_6cf46c2e-64e9-484b-aa4e-3ffc4469b01c_SetDate">
    <vt:lpwstr>2026-04-29T11:19:51Z</vt:lpwstr>
  </property>
  <property fmtid="{D5CDD505-2E9C-101B-9397-08002B2CF9AE}" pid="8" name="MSIP_Label_6cf46c2e-64e9-484b-aa4e-3ffc4469b01c_Method">
    <vt:lpwstr>Standard</vt:lpwstr>
  </property>
  <property fmtid="{D5CDD505-2E9C-101B-9397-08002B2CF9AE}" pid="9" name="MSIP_Label_6cf46c2e-64e9-484b-aa4e-3ffc4469b01c_Name">
    <vt:lpwstr>General</vt:lpwstr>
  </property>
  <property fmtid="{D5CDD505-2E9C-101B-9397-08002B2CF9AE}" pid="10" name="MSIP_Label_6cf46c2e-64e9-484b-aa4e-3ffc4469b01c_SiteId">
    <vt:lpwstr>f5d8b812-606a-42ba-8cf9-3371cfe29c72</vt:lpwstr>
  </property>
  <property fmtid="{D5CDD505-2E9C-101B-9397-08002B2CF9AE}" pid="11" name="MSIP_Label_6cf46c2e-64e9-484b-aa4e-3ffc4469b01c_ActionId">
    <vt:lpwstr>ed6c3f90-71ed-4689-bf68-51884289fa5b</vt:lpwstr>
  </property>
  <property fmtid="{D5CDD505-2E9C-101B-9397-08002B2CF9AE}" pid="12" name="MSIP_Label_6cf46c2e-64e9-484b-aa4e-3ffc4469b01c_ContentBits">
    <vt:lpwstr>0</vt:lpwstr>
  </property>
</Properties>
</file>