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A9B28" w14:textId="7AF0A20F" w:rsidR="00564FC9" w:rsidRPr="009E6902" w:rsidRDefault="00564FC9" w:rsidP="00564FC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</w:t>
      </w:r>
      <w:r w:rsidR="001E2204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DIME MBI RAPORTIN E MONITORIMIT</w:t>
      </w:r>
      <w:r w:rsidR="009D32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PËR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VITI</w:t>
      </w:r>
      <w:r w:rsidR="001B0A38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N 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202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5</w:t>
      </w:r>
      <w:r w:rsidR="00DD1F96"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PËR INSTITUCIONIN E PRESIDENCËS</w:t>
      </w:r>
    </w:p>
    <w:p w14:paraId="264F170A" w14:textId="4D9C34E5" w:rsidR="00564FC9" w:rsidRPr="009E6902" w:rsidRDefault="00564FC9" w:rsidP="00564FC9">
      <w:pPr>
        <w:numPr>
          <w:ilvl w:val="0"/>
          <w:numId w:val="2"/>
        </w:numPr>
        <w:ind w:left="810" w:hanging="45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Vlerësim i përgjithshëm i qëllimeve dhe objektivave të politikës si dhe performanca e  produkteve kryesore</w:t>
      </w:r>
      <w:r w:rsidR="000A315D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</w:p>
    <w:p w14:paraId="43339560" w14:textId="4DE7E205" w:rsidR="00564FC9" w:rsidRPr="009E6902" w:rsidRDefault="00564FC9" w:rsidP="00564FC9">
      <w:pPr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Institucioni i Presidentit, për zbatimin dhe respektimin nga të gjitha palët të Kushtetutës së Republikës së Shqipërisë, me fondet buxhet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ore të miratuara,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, ka hartuar, programuar dhe zhvilluar politikat, në funksion të përmbushjes së objektivit kushtetues dhe ligjor të sigurimit të veprimtarisë së Presidentit të Republikës. </w:t>
      </w:r>
    </w:p>
    <w:p w14:paraId="2CF66D4D" w14:textId="6FBF79CD" w:rsidR="00564FC9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Programi për të cilin ky institucion ad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ministron fondet për vitin 202</w:t>
      </w:r>
      <w:r w:rsidR="00326AEB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5</w:t>
      </w:r>
      <w:r w:rsidR="009D3296"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është: </w:t>
      </w:r>
    </w:p>
    <w:p w14:paraId="04CBEC42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1. Programi “Veprimtaria e Presidentit”</w:t>
      </w:r>
    </w:p>
    <w:p w14:paraId="1E3345D1" w14:textId="77777777" w:rsidR="00564FC9" w:rsidRPr="009E6902" w:rsidRDefault="00564FC9" w:rsidP="00564FC9">
      <w:pPr>
        <w:widowControl w:val="0"/>
        <w:spacing w:after="0" w:line="240" w:lineRule="auto"/>
        <w:ind w:firstLine="45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300A325A" w14:textId="129572D1" w:rsidR="009D3296" w:rsidRPr="009E6902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i/>
          <w:sz w:val="24"/>
          <w:szCs w:val="24"/>
          <w:lang w:val="sq-AL"/>
        </w:rPr>
        <w:t>Për programin “Veprimtaria e Presidentit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nga p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rdorimi i fondeve për</w:t>
      </w:r>
      <w:r w:rsidR="0060669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gjatë </w:t>
      </w:r>
      <w:r w:rsidR="00BB563E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viti</w:t>
      </w:r>
      <w:r w:rsidR="00F15A23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7141E2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jan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realizuar objektivat:</w:t>
      </w:r>
    </w:p>
    <w:p w14:paraId="123A6EDB" w14:textId="77777777" w:rsidR="009D3296" w:rsidRPr="009E6902" w:rsidRDefault="009D3296" w:rsidP="009D3296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Ushtrimi i funksioneve kushtetuese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Presidentit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Republik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s, n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rmjet dekretimeve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ndryshme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shpallje ligjesh,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rfititm dhe l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nie 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shtet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sis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shqiptare, si dhe p</w:t>
      </w:r>
      <w:r w:rsidR="002A2A9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 dekorata e tituj nderi. </w:t>
      </w:r>
    </w:p>
    <w:p w14:paraId="66BB77F6" w14:textId="40CAC503" w:rsidR="009D3296" w:rsidRPr="009E6902" w:rsidRDefault="009D3296" w:rsidP="009D3296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rgjat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vitit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202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u realizuan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520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dekrete p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r shpallje ligjesh,</w:t>
      </w:r>
      <w:r w:rsidR="002A2A92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nënshtetësi dhe dekorata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>, me një kosto faktike p</w:t>
      </w:r>
      <w:r w:rsidR="00BA20F3" w:rsidRPr="006349C7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rej </w:t>
      </w:r>
      <w:r w:rsidR="00151585" w:rsidRPr="006349C7">
        <w:rPr>
          <w:rFonts w:ascii="Times New Roman" w:eastAsia="Calibri" w:hAnsi="Times New Roman" w:cs="Times New Roman"/>
          <w:i/>
          <w:sz w:val="24"/>
          <w:szCs w:val="24"/>
          <w:lang w:val="sq-AL"/>
        </w:rPr>
        <w:t>1</w:t>
      </w:r>
      <w:r w:rsidR="0006364E" w:rsidRPr="006349C7">
        <w:rPr>
          <w:rFonts w:ascii="Times New Roman" w:eastAsia="Calibri" w:hAnsi="Times New Roman" w:cs="Times New Roman"/>
          <w:i/>
          <w:sz w:val="24"/>
          <w:szCs w:val="24"/>
          <w:lang w:val="sq-AL"/>
        </w:rPr>
        <w:t>89</w:t>
      </w:r>
      <w:r w:rsidR="00BA20F3" w:rsidRPr="006349C7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lekë.</w:t>
      </w:r>
    </w:p>
    <w:p w14:paraId="40F5FF3E" w14:textId="77777777" w:rsidR="002A2A92" w:rsidRPr="009E6902" w:rsidRDefault="002A2A92" w:rsidP="002A2A92">
      <w:pPr>
        <w:pStyle w:val="ListParagraph"/>
        <w:numPr>
          <w:ilvl w:val="0"/>
          <w:numId w:val="9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Synimet e politikës së jashtme të vendit, promovimi i shqipërisë në arenen ndërkombëtare, si dhe njohja, nxitja dhe mbështetja e vlerave kombëtare në vend.</w:t>
      </w:r>
    </w:p>
    <w:p w14:paraId="01040E2B" w14:textId="3758BB0B" w:rsidR="00BA20F3" w:rsidRDefault="002A2A92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Përgjatë </w:t>
      </w:r>
      <w:r w:rsidR="00DD1F96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  <w:r w:rsidR="0006364E" w:rsidRP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vitit 2025 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21</w:t>
      </w:r>
      <w:r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aktivitete ndërko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>mbëtare për promovimin e vendit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38</w:t>
      </w:r>
      <w:r w:rsidR="00BA20F3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</w:p>
    <w:p w14:paraId="384DD66D" w14:textId="0288BD1F" w:rsidR="00EF2810" w:rsidRPr="009E6902" w:rsidRDefault="00BA20F3" w:rsidP="00EF2810">
      <w:pPr>
        <w:pStyle w:val="ListParagraph"/>
        <w:numPr>
          <w:ilvl w:val="0"/>
          <w:numId w:val="10"/>
        </w:numPr>
        <w:jc w:val="both"/>
        <w:rPr>
          <w:rFonts w:ascii="Times New Roman" w:eastAsia="Calibri" w:hAnsi="Times New Roman" w:cs="Times New Roman"/>
          <w:i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U Realizuan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242</w:t>
      </w:r>
      <w:r w:rsidR="00EF2810" w:rsidRPr="009E6902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veprimtari protokollare brenda vendit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, me një kosto faktike prej </w:t>
      </w:r>
      <w:r w:rsidR="0006364E">
        <w:rPr>
          <w:rFonts w:ascii="Times New Roman" w:eastAsia="Calibri" w:hAnsi="Times New Roman" w:cs="Times New Roman"/>
          <w:i/>
          <w:sz w:val="24"/>
          <w:szCs w:val="24"/>
          <w:lang w:val="sq-AL"/>
        </w:rPr>
        <w:t>52</w:t>
      </w:r>
      <w:r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milionë lekë.</w:t>
      </w:r>
      <w:r w:rsidR="000F49EA">
        <w:rPr>
          <w:rFonts w:ascii="Times New Roman" w:eastAsia="Calibri" w:hAnsi="Times New Roman" w:cs="Times New Roman"/>
          <w:i/>
          <w:sz w:val="24"/>
          <w:szCs w:val="24"/>
          <w:lang w:val="sq-AL"/>
        </w:rPr>
        <w:t xml:space="preserve"> </w:t>
      </w:r>
    </w:p>
    <w:p w14:paraId="1BC1E1EB" w14:textId="77777777" w:rsidR="00564FC9" w:rsidRPr="009E6902" w:rsidRDefault="00564FC9" w:rsidP="00564FC9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“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Karakteristika kryesore të performancës së shpenzimeve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</w:t>
      </w:r>
    </w:p>
    <w:p w14:paraId="7804C12B" w14:textId="77777777" w:rsidR="00564FC9" w:rsidRPr="009E6902" w:rsidRDefault="00564FC9" w:rsidP="00564FC9">
      <w:pPr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697395CA" w14:textId="3F2F7465" w:rsidR="00564FC9" w:rsidRDefault="00564FC9" w:rsidP="00564FC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Në fund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</w:t>
      </w:r>
      <w:r w:rsidR="006349C7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vitit </w:t>
      </w:r>
      <w:r w:rsidR="00137320">
        <w:rPr>
          <w:rFonts w:ascii="Times New Roman" w:eastAsia="Calibri" w:hAnsi="Times New Roman" w:cs="Times New Roman"/>
          <w:sz w:val="24"/>
          <w:szCs w:val="24"/>
          <w:lang w:val="sq-AL"/>
        </w:rPr>
        <w:t>2025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situata në lidhje me realizimin e shpenzimeve të buxhetit, </w:t>
      </w:r>
      <w:r w:rsidR="009D3296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krahasuar me planin</w:t>
      </w:r>
      <w:r w:rsidR="00CA6881"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 xml:space="preserve"> </w:t>
      </w:r>
      <w:r w:rsidR="00082F87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vjetor</w:t>
      </w:r>
      <w:r w:rsidRPr="009E6902">
        <w:rPr>
          <w:rFonts w:ascii="Times New Roman" w:eastAsia="Calibri" w:hAnsi="Times New Roman" w:cs="Times New Roman"/>
          <w:sz w:val="24"/>
          <w:szCs w:val="24"/>
          <w:u w:val="single"/>
          <w:lang w:val="sq-AL"/>
        </w:rPr>
        <w:t>,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sipas </w:t>
      </w:r>
      <w:r w:rsidR="00B2044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të dhënave të gjeneruara nga SIFQ/AFMIS dhe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raportit të monitorimit të paraqitur nga ana e institucionit, paraqitet si më poshtë:</w:t>
      </w:r>
    </w:p>
    <w:p w14:paraId="6C4A5C8D" w14:textId="721B35A6" w:rsidR="00B2044E" w:rsidRDefault="006349C7" w:rsidP="00771179">
      <w:pPr>
        <w:spacing w:after="0"/>
        <w:ind w:left="-1260"/>
        <w:jc w:val="both"/>
        <w:rPr>
          <w:rFonts w:ascii="Times New Roman" w:hAnsi="Times New Roman" w:cs="Times New Roman"/>
          <w:i/>
          <w:iCs/>
          <w:sz w:val="20"/>
          <w:szCs w:val="20"/>
          <w:lang w:val="sq-AL"/>
        </w:rPr>
      </w:pPr>
      <w:r w:rsidRPr="006349C7">
        <w:rPr>
          <w:noProof/>
        </w:rPr>
        <w:drawing>
          <wp:anchor distT="0" distB="0" distL="114300" distR="114300" simplePos="0" relativeHeight="251652608" behindDoc="0" locked="0" layoutInCell="1" allowOverlap="1" wp14:anchorId="6FBA6376" wp14:editId="5A9F14C1">
            <wp:simplePos x="0" y="0"/>
            <wp:positionH relativeFrom="margin">
              <wp:posOffset>-692123</wp:posOffset>
            </wp:positionH>
            <wp:positionV relativeFrom="margin">
              <wp:posOffset>6980859</wp:posOffset>
            </wp:positionV>
            <wp:extent cx="7394575" cy="1231900"/>
            <wp:effectExtent l="0" t="0" r="0" b="6350"/>
            <wp:wrapSquare wrapText="bothSides"/>
            <wp:docPr id="524612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457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4F9A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 </w:t>
      </w:r>
      <w:r w:rsidR="00771179" w:rsidRPr="0099086C">
        <w:rPr>
          <w:rFonts w:ascii="Times New Roman" w:hAnsi="Times New Roman" w:cs="Times New Roman"/>
          <w:i/>
          <w:iCs/>
          <w:sz w:val="20"/>
          <w:szCs w:val="20"/>
          <w:lang w:val="sq-AL"/>
        </w:rPr>
        <w:t xml:space="preserve"> </w:t>
      </w:r>
      <w:r w:rsidR="00771179" w:rsidRPr="00F36B6F">
        <w:rPr>
          <w:rFonts w:ascii="Times New Roman" w:hAnsi="Times New Roman" w:cs="Times New Roman"/>
          <w:i/>
          <w:iCs/>
          <w:sz w:val="20"/>
          <w:szCs w:val="20"/>
          <w:u w:val="single"/>
          <w:lang w:val="sq-AL"/>
        </w:rPr>
        <w:t>Tabela: Realizimi i shpenzimeve sipas programeve buxhetore (në mijë lekë)</w:t>
      </w:r>
      <w:r w:rsidR="00771179" w:rsidRPr="00067897">
        <w:rPr>
          <w:rFonts w:ascii="Times New Roman" w:hAnsi="Times New Roman" w:cs="Times New Roman"/>
          <w:i/>
          <w:iCs/>
          <w:sz w:val="20"/>
          <w:szCs w:val="20"/>
          <w:lang w:val="sq-AL"/>
        </w:rPr>
        <w:t>:</w:t>
      </w:r>
    </w:p>
    <w:p w14:paraId="2F79790A" w14:textId="7EC7C2B7" w:rsidR="00D9497E" w:rsidRPr="00D9497E" w:rsidRDefault="00D9497E" w:rsidP="00D949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9497E"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>Gjatë periudhës raportuese, shpenzimet faktike për veprimtarinë e Presidentit (01120) janë realizuar në vlerën 314,907 mijë lekë, kundrejt një plani fillestar vjetor prej 643,980 mijë lekë dhe plani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t</w:t>
      </w:r>
      <w:r w:rsidRP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të rishikuar prej 479,280 mijë lekë. Në raport me planin fillestar, niveli i realizimit paraqitet në 49%, ndërsa ndaj planit të rishikuar në 66%, duke reflektuar një ritëm të moderuar të ekzekutimit buxhetor.</w:t>
      </w:r>
    </w:p>
    <w:p w14:paraId="7AAA32F9" w14:textId="63445A7C" w:rsidR="00D9497E" w:rsidRDefault="00FD0896" w:rsidP="00D9497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Sipas zërave</w:t>
      </w:r>
      <w:r w:rsidR="00D9497E" w:rsidRP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shpenzimet korente kanë pësuar nivel më të lartë realizimi, konkretisht 83% ndaj planit fillestar dhe 93% ndaj planit të rishikuar, ndërkohë që shpenzimet kapitale mbeten në nivele të ulëta realizimi, përkatësisht 11% dhe 19%, duke treguar 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>nivel t</w:t>
      </w:r>
      <w:r w:rsidR="003710C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ul</w:t>
      </w:r>
      <w:r w:rsidR="003710C5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>t, apo mosrealizim</w:t>
      </w:r>
      <w:r w:rsidR="00D9497E" w:rsidRP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për 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>projektet</w:t>
      </w:r>
      <w:r w:rsidR="00D9497E" w:rsidRP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e planifikuara.</w:t>
      </w:r>
    </w:p>
    <w:p w14:paraId="4511DA0C" w14:textId="38EACBFA" w:rsidR="001C5079" w:rsidRPr="001C5079" w:rsidRDefault="001C5079" w:rsidP="001C5079">
      <w:pPr>
        <w:spacing w:after="0"/>
        <w:jc w:val="both"/>
        <w:rPr>
          <w:rFonts w:ascii="Times New Roman" w:eastAsia="Calibri" w:hAnsi="Times New Roman" w:cs="Times New Roman"/>
          <w:b/>
          <w:i/>
          <w:sz w:val="20"/>
          <w:szCs w:val="24"/>
          <w:lang w:val="sq-AL"/>
        </w:rPr>
      </w:pPr>
    </w:p>
    <w:p w14:paraId="2E085EC6" w14:textId="2C9E68EB" w:rsidR="00584E95" w:rsidRPr="008F06BB" w:rsidRDefault="00564FC9" w:rsidP="001C5079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zërave përb</w:t>
      </w:r>
      <w:r w:rsidR="00067897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rës të shpenzimeve, sipas raportit të monitorimit të paraqitur nga ana e institucionit 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 dhe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dh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nave n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Sistemin Informatit Financiar t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Qeveris</w:t>
      </w:r>
      <w:r w:rsidR="00697956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CD428F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41345A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situata në fund të 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vitit </w:t>
      </w:r>
      <w:r w:rsidR="00962BE0">
        <w:rPr>
          <w:rFonts w:ascii="Times New Roman" w:eastAsia="Calibri" w:hAnsi="Times New Roman" w:cs="Times New Roman"/>
          <w:sz w:val="24"/>
          <w:szCs w:val="24"/>
          <w:lang w:val="sq-AL"/>
        </w:rPr>
        <w:t>2025</w:t>
      </w:r>
      <w:r w:rsidRPr="008F06BB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paraqitet e tillë:</w:t>
      </w:r>
      <w:r w:rsidR="00D9497E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</w:p>
    <w:p w14:paraId="133A5F4D" w14:textId="542BCB46" w:rsidR="00771179" w:rsidRPr="008F06BB" w:rsidRDefault="00D9497E" w:rsidP="00771179">
      <w:pPr>
        <w:ind w:left="-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D9497E">
        <w:rPr>
          <w:noProof/>
        </w:rPr>
        <w:drawing>
          <wp:anchor distT="0" distB="0" distL="114300" distR="114300" simplePos="0" relativeHeight="251657728" behindDoc="0" locked="0" layoutInCell="1" allowOverlap="1" wp14:anchorId="3EFDD44F" wp14:editId="7CB4A7EA">
            <wp:simplePos x="0" y="0"/>
            <wp:positionH relativeFrom="margin">
              <wp:posOffset>-731520</wp:posOffset>
            </wp:positionH>
            <wp:positionV relativeFrom="margin">
              <wp:posOffset>3060700</wp:posOffset>
            </wp:positionV>
            <wp:extent cx="7414895" cy="2933700"/>
            <wp:effectExtent l="0" t="0" r="0" b="0"/>
            <wp:wrapSquare wrapText="bothSides"/>
            <wp:docPr id="197032613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179" w:rsidRPr="008F06BB">
        <w:rPr>
          <w:rFonts w:ascii="Times New Roman" w:hAnsi="Times New Roman"/>
          <w:i/>
          <w:iCs/>
          <w:sz w:val="20"/>
          <w:szCs w:val="20"/>
          <w:u w:val="single"/>
          <w:lang w:val="sq-AL"/>
        </w:rPr>
        <w:t>Tabela: Realizimi i shpenzimet sipas klasifikimit ekonomik (në mijë lekë)</w:t>
      </w:r>
      <w:r w:rsidR="00771179" w:rsidRPr="00F36B6F">
        <w:rPr>
          <w:rFonts w:ascii="Times New Roman" w:hAnsi="Times New Roman"/>
          <w:i/>
          <w:iCs/>
          <w:sz w:val="20"/>
          <w:szCs w:val="20"/>
          <w:lang w:val="sq-AL"/>
        </w:rPr>
        <w:t>:</w:t>
      </w:r>
    </w:p>
    <w:p w14:paraId="01E26D82" w14:textId="77777777" w:rsidR="00D9497E" w:rsidRDefault="00D9497E" w:rsidP="00D9497E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</w:pPr>
    </w:p>
    <w:p w14:paraId="29EE1CF7" w14:textId="16966224" w:rsidR="003710C5" w:rsidRPr="003710C5" w:rsidRDefault="003710C5" w:rsidP="003710C5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Gjatë periudhës raportuese, </w:t>
      </w:r>
      <w:r w:rsidRPr="003710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korente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janë realizuar në vlerën 281,416 mijë lekë, duke përfaqësuar 83% të planit fillestar dhe 93% të planit të rishikuar. Brenda këtij grupi, shpenzimet për paga janë realizuar në masën 98% të planit të rishikuar, sigurimet shoqërore paraqesin një nivel realizimi prej 89%,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z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ëri mallra dhe shërbime të tjera rezulton i realizuar në 90% të planit të rishikuar, duke reflektuar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një ecuri të mirë të realizimit të shpenzimeve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2ED9FE1B" w14:textId="121E8AE9" w:rsidR="003710C5" w:rsidRPr="003710C5" w:rsidRDefault="003710C5" w:rsidP="003710C5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Nga ana tjetër, </w:t>
      </w:r>
      <w:r w:rsidRPr="003710C5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sq-AL"/>
        </w:rPr>
        <w:t>shpenzimet kapitale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paraqesin një nivel të ulët realizimi, konkretisht 33,490 mijë lekë, ose 11% ndaj planit fillestar dhe 19% ndaj planit të rishikuar. Ulja e konsiderueshme e planit vjetor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>për shpenzimet kapitale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>(-130,000 mijë lekë)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lidhet me zbatimin e Aktit Normativ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lastRenderedPageBreak/>
        <w:t xml:space="preserve">nr.11, datë 19.12.2025, përmes së cilit u pakësuar plani për projetin e investimit 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“Rikostruksioni i godin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 ekzistuese t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Institucionit t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Presidentit t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 xml:space="preserve"> Republik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ë</w:t>
      </w:r>
      <w:r w:rsidRPr="003710C5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s”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7B98E7AE" w14:textId="528274D9" w:rsidR="003710C5" w:rsidRDefault="003710C5" w:rsidP="003710C5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>Në total, shpenzimet buxhetore janë realizuar në masën 314,907 mijë lekë, ose 49% të planit fillestar dhe 66% të planit të rishikuar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38724A46" w14:textId="5F7108FD" w:rsidR="003710C5" w:rsidRDefault="003710C5" w:rsidP="003710C5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Po ashtu,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numri i punonjësve i miratuar përmes ligjit vjetor të buxhetit për vitin 2026 është 93, ndërkohë 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>numri faktik i punonjësve rezulton 68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Ky faktor 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ka ndikuar drejtpërdrejt në nivelin e realizimit të shpenzimeve për 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personeli</w:t>
      </w:r>
      <w:r w:rsidR="00CF5BB7">
        <w:rPr>
          <w:rFonts w:ascii="Times New Roman" w:eastAsia="Calibri" w:hAnsi="Times New Roman" w:cs="Times New Roman"/>
          <w:sz w:val="24"/>
          <w:szCs w:val="24"/>
          <w:lang w:val="sq-AL"/>
        </w:rPr>
        <w:t>n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gjatë vitit</w:t>
      </w:r>
      <w:r w:rsidRPr="003710C5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. </w:t>
      </w:r>
    </w:p>
    <w:p w14:paraId="38956CD1" w14:textId="77777777" w:rsidR="00564FC9" w:rsidRPr="009E6902" w:rsidRDefault="00564FC9" w:rsidP="00564FC9">
      <w:pPr>
        <w:spacing w:line="240" w:lineRule="auto"/>
        <w:ind w:left="900" w:hanging="540"/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III. Informacion mbi volumin dhe madhësinë e ndryshimit të buxhetit.</w:t>
      </w:r>
    </w:p>
    <w:p w14:paraId="0C54B87E" w14:textId="77777777" w:rsidR="003268DF" w:rsidRDefault="00230E9E" w:rsidP="00C32FA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Ndryshimet e planit të buxhetit, si për shpenzimet kapitale dhe për shpenzimet korente gjatë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duke u nisur nga buxheti fillestar sipas ligjit nr. Nr. 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115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/202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4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, “Për buxhetin e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="0025601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”, kanë ndodhur nga</w:t>
      </w:r>
      <w:r w:rsidR="003268DF">
        <w:rPr>
          <w:rFonts w:ascii="Times New Roman" w:eastAsia="Calibri" w:hAnsi="Times New Roman" w:cs="Times New Roman"/>
          <w:sz w:val="24"/>
          <w:szCs w:val="24"/>
          <w:lang w:val="sq-AL"/>
        </w:rPr>
        <w:t>:</w:t>
      </w:r>
    </w:p>
    <w:p w14:paraId="03469404" w14:textId="56F6E2BF" w:rsidR="003268DF" w:rsidRDefault="003268DF" w:rsidP="003268D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>
        <w:rPr>
          <w:rFonts w:ascii="Times New Roman" w:eastAsia="Calibri" w:hAnsi="Times New Roman" w:cs="Times New Roman"/>
          <w:sz w:val="24"/>
          <w:szCs w:val="24"/>
          <w:lang w:val="sq-AL"/>
        </w:rPr>
        <w:t>A</w:t>
      </w:r>
      <w:r w:rsidR="00256019" w:rsidRPr="003268DF">
        <w:rPr>
          <w:rFonts w:ascii="Times New Roman" w:eastAsia="Calibri" w:hAnsi="Times New Roman" w:cs="Times New Roman"/>
          <w:sz w:val="24"/>
          <w:szCs w:val="24"/>
          <w:lang w:val="sq-AL"/>
        </w:rPr>
        <w:t>kordimi i fondit të veçantë për vitin 202</w:t>
      </w:r>
      <w:r w:rsidR="00BC323B" w:rsidRPr="003268D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, n</w:t>
      </w:r>
      <w:r w:rsidR="001B799B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vler</w:t>
      </w:r>
      <w:r w:rsidR="001B799B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n 300 mij</w:t>
      </w:r>
      <w:r w:rsidR="001B799B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lek</w:t>
      </w:r>
      <w:r w:rsidR="001B799B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>
        <w:rPr>
          <w:rFonts w:ascii="Times New Roman" w:eastAsia="Calibri" w:hAnsi="Times New Roman" w:cs="Times New Roman"/>
          <w:sz w:val="24"/>
          <w:szCs w:val="24"/>
          <w:lang w:val="sq-AL"/>
        </w:rPr>
        <w:t>.</w:t>
      </w:r>
    </w:p>
    <w:p w14:paraId="4F3B9AAC" w14:textId="32A1D418" w:rsidR="00697956" w:rsidRDefault="00BC323B" w:rsidP="003268D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268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3268DF" w:rsidRPr="003268DF">
        <w:rPr>
          <w:rFonts w:ascii="Times New Roman" w:eastAsia="Calibri" w:hAnsi="Times New Roman" w:cs="Times New Roman"/>
          <w:sz w:val="24"/>
          <w:szCs w:val="24"/>
          <w:lang w:val="sq-AL"/>
        </w:rPr>
        <w:t>Në zbatim të Aktit Normativ nr.10, datë 8.10.</w:t>
      </w:r>
      <w:r w:rsidR="003268DF" w:rsidRPr="003268D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2025 “Për disa ndryshime dhe shtesa në ligjin nr.115/2024, “Për buxhetin e vitit 2025”, i ndryshuar”</w:t>
      </w:r>
    </w:p>
    <w:p w14:paraId="451FDA34" w14:textId="67548BF0" w:rsidR="003268DF" w:rsidRDefault="003268DF" w:rsidP="003268DF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3268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Aktit Normativ nr.11, datë 19.12.2025 </w:t>
      </w:r>
      <w:r w:rsidRPr="003268DF">
        <w:rPr>
          <w:rFonts w:ascii="Times New Roman" w:eastAsia="Calibri" w:hAnsi="Times New Roman" w:cs="Times New Roman"/>
          <w:i/>
          <w:iCs/>
          <w:sz w:val="24"/>
          <w:szCs w:val="24"/>
          <w:lang w:val="sq-AL"/>
        </w:rPr>
        <w:t>“Për disa ndryshime dhe shtesa në ligjin nr.115/2024, “Për buxhetin e vitit 2025”, i ndryshuar”</w:t>
      </w:r>
    </w:p>
    <w:p w14:paraId="00C0B551" w14:textId="77777777" w:rsidR="003268DF" w:rsidRPr="003268DF" w:rsidRDefault="003268DF" w:rsidP="003268DF">
      <w:pPr>
        <w:pStyle w:val="ListParagraph"/>
        <w:spacing w:after="0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06244BAE" w14:textId="77777777" w:rsidR="00907260" w:rsidRPr="008F116E" w:rsidRDefault="00907260" w:rsidP="008F116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5205E447" w14:textId="3977FE1F" w:rsidR="00564FC9" w:rsidRPr="009E6902" w:rsidRDefault="00564FC9" w:rsidP="00564FC9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>Komente dhe rekomandime</w:t>
      </w:r>
      <w:r w:rsidR="00907260">
        <w:rPr>
          <w:rFonts w:ascii="Times New Roman" w:eastAsia="Calibri" w:hAnsi="Times New Roman" w:cs="Times New Roman"/>
          <w:b/>
          <w:sz w:val="24"/>
          <w:szCs w:val="24"/>
          <w:lang w:val="sq-AL"/>
        </w:rPr>
        <w:t>.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 </w:t>
      </w:r>
    </w:p>
    <w:p w14:paraId="4713512F" w14:textId="77777777" w:rsidR="00564FC9" w:rsidRPr="009E6902" w:rsidRDefault="00564FC9" w:rsidP="00564FC9">
      <w:pPr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2A896CFA" w14:textId="05729903" w:rsidR="009F2AC7" w:rsidRPr="009E6902" w:rsidRDefault="009F2AC7" w:rsidP="009F2AC7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Theksojmë se paraqitja e informacionit si dhe të dhënat e raportuara në raportin e monitorimit duhet të jetë në përputhje me përcaktimet e bëra në Udhëzimin nr. 14, datë 30.05.2023 “Për procedurat standarde të monitorimit të buxhetit në njësitë e Qeverisjes Qendrore”, specifikisht sipas formateve të përcaktuara në paragrafin 49, të</w:t>
      </w:r>
      <w:r w:rsidR="00D566F0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këtij udhëzimi. Vërejmë që 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paraqitja e informacionit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në raportin e monitorimit,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ë</w:t>
      </w:r>
      <w:r w:rsidR="00077BF9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shtë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</w:t>
      </w:r>
      <w:r w:rsidR="00263D32"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plotësisht 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sipas formateve të përcaktuara në këtë udhëzim.</w:t>
      </w:r>
    </w:p>
    <w:p w14:paraId="2DFFA005" w14:textId="77777777" w:rsidR="009F2AC7" w:rsidRPr="009E6902" w:rsidRDefault="009F2AC7" w:rsidP="009F2A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716E8029" w14:textId="262879E3" w:rsidR="003305B6" w:rsidRDefault="009F2AC7" w:rsidP="003305B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>Nga ana juaj paraqitja e raportit të monitorimit të vitit 202</w:t>
      </w:r>
      <w:r w:rsidR="00BC323B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është bërë në përputhje me afatin e përcaktuar në udhëzimin nr. 14, datë 30.05.2023. </w:t>
      </w:r>
    </w:p>
    <w:p w14:paraId="0DB38E92" w14:textId="77777777" w:rsidR="003305B6" w:rsidRPr="003305B6" w:rsidRDefault="003305B6" w:rsidP="003305B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45D70C89" w14:textId="55BC5996" w:rsidR="00664D67" w:rsidRPr="00D62872" w:rsidRDefault="00664D67" w:rsidP="003305B6">
      <w:pPr>
        <w:pStyle w:val="ListParagraph"/>
        <w:numPr>
          <w:ilvl w:val="0"/>
          <w:numId w:val="9"/>
        </w:numPr>
        <w:tabs>
          <w:tab w:val="left" w:pos="36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 xml:space="preserve">Është paraqitur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inforacion mbi numrin e punonjësve buxhetorë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MingLiU-ExtB" w:eastAsia="MingLiU-ExtB" w:hAnsi="MingLiU-ExtB" w:cs="MingLiU-ExtB"/>
          <w:bCs/>
          <w:sz w:val="24"/>
          <w:szCs w:val="24"/>
          <w:lang w:val="sq-AL"/>
        </w:rPr>
        <w:t xml:space="preserve"> 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miratuar me ligjin vjetor dhe numri</w:t>
      </w:r>
      <w:r>
        <w:rPr>
          <w:rFonts w:ascii="Times New Roman" w:hAnsi="Times New Roman"/>
          <w:bCs/>
          <w:sz w:val="24"/>
          <w:szCs w:val="24"/>
          <w:lang w:val="sq-AL"/>
        </w:rPr>
        <w:t>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 xml:space="preserve"> faktik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për periudhën</w:t>
      </w:r>
      <w:r w:rsidRPr="00D62872"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25BBBFA8" w14:textId="77777777" w:rsidR="003305B6" w:rsidRDefault="003305B6" w:rsidP="003305B6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</w:p>
    <w:p w14:paraId="4FDDA555" w14:textId="37BB410F" w:rsidR="002E12C6" w:rsidRPr="00C32FA8" w:rsidRDefault="00D4113E" w:rsidP="003305B6">
      <w:pPr>
        <w:spacing w:after="0"/>
        <w:jc w:val="both"/>
        <w:rPr>
          <w:rFonts w:ascii="Times New Roman" w:hAnsi="Times New Roman"/>
          <w:bCs/>
          <w:sz w:val="24"/>
          <w:szCs w:val="24"/>
          <w:u w:val="single"/>
          <w:lang w:val="sq-AL"/>
        </w:rPr>
      </w:pPr>
      <w:r w:rsidRPr="00E74999">
        <w:rPr>
          <w:rFonts w:ascii="Times New Roman" w:hAnsi="Times New Roman"/>
          <w:bCs/>
          <w:sz w:val="24"/>
          <w:szCs w:val="24"/>
          <w:u w:val="single"/>
          <w:lang w:val="sq-AL"/>
        </w:rPr>
        <w:t>Duke ju referuar konstatimeve të mësipërme, për përmirësimin e cilësisë së përmbajtjes së raportit të monitorimit rekomandojmë:</w:t>
      </w:r>
    </w:p>
    <w:p w14:paraId="07436FB5" w14:textId="1404B746" w:rsidR="00DC4E2B" w:rsidRDefault="00DC4E2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Vler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>sojm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se relacioni shpjegues duhet t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paraqitet sipas formatit t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p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>rcaktuar n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Pr="00DC4E2B">
        <w:rPr>
          <w:rFonts w:ascii="Times New Roman" w:hAnsi="Times New Roman"/>
          <w:bCs/>
          <w:sz w:val="24"/>
          <w:szCs w:val="24"/>
          <w:lang w:val="sq-AL"/>
        </w:rPr>
        <w:t>Udhëzimin nr. 14, datë 30.05.2023</w:t>
      </w:r>
      <w:r w:rsidRPr="00DC4E2B">
        <w:rPr>
          <w:rFonts w:ascii="Times New Roman" w:hAnsi="Times New Roman"/>
          <w:bCs/>
          <w:i/>
          <w:iCs/>
          <w:sz w:val="24"/>
          <w:szCs w:val="24"/>
          <w:lang w:val="sq-AL"/>
        </w:rPr>
        <w:t xml:space="preserve"> “Për procedurat standarde të monitorimit të buxhetit në njësitë e Qeverisjes Qendrore”</w:t>
      </w:r>
      <w:r>
        <w:rPr>
          <w:rFonts w:ascii="Times New Roman" w:hAnsi="Times New Roman"/>
          <w:bCs/>
          <w:sz w:val="24"/>
          <w:szCs w:val="24"/>
          <w:lang w:val="sq-AL"/>
        </w:rPr>
        <w:t>.</w:t>
      </w:r>
    </w:p>
    <w:p w14:paraId="7C1D831A" w14:textId="0831D8E0" w:rsidR="002E12C6" w:rsidRPr="002E12C6" w:rsidRDefault="00DC4E2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Cs/>
          <w:sz w:val="24"/>
          <w:szCs w:val="24"/>
          <w:lang w:val="sq-AL"/>
        </w:rPr>
        <w:t>Relacioni duhet t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p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>rmbaj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>
        <w:rPr>
          <w:rFonts w:ascii="Times New Roman" w:hAnsi="Times New Roman"/>
          <w:bCs/>
          <w:sz w:val="24"/>
          <w:szCs w:val="24"/>
          <w:lang w:val="sq-AL"/>
        </w:rPr>
        <w:t xml:space="preserve"> </w:t>
      </w:r>
      <w:r w:rsidR="00280FCB" w:rsidRPr="00280FCB">
        <w:rPr>
          <w:rFonts w:ascii="Times New Roman" w:hAnsi="Times New Roman"/>
          <w:bCs/>
          <w:sz w:val="24"/>
          <w:szCs w:val="24"/>
          <w:lang w:val="sq-AL"/>
        </w:rPr>
        <w:t xml:space="preserve">një analizë </w:t>
      </w:r>
      <w:r>
        <w:rPr>
          <w:rFonts w:ascii="Times New Roman" w:hAnsi="Times New Roman"/>
          <w:bCs/>
          <w:sz w:val="24"/>
          <w:szCs w:val="24"/>
          <w:lang w:val="sq-AL"/>
        </w:rPr>
        <w:t>t</w:t>
      </w:r>
      <w:r w:rsidR="001B799B">
        <w:rPr>
          <w:rFonts w:ascii="Times New Roman" w:hAnsi="Times New Roman"/>
          <w:bCs/>
          <w:sz w:val="24"/>
          <w:szCs w:val="24"/>
          <w:lang w:val="sq-AL"/>
        </w:rPr>
        <w:t>ë</w:t>
      </w:r>
      <w:r w:rsidR="00280FCB" w:rsidRPr="00280FCB">
        <w:rPr>
          <w:rFonts w:ascii="Times New Roman" w:hAnsi="Times New Roman"/>
          <w:bCs/>
          <w:sz w:val="24"/>
          <w:szCs w:val="24"/>
          <w:lang w:val="sq-AL"/>
        </w:rPr>
        <w:t xml:space="preserve"> detajuar mbi deviacionet më të theksuara nga plani për 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periudhën</w:t>
      </w:r>
      <w:r w:rsidR="00280FCB" w:rsidRPr="00280FCB">
        <w:rPr>
          <w:rFonts w:ascii="Times New Roman" w:hAnsi="Times New Roman"/>
          <w:bCs/>
          <w:sz w:val="24"/>
          <w:szCs w:val="24"/>
          <w:lang w:val="sq-AL"/>
        </w:rPr>
        <w:t>, dhe të bëhet krahas</w:t>
      </w:r>
      <w:r w:rsidR="00D003F9">
        <w:rPr>
          <w:rFonts w:ascii="Times New Roman" w:hAnsi="Times New Roman"/>
          <w:bCs/>
          <w:sz w:val="24"/>
          <w:szCs w:val="24"/>
          <w:lang w:val="sq-AL"/>
        </w:rPr>
        <w:t>i</w:t>
      </w:r>
      <w:r w:rsidR="00280FCB" w:rsidRPr="00280FCB">
        <w:rPr>
          <w:rFonts w:ascii="Times New Roman" w:hAnsi="Times New Roman"/>
          <w:bCs/>
          <w:sz w:val="24"/>
          <w:szCs w:val="24"/>
          <w:lang w:val="sq-AL"/>
        </w:rPr>
        <w:t xml:space="preserve">mi me performancën me periudhën e mëparshme të </w:t>
      </w:r>
      <w:r w:rsidR="00280FCB" w:rsidRPr="00280FCB">
        <w:rPr>
          <w:rFonts w:ascii="Times New Roman" w:hAnsi="Times New Roman"/>
          <w:bCs/>
          <w:sz w:val="24"/>
          <w:szCs w:val="24"/>
          <w:lang w:val="sq-AL"/>
        </w:rPr>
        <w:lastRenderedPageBreak/>
        <w:t>raportimit. Në veçanti, të theksoni nëse ekzistojnë tendenca të vazhdueshme për performancën nën nivelin e parashikuar.</w:t>
      </w:r>
    </w:p>
    <w:p w14:paraId="21816572" w14:textId="77777777" w:rsidR="002E12C6" w:rsidRPr="002E12C6" w:rsidRDefault="002E12C6" w:rsidP="002E12C6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q-AL"/>
        </w:rPr>
      </w:pPr>
    </w:p>
    <w:p w14:paraId="0948C837" w14:textId="2EB45664" w:rsidR="002E12C6" w:rsidRPr="002E12C6" w:rsidRDefault="00280FCB" w:rsidP="002E12C6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280FCB">
        <w:rPr>
          <w:rFonts w:ascii="Times New Roman" w:hAnsi="Times New Roman"/>
          <w:bCs/>
          <w:sz w:val="24"/>
          <w:szCs w:val="24"/>
          <w:lang w:val="sq-AL"/>
        </w:rPr>
        <w:t>Duhen shpjeguar në mënyrë të detajuar arsyet kryesore që kanë ndikuar në performancen e realizimit nën nivelin e duhur të shpenzimeve kundrejt planit për vitin 202</w:t>
      </w:r>
      <w:r w:rsidR="00BC323B">
        <w:rPr>
          <w:rFonts w:ascii="Times New Roman" w:hAnsi="Times New Roman"/>
          <w:bCs/>
          <w:sz w:val="24"/>
          <w:szCs w:val="24"/>
          <w:lang w:val="sq-AL"/>
        </w:rPr>
        <w:t>5</w:t>
      </w:r>
      <w:r w:rsidRPr="00280FCB">
        <w:rPr>
          <w:rFonts w:ascii="Times New Roman" w:hAnsi="Times New Roman"/>
          <w:bCs/>
          <w:sz w:val="24"/>
          <w:szCs w:val="24"/>
          <w:lang w:val="sq-AL"/>
        </w:rPr>
        <w:t xml:space="preserve">. </w:t>
      </w:r>
    </w:p>
    <w:p w14:paraId="2745BE45" w14:textId="25E7680B" w:rsidR="00564FC9" w:rsidRPr="009E6902" w:rsidRDefault="00564FC9" w:rsidP="00DC4E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</w:p>
    <w:p w14:paraId="39A11ABC" w14:textId="77777777" w:rsidR="00564FC9" w:rsidRPr="009E6902" w:rsidRDefault="00564FC9" w:rsidP="00564FC9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       </w:t>
      </w:r>
      <w:r w:rsidRPr="009E6902">
        <w:rPr>
          <w:rFonts w:ascii="Times New Roman" w:eastAsia="Calibri" w:hAnsi="Times New Roman" w:cs="Times New Roman"/>
          <w:b/>
          <w:sz w:val="24"/>
          <w:szCs w:val="24"/>
          <w:lang w:val="sq-AL"/>
        </w:rPr>
        <w:t xml:space="preserve">VI. Publikimi </w:t>
      </w:r>
    </w:p>
    <w:p w14:paraId="748B6494" w14:textId="6670A4AB" w:rsidR="000D3C41" w:rsidRPr="009E6902" w:rsidRDefault="00564FC9" w:rsidP="0049503A">
      <w:pPr>
        <w:jc w:val="both"/>
        <w:rPr>
          <w:rFonts w:ascii="Times New Roman" w:eastAsia="Calibri" w:hAnsi="Times New Roman" w:cs="Times New Roman"/>
          <w:sz w:val="24"/>
          <w:szCs w:val="24"/>
          <w:lang w:val="sq-AL"/>
        </w:rPr>
      </w:pP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Raporti i Monitorimit </w:t>
      </w:r>
      <w:r w:rsidR="00A20E39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për </w:t>
      </w:r>
      <w:r w:rsidR="00DC4E2B">
        <w:rPr>
          <w:rFonts w:ascii="Times New Roman" w:eastAsia="Calibri" w:hAnsi="Times New Roman" w:cs="Times New Roman"/>
          <w:sz w:val="24"/>
          <w:szCs w:val="24"/>
          <w:lang w:val="sq-AL"/>
        </w:rPr>
        <w:t>vitin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 202</w:t>
      </w:r>
      <w:r w:rsidR="00BC323B"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5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, </w:t>
      </w:r>
      <w:r w:rsidR="007D22DF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nuk </w:t>
      </w:r>
      <w:r w:rsidRPr="007D22DF">
        <w:rPr>
          <w:rFonts w:ascii="Times New Roman" w:eastAsia="Calibri" w:hAnsi="Times New Roman" w:cs="Times New Roman"/>
          <w:sz w:val="24"/>
          <w:szCs w:val="24"/>
          <w:lang w:val="sq-AL"/>
        </w:rPr>
        <w:t>është publikuar në faqen zyrtare të Institucionit të Presidentit.</w:t>
      </w:r>
    </w:p>
    <w:p w14:paraId="7B87BCB5" w14:textId="14E57749" w:rsidR="003B5C9B" w:rsidRPr="009E6902" w:rsidRDefault="003B5C9B" w:rsidP="0049503A">
      <w:pPr>
        <w:jc w:val="both"/>
        <w:rPr>
          <w:rFonts w:eastAsia="Times New Roman"/>
          <w:color w:val="000000"/>
          <w:lang w:val="sq-AL"/>
        </w:rPr>
      </w:pPr>
      <w:r w:rsidRPr="009E6902">
        <w:rPr>
          <w:rFonts w:ascii="Times New Roman" w:eastAsia="Calibri" w:hAnsi="Times New Roman" w:cs="Times New Roman"/>
          <w:sz w:val="24"/>
          <w:szCs w:val="24"/>
          <w:lang w:val="sq-AL"/>
        </w:rPr>
        <w:t xml:space="preserve">Linku: </w:t>
      </w:r>
      <w:hyperlink r:id="rId8" w:history="1">
        <w:r w:rsidRPr="004A4F1B">
          <w:rPr>
            <w:rStyle w:val="Hyperlink"/>
            <w:rFonts w:ascii="Times New Roman" w:eastAsia="Times New Roman" w:hAnsi="Times New Roman" w:cs="Times New Roman"/>
            <w:lang w:val="sq-AL"/>
          </w:rPr>
          <w:t>https://president.al/programi-i-transparences/</w:t>
        </w:r>
      </w:hyperlink>
    </w:p>
    <w:sectPr w:rsidR="003B5C9B" w:rsidRPr="009E6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59"/>
    <w:multiLevelType w:val="hybridMultilevel"/>
    <w:tmpl w:val="B87C0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3C00"/>
    <w:multiLevelType w:val="hybridMultilevel"/>
    <w:tmpl w:val="377CDF6A"/>
    <w:lvl w:ilvl="0" w:tplc="0409000B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7C755A5"/>
    <w:multiLevelType w:val="hybridMultilevel"/>
    <w:tmpl w:val="BBF4073C"/>
    <w:lvl w:ilvl="0" w:tplc="CF6024AA">
      <w:start w:val="1"/>
      <w:numFmt w:val="bullet"/>
      <w:lvlText w:val="-"/>
      <w:lvlJc w:val="left"/>
      <w:pPr>
        <w:ind w:left="900" w:hanging="360"/>
      </w:pPr>
      <w:rPr>
        <w:rFonts w:ascii="Bookman Old Style" w:eastAsia="Calibri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81AE8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30A6C"/>
    <w:multiLevelType w:val="hybridMultilevel"/>
    <w:tmpl w:val="2E18B962"/>
    <w:lvl w:ilvl="0" w:tplc="554CCB1E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76A83"/>
    <w:multiLevelType w:val="hybridMultilevel"/>
    <w:tmpl w:val="56020B34"/>
    <w:lvl w:ilvl="0" w:tplc="57FE3890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FD70D2"/>
    <w:multiLevelType w:val="hybridMultilevel"/>
    <w:tmpl w:val="0F629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2786B"/>
    <w:multiLevelType w:val="hybridMultilevel"/>
    <w:tmpl w:val="184EC2A8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 w15:restartNumberingAfterBreak="0">
    <w:nsid w:val="46B4285B"/>
    <w:multiLevelType w:val="hybridMultilevel"/>
    <w:tmpl w:val="EE8C382C"/>
    <w:lvl w:ilvl="0" w:tplc="37C6348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7279FE"/>
    <w:multiLevelType w:val="hybridMultilevel"/>
    <w:tmpl w:val="4ECEC946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51340459"/>
    <w:multiLevelType w:val="hybridMultilevel"/>
    <w:tmpl w:val="D0107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421FF7"/>
    <w:multiLevelType w:val="hybridMultilevel"/>
    <w:tmpl w:val="F71C71E8"/>
    <w:lvl w:ilvl="0" w:tplc="74A8C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40BD"/>
    <w:multiLevelType w:val="hybridMultilevel"/>
    <w:tmpl w:val="FE82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E3913"/>
    <w:multiLevelType w:val="hybridMultilevel"/>
    <w:tmpl w:val="A07C2916"/>
    <w:lvl w:ilvl="0" w:tplc="0409000B">
      <w:start w:val="1"/>
      <w:numFmt w:val="bullet"/>
      <w:lvlText w:val=""/>
      <w:lvlJc w:val="left"/>
      <w:pPr>
        <w:ind w:left="15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7FE26257"/>
    <w:multiLevelType w:val="hybridMultilevel"/>
    <w:tmpl w:val="FD36876E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803384410">
    <w:abstractNumId w:val="1"/>
  </w:num>
  <w:num w:numId="2" w16cid:durableId="1661734480">
    <w:abstractNumId w:val="11"/>
  </w:num>
  <w:num w:numId="3" w16cid:durableId="879777951">
    <w:abstractNumId w:val="4"/>
  </w:num>
  <w:num w:numId="4" w16cid:durableId="144904906">
    <w:abstractNumId w:val="8"/>
  </w:num>
  <w:num w:numId="5" w16cid:durableId="776490666">
    <w:abstractNumId w:val="12"/>
  </w:num>
  <w:num w:numId="6" w16cid:durableId="857424709">
    <w:abstractNumId w:val="5"/>
  </w:num>
  <w:num w:numId="7" w16cid:durableId="1644893762">
    <w:abstractNumId w:val="10"/>
  </w:num>
  <w:num w:numId="8" w16cid:durableId="167333216">
    <w:abstractNumId w:val="13"/>
  </w:num>
  <w:num w:numId="9" w16cid:durableId="1696270007">
    <w:abstractNumId w:val="7"/>
  </w:num>
  <w:num w:numId="10" w16cid:durableId="1452481869">
    <w:abstractNumId w:val="2"/>
  </w:num>
  <w:num w:numId="11" w16cid:durableId="330841535">
    <w:abstractNumId w:val="6"/>
  </w:num>
  <w:num w:numId="12" w16cid:durableId="705909020">
    <w:abstractNumId w:val="3"/>
  </w:num>
  <w:num w:numId="13" w16cid:durableId="1433822701">
    <w:abstractNumId w:val="14"/>
  </w:num>
  <w:num w:numId="14" w16cid:durableId="2103796939">
    <w:abstractNumId w:val="9"/>
  </w:num>
  <w:num w:numId="15" w16cid:durableId="173141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1F3"/>
    <w:rsid w:val="00033FEA"/>
    <w:rsid w:val="0006364E"/>
    <w:rsid w:val="00067897"/>
    <w:rsid w:val="00073930"/>
    <w:rsid w:val="00077BF9"/>
    <w:rsid w:val="00082F87"/>
    <w:rsid w:val="000A315D"/>
    <w:rsid w:val="000B2478"/>
    <w:rsid w:val="000C2453"/>
    <w:rsid w:val="000D10E3"/>
    <w:rsid w:val="000D3C41"/>
    <w:rsid w:val="000F49EA"/>
    <w:rsid w:val="00102946"/>
    <w:rsid w:val="001075D0"/>
    <w:rsid w:val="00137320"/>
    <w:rsid w:val="00151585"/>
    <w:rsid w:val="00170C23"/>
    <w:rsid w:val="00190425"/>
    <w:rsid w:val="001B0A38"/>
    <w:rsid w:val="001B4142"/>
    <w:rsid w:val="001B799B"/>
    <w:rsid w:val="001C5079"/>
    <w:rsid w:val="001E2204"/>
    <w:rsid w:val="002060EB"/>
    <w:rsid w:val="00224C01"/>
    <w:rsid w:val="00230E9E"/>
    <w:rsid w:val="00242B92"/>
    <w:rsid w:val="0025438B"/>
    <w:rsid w:val="00256019"/>
    <w:rsid w:val="00263D32"/>
    <w:rsid w:val="00280FCB"/>
    <w:rsid w:val="002A2A92"/>
    <w:rsid w:val="002A72CC"/>
    <w:rsid w:val="002B4DB8"/>
    <w:rsid w:val="002E12C6"/>
    <w:rsid w:val="00314BCF"/>
    <w:rsid w:val="00316565"/>
    <w:rsid w:val="003268DF"/>
    <w:rsid w:val="00326AEB"/>
    <w:rsid w:val="003305B6"/>
    <w:rsid w:val="003513A4"/>
    <w:rsid w:val="003710C5"/>
    <w:rsid w:val="00374D5A"/>
    <w:rsid w:val="003B5C9B"/>
    <w:rsid w:val="003C1F14"/>
    <w:rsid w:val="003C6551"/>
    <w:rsid w:val="003D604D"/>
    <w:rsid w:val="0041345A"/>
    <w:rsid w:val="00443AD7"/>
    <w:rsid w:val="00443E34"/>
    <w:rsid w:val="00444F24"/>
    <w:rsid w:val="00476895"/>
    <w:rsid w:val="0049503A"/>
    <w:rsid w:val="004A4F1B"/>
    <w:rsid w:val="004A5E28"/>
    <w:rsid w:val="004E3DAC"/>
    <w:rsid w:val="004F39E0"/>
    <w:rsid w:val="00551A5D"/>
    <w:rsid w:val="00552690"/>
    <w:rsid w:val="00564FC9"/>
    <w:rsid w:val="005712E0"/>
    <w:rsid w:val="00584E95"/>
    <w:rsid w:val="005C0945"/>
    <w:rsid w:val="005C3F1C"/>
    <w:rsid w:val="00604A1C"/>
    <w:rsid w:val="00606699"/>
    <w:rsid w:val="00626314"/>
    <w:rsid w:val="006349C7"/>
    <w:rsid w:val="00652621"/>
    <w:rsid w:val="0066199C"/>
    <w:rsid w:val="00664D67"/>
    <w:rsid w:val="00673680"/>
    <w:rsid w:val="00697956"/>
    <w:rsid w:val="006C5CCC"/>
    <w:rsid w:val="006F67C7"/>
    <w:rsid w:val="007141E2"/>
    <w:rsid w:val="00734D79"/>
    <w:rsid w:val="00771179"/>
    <w:rsid w:val="00782B14"/>
    <w:rsid w:val="007D22DF"/>
    <w:rsid w:val="007E71F3"/>
    <w:rsid w:val="00855579"/>
    <w:rsid w:val="008C596A"/>
    <w:rsid w:val="008D4F54"/>
    <w:rsid w:val="008F06BB"/>
    <w:rsid w:val="008F116E"/>
    <w:rsid w:val="00907260"/>
    <w:rsid w:val="00914625"/>
    <w:rsid w:val="00920A73"/>
    <w:rsid w:val="00960C74"/>
    <w:rsid w:val="00962BE0"/>
    <w:rsid w:val="0099086C"/>
    <w:rsid w:val="009A794C"/>
    <w:rsid w:val="009D3296"/>
    <w:rsid w:val="009D659B"/>
    <w:rsid w:val="009E457F"/>
    <w:rsid w:val="009E6902"/>
    <w:rsid w:val="009F2AC7"/>
    <w:rsid w:val="009F367C"/>
    <w:rsid w:val="00A148E1"/>
    <w:rsid w:val="00A20E39"/>
    <w:rsid w:val="00A21905"/>
    <w:rsid w:val="00A27A8E"/>
    <w:rsid w:val="00A536DA"/>
    <w:rsid w:val="00A54F9A"/>
    <w:rsid w:val="00A8241F"/>
    <w:rsid w:val="00AA64AA"/>
    <w:rsid w:val="00AC2385"/>
    <w:rsid w:val="00AD2747"/>
    <w:rsid w:val="00B1387D"/>
    <w:rsid w:val="00B2044E"/>
    <w:rsid w:val="00B52E4D"/>
    <w:rsid w:val="00B642DF"/>
    <w:rsid w:val="00B72F14"/>
    <w:rsid w:val="00B75F87"/>
    <w:rsid w:val="00B95C5D"/>
    <w:rsid w:val="00BA20F3"/>
    <w:rsid w:val="00BB563E"/>
    <w:rsid w:val="00BC323B"/>
    <w:rsid w:val="00BC684E"/>
    <w:rsid w:val="00BD2707"/>
    <w:rsid w:val="00BD4B01"/>
    <w:rsid w:val="00BF1B61"/>
    <w:rsid w:val="00C13B1E"/>
    <w:rsid w:val="00C26453"/>
    <w:rsid w:val="00C32FA8"/>
    <w:rsid w:val="00C41178"/>
    <w:rsid w:val="00C975F6"/>
    <w:rsid w:val="00CA6881"/>
    <w:rsid w:val="00CC2721"/>
    <w:rsid w:val="00CD428F"/>
    <w:rsid w:val="00CE19B4"/>
    <w:rsid w:val="00CF5BB7"/>
    <w:rsid w:val="00D003F9"/>
    <w:rsid w:val="00D36DBF"/>
    <w:rsid w:val="00D4113E"/>
    <w:rsid w:val="00D566F0"/>
    <w:rsid w:val="00D61893"/>
    <w:rsid w:val="00D62872"/>
    <w:rsid w:val="00D70DB9"/>
    <w:rsid w:val="00D86083"/>
    <w:rsid w:val="00D94349"/>
    <w:rsid w:val="00D9497E"/>
    <w:rsid w:val="00DB0681"/>
    <w:rsid w:val="00DB2277"/>
    <w:rsid w:val="00DC4025"/>
    <w:rsid w:val="00DC4E2B"/>
    <w:rsid w:val="00DC5B4C"/>
    <w:rsid w:val="00DD1F96"/>
    <w:rsid w:val="00DD2E1E"/>
    <w:rsid w:val="00DD49D8"/>
    <w:rsid w:val="00E209E9"/>
    <w:rsid w:val="00E64856"/>
    <w:rsid w:val="00E74999"/>
    <w:rsid w:val="00E80DC6"/>
    <w:rsid w:val="00EA1A29"/>
    <w:rsid w:val="00EE1261"/>
    <w:rsid w:val="00EF2810"/>
    <w:rsid w:val="00F12062"/>
    <w:rsid w:val="00F1463B"/>
    <w:rsid w:val="00F15A23"/>
    <w:rsid w:val="00F215CD"/>
    <w:rsid w:val="00F36B6F"/>
    <w:rsid w:val="00F85FD4"/>
    <w:rsid w:val="00FD0896"/>
    <w:rsid w:val="00FE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24EDA"/>
  <w15:docId w15:val="{4FEC296A-BFC6-4D93-9C3E-942931C7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584E95"/>
    <w:pPr>
      <w:ind w:left="720"/>
      <w:contextualSpacing/>
    </w:pPr>
  </w:style>
  <w:style w:type="table" w:styleId="TableGrid">
    <w:name w:val="Table Grid"/>
    <w:basedOn w:val="TableNormal"/>
    <w:uiPriority w:val="59"/>
    <w:rsid w:val="00584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B5C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596A"/>
    <w:rPr>
      <w:color w:val="800080" w:themeColor="followedHyperlink"/>
      <w:u w:val="single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D628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ident.al/programi-i-transparences/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4445-0D90-4231-883A-78A1A4E6AD5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ledjana gjoni</dc:creator>
  <cp:keywords/>
  <dc:description/>
  <cp:lastModifiedBy>ledjana gjoni</cp:lastModifiedBy>
  <cp:revision>126</cp:revision>
  <dcterms:created xsi:type="dcterms:W3CDTF">2021-05-21T09:25:00Z</dcterms:created>
  <dcterms:modified xsi:type="dcterms:W3CDTF">2026-04-29T08:18:00Z</dcterms:modified>
</cp:coreProperties>
</file>