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A985F" w14:textId="77777777" w:rsidR="002F5E8F" w:rsidRDefault="0047268C" w:rsidP="002F5E8F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  <w:r w:rsidRPr="00CE782E">
        <w:rPr>
          <w:rFonts w:ascii="Times New Roman" w:eastAsia="Calibri" w:hAnsi="Times New Roman" w:cs="Times New Roman"/>
          <w:b/>
          <w:sz w:val="24"/>
          <w:szCs w:val="24"/>
          <w:lang w:val="sq-AL"/>
        </w:rPr>
        <w:t>KOMENTE DHE REKOMANDIM</w:t>
      </w:r>
      <w:r w:rsidR="002241ED" w:rsidRPr="00CE782E">
        <w:rPr>
          <w:rFonts w:ascii="Times New Roman" w:eastAsia="Calibri" w:hAnsi="Times New Roman" w:cs="Times New Roman"/>
          <w:b/>
          <w:sz w:val="24"/>
          <w:szCs w:val="24"/>
          <w:lang w:val="sq-AL"/>
        </w:rPr>
        <w:t xml:space="preserve">E MBI RAPORTIN E MONITORIMIT </w:t>
      </w:r>
    </w:p>
    <w:p w14:paraId="0380ECE8" w14:textId="2A9E8BF9" w:rsidR="002F5E8F" w:rsidRDefault="002241ED" w:rsidP="002F5E8F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  <w:r w:rsidRPr="00CE782E">
        <w:rPr>
          <w:rFonts w:ascii="Times New Roman" w:eastAsia="Calibri" w:hAnsi="Times New Roman" w:cs="Times New Roman"/>
          <w:b/>
          <w:sz w:val="24"/>
          <w:szCs w:val="24"/>
          <w:lang w:val="sq-AL"/>
        </w:rPr>
        <w:t>P</w:t>
      </w:r>
      <w:r w:rsidR="00535FF5" w:rsidRPr="00CE782E">
        <w:rPr>
          <w:rFonts w:ascii="Times New Roman" w:eastAsia="Calibri" w:hAnsi="Times New Roman" w:cs="Times New Roman"/>
          <w:b/>
          <w:sz w:val="24"/>
          <w:szCs w:val="24"/>
          <w:lang w:val="sq-AL"/>
        </w:rPr>
        <w:t>Ë</w:t>
      </w:r>
      <w:r w:rsidRPr="00CE782E">
        <w:rPr>
          <w:rFonts w:ascii="Times New Roman" w:eastAsia="Calibri" w:hAnsi="Times New Roman" w:cs="Times New Roman"/>
          <w:b/>
          <w:sz w:val="24"/>
          <w:szCs w:val="24"/>
          <w:lang w:val="sq-AL"/>
        </w:rPr>
        <w:t xml:space="preserve">R </w:t>
      </w:r>
      <w:r w:rsidR="0047268C" w:rsidRPr="00CE782E">
        <w:rPr>
          <w:rFonts w:ascii="Times New Roman" w:eastAsia="Calibri" w:hAnsi="Times New Roman" w:cs="Times New Roman"/>
          <w:b/>
          <w:sz w:val="24"/>
          <w:szCs w:val="24"/>
          <w:lang w:val="sq-AL"/>
        </w:rPr>
        <w:t>VITI</w:t>
      </w:r>
      <w:r w:rsidR="007E26CE">
        <w:rPr>
          <w:rFonts w:ascii="Times New Roman" w:eastAsia="Calibri" w:hAnsi="Times New Roman" w:cs="Times New Roman"/>
          <w:b/>
          <w:sz w:val="24"/>
          <w:szCs w:val="24"/>
          <w:lang w:val="sq-AL"/>
        </w:rPr>
        <w:t>N</w:t>
      </w:r>
      <w:r w:rsidR="00313181" w:rsidRPr="00CE782E">
        <w:rPr>
          <w:rFonts w:ascii="Times New Roman" w:eastAsia="Calibri" w:hAnsi="Times New Roman" w:cs="Times New Roman"/>
          <w:b/>
          <w:sz w:val="24"/>
          <w:szCs w:val="24"/>
          <w:lang w:val="sq-AL"/>
        </w:rPr>
        <w:t xml:space="preserve"> </w:t>
      </w:r>
      <w:r w:rsidR="0047268C" w:rsidRPr="00CE782E">
        <w:rPr>
          <w:rFonts w:ascii="Times New Roman" w:eastAsia="Calibri" w:hAnsi="Times New Roman" w:cs="Times New Roman"/>
          <w:b/>
          <w:sz w:val="24"/>
          <w:szCs w:val="24"/>
          <w:lang w:val="sq-AL"/>
        </w:rPr>
        <w:t>20</w:t>
      </w:r>
      <w:r w:rsidRPr="00CE782E">
        <w:rPr>
          <w:rFonts w:ascii="Times New Roman" w:eastAsia="Calibri" w:hAnsi="Times New Roman" w:cs="Times New Roman"/>
          <w:b/>
          <w:sz w:val="24"/>
          <w:szCs w:val="24"/>
          <w:lang w:val="sq-AL"/>
        </w:rPr>
        <w:t>2</w:t>
      </w:r>
      <w:r w:rsidR="002F5E8F">
        <w:rPr>
          <w:rFonts w:ascii="Times New Roman" w:eastAsia="Calibri" w:hAnsi="Times New Roman" w:cs="Times New Roman"/>
          <w:b/>
          <w:sz w:val="24"/>
          <w:szCs w:val="24"/>
          <w:lang w:val="sq-AL"/>
        </w:rPr>
        <w:t>5</w:t>
      </w:r>
      <w:r w:rsidR="008C33CF" w:rsidRPr="00CE782E">
        <w:rPr>
          <w:rFonts w:ascii="Times New Roman" w:eastAsia="Calibri" w:hAnsi="Times New Roman" w:cs="Times New Roman"/>
          <w:b/>
          <w:sz w:val="24"/>
          <w:szCs w:val="24"/>
          <w:lang w:val="sq-AL"/>
        </w:rPr>
        <w:t xml:space="preserve"> </w:t>
      </w:r>
      <w:r w:rsidR="0047268C" w:rsidRPr="00CE782E">
        <w:rPr>
          <w:rFonts w:ascii="Times New Roman" w:eastAsia="Calibri" w:hAnsi="Times New Roman" w:cs="Times New Roman"/>
          <w:b/>
          <w:sz w:val="24"/>
          <w:szCs w:val="24"/>
          <w:lang w:val="sq-AL"/>
        </w:rPr>
        <w:t xml:space="preserve">PËR </w:t>
      </w:r>
    </w:p>
    <w:p w14:paraId="3B8BA48E" w14:textId="14044969" w:rsidR="0047268C" w:rsidRPr="00CE782E" w:rsidRDefault="0047268C" w:rsidP="002F5E8F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  <w:r w:rsidRPr="00CE782E">
        <w:rPr>
          <w:rFonts w:ascii="Times New Roman" w:eastAsia="Calibri" w:hAnsi="Times New Roman" w:cs="Times New Roman"/>
          <w:b/>
          <w:sz w:val="24"/>
          <w:szCs w:val="24"/>
          <w:lang w:val="sq-AL"/>
        </w:rPr>
        <w:t>KOMISIONERIN PËR MBIKQYRJEN E SHËRBIMIT CIVIL</w:t>
      </w:r>
    </w:p>
    <w:p w14:paraId="7734A41D" w14:textId="77777777" w:rsidR="0047268C" w:rsidRPr="00CE782E" w:rsidRDefault="0047268C" w:rsidP="0047268C">
      <w:pPr>
        <w:numPr>
          <w:ilvl w:val="0"/>
          <w:numId w:val="3"/>
        </w:numPr>
        <w:ind w:left="810" w:hanging="450"/>
        <w:jc w:val="both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  <w:r w:rsidRPr="00CE782E">
        <w:rPr>
          <w:rFonts w:ascii="Times New Roman" w:eastAsia="Calibri" w:hAnsi="Times New Roman" w:cs="Times New Roman"/>
          <w:b/>
          <w:sz w:val="24"/>
          <w:szCs w:val="24"/>
          <w:lang w:val="sq-AL"/>
        </w:rPr>
        <w:t>Vlerësim i përgjithshëm i qëllimeve dhe objektivave të politikës si dhe performanca e  produkteve kryesore</w:t>
      </w:r>
    </w:p>
    <w:p w14:paraId="3988E625" w14:textId="49C0BB92" w:rsidR="0047268C" w:rsidRPr="00CE782E" w:rsidRDefault="0047268C" w:rsidP="0047268C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</w:pPr>
      <w:r w:rsidRPr="00CE782E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Komisioneri për Mbikqyrjen e Sherbimit Civil, me fondet buxhetore të miratuara, për vitin 202</w:t>
      </w:r>
      <w:r w:rsidR="002F5E8F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5</w:t>
      </w:r>
      <w:r w:rsidRPr="00CE782E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, ka hartuar, programuar dhe zhvilluar politikat për përmbushjen me cilësi të lartë dhe në kohë të detyrimeve, në funksion të garantimit e respektimit të ligjit për shërbimin civil në institucionet qendrore, të pavarura dhe ato vendore, që përfshihen në shërbimin civil, si dhe unifikimin e zbatimit të tij, nëpërmjet realizimit të procesit të mbikqyrjes dhe mbrojtjes së të drejtave të nëpunësit civil.</w:t>
      </w:r>
    </w:p>
    <w:p w14:paraId="53F1EBC9" w14:textId="56202A88" w:rsidR="0047268C" w:rsidRPr="00CE782E" w:rsidRDefault="0047268C" w:rsidP="0047268C">
      <w:pPr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CE782E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 xml:space="preserve"> Programi për të cilin ky institucion administron fondet për vitin 202</w:t>
      </w:r>
      <w:r w:rsidR="002F5E8F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5</w:t>
      </w:r>
      <w:r w:rsidRPr="00CE782E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 xml:space="preserve"> është: </w:t>
      </w:r>
    </w:p>
    <w:p w14:paraId="02EF6FC4" w14:textId="77777777" w:rsidR="0047268C" w:rsidRPr="00CE782E" w:rsidRDefault="0047268C" w:rsidP="0047268C">
      <w:pPr>
        <w:widowControl w:val="0"/>
        <w:spacing w:after="0" w:line="240" w:lineRule="auto"/>
        <w:ind w:firstLine="450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CE782E">
        <w:rPr>
          <w:rFonts w:ascii="Times New Roman" w:eastAsia="Calibri" w:hAnsi="Times New Roman" w:cs="Times New Roman"/>
          <w:sz w:val="24"/>
          <w:szCs w:val="24"/>
          <w:lang w:val="sq-AL"/>
        </w:rPr>
        <w:t>1. Programi “Planifikim Menaxhim Administrim”</w:t>
      </w:r>
    </w:p>
    <w:p w14:paraId="369F5B57" w14:textId="77777777" w:rsidR="0047268C" w:rsidRPr="00CE782E" w:rsidRDefault="0047268C" w:rsidP="0047268C">
      <w:pPr>
        <w:widowControl w:val="0"/>
        <w:spacing w:after="0" w:line="240" w:lineRule="auto"/>
        <w:ind w:firstLine="450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14:paraId="4CF791BF" w14:textId="6E546BA7" w:rsidR="00CB59FC" w:rsidRDefault="00060CCF" w:rsidP="006B6F17">
      <w:pPr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>
        <w:rPr>
          <w:rFonts w:ascii="Times New Roman" w:eastAsia="Calibri" w:hAnsi="Times New Roman" w:cs="Times New Roman"/>
          <w:b/>
          <w:iCs/>
          <w:sz w:val="24"/>
          <w:szCs w:val="24"/>
          <w:lang w:val="sq-AL"/>
        </w:rPr>
        <w:t>P</w:t>
      </w:r>
      <w:r w:rsidR="0047268C" w:rsidRPr="00CE782E">
        <w:rPr>
          <w:rFonts w:ascii="Times New Roman" w:eastAsia="Calibri" w:hAnsi="Times New Roman" w:cs="Times New Roman"/>
          <w:b/>
          <w:iCs/>
          <w:sz w:val="24"/>
          <w:szCs w:val="24"/>
          <w:lang w:val="sq-AL"/>
        </w:rPr>
        <w:t>rogrami</w:t>
      </w:r>
      <w:r w:rsidR="0047268C" w:rsidRPr="00CE782E">
        <w:rPr>
          <w:rFonts w:ascii="Times New Roman" w:eastAsia="Calibri" w:hAnsi="Times New Roman" w:cs="Times New Roman"/>
          <w:b/>
          <w:i/>
          <w:sz w:val="24"/>
          <w:szCs w:val="24"/>
          <w:lang w:val="sq-AL"/>
        </w:rPr>
        <w:t xml:space="preserve"> </w:t>
      </w:r>
      <w:r w:rsidR="0047268C" w:rsidRPr="00CE782E">
        <w:rPr>
          <w:rFonts w:ascii="Times New Roman" w:eastAsia="Calibri" w:hAnsi="Times New Roman" w:cs="Times New Roman"/>
          <w:b/>
          <w:i/>
          <w:iCs/>
          <w:sz w:val="24"/>
          <w:szCs w:val="24"/>
          <w:lang w:val="sq-AL"/>
        </w:rPr>
        <w:t>“Planifikim Menaxhim Administrim”</w:t>
      </w:r>
      <w:r w:rsidR="000D6473" w:rsidRPr="00CE782E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ka si qëllim </w:t>
      </w:r>
      <w:r w:rsidR="00384D4F" w:rsidRPr="00384D4F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‘Garantimin dhe respektimin e ligjit për shërbimin civil në institucionet qendrore, të pavarura dhe ato vendore’</w:t>
      </w:r>
      <w:r w:rsidR="00384D4F" w:rsidRPr="00384D4F">
        <w:rPr>
          <w:rFonts w:ascii="Times New Roman" w:eastAsia="Calibri" w:hAnsi="Times New Roman" w:cs="Times New Roman"/>
          <w:sz w:val="24"/>
          <w:szCs w:val="24"/>
          <w:lang w:val="sq-AL"/>
        </w:rPr>
        <w:t>.</w:t>
      </w:r>
      <w:r w:rsidR="00384D4F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Ky qëllim synohet të realizohet pëmes objektivit </w:t>
      </w:r>
      <w:r w:rsidR="006B6F17">
        <w:rPr>
          <w:rFonts w:ascii="Times New Roman" w:eastAsia="Calibri" w:hAnsi="Times New Roman" w:cs="Times New Roman"/>
          <w:sz w:val="24"/>
          <w:szCs w:val="24"/>
          <w:lang w:val="sq-AL"/>
        </w:rPr>
        <w:t>‘</w:t>
      </w:r>
      <w:r w:rsidR="00384D4F" w:rsidRPr="006B6F17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Rritja e nivelit te zbatimit te ligjit per sherbimin civil’</w:t>
      </w:r>
      <w:r w:rsidR="00CB59FC">
        <w:rPr>
          <w:rFonts w:ascii="Times New Roman" w:eastAsia="Calibri" w:hAnsi="Times New Roman" w:cs="Times New Roman"/>
          <w:sz w:val="24"/>
          <w:szCs w:val="24"/>
          <w:lang w:val="sq-AL"/>
        </w:rPr>
        <w:t>.</w:t>
      </w:r>
      <w:r w:rsidR="0047268C" w:rsidRPr="00CE782E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</w:p>
    <w:p w14:paraId="19D3157C" w14:textId="14C88881" w:rsidR="00AA442E" w:rsidRPr="00CE782E" w:rsidRDefault="00CB59FC" w:rsidP="006F08E4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</w:pPr>
      <w:r>
        <w:rPr>
          <w:rFonts w:ascii="Times New Roman" w:eastAsia="Calibri" w:hAnsi="Times New Roman" w:cs="Times New Roman"/>
          <w:sz w:val="24"/>
          <w:szCs w:val="24"/>
          <w:lang w:val="sq-AL"/>
        </w:rPr>
        <w:t>N</w:t>
      </w:r>
      <w:r w:rsidR="0067294D" w:rsidRPr="00CE782E">
        <w:rPr>
          <w:rFonts w:ascii="Times New Roman" w:eastAsia="Calibri" w:hAnsi="Times New Roman" w:cs="Times New Roman"/>
          <w:sz w:val="24"/>
          <w:szCs w:val="24"/>
          <w:lang w:val="sq-AL"/>
        </w:rPr>
        <w:t>ga p</w:t>
      </w:r>
      <w:r w:rsidR="00F06702" w:rsidRPr="00CE782E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67294D" w:rsidRPr="00CE782E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rdorimi i fondeve </w:t>
      </w:r>
      <w:r w:rsidR="002F5E8F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për </w:t>
      </w:r>
      <w:r w:rsidR="0067294D" w:rsidRPr="00CE782E">
        <w:rPr>
          <w:rFonts w:ascii="Times New Roman" w:eastAsia="Calibri" w:hAnsi="Times New Roman" w:cs="Times New Roman"/>
          <w:sz w:val="24"/>
          <w:szCs w:val="24"/>
          <w:lang w:val="sq-AL"/>
        </w:rPr>
        <w:t>202</w:t>
      </w:r>
      <w:r w:rsidR="002F5E8F">
        <w:rPr>
          <w:rFonts w:ascii="Times New Roman" w:eastAsia="Calibri" w:hAnsi="Times New Roman" w:cs="Times New Roman"/>
          <w:sz w:val="24"/>
          <w:szCs w:val="24"/>
          <w:lang w:val="sq-AL"/>
        </w:rPr>
        <w:t>5</w:t>
      </w:r>
      <w:r w:rsidR="0067294D" w:rsidRPr="00CE782E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, </w:t>
      </w:r>
      <w:r w:rsidR="006F08E4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janë realizuar </w:t>
      </w:r>
      <w:r w:rsidR="0067294D" w:rsidRPr="00CE782E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="00AA442E" w:rsidRPr="00C47007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inspektime dhe mbikëqyrje, me një kosto </w:t>
      </w:r>
      <w:r w:rsidR="00542402" w:rsidRPr="00C47007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faktike </w:t>
      </w:r>
      <w:r w:rsidR="00AA442E" w:rsidRPr="00C47007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prej </w:t>
      </w:r>
      <w:r w:rsidR="00C03969">
        <w:rPr>
          <w:rFonts w:ascii="Times New Roman" w:eastAsia="Calibri" w:hAnsi="Times New Roman" w:cs="Times New Roman"/>
          <w:sz w:val="24"/>
          <w:szCs w:val="24"/>
          <w:lang w:val="sq-AL"/>
        </w:rPr>
        <w:t>89</w:t>
      </w:r>
      <w:r w:rsidR="00AA442E" w:rsidRPr="00C47007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milionë lekë.</w:t>
      </w:r>
    </w:p>
    <w:p w14:paraId="37E9DA95" w14:textId="77777777" w:rsidR="0047268C" w:rsidRPr="00CE782E" w:rsidRDefault="0047268C" w:rsidP="0047268C">
      <w:pPr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CE782E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“</w:t>
      </w:r>
      <w:r w:rsidRPr="00CE782E">
        <w:rPr>
          <w:rFonts w:ascii="Times New Roman" w:eastAsia="Calibri" w:hAnsi="Times New Roman" w:cs="Times New Roman"/>
          <w:b/>
          <w:sz w:val="24"/>
          <w:szCs w:val="24"/>
          <w:lang w:val="sq-AL"/>
        </w:rPr>
        <w:t>Karakteristika kryesore të performancës së shpenzimeve</w:t>
      </w:r>
      <w:r w:rsidRPr="00CE782E">
        <w:rPr>
          <w:rFonts w:ascii="Times New Roman" w:eastAsia="Calibri" w:hAnsi="Times New Roman" w:cs="Times New Roman"/>
          <w:sz w:val="24"/>
          <w:szCs w:val="24"/>
          <w:lang w:val="sq-AL"/>
        </w:rPr>
        <w:t>”</w:t>
      </w:r>
    </w:p>
    <w:p w14:paraId="21736451" w14:textId="31A070FC" w:rsidR="0047268C" w:rsidRDefault="0047268C" w:rsidP="0047268C">
      <w:pPr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CE782E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Në fund të </w:t>
      </w:r>
      <w:r w:rsidR="00C03969">
        <w:rPr>
          <w:rFonts w:ascii="Times New Roman" w:eastAsia="Calibri" w:hAnsi="Times New Roman" w:cs="Times New Roman"/>
          <w:sz w:val="24"/>
          <w:szCs w:val="24"/>
          <w:lang w:val="sq-AL"/>
        </w:rPr>
        <w:t>vitit 2025</w:t>
      </w:r>
      <w:r w:rsidRPr="00CE782E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, situata në lidhje me realizimin e shpenzimeve të buxhetit, </w:t>
      </w:r>
      <w:r w:rsidR="00123726" w:rsidRPr="00CE782E">
        <w:rPr>
          <w:rFonts w:ascii="Times New Roman" w:eastAsia="Calibri" w:hAnsi="Times New Roman" w:cs="Times New Roman"/>
          <w:sz w:val="24"/>
          <w:szCs w:val="24"/>
          <w:u w:val="single"/>
          <w:lang w:val="sq-AL"/>
        </w:rPr>
        <w:t xml:space="preserve">krahasuar me planin për vitin </w:t>
      </w:r>
      <w:r w:rsidRPr="00CE782E">
        <w:rPr>
          <w:rFonts w:ascii="Times New Roman" w:eastAsia="Calibri" w:hAnsi="Times New Roman" w:cs="Times New Roman"/>
          <w:sz w:val="24"/>
          <w:szCs w:val="24"/>
          <w:u w:val="single"/>
          <w:lang w:val="sq-AL"/>
        </w:rPr>
        <w:t>20</w:t>
      </w:r>
      <w:r w:rsidR="00C876E0" w:rsidRPr="00CE782E">
        <w:rPr>
          <w:rFonts w:ascii="Times New Roman" w:eastAsia="Calibri" w:hAnsi="Times New Roman" w:cs="Times New Roman"/>
          <w:sz w:val="24"/>
          <w:szCs w:val="24"/>
          <w:u w:val="single"/>
          <w:lang w:val="sq-AL"/>
        </w:rPr>
        <w:t>2</w:t>
      </w:r>
      <w:r w:rsidR="002F5E8F">
        <w:rPr>
          <w:rFonts w:ascii="Times New Roman" w:eastAsia="Calibri" w:hAnsi="Times New Roman" w:cs="Times New Roman"/>
          <w:sz w:val="24"/>
          <w:szCs w:val="24"/>
          <w:u w:val="single"/>
          <w:lang w:val="sq-AL"/>
        </w:rPr>
        <w:t>5</w:t>
      </w:r>
      <w:r w:rsidRPr="00CE782E">
        <w:rPr>
          <w:rFonts w:ascii="Times New Roman" w:eastAsia="Calibri" w:hAnsi="Times New Roman" w:cs="Times New Roman"/>
          <w:sz w:val="24"/>
          <w:szCs w:val="24"/>
          <w:u w:val="single"/>
          <w:lang w:val="sq-AL"/>
        </w:rPr>
        <w:t>,</w:t>
      </w:r>
      <w:r w:rsidRPr="00CE782E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sipas</w:t>
      </w:r>
      <w:r w:rsidR="002F5E8F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Pr="00CE782E">
        <w:rPr>
          <w:rFonts w:ascii="Times New Roman" w:eastAsia="Calibri" w:hAnsi="Times New Roman" w:cs="Times New Roman"/>
          <w:sz w:val="24"/>
          <w:szCs w:val="24"/>
          <w:lang w:val="sq-AL"/>
        </w:rPr>
        <w:t>raportit të monitorimit të paraqitur nga ana e institucionit, paraqitet si më poshtë:</w:t>
      </w:r>
    </w:p>
    <w:p w14:paraId="15601612" w14:textId="1E334125" w:rsidR="00864F76" w:rsidRPr="00864F76" w:rsidRDefault="00C03969" w:rsidP="00864F76">
      <w:pPr>
        <w:ind w:left="-1080"/>
        <w:jc w:val="both"/>
        <w:rPr>
          <w:rFonts w:ascii="Times New Roman" w:eastAsia="Calibri" w:hAnsi="Times New Roman" w:cs="Times New Roman"/>
          <w:i/>
          <w:iCs/>
          <w:sz w:val="20"/>
          <w:szCs w:val="20"/>
          <w:u w:val="single"/>
          <w:lang w:val="sq-AL"/>
        </w:rPr>
      </w:pPr>
      <w:r w:rsidRPr="00C03969">
        <w:rPr>
          <w:noProof/>
        </w:rPr>
        <w:drawing>
          <wp:anchor distT="0" distB="0" distL="114300" distR="114300" simplePos="0" relativeHeight="251663360" behindDoc="0" locked="0" layoutInCell="1" allowOverlap="1" wp14:anchorId="527C7215" wp14:editId="50A9491E">
            <wp:simplePos x="0" y="0"/>
            <wp:positionH relativeFrom="margin">
              <wp:posOffset>-811530</wp:posOffset>
            </wp:positionH>
            <wp:positionV relativeFrom="margin">
              <wp:posOffset>6018530</wp:posOffset>
            </wp:positionV>
            <wp:extent cx="7554595" cy="1152525"/>
            <wp:effectExtent l="0" t="0" r="8255" b="9525"/>
            <wp:wrapSquare wrapText="bothSides"/>
            <wp:docPr id="1326617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459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4F76" w:rsidRPr="00864F76">
        <w:rPr>
          <w:rFonts w:ascii="Times New Roman" w:eastAsia="Calibri" w:hAnsi="Times New Roman" w:cs="Times New Roman"/>
          <w:i/>
          <w:iCs/>
          <w:sz w:val="20"/>
          <w:szCs w:val="20"/>
          <w:u w:val="single"/>
          <w:lang w:val="sq-AL"/>
        </w:rPr>
        <w:t>Tabela: Realizimi i shpenzimeve sipas programeve buxhetore (në mijë lekë)</w:t>
      </w:r>
      <w:r w:rsidR="00864F76" w:rsidRPr="00BC5912">
        <w:rPr>
          <w:rFonts w:ascii="Times New Roman" w:eastAsia="Calibri" w:hAnsi="Times New Roman" w:cs="Times New Roman"/>
          <w:i/>
          <w:iCs/>
          <w:sz w:val="20"/>
          <w:szCs w:val="20"/>
          <w:lang w:val="sq-AL"/>
        </w:rPr>
        <w:t>:</w:t>
      </w:r>
    </w:p>
    <w:p w14:paraId="026F51BC" w14:textId="5E0C700B" w:rsidR="00C47007" w:rsidRDefault="00C47007" w:rsidP="0047268C">
      <w:pPr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14:paraId="23193E76" w14:textId="0C0FC34B" w:rsidR="00C03969" w:rsidRPr="00C03969" w:rsidRDefault="00C03969" w:rsidP="00C03969">
      <w:pPr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C03969">
        <w:rPr>
          <w:rFonts w:ascii="Times New Roman" w:eastAsia="Calibri" w:hAnsi="Times New Roman" w:cs="Times New Roman"/>
          <w:sz w:val="24"/>
          <w:szCs w:val="24"/>
          <w:lang w:val="sq-AL"/>
        </w:rPr>
        <w:t>Për vitin 2025, plani fillestar i shpenzimeve buxhetore për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KMSHC </w:t>
      </w:r>
      <w:r w:rsidRPr="00C03969">
        <w:rPr>
          <w:rFonts w:ascii="Times New Roman" w:eastAsia="Calibri" w:hAnsi="Times New Roman" w:cs="Times New Roman"/>
          <w:sz w:val="24"/>
          <w:szCs w:val="24"/>
          <w:lang w:val="sq-AL"/>
        </w:rPr>
        <w:t>është miratuar në vlerën 98,381 mijë lekë, ndërsa plani i rishikuar është reduktuar në 92,933 mijë lekë, duke reflektuar një ulje neto prej 5,448 mijë lekë gjatë vitit buxhetor.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Pr="00C03969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Shpenzimet faktike për periudhën raportuese </w:t>
      </w:r>
      <w:r w:rsidRPr="00C03969">
        <w:rPr>
          <w:rFonts w:ascii="Times New Roman" w:eastAsia="Calibri" w:hAnsi="Times New Roman" w:cs="Times New Roman"/>
          <w:sz w:val="24"/>
          <w:szCs w:val="24"/>
          <w:lang w:val="sq-AL"/>
        </w:rPr>
        <w:lastRenderedPageBreak/>
        <w:t>arrijnë në 89,260 mijë lekë, që përfaqëson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, </w:t>
      </w:r>
      <w:r w:rsidRPr="00C03969">
        <w:rPr>
          <w:rFonts w:ascii="Times New Roman" w:eastAsia="Calibri" w:hAnsi="Times New Roman" w:cs="Times New Roman"/>
          <w:sz w:val="24"/>
          <w:szCs w:val="24"/>
          <w:lang w:val="sq-AL"/>
        </w:rPr>
        <w:t>91% të planit fillestar, dhe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Pr="00C03969">
        <w:rPr>
          <w:rFonts w:ascii="Times New Roman" w:eastAsia="Calibri" w:hAnsi="Times New Roman" w:cs="Times New Roman"/>
          <w:sz w:val="24"/>
          <w:szCs w:val="24"/>
          <w:lang w:val="sq-AL"/>
        </w:rPr>
        <w:t>96% të planit të rishikuar.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Pr="00C03969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Ky nivel realizimi tregon një 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>ecuri t</w:t>
      </w:r>
      <w:r w:rsidR="00C025F2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mir</w:t>
      </w:r>
      <w:r w:rsidR="00C025F2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t</w:t>
      </w:r>
      <w:r w:rsidR="00C025F2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realizimit t</w:t>
      </w:r>
      <w:r w:rsidR="00C025F2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shpenzimeve t</w:t>
      </w:r>
      <w:r w:rsidR="00C025F2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planifikuara p</w:t>
      </w:r>
      <w:r w:rsidR="00C025F2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>r vitin 2025</w:t>
      </w:r>
      <w:r w:rsidRPr="00C03969">
        <w:rPr>
          <w:rFonts w:ascii="Times New Roman" w:eastAsia="Calibri" w:hAnsi="Times New Roman" w:cs="Times New Roman"/>
          <w:sz w:val="24"/>
          <w:szCs w:val="24"/>
          <w:lang w:val="sq-AL"/>
        </w:rPr>
        <w:t>.</w:t>
      </w:r>
    </w:p>
    <w:p w14:paraId="7058FCE2" w14:textId="0302B1AB" w:rsidR="00C03969" w:rsidRDefault="00C03969" w:rsidP="00C03969">
      <w:pPr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C03969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Shpenzimet korrente janë realizuar në masën 93% ndaj planit fillestar dhe 98% ndaj planit të rishikuar, duke reflektuar një 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ecuri </w:t>
      </w:r>
      <w:r w:rsidRPr="00C03969">
        <w:rPr>
          <w:rFonts w:ascii="Times New Roman" w:eastAsia="Calibri" w:hAnsi="Times New Roman" w:cs="Times New Roman"/>
          <w:sz w:val="24"/>
          <w:szCs w:val="24"/>
          <w:lang w:val="sq-AL"/>
        </w:rPr>
        <w:t>të qëndruesh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>me</w:t>
      </w:r>
      <w:r w:rsidRPr="00C03969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të 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>realizimit t</w:t>
      </w:r>
      <w:r w:rsidR="00C025F2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Pr="00C03969">
        <w:rPr>
          <w:rFonts w:ascii="Times New Roman" w:eastAsia="Calibri" w:hAnsi="Times New Roman" w:cs="Times New Roman"/>
          <w:sz w:val="24"/>
          <w:szCs w:val="24"/>
          <w:lang w:val="sq-AL"/>
        </w:rPr>
        <w:t>shpenzimeve operative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>. Nd</w:t>
      </w:r>
      <w:r w:rsidR="00C025F2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>rkoh</w:t>
      </w:r>
      <w:r w:rsidR="00C025F2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>, s</w:t>
      </w:r>
      <w:r w:rsidRPr="00C03969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hpenzimet kapitale nuk 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>kan</w:t>
      </w:r>
      <w:r w:rsidR="00C025F2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C03969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realizim për vitin 2025 (0%), si ndaj planit fillestar ashtu edhe ndaj atij të rishikuar, çka tregon se 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>projektet e investimeve</w:t>
      </w:r>
      <w:r w:rsidRPr="00C03969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të planifikuara nuk janë 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>realizuar</w:t>
      </w:r>
      <w:r w:rsidRPr="00C03969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gjatë vitit buxhetor.</w:t>
      </w:r>
    </w:p>
    <w:p w14:paraId="3E3637DC" w14:textId="0D0743EA" w:rsidR="00C03969" w:rsidRDefault="00C03969" w:rsidP="00C03969">
      <w:pPr>
        <w:ind w:left="-720"/>
        <w:jc w:val="both"/>
        <w:rPr>
          <w:rFonts w:ascii="Times New Roman" w:eastAsia="Calibri" w:hAnsi="Times New Roman" w:cs="Times New Roman"/>
          <w:i/>
          <w:sz w:val="20"/>
          <w:szCs w:val="20"/>
          <w:u w:val="single"/>
          <w:lang w:val="sq-AL"/>
        </w:rPr>
      </w:pPr>
      <w:r w:rsidRPr="00C03969">
        <w:rPr>
          <w:noProof/>
        </w:rPr>
        <w:drawing>
          <wp:anchor distT="0" distB="0" distL="114300" distR="114300" simplePos="0" relativeHeight="251666432" behindDoc="0" locked="0" layoutInCell="1" allowOverlap="1" wp14:anchorId="2A17D895" wp14:editId="5644E6F2">
            <wp:simplePos x="0" y="0"/>
            <wp:positionH relativeFrom="margin">
              <wp:posOffset>-768350</wp:posOffset>
            </wp:positionH>
            <wp:positionV relativeFrom="margin">
              <wp:posOffset>2181860</wp:posOffset>
            </wp:positionV>
            <wp:extent cx="7400925" cy="2975610"/>
            <wp:effectExtent l="0" t="0" r="9525" b="0"/>
            <wp:wrapSquare wrapText="bothSides"/>
            <wp:docPr id="177432453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0925" cy="297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0F8E" w:rsidRPr="00E20F8E">
        <w:rPr>
          <w:rFonts w:ascii="Times New Roman" w:eastAsia="Calibri" w:hAnsi="Times New Roman" w:cs="Times New Roman"/>
          <w:i/>
          <w:sz w:val="20"/>
          <w:szCs w:val="20"/>
          <w:u w:val="single"/>
          <w:lang w:val="sq-AL"/>
        </w:rPr>
        <w:t>Tabela: Realizimi i shpenzimeve sipas klasifikimit ekonomik (në mijë lekë)</w:t>
      </w:r>
      <w:r w:rsidR="00E20F8E" w:rsidRPr="00BC5912">
        <w:rPr>
          <w:rFonts w:ascii="Times New Roman" w:eastAsia="Calibri" w:hAnsi="Times New Roman" w:cs="Times New Roman"/>
          <w:i/>
          <w:sz w:val="20"/>
          <w:szCs w:val="20"/>
          <w:lang w:val="sq-AL"/>
        </w:rPr>
        <w:t>:</w:t>
      </w:r>
    </w:p>
    <w:p w14:paraId="2C86259B" w14:textId="766147AA" w:rsidR="00C03969" w:rsidRPr="00C03969" w:rsidRDefault="00C03969" w:rsidP="00C03969">
      <w:pPr>
        <w:ind w:left="-720"/>
        <w:jc w:val="both"/>
        <w:rPr>
          <w:noProof/>
          <w:lang w:val="sq-AL"/>
        </w:rPr>
      </w:pPr>
    </w:p>
    <w:p w14:paraId="5595BC62" w14:textId="4660CA61" w:rsidR="00690C3B" w:rsidRPr="00C03969" w:rsidRDefault="00690C3B" w:rsidP="00C03969">
      <w:pPr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C03969">
        <w:rPr>
          <w:rFonts w:ascii="Times New Roman" w:eastAsia="Calibri" w:hAnsi="Times New Roman" w:cs="Times New Roman"/>
          <w:sz w:val="24"/>
          <w:szCs w:val="24"/>
          <w:lang w:val="sq-AL"/>
        </w:rPr>
        <w:t>Lidhur me realizimin e shpenzimeve sipas z</w:t>
      </w:r>
      <w:r w:rsidR="00024B32" w:rsidRPr="00C03969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C03969">
        <w:rPr>
          <w:rFonts w:ascii="Times New Roman" w:eastAsia="Calibri" w:hAnsi="Times New Roman" w:cs="Times New Roman"/>
          <w:sz w:val="24"/>
          <w:szCs w:val="24"/>
          <w:lang w:val="sq-AL"/>
        </w:rPr>
        <w:t>rave t</w:t>
      </w:r>
      <w:r w:rsidR="00024B32" w:rsidRPr="00C03969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C03969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shpenzimeve t</w:t>
      </w:r>
      <w:r w:rsidR="00024B32" w:rsidRPr="00C03969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C03969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paraqitura n</w:t>
      </w:r>
      <w:r w:rsidR="00024B32" w:rsidRPr="00C03969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C03969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tabelen e m</w:t>
      </w:r>
      <w:r w:rsidR="00024B32" w:rsidRPr="00C03969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C03969">
        <w:rPr>
          <w:rFonts w:ascii="Times New Roman" w:eastAsia="Calibri" w:hAnsi="Times New Roman" w:cs="Times New Roman"/>
          <w:sz w:val="24"/>
          <w:szCs w:val="24"/>
          <w:lang w:val="sq-AL"/>
        </w:rPr>
        <w:t>sip</w:t>
      </w:r>
      <w:r w:rsidR="00024B32" w:rsidRPr="00C03969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C03969">
        <w:rPr>
          <w:rFonts w:ascii="Times New Roman" w:eastAsia="Calibri" w:hAnsi="Times New Roman" w:cs="Times New Roman"/>
          <w:sz w:val="24"/>
          <w:szCs w:val="24"/>
          <w:lang w:val="sq-AL"/>
        </w:rPr>
        <w:t>rme, evidentohet:</w:t>
      </w:r>
    </w:p>
    <w:p w14:paraId="15889A37" w14:textId="34B912EB" w:rsidR="00C03969" w:rsidRPr="00C03969" w:rsidRDefault="00C03969" w:rsidP="00C03969">
      <w:pPr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C03969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sq-AL"/>
        </w:rPr>
        <w:t>Shpenzimet korrente</w:t>
      </w:r>
      <w:r w:rsidRPr="00C03969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përbëjnë 100% të shpenzimeve faktike të programit për vitin 2025.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Pr="00C03969">
        <w:rPr>
          <w:rFonts w:ascii="Times New Roman" w:eastAsia="Calibri" w:hAnsi="Times New Roman" w:cs="Times New Roman"/>
          <w:sz w:val="24"/>
          <w:szCs w:val="24"/>
          <w:lang w:val="sq-AL"/>
        </w:rPr>
        <w:t>Plani i rishikuar për shpenzimet korrente është 90,933 mijë lekë, ndërsa realizimi faktik kap vlerën 89,260 mijë lekë, duke rezultuar në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, </w:t>
      </w:r>
      <w:r w:rsidRPr="00C03969">
        <w:rPr>
          <w:rFonts w:ascii="Times New Roman" w:eastAsia="Calibri" w:hAnsi="Times New Roman" w:cs="Times New Roman"/>
          <w:sz w:val="24"/>
          <w:szCs w:val="24"/>
          <w:lang w:val="sq-AL"/>
        </w:rPr>
        <w:t>93% realizim ndaj planit fillestar, dhe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Pr="00C03969">
        <w:rPr>
          <w:rFonts w:ascii="Times New Roman" w:eastAsia="Calibri" w:hAnsi="Times New Roman" w:cs="Times New Roman"/>
          <w:sz w:val="24"/>
          <w:szCs w:val="24"/>
          <w:lang w:val="sq-AL"/>
        </w:rPr>
        <w:t>98% realizim ndaj planit të rishikuar.</w:t>
      </w:r>
    </w:p>
    <w:p w14:paraId="5328F212" w14:textId="0966DDBE" w:rsidR="00C03969" w:rsidRDefault="00C03969" w:rsidP="00C03969">
      <w:pPr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C03969">
        <w:rPr>
          <w:rFonts w:ascii="Times New Roman" w:eastAsia="Calibri" w:hAnsi="Times New Roman" w:cs="Times New Roman"/>
          <w:sz w:val="24"/>
          <w:szCs w:val="24"/>
          <w:lang w:val="sq-AL"/>
        </w:rPr>
        <w:t>Në aspekt strukturor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>, p</w:t>
      </w:r>
      <w:r w:rsidRPr="00C03969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agat zënë zërin kryesor të shpenzimeve korrente, me rreth 70% të totalit, 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>s</w:t>
      </w:r>
      <w:r w:rsidRPr="00C03969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igurimet shoqërore 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me </w:t>
      </w:r>
      <w:r w:rsidRPr="00C03969">
        <w:rPr>
          <w:rFonts w:ascii="Times New Roman" w:eastAsia="Calibri" w:hAnsi="Times New Roman" w:cs="Times New Roman"/>
          <w:sz w:val="24"/>
          <w:szCs w:val="24"/>
          <w:lang w:val="sq-AL"/>
        </w:rPr>
        <w:t>rreth 11% të shpenzimeve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>, m</w:t>
      </w:r>
      <w:r w:rsidRPr="00C03969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allrat dhe shërbimet e tjera zënë rreth 18%, 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>dhe t</w:t>
      </w:r>
      <w:r w:rsidRPr="00C03969">
        <w:rPr>
          <w:rFonts w:ascii="Times New Roman" w:eastAsia="Calibri" w:hAnsi="Times New Roman" w:cs="Times New Roman"/>
          <w:sz w:val="24"/>
          <w:szCs w:val="24"/>
          <w:lang w:val="sq-AL"/>
        </w:rPr>
        <w:t>ransfertat për buxhetin familjar dhe individë paraqiten në nivel minimal, rreth 1%.</w:t>
      </w:r>
    </w:p>
    <w:p w14:paraId="17407048" w14:textId="6F3F0FF3" w:rsidR="00C03969" w:rsidRDefault="00C03969" w:rsidP="00C03969">
      <w:pPr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>
        <w:rPr>
          <w:rFonts w:ascii="Times New Roman" w:eastAsia="Calibri" w:hAnsi="Times New Roman" w:cs="Times New Roman"/>
          <w:sz w:val="24"/>
          <w:szCs w:val="24"/>
          <w:lang w:val="sq-AL"/>
        </w:rPr>
        <w:t>N</w:t>
      </w:r>
      <w:r w:rsidR="00C025F2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Pr="00C03969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sq-AL"/>
        </w:rPr>
        <w:t>shpenzimet kapitale</w:t>
      </w:r>
      <w:r w:rsidRPr="00C03969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u planifikua fondi </w:t>
      </w:r>
      <w:r w:rsidRPr="00C03969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në vlerën 2,000 mijë lekë, </w:t>
      </w:r>
      <w:r w:rsidR="00C025F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për blerje pajisje zyre dhe elektronike, por gjatë vitit nuk ka pasur realizim faktik. </w:t>
      </w:r>
    </w:p>
    <w:p w14:paraId="1FD4DA32" w14:textId="4DD9274C" w:rsidR="00C025F2" w:rsidRPr="00C025F2" w:rsidRDefault="00C025F2" w:rsidP="00C025F2">
      <w:pPr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C025F2">
        <w:rPr>
          <w:rFonts w:ascii="Times New Roman" w:eastAsia="Calibri" w:hAnsi="Times New Roman" w:cs="Times New Roman"/>
          <w:sz w:val="24"/>
          <w:szCs w:val="24"/>
          <w:lang w:val="sq-AL"/>
        </w:rPr>
        <w:lastRenderedPageBreak/>
        <w:t>Numri faktik i punonjësve në fund të vitit 2025 rezulton 36 punonjës, kundrejt 37 punonjësve në planin e miratuar.</w:t>
      </w:r>
    </w:p>
    <w:p w14:paraId="4DD33CCE" w14:textId="2A8C7D00" w:rsidR="0047268C" w:rsidRPr="00CE782E" w:rsidRDefault="0047268C" w:rsidP="0047268C">
      <w:pPr>
        <w:spacing w:line="240" w:lineRule="auto"/>
        <w:ind w:left="900" w:hanging="540"/>
        <w:jc w:val="both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  <w:r w:rsidRPr="00CE782E">
        <w:rPr>
          <w:rFonts w:ascii="Times New Roman" w:eastAsia="Calibri" w:hAnsi="Times New Roman" w:cs="Times New Roman"/>
          <w:b/>
          <w:sz w:val="24"/>
          <w:szCs w:val="24"/>
          <w:lang w:val="sq-AL"/>
        </w:rPr>
        <w:t>III. Informacion mbi volumin dhe madhësinë e ndryshimit të buxhetit.</w:t>
      </w:r>
    </w:p>
    <w:p w14:paraId="73BDDB60" w14:textId="77777777" w:rsidR="00C025F2" w:rsidRDefault="009D06E7" w:rsidP="00A56BB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CE782E">
        <w:rPr>
          <w:rFonts w:ascii="Times New Roman" w:eastAsia="Calibri" w:hAnsi="Times New Roman" w:cs="Times New Roman"/>
          <w:sz w:val="24"/>
          <w:szCs w:val="24"/>
          <w:lang w:val="sq-AL"/>
        </w:rPr>
        <w:t>Për këtë institucion, situata në lidhje me ndryshimet e buxhetit gjatë vitit 202</w:t>
      </w:r>
      <w:r w:rsidR="001E2BCD">
        <w:rPr>
          <w:rFonts w:ascii="Times New Roman" w:eastAsia="Calibri" w:hAnsi="Times New Roman" w:cs="Times New Roman"/>
          <w:sz w:val="24"/>
          <w:szCs w:val="24"/>
          <w:lang w:val="sq-AL"/>
        </w:rPr>
        <w:t>5</w:t>
      </w:r>
      <w:r w:rsidRPr="00CE782E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, duke u nisur nga buxheti fillestar sipas ligjit nr. Nr. </w:t>
      </w:r>
      <w:r w:rsidR="001E2BCD">
        <w:rPr>
          <w:rFonts w:ascii="Times New Roman" w:eastAsia="Calibri" w:hAnsi="Times New Roman" w:cs="Times New Roman"/>
          <w:sz w:val="24"/>
          <w:szCs w:val="24"/>
          <w:lang w:val="sq-AL"/>
        </w:rPr>
        <w:t>115</w:t>
      </w:r>
      <w:r w:rsidR="00DB7F6C" w:rsidRPr="00CE782E">
        <w:rPr>
          <w:rFonts w:ascii="Times New Roman" w:eastAsia="Calibri" w:hAnsi="Times New Roman" w:cs="Times New Roman"/>
          <w:sz w:val="24"/>
          <w:szCs w:val="24"/>
          <w:lang w:val="sq-AL"/>
        </w:rPr>
        <w:t>/202</w:t>
      </w:r>
      <w:r w:rsidR="001E2BCD">
        <w:rPr>
          <w:rFonts w:ascii="Times New Roman" w:eastAsia="Calibri" w:hAnsi="Times New Roman" w:cs="Times New Roman"/>
          <w:sz w:val="24"/>
          <w:szCs w:val="24"/>
          <w:lang w:val="sq-AL"/>
        </w:rPr>
        <w:t>5</w:t>
      </w:r>
      <w:r w:rsidRPr="00CE782E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, </w:t>
      </w:r>
      <w:r w:rsidR="002241ED" w:rsidRPr="00CE782E">
        <w:rPr>
          <w:rFonts w:ascii="Times New Roman" w:eastAsia="Calibri" w:hAnsi="Times New Roman" w:cs="Times New Roman"/>
          <w:sz w:val="24"/>
          <w:szCs w:val="24"/>
          <w:lang w:val="sq-AL"/>
        </w:rPr>
        <w:t>“Për buxhetin e vitit 202</w:t>
      </w:r>
      <w:r w:rsidR="001E2BCD">
        <w:rPr>
          <w:rFonts w:ascii="Times New Roman" w:eastAsia="Calibri" w:hAnsi="Times New Roman" w:cs="Times New Roman"/>
          <w:sz w:val="24"/>
          <w:szCs w:val="24"/>
          <w:lang w:val="sq-AL"/>
        </w:rPr>
        <w:t>5</w:t>
      </w:r>
      <w:r w:rsidR="008B0176" w:rsidRPr="00CE782E">
        <w:rPr>
          <w:rFonts w:ascii="Times New Roman" w:eastAsia="Calibri" w:hAnsi="Times New Roman" w:cs="Times New Roman"/>
          <w:sz w:val="24"/>
          <w:szCs w:val="24"/>
          <w:lang w:val="sq-AL"/>
        </w:rPr>
        <w:t>”,</w:t>
      </w:r>
      <w:r w:rsidRPr="00CE782E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="00304BAB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të ndryshuar, </w:t>
      </w:r>
      <w:r w:rsidRPr="00CE782E">
        <w:rPr>
          <w:rFonts w:ascii="Times New Roman" w:eastAsia="Calibri" w:hAnsi="Times New Roman" w:cs="Times New Roman"/>
          <w:sz w:val="24"/>
          <w:szCs w:val="24"/>
          <w:lang w:val="sq-AL"/>
        </w:rPr>
        <w:t>ka ndryshime në totalin e shpenzimeve buxhetore</w:t>
      </w:r>
      <w:r w:rsidR="008B0176" w:rsidRPr="00CE782E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nga</w:t>
      </w:r>
      <w:r w:rsidR="00C025F2">
        <w:rPr>
          <w:rFonts w:ascii="Times New Roman" w:eastAsia="Calibri" w:hAnsi="Times New Roman" w:cs="Times New Roman"/>
          <w:sz w:val="24"/>
          <w:szCs w:val="24"/>
          <w:lang w:val="sq-AL"/>
        </w:rPr>
        <w:t>:</w:t>
      </w:r>
    </w:p>
    <w:p w14:paraId="272491FC" w14:textId="65E6E1F3" w:rsidR="0008455F" w:rsidRDefault="00C025F2" w:rsidP="00C025F2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>
        <w:rPr>
          <w:rFonts w:ascii="Times New Roman" w:eastAsia="Calibri" w:hAnsi="Times New Roman" w:cs="Times New Roman"/>
          <w:sz w:val="24"/>
          <w:szCs w:val="24"/>
          <w:lang w:val="sq-AL"/>
        </w:rPr>
        <w:t>S</w:t>
      </w:r>
      <w:r w:rsidR="008B0176" w:rsidRPr="00C025F2">
        <w:rPr>
          <w:rFonts w:ascii="Times New Roman" w:eastAsia="Calibri" w:hAnsi="Times New Roman" w:cs="Times New Roman"/>
          <w:sz w:val="24"/>
          <w:szCs w:val="24"/>
          <w:lang w:val="sq-AL"/>
        </w:rPr>
        <w:t>htesat në fondin e veçantë</w:t>
      </w:r>
      <w:r w:rsidR="001E2BCD" w:rsidRPr="00C025F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për vitin 2025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>, prej 542 mijë lekë;</w:t>
      </w:r>
    </w:p>
    <w:p w14:paraId="0915419C" w14:textId="0B641798" w:rsidR="00C025F2" w:rsidRDefault="00C025F2" w:rsidP="00C025F2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>
        <w:rPr>
          <w:rFonts w:ascii="Times New Roman" w:eastAsia="Calibri" w:hAnsi="Times New Roman" w:cs="Times New Roman"/>
          <w:sz w:val="24"/>
          <w:szCs w:val="24"/>
          <w:lang w:val="sq-AL"/>
        </w:rPr>
        <w:t>Zbatimit të Aktit Normativ</w:t>
      </w:r>
      <w:r w:rsidRPr="00C025F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nr.11,</w:t>
      </w:r>
      <w:r>
        <w:rPr>
          <w:lang w:val="sq-AL"/>
        </w:rPr>
        <w:t xml:space="preserve"> </w:t>
      </w:r>
      <w:r w:rsidRPr="00C025F2">
        <w:rPr>
          <w:rFonts w:ascii="Times New Roman" w:eastAsia="Calibri" w:hAnsi="Times New Roman" w:cs="Times New Roman"/>
          <w:sz w:val="24"/>
          <w:szCs w:val="24"/>
          <w:lang w:val="sq-AL"/>
        </w:rPr>
        <w:t>datë 19.12.2025 “</w:t>
      </w:r>
      <w:r w:rsidRPr="00D24A08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Për disa ndryshime dhe shtesa në ligjin nr.115/2024, “Për buxhetin e vitit 2025”, i ndryshuar”,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përmes së cilit u pakësuan fondet e lira në shpenzime personeli</w:t>
      </w:r>
      <w:r w:rsidR="00725E4B">
        <w:rPr>
          <w:rFonts w:ascii="Times New Roman" w:eastAsia="Calibri" w:hAnsi="Times New Roman" w:cs="Times New Roman"/>
          <w:sz w:val="24"/>
          <w:szCs w:val="24"/>
          <w:lang w:val="sq-AL"/>
        </w:rPr>
        <w:t>, në shumën 6,500 mijë lekë.</w:t>
      </w:r>
    </w:p>
    <w:p w14:paraId="354D5BFB" w14:textId="76DB8A6C" w:rsidR="001E2BCD" w:rsidRPr="00C025F2" w:rsidRDefault="00C025F2" w:rsidP="00C025F2">
      <w:pPr>
        <w:pStyle w:val="ListParagraph"/>
        <w:numPr>
          <w:ilvl w:val="0"/>
          <w:numId w:val="14"/>
        </w:numPr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C025F2">
        <w:rPr>
          <w:rFonts w:ascii="Times New Roman" w:eastAsia="Calibri" w:hAnsi="Times New Roman" w:cs="Times New Roman"/>
          <w:sz w:val="24"/>
          <w:szCs w:val="24"/>
          <w:lang w:val="sq-AL"/>
        </w:rPr>
        <w:t>Akordimi i fond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>it</w:t>
      </w:r>
      <w:r w:rsidRPr="00C025F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shtesë, rreth 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>510 mijë</w:t>
      </w:r>
      <w:r w:rsidRPr="00C025F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lekë, për kryerjen e pagesës pas ndërprerjes së funksionit të fundit.</w:t>
      </w:r>
    </w:p>
    <w:p w14:paraId="497EB285" w14:textId="1EC55BB7" w:rsidR="0047268C" w:rsidRDefault="0047268C" w:rsidP="0047268C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lang w:val="sq-AL"/>
        </w:rPr>
      </w:pPr>
      <w:r w:rsidRPr="00CE782E">
        <w:rPr>
          <w:rFonts w:ascii="Times New Roman" w:eastAsia="Calibri" w:hAnsi="Times New Roman" w:cs="Times New Roman"/>
          <w:b/>
          <w:i/>
          <w:lang w:val="sq-AL"/>
        </w:rPr>
        <w:t xml:space="preserve">                                                                                            </w:t>
      </w:r>
      <w:r w:rsidR="00DB7F6C" w:rsidRPr="00CE782E">
        <w:rPr>
          <w:rFonts w:ascii="Times New Roman" w:eastAsia="Calibri" w:hAnsi="Times New Roman" w:cs="Times New Roman"/>
          <w:b/>
          <w:i/>
          <w:lang w:val="sq-AL"/>
        </w:rPr>
        <w:t xml:space="preserve">          </w:t>
      </w:r>
      <w:r w:rsidRPr="00CE782E">
        <w:rPr>
          <w:rFonts w:ascii="Times New Roman" w:eastAsia="Calibri" w:hAnsi="Times New Roman" w:cs="Times New Roman"/>
          <w:b/>
          <w:i/>
          <w:lang w:val="sq-AL"/>
        </w:rPr>
        <w:t xml:space="preserve">    </w:t>
      </w:r>
    </w:p>
    <w:p w14:paraId="1A85AF23" w14:textId="77777777" w:rsidR="0047268C" w:rsidRPr="00CE782E" w:rsidRDefault="0047268C" w:rsidP="0047268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14:paraId="159C9394" w14:textId="77777777" w:rsidR="0047268C" w:rsidRPr="00CE782E" w:rsidRDefault="0047268C" w:rsidP="0047268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CE782E">
        <w:rPr>
          <w:rFonts w:ascii="Times New Roman" w:eastAsia="Calibri" w:hAnsi="Times New Roman" w:cs="Times New Roman"/>
          <w:b/>
          <w:sz w:val="24"/>
          <w:szCs w:val="24"/>
          <w:lang w:val="sq-AL"/>
        </w:rPr>
        <w:t xml:space="preserve">Komente dhe rekomandime </w:t>
      </w:r>
    </w:p>
    <w:p w14:paraId="32D661A5" w14:textId="77777777" w:rsidR="0047268C" w:rsidRPr="00CE782E" w:rsidRDefault="0047268C" w:rsidP="0047268C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14:paraId="16E9447E" w14:textId="1691CCE8" w:rsidR="00874CEA" w:rsidRPr="00CE782E" w:rsidRDefault="00874CEA" w:rsidP="00874CEA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CE782E">
        <w:rPr>
          <w:rFonts w:ascii="Times New Roman" w:eastAsia="Calibri" w:hAnsi="Times New Roman" w:cs="Times New Roman"/>
          <w:sz w:val="24"/>
          <w:szCs w:val="24"/>
          <w:lang w:val="sq-AL"/>
        </w:rPr>
        <w:t>Theksojmë se paraqitja e informacionit si dhe të dhënat e raportuara në raportin e monitorimit duhet të jetë në përputhje me përcaktimet e bëra në Udhëzimin nr. 14, datë 30.05.2023 “Për procedurat standarde të monitorimit të buxhetit në njësitë e Qeverisjes Qendrore”, specifikisht sipas formateve të përcaktuara në paragrafin 49, të  këtij udhëzimi. Vërejmë që të dhënat e raportuara në raportin e monitorimit, janë sipas formateve të përcaktuara në këtë udhëzim.</w:t>
      </w:r>
    </w:p>
    <w:p w14:paraId="1C55689F" w14:textId="77777777" w:rsidR="003F1A30" w:rsidRDefault="003F1A30" w:rsidP="003F1A30">
      <w:pPr>
        <w:pStyle w:val="ListParagraph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14:paraId="7033F076" w14:textId="37E9B870" w:rsidR="001B44AE" w:rsidRPr="003F1A30" w:rsidRDefault="001B44AE" w:rsidP="003F1A30">
      <w:pPr>
        <w:pStyle w:val="ListParagraph"/>
        <w:spacing w:after="0"/>
        <w:jc w:val="both"/>
        <w:rPr>
          <w:rFonts w:ascii="Times New Roman" w:eastAsia="Calibri" w:hAnsi="Times New Roman" w:cs="Times New Roman"/>
          <w:sz w:val="24"/>
          <w:szCs w:val="24"/>
          <w:u w:val="single"/>
          <w:lang w:val="sq-AL"/>
        </w:rPr>
      </w:pPr>
      <w:r w:rsidRPr="003F1A30">
        <w:rPr>
          <w:rFonts w:ascii="Times New Roman" w:eastAsia="Calibri" w:hAnsi="Times New Roman" w:cs="Times New Roman"/>
          <w:sz w:val="24"/>
          <w:szCs w:val="24"/>
          <w:u w:val="single"/>
          <w:lang w:val="sq-AL"/>
        </w:rPr>
        <w:t>Lidhur me përmirësimin e cilësisë së përmbajtjes së raportit të monitorimit rekomandojmë:</w:t>
      </w:r>
    </w:p>
    <w:p w14:paraId="0E5EF54C" w14:textId="77777777" w:rsidR="001B44AE" w:rsidRPr="001B44AE" w:rsidRDefault="001B44AE" w:rsidP="001B44AE">
      <w:pPr>
        <w:pStyle w:val="ListParagraph"/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14:paraId="2A6E9769" w14:textId="1A090355" w:rsidR="00DD0EBC" w:rsidRDefault="00DD0EBC" w:rsidP="00DD0EBC">
      <w:pPr>
        <w:pStyle w:val="ListParagraph"/>
        <w:numPr>
          <w:ilvl w:val="0"/>
          <w:numId w:val="9"/>
        </w:numPr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DD0EBC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Në relacion 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>t</w:t>
      </w:r>
      <w:r w:rsidR="004A4150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paraqitet</w:t>
      </w:r>
      <w:r w:rsidRPr="00DD0EBC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informacion 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>m</w:t>
      </w:r>
      <w:r w:rsidR="004A4150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i detajuar </w:t>
      </w:r>
      <w:r w:rsidRPr="00DD0EBC">
        <w:rPr>
          <w:rFonts w:ascii="Times New Roman" w:eastAsia="Calibri" w:hAnsi="Times New Roman" w:cs="Times New Roman"/>
          <w:sz w:val="24"/>
          <w:szCs w:val="24"/>
          <w:lang w:val="sq-AL"/>
        </w:rPr>
        <w:t>mbi ecurinë e realizimit të shpenzimeve të institucionit sipas klasifikimit ekonomik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>.</w:t>
      </w:r>
    </w:p>
    <w:p w14:paraId="3B6FCBA6" w14:textId="27A913FE" w:rsidR="00DD0EBC" w:rsidRPr="00DD0EBC" w:rsidRDefault="00DD0EBC" w:rsidP="00DD0EBC">
      <w:pPr>
        <w:pStyle w:val="ListParagraph"/>
        <w:numPr>
          <w:ilvl w:val="0"/>
          <w:numId w:val="9"/>
        </w:numPr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DD0EBC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Duhen shpjeguar në </w:t>
      </w:r>
      <w:r w:rsidR="004A4150">
        <w:rPr>
          <w:rFonts w:ascii="Times New Roman" w:eastAsia="Calibri" w:hAnsi="Times New Roman" w:cs="Times New Roman"/>
          <w:sz w:val="24"/>
          <w:szCs w:val="24"/>
          <w:lang w:val="sq-AL"/>
        </w:rPr>
        <w:t>relacion</w:t>
      </w:r>
      <w:r w:rsidRPr="00DD0EBC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arësyet kryesore që kanë ndikuar në performancen e realizimit nën nivelin e duhur të shpenzimeve për periudhën raportuese kundrejt planit për vitin 2025</w:t>
      </w:r>
      <w:r w:rsidR="004A4150">
        <w:rPr>
          <w:rFonts w:ascii="Times New Roman" w:eastAsia="Calibri" w:hAnsi="Times New Roman" w:cs="Times New Roman"/>
          <w:sz w:val="24"/>
          <w:szCs w:val="24"/>
          <w:lang w:val="sq-AL"/>
        </w:rPr>
        <w:t>, konkretish arsyet e mosrealizimit të shpenzimeve për investime</w:t>
      </w:r>
      <w:r w:rsidRPr="00DD0EBC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. </w:t>
      </w:r>
    </w:p>
    <w:p w14:paraId="0E94073F" w14:textId="23B4B5D4" w:rsidR="006B24BB" w:rsidRDefault="001B44AE" w:rsidP="00372C0C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AE35AE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Për treguesit e performancës në nivel qëllimi </w:t>
      </w:r>
      <w:r w:rsidR="000F7D48" w:rsidRPr="00AE35AE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dhe objektivi </w:t>
      </w:r>
      <w:r w:rsidRPr="00AE35AE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të shfaqura në aneksin 4 </w:t>
      </w:r>
      <w:r w:rsidRPr="00AE35AE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 xml:space="preserve">“Raporti i realizimit të treguesve të performancës së programit”, </w:t>
      </w:r>
      <w:r w:rsidRPr="00AE35AE">
        <w:rPr>
          <w:rFonts w:ascii="Times New Roman" w:eastAsia="Calibri" w:hAnsi="Times New Roman" w:cs="Times New Roman"/>
          <w:sz w:val="24"/>
          <w:szCs w:val="24"/>
          <w:lang w:val="sq-AL"/>
        </w:rPr>
        <w:t>rekomandojmë përcaktimin e njësisë matëse në kolonën përkatëse</w:t>
      </w:r>
      <w:r w:rsidR="00B268A6">
        <w:rPr>
          <w:rFonts w:ascii="Times New Roman" w:eastAsia="Calibri" w:hAnsi="Times New Roman" w:cs="Times New Roman"/>
          <w:sz w:val="24"/>
          <w:szCs w:val="24"/>
          <w:lang w:val="sq-AL"/>
        </w:rPr>
        <w:t>.</w:t>
      </w:r>
      <w:r w:rsidR="008A2A46" w:rsidRPr="00AE35AE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</w:p>
    <w:p w14:paraId="069B1AD4" w14:textId="6AFC8EC8" w:rsidR="00372C0C" w:rsidRDefault="00372C0C" w:rsidP="00372C0C">
      <w:pPr>
        <w:pStyle w:val="ListParagraph"/>
        <w:spacing w:after="0"/>
        <w:ind w:left="1080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14:paraId="39423127" w14:textId="77777777" w:rsidR="00DD0EBC" w:rsidRDefault="00DD0EBC" w:rsidP="00372C0C">
      <w:pPr>
        <w:pStyle w:val="ListParagraph"/>
        <w:spacing w:after="0"/>
        <w:ind w:left="1080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14:paraId="1763D8AE" w14:textId="77777777" w:rsidR="00DD0EBC" w:rsidRDefault="00DD0EBC" w:rsidP="00372C0C">
      <w:pPr>
        <w:pStyle w:val="ListParagraph"/>
        <w:spacing w:after="0"/>
        <w:ind w:left="1080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14:paraId="775AE223" w14:textId="77777777" w:rsidR="00DD0EBC" w:rsidRPr="00AE35AE" w:rsidRDefault="00DD0EBC" w:rsidP="00372C0C">
      <w:pPr>
        <w:pStyle w:val="ListParagraph"/>
        <w:spacing w:after="0"/>
        <w:ind w:left="1080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14:paraId="1891396E" w14:textId="77777777" w:rsidR="001359EF" w:rsidRPr="00CE782E" w:rsidRDefault="001359EF" w:rsidP="001359EF">
      <w:pPr>
        <w:pStyle w:val="ListParagraph"/>
        <w:spacing w:after="0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14:paraId="1654E7E3" w14:textId="77777777" w:rsidR="000D6473" w:rsidRPr="00CE782E" w:rsidRDefault="001359EF" w:rsidP="001359E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  <w:r w:rsidRPr="00CE782E">
        <w:rPr>
          <w:rFonts w:ascii="Times New Roman" w:eastAsia="Calibri" w:hAnsi="Times New Roman" w:cs="Times New Roman"/>
          <w:b/>
          <w:sz w:val="24"/>
          <w:szCs w:val="24"/>
          <w:lang w:val="sq-AL"/>
        </w:rPr>
        <w:lastRenderedPageBreak/>
        <w:t>Publikimi:</w:t>
      </w:r>
    </w:p>
    <w:p w14:paraId="5250A869" w14:textId="77777777" w:rsidR="001359EF" w:rsidRPr="00CE782E" w:rsidRDefault="001359EF" w:rsidP="001359EF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14:paraId="7B599FC7" w14:textId="0B4C035B" w:rsidR="000A18DB" w:rsidRPr="00CE782E" w:rsidRDefault="0047268C" w:rsidP="001359EF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  <w:r w:rsidRPr="00CE782E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Raporti i Monitorimit për </w:t>
      </w:r>
      <w:r w:rsidR="006B24BB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2025</w:t>
      </w:r>
      <w:r w:rsidRPr="00CE782E">
        <w:rPr>
          <w:rFonts w:ascii="Times New Roman" w:eastAsia="Calibri" w:hAnsi="Times New Roman" w:cs="Times New Roman"/>
          <w:sz w:val="24"/>
          <w:szCs w:val="24"/>
          <w:lang w:val="sq-AL"/>
        </w:rPr>
        <w:t>, është publikuar në faqen zyrtare të Komisionerit për Mbikqyrjen e Shërbimit Civil.</w:t>
      </w:r>
      <w:r w:rsidR="00DB7F6C" w:rsidRPr="00CE782E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="003A1F28" w:rsidRPr="00CE782E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</w:p>
    <w:p w14:paraId="38539B1E" w14:textId="6B72FAC2" w:rsidR="00284BFD" w:rsidRPr="00CE782E" w:rsidRDefault="00535FF5" w:rsidP="00535FF5">
      <w:pPr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CE782E">
        <w:rPr>
          <w:rFonts w:ascii="Times New Roman" w:eastAsia="Calibri" w:hAnsi="Times New Roman" w:cs="Times New Roman"/>
          <w:sz w:val="24"/>
          <w:szCs w:val="24"/>
          <w:u w:val="single"/>
          <w:lang w:val="sq-AL"/>
        </w:rPr>
        <w:t>Linku</w:t>
      </w:r>
      <w:r w:rsidRPr="00CE782E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: </w:t>
      </w:r>
      <w:hyperlink r:id="rId7" w:history="1">
        <w:r w:rsidR="00885E2C" w:rsidRPr="00F24975">
          <w:rPr>
            <w:rStyle w:val="Hyperlink"/>
            <w:rFonts w:ascii="Times New Roman" w:eastAsia="Calibri" w:hAnsi="Times New Roman" w:cs="Times New Roman"/>
            <w:sz w:val="24"/>
            <w:szCs w:val="24"/>
            <w:lang w:val="sq-AL"/>
          </w:rPr>
          <w:t>http://www.kmshc.al/raporte-te-finances/</w:t>
        </w:r>
      </w:hyperlink>
      <w:r w:rsidRPr="00CE782E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</w:p>
    <w:sectPr w:rsidR="00284BFD" w:rsidRPr="00CE78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26BD0"/>
    <w:multiLevelType w:val="hybridMultilevel"/>
    <w:tmpl w:val="9676A78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433C5F"/>
    <w:multiLevelType w:val="hybridMultilevel"/>
    <w:tmpl w:val="4094D074"/>
    <w:lvl w:ilvl="0" w:tplc="88F22986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B3C00"/>
    <w:multiLevelType w:val="hybridMultilevel"/>
    <w:tmpl w:val="377CDF6A"/>
    <w:lvl w:ilvl="0" w:tplc="0409000B">
      <w:start w:val="1"/>
      <w:numFmt w:val="bullet"/>
      <w:lvlText w:val="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0E754B67"/>
    <w:multiLevelType w:val="hybridMultilevel"/>
    <w:tmpl w:val="F6D4D914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E316D"/>
    <w:multiLevelType w:val="hybridMultilevel"/>
    <w:tmpl w:val="38A2F3E6"/>
    <w:lvl w:ilvl="0" w:tplc="2EC6C18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4213AC"/>
    <w:multiLevelType w:val="hybridMultilevel"/>
    <w:tmpl w:val="B4A230A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1C0019" w:tentative="1">
      <w:start w:val="1"/>
      <w:numFmt w:val="lowerLetter"/>
      <w:lvlText w:val="%2."/>
      <w:lvlJc w:val="left"/>
      <w:pPr>
        <w:ind w:left="2160" w:hanging="360"/>
      </w:pPr>
    </w:lvl>
    <w:lvl w:ilvl="2" w:tplc="041C001B" w:tentative="1">
      <w:start w:val="1"/>
      <w:numFmt w:val="lowerRoman"/>
      <w:lvlText w:val="%3."/>
      <w:lvlJc w:val="right"/>
      <w:pPr>
        <w:ind w:left="2880" w:hanging="180"/>
      </w:pPr>
    </w:lvl>
    <w:lvl w:ilvl="3" w:tplc="041C000F" w:tentative="1">
      <w:start w:val="1"/>
      <w:numFmt w:val="decimal"/>
      <w:lvlText w:val="%4."/>
      <w:lvlJc w:val="left"/>
      <w:pPr>
        <w:ind w:left="3600" w:hanging="360"/>
      </w:pPr>
    </w:lvl>
    <w:lvl w:ilvl="4" w:tplc="041C0019" w:tentative="1">
      <w:start w:val="1"/>
      <w:numFmt w:val="lowerLetter"/>
      <w:lvlText w:val="%5."/>
      <w:lvlJc w:val="left"/>
      <w:pPr>
        <w:ind w:left="4320" w:hanging="360"/>
      </w:pPr>
    </w:lvl>
    <w:lvl w:ilvl="5" w:tplc="041C001B" w:tentative="1">
      <w:start w:val="1"/>
      <w:numFmt w:val="lowerRoman"/>
      <w:lvlText w:val="%6."/>
      <w:lvlJc w:val="right"/>
      <w:pPr>
        <w:ind w:left="5040" w:hanging="180"/>
      </w:pPr>
    </w:lvl>
    <w:lvl w:ilvl="6" w:tplc="041C000F" w:tentative="1">
      <w:start w:val="1"/>
      <w:numFmt w:val="decimal"/>
      <w:lvlText w:val="%7."/>
      <w:lvlJc w:val="left"/>
      <w:pPr>
        <w:ind w:left="5760" w:hanging="360"/>
      </w:pPr>
    </w:lvl>
    <w:lvl w:ilvl="7" w:tplc="041C0019" w:tentative="1">
      <w:start w:val="1"/>
      <w:numFmt w:val="lowerLetter"/>
      <w:lvlText w:val="%8."/>
      <w:lvlJc w:val="left"/>
      <w:pPr>
        <w:ind w:left="6480" w:hanging="360"/>
      </w:pPr>
    </w:lvl>
    <w:lvl w:ilvl="8" w:tplc="041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E36B17"/>
    <w:multiLevelType w:val="hybridMultilevel"/>
    <w:tmpl w:val="41A6FB4C"/>
    <w:lvl w:ilvl="0" w:tplc="041C000F">
      <w:start w:val="1"/>
      <w:numFmt w:val="decimal"/>
      <w:lvlText w:val="%1."/>
      <w:lvlJc w:val="left"/>
      <w:pPr>
        <w:ind w:left="1440" w:hanging="360"/>
      </w:pPr>
    </w:lvl>
    <w:lvl w:ilvl="1" w:tplc="041C0019" w:tentative="1">
      <w:start w:val="1"/>
      <w:numFmt w:val="lowerLetter"/>
      <w:lvlText w:val="%2."/>
      <w:lvlJc w:val="left"/>
      <w:pPr>
        <w:ind w:left="2160" w:hanging="360"/>
      </w:pPr>
    </w:lvl>
    <w:lvl w:ilvl="2" w:tplc="041C001B" w:tentative="1">
      <w:start w:val="1"/>
      <w:numFmt w:val="lowerRoman"/>
      <w:lvlText w:val="%3."/>
      <w:lvlJc w:val="right"/>
      <w:pPr>
        <w:ind w:left="2880" w:hanging="180"/>
      </w:pPr>
    </w:lvl>
    <w:lvl w:ilvl="3" w:tplc="041C000F" w:tentative="1">
      <w:start w:val="1"/>
      <w:numFmt w:val="decimal"/>
      <w:lvlText w:val="%4."/>
      <w:lvlJc w:val="left"/>
      <w:pPr>
        <w:ind w:left="3600" w:hanging="360"/>
      </w:pPr>
    </w:lvl>
    <w:lvl w:ilvl="4" w:tplc="041C0019" w:tentative="1">
      <w:start w:val="1"/>
      <w:numFmt w:val="lowerLetter"/>
      <w:lvlText w:val="%5."/>
      <w:lvlJc w:val="left"/>
      <w:pPr>
        <w:ind w:left="4320" w:hanging="360"/>
      </w:pPr>
    </w:lvl>
    <w:lvl w:ilvl="5" w:tplc="041C001B" w:tentative="1">
      <w:start w:val="1"/>
      <w:numFmt w:val="lowerRoman"/>
      <w:lvlText w:val="%6."/>
      <w:lvlJc w:val="right"/>
      <w:pPr>
        <w:ind w:left="5040" w:hanging="180"/>
      </w:pPr>
    </w:lvl>
    <w:lvl w:ilvl="6" w:tplc="041C000F" w:tentative="1">
      <w:start w:val="1"/>
      <w:numFmt w:val="decimal"/>
      <w:lvlText w:val="%7."/>
      <w:lvlJc w:val="left"/>
      <w:pPr>
        <w:ind w:left="5760" w:hanging="360"/>
      </w:pPr>
    </w:lvl>
    <w:lvl w:ilvl="7" w:tplc="041C0019" w:tentative="1">
      <w:start w:val="1"/>
      <w:numFmt w:val="lowerLetter"/>
      <w:lvlText w:val="%8."/>
      <w:lvlJc w:val="left"/>
      <w:pPr>
        <w:ind w:left="6480" w:hanging="360"/>
      </w:pPr>
    </w:lvl>
    <w:lvl w:ilvl="8" w:tplc="041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88F2ABB"/>
    <w:multiLevelType w:val="hybridMultilevel"/>
    <w:tmpl w:val="381024D0"/>
    <w:lvl w:ilvl="0" w:tplc="854AEAF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487B5F"/>
    <w:multiLevelType w:val="hybridMultilevel"/>
    <w:tmpl w:val="DD3262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7279FE"/>
    <w:multiLevelType w:val="hybridMultilevel"/>
    <w:tmpl w:val="4ECEC946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59803E22"/>
    <w:multiLevelType w:val="hybridMultilevel"/>
    <w:tmpl w:val="40E61F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7D22808"/>
    <w:multiLevelType w:val="hybridMultilevel"/>
    <w:tmpl w:val="A6C442B6"/>
    <w:lvl w:ilvl="0" w:tplc="12C2198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421FF7"/>
    <w:multiLevelType w:val="hybridMultilevel"/>
    <w:tmpl w:val="0B5ACBD0"/>
    <w:lvl w:ilvl="0" w:tplc="754ED2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5A2150"/>
    <w:multiLevelType w:val="hybridMultilevel"/>
    <w:tmpl w:val="7DD0178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84527521">
    <w:abstractNumId w:val="10"/>
  </w:num>
  <w:num w:numId="2" w16cid:durableId="2040353683">
    <w:abstractNumId w:val="2"/>
  </w:num>
  <w:num w:numId="3" w16cid:durableId="1026911148">
    <w:abstractNumId w:val="12"/>
  </w:num>
  <w:num w:numId="4" w16cid:durableId="1203202266">
    <w:abstractNumId w:val="1"/>
  </w:num>
  <w:num w:numId="5" w16cid:durableId="1051002785">
    <w:abstractNumId w:val="8"/>
  </w:num>
  <w:num w:numId="6" w16cid:durableId="236062861">
    <w:abstractNumId w:val="7"/>
  </w:num>
  <w:num w:numId="7" w16cid:durableId="98181404">
    <w:abstractNumId w:val="13"/>
  </w:num>
  <w:num w:numId="8" w16cid:durableId="2103796939">
    <w:abstractNumId w:val="9"/>
  </w:num>
  <w:num w:numId="9" w16cid:durableId="318772098">
    <w:abstractNumId w:val="0"/>
  </w:num>
  <w:num w:numId="10" w16cid:durableId="1754275705">
    <w:abstractNumId w:val="4"/>
  </w:num>
  <w:num w:numId="11" w16cid:durableId="186019280">
    <w:abstractNumId w:val="6"/>
  </w:num>
  <w:num w:numId="12" w16cid:durableId="1473329399">
    <w:abstractNumId w:val="3"/>
  </w:num>
  <w:num w:numId="13" w16cid:durableId="1157497983">
    <w:abstractNumId w:val="5"/>
  </w:num>
  <w:num w:numId="14" w16cid:durableId="3635965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1ED7"/>
    <w:rsid w:val="000007A8"/>
    <w:rsid w:val="00024B32"/>
    <w:rsid w:val="00032061"/>
    <w:rsid w:val="00043470"/>
    <w:rsid w:val="00053CFD"/>
    <w:rsid w:val="00060CCF"/>
    <w:rsid w:val="000803EF"/>
    <w:rsid w:val="0008455F"/>
    <w:rsid w:val="000907D3"/>
    <w:rsid w:val="00095C09"/>
    <w:rsid w:val="000A18DB"/>
    <w:rsid w:val="000D6473"/>
    <w:rsid w:val="000F0A5A"/>
    <w:rsid w:val="000F7D48"/>
    <w:rsid w:val="001000CA"/>
    <w:rsid w:val="00107ACE"/>
    <w:rsid w:val="00114D04"/>
    <w:rsid w:val="00123726"/>
    <w:rsid w:val="00125B47"/>
    <w:rsid w:val="001359EF"/>
    <w:rsid w:val="00144286"/>
    <w:rsid w:val="00152580"/>
    <w:rsid w:val="001745AE"/>
    <w:rsid w:val="00180506"/>
    <w:rsid w:val="001B44AE"/>
    <w:rsid w:val="001E2BCD"/>
    <w:rsid w:val="001F2873"/>
    <w:rsid w:val="002241ED"/>
    <w:rsid w:val="00284BFD"/>
    <w:rsid w:val="002B48D4"/>
    <w:rsid w:val="002F5E8F"/>
    <w:rsid w:val="00300835"/>
    <w:rsid w:val="00304BAB"/>
    <w:rsid w:val="00313181"/>
    <w:rsid w:val="0033054E"/>
    <w:rsid w:val="00341B4C"/>
    <w:rsid w:val="00372C0C"/>
    <w:rsid w:val="00384D4F"/>
    <w:rsid w:val="003A1F28"/>
    <w:rsid w:val="003F1A30"/>
    <w:rsid w:val="00433237"/>
    <w:rsid w:val="0047268C"/>
    <w:rsid w:val="004A2147"/>
    <w:rsid w:val="004A3825"/>
    <w:rsid w:val="004A4150"/>
    <w:rsid w:val="004B317F"/>
    <w:rsid w:val="004D6FE3"/>
    <w:rsid w:val="004E612F"/>
    <w:rsid w:val="0050046B"/>
    <w:rsid w:val="00535FF5"/>
    <w:rsid w:val="00542402"/>
    <w:rsid w:val="00563525"/>
    <w:rsid w:val="00586702"/>
    <w:rsid w:val="005C273D"/>
    <w:rsid w:val="005D0E0D"/>
    <w:rsid w:val="005D1C7C"/>
    <w:rsid w:val="00602C15"/>
    <w:rsid w:val="0067294D"/>
    <w:rsid w:val="00673744"/>
    <w:rsid w:val="00690C3B"/>
    <w:rsid w:val="006B24BB"/>
    <w:rsid w:val="006B6F17"/>
    <w:rsid w:val="006D53D5"/>
    <w:rsid w:val="006F08E4"/>
    <w:rsid w:val="006F59F6"/>
    <w:rsid w:val="007210C3"/>
    <w:rsid w:val="00725E4B"/>
    <w:rsid w:val="007A6DAD"/>
    <w:rsid w:val="007C35BD"/>
    <w:rsid w:val="007C4C31"/>
    <w:rsid w:val="007C7168"/>
    <w:rsid w:val="007E26CE"/>
    <w:rsid w:val="0083569B"/>
    <w:rsid w:val="00864F76"/>
    <w:rsid w:val="00874CEA"/>
    <w:rsid w:val="00885E2C"/>
    <w:rsid w:val="008A2A46"/>
    <w:rsid w:val="008B0176"/>
    <w:rsid w:val="008B0B23"/>
    <w:rsid w:val="008C33CF"/>
    <w:rsid w:val="008E384A"/>
    <w:rsid w:val="0090329A"/>
    <w:rsid w:val="00931ED7"/>
    <w:rsid w:val="009632D1"/>
    <w:rsid w:val="009C0571"/>
    <w:rsid w:val="009D06E7"/>
    <w:rsid w:val="00A56BBF"/>
    <w:rsid w:val="00AA442E"/>
    <w:rsid w:val="00AB4D91"/>
    <w:rsid w:val="00AD2C76"/>
    <w:rsid w:val="00AE35AE"/>
    <w:rsid w:val="00B05C07"/>
    <w:rsid w:val="00B264B4"/>
    <w:rsid w:val="00B268A6"/>
    <w:rsid w:val="00B35C97"/>
    <w:rsid w:val="00B610F0"/>
    <w:rsid w:val="00B67681"/>
    <w:rsid w:val="00B7269B"/>
    <w:rsid w:val="00B87C16"/>
    <w:rsid w:val="00BB3F75"/>
    <w:rsid w:val="00BB7B88"/>
    <w:rsid w:val="00BC5912"/>
    <w:rsid w:val="00BE476A"/>
    <w:rsid w:val="00C025F2"/>
    <w:rsid w:val="00C03969"/>
    <w:rsid w:val="00C42E63"/>
    <w:rsid w:val="00C47007"/>
    <w:rsid w:val="00C711E3"/>
    <w:rsid w:val="00C876E0"/>
    <w:rsid w:val="00CA30EE"/>
    <w:rsid w:val="00CB59FC"/>
    <w:rsid w:val="00CC3EEB"/>
    <w:rsid w:val="00CE782E"/>
    <w:rsid w:val="00D0007B"/>
    <w:rsid w:val="00D04F96"/>
    <w:rsid w:val="00D24A08"/>
    <w:rsid w:val="00D7174A"/>
    <w:rsid w:val="00D93DC2"/>
    <w:rsid w:val="00DA3929"/>
    <w:rsid w:val="00DB43E9"/>
    <w:rsid w:val="00DB7F6C"/>
    <w:rsid w:val="00DD0EBC"/>
    <w:rsid w:val="00DE65C6"/>
    <w:rsid w:val="00E20F8E"/>
    <w:rsid w:val="00E41217"/>
    <w:rsid w:val="00E66B4B"/>
    <w:rsid w:val="00E721A4"/>
    <w:rsid w:val="00E851B6"/>
    <w:rsid w:val="00EA623B"/>
    <w:rsid w:val="00ED6515"/>
    <w:rsid w:val="00F06702"/>
    <w:rsid w:val="00F15D8A"/>
    <w:rsid w:val="00F36015"/>
    <w:rsid w:val="00F37F59"/>
    <w:rsid w:val="00F5403D"/>
    <w:rsid w:val="00F66EA4"/>
    <w:rsid w:val="00FA2121"/>
    <w:rsid w:val="00FD2C0D"/>
    <w:rsid w:val="00FF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FB238"/>
  <w15:docId w15:val="{4FEC296A-BFC6-4D93-9C3E-942931C79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32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5FF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B7F6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38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3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1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mshc.al/raporte-te-financ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4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ledjana gjoni</dc:creator>
  <cp:keywords/>
  <dc:description/>
  <cp:lastModifiedBy>ledjana gjoni</cp:lastModifiedBy>
  <cp:revision>83</cp:revision>
  <dcterms:created xsi:type="dcterms:W3CDTF">2024-04-30T09:34:00Z</dcterms:created>
  <dcterms:modified xsi:type="dcterms:W3CDTF">2026-04-29T09:01:00Z</dcterms:modified>
</cp:coreProperties>
</file>