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D3268" w14:textId="42722954" w:rsidR="00E51AA1" w:rsidRPr="00FB5273" w:rsidRDefault="00E51AA1" w:rsidP="00E57E27">
      <w:pPr>
        <w:pStyle w:val="Heading2"/>
        <w:spacing w:line="276" w:lineRule="auto"/>
        <w:jc w:val="center"/>
        <w:rPr>
          <w:rFonts w:ascii="Times New Roman" w:hAnsi="Times New Roman" w:cs="Times New Roman"/>
          <w:b/>
          <w:bCs/>
          <w:color w:val="4C94D8" w:themeColor="text2" w:themeTint="80"/>
        </w:rPr>
      </w:pPr>
      <w:bookmarkStart w:id="0" w:name="_Toc44403610"/>
      <w:bookmarkStart w:id="1" w:name="_Toc449351139"/>
      <w:r w:rsidRPr="00FB5273">
        <w:rPr>
          <w:rFonts w:ascii="Times New Roman" w:hAnsi="Times New Roman" w:cs="Times New Roman"/>
          <w:b/>
          <w:bCs/>
          <w:color w:val="4C94D8" w:themeColor="text2" w:themeTint="80"/>
        </w:rPr>
        <w:t xml:space="preserve">Financat Vendore gjatë periudhës Janar - Mars </w:t>
      </w:r>
      <w:bookmarkEnd w:id="0"/>
      <w:r w:rsidR="002F25F9" w:rsidRPr="00FB5273">
        <w:rPr>
          <w:rFonts w:ascii="Times New Roman" w:hAnsi="Times New Roman" w:cs="Times New Roman"/>
          <w:b/>
          <w:bCs/>
          <w:color w:val="4C94D8" w:themeColor="text2" w:themeTint="80"/>
        </w:rPr>
        <w:t>2026</w:t>
      </w:r>
    </w:p>
    <w:p w14:paraId="1AC3B63F" w14:textId="77777777" w:rsidR="00E51AA1" w:rsidRPr="00FB5273" w:rsidRDefault="00E51AA1" w:rsidP="00E57E27">
      <w:pPr>
        <w:spacing w:line="276" w:lineRule="auto"/>
        <w:jc w:val="both"/>
        <w:rPr>
          <w:color w:val="4C94D8" w:themeColor="text2" w:themeTint="80"/>
          <w:lang w:val="sq-AL"/>
        </w:rPr>
      </w:pPr>
    </w:p>
    <w:p w14:paraId="1B40F8E7" w14:textId="7BEF7F96" w:rsidR="00526614" w:rsidRPr="00FB5273" w:rsidRDefault="00526614" w:rsidP="002F25F9">
      <w:pPr>
        <w:spacing w:line="276" w:lineRule="auto"/>
        <w:ind w:firstLine="720"/>
        <w:jc w:val="both"/>
        <w:rPr>
          <w:color w:val="000000" w:themeColor="text1"/>
          <w:lang w:val="sq-AL"/>
        </w:rPr>
      </w:pPr>
      <w:bookmarkStart w:id="2" w:name="_Hlk205456167"/>
      <w:r w:rsidRPr="00FB5273">
        <w:rPr>
          <w:color w:val="000000" w:themeColor="text1"/>
          <w:lang w:val="sq-AL"/>
        </w:rPr>
        <w:t>Financat publike në nivel vendor zbatohen mbi parimet e Ligjit nr.68</w:t>
      </w:r>
      <w:r w:rsidR="00A6290B" w:rsidRPr="00FB5273">
        <w:rPr>
          <w:color w:val="000000" w:themeColor="text1"/>
          <w:lang w:val="sq-AL"/>
        </w:rPr>
        <w:t>/</w:t>
      </w:r>
      <w:r w:rsidRPr="00FB5273">
        <w:rPr>
          <w:color w:val="000000" w:themeColor="text1"/>
          <w:lang w:val="sq-AL"/>
        </w:rPr>
        <w:t>201</w:t>
      </w:r>
      <w:r w:rsidR="00A6290B" w:rsidRPr="00FB5273">
        <w:rPr>
          <w:color w:val="000000" w:themeColor="text1"/>
          <w:lang w:val="sq-AL"/>
        </w:rPr>
        <w:t>7</w:t>
      </w:r>
      <w:r w:rsidRPr="00FB5273">
        <w:rPr>
          <w:color w:val="000000" w:themeColor="text1"/>
          <w:lang w:val="sq-AL"/>
        </w:rPr>
        <w:t xml:space="preserve"> </w:t>
      </w:r>
      <w:r w:rsidRPr="00FB5273">
        <w:rPr>
          <w:i/>
          <w:iCs/>
          <w:color w:val="000000" w:themeColor="text1"/>
          <w:lang w:val="sq-AL"/>
        </w:rPr>
        <w:t>“Për financat e vetëq</w:t>
      </w:r>
      <w:r w:rsidR="001D2B3C">
        <w:rPr>
          <w:i/>
          <w:iCs/>
          <w:color w:val="000000" w:themeColor="text1"/>
          <w:lang w:val="sq-AL"/>
        </w:rPr>
        <w:t>e</w:t>
      </w:r>
      <w:r w:rsidRPr="00FB5273">
        <w:rPr>
          <w:i/>
          <w:iCs/>
          <w:color w:val="000000" w:themeColor="text1"/>
          <w:lang w:val="sq-AL"/>
        </w:rPr>
        <w:t>verisjes vendore”, të ndryshuar,</w:t>
      </w:r>
      <w:r w:rsidRPr="00FB5273">
        <w:rPr>
          <w:color w:val="000000" w:themeColor="text1"/>
          <w:lang w:val="sq-AL"/>
        </w:rPr>
        <w:t xml:space="preserve"> ndërkohë që treguesit e të ardhurave dhe shpenzimeve të buxhetit vendor ndiqen në mënyrë të vazhdueshme nga Ministria e Financave, me qëllim monitorimin e tyre dhe asistencën e nj</w:t>
      </w:r>
      <w:r w:rsidR="001D2B3C">
        <w:rPr>
          <w:color w:val="000000" w:themeColor="text1"/>
          <w:lang w:val="sq-AL"/>
        </w:rPr>
        <w:t>ë</w:t>
      </w:r>
      <w:r w:rsidRPr="00FB5273">
        <w:rPr>
          <w:color w:val="000000" w:themeColor="text1"/>
          <w:lang w:val="sq-AL"/>
        </w:rPr>
        <w:t>sive të vetëqeverisjes vendore në përmirës</w:t>
      </w:r>
      <w:r w:rsidR="001D2B3C">
        <w:rPr>
          <w:color w:val="000000" w:themeColor="text1"/>
          <w:lang w:val="sq-AL"/>
        </w:rPr>
        <w:t>i</w:t>
      </w:r>
      <w:r w:rsidRPr="00FB5273">
        <w:rPr>
          <w:color w:val="000000" w:themeColor="text1"/>
          <w:lang w:val="sq-AL"/>
        </w:rPr>
        <w:t>min e menaxhimit të këtij procesi. Referuar raportit të treguesve fiskalë të buxhetit të konsoliduar dhe të dhënave të Sistemit Informatik Financiar të Qeverisë, është realizuar analiza e të a</w:t>
      </w:r>
      <w:r w:rsidR="001D2B3C">
        <w:rPr>
          <w:color w:val="000000" w:themeColor="text1"/>
          <w:lang w:val="sq-AL"/>
        </w:rPr>
        <w:t>r</w:t>
      </w:r>
      <w:r w:rsidRPr="00FB5273">
        <w:rPr>
          <w:color w:val="000000" w:themeColor="text1"/>
          <w:lang w:val="sq-AL"/>
        </w:rPr>
        <w:t xml:space="preserve">dhurave dhe shpenzimeve </w:t>
      </w:r>
      <w:r w:rsidR="00374A1E" w:rsidRPr="00FB5273">
        <w:rPr>
          <w:color w:val="000000" w:themeColor="text1"/>
          <w:lang w:val="sq-AL"/>
        </w:rPr>
        <w:t xml:space="preserve">të buxhetit vendor në nivel kombëtar </w:t>
      </w:r>
      <w:r w:rsidRPr="00FB5273">
        <w:rPr>
          <w:color w:val="000000" w:themeColor="text1"/>
          <w:lang w:val="sq-AL"/>
        </w:rPr>
        <w:t xml:space="preserve">për periudhën 3 </w:t>
      </w:r>
      <w:r w:rsidR="00374A1E" w:rsidRPr="00FB5273">
        <w:rPr>
          <w:color w:val="000000" w:themeColor="text1"/>
          <w:lang w:val="sq-AL"/>
        </w:rPr>
        <w:t xml:space="preserve">mujore </w:t>
      </w:r>
      <w:r w:rsidRPr="00FB5273">
        <w:rPr>
          <w:color w:val="000000" w:themeColor="text1"/>
          <w:lang w:val="sq-AL"/>
        </w:rPr>
        <w:t xml:space="preserve">janar-mars </w:t>
      </w:r>
      <w:r w:rsidR="002F25F9" w:rsidRPr="00FB5273">
        <w:rPr>
          <w:color w:val="000000" w:themeColor="text1"/>
          <w:lang w:val="sq-AL"/>
        </w:rPr>
        <w:t>2026</w:t>
      </w:r>
      <w:r w:rsidRPr="00FB5273">
        <w:rPr>
          <w:color w:val="000000" w:themeColor="text1"/>
          <w:lang w:val="sq-AL"/>
        </w:rPr>
        <w:t xml:space="preserve">, duke i marrë në krahasim këto të dhëna edhe me periudhat </w:t>
      </w:r>
      <w:r w:rsidR="002F25F9" w:rsidRPr="00FB5273">
        <w:rPr>
          <w:color w:val="000000" w:themeColor="text1"/>
          <w:lang w:val="sq-AL"/>
        </w:rPr>
        <w:t>e nj</w:t>
      </w:r>
      <w:r w:rsidR="008D15FF" w:rsidRPr="00FB5273">
        <w:rPr>
          <w:color w:val="000000" w:themeColor="text1"/>
          <w:lang w:val="sq-AL"/>
        </w:rPr>
        <w:t>ë</w:t>
      </w:r>
      <w:r w:rsidR="002F25F9" w:rsidRPr="00FB5273">
        <w:rPr>
          <w:color w:val="000000" w:themeColor="text1"/>
          <w:lang w:val="sq-AL"/>
        </w:rPr>
        <w:t>jta t</w:t>
      </w:r>
      <w:r w:rsidR="008D15FF" w:rsidRPr="00FB5273">
        <w:rPr>
          <w:color w:val="000000" w:themeColor="text1"/>
          <w:lang w:val="sq-AL"/>
        </w:rPr>
        <w:t>ë</w:t>
      </w:r>
      <w:r w:rsidR="002F25F9" w:rsidRPr="00FB5273">
        <w:rPr>
          <w:color w:val="000000" w:themeColor="text1"/>
          <w:lang w:val="sq-AL"/>
        </w:rPr>
        <w:t xml:space="preserve"> viteve t</w:t>
      </w:r>
      <w:r w:rsidR="008D15FF" w:rsidRPr="00FB5273">
        <w:rPr>
          <w:color w:val="000000" w:themeColor="text1"/>
          <w:lang w:val="sq-AL"/>
        </w:rPr>
        <w:t>ë</w:t>
      </w:r>
      <w:r w:rsidRPr="00FB5273">
        <w:rPr>
          <w:color w:val="000000" w:themeColor="text1"/>
          <w:lang w:val="sq-AL"/>
        </w:rPr>
        <w:t xml:space="preserve"> mëparshme.</w:t>
      </w:r>
    </w:p>
    <w:bookmarkEnd w:id="2"/>
    <w:p w14:paraId="07858FF3" w14:textId="77777777" w:rsidR="00E51AA1" w:rsidRPr="00FB5273" w:rsidRDefault="00E51AA1" w:rsidP="00E57E27">
      <w:pPr>
        <w:spacing w:line="276" w:lineRule="auto"/>
        <w:jc w:val="both"/>
        <w:rPr>
          <w:b/>
          <w:i/>
          <w:color w:val="002060"/>
          <w:lang w:val="sq-AL"/>
        </w:rPr>
      </w:pPr>
    </w:p>
    <w:p w14:paraId="29F0212A" w14:textId="77777777" w:rsidR="00E51AA1" w:rsidRPr="00FB5273" w:rsidRDefault="00E51AA1" w:rsidP="00E57E27">
      <w:pPr>
        <w:spacing w:line="276" w:lineRule="auto"/>
        <w:jc w:val="both"/>
        <w:rPr>
          <w:b/>
          <w:i/>
          <w:color w:val="4C94D8" w:themeColor="text2" w:themeTint="80"/>
          <w:sz w:val="26"/>
          <w:szCs w:val="26"/>
          <w:lang w:val="sq-AL"/>
        </w:rPr>
      </w:pPr>
      <w:r w:rsidRPr="00FB5273">
        <w:rPr>
          <w:b/>
          <w:i/>
          <w:color w:val="4C94D8" w:themeColor="text2" w:themeTint="80"/>
          <w:sz w:val="26"/>
          <w:szCs w:val="26"/>
          <w:lang w:val="sq-AL"/>
        </w:rPr>
        <w:t>Të ardhurat vendore</w:t>
      </w:r>
    </w:p>
    <w:p w14:paraId="7C351176" w14:textId="77777777" w:rsidR="00E51AA1" w:rsidRPr="00FB5273" w:rsidRDefault="00E51AA1" w:rsidP="00E57E27">
      <w:pPr>
        <w:spacing w:line="276" w:lineRule="auto"/>
        <w:jc w:val="both"/>
        <w:rPr>
          <w:i/>
          <w:color w:val="002060"/>
          <w:sz w:val="20"/>
          <w:szCs w:val="20"/>
          <w:lang w:val="sq-AL"/>
        </w:rPr>
      </w:pPr>
    </w:p>
    <w:p w14:paraId="20DFF356" w14:textId="7FB75942" w:rsidR="00526614" w:rsidRPr="00FB5273" w:rsidRDefault="00526614" w:rsidP="002F25F9">
      <w:pPr>
        <w:spacing w:before="120" w:line="276" w:lineRule="auto"/>
        <w:ind w:firstLine="720"/>
        <w:jc w:val="both"/>
        <w:rPr>
          <w:noProof/>
          <w:color w:val="000000" w:themeColor="text1"/>
          <w:lang w:val="sq-AL"/>
        </w:rPr>
      </w:pPr>
      <w:bookmarkStart w:id="3" w:name="_Hlk205456401"/>
      <w:r w:rsidRPr="00FB5273">
        <w:rPr>
          <w:color w:val="000000" w:themeColor="text1"/>
          <w:lang w:val="sq-AL"/>
        </w:rPr>
        <w:t xml:space="preserve">Për periudhën Janar-Mars </w:t>
      </w:r>
      <w:r w:rsidR="002F25F9" w:rsidRPr="00FB5273">
        <w:rPr>
          <w:color w:val="000000" w:themeColor="text1"/>
          <w:lang w:val="sq-AL"/>
        </w:rPr>
        <w:t>2026</w:t>
      </w:r>
      <w:r w:rsidRPr="00FB5273">
        <w:rPr>
          <w:color w:val="000000" w:themeColor="text1"/>
          <w:lang w:val="sq-AL"/>
        </w:rPr>
        <w:t xml:space="preserve">, njësitë e vetëqeverisjes vendore (NJVQV) në shkallë kombëtare kanë mbledhur të ardhura të veta tatimore në masën </w:t>
      </w:r>
      <w:r w:rsidR="001F1554" w:rsidRPr="00FB5273">
        <w:rPr>
          <w:color w:val="000000" w:themeColor="text1"/>
          <w:lang w:val="sq-AL"/>
        </w:rPr>
        <w:t>18 miliard</w:t>
      </w:r>
      <w:r w:rsidRPr="00FB5273">
        <w:rPr>
          <w:color w:val="000000" w:themeColor="text1"/>
          <w:lang w:val="sq-AL"/>
        </w:rPr>
        <w:t xml:space="preserve">ë LEK. Ky nivel rezulton rreth </w:t>
      </w:r>
      <w:r w:rsidR="001F1554" w:rsidRPr="00FB5273">
        <w:rPr>
          <w:color w:val="000000" w:themeColor="text1"/>
          <w:lang w:val="sq-AL"/>
        </w:rPr>
        <w:t>12</w:t>
      </w:r>
      <w:r w:rsidRPr="00FB5273">
        <w:rPr>
          <w:color w:val="000000" w:themeColor="text1"/>
          <w:lang w:val="sq-AL"/>
        </w:rPr>
        <w:t xml:space="preserve"> mili</w:t>
      </w:r>
      <w:r w:rsidR="001F1554" w:rsidRPr="00FB5273">
        <w:rPr>
          <w:color w:val="000000" w:themeColor="text1"/>
          <w:lang w:val="sq-AL"/>
        </w:rPr>
        <w:t>ard</w:t>
      </w:r>
      <w:r w:rsidRPr="00FB5273">
        <w:rPr>
          <w:color w:val="000000" w:themeColor="text1"/>
          <w:lang w:val="sq-AL"/>
        </w:rPr>
        <w:t xml:space="preserve">ë LEK ose rreth </w:t>
      </w:r>
      <w:r w:rsidR="001F1554" w:rsidRPr="00FB5273">
        <w:rPr>
          <w:color w:val="000000" w:themeColor="text1"/>
          <w:lang w:val="sq-AL"/>
        </w:rPr>
        <w:t>202</w:t>
      </w:r>
      <w:r w:rsidRPr="00FB5273">
        <w:rPr>
          <w:color w:val="000000" w:themeColor="text1"/>
          <w:lang w:val="sq-AL"/>
        </w:rPr>
        <w:t>% më e l</w:t>
      </w:r>
      <w:r w:rsidR="001F1554" w:rsidRPr="00FB5273">
        <w:rPr>
          <w:color w:val="000000" w:themeColor="text1"/>
          <w:lang w:val="sq-AL"/>
        </w:rPr>
        <w:t>art</w:t>
      </w:r>
      <w:r w:rsidRPr="00FB5273">
        <w:rPr>
          <w:color w:val="000000" w:themeColor="text1"/>
          <w:lang w:val="sq-AL"/>
        </w:rPr>
        <w:t>ë se vlera e të ardhurave tatimore të mbledhura gjatë të njëjtës periudhë 202</w:t>
      </w:r>
      <w:r w:rsidR="001F1554" w:rsidRPr="00FB5273">
        <w:rPr>
          <w:color w:val="000000" w:themeColor="text1"/>
          <w:lang w:val="sq-AL"/>
        </w:rPr>
        <w:t>5</w:t>
      </w:r>
      <w:r w:rsidRPr="00FB5273">
        <w:rPr>
          <w:color w:val="000000" w:themeColor="text1"/>
          <w:lang w:val="sq-AL"/>
        </w:rPr>
        <w:t xml:space="preserve">, </w:t>
      </w:r>
      <w:r w:rsidR="001F1554" w:rsidRPr="00FB5273">
        <w:rPr>
          <w:color w:val="000000" w:themeColor="text1"/>
          <w:lang w:val="sq-AL"/>
        </w:rPr>
        <w:t>q</w:t>
      </w:r>
      <w:r w:rsidRPr="00FB5273">
        <w:rPr>
          <w:color w:val="000000" w:themeColor="text1"/>
          <w:lang w:val="sq-AL"/>
        </w:rPr>
        <w:t xml:space="preserve">ë </w:t>
      </w:r>
      <w:r w:rsidR="001F1554" w:rsidRPr="00FB5273">
        <w:rPr>
          <w:color w:val="000000" w:themeColor="text1"/>
          <w:lang w:val="sq-AL"/>
        </w:rPr>
        <w:t>p</w:t>
      </w:r>
      <w:r w:rsidR="008D15FF" w:rsidRPr="00FB5273">
        <w:rPr>
          <w:color w:val="000000" w:themeColor="text1"/>
          <w:lang w:val="sq-AL"/>
        </w:rPr>
        <w:t>ë</w:t>
      </w:r>
      <w:r w:rsidR="001F1554" w:rsidRPr="00FB5273">
        <w:rPr>
          <w:color w:val="000000" w:themeColor="text1"/>
          <w:lang w:val="sq-AL"/>
        </w:rPr>
        <w:t>rfaq</w:t>
      </w:r>
      <w:r w:rsidR="008D15FF" w:rsidRPr="00FB5273">
        <w:rPr>
          <w:color w:val="000000" w:themeColor="text1"/>
          <w:lang w:val="sq-AL"/>
        </w:rPr>
        <w:t>ë</w:t>
      </w:r>
      <w:r w:rsidR="001F1554" w:rsidRPr="00FB5273">
        <w:rPr>
          <w:color w:val="000000" w:themeColor="text1"/>
          <w:lang w:val="sq-AL"/>
        </w:rPr>
        <w:t>son nj</w:t>
      </w:r>
      <w:r w:rsidR="008D15FF" w:rsidRPr="00FB5273">
        <w:rPr>
          <w:color w:val="000000" w:themeColor="text1"/>
          <w:lang w:val="sq-AL"/>
        </w:rPr>
        <w:t>ë</w:t>
      </w:r>
      <w:r w:rsidR="001F1554" w:rsidRPr="00FB5273">
        <w:rPr>
          <w:color w:val="000000" w:themeColor="text1"/>
          <w:lang w:val="sq-AL"/>
        </w:rPr>
        <w:t xml:space="preserve"> rritje t</w:t>
      </w:r>
      <w:r w:rsidR="008D15FF" w:rsidRPr="00FB5273">
        <w:rPr>
          <w:color w:val="000000" w:themeColor="text1"/>
          <w:lang w:val="sq-AL"/>
        </w:rPr>
        <w:t>ë</w:t>
      </w:r>
      <w:r w:rsidR="001F1554" w:rsidRPr="00FB5273">
        <w:rPr>
          <w:color w:val="000000" w:themeColor="text1"/>
          <w:lang w:val="sq-AL"/>
        </w:rPr>
        <w:t xml:space="preserve"> t</w:t>
      </w:r>
      <w:r w:rsidR="008D15FF" w:rsidRPr="00FB5273">
        <w:rPr>
          <w:color w:val="000000" w:themeColor="text1"/>
          <w:lang w:val="sq-AL"/>
        </w:rPr>
        <w:t>ë</w:t>
      </w:r>
      <w:r w:rsidR="001F1554" w:rsidRPr="00FB5273">
        <w:rPr>
          <w:color w:val="000000" w:themeColor="text1"/>
          <w:lang w:val="sq-AL"/>
        </w:rPr>
        <w:t xml:space="preserve"> ardhurave vendore jasht</w:t>
      </w:r>
      <w:r w:rsidR="008D15FF" w:rsidRPr="00FB5273">
        <w:rPr>
          <w:color w:val="000000" w:themeColor="text1"/>
          <w:lang w:val="sq-AL"/>
        </w:rPr>
        <w:t>ë</w:t>
      </w:r>
      <w:r w:rsidR="001F1554" w:rsidRPr="00FB5273">
        <w:rPr>
          <w:color w:val="000000" w:themeColor="text1"/>
          <w:lang w:val="sq-AL"/>
        </w:rPr>
        <w:t xml:space="preserve"> trendit t</w:t>
      </w:r>
      <w:r w:rsidR="008D15FF" w:rsidRPr="00FB5273">
        <w:rPr>
          <w:color w:val="000000" w:themeColor="text1"/>
          <w:lang w:val="sq-AL"/>
        </w:rPr>
        <w:t>ë</w:t>
      </w:r>
      <w:r w:rsidR="001F1554" w:rsidRPr="00FB5273">
        <w:rPr>
          <w:color w:val="000000" w:themeColor="text1"/>
          <w:lang w:val="sq-AL"/>
        </w:rPr>
        <w:t xml:space="preserve"> zakonsh</w:t>
      </w:r>
      <w:r w:rsidR="008D15FF" w:rsidRPr="00FB5273">
        <w:rPr>
          <w:color w:val="000000" w:themeColor="text1"/>
          <w:lang w:val="sq-AL"/>
        </w:rPr>
        <w:t>ë</w:t>
      </w:r>
      <w:r w:rsidR="001F1554" w:rsidRPr="00FB5273">
        <w:rPr>
          <w:color w:val="000000" w:themeColor="text1"/>
          <w:lang w:val="sq-AL"/>
        </w:rPr>
        <w:t>m t</w:t>
      </w:r>
      <w:r w:rsidR="008D15FF" w:rsidRPr="00FB5273">
        <w:rPr>
          <w:color w:val="000000" w:themeColor="text1"/>
          <w:lang w:val="sq-AL"/>
        </w:rPr>
        <w:t>ë</w:t>
      </w:r>
      <w:r w:rsidR="001F1554" w:rsidRPr="00FB5273">
        <w:rPr>
          <w:color w:val="000000" w:themeColor="text1"/>
          <w:lang w:val="sq-AL"/>
        </w:rPr>
        <w:t xml:space="preserve"> k</w:t>
      </w:r>
      <w:r w:rsidR="008D15FF" w:rsidRPr="00FB5273">
        <w:rPr>
          <w:color w:val="000000" w:themeColor="text1"/>
          <w:lang w:val="sq-AL"/>
        </w:rPr>
        <w:t>ë</w:t>
      </w:r>
      <w:r w:rsidR="001F1554" w:rsidRPr="00FB5273">
        <w:rPr>
          <w:color w:val="000000" w:themeColor="text1"/>
          <w:lang w:val="sq-AL"/>
        </w:rPr>
        <w:t>tyre viteve</w:t>
      </w:r>
      <w:r w:rsidRPr="00FB5273">
        <w:rPr>
          <w:color w:val="000000" w:themeColor="text1"/>
          <w:lang w:val="sq-AL"/>
        </w:rPr>
        <w:t xml:space="preserve">. Realizimi i të ardhurave vendore gjatë </w:t>
      </w:r>
      <w:r w:rsidR="00B65B0B" w:rsidRPr="00FB5273">
        <w:rPr>
          <w:color w:val="000000" w:themeColor="text1"/>
          <w:lang w:val="sq-AL"/>
        </w:rPr>
        <w:t>3</w:t>
      </w:r>
      <w:r w:rsidRPr="00FB5273">
        <w:rPr>
          <w:color w:val="000000" w:themeColor="text1"/>
          <w:lang w:val="sq-AL"/>
        </w:rPr>
        <w:t xml:space="preserve">M </w:t>
      </w:r>
      <w:r w:rsidR="002F25F9" w:rsidRPr="00FB5273">
        <w:rPr>
          <w:color w:val="000000" w:themeColor="text1"/>
          <w:lang w:val="sq-AL"/>
        </w:rPr>
        <w:t>2026</w:t>
      </w:r>
      <w:r w:rsidRPr="00FB5273">
        <w:rPr>
          <w:color w:val="000000" w:themeColor="text1"/>
          <w:lang w:val="sq-AL"/>
        </w:rPr>
        <w:t xml:space="preserve">, kundrejt </w:t>
      </w:r>
      <w:r w:rsidR="00A6290B" w:rsidRPr="00FB5273">
        <w:rPr>
          <w:color w:val="000000" w:themeColor="text1"/>
          <w:lang w:val="sq-AL"/>
        </w:rPr>
        <w:t>t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 xml:space="preserve"> nj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>jt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>s periudh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 xml:space="preserve"> t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 xml:space="preserve"> </w:t>
      </w:r>
      <w:r w:rsidRPr="00FB5273">
        <w:rPr>
          <w:color w:val="000000" w:themeColor="text1"/>
          <w:lang w:val="sq-AL"/>
        </w:rPr>
        <w:t>vitit 202</w:t>
      </w:r>
      <w:r w:rsidR="00A6290B" w:rsidRPr="00FB5273">
        <w:rPr>
          <w:color w:val="000000" w:themeColor="text1"/>
          <w:lang w:val="sq-AL"/>
        </w:rPr>
        <w:t>5</w:t>
      </w:r>
      <w:r w:rsidRPr="00FB5273">
        <w:rPr>
          <w:color w:val="000000" w:themeColor="text1"/>
          <w:lang w:val="sq-AL"/>
        </w:rPr>
        <w:t xml:space="preserve">, tregon </w:t>
      </w:r>
      <w:r w:rsidR="00A6290B" w:rsidRPr="00FB5273">
        <w:rPr>
          <w:color w:val="000000" w:themeColor="text1"/>
          <w:lang w:val="sq-AL"/>
        </w:rPr>
        <w:t>rritje t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 xml:space="preserve"> mbledhjes s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 xml:space="preserve"> të ardhurave të veta p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>r secilin nga z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>rat e taksave vendore, ku rritja m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 xml:space="preserve"> e madhe </w:t>
      </w:r>
      <w:r w:rsidR="001D2B3C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>sht</w:t>
      </w:r>
      <w:r w:rsidR="001D2B3C">
        <w:rPr>
          <w:color w:val="000000" w:themeColor="text1"/>
          <w:lang w:val="sq-AL"/>
        </w:rPr>
        <w:t xml:space="preserve">ë </w:t>
      </w:r>
      <w:r w:rsidR="00A6290B" w:rsidRPr="00FB5273">
        <w:rPr>
          <w:color w:val="000000" w:themeColor="text1"/>
          <w:lang w:val="sq-AL"/>
        </w:rPr>
        <w:t>tek taksat lokale, kryesisht</w:t>
      </w:r>
      <w:r w:rsidR="001D2B3C">
        <w:rPr>
          <w:color w:val="000000" w:themeColor="text1"/>
          <w:lang w:val="sq-AL"/>
        </w:rPr>
        <w:t xml:space="preserve"> </w:t>
      </w:r>
      <w:r w:rsidR="00A6290B" w:rsidRPr="00FB5273">
        <w:rPr>
          <w:color w:val="000000" w:themeColor="text1"/>
          <w:lang w:val="sq-AL"/>
        </w:rPr>
        <w:t>‘taksa e ndikimit n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 xml:space="preserve"> infrastrukturë nga ndë</w:t>
      </w:r>
      <w:r w:rsidR="001D2B3C">
        <w:rPr>
          <w:color w:val="000000" w:themeColor="text1"/>
          <w:lang w:val="sq-AL"/>
        </w:rPr>
        <w:t>r</w:t>
      </w:r>
      <w:r w:rsidR="00A6290B" w:rsidRPr="00FB5273">
        <w:rPr>
          <w:color w:val="000000" w:themeColor="text1"/>
          <w:lang w:val="sq-AL"/>
        </w:rPr>
        <w:t>timet e reja’, por v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>rehet edhe tek ark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>timet nga taksa mbi biznesin e vogël e cila n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 xml:space="preserve"> vitet e fundit ka qen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 xml:space="preserve"> drejt zerimit, por n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 xml:space="preserve"> </w:t>
      </w:r>
      <w:r w:rsidR="001D2B3C">
        <w:rPr>
          <w:color w:val="000000" w:themeColor="text1"/>
          <w:lang w:val="sq-AL"/>
        </w:rPr>
        <w:t xml:space="preserve">3 </w:t>
      </w:r>
      <w:r w:rsidR="00A6290B" w:rsidRPr="00FB5273">
        <w:rPr>
          <w:color w:val="000000" w:themeColor="text1"/>
          <w:lang w:val="sq-AL"/>
        </w:rPr>
        <w:t>mujor 2026 ka realizim prej 856 milion lek</w:t>
      </w:r>
      <w:r w:rsidR="008D15FF" w:rsidRPr="00FB5273">
        <w:rPr>
          <w:color w:val="000000" w:themeColor="text1"/>
          <w:lang w:val="sq-AL"/>
        </w:rPr>
        <w:t>ë</w:t>
      </w:r>
      <w:r w:rsidR="00A6290B" w:rsidRPr="00FB5273">
        <w:rPr>
          <w:color w:val="000000" w:themeColor="text1"/>
          <w:lang w:val="sq-AL"/>
        </w:rPr>
        <w:t xml:space="preserve">. </w:t>
      </w:r>
    </w:p>
    <w:p w14:paraId="45C23428" w14:textId="05F2F751" w:rsidR="00B65B0B" w:rsidRPr="00FB5273" w:rsidRDefault="00A6290B" w:rsidP="00B65B0B">
      <w:pPr>
        <w:spacing w:before="120" w:line="276" w:lineRule="auto"/>
        <w:jc w:val="both"/>
        <w:rPr>
          <w:color w:val="000000" w:themeColor="text1"/>
          <w:lang w:val="sq-AL"/>
        </w:rPr>
      </w:pPr>
      <w:bookmarkStart w:id="4" w:name="_Hlk205456707"/>
      <w:bookmarkEnd w:id="3"/>
      <w:r w:rsidRPr="00FB5273">
        <w:rPr>
          <w:color w:val="000000" w:themeColor="text1"/>
          <w:lang w:val="sq-AL"/>
        </w:rPr>
        <w:t>R</w:t>
      </w:r>
      <w:r w:rsidR="00B65B0B" w:rsidRPr="00FB5273">
        <w:rPr>
          <w:color w:val="000000" w:themeColor="text1"/>
          <w:lang w:val="sq-AL"/>
        </w:rPr>
        <w:t xml:space="preserve">eferuar të dhënave të treguesve fiskalë, </w:t>
      </w:r>
      <w:r w:rsidR="00B35A10" w:rsidRPr="00FB5273">
        <w:rPr>
          <w:color w:val="000000" w:themeColor="text1"/>
          <w:lang w:val="sq-AL"/>
        </w:rPr>
        <w:t xml:space="preserve">ecuria e </w:t>
      </w:r>
      <w:r w:rsidR="00B65B0B" w:rsidRPr="00FB5273">
        <w:rPr>
          <w:color w:val="000000" w:themeColor="text1"/>
          <w:lang w:val="sq-AL"/>
        </w:rPr>
        <w:t>të ardhura</w:t>
      </w:r>
      <w:r w:rsidR="00B35A10" w:rsidRPr="00FB5273">
        <w:rPr>
          <w:color w:val="000000" w:themeColor="text1"/>
          <w:lang w:val="sq-AL"/>
        </w:rPr>
        <w:t>ve t</w:t>
      </w:r>
      <w:r w:rsidR="008D15FF" w:rsidRPr="00FB5273">
        <w:rPr>
          <w:color w:val="000000" w:themeColor="text1"/>
          <w:lang w:val="sq-AL"/>
        </w:rPr>
        <w:t>ë</w:t>
      </w:r>
      <w:r w:rsidR="00B65B0B" w:rsidRPr="00FB5273">
        <w:rPr>
          <w:color w:val="000000" w:themeColor="text1"/>
          <w:lang w:val="sq-AL"/>
        </w:rPr>
        <w:t xml:space="preserve"> pushtetit vendor për periudhën 3 mujore në vitet 201</w:t>
      </w:r>
      <w:r w:rsidR="00B35A10" w:rsidRPr="00FB5273">
        <w:rPr>
          <w:color w:val="000000" w:themeColor="text1"/>
          <w:lang w:val="sq-AL"/>
        </w:rPr>
        <w:t>8</w:t>
      </w:r>
      <w:r w:rsidR="00B65B0B" w:rsidRPr="00FB5273">
        <w:rPr>
          <w:color w:val="000000" w:themeColor="text1"/>
          <w:lang w:val="sq-AL"/>
        </w:rPr>
        <w:t>-</w:t>
      </w:r>
      <w:r w:rsidR="002F25F9" w:rsidRPr="00FB5273">
        <w:rPr>
          <w:color w:val="000000" w:themeColor="text1"/>
          <w:lang w:val="sq-AL"/>
        </w:rPr>
        <w:t>2026</w:t>
      </w:r>
      <w:r w:rsidR="00B65B0B" w:rsidRPr="00FB5273">
        <w:rPr>
          <w:color w:val="000000" w:themeColor="text1"/>
          <w:lang w:val="sq-AL"/>
        </w:rPr>
        <w:t xml:space="preserve">, </w:t>
      </w:r>
      <w:r w:rsidR="00B35A10" w:rsidRPr="00FB5273">
        <w:rPr>
          <w:color w:val="000000" w:themeColor="text1"/>
          <w:lang w:val="sq-AL"/>
        </w:rPr>
        <w:t>paraqitet</w:t>
      </w:r>
      <w:r w:rsidR="00B65B0B" w:rsidRPr="00FB5273">
        <w:rPr>
          <w:color w:val="000000" w:themeColor="text1"/>
          <w:lang w:val="sq-AL"/>
        </w:rPr>
        <w:t xml:space="preserve"> në grafikun e mëposhtëm:</w:t>
      </w:r>
    </w:p>
    <w:p w14:paraId="1E7402F7" w14:textId="77777777" w:rsidR="00B35A10" w:rsidRPr="00FB5273" w:rsidRDefault="00B35A10" w:rsidP="00B65B0B">
      <w:pPr>
        <w:spacing w:before="120" w:line="276" w:lineRule="auto"/>
        <w:jc w:val="both"/>
        <w:rPr>
          <w:color w:val="000000" w:themeColor="text1"/>
          <w:sz w:val="16"/>
          <w:szCs w:val="16"/>
          <w:lang w:val="sq-AL"/>
        </w:rPr>
      </w:pPr>
    </w:p>
    <w:p w14:paraId="4657C4FD" w14:textId="609AFF92" w:rsidR="00B65B0B" w:rsidRPr="00FB5273" w:rsidRDefault="00B65B0B" w:rsidP="00B65B0B">
      <w:pPr>
        <w:pStyle w:val="Caption"/>
        <w:spacing w:after="0" w:line="276" w:lineRule="auto"/>
        <w:jc w:val="both"/>
        <w:rPr>
          <w:b w:val="0"/>
          <w:bCs w:val="0"/>
          <w:i/>
          <w:color w:val="000000" w:themeColor="text1"/>
          <w:sz w:val="22"/>
          <w:szCs w:val="22"/>
          <w:lang w:val="sq-AL"/>
        </w:rPr>
      </w:pPr>
      <w:bookmarkStart w:id="5" w:name="_Toc44404468"/>
      <w:r w:rsidRPr="00FB5273">
        <w:rPr>
          <w:i/>
          <w:color w:val="000000" w:themeColor="text1"/>
          <w:sz w:val="22"/>
          <w:szCs w:val="22"/>
          <w:lang w:val="sq-AL"/>
        </w:rPr>
        <w:t>Grafiku 1: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 xml:space="preserve"> Të ardhurat e përgjithshme </w:t>
      </w:r>
      <w:r w:rsidR="00B35A10"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 xml:space="preserve">tatimore 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 xml:space="preserve">të pushtetit vendor dhe ritmi i </w:t>
      </w:r>
      <w:r w:rsidR="00B35A10"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ndryshimit t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ë tyre</w:t>
      </w:r>
    </w:p>
    <w:p w14:paraId="1668DDD6" w14:textId="10567A35" w:rsidR="001F1554" w:rsidRPr="00FB5273" w:rsidRDefault="00912587" w:rsidP="001F1554">
      <w:pPr>
        <w:rPr>
          <w:noProof/>
          <w:lang w:val="sq-AL"/>
          <w14:ligatures w14:val="standardContextual"/>
        </w:rPr>
      </w:pPr>
      <w:r w:rsidRPr="00FB5273">
        <w:rPr>
          <w:noProof/>
          <w:lang w:val="sq-AL"/>
          <w14:ligatures w14:val="standardContextual"/>
        </w:rPr>
        <w:drawing>
          <wp:inline distT="0" distB="0" distL="0" distR="0" wp14:anchorId="6B83D10E" wp14:editId="3C3C7829">
            <wp:extent cx="5886450" cy="1610435"/>
            <wp:effectExtent l="0" t="0" r="0" b="8890"/>
            <wp:docPr id="14825788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649027C-4036-45BB-BA11-E95D7EBCC7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bookmarkEnd w:id="4"/>
    <w:bookmarkEnd w:id="5"/>
    <w:p w14:paraId="65B9BB87" w14:textId="72C2FBBE" w:rsidR="00E51AA1" w:rsidRPr="00FB5273" w:rsidRDefault="00E51AA1" w:rsidP="00E57E27">
      <w:pPr>
        <w:spacing w:line="276" w:lineRule="auto"/>
        <w:jc w:val="both"/>
        <w:rPr>
          <w:bCs/>
          <w:i/>
          <w:iCs/>
          <w:noProof/>
          <w:color w:val="000000" w:themeColor="text1"/>
          <w:sz w:val="20"/>
          <w:szCs w:val="20"/>
          <w:lang w:val="sq-AL" w:eastAsia="sq-AL"/>
        </w:rPr>
      </w:pPr>
      <w:r w:rsidRPr="00FB5273">
        <w:rPr>
          <w:b/>
          <w:bCs/>
          <w:i/>
          <w:iCs/>
          <w:noProof/>
          <w:color w:val="000000" w:themeColor="text1"/>
          <w:sz w:val="20"/>
          <w:szCs w:val="20"/>
          <w:lang w:val="sq-AL" w:eastAsia="sq-AL"/>
        </w:rPr>
        <w:t>Burimi:</w:t>
      </w:r>
      <w:r w:rsidRPr="00FB5273">
        <w:rPr>
          <w:bCs/>
          <w:i/>
          <w:iCs/>
          <w:noProof/>
          <w:color w:val="000000" w:themeColor="text1"/>
          <w:sz w:val="20"/>
          <w:szCs w:val="20"/>
          <w:lang w:val="sq-AL" w:eastAsia="sq-AL"/>
        </w:rPr>
        <w:t xml:space="preserve"> Drejtoria e Financave Vendore, Ministria e Financave (</w:t>
      </w:r>
      <w:r w:rsidR="002F25F9" w:rsidRPr="00FB5273">
        <w:rPr>
          <w:bCs/>
          <w:i/>
          <w:iCs/>
          <w:noProof/>
          <w:color w:val="000000" w:themeColor="text1"/>
          <w:sz w:val="20"/>
          <w:szCs w:val="20"/>
          <w:lang w:val="sq-AL" w:eastAsia="sq-AL"/>
        </w:rPr>
        <w:t>2026</w:t>
      </w:r>
      <w:r w:rsidRPr="00FB5273">
        <w:rPr>
          <w:bCs/>
          <w:i/>
          <w:iCs/>
          <w:noProof/>
          <w:color w:val="000000" w:themeColor="text1"/>
          <w:sz w:val="20"/>
          <w:szCs w:val="20"/>
          <w:lang w:val="sq-AL" w:eastAsia="sq-AL"/>
        </w:rPr>
        <w:t>)</w:t>
      </w:r>
    </w:p>
    <w:p w14:paraId="3582159F" w14:textId="77777777" w:rsidR="00B65B0B" w:rsidRPr="00FB5273" w:rsidRDefault="00B65B0B" w:rsidP="00B65B0B">
      <w:pPr>
        <w:spacing w:line="276" w:lineRule="auto"/>
        <w:jc w:val="both"/>
        <w:rPr>
          <w:color w:val="002060"/>
          <w:lang w:val="sq-AL"/>
        </w:rPr>
      </w:pPr>
    </w:p>
    <w:p w14:paraId="6694AFC0" w14:textId="17B2DC49" w:rsidR="00B65B0B" w:rsidRPr="00FB5273" w:rsidRDefault="00B65B0B" w:rsidP="008D15FF">
      <w:pPr>
        <w:spacing w:line="276" w:lineRule="auto"/>
        <w:ind w:firstLine="720"/>
        <w:jc w:val="both"/>
        <w:rPr>
          <w:noProof/>
          <w:color w:val="000000" w:themeColor="text1"/>
          <w:lang w:val="sq-AL"/>
        </w:rPr>
      </w:pPr>
      <w:r w:rsidRPr="00FB5273">
        <w:rPr>
          <w:color w:val="000000" w:themeColor="text1"/>
          <w:lang w:val="sq-AL"/>
        </w:rPr>
        <w:t>Ndër vite, të ardhurat e pushtetit vendor kanë pësuar ndryshime si në vlerë ashtu edhe në strukturën e burimit të tyre. Të ardhurat që sigurojnë NJVQV</w:t>
      </w:r>
      <w:r w:rsidR="001D2B3C">
        <w:rPr>
          <w:color w:val="000000" w:themeColor="text1"/>
          <w:lang w:val="sq-AL"/>
        </w:rPr>
        <w:t>-të</w:t>
      </w:r>
      <w:r w:rsidRPr="00FB5273">
        <w:rPr>
          <w:color w:val="000000" w:themeColor="text1"/>
          <w:lang w:val="sq-AL"/>
        </w:rPr>
        <w:t xml:space="preserve"> nga ‘</w:t>
      </w:r>
      <w:r w:rsidRPr="00FB5273">
        <w:rPr>
          <w:i/>
          <w:color w:val="000000" w:themeColor="text1"/>
          <w:lang w:val="sq-AL"/>
        </w:rPr>
        <w:t>taksat lokale’</w:t>
      </w:r>
      <w:r w:rsidRPr="00FB5273">
        <w:rPr>
          <w:color w:val="000000" w:themeColor="text1"/>
          <w:lang w:val="sq-AL"/>
        </w:rPr>
        <w:t xml:space="preserve"> janë ato që zënë pjesën më të madhe me rreth </w:t>
      </w:r>
      <w:r w:rsidR="008C3308" w:rsidRPr="00FB5273">
        <w:rPr>
          <w:color w:val="000000" w:themeColor="text1"/>
          <w:lang w:val="sq-AL"/>
        </w:rPr>
        <w:t>85.2</w:t>
      </w:r>
      <w:r w:rsidRPr="00FB5273">
        <w:rPr>
          <w:color w:val="000000" w:themeColor="text1"/>
          <w:lang w:val="sq-AL"/>
        </w:rPr>
        <w:t xml:space="preserve">% të shumës totale të këtyre të ardhurave për 3M </w:t>
      </w:r>
      <w:r w:rsidR="002F25F9" w:rsidRPr="00FB5273">
        <w:rPr>
          <w:color w:val="000000" w:themeColor="text1"/>
          <w:lang w:val="sq-AL"/>
        </w:rPr>
        <w:t>2026</w:t>
      </w:r>
      <w:r w:rsidRPr="00FB5273">
        <w:rPr>
          <w:color w:val="000000" w:themeColor="text1"/>
          <w:lang w:val="sq-AL"/>
        </w:rPr>
        <w:t>. Ndërkohë, nga ‘</w:t>
      </w:r>
      <w:r w:rsidRPr="00FB5273">
        <w:rPr>
          <w:i/>
          <w:color w:val="000000" w:themeColor="text1"/>
          <w:lang w:val="sq-AL"/>
        </w:rPr>
        <w:t>taksa e pasurisë’</w:t>
      </w:r>
      <w:r w:rsidRPr="00FB5273">
        <w:rPr>
          <w:color w:val="000000" w:themeColor="text1"/>
          <w:lang w:val="sq-AL"/>
        </w:rPr>
        <w:t xml:space="preserve"> (</w:t>
      </w:r>
      <w:r w:rsidRPr="00FB5273">
        <w:rPr>
          <w:i/>
          <w:color w:val="000000" w:themeColor="text1"/>
          <w:lang w:val="sq-AL"/>
        </w:rPr>
        <w:t>ndërtesa, trualli dhe toka bujqësore</w:t>
      </w:r>
      <w:r w:rsidRPr="00FB5273">
        <w:rPr>
          <w:color w:val="000000" w:themeColor="text1"/>
          <w:lang w:val="sq-AL"/>
        </w:rPr>
        <w:t>) janë mbledhur rreth 1,</w:t>
      </w:r>
      <w:r w:rsidR="008C3308" w:rsidRPr="00FB5273">
        <w:rPr>
          <w:color w:val="000000" w:themeColor="text1"/>
          <w:lang w:val="sq-AL"/>
        </w:rPr>
        <w:t>812</w:t>
      </w:r>
      <w:r w:rsidRPr="00FB5273">
        <w:rPr>
          <w:color w:val="000000" w:themeColor="text1"/>
          <w:lang w:val="sq-AL"/>
        </w:rPr>
        <w:t xml:space="preserve"> milionë </w:t>
      </w:r>
      <w:r w:rsidR="00912587" w:rsidRPr="00FB5273">
        <w:rPr>
          <w:color w:val="000000" w:themeColor="text1"/>
          <w:lang w:val="sq-AL"/>
        </w:rPr>
        <w:t>lek</w:t>
      </w:r>
      <w:r w:rsidR="008D15FF" w:rsidRPr="00FB5273">
        <w:rPr>
          <w:color w:val="000000" w:themeColor="text1"/>
          <w:lang w:val="sq-AL"/>
        </w:rPr>
        <w:t>ë</w:t>
      </w:r>
      <w:r w:rsidRPr="00FB5273">
        <w:rPr>
          <w:color w:val="000000" w:themeColor="text1"/>
          <w:lang w:val="sq-AL"/>
        </w:rPr>
        <w:t xml:space="preserve"> ose rreth </w:t>
      </w:r>
      <w:r w:rsidR="008C3308" w:rsidRPr="00FB5273">
        <w:rPr>
          <w:color w:val="000000" w:themeColor="text1"/>
          <w:lang w:val="sq-AL"/>
        </w:rPr>
        <w:t>10</w:t>
      </w:r>
      <w:r w:rsidRPr="00FB5273">
        <w:rPr>
          <w:color w:val="000000" w:themeColor="text1"/>
          <w:lang w:val="sq-AL"/>
        </w:rPr>
        <w:t xml:space="preserve">% e totalit të të ardhurave vendore. </w:t>
      </w:r>
      <w:bookmarkStart w:id="6" w:name="_Hlk205457245"/>
      <w:r w:rsidR="00912587" w:rsidRPr="00FB5273">
        <w:rPr>
          <w:color w:val="000000" w:themeColor="text1"/>
          <w:lang w:val="sq-AL"/>
        </w:rPr>
        <w:t>Megjithat</w:t>
      </w:r>
      <w:r w:rsidR="008D15FF" w:rsidRPr="00FB5273">
        <w:rPr>
          <w:color w:val="000000" w:themeColor="text1"/>
          <w:lang w:val="sq-AL"/>
        </w:rPr>
        <w:t>ë</w:t>
      </w:r>
      <w:r w:rsidR="00912587" w:rsidRPr="00FB5273">
        <w:rPr>
          <w:color w:val="000000" w:themeColor="text1"/>
          <w:lang w:val="sq-AL"/>
        </w:rPr>
        <w:t xml:space="preserve"> p</w:t>
      </w:r>
      <w:r w:rsidR="008D15FF" w:rsidRPr="00FB5273">
        <w:rPr>
          <w:color w:val="000000" w:themeColor="text1"/>
          <w:lang w:val="sq-AL"/>
        </w:rPr>
        <w:t>ë</w:t>
      </w:r>
      <w:r w:rsidR="00912587" w:rsidRPr="00FB5273">
        <w:rPr>
          <w:color w:val="000000" w:themeColor="text1"/>
          <w:lang w:val="sq-AL"/>
        </w:rPr>
        <w:t>r 3 mujorin e par</w:t>
      </w:r>
      <w:r w:rsidR="008D15FF" w:rsidRPr="00FB5273">
        <w:rPr>
          <w:color w:val="000000" w:themeColor="text1"/>
          <w:lang w:val="sq-AL"/>
        </w:rPr>
        <w:t>ë</w:t>
      </w:r>
      <w:r w:rsidR="00912587" w:rsidRPr="00FB5273">
        <w:rPr>
          <w:color w:val="000000" w:themeColor="text1"/>
          <w:lang w:val="sq-AL"/>
        </w:rPr>
        <w:t xml:space="preserve"> t</w:t>
      </w:r>
      <w:r w:rsidR="008D15FF" w:rsidRPr="00FB5273">
        <w:rPr>
          <w:color w:val="000000" w:themeColor="text1"/>
          <w:lang w:val="sq-AL"/>
        </w:rPr>
        <w:t>ë</w:t>
      </w:r>
      <w:r w:rsidR="00912587" w:rsidRPr="00FB5273">
        <w:rPr>
          <w:color w:val="000000" w:themeColor="text1"/>
          <w:lang w:val="sq-AL"/>
        </w:rPr>
        <w:t xml:space="preserve"> vitit 2026</w:t>
      </w:r>
      <w:r w:rsidR="008C3308" w:rsidRPr="00FB5273">
        <w:rPr>
          <w:color w:val="000000" w:themeColor="text1"/>
          <w:lang w:val="sq-AL"/>
        </w:rPr>
        <w:t xml:space="preserve"> vihet re q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 xml:space="preserve"> </w:t>
      </w:r>
      <w:r w:rsidRPr="00FB5273">
        <w:rPr>
          <w:color w:val="000000" w:themeColor="text1"/>
          <w:lang w:val="sq-AL"/>
        </w:rPr>
        <w:t>‘</w:t>
      </w:r>
      <w:r w:rsidRPr="00FB5273">
        <w:rPr>
          <w:i/>
          <w:color w:val="000000" w:themeColor="text1"/>
          <w:lang w:val="sq-AL"/>
        </w:rPr>
        <w:t>taksa mbi biznesin e vogël’</w:t>
      </w:r>
      <w:r w:rsidRPr="00FB5273">
        <w:rPr>
          <w:color w:val="000000" w:themeColor="text1"/>
          <w:lang w:val="sq-AL"/>
        </w:rPr>
        <w:t xml:space="preserve"> 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>sht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 xml:space="preserve"> realizuar n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 xml:space="preserve"> mas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>n 856 milion lek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 xml:space="preserve"> duke z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>n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 xml:space="preserve"> rreth 4.7% t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 xml:space="preserve"> t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 xml:space="preserve"> ardhurave vendore p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>r periudh</w:t>
      </w:r>
      <w:r w:rsidR="008D15FF" w:rsidRPr="00FB5273">
        <w:rPr>
          <w:color w:val="000000" w:themeColor="text1"/>
          <w:lang w:val="sq-AL"/>
        </w:rPr>
        <w:t>ë</w:t>
      </w:r>
      <w:r w:rsidR="008C3308" w:rsidRPr="00FB5273">
        <w:rPr>
          <w:color w:val="000000" w:themeColor="text1"/>
          <w:lang w:val="sq-AL"/>
        </w:rPr>
        <w:t>n.</w:t>
      </w:r>
    </w:p>
    <w:bookmarkEnd w:id="6"/>
    <w:p w14:paraId="41AB946D" w14:textId="77777777" w:rsidR="00DD7C90" w:rsidRPr="00FB5273" w:rsidRDefault="00DD7C90" w:rsidP="00DC3655">
      <w:pPr>
        <w:spacing w:line="276" w:lineRule="auto"/>
        <w:jc w:val="both"/>
        <w:rPr>
          <w:lang w:val="sq-AL"/>
        </w:rPr>
      </w:pPr>
    </w:p>
    <w:p w14:paraId="62868157" w14:textId="48355931" w:rsidR="00E51AA1" w:rsidRPr="00FB5273" w:rsidRDefault="00E51AA1" w:rsidP="00DD7C90">
      <w:pPr>
        <w:spacing w:line="276" w:lineRule="auto"/>
        <w:ind w:firstLine="720"/>
        <w:jc w:val="both"/>
        <w:rPr>
          <w:lang w:val="sq-AL"/>
        </w:rPr>
      </w:pPr>
      <w:r w:rsidRPr="00FB5273">
        <w:rPr>
          <w:lang w:val="sq-AL"/>
        </w:rPr>
        <w:t xml:space="preserve">Duke marrë në analizë të ardhurat e NJVQV-ve sipas burimit, </w:t>
      </w:r>
      <w:r w:rsidR="00080676" w:rsidRPr="00FB5273">
        <w:rPr>
          <w:lang w:val="sq-AL"/>
        </w:rPr>
        <w:t xml:space="preserve">situata </w:t>
      </w:r>
      <w:r w:rsidR="00A82AD1" w:rsidRPr="00FB5273">
        <w:rPr>
          <w:lang w:val="sq-AL"/>
        </w:rPr>
        <w:t>paraqitet</w:t>
      </w:r>
      <w:r w:rsidRPr="00FB5273">
        <w:rPr>
          <w:lang w:val="sq-AL"/>
        </w:rPr>
        <w:t xml:space="preserve"> si në grafikun e mëposhtëm:</w:t>
      </w:r>
    </w:p>
    <w:p w14:paraId="54DA3D7D" w14:textId="77777777" w:rsidR="00DC3655" w:rsidRPr="00FB5273" w:rsidRDefault="00DC3655" w:rsidP="00DC3655">
      <w:pPr>
        <w:spacing w:line="276" w:lineRule="auto"/>
        <w:jc w:val="both"/>
        <w:rPr>
          <w:color w:val="002060"/>
          <w:sz w:val="16"/>
          <w:szCs w:val="16"/>
          <w:lang w:val="sq-AL"/>
        </w:rPr>
      </w:pPr>
    </w:p>
    <w:p w14:paraId="3FA8D553" w14:textId="77777777" w:rsidR="008C3308" w:rsidRPr="00FB5273" w:rsidRDefault="00E51AA1" w:rsidP="00AC72C0">
      <w:pPr>
        <w:pStyle w:val="Caption"/>
        <w:spacing w:after="0" w:line="276" w:lineRule="auto"/>
        <w:jc w:val="both"/>
        <w:rPr>
          <w:b w:val="0"/>
          <w:bCs w:val="0"/>
          <w:i/>
          <w:color w:val="000000" w:themeColor="text1"/>
          <w:sz w:val="22"/>
          <w:szCs w:val="22"/>
          <w:lang w:val="sq-AL"/>
        </w:rPr>
      </w:pPr>
      <w:r w:rsidRPr="00FB5273">
        <w:rPr>
          <w:i/>
          <w:color w:val="000000" w:themeColor="text1"/>
          <w:sz w:val="22"/>
          <w:szCs w:val="22"/>
          <w:lang w:val="sq-AL"/>
        </w:rPr>
        <w:t>Grafiku 2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: Të ardhurat sipas burimit për pushtetin vendor në shkallë kombëtare</w:t>
      </w:r>
    </w:p>
    <w:p w14:paraId="34C3B04A" w14:textId="3922DE92" w:rsidR="008C3308" w:rsidRPr="00FB5273" w:rsidRDefault="008C3308" w:rsidP="008C3308">
      <w:pPr>
        <w:rPr>
          <w:lang w:val="sq-AL"/>
        </w:rPr>
      </w:pPr>
      <w:r w:rsidRPr="00FB5273">
        <w:rPr>
          <w:b/>
          <w:bCs/>
          <w:noProof/>
          <w:lang w:val="sq-AL"/>
          <w14:ligatures w14:val="standardContextual"/>
        </w:rPr>
        <w:drawing>
          <wp:inline distT="0" distB="0" distL="0" distR="0" wp14:anchorId="09C162AE" wp14:editId="5EC164D4">
            <wp:extent cx="5886450" cy="1610436"/>
            <wp:effectExtent l="0" t="0" r="0" b="8890"/>
            <wp:docPr id="8941871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9A91BD0-9087-4375-9504-727C856F10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506BD1F" w14:textId="11694A6F" w:rsidR="00FE1403" w:rsidRPr="00FB5273" w:rsidRDefault="00FE1403" w:rsidP="00FE1403">
      <w:pPr>
        <w:jc w:val="both"/>
        <w:rPr>
          <w:bCs/>
          <w:i/>
          <w:iCs/>
          <w:noProof/>
          <w:sz w:val="20"/>
          <w:szCs w:val="20"/>
          <w:lang w:val="sq-AL" w:eastAsia="sq-AL"/>
        </w:rPr>
      </w:pPr>
      <w:r w:rsidRPr="00FB5273">
        <w:rPr>
          <w:b/>
          <w:bCs/>
          <w:i/>
          <w:iCs/>
          <w:noProof/>
          <w:sz w:val="20"/>
          <w:szCs w:val="20"/>
          <w:lang w:val="sq-AL" w:eastAsia="sq-AL"/>
        </w:rPr>
        <w:t>Burimi:</w:t>
      </w:r>
      <w:r w:rsidRPr="00FB5273">
        <w:rPr>
          <w:bCs/>
          <w:i/>
          <w:iCs/>
          <w:noProof/>
          <w:sz w:val="20"/>
          <w:szCs w:val="20"/>
          <w:lang w:val="sq-AL" w:eastAsia="sq-AL"/>
        </w:rPr>
        <w:t xml:space="preserve"> Drejtoria e Financave Vendore, Ministria e Financave (</w:t>
      </w:r>
      <w:r w:rsidR="002F25F9" w:rsidRPr="00FB5273">
        <w:rPr>
          <w:bCs/>
          <w:i/>
          <w:iCs/>
          <w:noProof/>
          <w:sz w:val="20"/>
          <w:szCs w:val="20"/>
          <w:lang w:val="sq-AL" w:eastAsia="sq-AL"/>
        </w:rPr>
        <w:t>2026</w:t>
      </w:r>
      <w:r w:rsidRPr="00FB5273">
        <w:rPr>
          <w:bCs/>
          <w:i/>
          <w:iCs/>
          <w:noProof/>
          <w:sz w:val="20"/>
          <w:szCs w:val="20"/>
          <w:lang w:val="sq-AL" w:eastAsia="sq-AL"/>
        </w:rPr>
        <w:t>)</w:t>
      </w:r>
    </w:p>
    <w:p w14:paraId="2CE7434F" w14:textId="77777777" w:rsidR="00AC72C0" w:rsidRPr="00FB5273" w:rsidRDefault="00AC72C0" w:rsidP="00C45B66">
      <w:pPr>
        <w:spacing w:before="120" w:after="120" w:line="276" w:lineRule="auto"/>
        <w:jc w:val="both"/>
        <w:rPr>
          <w:i/>
          <w:color w:val="002060"/>
          <w:sz w:val="16"/>
          <w:szCs w:val="16"/>
          <w:u w:val="single"/>
          <w:lang w:val="sq-AL"/>
        </w:rPr>
      </w:pPr>
    </w:p>
    <w:p w14:paraId="3F393855" w14:textId="6D45E175" w:rsidR="00C45B66" w:rsidRPr="00FB5273" w:rsidRDefault="00C45B66" w:rsidP="00C45B66">
      <w:pPr>
        <w:spacing w:before="120" w:after="120" w:line="276" w:lineRule="auto"/>
        <w:jc w:val="both"/>
        <w:rPr>
          <w:i/>
          <w:u w:val="single"/>
          <w:lang w:val="sq-AL"/>
        </w:rPr>
      </w:pPr>
      <w:r w:rsidRPr="00FB5273">
        <w:rPr>
          <w:i/>
          <w:u w:val="single"/>
          <w:lang w:val="sq-AL"/>
        </w:rPr>
        <w:t>Taksat Lokale</w:t>
      </w:r>
    </w:p>
    <w:p w14:paraId="1132E86D" w14:textId="72F7FB58" w:rsidR="00C45B66" w:rsidRPr="00FB5273" w:rsidRDefault="00DC3655" w:rsidP="008D15FF">
      <w:pPr>
        <w:spacing w:line="276" w:lineRule="auto"/>
        <w:ind w:firstLine="720"/>
        <w:jc w:val="both"/>
        <w:rPr>
          <w:lang w:val="sq-AL"/>
        </w:rPr>
      </w:pPr>
      <w:r w:rsidRPr="00FB5273">
        <w:rPr>
          <w:lang w:val="sq-AL"/>
        </w:rPr>
        <w:t>T</w:t>
      </w:r>
      <w:r w:rsidR="008D15FF" w:rsidRPr="00FB5273">
        <w:rPr>
          <w:lang w:val="sq-AL"/>
        </w:rPr>
        <w:t>ë</w:t>
      </w:r>
      <w:r w:rsidR="005A3A85" w:rsidRPr="00FB5273">
        <w:rPr>
          <w:lang w:val="sq-AL"/>
        </w:rPr>
        <w:t xml:space="preserve"> ardhurat nga t</w:t>
      </w:r>
      <w:r w:rsidRPr="00FB5273">
        <w:rPr>
          <w:lang w:val="sq-AL"/>
        </w:rPr>
        <w:t>aksat lokale janë një ndër burimet më të rëndësishme të financimit për njësitë e vetëqeverisjes vendore, të cilat gjithmonë e më shumë po konsolidohen në këndvështimin financiar dhe këtë e dëshmon rritja e të ardhurave nga ky burim n</w:t>
      </w:r>
      <w:r w:rsidR="001D2B3C">
        <w:rPr>
          <w:lang w:val="sq-AL"/>
        </w:rPr>
        <w:t>d</w:t>
      </w:r>
      <w:r w:rsidRPr="00FB5273">
        <w:rPr>
          <w:lang w:val="sq-AL"/>
        </w:rPr>
        <w:t>ë</w:t>
      </w:r>
      <w:r w:rsidR="001D2B3C">
        <w:rPr>
          <w:lang w:val="sq-AL"/>
        </w:rPr>
        <w:t>r</w:t>
      </w:r>
      <w:r w:rsidRPr="00FB5273">
        <w:rPr>
          <w:lang w:val="sq-AL"/>
        </w:rPr>
        <w:t xml:space="preserve"> vite. Në total për periudhën 3M </w:t>
      </w:r>
      <w:r w:rsidR="002F25F9" w:rsidRPr="00FB5273">
        <w:rPr>
          <w:lang w:val="sq-AL"/>
        </w:rPr>
        <w:t>2026</w:t>
      </w:r>
      <w:r w:rsidRPr="00FB5273">
        <w:rPr>
          <w:lang w:val="sq-AL"/>
        </w:rPr>
        <w:t xml:space="preserve">, të ardhurat nga taksat lokale zënë rreth </w:t>
      </w:r>
      <w:r w:rsidR="00735AB8" w:rsidRPr="00FB5273">
        <w:rPr>
          <w:lang w:val="sq-AL"/>
        </w:rPr>
        <w:t>85.2</w:t>
      </w:r>
      <w:r w:rsidRPr="00FB5273">
        <w:rPr>
          <w:lang w:val="sq-AL"/>
        </w:rPr>
        <w:t xml:space="preserve">% të të ardhurave të veta vendore dhe janë mbledhur në masën rreth </w:t>
      </w:r>
      <w:r w:rsidR="00735AB8" w:rsidRPr="00FB5273">
        <w:rPr>
          <w:lang w:val="sq-AL"/>
        </w:rPr>
        <w:t>15 378</w:t>
      </w:r>
      <w:r w:rsidRPr="00FB5273">
        <w:rPr>
          <w:lang w:val="sq-AL"/>
        </w:rPr>
        <w:t xml:space="preserve"> milionë </w:t>
      </w:r>
      <w:r w:rsidR="001D2B3C">
        <w:rPr>
          <w:lang w:val="sq-AL"/>
        </w:rPr>
        <w:t>LEK</w:t>
      </w:r>
      <w:r w:rsidR="00AC72C0" w:rsidRPr="00FB5273">
        <w:rPr>
          <w:lang w:val="sq-AL"/>
        </w:rPr>
        <w:t>. K</w:t>
      </w:r>
      <w:r w:rsidRPr="00FB5273">
        <w:rPr>
          <w:lang w:val="sq-AL"/>
        </w:rPr>
        <w:t xml:space="preserve">undrejt një viti më parë, ky burim ka </w:t>
      </w:r>
      <w:r w:rsidR="00735AB8" w:rsidRPr="00FB5273">
        <w:rPr>
          <w:lang w:val="sq-AL"/>
        </w:rPr>
        <w:t>nj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 xml:space="preserve"> rritje me 10 845</w:t>
      </w:r>
      <w:r w:rsidRPr="00FB5273">
        <w:rPr>
          <w:lang w:val="sq-AL"/>
        </w:rPr>
        <w:t xml:space="preserve"> milionë LEK ose </w:t>
      </w:r>
      <w:r w:rsidR="00735AB8" w:rsidRPr="00FB5273">
        <w:rPr>
          <w:lang w:val="sq-AL"/>
        </w:rPr>
        <w:t>239</w:t>
      </w:r>
      <w:r w:rsidRPr="00FB5273">
        <w:rPr>
          <w:lang w:val="sq-AL"/>
        </w:rPr>
        <w:t xml:space="preserve">% më </w:t>
      </w:r>
      <w:r w:rsidR="00735AB8" w:rsidRPr="00FB5273">
        <w:rPr>
          <w:lang w:val="sq-AL"/>
        </w:rPr>
        <w:t>shum</w:t>
      </w:r>
      <w:r w:rsidR="008D15FF" w:rsidRPr="00FB5273">
        <w:rPr>
          <w:lang w:val="sq-AL"/>
        </w:rPr>
        <w:t>ë</w:t>
      </w:r>
      <w:r w:rsidRPr="00FB5273">
        <w:rPr>
          <w:lang w:val="sq-AL"/>
        </w:rPr>
        <w:t xml:space="preserve">, </w:t>
      </w:r>
      <w:r w:rsidR="00735AB8" w:rsidRPr="00FB5273">
        <w:rPr>
          <w:lang w:val="sq-AL"/>
        </w:rPr>
        <w:t xml:space="preserve">rritje </w:t>
      </w:r>
      <w:r w:rsidRPr="00FB5273">
        <w:rPr>
          <w:lang w:val="sq-AL"/>
        </w:rPr>
        <w:t xml:space="preserve">e cila </w:t>
      </w:r>
      <w:r w:rsidR="00735AB8" w:rsidRPr="00FB5273">
        <w:rPr>
          <w:lang w:val="sq-AL"/>
        </w:rPr>
        <w:t>sipas analiz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>s s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 xml:space="preserve"> secil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>s prej element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>ve t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 xml:space="preserve"> t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 xml:space="preserve"> ardhurave nga ky grupim v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>rehet q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 xml:space="preserve"> vjen nga mbledhja e ‘</w:t>
      </w:r>
      <w:r w:rsidRPr="00FB5273">
        <w:rPr>
          <w:lang w:val="sq-AL"/>
        </w:rPr>
        <w:t>taks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>s s</w:t>
      </w:r>
      <w:r w:rsidR="008D15FF" w:rsidRPr="00FB5273">
        <w:rPr>
          <w:lang w:val="sq-AL"/>
        </w:rPr>
        <w:t>ë</w:t>
      </w:r>
      <w:r w:rsidRPr="00FB5273">
        <w:rPr>
          <w:lang w:val="sq-AL"/>
        </w:rPr>
        <w:t xml:space="preserve"> ndikimit n</w:t>
      </w:r>
      <w:r w:rsidR="008D15FF" w:rsidRPr="00FB5273">
        <w:rPr>
          <w:lang w:val="sq-AL"/>
        </w:rPr>
        <w:t>ë</w:t>
      </w:r>
      <w:r w:rsidRPr="00FB5273">
        <w:rPr>
          <w:lang w:val="sq-AL"/>
        </w:rPr>
        <w:t xml:space="preserve"> infrastrukturë nga ndëtimet e reja’, </w:t>
      </w:r>
      <w:bookmarkStart w:id="7" w:name="_Hlk205457907"/>
      <w:r w:rsidR="00735AB8" w:rsidRPr="00FB5273">
        <w:rPr>
          <w:lang w:val="sq-AL"/>
        </w:rPr>
        <w:t>e cila vet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>m p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>r 3 mujorin e par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 xml:space="preserve"> 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>sht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 xml:space="preserve"> mbledhur n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 xml:space="preserve"> mas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 xml:space="preserve">n 11 miliard </w:t>
      </w:r>
      <w:r w:rsidR="001D2B3C">
        <w:rPr>
          <w:lang w:val="sq-AL"/>
        </w:rPr>
        <w:t>LEK</w:t>
      </w:r>
      <w:r w:rsidR="00735AB8" w:rsidRPr="00FB5273">
        <w:rPr>
          <w:lang w:val="sq-AL"/>
        </w:rPr>
        <w:t xml:space="preserve"> ose 9.1 miliard </w:t>
      </w:r>
      <w:r w:rsidR="001D2B3C">
        <w:rPr>
          <w:lang w:val="sq-AL"/>
        </w:rPr>
        <w:t>LEK</w:t>
      </w:r>
      <w:r w:rsidR="00735AB8" w:rsidRPr="00FB5273">
        <w:rPr>
          <w:lang w:val="sq-AL"/>
        </w:rPr>
        <w:t xml:space="preserve"> m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 xml:space="preserve"> shum</w:t>
      </w:r>
      <w:r w:rsidR="008D15FF" w:rsidRPr="00FB5273">
        <w:rPr>
          <w:lang w:val="sq-AL"/>
        </w:rPr>
        <w:t>ë</w:t>
      </w:r>
      <w:r w:rsidR="00735AB8" w:rsidRPr="00FB5273">
        <w:rPr>
          <w:lang w:val="sq-AL"/>
        </w:rPr>
        <w:t xml:space="preserve"> se 3 mujori 2025.</w:t>
      </w:r>
      <w:r w:rsidR="00A34AEC" w:rsidRPr="00FB5273">
        <w:rPr>
          <w:lang w:val="sq-AL"/>
        </w:rPr>
        <w:t xml:space="preserve"> </w:t>
      </w:r>
      <w:r w:rsidR="00C45B66" w:rsidRPr="00FB5273">
        <w:rPr>
          <w:lang w:val="sq-AL"/>
        </w:rPr>
        <w:t>Ecuria n</w:t>
      </w:r>
      <w:r w:rsidR="00054A7D" w:rsidRPr="00FB5273">
        <w:rPr>
          <w:lang w:val="sq-AL"/>
        </w:rPr>
        <w:t>ë</w:t>
      </w:r>
      <w:r w:rsidR="00C45B66" w:rsidRPr="00FB5273">
        <w:rPr>
          <w:lang w:val="sq-AL"/>
        </w:rPr>
        <w:t xml:space="preserve"> vite e </w:t>
      </w:r>
      <w:r w:rsidR="00735AB8" w:rsidRPr="00FB5273">
        <w:rPr>
          <w:lang w:val="sq-AL"/>
        </w:rPr>
        <w:t>taksave lokale</w:t>
      </w:r>
      <w:r w:rsidR="00C45B66" w:rsidRPr="00FB5273">
        <w:rPr>
          <w:lang w:val="sq-AL"/>
        </w:rPr>
        <w:t xml:space="preserve"> reflektohet vizualisht edhe në grafikun e mëposhtëm:</w:t>
      </w:r>
    </w:p>
    <w:bookmarkEnd w:id="7"/>
    <w:p w14:paraId="47F708D2" w14:textId="77777777" w:rsidR="00F1184C" w:rsidRPr="00FB5273" w:rsidRDefault="00F1184C" w:rsidP="00F1184C">
      <w:pPr>
        <w:spacing w:line="276" w:lineRule="auto"/>
        <w:jc w:val="both"/>
        <w:rPr>
          <w:sz w:val="16"/>
          <w:szCs w:val="16"/>
          <w:lang w:val="sq-AL"/>
        </w:rPr>
      </w:pPr>
    </w:p>
    <w:p w14:paraId="73FBCC2E" w14:textId="77777777" w:rsidR="00A109EE" w:rsidRPr="00FB5273" w:rsidRDefault="00C45B66" w:rsidP="00A109EE">
      <w:pPr>
        <w:pStyle w:val="Caption"/>
        <w:spacing w:after="0" w:line="276" w:lineRule="auto"/>
        <w:jc w:val="both"/>
        <w:rPr>
          <w:b w:val="0"/>
          <w:bCs w:val="0"/>
          <w:i/>
          <w:color w:val="000000" w:themeColor="text1"/>
          <w:sz w:val="22"/>
          <w:szCs w:val="22"/>
          <w:lang w:val="sq-AL"/>
        </w:rPr>
      </w:pPr>
      <w:bookmarkStart w:id="8" w:name="_Toc44404471"/>
      <w:r w:rsidRPr="00FB5273">
        <w:rPr>
          <w:i/>
          <w:color w:val="000000" w:themeColor="text1"/>
          <w:sz w:val="22"/>
          <w:szCs w:val="22"/>
          <w:lang w:val="sq-AL"/>
        </w:rPr>
        <w:t xml:space="preserve">Grafiku 3: 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 xml:space="preserve">Të ardhurat </w:t>
      </w:r>
      <w:bookmarkEnd w:id="8"/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nga taksat lokale</w:t>
      </w:r>
    </w:p>
    <w:p w14:paraId="54CF7147" w14:textId="6A678B1A" w:rsidR="00C45B66" w:rsidRPr="00FB5273" w:rsidRDefault="00735AB8" w:rsidP="00A109EE">
      <w:pPr>
        <w:pStyle w:val="Caption"/>
        <w:jc w:val="both"/>
        <w:rPr>
          <w:i/>
          <w:iCs/>
          <w:color w:val="auto"/>
          <w:lang w:val="sq-AL"/>
        </w:rPr>
      </w:pPr>
      <w:r w:rsidRPr="00FB5273">
        <w:rPr>
          <w:noProof/>
          <w:lang w:val="sq-AL"/>
          <w14:ligatures w14:val="standardContextual"/>
        </w:rPr>
        <w:drawing>
          <wp:inline distT="0" distB="0" distL="0" distR="0" wp14:anchorId="2B296E92" wp14:editId="0DC57762">
            <wp:extent cx="5886450" cy="1589964"/>
            <wp:effectExtent l="0" t="0" r="0" b="10795"/>
            <wp:docPr id="8046040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BF4CA4F-80D5-46C5-A2C7-02913746EB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45B66" w:rsidRPr="00FB5273">
        <w:rPr>
          <w:i/>
          <w:iCs/>
          <w:noProof/>
          <w:color w:val="auto"/>
          <w:sz w:val="20"/>
          <w:szCs w:val="20"/>
          <w:lang w:val="sq-AL" w:eastAsia="sq-AL"/>
        </w:rPr>
        <w:t xml:space="preserve">Burimi: </w:t>
      </w:r>
      <w:r w:rsidR="00C45B66" w:rsidRPr="00FB5273">
        <w:rPr>
          <w:b w:val="0"/>
          <w:bCs w:val="0"/>
          <w:i/>
          <w:iCs/>
          <w:noProof/>
          <w:color w:val="auto"/>
          <w:sz w:val="20"/>
          <w:szCs w:val="20"/>
          <w:lang w:val="sq-AL" w:eastAsia="sq-AL"/>
        </w:rPr>
        <w:t>Drejtoria e Financave Vendore, Ministria e Financave (</w:t>
      </w:r>
      <w:r w:rsidR="002F25F9" w:rsidRPr="00FB5273">
        <w:rPr>
          <w:b w:val="0"/>
          <w:bCs w:val="0"/>
          <w:i/>
          <w:iCs/>
          <w:noProof/>
          <w:color w:val="auto"/>
          <w:sz w:val="20"/>
          <w:szCs w:val="20"/>
          <w:lang w:val="sq-AL" w:eastAsia="sq-AL"/>
        </w:rPr>
        <w:t>2026</w:t>
      </w:r>
      <w:r w:rsidR="00C45B66" w:rsidRPr="00FB5273">
        <w:rPr>
          <w:b w:val="0"/>
          <w:bCs w:val="0"/>
          <w:i/>
          <w:iCs/>
          <w:noProof/>
          <w:color w:val="auto"/>
          <w:sz w:val="20"/>
          <w:szCs w:val="20"/>
          <w:lang w:val="sq-AL" w:eastAsia="sq-AL"/>
        </w:rPr>
        <w:t>)</w:t>
      </w:r>
    </w:p>
    <w:p w14:paraId="7442DDA3" w14:textId="77777777" w:rsidR="007F771C" w:rsidRPr="00FB5273" w:rsidRDefault="007F771C" w:rsidP="005A3A85">
      <w:pPr>
        <w:jc w:val="both"/>
        <w:rPr>
          <w:sz w:val="12"/>
          <w:szCs w:val="12"/>
          <w:lang w:val="sq-AL"/>
        </w:rPr>
      </w:pPr>
    </w:p>
    <w:p w14:paraId="15A6BDB5" w14:textId="34501982" w:rsidR="00E51AA1" w:rsidRPr="00FB5273" w:rsidRDefault="00E51AA1" w:rsidP="005A3A85">
      <w:pPr>
        <w:spacing w:before="120" w:after="120"/>
        <w:jc w:val="both"/>
        <w:rPr>
          <w:i/>
          <w:u w:val="single"/>
          <w:lang w:val="sq-AL"/>
        </w:rPr>
      </w:pPr>
      <w:r w:rsidRPr="00FB5273">
        <w:rPr>
          <w:i/>
          <w:u w:val="single"/>
          <w:lang w:val="sq-AL"/>
        </w:rPr>
        <w:t xml:space="preserve">Taksa mbi pasurinë </w:t>
      </w:r>
    </w:p>
    <w:p w14:paraId="71D19EC7" w14:textId="7A131CE6" w:rsidR="00C45B66" w:rsidRPr="00FB5273" w:rsidRDefault="005A3A85" w:rsidP="008D15FF">
      <w:pPr>
        <w:spacing w:before="120" w:line="276" w:lineRule="auto"/>
        <w:ind w:firstLine="720"/>
        <w:jc w:val="both"/>
        <w:rPr>
          <w:lang w:val="sq-AL"/>
        </w:rPr>
      </w:pPr>
      <w:r w:rsidRPr="00FB5273">
        <w:rPr>
          <w:lang w:val="sq-AL"/>
        </w:rPr>
        <w:t>T</w:t>
      </w:r>
      <w:r w:rsidR="008D15FF" w:rsidRPr="00FB5273">
        <w:rPr>
          <w:lang w:val="sq-AL"/>
        </w:rPr>
        <w:t>ë</w:t>
      </w:r>
      <w:r w:rsidRPr="00FB5273">
        <w:rPr>
          <w:lang w:val="sq-AL"/>
        </w:rPr>
        <w:t xml:space="preserve"> ardhurat nga taksa mbi pasurinë janë </w:t>
      </w:r>
      <w:r w:rsidR="008D15FF" w:rsidRPr="00FB5273">
        <w:rPr>
          <w:lang w:val="sq-AL"/>
        </w:rPr>
        <w:t xml:space="preserve">po </w:t>
      </w:r>
      <w:r w:rsidRPr="00FB5273">
        <w:rPr>
          <w:lang w:val="sq-AL"/>
        </w:rPr>
        <w:t>ashtu një burim mjaft i rëndësishëm për pushtetin vendor, nëpërmjet të cilave NJVQV</w:t>
      </w:r>
      <w:r w:rsidR="001D2B3C">
        <w:rPr>
          <w:lang w:val="sq-AL"/>
        </w:rPr>
        <w:t>-të</w:t>
      </w:r>
      <w:r w:rsidRPr="00FB5273">
        <w:rPr>
          <w:lang w:val="sq-AL"/>
        </w:rPr>
        <w:t xml:space="preserve"> mund të zhvillojnë politika vendore në diskrecion të plotë të përdorimit. Vitet e fundit, thelbi i reformës mbi këtë burim financimi në politikat </w:t>
      </w:r>
      <w:r w:rsidR="008D15FF" w:rsidRPr="00FB5273">
        <w:rPr>
          <w:lang w:val="sq-AL"/>
        </w:rPr>
        <w:t>e q</w:t>
      </w:r>
      <w:r w:rsidRPr="00FB5273">
        <w:rPr>
          <w:lang w:val="sq-AL"/>
        </w:rPr>
        <w:t>everi</w:t>
      </w:r>
      <w:r w:rsidR="008D15FF" w:rsidRPr="00FB5273">
        <w:rPr>
          <w:lang w:val="sq-AL"/>
        </w:rPr>
        <w:t>s</w:t>
      </w:r>
      <w:r w:rsidR="00E06A0A" w:rsidRPr="00FB5273">
        <w:rPr>
          <w:lang w:val="sq-AL"/>
        </w:rPr>
        <w:t>ë</w:t>
      </w:r>
      <w:r w:rsidRPr="00FB5273">
        <w:rPr>
          <w:lang w:val="sq-AL"/>
        </w:rPr>
        <w:t xml:space="preserve">, është hartimi i metodologjisë së vendosjes së kësaj takse mbi bazë vlere dhe ndërtimi kadastrës së detajuar mbi pronën. Taksa mbi pasurinë për 3M </w:t>
      </w:r>
      <w:r w:rsidR="002F25F9" w:rsidRPr="00FB5273">
        <w:rPr>
          <w:lang w:val="sq-AL"/>
        </w:rPr>
        <w:t>2026</w:t>
      </w:r>
      <w:r w:rsidRPr="00FB5273">
        <w:rPr>
          <w:lang w:val="sq-AL"/>
        </w:rPr>
        <w:t xml:space="preserve"> ka mbledhur rreth </w:t>
      </w:r>
      <w:r w:rsidR="008D15FF" w:rsidRPr="00FB5273">
        <w:rPr>
          <w:lang w:val="sq-AL"/>
        </w:rPr>
        <w:t>1 812</w:t>
      </w:r>
      <w:r w:rsidRPr="00FB5273">
        <w:rPr>
          <w:lang w:val="sq-AL"/>
        </w:rPr>
        <w:t xml:space="preserve"> milionë LEK ose rreth 1</w:t>
      </w:r>
      <w:r w:rsidR="008D15FF" w:rsidRPr="00FB5273">
        <w:rPr>
          <w:lang w:val="sq-AL"/>
        </w:rPr>
        <w:t>8</w:t>
      </w:r>
      <w:r w:rsidRPr="00FB5273">
        <w:rPr>
          <w:lang w:val="sq-AL"/>
        </w:rPr>
        <w:t>% të planit vjetor. Duke iu referuar të dhënave të treguesve fiskalë</w:t>
      </w:r>
      <w:r w:rsidR="008D15FF" w:rsidRPr="00FB5273">
        <w:rPr>
          <w:lang w:val="sq-AL"/>
        </w:rPr>
        <w:t xml:space="preserve"> t</w:t>
      </w:r>
      <w:r w:rsidR="00E06A0A" w:rsidRPr="00FB5273">
        <w:rPr>
          <w:lang w:val="sq-AL"/>
        </w:rPr>
        <w:t>ë</w:t>
      </w:r>
      <w:r w:rsidR="008D15FF" w:rsidRPr="00FB5273">
        <w:rPr>
          <w:lang w:val="sq-AL"/>
        </w:rPr>
        <w:t xml:space="preserve"> konsoliduar</w:t>
      </w:r>
      <w:r w:rsidRPr="00FB5273">
        <w:rPr>
          <w:lang w:val="sq-AL"/>
        </w:rPr>
        <w:t xml:space="preserve">, ky burim ka një rritje me </w:t>
      </w:r>
      <w:r w:rsidR="008D15FF" w:rsidRPr="00FB5273">
        <w:rPr>
          <w:lang w:val="sq-AL"/>
        </w:rPr>
        <w:t>27</w:t>
      </w:r>
      <w:r w:rsidRPr="00FB5273">
        <w:rPr>
          <w:lang w:val="sq-AL"/>
        </w:rPr>
        <w:t xml:space="preserve">% ose rreth </w:t>
      </w:r>
      <w:r w:rsidR="008D15FF" w:rsidRPr="00FB5273">
        <w:rPr>
          <w:lang w:val="sq-AL"/>
        </w:rPr>
        <w:t>386</w:t>
      </w:r>
      <w:r w:rsidRPr="00FB5273">
        <w:rPr>
          <w:lang w:val="sq-AL"/>
        </w:rPr>
        <w:t xml:space="preserve"> milionë LEK, krahasuar me</w:t>
      </w:r>
      <w:r w:rsidR="008D15FF" w:rsidRPr="00FB5273">
        <w:rPr>
          <w:lang w:val="sq-AL"/>
        </w:rPr>
        <w:t xml:space="preserve"> 3 mujorin e </w:t>
      </w:r>
      <w:r w:rsidRPr="00FB5273">
        <w:rPr>
          <w:lang w:val="sq-AL"/>
        </w:rPr>
        <w:t>një vit</w:t>
      </w:r>
      <w:r w:rsidR="008D15FF" w:rsidRPr="00FB5273">
        <w:rPr>
          <w:lang w:val="sq-AL"/>
        </w:rPr>
        <w:t>i</w:t>
      </w:r>
      <w:r w:rsidRPr="00FB5273">
        <w:rPr>
          <w:lang w:val="sq-AL"/>
        </w:rPr>
        <w:t xml:space="preserve"> më parë.</w:t>
      </w:r>
      <w:r w:rsidR="00E51AA1" w:rsidRPr="00FB5273">
        <w:rPr>
          <w:lang w:val="sq-AL"/>
        </w:rPr>
        <w:t xml:space="preserve"> Kjo taksë zë rreth </w:t>
      </w:r>
      <w:r w:rsidR="008D15FF" w:rsidRPr="00FB5273">
        <w:rPr>
          <w:lang w:val="sq-AL"/>
        </w:rPr>
        <w:t>10</w:t>
      </w:r>
      <w:r w:rsidR="00E51AA1" w:rsidRPr="00FB5273">
        <w:rPr>
          <w:lang w:val="sq-AL"/>
        </w:rPr>
        <w:t xml:space="preserve"> përqind të totalit të të ardhurave të 3 mujorit </w:t>
      </w:r>
      <w:r w:rsidR="002F25F9" w:rsidRPr="00FB5273">
        <w:rPr>
          <w:lang w:val="sq-AL"/>
        </w:rPr>
        <w:t>2026</w:t>
      </w:r>
      <w:r w:rsidR="00E51AA1" w:rsidRPr="00FB5273">
        <w:rPr>
          <w:lang w:val="sq-AL"/>
        </w:rPr>
        <w:t xml:space="preserve">. </w:t>
      </w:r>
      <w:r w:rsidR="00C45B66" w:rsidRPr="00FB5273">
        <w:rPr>
          <w:lang w:val="sq-AL"/>
        </w:rPr>
        <w:t>Ecuria n</w:t>
      </w:r>
      <w:r w:rsidR="00054A7D" w:rsidRPr="00FB5273">
        <w:rPr>
          <w:lang w:val="sq-AL"/>
        </w:rPr>
        <w:t>ë</w:t>
      </w:r>
      <w:r w:rsidR="00C45B66" w:rsidRPr="00FB5273">
        <w:rPr>
          <w:lang w:val="sq-AL"/>
        </w:rPr>
        <w:t xml:space="preserve"> vite e taks</w:t>
      </w:r>
      <w:r w:rsidR="00054A7D" w:rsidRPr="00FB5273">
        <w:rPr>
          <w:lang w:val="sq-AL"/>
        </w:rPr>
        <w:t>ë</w:t>
      </w:r>
      <w:r w:rsidR="00C45B66" w:rsidRPr="00FB5273">
        <w:rPr>
          <w:lang w:val="sq-AL"/>
        </w:rPr>
        <w:t>s mbi pasurin</w:t>
      </w:r>
      <w:r w:rsidR="00054A7D" w:rsidRPr="00FB5273">
        <w:rPr>
          <w:lang w:val="sq-AL"/>
        </w:rPr>
        <w:t>ë</w:t>
      </w:r>
      <w:r w:rsidR="00C45B66" w:rsidRPr="00FB5273">
        <w:rPr>
          <w:lang w:val="sq-AL"/>
        </w:rPr>
        <w:t xml:space="preserve"> (</w:t>
      </w:r>
      <w:r w:rsidR="00C45B66" w:rsidRPr="00FB5273">
        <w:rPr>
          <w:i/>
          <w:iCs/>
          <w:lang w:val="sq-AL"/>
        </w:rPr>
        <w:t>ku p</w:t>
      </w:r>
      <w:r w:rsidR="00054A7D" w:rsidRPr="00FB5273">
        <w:rPr>
          <w:i/>
          <w:iCs/>
          <w:lang w:val="sq-AL"/>
        </w:rPr>
        <w:t>ë</w:t>
      </w:r>
      <w:r w:rsidR="00C45B66" w:rsidRPr="00FB5273">
        <w:rPr>
          <w:i/>
          <w:iCs/>
          <w:lang w:val="sq-AL"/>
        </w:rPr>
        <w:t>rfshihen taksa mbi nd</w:t>
      </w:r>
      <w:r w:rsidR="00054A7D" w:rsidRPr="00FB5273">
        <w:rPr>
          <w:i/>
          <w:iCs/>
          <w:lang w:val="sq-AL"/>
        </w:rPr>
        <w:t>ë</w:t>
      </w:r>
      <w:r w:rsidR="00C45B66" w:rsidRPr="00FB5273">
        <w:rPr>
          <w:i/>
          <w:iCs/>
          <w:lang w:val="sq-AL"/>
        </w:rPr>
        <w:t>rtes</w:t>
      </w:r>
      <w:r w:rsidR="00054A7D" w:rsidRPr="00FB5273">
        <w:rPr>
          <w:i/>
          <w:iCs/>
          <w:lang w:val="sq-AL"/>
        </w:rPr>
        <w:t>ë</w:t>
      </w:r>
      <w:r w:rsidR="00C45B66" w:rsidRPr="00FB5273">
        <w:rPr>
          <w:i/>
          <w:iCs/>
          <w:lang w:val="sq-AL"/>
        </w:rPr>
        <w:t>n, taksa mbi truallin, taksa mbi tok</w:t>
      </w:r>
      <w:r w:rsidR="00054A7D" w:rsidRPr="00FB5273">
        <w:rPr>
          <w:i/>
          <w:iCs/>
          <w:lang w:val="sq-AL"/>
        </w:rPr>
        <w:t>ë</w:t>
      </w:r>
      <w:r w:rsidR="00C45B66" w:rsidRPr="00FB5273">
        <w:rPr>
          <w:i/>
          <w:iCs/>
          <w:lang w:val="sq-AL"/>
        </w:rPr>
        <w:t>n dhe taksa mbi transaksionet mbi pasurin</w:t>
      </w:r>
      <w:r w:rsidR="00054A7D" w:rsidRPr="00FB5273">
        <w:rPr>
          <w:i/>
          <w:iCs/>
          <w:lang w:val="sq-AL"/>
        </w:rPr>
        <w:t>ë</w:t>
      </w:r>
      <w:r w:rsidR="00C45B66" w:rsidRPr="00FB5273">
        <w:rPr>
          <w:lang w:val="sq-AL"/>
        </w:rPr>
        <w:t>) reflektohet vizualisht edhe në grafikun e mëposhtëm:</w:t>
      </w:r>
    </w:p>
    <w:p w14:paraId="59331DB8" w14:textId="77777777" w:rsidR="00BF1F36" w:rsidRPr="00FB5273" w:rsidRDefault="00BF1F36" w:rsidP="00BF1F36">
      <w:pPr>
        <w:spacing w:before="120" w:line="276" w:lineRule="auto"/>
        <w:jc w:val="both"/>
        <w:rPr>
          <w:sz w:val="14"/>
          <w:szCs w:val="14"/>
          <w:lang w:val="sq-AL"/>
        </w:rPr>
      </w:pPr>
    </w:p>
    <w:p w14:paraId="502A5F80" w14:textId="1C813F0F" w:rsidR="00C45B66" w:rsidRPr="00FB5273" w:rsidRDefault="00C45B66" w:rsidP="002320E5">
      <w:pPr>
        <w:pStyle w:val="Caption"/>
        <w:spacing w:after="0" w:line="276" w:lineRule="auto"/>
        <w:jc w:val="both"/>
        <w:rPr>
          <w:b w:val="0"/>
          <w:bCs w:val="0"/>
          <w:i/>
          <w:color w:val="000000" w:themeColor="text1"/>
          <w:sz w:val="22"/>
          <w:szCs w:val="22"/>
          <w:lang w:val="sq-AL"/>
        </w:rPr>
      </w:pPr>
      <w:r w:rsidRPr="00FB5273">
        <w:rPr>
          <w:i/>
          <w:color w:val="000000" w:themeColor="text1"/>
          <w:sz w:val="22"/>
          <w:szCs w:val="22"/>
          <w:lang w:val="sq-AL"/>
        </w:rPr>
        <w:t xml:space="preserve">Grafiku 4: 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Të ardhurat nga taksa mbi pasurin</w:t>
      </w:r>
      <w:r w:rsidR="00054A7D"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ë</w:t>
      </w:r>
    </w:p>
    <w:p w14:paraId="0BF4C8A5" w14:textId="3DB6DCC4" w:rsidR="00C45B66" w:rsidRPr="00FB5273" w:rsidRDefault="002320E5" w:rsidP="002320E5">
      <w:pPr>
        <w:rPr>
          <w:lang w:val="sq-AL"/>
        </w:rPr>
      </w:pPr>
      <w:r w:rsidRPr="00FB5273">
        <w:rPr>
          <w:noProof/>
          <w:lang w:val="sq-AL"/>
          <w14:ligatures w14:val="standardContextual"/>
        </w:rPr>
        <w:drawing>
          <wp:inline distT="0" distB="0" distL="0" distR="0" wp14:anchorId="70070A2A" wp14:editId="7AA9D7FD">
            <wp:extent cx="5922645" cy="1726442"/>
            <wp:effectExtent l="0" t="0" r="1905" b="7620"/>
            <wp:docPr id="6332329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55616FD-221C-4CA3-B318-A9C869178B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45B66" w:rsidRPr="00FB5273">
        <w:rPr>
          <w:b/>
          <w:bCs/>
          <w:i/>
          <w:iCs/>
          <w:noProof/>
          <w:sz w:val="20"/>
          <w:szCs w:val="20"/>
          <w:lang w:val="sq-AL" w:eastAsia="sq-AL"/>
        </w:rPr>
        <w:t>Burimi:</w:t>
      </w:r>
      <w:r w:rsidR="00C45B66" w:rsidRPr="00FB5273">
        <w:rPr>
          <w:bCs/>
          <w:i/>
          <w:iCs/>
          <w:noProof/>
          <w:sz w:val="20"/>
          <w:szCs w:val="20"/>
          <w:lang w:val="sq-AL" w:eastAsia="sq-AL"/>
        </w:rPr>
        <w:t xml:space="preserve"> Drejtoria e Financave Vendore, Ministria e Financave (</w:t>
      </w:r>
      <w:r w:rsidR="002F25F9" w:rsidRPr="00FB5273">
        <w:rPr>
          <w:bCs/>
          <w:i/>
          <w:iCs/>
          <w:noProof/>
          <w:sz w:val="20"/>
          <w:szCs w:val="20"/>
          <w:lang w:val="sq-AL" w:eastAsia="sq-AL"/>
        </w:rPr>
        <w:t>2026</w:t>
      </w:r>
      <w:r w:rsidR="00C45B66" w:rsidRPr="00FB5273">
        <w:rPr>
          <w:bCs/>
          <w:i/>
          <w:iCs/>
          <w:noProof/>
          <w:sz w:val="20"/>
          <w:szCs w:val="20"/>
          <w:lang w:val="sq-AL" w:eastAsia="sq-AL"/>
        </w:rPr>
        <w:t>)</w:t>
      </w:r>
    </w:p>
    <w:p w14:paraId="58D6B1C7" w14:textId="77777777" w:rsidR="002320E5" w:rsidRPr="00FB5273" w:rsidRDefault="002320E5" w:rsidP="00E57E27">
      <w:pPr>
        <w:spacing w:before="120" w:after="120" w:line="276" w:lineRule="auto"/>
        <w:jc w:val="both"/>
        <w:rPr>
          <w:i/>
          <w:sz w:val="16"/>
          <w:szCs w:val="16"/>
          <w:u w:val="single"/>
          <w:lang w:val="sq-AL"/>
        </w:rPr>
      </w:pPr>
    </w:p>
    <w:p w14:paraId="6F419BB6" w14:textId="2B40324E" w:rsidR="00E51AA1" w:rsidRPr="00FB5273" w:rsidRDefault="00E51AA1" w:rsidP="00E57E27">
      <w:pPr>
        <w:spacing w:before="120" w:after="120" w:line="276" w:lineRule="auto"/>
        <w:jc w:val="both"/>
        <w:rPr>
          <w:i/>
          <w:u w:val="single"/>
          <w:lang w:val="sq-AL"/>
        </w:rPr>
      </w:pPr>
      <w:r w:rsidRPr="00FB5273">
        <w:rPr>
          <w:i/>
          <w:u w:val="single"/>
          <w:lang w:val="sq-AL"/>
        </w:rPr>
        <w:t>Taksa e Biznesit të vogël</w:t>
      </w:r>
    </w:p>
    <w:p w14:paraId="42FF9937" w14:textId="4200AE7E" w:rsidR="00E51AA1" w:rsidRPr="00FB5273" w:rsidRDefault="00E51AA1" w:rsidP="00DD7C90">
      <w:pPr>
        <w:spacing w:before="120" w:after="120" w:line="276" w:lineRule="auto"/>
        <w:ind w:firstLine="720"/>
        <w:jc w:val="both"/>
        <w:rPr>
          <w:lang w:val="sq-AL"/>
        </w:rPr>
      </w:pPr>
      <w:r w:rsidRPr="00FB5273">
        <w:rPr>
          <w:lang w:val="sq-AL"/>
        </w:rPr>
        <w:t>Tatimi</w:t>
      </w:r>
      <w:bookmarkStart w:id="9" w:name="_Toc44404470"/>
      <w:r w:rsidRPr="00FB5273">
        <w:rPr>
          <w:lang w:val="sq-AL"/>
        </w:rPr>
        <w:t xml:space="preserve"> apo taksa mbi biznesin e vogël është bërë zero </w:t>
      </w:r>
      <w:r w:rsidR="00C45B66" w:rsidRPr="00FB5273">
        <w:rPr>
          <w:lang w:val="sq-AL"/>
        </w:rPr>
        <w:t xml:space="preserve">pas ndryshimeve fiskale ligjore </w:t>
      </w:r>
      <w:r w:rsidRPr="00FB5273">
        <w:rPr>
          <w:i/>
          <w:lang w:val="sq-AL"/>
        </w:rPr>
        <w:t>(ligji nr.112/2020 “Për disa ndryshime në ligjin nr. 9632, datë 30.10.2006, “Për sistemin e taksave vendore”, të ndryshuar”)</w:t>
      </w:r>
      <w:r w:rsidRPr="00FB5273">
        <w:rPr>
          <w:lang w:val="sq-AL"/>
        </w:rPr>
        <w:t xml:space="preserve">. </w:t>
      </w:r>
      <w:r w:rsidR="00DD7C90" w:rsidRPr="00FB5273">
        <w:rPr>
          <w:lang w:val="sq-AL"/>
        </w:rPr>
        <w:t>Megjithat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rezulton se nga ky zë ka patur realizim faktik edhe pas vitit 2020, të cilat përfaqësojnë detyrime të paguara me vonesë. N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p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>rgjith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>si k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>to vite realizimi i t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ardhurave t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mbledhura nga taksa mbi biznesin e vogël ka qen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n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vlera dyshifrore duke z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>n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.02-</w:t>
      </w:r>
      <w:r w:rsidR="001D2B3C">
        <w:rPr>
          <w:lang w:val="sq-AL"/>
        </w:rPr>
        <w:t xml:space="preserve"> </w:t>
      </w:r>
      <w:r w:rsidR="00DD7C90" w:rsidRPr="00FB5273">
        <w:rPr>
          <w:lang w:val="sq-AL"/>
        </w:rPr>
        <w:t>.03% t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pesh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>s s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totalit t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t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ardhurave vendore. Por </w:t>
      </w:r>
      <w:r w:rsidRPr="00FB5273">
        <w:rPr>
          <w:lang w:val="sq-AL"/>
        </w:rPr>
        <w:t xml:space="preserve">realizimi faktik gjatë 3 mujorit të parë të vitit </w:t>
      </w:r>
      <w:r w:rsidR="006D3373" w:rsidRPr="00FB5273">
        <w:rPr>
          <w:lang w:val="sq-AL"/>
        </w:rPr>
        <w:t>202</w:t>
      </w:r>
      <w:r w:rsidR="00DD7C90" w:rsidRPr="00FB5273">
        <w:rPr>
          <w:lang w:val="sq-AL"/>
        </w:rPr>
        <w:t>6</w:t>
      </w:r>
      <w:r w:rsidRPr="00FB5273">
        <w:rPr>
          <w:lang w:val="sq-AL"/>
        </w:rPr>
        <w:t xml:space="preserve">, </w:t>
      </w:r>
      <w:r w:rsidR="00DD7C90" w:rsidRPr="00FB5273">
        <w:rPr>
          <w:lang w:val="sq-AL"/>
        </w:rPr>
        <w:t>sipas treguesve fiskal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t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buxhetit t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konsoliduar tregon se nga ky z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 xml:space="preserve"> </w:t>
      </w:r>
      <w:r w:rsidRPr="00FB5273">
        <w:rPr>
          <w:lang w:val="sq-AL"/>
        </w:rPr>
        <w:t xml:space="preserve">janë mbledhur </w:t>
      </w:r>
      <w:r w:rsidR="00DD7C90" w:rsidRPr="00FB5273">
        <w:rPr>
          <w:lang w:val="sq-AL"/>
        </w:rPr>
        <w:t>856</w:t>
      </w:r>
      <w:r w:rsidRPr="00FB5273">
        <w:rPr>
          <w:lang w:val="sq-AL"/>
        </w:rPr>
        <w:t xml:space="preserve"> milion lekë, që </w:t>
      </w:r>
      <w:r w:rsidR="00DD7C90" w:rsidRPr="00FB5273">
        <w:rPr>
          <w:lang w:val="sq-AL"/>
        </w:rPr>
        <w:t>p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>rfaq</w:t>
      </w:r>
      <w:r w:rsidR="00E06A0A" w:rsidRPr="00FB5273">
        <w:rPr>
          <w:lang w:val="sq-AL"/>
        </w:rPr>
        <w:t>ë</w:t>
      </w:r>
      <w:r w:rsidR="00DD7C90" w:rsidRPr="00FB5273">
        <w:rPr>
          <w:lang w:val="sq-AL"/>
        </w:rPr>
        <w:t>son 4.7</w:t>
      </w:r>
      <w:r w:rsidRPr="00FB5273">
        <w:rPr>
          <w:lang w:val="sq-AL"/>
        </w:rPr>
        <w:t xml:space="preserve">% të të ardhurave vendore në 3 mujorin </w:t>
      </w:r>
      <w:r w:rsidR="00DD7C90" w:rsidRPr="00FB5273">
        <w:rPr>
          <w:lang w:val="sq-AL"/>
        </w:rPr>
        <w:t xml:space="preserve">2026 </w:t>
      </w:r>
      <w:r w:rsidR="006A46A7" w:rsidRPr="00FB5273">
        <w:rPr>
          <w:lang w:val="sq-AL"/>
        </w:rPr>
        <w:t>ose rreth</w:t>
      </w:r>
      <w:r w:rsidR="00DD7C90" w:rsidRPr="00FB5273">
        <w:rPr>
          <w:lang w:val="sq-AL"/>
        </w:rPr>
        <w:t xml:space="preserve"> </w:t>
      </w:r>
      <w:r w:rsidR="006A46A7" w:rsidRPr="00FB5273">
        <w:rPr>
          <w:lang w:val="sq-AL"/>
        </w:rPr>
        <w:t>72 her</w:t>
      </w:r>
      <w:r w:rsidR="00E06A0A" w:rsidRPr="00FB5273">
        <w:rPr>
          <w:lang w:val="sq-AL"/>
        </w:rPr>
        <w:t>ë</w:t>
      </w:r>
      <w:r w:rsidR="006A46A7" w:rsidRPr="00FB5273">
        <w:rPr>
          <w:lang w:val="sq-AL"/>
        </w:rPr>
        <w:t xml:space="preserve"> m</w:t>
      </w:r>
      <w:r w:rsidR="00E06A0A" w:rsidRPr="00FB5273">
        <w:rPr>
          <w:lang w:val="sq-AL"/>
        </w:rPr>
        <w:t>ë</w:t>
      </w:r>
      <w:r w:rsidR="006A46A7" w:rsidRPr="00FB5273">
        <w:rPr>
          <w:lang w:val="sq-AL"/>
        </w:rPr>
        <w:t xml:space="preserve"> shum</w:t>
      </w:r>
      <w:r w:rsidR="00E06A0A" w:rsidRPr="00FB5273">
        <w:rPr>
          <w:lang w:val="sq-AL"/>
        </w:rPr>
        <w:t>ë</w:t>
      </w:r>
      <w:r w:rsidR="006A46A7" w:rsidRPr="00FB5273">
        <w:rPr>
          <w:lang w:val="sq-AL"/>
        </w:rPr>
        <w:t xml:space="preserve"> se vlera e mbledhur n</w:t>
      </w:r>
      <w:r w:rsidR="001D2B3C">
        <w:rPr>
          <w:lang w:val="sq-AL"/>
        </w:rPr>
        <w:t>ë</w:t>
      </w:r>
      <w:r w:rsidR="006A46A7" w:rsidRPr="00FB5273">
        <w:rPr>
          <w:lang w:val="sq-AL"/>
        </w:rPr>
        <w:t xml:space="preserve"> 3 mujorin 2025.</w:t>
      </w:r>
      <w:r w:rsidRPr="00FB5273">
        <w:rPr>
          <w:lang w:val="sq-AL"/>
        </w:rPr>
        <w:t xml:space="preserve"> </w:t>
      </w:r>
    </w:p>
    <w:bookmarkEnd w:id="9"/>
    <w:p w14:paraId="24BDAFCE" w14:textId="77777777" w:rsidR="00FE1403" w:rsidRPr="00FB5273" w:rsidRDefault="00FE1403" w:rsidP="00E57E27">
      <w:pPr>
        <w:spacing w:before="120" w:after="120" w:line="276" w:lineRule="auto"/>
        <w:jc w:val="both"/>
        <w:rPr>
          <w:b/>
          <w:i/>
          <w:color w:val="77206D" w:themeColor="accent5" w:themeShade="BF"/>
          <w:sz w:val="12"/>
          <w:szCs w:val="12"/>
          <w:lang w:val="sq-AL"/>
        </w:rPr>
      </w:pPr>
    </w:p>
    <w:p w14:paraId="3D3F9B4A" w14:textId="6EC8B466" w:rsidR="00E51AA1" w:rsidRPr="00FB5273" w:rsidRDefault="00E51AA1" w:rsidP="006A46A7">
      <w:pPr>
        <w:spacing w:line="276" w:lineRule="auto"/>
        <w:jc w:val="both"/>
        <w:rPr>
          <w:b/>
          <w:i/>
          <w:color w:val="4C94D8" w:themeColor="text2" w:themeTint="80"/>
          <w:sz w:val="26"/>
          <w:szCs w:val="26"/>
          <w:lang w:val="sq-AL"/>
        </w:rPr>
      </w:pPr>
      <w:r w:rsidRPr="00FB5273">
        <w:rPr>
          <w:b/>
          <w:i/>
          <w:color w:val="4C94D8" w:themeColor="text2" w:themeTint="80"/>
          <w:sz w:val="26"/>
          <w:szCs w:val="26"/>
          <w:lang w:val="sq-AL"/>
        </w:rPr>
        <w:t>Shpenzimet vendore</w:t>
      </w:r>
    </w:p>
    <w:p w14:paraId="5A14407B" w14:textId="77777777" w:rsidR="006A46A7" w:rsidRPr="00FB5273" w:rsidRDefault="006A46A7" w:rsidP="006A46A7">
      <w:pPr>
        <w:spacing w:line="276" w:lineRule="auto"/>
        <w:jc w:val="both"/>
        <w:rPr>
          <w:b/>
          <w:i/>
          <w:color w:val="4C94D8" w:themeColor="text2" w:themeTint="80"/>
          <w:sz w:val="14"/>
          <w:szCs w:val="14"/>
          <w:lang w:val="sq-AL"/>
        </w:rPr>
      </w:pPr>
    </w:p>
    <w:p w14:paraId="4899A9E2" w14:textId="4161AE16" w:rsidR="00EE5C2A" w:rsidRPr="00FB5273" w:rsidRDefault="00E51AA1" w:rsidP="006A46A7">
      <w:pPr>
        <w:spacing w:before="120" w:after="120" w:line="276" w:lineRule="auto"/>
        <w:ind w:firstLine="720"/>
        <w:jc w:val="both"/>
        <w:rPr>
          <w:lang w:val="sq-AL"/>
        </w:rPr>
      </w:pPr>
      <w:r w:rsidRPr="00FB5273">
        <w:rPr>
          <w:lang w:val="sq-AL"/>
        </w:rPr>
        <w:t xml:space="preserve">Shpenzimet e Pushtetit Vendor janë një tregues i rëndësishëm i procesit të menaxhimit të financave publike në nivel vendor. Ndër vite shpenzimet e pushtetit vendor janë një tregues në rritje dhe kjo vjen si pasojë e rritjes së </w:t>
      </w:r>
      <w:r w:rsidR="006A46A7" w:rsidRPr="00FB5273">
        <w:rPr>
          <w:lang w:val="sq-AL"/>
        </w:rPr>
        <w:t>mbulimit</w:t>
      </w:r>
      <w:r w:rsidRPr="00FB5273">
        <w:rPr>
          <w:lang w:val="sq-AL"/>
        </w:rPr>
        <w:t xml:space="preserve"> të </w:t>
      </w:r>
      <w:r w:rsidR="006A46A7" w:rsidRPr="00FB5273">
        <w:rPr>
          <w:lang w:val="sq-AL"/>
        </w:rPr>
        <w:t>funksioneve që pushteti vendor ka dhe rritjes s</w:t>
      </w:r>
      <w:r w:rsidR="00E06A0A" w:rsidRPr="00FB5273">
        <w:rPr>
          <w:lang w:val="sq-AL"/>
        </w:rPr>
        <w:t>ë</w:t>
      </w:r>
      <w:r w:rsidR="006A46A7" w:rsidRPr="00FB5273">
        <w:rPr>
          <w:lang w:val="sq-AL"/>
        </w:rPr>
        <w:t xml:space="preserve"> nivelit t</w:t>
      </w:r>
      <w:r w:rsidR="00E06A0A" w:rsidRPr="00FB5273">
        <w:rPr>
          <w:lang w:val="sq-AL"/>
        </w:rPr>
        <w:t>ë</w:t>
      </w:r>
      <w:r w:rsidR="006A46A7" w:rsidRPr="00FB5273">
        <w:rPr>
          <w:lang w:val="sq-AL"/>
        </w:rPr>
        <w:t xml:space="preserve"> </w:t>
      </w:r>
      <w:r w:rsidRPr="00FB5273">
        <w:rPr>
          <w:lang w:val="sq-AL"/>
        </w:rPr>
        <w:t xml:space="preserve">shërbimeve </w:t>
      </w:r>
      <w:r w:rsidR="006A46A7" w:rsidRPr="00FB5273">
        <w:rPr>
          <w:lang w:val="sq-AL"/>
        </w:rPr>
        <w:t>q</w:t>
      </w:r>
      <w:r w:rsidR="00E06A0A" w:rsidRPr="00FB5273">
        <w:rPr>
          <w:lang w:val="sq-AL"/>
        </w:rPr>
        <w:t>ë</w:t>
      </w:r>
      <w:r w:rsidRPr="00FB5273">
        <w:rPr>
          <w:lang w:val="sq-AL"/>
        </w:rPr>
        <w:t xml:space="preserve"> </w:t>
      </w:r>
      <w:r w:rsidR="006A46A7" w:rsidRPr="00FB5273">
        <w:rPr>
          <w:lang w:val="sq-AL"/>
        </w:rPr>
        <w:t xml:space="preserve">pushteti vendor </w:t>
      </w:r>
      <w:r w:rsidRPr="00FB5273">
        <w:rPr>
          <w:lang w:val="sq-AL"/>
        </w:rPr>
        <w:t xml:space="preserve">ofron për qytetarët. Shpenzimet e buxhetit vendor për 3 mujorin e parë të vitit </w:t>
      </w:r>
      <w:r w:rsidR="006D3373" w:rsidRPr="00FB5273">
        <w:rPr>
          <w:lang w:val="sq-AL"/>
        </w:rPr>
        <w:t>202</w:t>
      </w:r>
      <w:r w:rsidR="001D2B3C">
        <w:rPr>
          <w:lang w:val="sq-AL"/>
        </w:rPr>
        <w:t>6</w:t>
      </w:r>
      <w:r w:rsidRPr="00FB5273">
        <w:rPr>
          <w:lang w:val="sq-AL"/>
        </w:rPr>
        <w:t xml:space="preserve">, rezulton të jetë realizuar në masën </w:t>
      </w:r>
      <w:r w:rsidR="006A46A7" w:rsidRPr="00FB5273">
        <w:rPr>
          <w:lang w:val="sq-AL"/>
        </w:rPr>
        <w:t>17 121</w:t>
      </w:r>
      <w:r w:rsidR="00BC31D9" w:rsidRPr="00FB5273">
        <w:rPr>
          <w:lang w:val="sq-AL"/>
        </w:rPr>
        <w:t xml:space="preserve"> </w:t>
      </w:r>
      <w:r w:rsidR="00EE5C2A" w:rsidRPr="00FB5273">
        <w:rPr>
          <w:lang w:val="sq-AL"/>
        </w:rPr>
        <w:t xml:space="preserve">milion lekë ose rreth </w:t>
      </w:r>
      <w:r w:rsidR="006A46A7" w:rsidRPr="00FB5273">
        <w:rPr>
          <w:lang w:val="sq-AL"/>
        </w:rPr>
        <w:t>9.9</w:t>
      </w:r>
      <w:r w:rsidR="00EE5C2A" w:rsidRPr="00FB5273">
        <w:rPr>
          <w:lang w:val="sq-AL"/>
        </w:rPr>
        <w:t xml:space="preserve"> p</w:t>
      </w:r>
      <w:r w:rsidR="00E57E27" w:rsidRPr="00FB5273">
        <w:rPr>
          <w:lang w:val="sq-AL"/>
        </w:rPr>
        <w:t>ë</w:t>
      </w:r>
      <w:r w:rsidR="00EE5C2A" w:rsidRPr="00FB5273">
        <w:rPr>
          <w:lang w:val="sq-AL"/>
        </w:rPr>
        <w:t>rqind m</w:t>
      </w:r>
      <w:r w:rsidR="00E57E27" w:rsidRPr="00FB5273">
        <w:rPr>
          <w:lang w:val="sq-AL"/>
        </w:rPr>
        <w:t>ë</w:t>
      </w:r>
      <w:r w:rsidR="00EE5C2A" w:rsidRPr="00FB5273">
        <w:rPr>
          <w:lang w:val="sq-AL"/>
        </w:rPr>
        <w:t xml:space="preserve"> shum</w:t>
      </w:r>
      <w:r w:rsidR="00E57E27" w:rsidRPr="00FB5273">
        <w:rPr>
          <w:lang w:val="sq-AL"/>
        </w:rPr>
        <w:t>ë</w:t>
      </w:r>
      <w:r w:rsidR="00EE5C2A" w:rsidRPr="00FB5273">
        <w:rPr>
          <w:lang w:val="sq-AL"/>
        </w:rPr>
        <w:t xml:space="preserve"> se e nj</w:t>
      </w:r>
      <w:r w:rsidR="00E57E27" w:rsidRPr="00FB5273">
        <w:rPr>
          <w:lang w:val="sq-AL"/>
        </w:rPr>
        <w:t>ë</w:t>
      </w:r>
      <w:r w:rsidR="00EE5C2A" w:rsidRPr="00FB5273">
        <w:rPr>
          <w:lang w:val="sq-AL"/>
        </w:rPr>
        <w:t>jta periudh</w:t>
      </w:r>
      <w:r w:rsidR="00E57E27" w:rsidRPr="00FB5273">
        <w:rPr>
          <w:lang w:val="sq-AL"/>
        </w:rPr>
        <w:t>ë</w:t>
      </w:r>
      <w:r w:rsidR="00EE5C2A" w:rsidRPr="00FB5273">
        <w:rPr>
          <w:lang w:val="sq-AL"/>
        </w:rPr>
        <w:t xml:space="preserve"> e nj</w:t>
      </w:r>
      <w:r w:rsidR="00E57E27" w:rsidRPr="00FB5273">
        <w:rPr>
          <w:lang w:val="sq-AL"/>
        </w:rPr>
        <w:t>ë</w:t>
      </w:r>
      <w:r w:rsidR="00EE5C2A" w:rsidRPr="00FB5273">
        <w:rPr>
          <w:lang w:val="sq-AL"/>
        </w:rPr>
        <w:t xml:space="preserve"> viti m</w:t>
      </w:r>
      <w:r w:rsidR="00E57E27" w:rsidRPr="00FB5273">
        <w:rPr>
          <w:lang w:val="sq-AL"/>
        </w:rPr>
        <w:t>ë</w:t>
      </w:r>
      <w:r w:rsidR="00EE5C2A" w:rsidRPr="00FB5273">
        <w:rPr>
          <w:lang w:val="sq-AL"/>
        </w:rPr>
        <w:t xml:space="preserve"> par</w:t>
      </w:r>
      <w:r w:rsidR="00E57E27" w:rsidRPr="00FB5273">
        <w:rPr>
          <w:lang w:val="sq-AL"/>
        </w:rPr>
        <w:t>ë</w:t>
      </w:r>
      <w:r w:rsidR="00EE5C2A" w:rsidRPr="00FB5273">
        <w:rPr>
          <w:lang w:val="sq-AL"/>
        </w:rPr>
        <w:t xml:space="preserve"> ku s</w:t>
      </w:r>
      <w:r w:rsidRPr="00FB5273">
        <w:rPr>
          <w:lang w:val="sq-AL"/>
        </w:rPr>
        <w:t xml:space="preserve">hpenzimet e buxhetit vendor </w:t>
      </w:r>
      <w:r w:rsidR="007F771C" w:rsidRPr="00FB5273">
        <w:rPr>
          <w:lang w:val="sq-AL"/>
        </w:rPr>
        <w:t>ishin</w:t>
      </w:r>
      <w:r w:rsidRPr="00FB5273">
        <w:rPr>
          <w:lang w:val="sq-AL"/>
        </w:rPr>
        <w:t xml:space="preserve"> rreth </w:t>
      </w:r>
      <w:r w:rsidR="006A46A7" w:rsidRPr="00FB5273">
        <w:rPr>
          <w:lang w:val="sq-AL"/>
        </w:rPr>
        <w:t>15 575</w:t>
      </w:r>
      <w:r w:rsidRPr="00FB5273">
        <w:rPr>
          <w:lang w:val="sq-AL"/>
        </w:rPr>
        <w:t xml:space="preserve"> milion lekë</w:t>
      </w:r>
      <w:r w:rsidR="00EE5C2A" w:rsidRPr="00FB5273">
        <w:rPr>
          <w:lang w:val="sq-AL"/>
        </w:rPr>
        <w:t>.</w:t>
      </w:r>
      <w:r w:rsidRPr="00FB5273">
        <w:rPr>
          <w:lang w:val="sq-AL"/>
        </w:rPr>
        <w:t xml:space="preserve"> </w:t>
      </w:r>
      <w:r w:rsidR="00C615CB" w:rsidRPr="00FB5273">
        <w:rPr>
          <w:lang w:val="sq-AL"/>
        </w:rPr>
        <w:t>Duke ju referuar të dhënave për shpenzimet e pushtetit vendor për periudhën 3 mujore në vite</w:t>
      </w:r>
      <w:r w:rsidR="00FE1403" w:rsidRPr="00FB5273">
        <w:rPr>
          <w:lang w:val="sq-AL"/>
        </w:rPr>
        <w:t>,</w:t>
      </w:r>
      <w:r w:rsidR="00C615CB" w:rsidRPr="00FB5273">
        <w:rPr>
          <w:lang w:val="sq-AL"/>
        </w:rPr>
        <w:t xml:space="preserve"> do të kemi rezultatet si në grafikun e mëposhtëm:</w:t>
      </w:r>
    </w:p>
    <w:p w14:paraId="3F92E463" w14:textId="77777777" w:rsidR="006A46A7" w:rsidRPr="00FB5273" w:rsidRDefault="00EE5C2A" w:rsidP="006A46A7">
      <w:pPr>
        <w:pStyle w:val="Caption"/>
        <w:spacing w:after="0" w:line="276" w:lineRule="auto"/>
        <w:jc w:val="both"/>
        <w:rPr>
          <w:b w:val="0"/>
          <w:bCs w:val="0"/>
          <w:i/>
          <w:color w:val="000000" w:themeColor="text1"/>
          <w:sz w:val="22"/>
          <w:szCs w:val="22"/>
          <w:lang w:val="sq-AL"/>
        </w:rPr>
      </w:pPr>
      <w:r w:rsidRPr="00FB5273">
        <w:rPr>
          <w:i/>
          <w:color w:val="000000" w:themeColor="text1"/>
          <w:sz w:val="22"/>
          <w:szCs w:val="22"/>
          <w:lang w:val="sq-AL"/>
        </w:rPr>
        <w:t xml:space="preserve">Grafiku </w:t>
      </w:r>
      <w:r w:rsidR="00F1184C" w:rsidRPr="00FB5273">
        <w:rPr>
          <w:i/>
          <w:color w:val="000000" w:themeColor="text1"/>
          <w:sz w:val="22"/>
          <w:szCs w:val="22"/>
          <w:lang w:val="sq-AL"/>
        </w:rPr>
        <w:t>5</w:t>
      </w:r>
      <w:r w:rsidRPr="00FB5273">
        <w:rPr>
          <w:i/>
          <w:color w:val="000000" w:themeColor="text1"/>
          <w:sz w:val="22"/>
          <w:szCs w:val="22"/>
          <w:lang w:val="sq-AL"/>
        </w:rPr>
        <w:t xml:space="preserve">: 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Shpenzimet për pushtetin vendor dhe ritimi i ndryshimit të tyre</w:t>
      </w:r>
    </w:p>
    <w:p w14:paraId="754229C3" w14:textId="04294D9B" w:rsidR="00EE5C2A" w:rsidRPr="00FB5273" w:rsidRDefault="006A46A7" w:rsidP="006A46A7">
      <w:pPr>
        <w:pStyle w:val="Caption"/>
        <w:spacing w:after="0" w:line="276" w:lineRule="auto"/>
        <w:jc w:val="both"/>
        <w:rPr>
          <w:b w:val="0"/>
          <w:bCs w:val="0"/>
          <w:i/>
          <w:color w:val="153D63" w:themeColor="text2" w:themeTint="E6"/>
          <w:lang w:val="sq-AL"/>
        </w:rPr>
      </w:pPr>
      <w:r w:rsidRPr="00FB5273">
        <w:rPr>
          <w:noProof/>
          <w:lang w:val="sq-AL"/>
          <w14:ligatures w14:val="standardContextual"/>
        </w:rPr>
        <w:drawing>
          <wp:inline distT="0" distB="0" distL="0" distR="0" wp14:anchorId="0D1AE1B1" wp14:editId="05B229E0">
            <wp:extent cx="5813425" cy="1705971"/>
            <wp:effectExtent l="0" t="0" r="15875" b="8890"/>
            <wp:docPr id="11995345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13840F9-8C0A-4731-8C84-F443334C1E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E5C2A" w:rsidRPr="00FB5273">
        <w:rPr>
          <w:i/>
          <w:iCs/>
          <w:noProof/>
          <w:color w:val="auto"/>
          <w:sz w:val="20"/>
          <w:szCs w:val="20"/>
          <w:lang w:val="sq-AL" w:eastAsia="sq-AL"/>
        </w:rPr>
        <w:t xml:space="preserve">Burimi: </w:t>
      </w:r>
      <w:r w:rsidR="00EE5C2A" w:rsidRPr="00FB5273">
        <w:rPr>
          <w:b w:val="0"/>
          <w:bCs w:val="0"/>
          <w:i/>
          <w:iCs/>
          <w:noProof/>
          <w:color w:val="auto"/>
          <w:sz w:val="20"/>
          <w:szCs w:val="20"/>
          <w:lang w:val="sq-AL" w:eastAsia="sq-AL"/>
        </w:rPr>
        <w:t>Drejtoria e Financave Vendore, Ministria e Financave (202</w:t>
      </w:r>
      <w:r w:rsidRPr="00FB5273">
        <w:rPr>
          <w:b w:val="0"/>
          <w:bCs w:val="0"/>
          <w:i/>
          <w:iCs/>
          <w:noProof/>
          <w:sz w:val="20"/>
          <w:szCs w:val="20"/>
          <w:lang w:val="sq-AL" w:eastAsia="sq-AL"/>
        </w:rPr>
        <w:t>6</w:t>
      </w:r>
      <w:r w:rsidR="00EE5C2A" w:rsidRPr="00FB5273">
        <w:rPr>
          <w:b w:val="0"/>
          <w:bCs w:val="0"/>
          <w:i/>
          <w:iCs/>
          <w:noProof/>
          <w:color w:val="auto"/>
          <w:sz w:val="20"/>
          <w:szCs w:val="20"/>
          <w:lang w:val="sq-AL" w:eastAsia="sq-AL"/>
        </w:rPr>
        <w:t>)</w:t>
      </w:r>
    </w:p>
    <w:p w14:paraId="63ED5BA8" w14:textId="77777777" w:rsidR="006A46A7" w:rsidRPr="00FB5273" w:rsidRDefault="006A46A7" w:rsidP="00E57E27">
      <w:pPr>
        <w:spacing w:before="120" w:line="276" w:lineRule="auto"/>
        <w:jc w:val="both"/>
        <w:rPr>
          <w:lang w:val="sq-AL"/>
        </w:rPr>
      </w:pPr>
    </w:p>
    <w:p w14:paraId="309B5C3C" w14:textId="31207D9A" w:rsidR="00E51AA1" w:rsidRPr="00FB5273" w:rsidRDefault="00E51AA1" w:rsidP="006A46A7">
      <w:pPr>
        <w:spacing w:before="120" w:line="276" w:lineRule="auto"/>
        <w:ind w:firstLine="720"/>
        <w:jc w:val="both"/>
        <w:rPr>
          <w:lang w:val="sq-AL"/>
        </w:rPr>
      </w:pPr>
      <w:r w:rsidRPr="00FB5273">
        <w:rPr>
          <w:lang w:val="sq-AL"/>
        </w:rPr>
        <w:t xml:space="preserve">Nga analiza e të dhënave </w:t>
      </w:r>
      <w:r w:rsidR="00C615CB" w:rsidRPr="00FB5273">
        <w:rPr>
          <w:lang w:val="sq-AL"/>
        </w:rPr>
        <w:t>t</w:t>
      </w:r>
      <w:r w:rsidR="00E57E27" w:rsidRPr="00FB5273">
        <w:rPr>
          <w:lang w:val="sq-AL"/>
        </w:rPr>
        <w:t>ë</w:t>
      </w:r>
      <w:r w:rsidR="00C615CB" w:rsidRPr="00FB5273">
        <w:rPr>
          <w:lang w:val="sq-AL"/>
        </w:rPr>
        <w:t xml:space="preserve"> shpenzimeve sipas </w:t>
      </w:r>
      <w:r w:rsidR="00E06A0A" w:rsidRPr="00FB5273">
        <w:rPr>
          <w:lang w:val="sq-AL"/>
        </w:rPr>
        <w:t>klasifikimit ekonomik</w:t>
      </w:r>
      <w:r w:rsidR="00C615CB" w:rsidRPr="00FB5273">
        <w:rPr>
          <w:lang w:val="sq-AL"/>
        </w:rPr>
        <w:t xml:space="preserve"> </w:t>
      </w:r>
      <w:r w:rsidRPr="00FB5273">
        <w:rPr>
          <w:lang w:val="sq-AL"/>
        </w:rPr>
        <w:t xml:space="preserve">vihet re që zërat e shpenzimeve </w:t>
      </w:r>
      <w:bookmarkStart w:id="10" w:name="_Toc44404472"/>
      <w:r w:rsidR="00E06A0A" w:rsidRPr="00FB5273">
        <w:rPr>
          <w:lang w:val="sq-AL"/>
        </w:rPr>
        <w:t xml:space="preserve">krahasuar me të njëjtën periudhë të një viti më parë, </w:t>
      </w:r>
      <w:r w:rsidR="00E57E27" w:rsidRPr="00FB5273">
        <w:rPr>
          <w:lang w:val="sq-AL"/>
        </w:rPr>
        <w:t xml:space="preserve">kanë rritje në përgjithësi tek </w:t>
      </w:r>
      <w:r w:rsidR="00E06A0A" w:rsidRPr="00FB5273">
        <w:rPr>
          <w:lang w:val="sq-AL"/>
        </w:rPr>
        <w:t xml:space="preserve">të gjithë </w:t>
      </w:r>
      <w:r w:rsidR="00E57E27" w:rsidRPr="00FB5273">
        <w:rPr>
          <w:lang w:val="sq-AL"/>
        </w:rPr>
        <w:t>zërat</w:t>
      </w:r>
      <w:r w:rsidR="00E06A0A" w:rsidRPr="00FB5273">
        <w:rPr>
          <w:lang w:val="sq-AL"/>
        </w:rPr>
        <w:t xml:space="preserve">, si </w:t>
      </w:r>
      <w:r w:rsidR="00E57E27" w:rsidRPr="00FB5273">
        <w:rPr>
          <w:lang w:val="sq-AL"/>
        </w:rPr>
        <w:t>paga</w:t>
      </w:r>
      <w:r w:rsidR="00E06A0A" w:rsidRPr="00FB5273">
        <w:rPr>
          <w:lang w:val="sq-AL"/>
        </w:rPr>
        <w:t>t</w:t>
      </w:r>
      <w:r w:rsidR="00E57E27" w:rsidRPr="00FB5273">
        <w:rPr>
          <w:lang w:val="sq-AL"/>
        </w:rPr>
        <w:t>, sigurime</w:t>
      </w:r>
      <w:r w:rsidR="00E06A0A" w:rsidRPr="00FB5273">
        <w:rPr>
          <w:lang w:val="sq-AL"/>
        </w:rPr>
        <w:t>t</w:t>
      </w:r>
      <w:r w:rsidR="007F771C" w:rsidRPr="00FB5273">
        <w:rPr>
          <w:lang w:val="sq-AL"/>
        </w:rPr>
        <w:t>,</w:t>
      </w:r>
      <w:r w:rsidR="00E57E27" w:rsidRPr="00FB5273">
        <w:rPr>
          <w:lang w:val="sq-AL"/>
        </w:rPr>
        <w:t xml:space="preserve"> </w:t>
      </w:r>
      <w:r w:rsidR="00E06A0A" w:rsidRPr="00FB5273">
        <w:rPr>
          <w:lang w:val="sq-AL"/>
        </w:rPr>
        <w:t xml:space="preserve">shpenzimet operative, </w:t>
      </w:r>
      <w:r w:rsidR="00E57E27" w:rsidRPr="00FB5273">
        <w:rPr>
          <w:lang w:val="sq-AL"/>
        </w:rPr>
        <w:t>subvencione</w:t>
      </w:r>
      <w:r w:rsidR="00E06A0A" w:rsidRPr="00FB5273">
        <w:rPr>
          <w:lang w:val="sq-AL"/>
        </w:rPr>
        <w:t>t</w:t>
      </w:r>
      <w:r w:rsidR="00E57E27" w:rsidRPr="00FB5273">
        <w:rPr>
          <w:lang w:val="sq-AL"/>
        </w:rPr>
        <w:t xml:space="preserve"> dhe </w:t>
      </w:r>
      <w:r w:rsidR="00E06A0A" w:rsidRPr="00FB5273">
        <w:rPr>
          <w:lang w:val="sq-AL"/>
        </w:rPr>
        <w:t xml:space="preserve">shpenzimet kapitale. Rezulton se shpenzimet e tjera korente kanë një ulje </w:t>
      </w:r>
      <w:r w:rsidR="00E57E27" w:rsidRPr="00FB5273">
        <w:rPr>
          <w:lang w:val="sq-AL"/>
        </w:rPr>
        <w:t>krahasuar me të njëjtën periudhë të një viti më</w:t>
      </w:r>
      <w:r w:rsidR="007F771C" w:rsidRPr="00FB5273">
        <w:rPr>
          <w:lang w:val="sq-AL"/>
        </w:rPr>
        <w:t xml:space="preserve"> </w:t>
      </w:r>
      <w:r w:rsidR="00E57E27" w:rsidRPr="00FB5273">
        <w:rPr>
          <w:lang w:val="sq-AL"/>
        </w:rPr>
        <w:t xml:space="preserve">parë </w:t>
      </w:r>
      <w:r w:rsidR="00E06A0A" w:rsidRPr="00FB5273">
        <w:rPr>
          <w:lang w:val="sq-AL"/>
        </w:rPr>
        <w:t xml:space="preserve">duke u </w:t>
      </w:r>
      <w:r w:rsidR="007F771C" w:rsidRPr="00FB5273">
        <w:rPr>
          <w:lang w:val="sq-AL"/>
        </w:rPr>
        <w:t>realizuar n</w:t>
      </w:r>
      <w:r w:rsidR="00054A7D" w:rsidRPr="00FB5273">
        <w:rPr>
          <w:lang w:val="sq-AL"/>
        </w:rPr>
        <w:t>ë</w:t>
      </w:r>
      <w:r w:rsidR="007F771C" w:rsidRPr="00FB5273">
        <w:rPr>
          <w:lang w:val="sq-AL"/>
        </w:rPr>
        <w:t xml:space="preserve"> terma nominal</w:t>
      </w:r>
      <w:r w:rsidR="00054A7D" w:rsidRPr="00FB5273">
        <w:rPr>
          <w:lang w:val="sq-AL"/>
        </w:rPr>
        <w:t>ë</w:t>
      </w:r>
      <w:r w:rsidR="007F771C" w:rsidRPr="00FB5273">
        <w:rPr>
          <w:lang w:val="sq-AL"/>
        </w:rPr>
        <w:t xml:space="preserve"> </w:t>
      </w:r>
      <w:r w:rsidR="00E06A0A" w:rsidRPr="00FB5273">
        <w:rPr>
          <w:lang w:val="sq-AL"/>
        </w:rPr>
        <w:t xml:space="preserve">46 milion lekë </w:t>
      </w:r>
      <w:r w:rsidR="007F771C" w:rsidRPr="00FB5273">
        <w:rPr>
          <w:lang w:val="sq-AL"/>
        </w:rPr>
        <w:t>m</w:t>
      </w:r>
      <w:r w:rsidR="00054A7D" w:rsidRPr="00FB5273">
        <w:rPr>
          <w:lang w:val="sq-AL"/>
        </w:rPr>
        <w:t>ë</w:t>
      </w:r>
      <w:r w:rsidR="007F771C" w:rsidRPr="00FB5273">
        <w:rPr>
          <w:lang w:val="sq-AL"/>
        </w:rPr>
        <w:t xml:space="preserve"> </w:t>
      </w:r>
      <w:r w:rsidR="00E06A0A" w:rsidRPr="00FB5273">
        <w:rPr>
          <w:lang w:val="sq-AL"/>
        </w:rPr>
        <w:t>pak</w:t>
      </w:r>
      <w:r w:rsidR="007F771C" w:rsidRPr="00FB5273">
        <w:rPr>
          <w:lang w:val="sq-AL"/>
        </w:rPr>
        <w:t xml:space="preserve"> se</w:t>
      </w:r>
      <w:r w:rsidR="00E57E27" w:rsidRPr="00FB5273">
        <w:rPr>
          <w:lang w:val="sq-AL"/>
        </w:rPr>
        <w:t xml:space="preserve"> 3 mujori 202</w:t>
      </w:r>
      <w:r w:rsidR="00E06A0A" w:rsidRPr="00FB5273">
        <w:rPr>
          <w:lang w:val="sq-AL"/>
        </w:rPr>
        <w:t>5</w:t>
      </w:r>
      <w:r w:rsidR="00E57E27" w:rsidRPr="00FB5273">
        <w:rPr>
          <w:lang w:val="sq-AL"/>
        </w:rPr>
        <w:t xml:space="preserve">. </w:t>
      </w:r>
      <w:r w:rsidRPr="00FB5273">
        <w:rPr>
          <w:lang w:val="sq-AL"/>
        </w:rPr>
        <w:t xml:space="preserve">Duke ju referuar të dhënave për shpenzimet e pushtetit vendor për periudhën 3 mujore </w:t>
      </w:r>
      <w:r w:rsidR="00E57E27" w:rsidRPr="00FB5273">
        <w:rPr>
          <w:lang w:val="sq-AL"/>
        </w:rPr>
        <w:t>202</w:t>
      </w:r>
      <w:r w:rsidR="00E06A0A" w:rsidRPr="00FB5273">
        <w:rPr>
          <w:lang w:val="sq-AL"/>
        </w:rPr>
        <w:t>6</w:t>
      </w:r>
      <w:r w:rsidR="00E57E27" w:rsidRPr="00FB5273">
        <w:rPr>
          <w:lang w:val="sq-AL"/>
        </w:rPr>
        <w:t xml:space="preserve"> </w:t>
      </w:r>
      <w:r w:rsidR="00E06A0A" w:rsidRPr="00FB5273">
        <w:rPr>
          <w:lang w:val="sq-AL"/>
        </w:rPr>
        <w:t>krahasuar me 3 mujorin 2025,</w:t>
      </w:r>
      <w:r w:rsidR="00E57E27" w:rsidRPr="00FB5273">
        <w:rPr>
          <w:lang w:val="sq-AL"/>
        </w:rPr>
        <w:t xml:space="preserve"> grafikisht situata paraqitet </w:t>
      </w:r>
      <w:r w:rsidRPr="00FB5273">
        <w:rPr>
          <w:lang w:val="sq-AL"/>
        </w:rPr>
        <w:t>si në grafikun e mëposhtëm:</w:t>
      </w:r>
    </w:p>
    <w:p w14:paraId="3BDFDA9D" w14:textId="77777777" w:rsidR="006A46A7" w:rsidRPr="00FB5273" w:rsidRDefault="006A46A7" w:rsidP="006A46A7">
      <w:pPr>
        <w:spacing w:before="120" w:line="276" w:lineRule="auto"/>
        <w:ind w:firstLine="720"/>
        <w:jc w:val="both"/>
        <w:rPr>
          <w:sz w:val="10"/>
          <w:szCs w:val="10"/>
          <w:lang w:val="sq-AL"/>
        </w:rPr>
      </w:pPr>
    </w:p>
    <w:p w14:paraId="65B3AF0E" w14:textId="13B62D74" w:rsidR="006A46A7" w:rsidRPr="00FB5273" w:rsidRDefault="00C615CB" w:rsidP="006A46A7">
      <w:pPr>
        <w:pStyle w:val="Caption"/>
        <w:spacing w:after="0" w:line="276" w:lineRule="auto"/>
        <w:jc w:val="both"/>
        <w:rPr>
          <w:b w:val="0"/>
          <w:bCs w:val="0"/>
          <w:i/>
          <w:color w:val="000000" w:themeColor="text1"/>
          <w:sz w:val="22"/>
          <w:szCs w:val="22"/>
          <w:lang w:val="sq-AL"/>
        </w:rPr>
      </w:pPr>
      <w:r w:rsidRPr="00FB5273">
        <w:rPr>
          <w:i/>
          <w:color w:val="000000" w:themeColor="text1"/>
          <w:sz w:val="22"/>
          <w:szCs w:val="22"/>
          <w:lang w:val="sq-AL"/>
        </w:rPr>
        <w:t xml:space="preserve">Grafiku </w:t>
      </w:r>
      <w:r w:rsidR="00F1184C" w:rsidRPr="00FB5273">
        <w:rPr>
          <w:i/>
          <w:color w:val="000000" w:themeColor="text1"/>
          <w:sz w:val="22"/>
          <w:szCs w:val="22"/>
          <w:lang w:val="sq-AL"/>
        </w:rPr>
        <w:t>6</w:t>
      </w:r>
      <w:r w:rsidRPr="00FB5273">
        <w:rPr>
          <w:i/>
          <w:color w:val="000000" w:themeColor="text1"/>
          <w:sz w:val="22"/>
          <w:szCs w:val="22"/>
          <w:lang w:val="sq-AL"/>
        </w:rPr>
        <w:t xml:space="preserve">: 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 xml:space="preserve">Shpenzimet </w:t>
      </w:r>
      <w:r w:rsidR="007F771C"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 xml:space="preserve">të pushtetit vendor 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 xml:space="preserve">sipas </w:t>
      </w:r>
      <w:r w:rsidR="00E06A0A"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klasifikimit ekonomik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 xml:space="preserve"> p</w:t>
      </w:r>
      <w:r w:rsidR="00E57E27"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ë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r 3 mujorin</w:t>
      </w:r>
      <w:r w:rsidR="007F771C"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 xml:space="preserve"> 202</w:t>
      </w:r>
      <w:r w:rsidR="006A46A7"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6</w:t>
      </w:r>
      <w:r w:rsidR="00E06A0A"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 xml:space="preserve"> vs </w:t>
      </w:r>
      <w:r w:rsidR="007F771C"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202</w:t>
      </w:r>
      <w:r w:rsidR="006A46A7"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5</w:t>
      </w:r>
    </w:p>
    <w:p w14:paraId="129AD8B5" w14:textId="7129A534" w:rsidR="006A46A7" w:rsidRPr="00FB5273" w:rsidRDefault="006A46A7" w:rsidP="006A46A7">
      <w:pPr>
        <w:pStyle w:val="Caption"/>
        <w:spacing w:after="0" w:line="276" w:lineRule="auto"/>
        <w:jc w:val="both"/>
        <w:rPr>
          <w:i/>
          <w:lang w:val="sq-AL"/>
        </w:rPr>
      </w:pPr>
      <w:r w:rsidRPr="00FB5273">
        <w:rPr>
          <w:noProof/>
          <w:lang w:val="sq-AL"/>
          <w14:ligatures w14:val="standardContextual"/>
        </w:rPr>
        <w:drawing>
          <wp:inline distT="0" distB="0" distL="0" distR="0" wp14:anchorId="2C5ACE49" wp14:editId="56C87C0C">
            <wp:extent cx="5875361" cy="1624083"/>
            <wp:effectExtent l="0" t="0" r="11430" b="14605"/>
            <wp:docPr id="8340065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02B2293-5D84-487D-A060-5DAF8C0007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1"/>
    <w:bookmarkEnd w:id="10"/>
    <w:p w14:paraId="2864D884" w14:textId="77777777" w:rsidR="00E06A0A" w:rsidRPr="00FB5273" w:rsidRDefault="00E06A0A" w:rsidP="00E06A0A">
      <w:pPr>
        <w:pStyle w:val="Caption"/>
        <w:spacing w:after="0" w:line="276" w:lineRule="auto"/>
        <w:jc w:val="both"/>
        <w:rPr>
          <w:b w:val="0"/>
          <w:bCs w:val="0"/>
          <w:i/>
          <w:color w:val="153D63" w:themeColor="text2" w:themeTint="E6"/>
          <w:lang w:val="sq-AL"/>
        </w:rPr>
      </w:pPr>
      <w:r w:rsidRPr="00FB5273">
        <w:rPr>
          <w:i/>
          <w:iCs/>
          <w:noProof/>
          <w:color w:val="auto"/>
          <w:sz w:val="20"/>
          <w:szCs w:val="20"/>
          <w:lang w:val="sq-AL" w:eastAsia="sq-AL"/>
        </w:rPr>
        <w:t xml:space="preserve">Burimi: </w:t>
      </w:r>
      <w:r w:rsidRPr="00FB5273">
        <w:rPr>
          <w:b w:val="0"/>
          <w:bCs w:val="0"/>
          <w:i/>
          <w:iCs/>
          <w:noProof/>
          <w:color w:val="auto"/>
          <w:sz w:val="20"/>
          <w:szCs w:val="20"/>
          <w:lang w:val="sq-AL" w:eastAsia="sq-AL"/>
        </w:rPr>
        <w:t>Drejtoria e Financave Vendore, Ministria e Financave (202</w:t>
      </w:r>
      <w:r w:rsidRPr="00FB5273">
        <w:rPr>
          <w:b w:val="0"/>
          <w:bCs w:val="0"/>
          <w:i/>
          <w:iCs/>
          <w:noProof/>
          <w:sz w:val="20"/>
          <w:szCs w:val="20"/>
          <w:lang w:val="sq-AL" w:eastAsia="sq-AL"/>
        </w:rPr>
        <w:t>6</w:t>
      </w:r>
      <w:r w:rsidRPr="00FB5273">
        <w:rPr>
          <w:b w:val="0"/>
          <w:bCs w:val="0"/>
          <w:i/>
          <w:iCs/>
          <w:noProof/>
          <w:color w:val="auto"/>
          <w:sz w:val="20"/>
          <w:szCs w:val="20"/>
          <w:lang w:val="sq-AL" w:eastAsia="sq-AL"/>
        </w:rPr>
        <w:t>)</w:t>
      </w:r>
    </w:p>
    <w:p w14:paraId="0C54FA8B" w14:textId="77777777" w:rsidR="00F1184C" w:rsidRPr="00FB5273" w:rsidRDefault="00F1184C" w:rsidP="008D035E">
      <w:pPr>
        <w:spacing w:before="120" w:after="120" w:line="276" w:lineRule="auto"/>
        <w:jc w:val="both"/>
        <w:rPr>
          <w:lang w:val="sq-AL"/>
        </w:rPr>
      </w:pPr>
    </w:p>
    <w:p w14:paraId="608B7934" w14:textId="797FCC12" w:rsidR="008D035E" w:rsidRPr="00FB5273" w:rsidRDefault="0001144E" w:rsidP="0001144E">
      <w:pPr>
        <w:spacing w:before="120" w:after="120" w:line="276" w:lineRule="auto"/>
        <w:ind w:firstLine="720"/>
        <w:jc w:val="both"/>
        <w:rPr>
          <w:lang w:val="sq-AL"/>
        </w:rPr>
      </w:pPr>
      <w:r w:rsidRPr="00FB5273">
        <w:rPr>
          <w:lang w:val="sq-AL"/>
        </w:rPr>
        <w:t>N</w:t>
      </w:r>
      <w:r w:rsidR="00FB5273">
        <w:rPr>
          <w:lang w:val="sq-AL"/>
        </w:rPr>
        <w:t>ë</w:t>
      </w:r>
      <w:r w:rsidRPr="00FB5273">
        <w:rPr>
          <w:lang w:val="sq-AL"/>
        </w:rPr>
        <w:t xml:space="preserve"> tabel</w:t>
      </w:r>
      <w:r w:rsidR="00DC616C">
        <w:rPr>
          <w:lang w:val="sq-AL"/>
        </w:rPr>
        <w:t>ë</w:t>
      </w:r>
      <w:r w:rsidRPr="00FB5273">
        <w:rPr>
          <w:lang w:val="sq-AL"/>
        </w:rPr>
        <w:t>n e m</w:t>
      </w:r>
      <w:r w:rsidR="00FB5273">
        <w:rPr>
          <w:lang w:val="sq-AL"/>
        </w:rPr>
        <w:t>ë</w:t>
      </w:r>
      <w:r w:rsidR="008D035E" w:rsidRPr="00FB5273">
        <w:rPr>
          <w:lang w:val="sq-AL"/>
        </w:rPr>
        <w:t>posht</w:t>
      </w:r>
      <w:r w:rsidRPr="00FB5273">
        <w:rPr>
          <w:lang w:val="sq-AL"/>
        </w:rPr>
        <w:t>me</w:t>
      </w:r>
      <w:r w:rsidR="008D035E" w:rsidRPr="00FB5273">
        <w:rPr>
          <w:lang w:val="sq-AL"/>
        </w:rPr>
        <w:t xml:space="preserve"> janë paraqitur në mënyrë të përmbledhur </w:t>
      </w:r>
      <w:r w:rsidRPr="00FB5273">
        <w:rPr>
          <w:lang w:val="sq-AL"/>
        </w:rPr>
        <w:t>t</w:t>
      </w:r>
      <w:r w:rsidR="00FB5273">
        <w:rPr>
          <w:lang w:val="sq-AL"/>
        </w:rPr>
        <w:t>ë</w:t>
      </w:r>
      <w:r w:rsidRPr="00FB5273">
        <w:rPr>
          <w:lang w:val="sq-AL"/>
        </w:rPr>
        <w:t xml:space="preserve"> dh</w:t>
      </w:r>
      <w:r w:rsidR="00FB5273">
        <w:rPr>
          <w:lang w:val="sq-AL"/>
        </w:rPr>
        <w:t>ë</w:t>
      </w:r>
      <w:r w:rsidRPr="00FB5273">
        <w:rPr>
          <w:lang w:val="sq-AL"/>
        </w:rPr>
        <w:t xml:space="preserve">nat </w:t>
      </w:r>
      <w:r w:rsidR="008D035E" w:rsidRPr="00FB5273">
        <w:rPr>
          <w:lang w:val="sq-AL"/>
        </w:rPr>
        <w:t xml:space="preserve">e </w:t>
      </w:r>
      <w:r w:rsidRPr="00FB5273">
        <w:rPr>
          <w:lang w:val="sq-AL"/>
        </w:rPr>
        <w:t>të ardhurave t</w:t>
      </w:r>
      <w:r w:rsidR="00FB5273">
        <w:rPr>
          <w:lang w:val="sq-AL"/>
        </w:rPr>
        <w:t>ë</w:t>
      </w:r>
      <w:r w:rsidRPr="00FB5273">
        <w:rPr>
          <w:lang w:val="sq-AL"/>
        </w:rPr>
        <w:t xml:space="preserve"> veta tatimore t</w:t>
      </w:r>
      <w:r w:rsidR="00FB5273">
        <w:rPr>
          <w:lang w:val="sq-AL"/>
        </w:rPr>
        <w:t>ë</w:t>
      </w:r>
      <w:r w:rsidRPr="00FB5273">
        <w:rPr>
          <w:lang w:val="sq-AL"/>
        </w:rPr>
        <w:t xml:space="preserve"> pushtetit vendor dhe shpenzimeve të buxhetit vendor, gjatë 3 mujorit të </w:t>
      </w:r>
      <w:r w:rsidR="00DC616C">
        <w:rPr>
          <w:lang w:val="sq-AL"/>
        </w:rPr>
        <w:t xml:space="preserve">parë të </w:t>
      </w:r>
      <w:r w:rsidRPr="00FB5273">
        <w:rPr>
          <w:lang w:val="sq-AL"/>
        </w:rPr>
        <w:t xml:space="preserve">vitit 2026 dhe 3 mujorit të </w:t>
      </w:r>
      <w:r w:rsidR="00DC616C">
        <w:rPr>
          <w:lang w:val="sq-AL"/>
        </w:rPr>
        <w:t xml:space="preserve">parë të </w:t>
      </w:r>
      <w:r w:rsidRPr="00FB5273">
        <w:rPr>
          <w:lang w:val="sq-AL"/>
        </w:rPr>
        <w:t xml:space="preserve">vitit 2025, si dhe </w:t>
      </w:r>
      <w:r w:rsidR="008D035E" w:rsidRPr="00FB5273">
        <w:rPr>
          <w:lang w:val="sq-AL"/>
        </w:rPr>
        <w:t xml:space="preserve">ndryshimeve </w:t>
      </w:r>
      <w:r w:rsidRPr="00FB5273">
        <w:rPr>
          <w:lang w:val="sq-AL"/>
        </w:rPr>
        <w:t>mes tyre n</w:t>
      </w:r>
      <w:r w:rsidR="00FB5273">
        <w:rPr>
          <w:lang w:val="sq-AL"/>
        </w:rPr>
        <w:t>ë</w:t>
      </w:r>
      <w:r w:rsidRPr="00FB5273">
        <w:rPr>
          <w:lang w:val="sq-AL"/>
        </w:rPr>
        <w:t xml:space="preserve"> vler</w:t>
      </w:r>
      <w:r w:rsidR="00FB5273">
        <w:rPr>
          <w:lang w:val="sq-AL"/>
        </w:rPr>
        <w:t>ë</w:t>
      </w:r>
      <w:r w:rsidRPr="00FB5273">
        <w:rPr>
          <w:lang w:val="sq-AL"/>
        </w:rPr>
        <w:t xml:space="preserve"> dhe n</w:t>
      </w:r>
      <w:r w:rsidR="00FB5273">
        <w:rPr>
          <w:lang w:val="sq-AL"/>
        </w:rPr>
        <w:t>ë</w:t>
      </w:r>
      <w:r w:rsidRPr="00FB5273">
        <w:rPr>
          <w:lang w:val="sq-AL"/>
        </w:rPr>
        <w:t xml:space="preserve"> p</w:t>
      </w:r>
      <w:r w:rsidR="00FB5273">
        <w:rPr>
          <w:lang w:val="sq-AL"/>
        </w:rPr>
        <w:t>ë</w:t>
      </w:r>
      <w:r w:rsidRPr="00FB5273">
        <w:rPr>
          <w:lang w:val="sq-AL"/>
        </w:rPr>
        <w:t>rqindje.</w:t>
      </w:r>
    </w:p>
    <w:p w14:paraId="133B5A0B" w14:textId="768D0485" w:rsidR="00B95875" w:rsidRPr="00FB5273" w:rsidRDefault="008D035E" w:rsidP="000368DD">
      <w:pPr>
        <w:pStyle w:val="Caption"/>
        <w:spacing w:after="0" w:line="276" w:lineRule="auto"/>
        <w:jc w:val="both"/>
        <w:rPr>
          <w:b w:val="0"/>
          <w:bCs w:val="0"/>
          <w:i/>
          <w:color w:val="000000" w:themeColor="text1"/>
          <w:sz w:val="22"/>
          <w:szCs w:val="22"/>
          <w:lang w:val="sq-AL"/>
        </w:rPr>
      </w:pPr>
      <w:bookmarkStart w:id="11" w:name="_Toc107318911"/>
      <w:bookmarkStart w:id="12" w:name="_Hlk205460840"/>
      <w:r w:rsidRPr="00FB5273">
        <w:rPr>
          <w:i/>
          <w:color w:val="000000" w:themeColor="text1"/>
          <w:sz w:val="22"/>
          <w:szCs w:val="22"/>
          <w:lang w:val="sq-AL"/>
        </w:rPr>
        <w:t xml:space="preserve">Tabela 1: </w:t>
      </w:r>
      <w:r w:rsidRPr="00FB5273">
        <w:rPr>
          <w:b w:val="0"/>
          <w:bCs w:val="0"/>
          <w:i/>
          <w:color w:val="000000" w:themeColor="text1"/>
          <w:sz w:val="22"/>
          <w:szCs w:val="22"/>
          <w:lang w:val="sq-AL"/>
        </w:rPr>
        <w:t>Të ardhurat dhe shpenzimet faktike të pushtetit vendor sipas natyrës (në milion lekë)</w:t>
      </w:r>
      <w:bookmarkEnd w:id="11"/>
    </w:p>
    <w:tbl>
      <w:tblPr>
        <w:tblW w:w="9289" w:type="dxa"/>
        <w:jc w:val="center"/>
        <w:tblLook w:val="04A0" w:firstRow="1" w:lastRow="0" w:firstColumn="1" w:lastColumn="0" w:noHBand="0" w:noVBand="1"/>
      </w:tblPr>
      <w:tblGrid>
        <w:gridCol w:w="443"/>
        <w:gridCol w:w="4052"/>
        <w:gridCol w:w="1170"/>
        <w:gridCol w:w="1260"/>
        <w:gridCol w:w="1170"/>
        <w:gridCol w:w="1194"/>
      </w:tblGrid>
      <w:tr w:rsidR="00FB5273" w:rsidRPr="00FB5273" w14:paraId="1429052D" w14:textId="77777777" w:rsidTr="00FB5273">
        <w:trPr>
          <w:trHeight w:val="314"/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bookmarkEnd w:id="12"/>
          <w:p w14:paraId="541A1D7E" w14:textId="77777777" w:rsidR="000368DD" w:rsidRPr="00FB5273" w:rsidRDefault="000368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Nr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08EA3CAC" w14:textId="77777777" w:rsidR="000368DD" w:rsidRPr="00FB5273" w:rsidRDefault="000368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E  M  Ë  R  T  I  M  I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1D265A6B" w14:textId="6FF2C48D" w:rsidR="000368DD" w:rsidRPr="00FB5273" w:rsidRDefault="00FB52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 xml:space="preserve">Realizimi faktik </w:t>
            </w:r>
            <w:r w:rsidR="000368DD"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3 mujori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1F0C8"/>
            <w:noWrap/>
            <w:vAlign w:val="center"/>
            <w:hideMark/>
          </w:tcPr>
          <w:p w14:paraId="63677CBB" w14:textId="7EBA8209" w:rsidR="000368DD" w:rsidRPr="00FB5273" w:rsidRDefault="00FB52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 xml:space="preserve">Ndryshimet </w:t>
            </w:r>
            <w:r w:rsidR="000368DD"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2026 ndaj 2025</w:t>
            </w:r>
          </w:p>
        </w:tc>
      </w:tr>
      <w:tr w:rsidR="00FB5273" w:rsidRPr="00FB5273" w14:paraId="20CF9B95" w14:textId="77777777" w:rsidTr="00FB5273">
        <w:trPr>
          <w:trHeight w:val="260"/>
          <w:jc w:val="center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50C4" w14:textId="77777777" w:rsidR="000368DD" w:rsidRPr="00FB5273" w:rsidRDefault="000368DD">
            <w:pPr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</w:p>
        </w:tc>
        <w:tc>
          <w:tcPr>
            <w:tcW w:w="4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1245" w14:textId="77777777" w:rsidR="000368DD" w:rsidRPr="00FB5273" w:rsidRDefault="000368DD">
            <w:pPr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2D6CBB35" w14:textId="77777777" w:rsidR="000368DD" w:rsidRPr="00FB5273" w:rsidRDefault="000368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2026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3F56A770" w14:textId="77777777" w:rsidR="000368DD" w:rsidRPr="00FB5273" w:rsidRDefault="000368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2025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A623C97" w14:textId="77777777" w:rsidR="000368DD" w:rsidRPr="00FB5273" w:rsidRDefault="000368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në vlerë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5BB62F2" w14:textId="77777777" w:rsidR="000368DD" w:rsidRPr="00FB5273" w:rsidRDefault="000368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në %</w:t>
            </w:r>
          </w:p>
        </w:tc>
      </w:tr>
      <w:tr w:rsidR="00FB5273" w:rsidRPr="00FB5273" w14:paraId="2F28D427" w14:textId="77777777" w:rsidTr="00FB5273">
        <w:trPr>
          <w:trHeight w:val="2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6969" w14:textId="77777777" w:rsidR="000368DD" w:rsidRPr="00FB5273" w:rsidRDefault="000368D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I.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C985" w14:textId="77777777" w:rsidR="000368DD" w:rsidRPr="00FB5273" w:rsidRDefault="000368DD">
            <w:pPr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Të ardhura nga Pushteti vendor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CE21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18,046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A786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5,971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89DC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12,074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9005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202.2%</w:t>
            </w:r>
          </w:p>
        </w:tc>
      </w:tr>
      <w:tr w:rsidR="00FB5273" w:rsidRPr="00FB5273" w14:paraId="6DD63320" w14:textId="77777777" w:rsidTr="00FB5273">
        <w:trPr>
          <w:trHeight w:val="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A8D2" w14:textId="77777777" w:rsidR="000368DD" w:rsidRPr="00FB5273" w:rsidRDefault="000368DD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I.1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532A" w14:textId="77777777" w:rsidR="000368DD" w:rsidRPr="00FB5273" w:rsidRDefault="000368DD">
            <w:pPr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Taksa mbi pasurinë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1AF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1,812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35F3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1,426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A363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386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ED66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27.0%</w:t>
            </w:r>
          </w:p>
        </w:tc>
      </w:tr>
      <w:tr w:rsidR="00FB5273" w:rsidRPr="00FB5273" w14:paraId="010166FD" w14:textId="77777777" w:rsidTr="00FB5273">
        <w:trPr>
          <w:trHeight w:val="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40FE" w14:textId="77777777" w:rsidR="000368DD" w:rsidRPr="00FB5273" w:rsidRDefault="000368DD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I.2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F8A" w14:textId="77777777" w:rsidR="000368DD" w:rsidRPr="00FB5273" w:rsidRDefault="000368DD">
            <w:pPr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Taksa e biznesit të vogël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8738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535F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503C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844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D6C7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7213.2%</w:t>
            </w:r>
          </w:p>
        </w:tc>
      </w:tr>
      <w:tr w:rsidR="00FB5273" w:rsidRPr="00FB5273" w14:paraId="3A9C966E" w14:textId="77777777" w:rsidTr="00FB5273">
        <w:trPr>
          <w:trHeight w:val="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D8B175" w14:textId="77777777" w:rsidR="000368DD" w:rsidRPr="00FB5273" w:rsidRDefault="000368DD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I.3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C9C29" w14:textId="77777777" w:rsidR="000368DD" w:rsidRPr="00FB5273" w:rsidRDefault="000368DD">
            <w:pPr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Taksa Lokale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FC13F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15,378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C58924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4,533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B22A3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10,845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DCAB18" w14:textId="77777777" w:rsidR="000368DD" w:rsidRPr="00FB5273" w:rsidRDefault="000368DD" w:rsidP="00FB5273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239.2%</w:t>
            </w:r>
          </w:p>
        </w:tc>
      </w:tr>
      <w:tr w:rsidR="001D307C" w:rsidRPr="00FB5273" w14:paraId="372E2724" w14:textId="77777777" w:rsidTr="00FB5273">
        <w:trPr>
          <w:trHeight w:val="2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3C438" w14:textId="77777777" w:rsidR="001D307C" w:rsidRPr="00FB5273" w:rsidRDefault="001D307C" w:rsidP="001D30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II.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4C0B" w14:textId="77777777" w:rsidR="001D307C" w:rsidRPr="00FB5273" w:rsidRDefault="001D307C" w:rsidP="001D307C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Shpenzime nga Pushtetit Vendor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2892" w14:textId="5F4A20C1" w:rsidR="001D307C" w:rsidRPr="001D307C" w:rsidRDefault="001D307C" w:rsidP="001D307C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b/>
                <w:bCs/>
                <w:sz w:val="16"/>
                <w:szCs w:val="16"/>
              </w:rPr>
              <w:t>17,121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5C6F" w14:textId="19467E1B" w:rsidR="001D307C" w:rsidRPr="001D307C" w:rsidRDefault="001D307C" w:rsidP="001D307C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b/>
                <w:bCs/>
                <w:sz w:val="16"/>
                <w:szCs w:val="16"/>
              </w:rPr>
              <w:t>15,576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B750" w14:textId="54083A9E" w:rsidR="001D307C" w:rsidRPr="001D307C" w:rsidRDefault="001D307C" w:rsidP="001D307C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b/>
                <w:bCs/>
                <w:sz w:val="16"/>
                <w:szCs w:val="16"/>
              </w:rPr>
              <w:t>1,546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393F" w14:textId="39FF648D" w:rsidR="001D307C" w:rsidRPr="001D307C" w:rsidRDefault="001D307C" w:rsidP="001D307C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b/>
                <w:bCs/>
                <w:sz w:val="16"/>
                <w:szCs w:val="16"/>
              </w:rPr>
              <w:t>9.9%</w:t>
            </w:r>
          </w:p>
        </w:tc>
      </w:tr>
      <w:tr w:rsidR="001D307C" w:rsidRPr="00FB5273" w14:paraId="292CB27F" w14:textId="77777777" w:rsidTr="00FB5273">
        <w:trPr>
          <w:trHeight w:val="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504C" w14:textId="77777777" w:rsidR="001D307C" w:rsidRPr="00FB5273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II.1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1A46" w14:textId="77777777" w:rsidR="001D307C" w:rsidRPr="00FB5273" w:rsidRDefault="001D307C" w:rsidP="001D307C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sq-AL"/>
              </w:rPr>
              <w:t>Shpenzime Korente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BEC9" w14:textId="351C9DD0" w:rsidR="001D307C" w:rsidRPr="001D307C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sz w:val="16"/>
                <w:szCs w:val="16"/>
              </w:rPr>
              <w:t>14,891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CB59" w14:textId="761EFAC8" w:rsidR="001D307C" w:rsidRPr="001D307C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sz w:val="16"/>
                <w:szCs w:val="16"/>
              </w:rPr>
              <w:t>13,874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D882" w14:textId="7B6783B8" w:rsidR="001D307C" w:rsidRPr="001D307C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sz w:val="16"/>
                <w:szCs w:val="16"/>
              </w:rPr>
              <w:t>1,017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B3C7" w14:textId="0C783614" w:rsidR="001D307C" w:rsidRPr="001D307C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sz w:val="16"/>
                <w:szCs w:val="16"/>
              </w:rPr>
              <w:t>7.3%</w:t>
            </w:r>
          </w:p>
        </w:tc>
      </w:tr>
      <w:tr w:rsidR="001D307C" w:rsidRPr="00FB5273" w14:paraId="08677F6E" w14:textId="77777777" w:rsidTr="00FB5273">
        <w:trPr>
          <w:trHeight w:val="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8229" w14:textId="77777777" w:rsidR="001D307C" w:rsidRPr="00FB5273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386F" w14:textId="77777777" w:rsidR="001D307C" w:rsidRPr="00FB5273" w:rsidRDefault="001D307C" w:rsidP="001D307C">
            <w:pPr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 xml:space="preserve">Personeli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D67D" w14:textId="16E88D73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10,512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3CEB" w14:textId="4961B1C8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9,829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F676" w14:textId="2049A7AD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683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E6B5" w14:textId="0711C00D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6.9%</w:t>
            </w:r>
          </w:p>
        </w:tc>
      </w:tr>
      <w:tr w:rsidR="001D307C" w:rsidRPr="00FB5273" w14:paraId="2B999442" w14:textId="77777777" w:rsidTr="00FB5273">
        <w:trPr>
          <w:trHeight w:val="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51FE" w14:textId="77777777" w:rsidR="001D307C" w:rsidRPr="00FB5273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2524" w14:textId="77777777" w:rsidR="001D307C" w:rsidRPr="00FB5273" w:rsidRDefault="001D307C" w:rsidP="001D307C">
            <w:pPr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Shpenzime Oper. Mirmbajtje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7B77" w14:textId="05B46D71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3,409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7692" w14:textId="5D8C3648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3,099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9FED" w14:textId="38AD05C1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310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F541" w14:textId="22DE2F0F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10.0%</w:t>
            </w:r>
          </w:p>
        </w:tc>
      </w:tr>
      <w:tr w:rsidR="001D307C" w:rsidRPr="00FB5273" w14:paraId="3627A73B" w14:textId="77777777" w:rsidTr="00FB5273">
        <w:trPr>
          <w:trHeight w:val="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730E" w14:textId="77777777" w:rsidR="001D307C" w:rsidRPr="00FB5273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BA13" w14:textId="77777777" w:rsidR="001D307C" w:rsidRPr="00FB5273" w:rsidRDefault="001D307C" w:rsidP="001D307C">
            <w:pPr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Subvencione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84" w14:textId="23091741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475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54BD" w14:textId="28AB1990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405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A5A2" w14:textId="7780DA2F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22EC" w14:textId="065DDBB3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17.2%</w:t>
            </w:r>
          </w:p>
        </w:tc>
      </w:tr>
      <w:tr w:rsidR="001D307C" w:rsidRPr="00FB5273" w14:paraId="124DBDBF" w14:textId="77777777" w:rsidTr="00FB5273">
        <w:trPr>
          <w:trHeight w:val="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40B3" w14:textId="77777777" w:rsidR="001D307C" w:rsidRPr="00FB5273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EAB2" w14:textId="77777777" w:rsidR="001D307C" w:rsidRPr="00FB5273" w:rsidRDefault="001D307C" w:rsidP="001D307C">
            <w:pPr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  <w:t>Te tjera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7612" w14:textId="04A33458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6E5A" w14:textId="36946B0C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542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360F" w14:textId="5CF6B9B1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-46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9C3D" w14:textId="7DF1C078" w:rsidR="001D307C" w:rsidRPr="001D307C" w:rsidRDefault="001D307C" w:rsidP="001D307C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i/>
                <w:iCs/>
                <w:sz w:val="16"/>
                <w:szCs w:val="16"/>
              </w:rPr>
              <w:t>-8.5%</w:t>
            </w:r>
          </w:p>
        </w:tc>
      </w:tr>
      <w:tr w:rsidR="001D307C" w:rsidRPr="00FB5273" w14:paraId="11F1FCCD" w14:textId="77777777" w:rsidTr="00FB5273">
        <w:trPr>
          <w:trHeight w:val="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01A2" w14:textId="77777777" w:rsidR="001D307C" w:rsidRPr="00FB5273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sz w:val="16"/>
                <w:szCs w:val="16"/>
                <w:lang w:val="sq-AL"/>
              </w:rPr>
              <w:t>II.2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74FF" w14:textId="77777777" w:rsidR="001D307C" w:rsidRPr="00FB5273" w:rsidRDefault="001D307C" w:rsidP="001D307C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sq-AL"/>
              </w:rPr>
            </w:pPr>
            <w:r w:rsidRPr="00FB527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sq-AL"/>
              </w:rPr>
              <w:t>Shpenzime Kapitale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4FF9" w14:textId="2A3EB844" w:rsidR="001D307C" w:rsidRPr="001D307C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sz w:val="16"/>
                <w:szCs w:val="16"/>
              </w:rPr>
              <w:t>2,230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EE88" w14:textId="1A475765" w:rsidR="001D307C" w:rsidRPr="001D307C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sz w:val="16"/>
                <w:szCs w:val="16"/>
              </w:rPr>
              <w:t>1,701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A089" w14:textId="4B6079BC" w:rsidR="001D307C" w:rsidRPr="001D307C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sz w:val="16"/>
                <w:szCs w:val="16"/>
              </w:rPr>
              <w:t>529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8C66" w14:textId="3DF72AA3" w:rsidR="001D307C" w:rsidRPr="001D307C" w:rsidRDefault="001D307C" w:rsidP="001D307C">
            <w:pPr>
              <w:jc w:val="right"/>
              <w:rPr>
                <w:rFonts w:ascii="Calibri" w:hAnsi="Calibri" w:cs="Calibri"/>
                <w:sz w:val="16"/>
                <w:szCs w:val="16"/>
                <w:lang w:val="sq-AL"/>
              </w:rPr>
            </w:pPr>
            <w:r w:rsidRPr="001D307C">
              <w:rPr>
                <w:rFonts w:ascii="Calibri" w:hAnsi="Calibri" w:cs="Calibri"/>
                <w:sz w:val="16"/>
                <w:szCs w:val="16"/>
              </w:rPr>
              <w:t>31.1%</w:t>
            </w:r>
          </w:p>
        </w:tc>
      </w:tr>
    </w:tbl>
    <w:p w14:paraId="14C7B24D" w14:textId="7670814F" w:rsidR="00F1184C" w:rsidRPr="00FB5273" w:rsidRDefault="00FB5273" w:rsidP="008D035E">
      <w:pPr>
        <w:spacing w:after="120" w:line="276" w:lineRule="auto"/>
        <w:jc w:val="both"/>
        <w:rPr>
          <w:bCs/>
          <w:i/>
          <w:iCs/>
          <w:noProof/>
          <w:sz w:val="20"/>
          <w:szCs w:val="20"/>
          <w:lang w:val="sq-AL" w:eastAsia="sq-AL"/>
        </w:rPr>
      </w:pPr>
      <w:r w:rsidRPr="00FB5273">
        <w:rPr>
          <w:b/>
          <w:bCs/>
          <w:i/>
          <w:iCs/>
          <w:noProof/>
          <w:sz w:val="20"/>
          <w:szCs w:val="20"/>
          <w:lang w:val="sq-AL" w:eastAsia="sq-AL"/>
        </w:rPr>
        <w:t>Burimi:</w:t>
      </w:r>
      <w:r w:rsidRPr="00FB5273">
        <w:rPr>
          <w:bCs/>
          <w:i/>
          <w:iCs/>
          <w:noProof/>
          <w:sz w:val="20"/>
          <w:szCs w:val="20"/>
          <w:lang w:val="sq-AL" w:eastAsia="sq-AL"/>
        </w:rPr>
        <w:t xml:space="preserve"> Drejtoria e Financave Vendore, Ministria e Financave (202</w:t>
      </w:r>
      <w:r>
        <w:rPr>
          <w:bCs/>
          <w:i/>
          <w:iCs/>
          <w:noProof/>
          <w:sz w:val="20"/>
          <w:szCs w:val="20"/>
          <w:lang w:val="sq-AL" w:eastAsia="sq-AL"/>
        </w:rPr>
        <w:t>6</w:t>
      </w:r>
      <w:r w:rsidRPr="00FB5273">
        <w:rPr>
          <w:bCs/>
          <w:i/>
          <w:iCs/>
          <w:noProof/>
          <w:sz w:val="20"/>
          <w:szCs w:val="20"/>
          <w:lang w:val="sq-AL" w:eastAsia="sq-AL"/>
        </w:rPr>
        <w:t>)</w:t>
      </w:r>
    </w:p>
    <w:p w14:paraId="3BAACB8B" w14:textId="60DB12B1" w:rsidR="008D035E" w:rsidRPr="00FB5273" w:rsidRDefault="008D035E" w:rsidP="00FB5273">
      <w:pPr>
        <w:spacing w:after="120" w:line="276" w:lineRule="auto"/>
        <w:ind w:firstLine="720"/>
        <w:jc w:val="both"/>
        <w:rPr>
          <w:lang w:val="sq-AL"/>
        </w:rPr>
      </w:pPr>
      <w:r w:rsidRPr="00FB5273">
        <w:rPr>
          <w:i/>
          <w:u w:val="single"/>
          <w:lang w:val="sq-AL"/>
        </w:rPr>
        <w:t>Shpenzimet e Personelit</w:t>
      </w:r>
      <w:r w:rsidRPr="00FB5273">
        <w:rPr>
          <w:lang w:val="sq-AL"/>
        </w:rPr>
        <w:t xml:space="preserve"> </w:t>
      </w:r>
      <w:r w:rsidR="00A82AD1" w:rsidRPr="00FB5273">
        <w:rPr>
          <w:lang w:val="sq-AL"/>
        </w:rPr>
        <w:t xml:space="preserve">për 3 mujorin e </w:t>
      </w:r>
      <w:r w:rsidR="00DC616C">
        <w:rPr>
          <w:lang w:val="sq-AL"/>
        </w:rPr>
        <w:t xml:space="preserve">parë të </w:t>
      </w:r>
      <w:r w:rsidR="00A82AD1" w:rsidRPr="00FB5273">
        <w:rPr>
          <w:lang w:val="sq-AL"/>
        </w:rPr>
        <w:t>vitit 202</w:t>
      </w:r>
      <w:r w:rsidR="00FB5273">
        <w:rPr>
          <w:lang w:val="sq-AL"/>
        </w:rPr>
        <w:t>6</w:t>
      </w:r>
      <w:r w:rsidR="00A82AD1" w:rsidRPr="00FB5273">
        <w:rPr>
          <w:lang w:val="sq-AL"/>
        </w:rPr>
        <w:t xml:space="preserve"> </w:t>
      </w:r>
      <w:r w:rsidRPr="00FB5273">
        <w:rPr>
          <w:lang w:val="sq-AL"/>
        </w:rPr>
        <w:t>përbëjnë një pjesë të konsiderueshme të shpenzimeve totale të njësive të ve</w:t>
      </w:r>
      <w:r w:rsidR="00DC616C">
        <w:rPr>
          <w:lang w:val="sq-AL"/>
        </w:rPr>
        <w:t>të</w:t>
      </w:r>
      <w:r w:rsidRPr="00FB5273">
        <w:rPr>
          <w:lang w:val="sq-AL"/>
        </w:rPr>
        <w:t xml:space="preserve">qeverisjes vendore me rreth </w:t>
      </w:r>
      <w:r w:rsidR="006B5838">
        <w:rPr>
          <w:lang w:val="sq-AL"/>
        </w:rPr>
        <w:t>61.4</w:t>
      </w:r>
      <w:r w:rsidRPr="00FB5273">
        <w:rPr>
          <w:lang w:val="sq-AL"/>
        </w:rPr>
        <w:t>%</w:t>
      </w:r>
      <w:r w:rsidR="006B5838">
        <w:rPr>
          <w:lang w:val="sq-AL"/>
        </w:rPr>
        <w:t xml:space="preserve"> (pagat 52.6% dhe sigurimet 8.8%). </w:t>
      </w:r>
      <w:r w:rsidRPr="00FB5273">
        <w:rPr>
          <w:lang w:val="sq-AL"/>
        </w:rPr>
        <w:t xml:space="preserve">Për </w:t>
      </w:r>
      <w:r w:rsidR="00A82AD1" w:rsidRPr="00FB5273">
        <w:rPr>
          <w:lang w:val="sq-AL"/>
        </w:rPr>
        <w:t>k</w:t>
      </w:r>
      <w:r w:rsidR="00FE1403" w:rsidRPr="00FB5273">
        <w:rPr>
          <w:lang w:val="sq-AL"/>
        </w:rPr>
        <w:t>ë</w:t>
      </w:r>
      <w:r w:rsidR="00A82AD1" w:rsidRPr="00FB5273">
        <w:rPr>
          <w:lang w:val="sq-AL"/>
        </w:rPr>
        <w:t>t</w:t>
      </w:r>
      <w:r w:rsidR="00FE1403" w:rsidRPr="00FB5273">
        <w:rPr>
          <w:lang w:val="sq-AL"/>
        </w:rPr>
        <w:t>ë</w:t>
      </w:r>
      <w:r w:rsidR="00A82AD1" w:rsidRPr="00FB5273">
        <w:rPr>
          <w:lang w:val="sq-AL"/>
        </w:rPr>
        <w:t xml:space="preserve"> periudh</w:t>
      </w:r>
      <w:r w:rsidR="00FE1403" w:rsidRPr="00FB5273">
        <w:rPr>
          <w:lang w:val="sq-AL"/>
        </w:rPr>
        <w:t>ë</w:t>
      </w:r>
      <w:r w:rsidRPr="00FB5273">
        <w:rPr>
          <w:lang w:val="sq-AL"/>
        </w:rPr>
        <w:t xml:space="preserve"> këto shpe</w:t>
      </w:r>
      <w:r w:rsidR="00B95875" w:rsidRPr="00FB5273">
        <w:rPr>
          <w:lang w:val="sq-AL"/>
        </w:rPr>
        <w:t xml:space="preserve">nzime janë realizuar në masën </w:t>
      </w:r>
      <w:r w:rsidR="006B5838">
        <w:rPr>
          <w:lang w:val="sq-AL"/>
        </w:rPr>
        <w:t>mbi 10.5</w:t>
      </w:r>
      <w:r w:rsidRPr="00FB5273">
        <w:rPr>
          <w:lang w:val="sq-AL"/>
        </w:rPr>
        <w:t xml:space="preserve"> miliard lekë ose rreth </w:t>
      </w:r>
      <w:r w:rsidR="001D307C">
        <w:rPr>
          <w:lang w:val="sq-AL"/>
        </w:rPr>
        <w:t>683</w:t>
      </w:r>
      <w:r w:rsidRPr="00FB5273">
        <w:rPr>
          <w:lang w:val="sq-AL"/>
        </w:rPr>
        <w:t xml:space="preserve"> mili</w:t>
      </w:r>
      <w:r w:rsidR="001D307C">
        <w:rPr>
          <w:lang w:val="sq-AL"/>
        </w:rPr>
        <w:t>on</w:t>
      </w:r>
      <w:r w:rsidRPr="00FB5273">
        <w:rPr>
          <w:lang w:val="sq-AL"/>
        </w:rPr>
        <w:t xml:space="preserve"> lekë më shumë se e njëjta periudhë e një viti më parë. Rritja e këtyre shpenzimeve vjen si rrjedhojë kryesisht nga politika</w:t>
      </w:r>
      <w:r w:rsidR="006B5838">
        <w:rPr>
          <w:lang w:val="sq-AL"/>
        </w:rPr>
        <w:t>t</w:t>
      </w:r>
      <w:r w:rsidRPr="00FB5273">
        <w:rPr>
          <w:lang w:val="sq-AL"/>
        </w:rPr>
        <w:t xml:space="preserve"> për rritjen e pagave</w:t>
      </w:r>
      <w:r w:rsidR="006B5838">
        <w:rPr>
          <w:lang w:val="sq-AL"/>
        </w:rPr>
        <w:t xml:space="preserve"> si dhe rritja e kufirit t</w:t>
      </w:r>
      <w:r w:rsidR="00A45281">
        <w:rPr>
          <w:lang w:val="sq-AL"/>
        </w:rPr>
        <w:t>ë</w:t>
      </w:r>
      <w:r w:rsidR="006B5838">
        <w:rPr>
          <w:lang w:val="sq-AL"/>
        </w:rPr>
        <w:t xml:space="preserve"> pag</w:t>
      </w:r>
      <w:r w:rsidR="00A45281">
        <w:rPr>
          <w:lang w:val="sq-AL"/>
        </w:rPr>
        <w:t>ë</w:t>
      </w:r>
      <w:r w:rsidR="006B5838">
        <w:rPr>
          <w:lang w:val="sq-AL"/>
        </w:rPr>
        <w:t>s minimale</w:t>
      </w:r>
      <w:r w:rsidR="001D307C">
        <w:rPr>
          <w:lang w:val="sq-AL"/>
        </w:rPr>
        <w:t xml:space="preserve"> nga 1 janari 2026</w:t>
      </w:r>
      <w:r w:rsidRPr="00FB5273">
        <w:rPr>
          <w:lang w:val="sq-AL"/>
        </w:rPr>
        <w:t xml:space="preserve">. </w:t>
      </w:r>
    </w:p>
    <w:p w14:paraId="4DCA4E60" w14:textId="0FE21766" w:rsidR="00F1184C" w:rsidRPr="00FB5273" w:rsidRDefault="008D035E" w:rsidP="001D307C">
      <w:pPr>
        <w:spacing w:before="120" w:after="120" w:line="276" w:lineRule="auto"/>
        <w:ind w:firstLine="720"/>
        <w:jc w:val="both"/>
        <w:rPr>
          <w:i/>
          <w:u w:val="single"/>
          <w:lang w:val="sq-AL"/>
        </w:rPr>
      </w:pPr>
      <w:r w:rsidRPr="00FB5273">
        <w:rPr>
          <w:i/>
          <w:u w:val="single"/>
          <w:lang w:val="sq-AL"/>
        </w:rPr>
        <w:t>Shpenzimet Operative</w:t>
      </w:r>
      <w:r w:rsidRPr="00FB5273">
        <w:rPr>
          <w:lang w:val="sq-AL"/>
        </w:rPr>
        <w:t xml:space="preserve"> që janë shumë të rëndësishme për mbarëvajtjen dhe ushtrimin e funksioneve</w:t>
      </w:r>
      <w:r w:rsidR="00A82AD1" w:rsidRPr="00FB5273">
        <w:rPr>
          <w:lang w:val="sq-AL"/>
        </w:rPr>
        <w:t xml:space="preserve">, përbëjnë rreth </w:t>
      </w:r>
      <w:r w:rsidR="006B5838">
        <w:rPr>
          <w:lang w:val="sq-AL"/>
        </w:rPr>
        <w:t>20</w:t>
      </w:r>
      <w:r w:rsidR="00A82AD1" w:rsidRPr="00FB5273">
        <w:rPr>
          <w:lang w:val="sq-AL"/>
        </w:rPr>
        <w:t>% të shpenzimeve totale për 3 mujorin e parë të vitit 202</w:t>
      </w:r>
      <w:r w:rsidR="006B5838">
        <w:rPr>
          <w:lang w:val="sq-AL"/>
        </w:rPr>
        <w:t>6</w:t>
      </w:r>
      <w:r w:rsidRPr="00FB5273">
        <w:rPr>
          <w:lang w:val="sq-AL"/>
        </w:rPr>
        <w:t xml:space="preserve">. Këto shpenzime janë realizuar afërsisht në masën </w:t>
      </w:r>
      <w:r w:rsidR="00B95875" w:rsidRPr="00FB5273">
        <w:rPr>
          <w:lang w:val="sq-AL"/>
        </w:rPr>
        <w:t>3.</w:t>
      </w:r>
      <w:r w:rsidR="006B5838">
        <w:rPr>
          <w:lang w:val="sq-AL"/>
        </w:rPr>
        <w:t>4</w:t>
      </w:r>
      <w:r w:rsidRPr="00FB5273">
        <w:rPr>
          <w:lang w:val="sq-AL"/>
        </w:rPr>
        <w:t xml:space="preserve"> miliard lekë ose rreth </w:t>
      </w:r>
      <w:r w:rsidR="006B5838">
        <w:rPr>
          <w:lang w:val="sq-AL"/>
        </w:rPr>
        <w:t>310</w:t>
      </w:r>
      <w:r w:rsidRPr="00FB5273">
        <w:rPr>
          <w:lang w:val="sq-AL"/>
        </w:rPr>
        <w:t xml:space="preserve"> milion lekë më </w:t>
      </w:r>
      <w:r w:rsidR="006B5838">
        <w:rPr>
          <w:lang w:val="sq-AL"/>
        </w:rPr>
        <w:t>shum</w:t>
      </w:r>
      <w:r w:rsidR="00A45281">
        <w:rPr>
          <w:lang w:val="sq-AL"/>
        </w:rPr>
        <w:t>ë</w:t>
      </w:r>
      <w:r w:rsidRPr="00FB5273">
        <w:rPr>
          <w:lang w:val="sq-AL"/>
        </w:rPr>
        <w:t xml:space="preserve"> se e njëjta periudhë e vitit 202</w:t>
      </w:r>
      <w:r w:rsidR="006B5838">
        <w:rPr>
          <w:lang w:val="sq-AL"/>
        </w:rPr>
        <w:t>5</w:t>
      </w:r>
      <w:r w:rsidRPr="00FB5273">
        <w:rPr>
          <w:lang w:val="sq-AL"/>
        </w:rPr>
        <w:t>.</w:t>
      </w:r>
    </w:p>
    <w:p w14:paraId="5DB79BAD" w14:textId="08750709" w:rsidR="008D035E" w:rsidRPr="00FB5273" w:rsidRDefault="008D035E" w:rsidP="00FB5273">
      <w:pPr>
        <w:spacing w:before="120" w:after="120" w:line="276" w:lineRule="auto"/>
        <w:ind w:firstLine="720"/>
        <w:jc w:val="both"/>
        <w:rPr>
          <w:lang w:val="sq-AL"/>
        </w:rPr>
      </w:pPr>
      <w:r w:rsidRPr="00FB5273">
        <w:rPr>
          <w:i/>
          <w:u w:val="single"/>
          <w:lang w:val="sq-AL"/>
        </w:rPr>
        <w:t>Shpenzimet për subvencione dhe të tjera</w:t>
      </w:r>
      <w:r w:rsidR="001D307C">
        <w:rPr>
          <w:i/>
          <w:u w:val="single"/>
          <w:lang w:val="sq-AL"/>
        </w:rPr>
        <w:t xml:space="preserve"> </w:t>
      </w:r>
      <w:r w:rsidR="00897B0B" w:rsidRPr="00FB5273">
        <w:rPr>
          <w:i/>
          <w:u w:val="single"/>
          <w:lang w:val="sq-AL"/>
        </w:rPr>
        <w:t>shpenzime korrente</w:t>
      </w:r>
      <w:r w:rsidRPr="00FB5273">
        <w:rPr>
          <w:lang w:val="sq-AL"/>
        </w:rPr>
        <w:t xml:space="preserve"> janë shpenzimet që zhvillojnë njësitë e vetëqeverisjes vendore për të subvencionuar dhe mbuluar funksione të tjera administrative. </w:t>
      </w:r>
      <w:r w:rsidR="001D307C">
        <w:rPr>
          <w:lang w:val="sq-AL"/>
        </w:rPr>
        <w:t>N</w:t>
      </w:r>
      <w:r w:rsidRPr="00FB5273">
        <w:rPr>
          <w:lang w:val="sq-AL"/>
        </w:rPr>
        <w:t>ga sa përcaktohet në tabelën më</w:t>
      </w:r>
      <w:r w:rsidR="00A82AD1" w:rsidRPr="00FB5273">
        <w:rPr>
          <w:lang w:val="sq-AL"/>
        </w:rPr>
        <w:t xml:space="preserve"> </w:t>
      </w:r>
      <w:r w:rsidRPr="00FB5273">
        <w:rPr>
          <w:lang w:val="sq-AL"/>
        </w:rPr>
        <w:t xml:space="preserve">sipër </w:t>
      </w:r>
      <w:r w:rsidR="001D307C">
        <w:rPr>
          <w:lang w:val="sq-AL"/>
        </w:rPr>
        <w:t>n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3 muajt e par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t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k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tij viti </w:t>
      </w:r>
      <w:r w:rsidRPr="00FB5273">
        <w:rPr>
          <w:lang w:val="sq-AL"/>
        </w:rPr>
        <w:t xml:space="preserve">në raport me </w:t>
      </w:r>
      <w:r w:rsidR="00B95875" w:rsidRPr="00FB5273">
        <w:rPr>
          <w:lang w:val="sq-AL"/>
        </w:rPr>
        <w:t>3</w:t>
      </w:r>
      <w:r w:rsidRPr="00FB5273">
        <w:rPr>
          <w:lang w:val="sq-AL"/>
        </w:rPr>
        <w:t xml:space="preserve"> mujorin e parë të vitit 202</w:t>
      </w:r>
      <w:r w:rsidR="001D307C">
        <w:rPr>
          <w:lang w:val="sq-AL"/>
        </w:rPr>
        <w:t>5</w:t>
      </w:r>
      <w:r w:rsidRPr="00FB5273">
        <w:rPr>
          <w:lang w:val="sq-AL"/>
        </w:rPr>
        <w:t xml:space="preserve">, </w:t>
      </w:r>
      <w:r w:rsidR="001D307C">
        <w:rPr>
          <w:lang w:val="sq-AL"/>
        </w:rPr>
        <w:t>subvencionet</w:t>
      </w:r>
      <w:r w:rsidRPr="00FB5273">
        <w:rPr>
          <w:lang w:val="sq-AL"/>
        </w:rPr>
        <w:t xml:space="preserve"> janë </w:t>
      </w:r>
      <w:r w:rsidR="001D307C">
        <w:rPr>
          <w:lang w:val="sq-AL"/>
        </w:rPr>
        <w:t>realizuar 47</w:t>
      </w:r>
      <w:r w:rsidR="00DC616C">
        <w:rPr>
          <w:lang w:val="sq-AL"/>
        </w:rPr>
        <w:t>5</w:t>
      </w:r>
      <w:r w:rsidR="001D307C">
        <w:rPr>
          <w:lang w:val="sq-AL"/>
        </w:rPr>
        <w:t xml:space="preserve"> milion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lek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duke u </w:t>
      </w:r>
      <w:r w:rsidRPr="00FB5273">
        <w:rPr>
          <w:lang w:val="sq-AL"/>
        </w:rPr>
        <w:t xml:space="preserve">rritur me </w:t>
      </w:r>
      <w:r w:rsidR="001D307C">
        <w:rPr>
          <w:lang w:val="sq-AL"/>
        </w:rPr>
        <w:t>70</w:t>
      </w:r>
      <w:r w:rsidR="001D307C" w:rsidRPr="00FB5273">
        <w:rPr>
          <w:lang w:val="sq-AL"/>
        </w:rPr>
        <w:t xml:space="preserve"> milion lekë </w:t>
      </w:r>
      <w:r w:rsidR="001D307C">
        <w:rPr>
          <w:lang w:val="sq-AL"/>
        </w:rPr>
        <w:t>ose 17</w:t>
      </w:r>
      <w:r w:rsidRPr="00FB5273">
        <w:rPr>
          <w:lang w:val="sq-AL"/>
        </w:rPr>
        <w:t>%</w:t>
      </w:r>
      <w:r w:rsidR="001D307C">
        <w:rPr>
          <w:lang w:val="sq-AL"/>
        </w:rPr>
        <w:t>, n</w:t>
      </w:r>
      <w:r w:rsidRPr="00FB5273">
        <w:rPr>
          <w:lang w:val="sq-AL"/>
        </w:rPr>
        <w:t>dërkohë</w:t>
      </w:r>
      <w:r w:rsidR="001D307C">
        <w:rPr>
          <w:lang w:val="sq-AL"/>
        </w:rPr>
        <w:t xml:space="preserve"> q</w:t>
      </w:r>
      <w:r w:rsidR="00A45281">
        <w:rPr>
          <w:lang w:val="sq-AL"/>
        </w:rPr>
        <w:t>ë</w:t>
      </w:r>
      <w:r w:rsidRPr="00FB5273">
        <w:rPr>
          <w:lang w:val="sq-AL"/>
        </w:rPr>
        <w:t xml:space="preserve"> shpenzimet e tjera </w:t>
      </w:r>
      <w:r w:rsidR="00897B0B" w:rsidRPr="00FB5273">
        <w:rPr>
          <w:lang w:val="sq-AL"/>
        </w:rPr>
        <w:t xml:space="preserve">korrente </w:t>
      </w:r>
      <w:r w:rsidRPr="00FB5273">
        <w:rPr>
          <w:lang w:val="sq-AL"/>
        </w:rPr>
        <w:t xml:space="preserve">janë realizuar në masën rreth </w:t>
      </w:r>
      <w:r w:rsidR="00B95875" w:rsidRPr="00FB5273">
        <w:rPr>
          <w:lang w:val="sq-AL"/>
        </w:rPr>
        <w:t>4</w:t>
      </w:r>
      <w:r w:rsidR="001D307C">
        <w:rPr>
          <w:lang w:val="sq-AL"/>
        </w:rPr>
        <w:t>96</w:t>
      </w:r>
      <w:r w:rsidRPr="00FB5273">
        <w:rPr>
          <w:lang w:val="sq-AL"/>
        </w:rPr>
        <w:t xml:space="preserve"> milion lekë ose rreth </w:t>
      </w:r>
      <w:r w:rsidR="001D307C">
        <w:rPr>
          <w:lang w:val="sq-AL"/>
        </w:rPr>
        <w:t>8.5</w:t>
      </w:r>
      <w:r w:rsidRPr="00FB5273">
        <w:rPr>
          <w:lang w:val="sq-AL"/>
        </w:rPr>
        <w:t xml:space="preserve">% më </w:t>
      </w:r>
      <w:r w:rsidR="001D307C">
        <w:rPr>
          <w:lang w:val="sq-AL"/>
        </w:rPr>
        <w:t xml:space="preserve">pak </w:t>
      </w:r>
      <w:r w:rsidRPr="00FB5273">
        <w:rPr>
          <w:lang w:val="sq-AL"/>
        </w:rPr>
        <w:t xml:space="preserve">se </w:t>
      </w:r>
      <w:r w:rsidR="00B95875" w:rsidRPr="00FB5273">
        <w:rPr>
          <w:lang w:val="sq-AL"/>
        </w:rPr>
        <w:t>3 mujori i parë i vitit 202</w:t>
      </w:r>
      <w:r w:rsidR="001D307C">
        <w:rPr>
          <w:lang w:val="sq-AL"/>
        </w:rPr>
        <w:t>5</w:t>
      </w:r>
      <w:r w:rsidRPr="00FB5273">
        <w:rPr>
          <w:lang w:val="sq-AL"/>
        </w:rPr>
        <w:t>.</w:t>
      </w:r>
    </w:p>
    <w:p w14:paraId="0BBBC63E" w14:textId="3F32E8C5" w:rsidR="00E51AA1" w:rsidRPr="00FB5273" w:rsidRDefault="008D035E" w:rsidP="00FB5273">
      <w:pPr>
        <w:spacing w:before="120" w:after="120" w:line="276" w:lineRule="auto"/>
        <w:ind w:firstLine="720"/>
        <w:jc w:val="both"/>
        <w:rPr>
          <w:lang w:val="sq-AL"/>
        </w:rPr>
      </w:pPr>
      <w:r w:rsidRPr="00FB5273">
        <w:rPr>
          <w:i/>
          <w:u w:val="single"/>
          <w:lang w:val="sq-AL"/>
        </w:rPr>
        <w:t>Shpenzimet Kapitale</w:t>
      </w:r>
      <w:r w:rsidRPr="00FB5273">
        <w:rPr>
          <w:lang w:val="sq-AL"/>
        </w:rPr>
        <w:t xml:space="preserve"> janë një zë mjaft i rëndësishëm në buxhetin vendor, për shkak se këto shpenzime </w:t>
      </w:r>
      <w:r w:rsidR="001D307C">
        <w:rPr>
          <w:lang w:val="sq-AL"/>
        </w:rPr>
        <w:t>ndikojn</w:t>
      </w:r>
      <w:r w:rsidR="00A45281">
        <w:rPr>
          <w:lang w:val="sq-AL"/>
        </w:rPr>
        <w:t>ë</w:t>
      </w:r>
      <w:r w:rsidRPr="00FB5273">
        <w:rPr>
          <w:lang w:val="sq-AL"/>
        </w:rPr>
        <w:t xml:space="preserve"> në mënyrë direkte dhe indirekte </w:t>
      </w:r>
      <w:r w:rsidR="001D307C">
        <w:rPr>
          <w:lang w:val="sq-AL"/>
        </w:rPr>
        <w:t>n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</w:t>
      </w:r>
      <w:r w:rsidRPr="00FB5273">
        <w:rPr>
          <w:lang w:val="sq-AL"/>
        </w:rPr>
        <w:t>zhvillim</w:t>
      </w:r>
      <w:r w:rsidR="001D307C">
        <w:rPr>
          <w:lang w:val="sq-AL"/>
        </w:rPr>
        <w:t>in</w:t>
      </w:r>
      <w:r w:rsidRPr="00FB5273">
        <w:rPr>
          <w:lang w:val="sq-AL"/>
        </w:rPr>
        <w:t xml:space="preserve"> ekonomik</w:t>
      </w:r>
      <w:r w:rsidR="001D307C">
        <w:rPr>
          <w:lang w:val="sq-AL"/>
        </w:rPr>
        <w:t xml:space="preserve"> t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nj</w:t>
      </w:r>
      <w:r w:rsidR="00A45281">
        <w:rPr>
          <w:lang w:val="sq-AL"/>
        </w:rPr>
        <w:t>ë</w:t>
      </w:r>
      <w:r w:rsidR="001D307C">
        <w:rPr>
          <w:lang w:val="sq-AL"/>
        </w:rPr>
        <w:t>sive vendore</w:t>
      </w:r>
      <w:r w:rsidRPr="00FB5273">
        <w:rPr>
          <w:lang w:val="sq-AL"/>
        </w:rPr>
        <w:t xml:space="preserve"> dhe për rrjedhojë ndikojnë </w:t>
      </w:r>
      <w:r w:rsidR="00DC616C">
        <w:rPr>
          <w:lang w:val="sq-AL"/>
        </w:rPr>
        <w:t xml:space="preserve">në </w:t>
      </w:r>
      <w:r w:rsidRPr="00FB5273">
        <w:rPr>
          <w:lang w:val="sq-AL"/>
        </w:rPr>
        <w:t xml:space="preserve">mirëqënien e qytetarëve. </w:t>
      </w:r>
      <w:r w:rsidR="00A82AD1" w:rsidRPr="00FB5273">
        <w:rPr>
          <w:lang w:val="sq-AL"/>
        </w:rPr>
        <w:t>P</w:t>
      </w:r>
      <w:r w:rsidR="00FE1403" w:rsidRPr="00FB5273">
        <w:rPr>
          <w:lang w:val="sq-AL"/>
        </w:rPr>
        <w:t>ë</w:t>
      </w:r>
      <w:r w:rsidR="00A82AD1" w:rsidRPr="00FB5273">
        <w:rPr>
          <w:lang w:val="sq-AL"/>
        </w:rPr>
        <w:t>r 3 mujorin e par</w:t>
      </w:r>
      <w:r w:rsidR="00FE1403" w:rsidRPr="00FB5273">
        <w:rPr>
          <w:lang w:val="sq-AL"/>
        </w:rPr>
        <w:t>ë</w:t>
      </w:r>
      <w:r w:rsidR="00A82AD1" w:rsidRPr="00FB5273">
        <w:rPr>
          <w:lang w:val="sq-AL"/>
        </w:rPr>
        <w:t xml:space="preserve"> </w:t>
      </w:r>
      <w:r w:rsidR="001D307C">
        <w:rPr>
          <w:lang w:val="sq-AL"/>
        </w:rPr>
        <w:t>t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vitit 2026</w:t>
      </w:r>
      <w:r w:rsidR="00A82AD1" w:rsidRPr="00FB5273">
        <w:rPr>
          <w:lang w:val="sq-AL"/>
        </w:rPr>
        <w:t xml:space="preserve"> </w:t>
      </w:r>
      <w:r w:rsidR="001D307C">
        <w:rPr>
          <w:lang w:val="sq-AL"/>
        </w:rPr>
        <w:t>n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rang komb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tar, </w:t>
      </w:r>
      <w:r w:rsidR="00A82AD1" w:rsidRPr="00FB5273">
        <w:rPr>
          <w:lang w:val="sq-AL"/>
        </w:rPr>
        <w:t>shpenzimet kapitale z</w:t>
      </w:r>
      <w:r w:rsidR="00FE1403" w:rsidRPr="00FB5273">
        <w:rPr>
          <w:lang w:val="sq-AL"/>
        </w:rPr>
        <w:t>ë</w:t>
      </w:r>
      <w:r w:rsidR="00A82AD1" w:rsidRPr="00FB5273">
        <w:rPr>
          <w:lang w:val="sq-AL"/>
        </w:rPr>
        <w:t>n</w:t>
      </w:r>
      <w:r w:rsidR="00FE1403" w:rsidRPr="00FB5273">
        <w:rPr>
          <w:lang w:val="sq-AL"/>
        </w:rPr>
        <w:t>ë</w:t>
      </w:r>
      <w:r w:rsidR="00A82AD1" w:rsidRPr="00FB5273">
        <w:rPr>
          <w:lang w:val="sq-AL"/>
        </w:rPr>
        <w:t xml:space="preserve"> rreth 13% të shpenzimeve totale </w:t>
      </w:r>
      <w:r w:rsidR="001D307C">
        <w:rPr>
          <w:lang w:val="sq-AL"/>
        </w:rPr>
        <w:t>t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pushtetit vendor </w:t>
      </w:r>
      <w:r w:rsidR="00A82AD1" w:rsidRPr="00FB5273">
        <w:rPr>
          <w:lang w:val="sq-AL"/>
        </w:rPr>
        <w:t xml:space="preserve">dhe janë realizuar afërsisht në masën </w:t>
      </w:r>
      <w:r w:rsidR="001D307C">
        <w:rPr>
          <w:lang w:val="sq-AL"/>
        </w:rPr>
        <w:t>2.2</w:t>
      </w:r>
      <w:r w:rsidR="00A82AD1" w:rsidRPr="00FB5273">
        <w:rPr>
          <w:lang w:val="sq-AL"/>
        </w:rPr>
        <w:t xml:space="preserve"> miliard lekë ose rreth </w:t>
      </w:r>
      <w:r w:rsidR="001D307C">
        <w:rPr>
          <w:lang w:val="sq-AL"/>
        </w:rPr>
        <w:t>529</w:t>
      </w:r>
      <w:r w:rsidR="00A82AD1" w:rsidRPr="00FB5273">
        <w:rPr>
          <w:lang w:val="sq-AL"/>
        </w:rPr>
        <w:t xml:space="preserve"> milion </w:t>
      </w:r>
      <w:r w:rsidR="001F041A" w:rsidRPr="00FB5273">
        <w:rPr>
          <w:lang w:val="sq-AL"/>
        </w:rPr>
        <w:t xml:space="preserve">lekë </w:t>
      </w:r>
      <w:r w:rsidR="00A45281" w:rsidRPr="00FB5273">
        <w:rPr>
          <w:lang w:val="sq-AL"/>
        </w:rPr>
        <w:t xml:space="preserve">apo </w:t>
      </w:r>
      <w:r w:rsidR="00A45281">
        <w:rPr>
          <w:lang w:val="sq-AL"/>
        </w:rPr>
        <w:t>31</w:t>
      </w:r>
      <w:r w:rsidR="00A45281" w:rsidRPr="00FB5273">
        <w:rPr>
          <w:lang w:val="sq-AL"/>
        </w:rPr>
        <w:t xml:space="preserve">% </w:t>
      </w:r>
      <w:r w:rsidR="001D307C">
        <w:rPr>
          <w:lang w:val="sq-AL"/>
        </w:rPr>
        <w:t>m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shum</w:t>
      </w:r>
      <w:r w:rsidR="00A45281">
        <w:rPr>
          <w:lang w:val="sq-AL"/>
        </w:rPr>
        <w:t>ë</w:t>
      </w:r>
      <w:r w:rsidR="001D307C">
        <w:rPr>
          <w:lang w:val="sq-AL"/>
        </w:rPr>
        <w:t xml:space="preserve"> </w:t>
      </w:r>
      <w:r w:rsidR="00FE1403" w:rsidRPr="00FB5273">
        <w:rPr>
          <w:lang w:val="sq-AL"/>
        </w:rPr>
        <w:t>krahasuar me të njëjtën periudhë të vitit 202</w:t>
      </w:r>
      <w:r w:rsidR="00A45281">
        <w:rPr>
          <w:lang w:val="sq-AL"/>
        </w:rPr>
        <w:t>5</w:t>
      </w:r>
      <w:r w:rsidR="00FE1403" w:rsidRPr="00FB5273">
        <w:rPr>
          <w:lang w:val="sq-AL"/>
        </w:rPr>
        <w:t xml:space="preserve">, </w:t>
      </w:r>
      <w:r w:rsidR="00A45281">
        <w:rPr>
          <w:lang w:val="sq-AL"/>
        </w:rPr>
        <w:t xml:space="preserve">e </w:t>
      </w:r>
      <w:r w:rsidR="00FE1403" w:rsidRPr="00FB5273">
        <w:rPr>
          <w:lang w:val="sq-AL"/>
        </w:rPr>
        <w:t xml:space="preserve">pritshmëria </w:t>
      </w:r>
      <w:r w:rsidR="00897B0B" w:rsidRPr="00FB5273">
        <w:rPr>
          <w:lang w:val="sq-AL"/>
        </w:rPr>
        <w:t xml:space="preserve">është që ecuria e investimeve të pushtetit vendor të jetë pozitive </w:t>
      </w:r>
      <w:r w:rsidR="00FE1403" w:rsidRPr="00FB5273">
        <w:rPr>
          <w:lang w:val="sq-AL"/>
        </w:rPr>
        <w:t xml:space="preserve">deri në fund të vitit. </w:t>
      </w:r>
    </w:p>
    <w:p w14:paraId="618936AF" w14:textId="77777777" w:rsidR="00FE1403" w:rsidRDefault="00FE1403">
      <w:pPr>
        <w:spacing w:before="120" w:after="120" w:line="276" w:lineRule="auto"/>
        <w:jc w:val="both"/>
        <w:rPr>
          <w:lang w:val="sq-AL"/>
        </w:rPr>
      </w:pPr>
    </w:p>
    <w:p w14:paraId="0E450827" w14:textId="594DD2CB" w:rsidR="00A45281" w:rsidRPr="00FB5273" w:rsidRDefault="00A45281">
      <w:pPr>
        <w:spacing w:before="120" w:after="120" w:line="276" w:lineRule="auto"/>
        <w:jc w:val="both"/>
        <w:rPr>
          <w:lang w:val="sq-AL"/>
        </w:rPr>
      </w:pPr>
      <w:r>
        <w:rPr>
          <w:lang w:val="sq-AL"/>
        </w:rPr>
        <w:tab/>
        <w:t xml:space="preserve">Për vitin 2026 pushteti vendor ka </w:t>
      </w:r>
      <w:r w:rsidR="00FD6F84">
        <w:rPr>
          <w:lang w:val="sq-AL"/>
        </w:rPr>
        <w:t>përfituar</w:t>
      </w:r>
      <w:r>
        <w:rPr>
          <w:lang w:val="sq-AL"/>
        </w:rPr>
        <w:t xml:space="preserve"> </w:t>
      </w:r>
      <w:r w:rsidR="00FD6F84">
        <w:rPr>
          <w:lang w:val="sq-AL"/>
        </w:rPr>
        <w:t>nga buxheti qendror transfert</w:t>
      </w:r>
      <w:r w:rsidR="00FD6F84">
        <w:rPr>
          <w:lang w:val="sq-AL"/>
        </w:rPr>
        <w:t xml:space="preserve">ë të pakushtëzuar (të përgjithshme dhe sektoriale) </w:t>
      </w:r>
      <w:r>
        <w:rPr>
          <w:lang w:val="sq-AL"/>
        </w:rPr>
        <w:t xml:space="preserve">më </w:t>
      </w:r>
      <w:r w:rsidR="00FD6F84">
        <w:rPr>
          <w:lang w:val="sq-AL"/>
        </w:rPr>
        <w:t>të lartë në vlerë,</w:t>
      </w:r>
      <w:r>
        <w:rPr>
          <w:lang w:val="sq-AL"/>
        </w:rPr>
        <w:t xml:space="preserve"> si dhe po realizon të ardhura </w:t>
      </w:r>
      <w:r w:rsidR="00FD6F84">
        <w:rPr>
          <w:lang w:val="sq-AL"/>
        </w:rPr>
        <w:t xml:space="preserve">të veta </w:t>
      </w:r>
      <w:r>
        <w:rPr>
          <w:lang w:val="sq-AL"/>
        </w:rPr>
        <w:t xml:space="preserve">më të larta se parashikimet fillestare. Në këtë kuadër sfida që paraqitet është që këto burime financiare të shtuara të materializohen në shpenzime reale për </w:t>
      </w:r>
      <w:r w:rsidR="00DC616C">
        <w:rPr>
          <w:lang w:val="sq-AL"/>
        </w:rPr>
        <w:t xml:space="preserve">më shumë </w:t>
      </w:r>
      <w:r>
        <w:rPr>
          <w:lang w:val="sq-AL"/>
        </w:rPr>
        <w:t xml:space="preserve">shërbime dhe investime të kryera në shërbim të qytetarëve. </w:t>
      </w:r>
    </w:p>
    <w:sectPr w:rsidR="00A45281" w:rsidRPr="00FB5273" w:rsidSect="00FB5273">
      <w:headerReference w:type="default" r:id="rId12"/>
      <w:headerReference w:type="first" r:id="rId13"/>
      <w:pgSz w:w="11907" w:h="16839" w:code="9"/>
      <w:pgMar w:top="990" w:right="1467" w:bottom="630" w:left="1260" w:header="5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26CDF" w14:textId="77777777" w:rsidR="006B2025" w:rsidRDefault="006B2025" w:rsidP="00E51AA1">
      <w:r>
        <w:separator/>
      </w:r>
    </w:p>
  </w:endnote>
  <w:endnote w:type="continuationSeparator" w:id="0">
    <w:p w14:paraId="5E370745" w14:textId="77777777" w:rsidR="006B2025" w:rsidRDefault="006B2025" w:rsidP="00E5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5FA3D" w14:textId="77777777" w:rsidR="006B2025" w:rsidRDefault="006B2025" w:rsidP="00E51AA1">
      <w:r>
        <w:separator/>
      </w:r>
    </w:p>
  </w:footnote>
  <w:footnote w:type="continuationSeparator" w:id="0">
    <w:p w14:paraId="51EBE23F" w14:textId="77777777" w:rsidR="006B2025" w:rsidRDefault="006B2025" w:rsidP="00E51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0D5A0" w14:textId="045B488B" w:rsidR="003F5504" w:rsidRPr="0001144E" w:rsidRDefault="00E21BD2" w:rsidP="00655A47">
    <w:pPr>
      <w:pStyle w:val="Header"/>
      <w:jc w:val="right"/>
      <w:rPr>
        <w:rFonts w:asciiTheme="minorHAnsi" w:hAnsiTheme="minorHAnsi" w:cstheme="minorHAnsi"/>
        <w:i/>
        <w:sz w:val="16"/>
        <w:szCs w:val="16"/>
        <w:lang w:val="sq-AL"/>
      </w:rPr>
    </w:pPr>
    <w:r w:rsidRPr="0001144E">
      <w:rPr>
        <w:rFonts w:asciiTheme="minorHAnsi" w:hAnsiTheme="minorHAnsi" w:cstheme="minorHAnsi"/>
        <w:i/>
        <w:sz w:val="16"/>
        <w:szCs w:val="16"/>
        <w:lang w:val="sq-AL"/>
      </w:rPr>
      <w:t xml:space="preserve">Analiza e Financave Vendore gjatë 3 mujorit </w:t>
    </w:r>
    <w:r w:rsidR="006D3373" w:rsidRPr="0001144E">
      <w:rPr>
        <w:rFonts w:asciiTheme="minorHAnsi" w:hAnsiTheme="minorHAnsi" w:cstheme="minorHAnsi"/>
        <w:i/>
        <w:sz w:val="16"/>
        <w:szCs w:val="16"/>
        <w:lang w:val="sq-AL"/>
      </w:rPr>
      <w:t>202</w:t>
    </w:r>
    <w:r w:rsidR="002320E5" w:rsidRPr="0001144E">
      <w:rPr>
        <w:rFonts w:asciiTheme="minorHAnsi" w:hAnsiTheme="minorHAnsi" w:cstheme="minorHAnsi"/>
        <w:i/>
        <w:sz w:val="16"/>
        <w:szCs w:val="16"/>
        <w:lang w:val="sq-AL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A36B4" w14:textId="130A9264" w:rsidR="003F5504" w:rsidRPr="00A6290B" w:rsidRDefault="006D3373" w:rsidP="003105E5">
    <w:pPr>
      <w:pStyle w:val="Header"/>
      <w:jc w:val="right"/>
      <w:rPr>
        <w:rFonts w:asciiTheme="minorHAnsi" w:hAnsiTheme="minorHAnsi" w:cstheme="minorHAnsi"/>
        <w:i/>
        <w:sz w:val="16"/>
        <w:szCs w:val="16"/>
        <w:lang w:val="sq-AL"/>
      </w:rPr>
    </w:pPr>
    <w:r w:rsidRPr="00A6290B">
      <w:rPr>
        <w:rFonts w:asciiTheme="minorHAnsi" w:hAnsiTheme="minorHAnsi" w:cstheme="minorHAnsi"/>
        <w:i/>
        <w:sz w:val="16"/>
        <w:szCs w:val="16"/>
        <w:lang w:val="sq-AL"/>
      </w:rPr>
      <w:t xml:space="preserve">Analiza e </w:t>
    </w:r>
    <w:r w:rsidR="00E21BD2" w:rsidRPr="00A6290B">
      <w:rPr>
        <w:rFonts w:asciiTheme="minorHAnsi" w:hAnsiTheme="minorHAnsi" w:cstheme="minorHAnsi"/>
        <w:i/>
        <w:sz w:val="16"/>
        <w:szCs w:val="16"/>
        <w:lang w:val="sq-AL"/>
      </w:rPr>
      <w:t>Financa</w:t>
    </w:r>
    <w:r w:rsidRPr="00A6290B">
      <w:rPr>
        <w:rFonts w:asciiTheme="minorHAnsi" w:hAnsiTheme="minorHAnsi" w:cstheme="minorHAnsi"/>
        <w:i/>
        <w:sz w:val="16"/>
        <w:szCs w:val="16"/>
        <w:lang w:val="sq-AL"/>
      </w:rPr>
      <w:t xml:space="preserve">ve </w:t>
    </w:r>
    <w:r w:rsidR="00E21BD2" w:rsidRPr="00A6290B">
      <w:rPr>
        <w:rFonts w:asciiTheme="minorHAnsi" w:hAnsiTheme="minorHAnsi" w:cstheme="minorHAnsi"/>
        <w:i/>
        <w:sz w:val="16"/>
        <w:szCs w:val="16"/>
        <w:lang w:val="sq-AL"/>
      </w:rPr>
      <w:t xml:space="preserve">Vendore </w:t>
    </w:r>
    <w:r w:rsidRPr="00A6290B">
      <w:rPr>
        <w:rFonts w:asciiTheme="minorHAnsi" w:hAnsiTheme="minorHAnsi" w:cstheme="minorHAnsi"/>
        <w:i/>
        <w:sz w:val="16"/>
        <w:szCs w:val="16"/>
        <w:lang w:val="sq-AL"/>
      </w:rPr>
      <w:t>3 Mujor</w:t>
    </w:r>
    <w:r w:rsidR="00A82AD1" w:rsidRPr="00A6290B">
      <w:rPr>
        <w:rFonts w:asciiTheme="minorHAnsi" w:hAnsiTheme="minorHAnsi" w:cstheme="minorHAnsi"/>
        <w:i/>
        <w:sz w:val="16"/>
        <w:szCs w:val="16"/>
        <w:lang w:val="sq-AL"/>
      </w:rPr>
      <w:t xml:space="preserve">i </w:t>
    </w:r>
    <w:r w:rsidR="00E21BD2" w:rsidRPr="00A6290B">
      <w:rPr>
        <w:rFonts w:asciiTheme="minorHAnsi" w:hAnsiTheme="minorHAnsi" w:cstheme="minorHAnsi"/>
        <w:i/>
        <w:sz w:val="16"/>
        <w:szCs w:val="16"/>
        <w:lang w:val="sq-AL"/>
      </w:rPr>
      <w:t>202</w:t>
    </w:r>
    <w:r w:rsidR="00A6290B" w:rsidRPr="00A6290B">
      <w:rPr>
        <w:rFonts w:asciiTheme="minorHAnsi" w:hAnsiTheme="minorHAnsi" w:cstheme="minorHAnsi"/>
        <w:i/>
        <w:sz w:val="16"/>
        <w:szCs w:val="16"/>
        <w:lang w:val="sq-AL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A1"/>
    <w:rsid w:val="0001144E"/>
    <w:rsid w:val="000368DD"/>
    <w:rsid w:val="00054A7D"/>
    <w:rsid w:val="00077EF3"/>
    <w:rsid w:val="00080676"/>
    <w:rsid w:val="000B7CAB"/>
    <w:rsid w:val="00102B63"/>
    <w:rsid w:val="00122109"/>
    <w:rsid w:val="00134C60"/>
    <w:rsid w:val="001D2B3C"/>
    <w:rsid w:val="001D307C"/>
    <w:rsid w:val="001F041A"/>
    <w:rsid w:val="001F1554"/>
    <w:rsid w:val="001F2292"/>
    <w:rsid w:val="001F52AA"/>
    <w:rsid w:val="002320E5"/>
    <w:rsid w:val="00245481"/>
    <w:rsid w:val="002C1331"/>
    <w:rsid w:val="002E2A09"/>
    <w:rsid w:val="002F25F9"/>
    <w:rsid w:val="00374A1E"/>
    <w:rsid w:val="003F5504"/>
    <w:rsid w:val="00451813"/>
    <w:rsid w:val="0045194E"/>
    <w:rsid w:val="004A609E"/>
    <w:rsid w:val="004B4D40"/>
    <w:rsid w:val="004E5B24"/>
    <w:rsid w:val="00526614"/>
    <w:rsid w:val="00574204"/>
    <w:rsid w:val="005A3A85"/>
    <w:rsid w:val="005C6BDC"/>
    <w:rsid w:val="00630956"/>
    <w:rsid w:val="006A46A7"/>
    <w:rsid w:val="006B2025"/>
    <w:rsid w:val="006B5838"/>
    <w:rsid w:val="006C47F6"/>
    <w:rsid w:val="006D3373"/>
    <w:rsid w:val="00735AB8"/>
    <w:rsid w:val="00794E9B"/>
    <w:rsid w:val="007A53EB"/>
    <w:rsid w:val="007A76E2"/>
    <w:rsid w:val="007F771C"/>
    <w:rsid w:val="0081666F"/>
    <w:rsid w:val="00874462"/>
    <w:rsid w:val="00897B0B"/>
    <w:rsid w:val="008C3308"/>
    <w:rsid w:val="008D035E"/>
    <w:rsid w:val="008D15FF"/>
    <w:rsid w:val="008D64BC"/>
    <w:rsid w:val="008E6913"/>
    <w:rsid w:val="0090124C"/>
    <w:rsid w:val="00912587"/>
    <w:rsid w:val="00957E7C"/>
    <w:rsid w:val="00984C1B"/>
    <w:rsid w:val="00A109EE"/>
    <w:rsid w:val="00A34AEC"/>
    <w:rsid w:val="00A45281"/>
    <w:rsid w:val="00A6290B"/>
    <w:rsid w:val="00A72CE0"/>
    <w:rsid w:val="00A82AD1"/>
    <w:rsid w:val="00AC72C0"/>
    <w:rsid w:val="00B1693A"/>
    <w:rsid w:val="00B35A10"/>
    <w:rsid w:val="00B61D0C"/>
    <w:rsid w:val="00B65B0B"/>
    <w:rsid w:val="00B755D9"/>
    <w:rsid w:val="00B95875"/>
    <w:rsid w:val="00BC31D9"/>
    <w:rsid w:val="00BE0E65"/>
    <w:rsid w:val="00BE6010"/>
    <w:rsid w:val="00BF1F36"/>
    <w:rsid w:val="00C31FA2"/>
    <w:rsid w:val="00C342B2"/>
    <w:rsid w:val="00C45B66"/>
    <w:rsid w:val="00C54F6F"/>
    <w:rsid w:val="00C615CB"/>
    <w:rsid w:val="00C724A2"/>
    <w:rsid w:val="00D01432"/>
    <w:rsid w:val="00D31346"/>
    <w:rsid w:val="00DC24AC"/>
    <w:rsid w:val="00DC3655"/>
    <w:rsid w:val="00DC616C"/>
    <w:rsid w:val="00DD7C90"/>
    <w:rsid w:val="00E06A0A"/>
    <w:rsid w:val="00E21BD2"/>
    <w:rsid w:val="00E51AA1"/>
    <w:rsid w:val="00E57E27"/>
    <w:rsid w:val="00EC58D4"/>
    <w:rsid w:val="00EE5C2A"/>
    <w:rsid w:val="00F1184C"/>
    <w:rsid w:val="00FB5273"/>
    <w:rsid w:val="00FD6F84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1560"/>
  <w15:chartTrackingRefBased/>
  <w15:docId w15:val="{2C02E482-3094-4E74-839B-9B59BDEE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A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A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q-A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A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q-A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A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q-A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A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q-A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A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q-A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A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q-A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A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q-A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A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q-A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A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q-A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1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1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A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q-A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1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A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q-A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1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A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sq-A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1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q-A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A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51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AA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E51AA1"/>
    <w:pPr>
      <w:spacing w:after="200"/>
    </w:pPr>
    <w:rPr>
      <w:b/>
      <w:bCs/>
      <w:color w:val="156082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1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AA1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rdita.xhyheri\Desktop\ardita.xhyheri\Desktop\viti%202026\raporte%202026\3m%20viti%202026%20analiza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dita.xhyheri\Desktop\ardita.xhyheri\Desktop\viti%202026\raporte%202026\3m%20viti%202026%20analiz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rdita.xhyheri\Desktop\ardita.xhyheri\Desktop\viti%202026\raporte%202026\3m%20viti%202026%20analiza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rdita.xhyheri\Desktop\ardita.xhyheri\Desktop\viti%202026\raporte%202026\3m%20viti%202026%20analiza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rdita.xhyheri\Desktop\ardita.xhyheri\Desktop\viti%202026\raporte%202026\3m%20viti%202026%20analiza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dita.xhyheri\Desktop\ardita.xhyheri\Desktop\viti%202026\raporte%202026\3m%20viti%202026%20analiz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4047940609365587E-2"/>
          <c:y val="3.8505675749521844E-2"/>
          <c:w val="0.85811822065931076"/>
          <c:h val="0.7442106112918850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'Te ardhurat 3m 2025'!$C$4</c:f>
              <c:strCache>
                <c:ptCount val="1"/>
                <c:pt idx="0">
                  <c:v>Të ardhurat e Pushtetit Vendor</c:v>
                </c:pt>
              </c:strCache>
            </c:strRef>
          </c:tx>
          <c:spPr>
            <a:solidFill>
              <a:srgbClr val="196B24">
                <a:lumMod val="40000"/>
                <a:lumOff val="60000"/>
              </a:srgbClr>
            </a:solidFill>
            <a:ln>
              <a:solidFill>
                <a:srgbClr val="196B24">
                  <a:lumMod val="60000"/>
                  <a:lumOff val="40000"/>
                </a:srgbClr>
              </a:solidFill>
            </a:ln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 3m 2025'!$Q$3:$Y$3</c:f>
              <c:strCache>
                <c:ptCount val="9"/>
                <c:pt idx="0">
                  <c:v>3M-2018</c:v>
                </c:pt>
                <c:pt idx="1">
                  <c:v>3M-2019</c:v>
                </c:pt>
                <c:pt idx="2">
                  <c:v>3M-2020</c:v>
                </c:pt>
                <c:pt idx="3">
                  <c:v>3M-2021</c:v>
                </c:pt>
                <c:pt idx="4">
                  <c:v>3M-2022</c:v>
                </c:pt>
                <c:pt idx="5">
                  <c:v>3M-2023</c:v>
                </c:pt>
                <c:pt idx="6">
                  <c:v>3M-2024</c:v>
                </c:pt>
                <c:pt idx="7">
                  <c:v>3M-2025</c:v>
                </c:pt>
                <c:pt idx="8">
                  <c:v>3M-2026</c:v>
                </c:pt>
              </c:strCache>
            </c:strRef>
          </c:cat>
          <c:val>
            <c:numRef>
              <c:f>'Te ardhurat 3m 2025'!$Q$4:$Y$4</c:f>
              <c:numCache>
                <c:formatCode>#,##0</c:formatCode>
                <c:ptCount val="9"/>
                <c:pt idx="0">
                  <c:v>3564</c:v>
                </c:pt>
                <c:pt idx="1">
                  <c:v>4909.2</c:v>
                </c:pt>
                <c:pt idx="2">
                  <c:v>4034</c:v>
                </c:pt>
                <c:pt idx="3">
                  <c:v>4919.92</c:v>
                </c:pt>
                <c:pt idx="4">
                  <c:v>7753.0499999999993</c:v>
                </c:pt>
                <c:pt idx="5">
                  <c:v>5069.82</c:v>
                </c:pt>
                <c:pt idx="6">
                  <c:v>7062.9000000000005</c:v>
                </c:pt>
                <c:pt idx="7">
                  <c:v>5971.2000000000007</c:v>
                </c:pt>
                <c:pt idx="8">
                  <c:v>18045.669999999998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C4-4EC3-8747-0FCC58B263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-1784778640"/>
        <c:axId val="-1784775376"/>
      </c:barChart>
      <c:lineChart>
        <c:grouping val="standard"/>
        <c:varyColors val="0"/>
        <c:ser>
          <c:idx val="0"/>
          <c:order val="1"/>
          <c:tx>
            <c:strRef>
              <c:f>'Te ardhurat 3m 2025'!$C$5</c:f>
              <c:strCache>
                <c:ptCount val="1"/>
                <c:pt idx="0">
                  <c:v>Ritmi i ndryshimit</c:v>
                </c:pt>
              </c:strCache>
            </c:strRef>
          </c:tx>
          <c:spPr>
            <a:ln w="31750">
              <a:solidFill>
                <a:srgbClr val="0E2841">
                  <a:lumMod val="75000"/>
                  <a:lumOff val="25000"/>
                </a:srgbClr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156082"/>
                </a:solidFill>
              </a:ln>
            </c:spPr>
          </c:marker>
          <c:dLbls>
            <c:dLbl>
              <c:idx val="2"/>
              <c:layout>
                <c:manualLayout>
                  <c:x val="-5.0784935703700781E-2"/>
                  <c:y val="-8.6888493776987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C4-4EC3-8747-0FCC58B26374}"/>
                </c:ext>
              </c:extLst>
            </c:dLbl>
            <c:dLbl>
              <c:idx val="3"/>
              <c:layout>
                <c:manualLayout>
                  <c:x val="-4.5604526305281098E-2"/>
                  <c:y val="-8.4149944966556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0C4-4EC3-8747-0FCC58B26374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 3m 2025'!$Q$3:$Y$3</c:f>
              <c:strCache>
                <c:ptCount val="9"/>
                <c:pt idx="0">
                  <c:v>3M-2018</c:v>
                </c:pt>
                <c:pt idx="1">
                  <c:v>3M-2019</c:v>
                </c:pt>
                <c:pt idx="2">
                  <c:v>3M-2020</c:v>
                </c:pt>
                <c:pt idx="3">
                  <c:v>3M-2021</c:v>
                </c:pt>
                <c:pt idx="4">
                  <c:v>3M-2022</c:v>
                </c:pt>
                <c:pt idx="5">
                  <c:v>3M-2023</c:v>
                </c:pt>
                <c:pt idx="6">
                  <c:v>3M-2024</c:v>
                </c:pt>
                <c:pt idx="7">
                  <c:v>3M-2025</c:v>
                </c:pt>
                <c:pt idx="8">
                  <c:v>3M-2026</c:v>
                </c:pt>
              </c:strCache>
            </c:strRef>
          </c:cat>
          <c:val>
            <c:numRef>
              <c:f>'Te ardhurat 3m 2025'!$Q$5:$Y$5</c:f>
              <c:numCache>
                <c:formatCode>0%</c:formatCode>
                <c:ptCount val="9"/>
                <c:pt idx="0">
                  <c:v>-7.8116916709777551E-2</c:v>
                </c:pt>
                <c:pt idx="1">
                  <c:v>0.37744107744107741</c:v>
                </c:pt>
                <c:pt idx="2">
                  <c:v>-0.17827751975882014</c:v>
                </c:pt>
                <c:pt idx="3">
                  <c:v>0.21961328705999011</c:v>
                </c:pt>
                <c:pt idx="4">
                  <c:v>0.57584879428933788</c:v>
                </c:pt>
                <c:pt idx="5">
                  <c:v>-0.34608702381643353</c:v>
                </c:pt>
                <c:pt idx="6">
                  <c:v>0.39312638318520204</c:v>
                </c:pt>
                <c:pt idx="7">
                  <c:v>-0.15456823684322299</c:v>
                </c:pt>
                <c:pt idx="8">
                  <c:v>2.0221178322615212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C0C4-4EC3-8747-0FCC58B263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84778096"/>
        <c:axId val="-1784774288"/>
      </c:lineChart>
      <c:catAx>
        <c:axId val="-17847786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b="1"/>
            </a:pPr>
            <a:endParaRPr lang="en-US"/>
          </a:p>
        </c:txPr>
        <c:crossAx val="-17847753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78477537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sq-AL"/>
                  <a:t>Në miliardë</a:t>
                </a:r>
              </a:p>
            </c:rich>
          </c:tx>
          <c:layout>
            <c:manualLayout>
              <c:xMode val="edge"/>
              <c:yMode val="edge"/>
              <c:x val="1.7895028848451903E-3"/>
              <c:y val="4.6417135184800326E-2"/>
            </c:manualLayout>
          </c:layout>
          <c:overlay val="0"/>
        </c:title>
        <c:numFmt formatCode="#,##0.0" sourceLinked="0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-1784778640"/>
        <c:crosses val="autoZero"/>
        <c:crossBetween val="between"/>
        <c:dispUnits>
          <c:builtInUnit val="thousands"/>
        </c:dispUnits>
      </c:valAx>
      <c:catAx>
        <c:axId val="-17847780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84774288"/>
        <c:crosses val="autoZero"/>
        <c:auto val="0"/>
        <c:lblAlgn val="ctr"/>
        <c:lblOffset val="100"/>
        <c:noMultiLvlLbl val="0"/>
      </c:catAx>
      <c:valAx>
        <c:axId val="-1784774288"/>
        <c:scaling>
          <c:orientation val="minMax"/>
        </c:scaling>
        <c:delete val="0"/>
        <c:axPos val="r"/>
        <c:numFmt formatCode="0%" sourceLinked="0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-1784778096"/>
        <c:crosses val="max"/>
        <c:crossBetween val="between"/>
      </c:valAx>
      <c:spPr>
        <a:solidFill>
          <a:srgbClr val="E8E8E8"/>
        </a:solidFill>
      </c:spPr>
    </c:plotArea>
    <c:legend>
      <c:legendPos val="b"/>
      <c:layout>
        <c:manualLayout>
          <c:xMode val="edge"/>
          <c:yMode val="edge"/>
          <c:x val="0.12804501837270343"/>
          <c:y val="0.90470457859434239"/>
          <c:w val="0.70631528201831917"/>
          <c:h val="9.0301689816862818E-2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spPr>
    <a:solidFill>
      <a:srgbClr val="E8E8E8"/>
    </a:solidFill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965441819772534E-2"/>
          <c:y val="3.1019699050074255E-2"/>
          <c:w val="0.90089205195504407"/>
          <c:h val="0.68496247002957911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'Te ardhurat 3m 2025'!$C$6</c:f>
              <c:strCache>
                <c:ptCount val="1"/>
                <c:pt idx="0">
                  <c:v>Taksa mbi Pasurinë </c:v>
                </c:pt>
              </c:strCache>
            </c:strRef>
          </c:tx>
          <c:spPr>
            <a:solidFill>
              <a:srgbClr val="00CC6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chemeClr val="accent6">
                        <a:lumMod val="75000"/>
                      </a:schemeClr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 3m 2025'!$Q$3:$Y$3</c:f>
              <c:strCache>
                <c:ptCount val="9"/>
                <c:pt idx="0">
                  <c:v>3M-2018</c:v>
                </c:pt>
                <c:pt idx="1">
                  <c:v>3M-2019</c:v>
                </c:pt>
                <c:pt idx="2">
                  <c:v>3M-2020</c:v>
                </c:pt>
                <c:pt idx="3">
                  <c:v>3M-2021</c:v>
                </c:pt>
                <c:pt idx="4">
                  <c:v>3M-2022</c:v>
                </c:pt>
                <c:pt idx="5">
                  <c:v>3M-2023</c:v>
                </c:pt>
                <c:pt idx="6">
                  <c:v>3M-2024</c:v>
                </c:pt>
                <c:pt idx="7">
                  <c:v>3M-2025</c:v>
                </c:pt>
                <c:pt idx="8">
                  <c:v>3M-2026</c:v>
                </c:pt>
              </c:strCache>
            </c:strRef>
          </c:cat>
          <c:val>
            <c:numRef>
              <c:f>'Te ardhurat 3m 2025'!$Q$6:$Y$6</c:f>
              <c:numCache>
                <c:formatCode>#,##0</c:formatCode>
                <c:ptCount val="9"/>
                <c:pt idx="0">
                  <c:v>820.7</c:v>
                </c:pt>
                <c:pt idx="1">
                  <c:v>818.7</c:v>
                </c:pt>
                <c:pt idx="2">
                  <c:v>763</c:v>
                </c:pt>
                <c:pt idx="3">
                  <c:v>976.72</c:v>
                </c:pt>
                <c:pt idx="4">
                  <c:v>1065.19</c:v>
                </c:pt>
                <c:pt idx="5">
                  <c:v>1028.8399999999999</c:v>
                </c:pt>
                <c:pt idx="6">
                  <c:v>1253.1500000000001</c:v>
                </c:pt>
                <c:pt idx="7">
                  <c:v>1426.16</c:v>
                </c:pt>
                <c:pt idx="8">
                  <c:v>1811.89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B5-4BBF-B1E1-AA097C45F5D8}"/>
            </c:ext>
          </c:extLst>
        </c:ser>
        <c:ser>
          <c:idx val="0"/>
          <c:order val="1"/>
          <c:tx>
            <c:strRef>
              <c:f>'Te ardhurat 3m 2025'!$C$8</c:f>
              <c:strCache>
                <c:ptCount val="1"/>
                <c:pt idx="0">
                  <c:v>Taksa mbi Biznesin e vogël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chemeClr val="accent5">
                        <a:lumMod val="75000"/>
                      </a:schemeClr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'Te ardhurat 3m 2025'!$Q$3:$Y$3</c:f>
              <c:strCache>
                <c:ptCount val="9"/>
                <c:pt idx="0">
                  <c:v>3M-2018</c:v>
                </c:pt>
                <c:pt idx="1">
                  <c:v>3M-2019</c:v>
                </c:pt>
                <c:pt idx="2">
                  <c:v>3M-2020</c:v>
                </c:pt>
                <c:pt idx="3">
                  <c:v>3M-2021</c:v>
                </c:pt>
                <c:pt idx="4">
                  <c:v>3M-2022</c:v>
                </c:pt>
                <c:pt idx="5">
                  <c:v>3M-2023</c:v>
                </c:pt>
                <c:pt idx="6">
                  <c:v>3M-2024</c:v>
                </c:pt>
                <c:pt idx="7">
                  <c:v>3M-2025</c:v>
                </c:pt>
                <c:pt idx="8">
                  <c:v>3M-2026</c:v>
                </c:pt>
              </c:strCache>
            </c:strRef>
          </c:cat>
          <c:val>
            <c:numRef>
              <c:f>'Te ardhurat 3m 2025'!$Q$8:$Y$8</c:f>
              <c:numCache>
                <c:formatCode>#,##0</c:formatCode>
                <c:ptCount val="9"/>
                <c:pt idx="0">
                  <c:v>182.7</c:v>
                </c:pt>
                <c:pt idx="1">
                  <c:v>26.5</c:v>
                </c:pt>
                <c:pt idx="2">
                  <c:v>237</c:v>
                </c:pt>
                <c:pt idx="3">
                  <c:v>83.36</c:v>
                </c:pt>
                <c:pt idx="4">
                  <c:v>24.5</c:v>
                </c:pt>
                <c:pt idx="5">
                  <c:v>11.36</c:v>
                </c:pt>
                <c:pt idx="6">
                  <c:v>17.73</c:v>
                </c:pt>
                <c:pt idx="7">
                  <c:v>11.7</c:v>
                </c:pt>
                <c:pt idx="8">
                  <c:v>855.64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B5-4BBF-B1E1-AA097C45F5D8}"/>
            </c:ext>
          </c:extLst>
        </c:ser>
        <c:ser>
          <c:idx val="1"/>
          <c:order val="2"/>
          <c:tx>
            <c:strRef>
              <c:f>'Te ardhurat 3m 2025'!$C$10</c:f>
              <c:strCache>
                <c:ptCount val="1"/>
                <c:pt idx="0">
                  <c:v>Taksa Lokale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chemeClr val="tx2">
                        <a:lumMod val="90000"/>
                        <a:lumOff val="10000"/>
                      </a:schemeClr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'Te ardhurat 3m 2025'!$Q$3:$Y$3</c:f>
              <c:strCache>
                <c:ptCount val="9"/>
                <c:pt idx="0">
                  <c:v>3M-2018</c:v>
                </c:pt>
                <c:pt idx="1">
                  <c:v>3M-2019</c:v>
                </c:pt>
                <c:pt idx="2">
                  <c:v>3M-2020</c:v>
                </c:pt>
                <c:pt idx="3">
                  <c:v>3M-2021</c:v>
                </c:pt>
                <c:pt idx="4">
                  <c:v>3M-2022</c:v>
                </c:pt>
                <c:pt idx="5">
                  <c:v>3M-2023</c:v>
                </c:pt>
                <c:pt idx="6">
                  <c:v>3M-2024</c:v>
                </c:pt>
                <c:pt idx="7">
                  <c:v>3M-2025</c:v>
                </c:pt>
                <c:pt idx="8">
                  <c:v>3M-2026</c:v>
                </c:pt>
              </c:strCache>
            </c:strRef>
          </c:cat>
          <c:val>
            <c:numRef>
              <c:f>'Te ardhurat 3m 2025'!$Q$10:$Y$10</c:f>
              <c:numCache>
                <c:formatCode>#,##0</c:formatCode>
                <c:ptCount val="9"/>
                <c:pt idx="0">
                  <c:v>2560.6</c:v>
                </c:pt>
                <c:pt idx="1">
                  <c:v>4064</c:v>
                </c:pt>
                <c:pt idx="2">
                  <c:v>3034</c:v>
                </c:pt>
                <c:pt idx="3">
                  <c:v>3859.84</c:v>
                </c:pt>
                <c:pt idx="4">
                  <c:v>6663.36</c:v>
                </c:pt>
                <c:pt idx="5">
                  <c:v>4029.62</c:v>
                </c:pt>
                <c:pt idx="6">
                  <c:v>5792.02</c:v>
                </c:pt>
                <c:pt idx="7">
                  <c:v>4533.34</c:v>
                </c:pt>
                <c:pt idx="8">
                  <c:v>15378.14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B5-4BBF-B1E1-AA097C45F5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784036736"/>
        <c:axId val="-1784031840"/>
      </c:barChart>
      <c:catAx>
        <c:axId val="-1784036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-1784031840"/>
        <c:crosses val="autoZero"/>
        <c:auto val="1"/>
        <c:lblAlgn val="ctr"/>
        <c:lblOffset val="100"/>
        <c:noMultiLvlLbl val="0"/>
      </c:catAx>
      <c:valAx>
        <c:axId val="-178403184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Në milion lekë</a:t>
                </a:r>
              </a:p>
            </c:rich>
          </c:tx>
          <c:layout>
            <c:manualLayout>
              <c:xMode val="edge"/>
              <c:yMode val="edge"/>
              <c:x val="0"/>
              <c:y val="4.1342228054826484E-3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-1784036736"/>
        <c:crosses val="autoZero"/>
        <c:crossBetween val="between"/>
      </c:valAx>
      <c:spPr>
        <a:solidFill>
          <a:schemeClr val="bg2"/>
        </a:solidFill>
      </c:spPr>
    </c:plotArea>
    <c:legend>
      <c:legendPos val="r"/>
      <c:layout>
        <c:manualLayout>
          <c:xMode val="edge"/>
          <c:yMode val="edge"/>
          <c:x val="0.12586597348408374"/>
          <c:y val="0.88542744656917882"/>
          <c:w val="0.79653997577225943"/>
          <c:h val="0.1107140098053781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spPr>
    <a:solidFill>
      <a:schemeClr val="bg2"/>
    </a:solidFill>
  </c:spPr>
  <c:txPr>
    <a:bodyPr/>
    <a:lstStyle/>
    <a:p>
      <a:pPr>
        <a:defRPr sz="800" b="0"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8788573758377278E-2"/>
          <c:y val="4.540620905814962E-2"/>
          <c:w val="0.8563597754164225"/>
          <c:h val="0.7248660204719138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'Te ardhurat 3m 2025'!$C$10</c:f>
              <c:strCache>
                <c:ptCount val="1"/>
                <c:pt idx="0">
                  <c:v>Taksa Lokale</c:v>
                </c:pt>
              </c:strCache>
            </c:strRef>
          </c:tx>
          <c:spPr>
            <a:solidFill>
              <a:srgbClr val="196B24">
                <a:lumMod val="40000"/>
                <a:lumOff val="60000"/>
              </a:srgbClr>
            </a:solidFill>
            <a:ln>
              <a:solidFill>
                <a:srgbClr val="196B24">
                  <a:lumMod val="60000"/>
                  <a:lumOff val="40000"/>
                </a:srgbClr>
              </a:solidFill>
            </a:ln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 3m 2025'!$Q$3:$Y$3</c:f>
              <c:strCache>
                <c:ptCount val="9"/>
                <c:pt idx="0">
                  <c:v>3M-2018</c:v>
                </c:pt>
                <c:pt idx="1">
                  <c:v>3M-2019</c:v>
                </c:pt>
                <c:pt idx="2">
                  <c:v>3M-2020</c:v>
                </c:pt>
                <c:pt idx="3">
                  <c:v>3M-2021</c:v>
                </c:pt>
                <c:pt idx="4">
                  <c:v>3M-2022</c:v>
                </c:pt>
                <c:pt idx="5">
                  <c:v>3M-2023</c:v>
                </c:pt>
                <c:pt idx="6">
                  <c:v>3M-2024</c:v>
                </c:pt>
                <c:pt idx="7">
                  <c:v>3M-2025</c:v>
                </c:pt>
                <c:pt idx="8">
                  <c:v>3M-2026</c:v>
                </c:pt>
              </c:strCache>
            </c:strRef>
          </c:cat>
          <c:val>
            <c:numRef>
              <c:f>'Te ardhurat 3m 2025'!$Q$10:$Y$10</c:f>
              <c:numCache>
                <c:formatCode>#,##0</c:formatCode>
                <c:ptCount val="9"/>
                <c:pt idx="0">
                  <c:v>2560.6</c:v>
                </c:pt>
                <c:pt idx="1">
                  <c:v>4064</c:v>
                </c:pt>
                <c:pt idx="2">
                  <c:v>3034</c:v>
                </c:pt>
                <c:pt idx="3">
                  <c:v>3859.84</c:v>
                </c:pt>
                <c:pt idx="4">
                  <c:v>6663.36</c:v>
                </c:pt>
                <c:pt idx="5">
                  <c:v>4029.62</c:v>
                </c:pt>
                <c:pt idx="6">
                  <c:v>5792.02</c:v>
                </c:pt>
                <c:pt idx="7">
                  <c:v>4533.34</c:v>
                </c:pt>
                <c:pt idx="8">
                  <c:v>15378.14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0E-44E9-9D7D-B4D2F65FBD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-1784081040"/>
        <c:axId val="-1784080496"/>
      </c:barChart>
      <c:lineChart>
        <c:grouping val="standard"/>
        <c:varyColors val="0"/>
        <c:ser>
          <c:idx val="0"/>
          <c:order val="1"/>
          <c:tx>
            <c:strRef>
              <c:f>'Te ardhurat 3m 2025'!$C$11</c:f>
              <c:strCache>
                <c:ptCount val="1"/>
                <c:pt idx="0">
                  <c:v>Ritmi i ndryshimit</c:v>
                </c:pt>
              </c:strCache>
            </c:strRef>
          </c:tx>
          <c:spPr>
            <a:ln w="31750">
              <a:solidFill>
                <a:srgbClr val="0E2841">
                  <a:lumMod val="75000"/>
                  <a:lumOff val="25000"/>
                </a:srgbClr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0E2841">
                    <a:lumMod val="75000"/>
                    <a:lumOff val="25000"/>
                  </a:srgbClr>
                </a:solidFill>
              </a:ln>
            </c:spPr>
          </c:marker>
          <c:dLbls>
            <c:dLbl>
              <c:idx val="2"/>
              <c:layout>
                <c:manualLayout>
                  <c:x val="-5.0784935703700781E-2"/>
                  <c:y val="-8.6888493776987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0E-44E9-9D7D-B4D2F65FBDEF}"/>
                </c:ext>
              </c:extLst>
            </c:dLbl>
            <c:dLbl>
              <c:idx val="3"/>
              <c:layout>
                <c:manualLayout>
                  <c:x val="-4.5604526305281098E-2"/>
                  <c:y val="-8.4149944966556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0E-44E9-9D7D-B4D2F65FBDEF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 3m 2025'!$Q$3:$Y$3</c:f>
              <c:strCache>
                <c:ptCount val="9"/>
                <c:pt idx="0">
                  <c:v>3M-2018</c:v>
                </c:pt>
                <c:pt idx="1">
                  <c:v>3M-2019</c:v>
                </c:pt>
                <c:pt idx="2">
                  <c:v>3M-2020</c:v>
                </c:pt>
                <c:pt idx="3">
                  <c:v>3M-2021</c:v>
                </c:pt>
                <c:pt idx="4">
                  <c:v>3M-2022</c:v>
                </c:pt>
                <c:pt idx="5">
                  <c:v>3M-2023</c:v>
                </c:pt>
                <c:pt idx="6">
                  <c:v>3M-2024</c:v>
                </c:pt>
                <c:pt idx="7">
                  <c:v>3M-2025</c:v>
                </c:pt>
                <c:pt idx="8">
                  <c:v>3M-2026</c:v>
                </c:pt>
              </c:strCache>
            </c:strRef>
          </c:cat>
          <c:val>
            <c:numRef>
              <c:f>'Te ardhurat 3m 2025'!$Q$11:$Y$11</c:f>
              <c:numCache>
                <c:formatCode>0%</c:formatCode>
                <c:ptCount val="9"/>
                <c:pt idx="0">
                  <c:v>-0.16347598823913756</c:v>
                </c:pt>
                <c:pt idx="1">
                  <c:v>0.58712801687104588</c:v>
                </c:pt>
                <c:pt idx="2">
                  <c:v>-0.25344488188976377</c:v>
                </c:pt>
                <c:pt idx="3">
                  <c:v>0.27219512195121959</c:v>
                </c:pt>
                <c:pt idx="4">
                  <c:v>0.72633062510363111</c:v>
                </c:pt>
                <c:pt idx="5">
                  <c:v>-0.39525704749555779</c:v>
                </c:pt>
                <c:pt idx="6">
                  <c:v>0.43736133928261239</c:v>
                </c:pt>
                <c:pt idx="7">
                  <c:v>-0.21731278552214947</c:v>
                </c:pt>
                <c:pt idx="8">
                  <c:v>2.3922317761297407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C50E-44E9-9D7D-B4D2F65FBD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84087568"/>
        <c:axId val="-1784086480"/>
      </c:lineChart>
      <c:catAx>
        <c:axId val="-1784081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b="1"/>
            </a:pPr>
            <a:endParaRPr lang="en-US"/>
          </a:p>
        </c:txPr>
        <c:crossAx val="-17840804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78408049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sq-AL"/>
                  <a:t>Në miliardë</a:t>
                </a:r>
              </a:p>
            </c:rich>
          </c:tx>
          <c:layout>
            <c:manualLayout>
              <c:xMode val="edge"/>
              <c:yMode val="edge"/>
              <c:x val="2.0414681174561917E-3"/>
              <c:y val="1.5716573183046489E-3"/>
            </c:manualLayout>
          </c:layout>
          <c:overlay val="0"/>
        </c:title>
        <c:numFmt formatCode="#,##0.0" sourceLinked="0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-1784081040"/>
        <c:crosses val="autoZero"/>
        <c:crossBetween val="between"/>
        <c:dispUnits>
          <c:builtInUnit val="thousands"/>
        </c:dispUnits>
      </c:valAx>
      <c:catAx>
        <c:axId val="-1784087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84086480"/>
        <c:crosses val="autoZero"/>
        <c:auto val="0"/>
        <c:lblAlgn val="ctr"/>
        <c:lblOffset val="100"/>
        <c:noMultiLvlLbl val="0"/>
      </c:catAx>
      <c:valAx>
        <c:axId val="-1784086480"/>
        <c:scaling>
          <c:orientation val="minMax"/>
        </c:scaling>
        <c:delete val="0"/>
        <c:axPos val="r"/>
        <c:numFmt formatCode="0%" sourceLinked="0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-1784087568"/>
        <c:crosses val="max"/>
        <c:crossBetween val="between"/>
      </c:valAx>
      <c:spPr>
        <a:solidFill>
          <a:srgbClr val="E8E8E8"/>
        </a:solidFill>
      </c:spPr>
    </c:plotArea>
    <c:legend>
      <c:legendPos val="b"/>
      <c:layout>
        <c:manualLayout>
          <c:xMode val="edge"/>
          <c:yMode val="edge"/>
          <c:x val="0.21576518536491149"/>
          <c:y val="0.90868401035216628"/>
          <c:w val="0.54032888746049612"/>
          <c:h val="9.0301689816862818E-2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spPr>
    <a:solidFill>
      <a:srgbClr val="E8E8E8"/>
    </a:solidFill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589875807177367E-2"/>
          <c:y val="6.1169340587393463E-2"/>
          <c:w val="0.86575609377229257"/>
          <c:h val="0.7070182452359018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'Te ardhurat 3m 2025'!$C$6</c:f>
              <c:strCache>
                <c:ptCount val="1"/>
                <c:pt idx="0">
                  <c:v>Taksa mbi Pasurinë </c:v>
                </c:pt>
              </c:strCache>
            </c:strRef>
          </c:tx>
          <c:spPr>
            <a:solidFill>
              <a:srgbClr val="196B24">
                <a:lumMod val="40000"/>
                <a:lumOff val="60000"/>
              </a:srgbClr>
            </a:solidFill>
            <a:ln>
              <a:solidFill>
                <a:srgbClr val="196B24">
                  <a:lumMod val="60000"/>
                  <a:lumOff val="40000"/>
                </a:srgbClr>
              </a:solidFill>
            </a:ln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 3m 2025'!$Q$3:$Y$3</c:f>
              <c:strCache>
                <c:ptCount val="9"/>
                <c:pt idx="0">
                  <c:v>3M-2018</c:v>
                </c:pt>
                <c:pt idx="1">
                  <c:v>3M-2019</c:v>
                </c:pt>
                <c:pt idx="2">
                  <c:v>3M-2020</c:v>
                </c:pt>
                <c:pt idx="3">
                  <c:v>3M-2021</c:v>
                </c:pt>
                <c:pt idx="4">
                  <c:v>3M-2022</c:v>
                </c:pt>
                <c:pt idx="5">
                  <c:v>3M-2023</c:v>
                </c:pt>
                <c:pt idx="6">
                  <c:v>3M-2024</c:v>
                </c:pt>
                <c:pt idx="7">
                  <c:v>3M-2025</c:v>
                </c:pt>
                <c:pt idx="8">
                  <c:v>3M-2026</c:v>
                </c:pt>
              </c:strCache>
            </c:strRef>
          </c:cat>
          <c:val>
            <c:numRef>
              <c:f>'Te ardhurat 3m 2025'!$Q$6:$Y$6</c:f>
              <c:numCache>
                <c:formatCode>#,##0</c:formatCode>
                <c:ptCount val="9"/>
                <c:pt idx="0">
                  <c:v>820.7</c:v>
                </c:pt>
                <c:pt idx="1">
                  <c:v>818.7</c:v>
                </c:pt>
                <c:pt idx="2">
                  <c:v>763</c:v>
                </c:pt>
                <c:pt idx="3">
                  <c:v>976.72</c:v>
                </c:pt>
                <c:pt idx="4">
                  <c:v>1065.19</c:v>
                </c:pt>
                <c:pt idx="5">
                  <c:v>1028.8399999999999</c:v>
                </c:pt>
                <c:pt idx="6">
                  <c:v>1253.1500000000001</c:v>
                </c:pt>
                <c:pt idx="7">
                  <c:v>1426.16</c:v>
                </c:pt>
                <c:pt idx="8">
                  <c:v>1811.89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0B-4056-AAE0-FB886F0E7A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-1784780272"/>
        <c:axId val="-1784779728"/>
      </c:barChart>
      <c:lineChart>
        <c:grouping val="standard"/>
        <c:varyColors val="0"/>
        <c:ser>
          <c:idx val="0"/>
          <c:order val="1"/>
          <c:tx>
            <c:strRef>
              <c:f>'Te ardhurat 3m 2025'!$C$7</c:f>
              <c:strCache>
                <c:ptCount val="1"/>
                <c:pt idx="0">
                  <c:v>Ritmi i ndryshimit</c:v>
                </c:pt>
              </c:strCache>
            </c:strRef>
          </c:tx>
          <c:spPr>
            <a:ln w="38100">
              <a:solidFill>
                <a:srgbClr val="0E2841">
                  <a:lumMod val="75000"/>
                  <a:lumOff val="25000"/>
                </a:srgbClr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0E2841">
                    <a:lumMod val="75000"/>
                    <a:lumOff val="25000"/>
                  </a:srgbClr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 3m 2025'!$Q$3:$Y$3</c:f>
              <c:strCache>
                <c:ptCount val="9"/>
                <c:pt idx="0">
                  <c:v>3M-2018</c:v>
                </c:pt>
                <c:pt idx="1">
                  <c:v>3M-2019</c:v>
                </c:pt>
                <c:pt idx="2">
                  <c:v>3M-2020</c:v>
                </c:pt>
                <c:pt idx="3">
                  <c:v>3M-2021</c:v>
                </c:pt>
                <c:pt idx="4">
                  <c:v>3M-2022</c:v>
                </c:pt>
                <c:pt idx="5">
                  <c:v>3M-2023</c:v>
                </c:pt>
                <c:pt idx="6">
                  <c:v>3M-2024</c:v>
                </c:pt>
                <c:pt idx="7">
                  <c:v>3M-2025</c:v>
                </c:pt>
                <c:pt idx="8">
                  <c:v>3M-2026</c:v>
                </c:pt>
              </c:strCache>
            </c:strRef>
          </c:cat>
          <c:val>
            <c:numRef>
              <c:f>'Te ardhurat 3m 2025'!$Q$7:$Y$7</c:f>
              <c:numCache>
                <c:formatCode>0%</c:formatCode>
                <c:ptCount val="9"/>
                <c:pt idx="0">
                  <c:v>6.0335917312661559E-2</c:v>
                </c:pt>
                <c:pt idx="1">
                  <c:v>-2.4369440721335443E-3</c:v>
                </c:pt>
                <c:pt idx="2">
                  <c:v>-6.8034689141321658E-2</c:v>
                </c:pt>
                <c:pt idx="3">
                  <c:v>0.28010484927916124</c:v>
                </c:pt>
                <c:pt idx="4">
                  <c:v>9.0578671471865047E-2</c:v>
                </c:pt>
                <c:pt idx="5">
                  <c:v>-3.4125367305363488E-2</c:v>
                </c:pt>
                <c:pt idx="6">
                  <c:v>0.21802223863768924</c:v>
                </c:pt>
                <c:pt idx="7">
                  <c:v>0.13806008857678648</c:v>
                </c:pt>
                <c:pt idx="8">
                  <c:v>0.27046754922308858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460B-4056-AAE0-FB886F0E7A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84083760"/>
        <c:axId val="-1784085392"/>
      </c:lineChart>
      <c:catAx>
        <c:axId val="-17847802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b="1"/>
            </a:pPr>
            <a:endParaRPr lang="en-US"/>
          </a:p>
        </c:txPr>
        <c:crossAx val="-17847797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78477972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b="1"/>
                </a:pPr>
                <a:r>
                  <a:rPr lang="sq-AL" b="1"/>
                  <a:t>Në miliardë</a:t>
                </a:r>
              </a:p>
            </c:rich>
          </c:tx>
          <c:layout>
            <c:manualLayout>
              <c:xMode val="edge"/>
              <c:yMode val="edge"/>
              <c:x val="1.5798684540437591E-3"/>
              <c:y val="5.7203942222454019E-3"/>
            </c:manualLayout>
          </c:layout>
          <c:overlay val="0"/>
        </c:title>
        <c:numFmt formatCode="#,##0.0" sourceLinked="0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-1784780272"/>
        <c:crosses val="autoZero"/>
        <c:crossBetween val="between"/>
        <c:dispUnits>
          <c:builtInUnit val="thousands"/>
        </c:dispUnits>
      </c:valAx>
      <c:valAx>
        <c:axId val="-1784085392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-1784083760"/>
        <c:crosses val="max"/>
        <c:crossBetween val="between"/>
      </c:valAx>
      <c:catAx>
        <c:axId val="-17840837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784085392"/>
        <c:crosses val="autoZero"/>
        <c:auto val="0"/>
        <c:lblAlgn val="ctr"/>
        <c:lblOffset val="100"/>
        <c:noMultiLvlLbl val="0"/>
      </c:catAx>
      <c:spPr>
        <a:solidFill>
          <a:srgbClr val="E8E8E8"/>
        </a:solidFill>
      </c:spPr>
    </c:plotArea>
    <c:legend>
      <c:legendPos val="b"/>
      <c:layout>
        <c:manualLayout>
          <c:xMode val="edge"/>
          <c:yMode val="edge"/>
          <c:x val="0.10257510920343993"/>
          <c:y val="0.89447080704315929"/>
          <c:w val="0.79066902351491775"/>
          <c:h val="0.10501816412021345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spPr>
    <a:solidFill>
      <a:srgbClr val="E8E8E8"/>
    </a:solidFill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4398884982301067E-2"/>
          <c:y val="4.0942730519340817E-2"/>
          <c:w val="0.84894645141665992"/>
          <c:h val="0.735156926502400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'Shpenzimet 3m 2026'!$B$5</c:f>
              <c:strCache>
                <c:ptCount val="1"/>
                <c:pt idx="0">
                  <c:v>Buxheti lokal </c:v>
                </c:pt>
              </c:strCache>
            </c:strRef>
          </c:tx>
          <c:spPr>
            <a:solidFill>
              <a:srgbClr val="196B24">
                <a:lumMod val="40000"/>
                <a:lumOff val="60000"/>
              </a:srgbClr>
            </a:solidFill>
            <a:ln>
              <a:solidFill>
                <a:srgbClr val="196B24">
                  <a:lumMod val="60000"/>
                  <a:lumOff val="40000"/>
                </a:srgbClr>
              </a:solidFill>
            </a:ln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'Shpenzimet 3m 2026'!$P$4:$X$4</c:f>
              <c:strCache>
                <c:ptCount val="9"/>
                <c:pt idx="0">
                  <c:v>3M-2018</c:v>
                </c:pt>
                <c:pt idx="1">
                  <c:v>3M-2019</c:v>
                </c:pt>
                <c:pt idx="2">
                  <c:v>3M-2020</c:v>
                </c:pt>
                <c:pt idx="3">
                  <c:v>3M-2021</c:v>
                </c:pt>
                <c:pt idx="4">
                  <c:v>3M-2022</c:v>
                </c:pt>
                <c:pt idx="5">
                  <c:v>3M-2023</c:v>
                </c:pt>
                <c:pt idx="6">
                  <c:v>3M-2024</c:v>
                </c:pt>
                <c:pt idx="7">
                  <c:v>3M-2025</c:v>
                </c:pt>
                <c:pt idx="8">
                  <c:v>3M-2026</c:v>
                </c:pt>
              </c:strCache>
            </c:strRef>
          </c:cat>
          <c:val>
            <c:numRef>
              <c:f>'Shpenzimet 3m 2026'!$P$5:$X$5</c:f>
              <c:numCache>
                <c:formatCode>#,##0</c:formatCode>
                <c:ptCount val="9"/>
                <c:pt idx="0">
                  <c:v>12402</c:v>
                </c:pt>
                <c:pt idx="1">
                  <c:v>12667</c:v>
                </c:pt>
                <c:pt idx="2">
                  <c:v>10673.900000000001</c:v>
                </c:pt>
                <c:pt idx="3">
                  <c:v>10773</c:v>
                </c:pt>
                <c:pt idx="4">
                  <c:v>11130.33</c:v>
                </c:pt>
                <c:pt idx="5">
                  <c:v>12530.01</c:v>
                </c:pt>
                <c:pt idx="6">
                  <c:v>13427.26</c:v>
                </c:pt>
                <c:pt idx="7">
                  <c:v>15575.61</c:v>
                </c:pt>
                <c:pt idx="8">
                  <c:v>17121.150000000001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E5-4BDA-BA78-1C5F3C87B5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-1900608928"/>
        <c:axId val="-1900798976"/>
      </c:barChart>
      <c:lineChart>
        <c:grouping val="standard"/>
        <c:varyColors val="0"/>
        <c:ser>
          <c:idx val="0"/>
          <c:order val="1"/>
          <c:tx>
            <c:strRef>
              <c:f>'Shpenzimet 3m 2026'!$B$6</c:f>
              <c:strCache>
                <c:ptCount val="1"/>
                <c:pt idx="0">
                  <c:v>Ritmi i ndryshimit</c:v>
                </c:pt>
              </c:strCache>
            </c:strRef>
          </c:tx>
          <c:spPr>
            <a:ln w="31750">
              <a:solidFill>
                <a:srgbClr val="0E2841">
                  <a:lumMod val="75000"/>
                  <a:lumOff val="25000"/>
                </a:srgbClr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0E2841">
                    <a:lumMod val="75000"/>
                    <a:lumOff val="25000"/>
                  </a:srgbClr>
                </a:solidFill>
              </a:ln>
            </c:spPr>
          </c:marker>
          <c:dLbls>
            <c:dLbl>
              <c:idx val="3"/>
              <c:layout>
                <c:manualLayout>
                  <c:x val="-5.0784935703700781E-2"/>
                  <c:y val="-8.6888493776987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E5-4BDA-BA78-1C5F3C87B576}"/>
                </c:ext>
              </c:extLst>
            </c:dLbl>
            <c:dLbl>
              <c:idx val="4"/>
              <c:layout>
                <c:manualLayout>
                  <c:x val="-4.5604526305281098E-2"/>
                  <c:y val="-8.4149944966556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E5-4BDA-BA78-1C5F3C87B576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'Shpenzimet 3m 2026'!$P$4:$X$4</c:f>
              <c:strCache>
                <c:ptCount val="9"/>
                <c:pt idx="0">
                  <c:v>3M-2018</c:v>
                </c:pt>
                <c:pt idx="1">
                  <c:v>3M-2019</c:v>
                </c:pt>
                <c:pt idx="2">
                  <c:v>3M-2020</c:v>
                </c:pt>
                <c:pt idx="3">
                  <c:v>3M-2021</c:v>
                </c:pt>
                <c:pt idx="4">
                  <c:v>3M-2022</c:v>
                </c:pt>
                <c:pt idx="5">
                  <c:v>3M-2023</c:v>
                </c:pt>
                <c:pt idx="6">
                  <c:v>3M-2024</c:v>
                </c:pt>
                <c:pt idx="7">
                  <c:v>3M-2025</c:v>
                </c:pt>
                <c:pt idx="8">
                  <c:v>3M-2026</c:v>
                </c:pt>
              </c:strCache>
            </c:strRef>
          </c:cat>
          <c:val>
            <c:numRef>
              <c:f>'Shpenzimet 3m 2026'!$P$6:$X$6</c:f>
              <c:numCache>
                <c:formatCode>0.0%</c:formatCode>
                <c:ptCount val="9"/>
                <c:pt idx="0">
                  <c:v>0.39145069000336585</c:v>
                </c:pt>
                <c:pt idx="1">
                  <c:v>2.1367521367521368E-2</c:v>
                </c:pt>
                <c:pt idx="2">
                  <c:v>-0.15734585931949147</c:v>
                </c:pt>
                <c:pt idx="3">
                  <c:v>9.2843290643530984E-3</c:v>
                </c:pt>
                <c:pt idx="4">
                  <c:v>3.316903369534948E-2</c:v>
                </c:pt>
                <c:pt idx="5">
                  <c:v>0.12575368385303942</c:v>
                </c:pt>
                <c:pt idx="6">
                  <c:v>7.1608083313580748E-2</c:v>
                </c:pt>
                <c:pt idx="7">
                  <c:v>0.15999913608584329</c:v>
                </c:pt>
                <c:pt idx="8">
                  <c:v>9.9228216422984447E-2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D6E5-4BDA-BA78-1C5F3C87B5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00794624"/>
        <c:axId val="-1900791904"/>
      </c:lineChart>
      <c:catAx>
        <c:axId val="-19006089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b="1"/>
            </a:pPr>
            <a:endParaRPr lang="en-US"/>
          </a:p>
        </c:txPr>
        <c:crossAx val="-19007989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90079897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sq-AL"/>
                  <a:t>Në miliardë</a:t>
                </a:r>
              </a:p>
            </c:rich>
          </c:tx>
          <c:layout>
            <c:manualLayout>
              <c:xMode val="edge"/>
              <c:yMode val="edge"/>
              <c:x val="2.7264478341081203E-4"/>
              <c:y val="3.1982882082227145E-4"/>
            </c:manualLayout>
          </c:layout>
          <c:overlay val="0"/>
        </c:title>
        <c:numFmt formatCode="#,##0.0" sourceLinked="0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-1900608928"/>
        <c:crosses val="autoZero"/>
        <c:crossBetween val="between"/>
        <c:dispUnits>
          <c:builtInUnit val="thousands"/>
        </c:dispUnits>
      </c:valAx>
      <c:catAx>
        <c:axId val="-1900794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900791904"/>
        <c:crosses val="autoZero"/>
        <c:auto val="0"/>
        <c:lblAlgn val="ctr"/>
        <c:lblOffset val="100"/>
        <c:noMultiLvlLbl val="0"/>
      </c:catAx>
      <c:valAx>
        <c:axId val="-1900791904"/>
        <c:scaling>
          <c:orientation val="minMax"/>
        </c:scaling>
        <c:delete val="0"/>
        <c:axPos val="r"/>
        <c:numFmt formatCode="0%" sourceLinked="0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-1900794624"/>
        <c:crosses val="max"/>
        <c:crossBetween val="between"/>
      </c:valAx>
      <c:spPr>
        <a:solidFill>
          <a:srgbClr val="E8E8E8"/>
        </a:solidFill>
      </c:spPr>
    </c:plotArea>
    <c:legend>
      <c:legendPos val="b"/>
      <c:layout>
        <c:manualLayout>
          <c:xMode val="edge"/>
          <c:yMode val="edge"/>
          <c:x val="0.1852472910159973"/>
          <c:y val="0.90908113446894179"/>
          <c:w val="0.61611846940185111"/>
          <c:h val="9.0301689816862818E-2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spPr>
    <a:solidFill>
      <a:srgbClr val="E8E8E8"/>
    </a:solidFill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683960224816253E-2"/>
          <c:y val="7.6751517847896869E-2"/>
          <c:w val="0.90072629539984528"/>
          <c:h val="0.6849965813096892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'Shpenzimet 3m 2026'!$B$35</c:f>
              <c:strCache>
                <c:ptCount val="1"/>
                <c:pt idx="0">
                  <c:v> 3 mujori 2026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solidFill>
                <a:schemeClr val="accent3">
                  <a:lumMod val="75000"/>
                </a:schemeClr>
              </a:solidFill>
            </a:ln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'Shpenzimet 3m 2026'!$C$24:$H$24</c:f>
              <c:strCache>
                <c:ptCount val="6"/>
                <c:pt idx="0">
                  <c:v>Paga</c:v>
                </c:pt>
                <c:pt idx="1">
                  <c:v>Sigurime</c:v>
                </c:pt>
                <c:pt idx="2">
                  <c:v>Operative</c:v>
                </c:pt>
                <c:pt idx="3">
                  <c:v>Subvencione</c:v>
                </c:pt>
                <c:pt idx="4">
                  <c:v>Te tjera</c:v>
                </c:pt>
                <c:pt idx="5">
                  <c:v>Shpenzime Kapitale</c:v>
                </c:pt>
              </c:strCache>
            </c:strRef>
          </c:cat>
          <c:val>
            <c:numRef>
              <c:f>'Shpenzimet 3m 2026'!$C$35:$H$35</c:f>
              <c:numCache>
                <c:formatCode>#,##0.0</c:formatCode>
                <c:ptCount val="6"/>
                <c:pt idx="0">
                  <c:v>9013.1736830999998</c:v>
                </c:pt>
                <c:pt idx="1">
                  <c:v>1498.43511702</c:v>
                </c:pt>
                <c:pt idx="2">
                  <c:v>3408.8225167799997</c:v>
                </c:pt>
                <c:pt idx="3">
                  <c:v>474.58554800000002</c:v>
                </c:pt>
                <c:pt idx="4">
                  <c:v>496.02831207000008</c:v>
                </c:pt>
                <c:pt idx="5">
                  <c:v>2230.10615358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9E-42D6-959F-2D76E7C00CEE}"/>
            </c:ext>
          </c:extLst>
        </c:ser>
        <c:ser>
          <c:idx val="0"/>
          <c:order val="1"/>
          <c:tx>
            <c:strRef>
              <c:f>'Shpenzimet 3m 2026'!$B$34</c:f>
              <c:strCache>
                <c:ptCount val="1"/>
                <c:pt idx="0">
                  <c:v> 3 mujori 2025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solidFill>
                <a:schemeClr val="accent5">
                  <a:lumMod val="75000"/>
                </a:schemeClr>
              </a:solidFill>
            </a:ln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'Shpenzimet 3m 2026'!$C$24:$H$24</c:f>
              <c:strCache>
                <c:ptCount val="6"/>
                <c:pt idx="0">
                  <c:v>Paga</c:v>
                </c:pt>
                <c:pt idx="1">
                  <c:v>Sigurime</c:v>
                </c:pt>
                <c:pt idx="2">
                  <c:v>Operative</c:v>
                </c:pt>
                <c:pt idx="3">
                  <c:v>Subvencione</c:v>
                </c:pt>
                <c:pt idx="4">
                  <c:v>Te tjera</c:v>
                </c:pt>
                <c:pt idx="5">
                  <c:v>Shpenzime Kapitale</c:v>
                </c:pt>
              </c:strCache>
            </c:strRef>
          </c:cat>
          <c:val>
            <c:numRef>
              <c:f>'Shpenzimet 3m 2026'!$C$34:$H$34</c:f>
              <c:numCache>
                <c:formatCode>#,##0</c:formatCode>
                <c:ptCount val="6"/>
                <c:pt idx="0">
                  <c:v>8435.0815248600011</c:v>
                </c:pt>
                <c:pt idx="1">
                  <c:v>1393.57130024</c:v>
                </c:pt>
                <c:pt idx="2">
                  <c:v>3098.8048801800001</c:v>
                </c:pt>
                <c:pt idx="3">
                  <c:v>405.02311470000001</c:v>
                </c:pt>
                <c:pt idx="4">
                  <c:v>541.92592716000001</c:v>
                </c:pt>
                <c:pt idx="5">
                  <c:v>1701.1982996699999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9E-42D6-959F-2D76E7C00C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6"/>
        <c:overlap val="-17"/>
        <c:axId val="-1784780816"/>
        <c:axId val="-1784777552"/>
      </c:barChart>
      <c:catAx>
        <c:axId val="-17847808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1784777552"/>
        <c:crosses val="autoZero"/>
        <c:auto val="1"/>
        <c:lblAlgn val="ctr"/>
        <c:lblOffset val="100"/>
        <c:noMultiLvlLbl val="0"/>
      </c:catAx>
      <c:valAx>
        <c:axId val="-178477755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q-AL"/>
                  <a:t>Në milion leke</a:t>
                </a:r>
              </a:p>
            </c:rich>
          </c:tx>
          <c:layout>
            <c:manualLayout>
              <c:xMode val="edge"/>
              <c:yMode val="edge"/>
              <c:x val="1.1499535320730822E-3"/>
              <c:y val="7.6258164248827528E-3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crossAx val="-1784780816"/>
        <c:crosses val="autoZero"/>
        <c:crossBetween val="between"/>
      </c:valAx>
      <c:spPr>
        <a:noFill/>
        <a:effectLst>
          <a:glow rad="127000">
            <a:schemeClr val="bg1"/>
          </a:glow>
          <a:outerShdw blurRad="50800" dist="50800" dir="5400000" algn="ctr" rotWithShape="0">
            <a:schemeClr val="bg1"/>
          </a:outerShdw>
        </a:effectLst>
      </c:spPr>
    </c:plotArea>
    <c:legend>
      <c:legendPos val="r"/>
      <c:layout>
        <c:manualLayout>
          <c:xMode val="edge"/>
          <c:yMode val="edge"/>
          <c:x val="0.16121784776902887"/>
          <c:y val="0.88409625267429803"/>
          <c:w val="0.64632217234527933"/>
          <c:h val="8.6186726659167587E-2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spPr>
    <a:solidFill>
      <a:schemeClr val="bg2"/>
    </a:solidFill>
  </c:spPr>
  <c:txPr>
    <a:bodyPr/>
    <a:lstStyle/>
    <a:p>
      <a:pPr>
        <a:defRPr sz="800"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Xhyheri</dc:creator>
  <cp:keywords/>
  <dc:description/>
  <cp:lastModifiedBy>Ardita Xhyheri</cp:lastModifiedBy>
  <cp:revision>2</cp:revision>
  <dcterms:created xsi:type="dcterms:W3CDTF">2026-05-21T13:49:00Z</dcterms:created>
  <dcterms:modified xsi:type="dcterms:W3CDTF">2026-05-21T13:49:00Z</dcterms:modified>
</cp:coreProperties>
</file>