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CD2AA" w14:textId="1D4C10D6" w:rsidR="00A55FE2" w:rsidRPr="00032728" w:rsidRDefault="00A55FE2" w:rsidP="00A55FE2">
      <w:pPr>
        <w:tabs>
          <w:tab w:val="left" w:pos="360"/>
          <w:tab w:val="left" w:pos="990"/>
        </w:tabs>
        <w:spacing w:after="0"/>
        <w:jc w:val="center"/>
        <w:rPr>
          <w:rFonts w:ascii="Book Antiqua" w:hAnsi="Book Antiqua"/>
          <w:b/>
          <w:bCs/>
          <w:color w:val="548DD4" w:themeColor="text2" w:themeTint="99"/>
          <w:sz w:val="28"/>
          <w:szCs w:val="28"/>
        </w:rPr>
      </w:pPr>
      <w:r w:rsidRPr="00032728">
        <w:rPr>
          <w:rFonts w:ascii="Book Antiqua" w:hAnsi="Book Antiqua"/>
          <w:b/>
          <w:bCs/>
          <w:color w:val="548DD4" w:themeColor="text2" w:themeTint="99"/>
          <w:sz w:val="28"/>
          <w:szCs w:val="28"/>
        </w:rPr>
        <w:t>Financat Vendore për periudhën Janar - Shtator 2025</w:t>
      </w:r>
    </w:p>
    <w:p w14:paraId="401A6F98" w14:textId="57D37849" w:rsidR="00A55FE2" w:rsidRPr="00B74733" w:rsidRDefault="00A55FE2" w:rsidP="00A55FE2">
      <w:pPr>
        <w:tabs>
          <w:tab w:val="left" w:pos="360"/>
          <w:tab w:val="left" w:pos="990"/>
        </w:tabs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Financat publike në nivel vendor zbatohen mbi parimet e Ligjit nr.68 datë 27.04.2018 “Për financat e vetëq</w:t>
      </w:r>
      <w:r w:rsidR="004C7340">
        <w:rPr>
          <w:rFonts w:ascii="Times New Roman" w:eastAsia="Times New Roman" w:hAnsi="Times New Roman"/>
          <w:color w:val="000000" w:themeColor="text1"/>
          <w:sz w:val="24"/>
          <w:szCs w:val="24"/>
        </w:rPr>
        <w:t>e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verisjes vendore”, të ndryshuar, ndërkohë që treguesit e të ardhurave dhe shpenzimeve të buxhetit vendor ndiqen në mënyrë të vazhdueshme nga Ministria e Financave, me qëllim monitorimin e tyre dhe asistencën e njësive të vetëqeverisjes vendore në përmirësmin e menaxhimit të këtij procesi. Referuar raportit të treguesve fiskalë të buxhetit të konsoliduar dhe të dhënave të Sistemit Informatik Financiar të Qeverisë, është realizuar analiza e të adhurave dhe shpenzimeve të buxhetit vendor në nivel kombëtar për periudhën 9 mujore janar-shtator 2025, duke i marrë në krahasim këto të dhëna edhe me periudhat e mëparshme.</w:t>
      </w:r>
    </w:p>
    <w:p w14:paraId="68182307" w14:textId="149636F5" w:rsidR="00B83C4A" w:rsidRPr="00032728" w:rsidRDefault="00463358" w:rsidP="00281D6E">
      <w:pPr>
        <w:tabs>
          <w:tab w:val="left" w:pos="360"/>
          <w:tab w:val="left" w:pos="990"/>
        </w:tabs>
        <w:spacing w:after="0"/>
        <w:jc w:val="left"/>
        <w:rPr>
          <w:rFonts w:ascii="Book Antiqua" w:hAnsi="Book Antiqua"/>
          <w:b/>
          <w:bCs/>
          <w:color w:val="548DD4" w:themeColor="text2" w:themeTint="99"/>
          <w:sz w:val="24"/>
          <w:szCs w:val="24"/>
        </w:rPr>
      </w:pPr>
      <w:r w:rsidRPr="00B74733">
        <w:rPr>
          <w:rFonts w:ascii="Book Antiqua" w:hAnsi="Book Antiqua"/>
          <w:b/>
          <w:bCs/>
          <w:color w:val="000000" w:themeColor="text1"/>
          <w:sz w:val="24"/>
          <w:szCs w:val="24"/>
        </w:rPr>
        <w:tab/>
      </w:r>
      <w:r w:rsidR="00B40466" w:rsidRPr="00032728">
        <w:rPr>
          <w:rFonts w:ascii="Book Antiqua" w:hAnsi="Book Antiqua"/>
          <w:b/>
          <w:bCs/>
          <w:color w:val="548DD4" w:themeColor="text2" w:themeTint="99"/>
          <w:sz w:val="24"/>
          <w:szCs w:val="24"/>
        </w:rPr>
        <w:t xml:space="preserve">Të ardhurat e </w:t>
      </w:r>
      <w:r w:rsidR="008206B5" w:rsidRPr="00032728">
        <w:rPr>
          <w:rFonts w:ascii="Book Antiqua" w:hAnsi="Book Antiqua"/>
          <w:b/>
          <w:bCs/>
          <w:color w:val="548DD4" w:themeColor="text2" w:themeTint="99"/>
          <w:sz w:val="24"/>
          <w:szCs w:val="24"/>
        </w:rPr>
        <w:t>p</w:t>
      </w:r>
      <w:r w:rsidR="00B40466" w:rsidRPr="00032728">
        <w:rPr>
          <w:rFonts w:ascii="Book Antiqua" w:hAnsi="Book Antiqua"/>
          <w:b/>
          <w:bCs/>
          <w:color w:val="548DD4" w:themeColor="text2" w:themeTint="99"/>
          <w:sz w:val="24"/>
          <w:szCs w:val="24"/>
        </w:rPr>
        <w:t xml:space="preserve">ushtetit </w:t>
      </w:r>
      <w:r w:rsidR="008206B5" w:rsidRPr="00032728">
        <w:rPr>
          <w:rFonts w:ascii="Book Antiqua" w:hAnsi="Book Antiqua"/>
          <w:b/>
          <w:bCs/>
          <w:color w:val="548DD4" w:themeColor="text2" w:themeTint="99"/>
          <w:sz w:val="24"/>
          <w:szCs w:val="24"/>
        </w:rPr>
        <w:t>v</w:t>
      </w:r>
      <w:r w:rsidR="00B40466" w:rsidRPr="00032728">
        <w:rPr>
          <w:rFonts w:ascii="Book Antiqua" w:hAnsi="Book Antiqua"/>
          <w:b/>
          <w:bCs/>
          <w:color w:val="548DD4" w:themeColor="text2" w:themeTint="99"/>
          <w:sz w:val="24"/>
          <w:szCs w:val="24"/>
        </w:rPr>
        <w:t>endor</w:t>
      </w:r>
      <w:bookmarkStart w:id="0" w:name="_Hlk146799795"/>
    </w:p>
    <w:p w14:paraId="56B9E36E" w14:textId="4CD19B3F" w:rsidR="00A55FE2" w:rsidRPr="00B74733" w:rsidRDefault="00B83C4A" w:rsidP="00A55FE2">
      <w:pPr>
        <w:tabs>
          <w:tab w:val="left" w:pos="360"/>
          <w:tab w:val="left" w:pos="990"/>
        </w:tabs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276039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Për vitin 202</w:t>
      </w:r>
      <w:r w:rsidR="00A55FE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="00276039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të ardhurat e </w:t>
      </w:r>
      <w:r w:rsidR="008206B5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p</w:t>
      </w:r>
      <w:r w:rsidR="00276039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ushtetit </w:t>
      </w:r>
      <w:r w:rsidR="00032E89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vendor </w:t>
      </w:r>
      <w:r w:rsidR="00A55FE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jan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276039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planifikua</w:t>
      </w:r>
      <w:r w:rsidR="00A55FE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r</w:t>
      </w:r>
      <w:r w:rsidR="00276039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në </w:t>
      </w:r>
      <w:r w:rsidR="00A55FE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mas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A55FE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n</w:t>
      </w:r>
      <w:r w:rsidR="00276039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55FE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rreth 40.8</w:t>
      </w:r>
      <w:r w:rsidR="00276039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miliard lekë</w:t>
      </w:r>
      <w:r w:rsidR="008E5D15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="00A55FE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nd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A55FE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rkoh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A55FE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q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A55FE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për periudhën janar-shtator 2025, njësitë e vetëqeverisjes vendore (NJVQV) në shkallë kombëtare kanë mbledhur të ardhura të veta tatimore në masën rreth 28.8 miliard lekë. Ky nivel rezulton rreth 2.1 </w:t>
      </w:r>
      <w:r w:rsidR="00DA4EB5">
        <w:rPr>
          <w:rFonts w:ascii="Times New Roman" w:eastAsia="Times New Roman" w:hAnsi="Times New Roman"/>
          <w:color w:val="000000" w:themeColor="text1"/>
          <w:sz w:val="24"/>
          <w:szCs w:val="24"/>
        </w:rPr>
        <w:t>miliard</w:t>
      </w:r>
      <w:r w:rsidR="00A55FE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lekë më pak ose rreth </w:t>
      </w:r>
      <w:r w:rsidR="00DA4EB5">
        <w:rPr>
          <w:rFonts w:ascii="Times New Roman" w:eastAsia="Times New Roman" w:hAnsi="Times New Roman"/>
          <w:color w:val="000000" w:themeColor="text1"/>
          <w:sz w:val="24"/>
          <w:szCs w:val="24"/>
        </w:rPr>
        <w:t>7</w:t>
      </w:r>
      <w:r w:rsidR="00A55FE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% më i ulët se vlera e të ardhurave tatimore të mbledhura gjatë të njëjtës periudhë 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t</w:t>
      </w:r>
      <w:r w:rsidR="005D4E9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vitit </w:t>
      </w:r>
      <w:r w:rsidR="00A55FE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2024, megjithatë rreth 35% më e lartë se 9 mujori 2023. Realizimi i të ardhurave vendore gjatë 9 mujorit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2025</w:t>
      </w:r>
      <w:r w:rsidR="00A55FE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pavarësisht raportit kundrejt </w:t>
      </w:r>
      <w:r w:rsidR="00DA4EB5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9 mujori</w:t>
      </w:r>
      <w:r w:rsidR="00DA4EB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 të </w:t>
      </w:r>
      <w:r w:rsidR="00A55FE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vitit 2024, tregon një performancë të mirë të pushtetit vendor në mbledhjen e të ardhurave të veta, dhe pritshmëritë janë që deri në fund të vitit 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të ardhurat e pushtetit vendor t</w:t>
      </w:r>
      <w:r w:rsidR="005D4E9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realizohen </w:t>
      </w:r>
      <w:r w:rsidR="00A55FE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pozitivisht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sipas parashikimit</w:t>
      </w:r>
      <w:r w:rsidR="00A55FE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 </w:t>
      </w:r>
    </w:p>
    <w:p w14:paraId="6CC702A5" w14:textId="4C2BA596" w:rsidR="00281D6E" w:rsidRPr="00B74733" w:rsidRDefault="00B83C4A" w:rsidP="00281D6E">
      <w:pPr>
        <w:tabs>
          <w:tab w:val="left" w:pos="360"/>
          <w:tab w:val="left" w:pos="990"/>
        </w:tabs>
        <w:spacing w:after="0"/>
        <w:rPr>
          <w:color w:val="000000" w:themeColor="text1"/>
        </w:rPr>
      </w:pP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bookmarkEnd w:id="0"/>
      <w:r w:rsidR="00281D6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Duke ju referuar të dhënave të treguesve fiskalë, nëse marrim në analizë të ardhurat e pushtetit vendor  për periudhën 9 mujore në vitet 2016-2025, do të kemi rezultatet si në grafikun  e mëposhtëm</w:t>
      </w:r>
      <w:r w:rsidR="00281D6E" w:rsidRPr="00B74733">
        <w:rPr>
          <w:color w:val="000000" w:themeColor="text1"/>
        </w:rPr>
        <w:t>:</w:t>
      </w:r>
    </w:p>
    <w:p w14:paraId="06A0F92C" w14:textId="7C555D2A" w:rsidR="00281D6E" w:rsidRPr="00032728" w:rsidRDefault="00281D6E" w:rsidP="00281D6E">
      <w:pPr>
        <w:tabs>
          <w:tab w:val="left" w:pos="360"/>
        </w:tabs>
        <w:spacing w:after="0"/>
        <w:rPr>
          <w:rFonts w:ascii="Times New Roman" w:hAnsi="Times New Roman"/>
          <w:i/>
          <w:color w:val="548DD4" w:themeColor="text2" w:themeTint="99"/>
          <w:sz w:val="22"/>
        </w:rPr>
      </w:pPr>
      <w:r w:rsidRPr="00032728">
        <w:rPr>
          <w:rFonts w:ascii="Times New Roman" w:hAnsi="Times New Roman"/>
          <w:b/>
          <w:bCs/>
          <w:i/>
          <w:color w:val="548DD4" w:themeColor="text2" w:themeTint="99"/>
          <w:sz w:val="22"/>
        </w:rPr>
        <w:t>Grafiku 1:</w:t>
      </w:r>
      <w:r w:rsidRPr="00032728">
        <w:rPr>
          <w:rFonts w:ascii="Times New Roman" w:hAnsi="Times New Roman"/>
          <w:i/>
          <w:color w:val="548DD4" w:themeColor="text2" w:themeTint="99"/>
          <w:sz w:val="22"/>
        </w:rPr>
        <w:t xml:space="preserve"> Të ardhurat e përgjithshme të pushtetit vendor dhe ritmi i ndryshimit të tyre</w:t>
      </w:r>
    </w:p>
    <w:p w14:paraId="4297B75E" w14:textId="48F3BD5F" w:rsidR="00281D6E" w:rsidRPr="00C36029" w:rsidRDefault="00281D6E" w:rsidP="002C68BF">
      <w:pPr>
        <w:tabs>
          <w:tab w:val="left" w:pos="360"/>
        </w:tabs>
        <w:spacing w:after="0"/>
        <w:jc w:val="center"/>
        <w:rPr>
          <w:rFonts w:ascii="Times New Roman" w:eastAsia="SimSun" w:hAnsi="Times New Roman"/>
          <w:i/>
          <w:color w:val="4F81BD" w:themeColor="accent1"/>
          <w:szCs w:val="18"/>
        </w:rPr>
      </w:pPr>
      <w:r w:rsidRPr="00B74733">
        <w:rPr>
          <w:noProof/>
          <w:color w:val="000000" w:themeColor="text1"/>
        </w:rPr>
        <w:drawing>
          <wp:inline distT="0" distB="0" distL="0" distR="0" wp14:anchorId="3E8F1B74" wp14:editId="0778ECA8">
            <wp:extent cx="6289040" cy="1711756"/>
            <wp:effectExtent l="0" t="0" r="16510" b="3175"/>
            <wp:docPr id="76375139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B74733">
        <w:rPr>
          <w:rFonts w:ascii="Times New Roman" w:eastAsia="SimSun" w:hAnsi="Times New Roman"/>
          <w:b/>
          <w:bCs/>
          <w:i/>
          <w:color w:val="000000" w:themeColor="text1"/>
          <w:szCs w:val="18"/>
        </w:rPr>
        <w:t>Burimi:</w:t>
      </w:r>
      <w:r w:rsidRPr="00B74733">
        <w:rPr>
          <w:rFonts w:ascii="Times New Roman" w:eastAsia="SimSun" w:hAnsi="Times New Roman"/>
          <w:i/>
          <w:color w:val="000000" w:themeColor="text1"/>
          <w:szCs w:val="18"/>
        </w:rPr>
        <w:t xml:space="preserve"> Ministria e Financave </w:t>
      </w:r>
      <w:hyperlink r:id="rId9" w:history="1">
        <w:r w:rsidRPr="00C36029">
          <w:rPr>
            <w:rStyle w:val="Hyperlink"/>
            <w:rFonts w:ascii="Times New Roman" w:eastAsia="SimSun" w:hAnsi="Times New Roman"/>
            <w:i/>
            <w:color w:val="4F81BD" w:themeColor="accent1"/>
            <w:szCs w:val="18"/>
          </w:rPr>
          <w:t>https://financa.gov.al/treguesit-fiskale-sipas-buxhetit-te-konsoliduar/</w:t>
        </w:r>
      </w:hyperlink>
    </w:p>
    <w:p w14:paraId="5C21E1E7" w14:textId="5F8CDC41" w:rsidR="00BC0E5E" w:rsidRPr="00B74733" w:rsidRDefault="00BC0E5E" w:rsidP="00BC0E5E">
      <w:pPr>
        <w:tabs>
          <w:tab w:val="left" w:pos="360"/>
          <w:tab w:val="left" w:pos="990"/>
        </w:tabs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Sa i takon performancës së përgjithshme të realizimit të të ardhurave vendore për këtë periudhë, rezulton se deri në fund të 9 mujorit është realizuar rreth 71% e planit vjetor të të ardhurave nga burimet e veta, ku konkretisht taksa mbi pasurinë është realizuar në masën rreth 75% e planit vjetor dhe taksat lokale janë realizuar në masën rreth 69% e planit vjetor 2025.</w:t>
      </w:r>
    </w:p>
    <w:p w14:paraId="2D8AB604" w14:textId="77777777" w:rsidR="00281D6E" w:rsidRPr="00A50A08" w:rsidRDefault="00281D6E" w:rsidP="00281D6E">
      <w:pPr>
        <w:tabs>
          <w:tab w:val="left" w:pos="360"/>
        </w:tabs>
        <w:spacing w:after="0"/>
        <w:rPr>
          <w:i/>
          <w:color w:val="000000" w:themeColor="text1"/>
          <w:sz w:val="16"/>
          <w:szCs w:val="16"/>
        </w:rPr>
      </w:pPr>
    </w:p>
    <w:p w14:paraId="710FD420" w14:textId="77777777" w:rsidR="00B83C4A" w:rsidRPr="00B74733" w:rsidRDefault="00B83C4A" w:rsidP="00281D6E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pacing w:after="0"/>
        <w:rPr>
          <w:rFonts w:ascii="Book Antiqua" w:hAnsi="Book Antiqua"/>
          <w:b/>
          <w:bCs/>
          <w:i/>
          <w:iCs/>
          <w:color w:val="000000" w:themeColor="text1"/>
          <w:sz w:val="24"/>
          <w:szCs w:val="24"/>
          <w:lang w:val="sq-AL"/>
        </w:rPr>
      </w:pPr>
      <w:r w:rsidRPr="00B74733">
        <w:rPr>
          <w:rFonts w:ascii="Book Antiqua" w:hAnsi="Book Antiqua"/>
          <w:b/>
          <w:bCs/>
          <w:i/>
          <w:iCs/>
          <w:color w:val="000000" w:themeColor="text1"/>
          <w:sz w:val="24"/>
          <w:szCs w:val="24"/>
          <w:lang w:val="sq-AL"/>
        </w:rPr>
        <w:t>Taksat lokale</w:t>
      </w:r>
    </w:p>
    <w:p w14:paraId="1BD12C45" w14:textId="07DACFA6" w:rsidR="00BC0E5E" w:rsidRPr="00B74733" w:rsidRDefault="00683342" w:rsidP="00244EF2">
      <w:pPr>
        <w:tabs>
          <w:tab w:val="left" w:pos="360"/>
        </w:tabs>
        <w:rPr>
          <w:rFonts w:ascii="Times New Roman" w:eastAsia="Times New Roman" w:hAnsi="Times New Roman"/>
          <w:color w:val="000000" w:themeColor="text1"/>
          <w:sz w:val="24"/>
          <w:szCs w:val="28"/>
        </w:rPr>
      </w:pPr>
      <w:r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ab/>
      </w:r>
      <w:r w:rsidR="00B83C4A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Nga të ardhurat që sigurojnë njësitë e vetëqeverisjes vendore peshën më të madhe e zënë taksat lokale. Për </w:t>
      </w:r>
      <w:r w:rsidR="00207D43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>9</w:t>
      </w:r>
      <w:r w:rsidR="00555A7E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mujorin </w:t>
      </w:r>
      <w:r w:rsidR="00B83C4A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>202</w:t>
      </w:r>
      <w:r w:rsidR="00BC0E5E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>5</w:t>
      </w:r>
      <w:r w:rsidR="00B83C4A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këto taksa zënë rreth </w:t>
      </w:r>
      <w:r w:rsidR="00BC0E5E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>77.4</w:t>
      </w:r>
      <w:r w:rsidR="00207D43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% </w:t>
      </w:r>
      <w:r w:rsidR="00B83C4A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të shumës totale të të ardhurave tatimore të pushtetit vendor. Të ardhurat nga taksat lokale për </w:t>
      </w:r>
      <w:r w:rsidR="00207D43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>9</w:t>
      </w:r>
      <w:r w:rsidR="00555A7E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mujorin</w:t>
      </w:r>
      <w:r w:rsidR="00B83C4A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202</w:t>
      </w:r>
      <w:r w:rsidR="00BC0E5E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>5</w:t>
      </w:r>
      <w:r w:rsidR="00B83C4A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janë mbledhur në vlerën </w:t>
      </w:r>
      <w:r w:rsidR="00BC0E5E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rreth 22.3 </w:t>
      </w:r>
      <w:r w:rsidR="00207D43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lastRenderedPageBreak/>
        <w:t xml:space="preserve">miliard lekë, shifër kjo që është rreth </w:t>
      </w:r>
      <w:r w:rsidR="00BC0E5E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>2.5</w:t>
      </w:r>
      <w:r w:rsidR="00207D43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miliard lekë </w:t>
      </w:r>
      <w:r w:rsidR="00BC0E5E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>m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>ë</w:t>
      </w:r>
      <w:r w:rsidR="00BC0E5E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pak </w:t>
      </w:r>
      <w:r w:rsidR="00207D43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ose rreth </w:t>
      </w:r>
      <w:r w:rsidR="00BC0E5E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>10</w:t>
      </w:r>
      <w:r w:rsidR="00207D43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% më </w:t>
      </w:r>
      <w:r w:rsidR="00BC0E5E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>e ul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>ë</w:t>
      </w:r>
      <w:r w:rsidR="00BC0E5E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>t</w:t>
      </w:r>
      <w:r w:rsidR="00207D43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se vlera e mbledhur gjatë të njëjtës periudhë të vitit 202</w:t>
      </w:r>
      <w:r w:rsidR="00BC0E5E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>4</w:t>
      </w:r>
      <w:r w:rsidR="00B83C4A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. </w:t>
      </w:r>
    </w:p>
    <w:p w14:paraId="52509F92" w14:textId="16ECABC6" w:rsidR="00731E3B" w:rsidRPr="00B74733" w:rsidRDefault="00BC0E5E" w:rsidP="00244EF2">
      <w:pPr>
        <w:tabs>
          <w:tab w:val="left" w:pos="360"/>
        </w:tabs>
        <w:rPr>
          <w:rFonts w:ascii="Times New Roman" w:eastAsia="Times New Roman" w:hAnsi="Times New Roman"/>
          <w:color w:val="000000" w:themeColor="text1"/>
          <w:sz w:val="24"/>
          <w:szCs w:val="28"/>
        </w:rPr>
      </w:pPr>
      <w:r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ab/>
        <w:t xml:space="preserve">Kryesisht kjo rënie në vitin 2025 krahasuar me të njëjtën periudhë të një viti më parë, vjen nga të ardhurat e mbledhura nga ‘taksa e ndikimit në infrastrukturë nga ndëtimet e reja’ që nga 9 mujori 2024 ka një ulje prej rreth </w:t>
      </w:r>
      <w:r w:rsidR="00731E3B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>3.5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</w:t>
      </w:r>
      <w:r w:rsidR="00DA4EB5">
        <w:rPr>
          <w:rFonts w:ascii="Times New Roman" w:eastAsia="Times New Roman" w:hAnsi="Times New Roman"/>
          <w:color w:val="000000" w:themeColor="text1"/>
          <w:sz w:val="24"/>
          <w:szCs w:val="28"/>
        </w:rPr>
        <w:t>miliard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lekë</w:t>
      </w:r>
      <w:r w:rsidR="00731E3B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>, ulje e cila vjen kryesisht nga bashkia Tiran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>ë</w:t>
      </w:r>
      <w:r w:rsidR="00731E3B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ku t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>ë</w:t>
      </w:r>
      <w:r w:rsidR="00731E3B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ardhurat nga ‘taksa e ndikimit në infrastrukturë nga ndëtimet e reja’ rezultojn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>ë</w:t>
      </w:r>
      <w:r w:rsidR="00731E3B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me rreth 6.2 miliard lek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>ë</w:t>
      </w:r>
      <w:r w:rsidR="00731E3B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m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>ë</w:t>
      </w:r>
      <w:r w:rsidR="00731E3B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pak p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>ë</w:t>
      </w:r>
      <w:r w:rsidR="00731E3B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>r periudh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>ë</w:t>
      </w:r>
      <w:r w:rsidR="00731E3B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>n 9 mujore 2025 krahasuar me 9 mujorin 2024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, ndërkohë që </w:t>
      </w:r>
      <w:r w:rsidR="00731E3B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>p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>ë</w:t>
      </w:r>
      <w:r w:rsidR="00731E3B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>r pushtetin vendor n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>ë</w:t>
      </w:r>
      <w:r w:rsidR="00731E3B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nivel komb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>ë</w:t>
      </w:r>
      <w:r w:rsidR="00731E3B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>tar, p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>ë</w:t>
      </w:r>
      <w:r w:rsidR="00731E3B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>rgjith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>ë</w:t>
      </w:r>
      <w:r w:rsidR="00731E3B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sisht 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zërat e tjerë të taksave lokale rezultojnë me rritje, megjithatë pritshmëritë janë që taksat lokale të rritin ritmin e realizimit deri në fund të vitit. </w:t>
      </w:r>
    </w:p>
    <w:p w14:paraId="3209F5CB" w14:textId="08648D87" w:rsidR="003F1F17" w:rsidRPr="00B74733" w:rsidRDefault="00731E3B" w:rsidP="00244EF2">
      <w:pPr>
        <w:tabs>
          <w:tab w:val="left" w:pos="360"/>
        </w:tabs>
        <w:rPr>
          <w:rFonts w:ascii="Times New Roman" w:eastAsia="Times New Roman" w:hAnsi="Times New Roman"/>
          <w:color w:val="000000" w:themeColor="text1"/>
          <w:sz w:val="24"/>
          <w:szCs w:val="28"/>
        </w:rPr>
      </w:pPr>
      <w:r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ab/>
      </w:r>
      <w:r w:rsidR="00BC0E5E" w:rsidRPr="00B74733">
        <w:rPr>
          <w:rFonts w:ascii="Times New Roman" w:eastAsia="Times New Roman" w:hAnsi="Times New Roman"/>
          <w:color w:val="000000" w:themeColor="text1"/>
          <w:sz w:val="24"/>
          <w:szCs w:val="28"/>
        </w:rPr>
        <w:t>Ecuria në vite e këtij treguesi reflektohet vizualisht edhe në grafikun e mëposhtëm, ku vërehet konsolidimi i këtij burimi financiar:</w:t>
      </w:r>
    </w:p>
    <w:p w14:paraId="234EA613" w14:textId="6C837CBB" w:rsidR="00683342" w:rsidRPr="00032728" w:rsidRDefault="00B83C4A" w:rsidP="00731E3B">
      <w:pPr>
        <w:tabs>
          <w:tab w:val="left" w:pos="360"/>
        </w:tabs>
        <w:rPr>
          <w:rFonts w:ascii="Times New Roman" w:eastAsia="Times New Roman" w:hAnsi="Times New Roman"/>
          <w:i/>
          <w:iCs/>
          <w:color w:val="548DD4" w:themeColor="text2" w:themeTint="99"/>
          <w:sz w:val="22"/>
        </w:rPr>
      </w:pPr>
      <w:r w:rsidRPr="00032728">
        <w:rPr>
          <w:rFonts w:ascii="Times New Roman" w:eastAsia="Times New Roman" w:hAnsi="Times New Roman"/>
          <w:b/>
          <w:i/>
          <w:iCs/>
          <w:color w:val="548DD4" w:themeColor="text2" w:themeTint="99"/>
          <w:sz w:val="22"/>
        </w:rPr>
        <w:t>Grafiku</w:t>
      </w:r>
      <w:r w:rsidR="00683342" w:rsidRPr="00032728">
        <w:rPr>
          <w:rFonts w:ascii="Times New Roman" w:eastAsia="Times New Roman" w:hAnsi="Times New Roman"/>
          <w:b/>
          <w:i/>
          <w:iCs/>
          <w:color w:val="548DD4" w:themeColor="text2" w:themeTint="99"/>
          <w:sz w:val="22"/>
        </w:rPr>
        <w:t xml:space="preserve"> 2</w:t>
      </w:r>
      <w:r w:rsidRPr="00032728">
        <w:rPr>
          <w:rFonts w:ascii="Times New Roman" w:eastAsia="Times New Roman" w:hAnsi="Times New Roman"/>
          <w:b/>
          <w:i/>
          <w:iCs/>
          <w:color w:val="548DD4" w:themeColor="text2" w:themeTint="99"/>
          <w:sz w:val="22"/>
        </w:rPr>
        <w:t xml:space="preserve">: </w:t>
      </w:r>
      <w:r w:rsidR="00683342" w:rsidRPr="00032728">
        <w:rPr>
          <w:rFonts w:ascii="Times New Roman" w:eastAsia="Times New Roman" w:hAnsi="Times New Roman"/>
          <w:i/>
          <w:iCs/>
          <w:color w:val="548DD4" w:themeColor="text2" w:themeTint="99"/>
          <w:sz w:val="22"/>
        </w:rPr>
        <w:t xml:space="preserve">Të ardhurat nga Taksat Lokale dhe ritmi i ndryshimit të tyre </w:t>
      </w:r>
    </w:p>
    <w:p w14:paraId="3B264850" w14:textId="653FA400" w:rsidR="003F1F17" w:rsidRPr="00B74733" w:rsidRDefault="00731E3B" w:rsidP="002C68BF">
      <w:pPr>
        <w:tabs>
          <w:tab w:val="left" w:pos="360"/>
        </w:tabs>
        <w:jc w:val="center"/>
        <w:rPr>
          <w:rFonts w:ascii="Times New Roman" w:eastAsia="Times New Roman" w:hAnsi="Times New Roman"/>
          <w:i/>
          <w:iCs/>
          <w:color w:val="000000" w:themeColor="text1"/>
          <w:sz w:val="22"/>
        </w:rPr>
      </w:pPr>
      <w:r w:rsidRPr="00B74733">
        <w:rPr>
          <w:noProof/>
          <w:color w:val="000000" w:themeColor="text1"/>
        </w:rPr>
        <w:drawing>
          <wp:inline distT="0" distB="0" distL="0" distR="0" wp14:anchorId="461D15CC" wp14:editId="2F6D9889">
            <wp:extent cx="6162040" cy="1733384"/>
            <wp:effectExtent l="0" t="0" r="10160" b="635"/>
            <wp:docPr id="181645745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B74733">
        <w:rPr>
          <w:rFonts w:ascii="Times New Roman" w:eastAsia="SimSun" w:hAnsi="Times New Roman"/>
          <w:b/>
          <w:bCs/>
          <w:i/>
          <w:color w:val="000000" w:themeColor="text1"/>
          <w:szCs w:val="18"/>
        </w:rPr>
        <w:t>Burimi:</w:t>
      </w:r>
      <w:r w:rsidRPr="00B74733">
        <w:rPr>
          <w:rFonts w:ascii="Times New Roman" w:eastAsia="SimSun" w:hAnsi="Times New Roman"/>
          <w:i/>
          <w:color w:val="000000" w:themeColor="text1"/>
          <w:szCs w:val="18"/>
        </w:rPr>
        <w:t xml:space="preserve"> Ministria e Financave </w:t>
      </w:r>
      <w:hyperlink r:id="rId11" w:history="1">
        <w:r w:rsidRPr="00C36029">
          <w:rPr>
            <w:rStyle w:val="Hyperlink"/>
            <w:rFonts w:ascii="Times New Roman" w:eastAsia="SimSun" w:hAnsi="Times New Roman"/>
            <w:i/>
            <w:color w:val="4F81BD" w:themeColor="accent1"/>
            <w:szCs w:val="18"/>
          </w:rPr>
          <w:t>https://financa.gov.al/treguesit-fiskale-sipas-buxhetit-te-konsoliduar/</w:t>
        </w:r>
      </w:hyperlink>
    </w:p>
    <w:p w14:paraId="4024548B" w14:textId="3D594B72" w:rsidR="003F1F17" w:rsidRPr="00B74733" w:rsidRDefault="003F1F17" w:rsidP="00244EF2">
      <w:pPr>
        <w:tabs>
          <w:tab w:val="left" w:pos="990"/>
        </w:tabs>
        <w:rPr>
          <w:rFonts w:ascii="Times New Roman" w:eastAsia="Times New Roman" w:hAnsi="Times New Roman"/>
          <w:color w:val="000000" w:themeColor="text1"/>
          <w:sz w:val="2"/>
          <w:szCs w:val="2"/>
        </w:rPr>
      </w:pPr>
    </w:p>
    <w:p w14:paraId="3C4D2A43" w14:textId="6B3B1FDA" w:rsidR="00B40466" w:rsidRPr="00A50A08" w:rsidRDefault="002C68BF" w:rsidP="002C68BF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pacing w:after="0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sq-AL"/>
        </w:rPr>
      </w:pPr>
      <w:r w:rsidRPr="00A50A0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sq-AL"/>
        </w:rPr>
        <w:t>T</w:t>
      </w:r>
      <w:r w:rsidR="00B40466" w:rsidRPr="00A50A0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sq-AL"/>
        </w:rPr>
        <w:t xml:space="preserve">aksa </w:t>
      </w:r>
      <w:r w:rsidRPr="00A50A0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sq-AL"/>
        </w:rPr>
        <w:t>mbi</w:t>
      </w:r>
      <w:r w:rsidR="00B40466" w:rsidRPr="00A50A0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sq-AL"/>
        </w:rPr>
        <w:t xml:space="preserve"> </w:t>
      </w:r>
      <w:r w:rsidR="008206B5" w:rsidRPr="00A50A0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sq-AL"/>
        </w:rPr>
        <w:t>p</w:t>
      </w:r>
      <w:r w:rsidR="00B40466" w:rsidRPr="00A50A0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sq-AL"/>
        </w:rPr>
        <w:t>asuri</w:t>
      </w:r>
      <w:r w:rsidRPr="00A50A0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sq-AL"/>
        </w:rPr>
        <w:t>n</w:t>
      </w:r>
      <w:r w:rsidR="00B40466" w:rsidRPr="00A50A0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sq-AL"/>
        </w:rPr>
        <w:t>ë</w:t>
      </w:r>
    </w:p>
    <w:p w14:paraId="7656A4E9" w14:textId="16D69D7A" w:rsidR="00DD77AE" w:rsidRPr="00B74733" w:rsidRDefault="00DE450C" w:rsidP="00244EF2">
      <w:pPr>
        <w:tabs>
          <w:tab w:val="left" w:pos="360"/>
        </w:tabs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B4046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Të ardhurat nga taksa mbi pasurinë përbëjnë një pjesë të konsiderueshme të të ardhurave të pushtetit vendor. Për </w:t>
      </w:r>
      <w:r w:rsidR="00BF7DEC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="00B428B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mujorin</w:t>
      </w:r>
      <w:r w:rsidR="00B4046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202</w:t>
      </w:r>
      <w:r w:rsidR="002C68B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="00B4046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="008C7D8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grupi i taksave mbi pasurinë ku përfshihet, </w:t>
      </w:r>
      <w:r w:rsidR="002C68B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taksa mbi </w:t>
      </w:r>
      <w:r w:rsidR="008C7D8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ndërtes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2C68B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n</w:t>
      </w:r>
      <w:r w:rsidR="008C7D8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="002C68B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taksa mbi </w:t>
      </w:r>
      <w:r w:rsidR="008C7D8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trualli</w:t>
      </w:r>
      <w:r w:rsidR="002C68B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n</w:t>
      </w:r>
      <w:r w:rsidR="008C7D8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="002C68B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taksa mbi </w:t>
      </w:r>
      <w:r w:rsidR="008C7D8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tok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2C68B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n</w:t>
      </w:r>
      <w:r w:rsidR="008C7D8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bujqësore dhe</w:t>
      </w:r>
      <w:r w:rsidR="002C68B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taksa mbi</w:t>
      </w:r>
      <w:r w:rsidR="008C7D8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transaksion</w:t>
      </w:r>
      <w:r w:rsidR="00DD77A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et </w:t>
      </w:r>
      <w:r w:rsidR="002C68B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e kryera me</w:t>
      </w:r>
      <w:r w:rsidR="008C7D8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pasuri</w:t>
      </w:r>
      <w:r w:rsidR="00DD77A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n</w:t>
      </w:r>
      <w:r w:rsidR="008C7D8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DD77A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="008C7D8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përb</w:t>
      </w:r>
      <w:r w:rsidR="004E4F79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8C7D8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 </w:t>
      </w:r>
      <w:r w:rsidR="002C68B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22.5</w:t>
      </w:r>
      <w:r w:rsidR="008C7D8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% të totalit të të ardhurave të veta tatimore të pushtetit vendor</w:t>
      </w:r>
      <w:r w:rsidR="00B4046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  <w:r w:rsidR="008C7D8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Në vlerë absolute, </w:t>
      </w:r>
      <w:r w:rsidR="00DD77A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ato janë mbledhur </w:t>
      </w:r>
      <w:r w:rsidR="004E4F79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në </w:t>
      </w:r>
      <w:r w:rsidR="00DD77A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rreth </w:t>
      </w:r>
      <w:r w:rsidR="00BF7DEC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6.</w:t>
      </w:r>
      <w:r w:rsidR="002C68B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="00DD77A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A4EB5">
        <w:rPr>
          <w:rFonts w:ascii="Times New Roman" w:eastAsia="Times New Roman" w:hAnsi="Times New Roman"/>
          <w:color w:val="000000" w:themeColor="text1"/>
          <w:sz w:val="24"/>
          <w:szCs w:val="24"/>
        </w:rPr>
        <w:t>miliard</w:t>
      </w:r>
      <w:r w:rsidR="00DD77A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lekë n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DD77A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BF7DEC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="00B428B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mujorin</w:t>
      </w:r>
      <w:r w:rsidR="00DD77A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202</w:t>
      </w:r>
      <w:r w:rsidR="002C68B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="00DD77A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shifër kjo që është rreth </w:t>
      </w:r>
      <w:r w:rsidR="002C68B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433 milion</w:t>
      </w:r>
      <w:r w:rsidR="00DD77A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lekë më e lartë 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ose me një rritje prej rreth </w:t>
      </w:r>
      <w:r w:rsidR="002C68B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7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% </w:t>
      </w:r>
      <w:r w:rsidR="00032E89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krahasuar me vlerën </w:t>
      </w:r>
      <w:r w:rsidR="00DD77A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e mbledhur gjatë të njëjtës periudhë të vitit 202</w:t>
      </w:r>
      <w:r w:rsidR="002C68B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4</w:t>
      </w:r>
      <w:r w:rsidR="00DD77A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</w:p>
    <w:p w14:paraId="57BA24B8" w14:textId="372EA990" w:rsidR="00DD77AE" w:rsidRPr="00032728" w:rsidRDefault="00DD77AE" w:rsidP="00244EF2">
      <w:pPr>
        <w:tabs>
          <w:tab w:val="left" w:pos="990"/>
        </w:tabs>
        <w:rPr>
          <w:rFonts w:ascii="Times New Roman" w:eastAsia="Times New Roman" w:hAnsi="Times New Roman"/>
          <w:i/>
          <w:iCs/>
          <w:color w:val="548DD4" w:themeColor="text2" w:themeTint="99"/>
          <w:sz w:val="22"/>
        </w:rPr>
      </w:pPr>
      <w:r w:rsidRPr="00032728">
        <w:rPr>
          <w:rFonts w:ascii="Times New Roman" w:eastAsia="Times New Roman" w:hAnsi="Times New Roman"/>
          <w:b/>
          <w:i/>
          <w:iCs/>
          <w:color w:val="548DD4" w:themeColor="text2" w:themeTint="99"/>
          <w:sz w:val="22"/>
        </w:rPr>
        <w:t xml:space="preserve">Grafiku 3: </w:t>
      </w:r>
      <w:r w:rsidRPr="00032728">
        <w:rPr>
          <w:rFonts w:ascii="Times New Roman" w:eastAsia="Times New Roman" w:hAnsi="Times New Roman"/>
          <w:i/>
          <w:iCs/>
          <w:color w:val="548DD4" w:themeColor="text2" w:themeTint="99"/>
          <w:sz w:val="22"/>
        </w:rPr>
        <w:t xml:space="preserve">Të ardhurat nga Taksa </w:t>
      </w:r>
      <w:r w:rsidR="002C68BF" w:rsidRPr="00032728">
        <w:rPr>
          <w:rFonts w:ascii="Times New Roman" w:eastAsia="Times New Roman" w:hAnsi="Times New Roman"/>
          <w:i/>
          <w:iCs/>
          <w:color w:val="548DD4" w:themeColor="text2" w:themeTint="99"/>
          <w:sz w:val="22"/>
        </w:rPr>
        <w:t>mbi</w:t>
      </w:r>
      <w:r w:rsidRPr="00032728">
        <w:rPr>
          <w:rFonts w:ascii="Times New Roman" w:eastAsia="Times New Roman" w:hAnsi="Times New Roman"/>
          <w:i/>
          <w:iCs/>
          <w:color w:val="548DD4" w:themeColor="text2" w:themeTint="99"/>
          <w:sz w:val="22"/>
        </w:rPr>
        <w:t xml:space="preserve"> pasuri</w:t>
      </w:r>
      <w:r w:rsidR="002C68BF" w:rsidRPr="00032728">
        <w:rPr>
          <w:rFonts w:ascii="Times New Roman" w:eastAsia="Times New Roman" w:hAnsi="Times New Roman"/>
          <w:i/>
          <w:iCs/>
          <w:color w:val="548DD4" w:themeColor="text2" w:themeTint="99"/>
          <w:sz w:val="22"/>
        </w:rPr>
        <w:t>n</w:t>
      </w:r>
      <w:r w:rsidR="00DE450C" w:rsidRPr="00032728">
        <w:rPr>
          <w:rFonts w:ascii="Times New Roman" w:eastAsia="Times New Roman" w:hAnsi="Times New Roman"/>
          <w:i/>
          <w:iCs/>
          <w:color w:val="548DD4" w:themeColor="text2" w:themeTint="99"/>
          <w:sz w:val="22"/>
        </w:rPr>
        <w:t>ë</w:t>
      </w:r>
      <w:r w:rsidRPr="00032728">
        <w:rPr>
          <w:rFonts w:ascii="Times New Roman" w:eastAsia="Times New Roman" w:hAnsi="Times New Roman"/>
          <w:i/>
          <w:iCs/>
          <w:color w:val="548DD4" w:themeColor="text2" w:themeTint="99"/>
          <w:sz w:val="22"/>
        </w:rPr>
        <w:t xml:space="preserve"> dhe ritmi i ndryshimit të tyre </w:t>
      </w:r>
    </w:p>
    <w:p w14:paraId="775B0DD3" w14:textId="5C49B19D" w:rsidR="00B40466" w:rsidRPr="00C36029" w:rsidRDefault="002C68BF" w:rsidP="002C68BF">
      <w:pPr>
        <w:tabs>
          <w:tab w:val="left" w:pos="990"/>
        </w:tabs>
        <w:jc w:val="center"/>
        <w:rPr>
          <w:rFonts w:ascii="Times New Roman" w:eastAsia="Times New Roman" w:hAnsi="Times New Roman"/>
          <w:i/>
          <w:iCs/>
          <w:color w:val="4F81BD" w:themeColor="accent1"/>
          <w:sz w:val="22"/>
        </w:rPr>
      </w:pPr>
      <w:r w:rsidRPr="00B74733">
        <w:rPr>
          <w:noProof/>
          <w:color w:val="000000" w:themeColor="text1"/>
        </w:rPr>
        <w:drawing>
          <wp:inline distT="0" distB="0" distL="0" distR="0" wp14:anchorId="26235A39" wp14:editId="35C24F82">
            <wp:extent cx="6138407" cy="1701165"/>
            <wp:effectExtent l="0" t="0" r="15240" b="13335"/>
            <wp:docPr id="211271534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B74733">
        <w:rPr>
          <w:rFonts w:ascii="Times New Roman" w:eastAsia="SimSun" w:hAnsi="Times New Roman"/>
          <w:b/>
          <w:bCs/>
          <w:i/>
          <w:color w:val="000000" w:themeColor="text1"/>
          <w:szCs w:val="18"/>
        </w:rPr>
        <w:t>Burimi:</w:t>
      </w:r>
      <w:r w:rsidRPr="00B74733">
        <w:rPr>
          <w:rFonts w:ascii="Times New Roman" w:eastAsia="SimSun" w:hAnsi="Times New Roman"/>
          <w:i/>
          <w:color w:val="000000" w:themeColor="text1"/>
          <w:szCs w:val="18"/>
        </w:rPr>
        <w:t xml:space="preserve"> Ministria e Financave </w:t>
      </w:r>
      <w:hyperlink r:id="rId13" w:history="1">
        <w:r w:rsidRPr="00C36029">
          <w:rPr>
            <w:rStyle w:val="Hyperlink"/>
            <w:rFonts w:ascii="Times New Roman" w:eastAsia="SimSun" w:hAnsi="Times New Roman"/>
            <w:i/>
            <w:color w:val="4F81BD" w:themeColor="accent1"/>
            <w:szCs w:val="18"/>
          </w:rPr>
          <w:t>https://financa.gov.al/treguesit-fiskale-sipas-buxhetit-te-konsoliduar/</w:t>
        </w:r>
      </w:hyperlink>
    </w:p>
    <w:p w14:paraId="50D3F88B" w14:textId="5040110C" w:rsidR="00B40466" w:rsidRPr="00A50A08" w:rsidRDefault="00B40466" w:rsidP="002C68BF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pacing w:after="0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sq-AL"/>
        </w:rPr>
      </w:pPr>
      <w:r w:rsidRPr="00A50A0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sq-AL"/>
        </w:rPr>
        <w:lastRenderedPageBreak/>
        <w:t>Taksa e biznesit të vogël</w:t>
      </w:r>
    </w:p>
    <w:p w14:paraId="643C38CB" w14:textId="44CBBD4B" w:rsidR="006C2CC7" w:rsidRPr="00B74733" w:rsidRDefault="00DE450C" w:rsidP="001D328E">
      <w:pPr>
        <w:tabs>
          <w:tab w:val="left" w:pos="360"/>
        </w:tabs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F28C1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Tatimi i thjeshtuar mbi fitimin e biznesit të vogël</w:t>
      </w:r>
      <w:r w:rsidR="00B4046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është bërë zero </w:t>
      </w:r>
      <w:r w:rsidR="001D328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me hyrjen n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1D328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fuqi t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1D328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B4046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ligji</w:t>
      </w:r>
      <w:r w:rsidR="001D328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 </w:t>
      </w:r>
      <w:r w:rsidR="00B4046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nr.112/2020 “Për disa ndryshime në ligjin nr. 9632, datë 30.10.2006, “Për sistemin e taksave vendore”, të ndryshuar”. </w:t>
      </w:r>
      <w:r w:rsidR="00DF28C1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Kjo lehtësi fiskale që u miratua nga buxheti qendror iu kompensua pushtetit vendor në rritjen e transfertave nga qeveria qendrore. </w:t>
      </w:r>
      <w:r w:rsidR="00B4046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Nga realizimi faktik gjatë </w:t>
      </w:r>
      <w:r w:rsidR="007D66C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="00B428B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mujorit</w:t>
      </w:r>
      <w:r w:rsidR="00DD77A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202</w:t>
      </w:r>
      <w:r w:rsidR="001D328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="00B4046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rezulton se nga ky zë janë mbledhur </w:t>
      </w:r>
      <w:r w:rsidR="00DD77A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rreth</w:t>
      </w:r>
      <w:r w:rsidR="00B4046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D328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21</w:t>
      </w:r>
      <w:r w:rsidR="00B4046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milion lekë, që zënë vetëm 0.</w:t>
      </w:r>
      <w:r w:rsidR="001D328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="00B4046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% të të ardhurave vendore, </w:t>
      </w:r>
      <w:r w:rsidR="001D328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shumë e cila përbëhet tërësisht nga detyrime të papaguara në kohë nga subjekte që rezultojnë debitorë. Pavarësisht ndryshimit ligjor q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1D328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e ka zeruar k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1D328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t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1D328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taks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1D328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, disa bashki vijojnë të realizojnë të ardhura nga ky zë, përmes mbledhjes së detyrimeve të prapambetura nga subjekte të cilat nuk kanë kryer pagesat brenda afatit të përcaktuar</w:t>
      </w:r>
    </w:p>
    <w:p w14:paraId="755BB51C" w14:textId="32A23305" w:rsidR="00A75758" w:rsidRPr="00A50A08" w:rsidRDefault="00A75758" w:rsidP="001D328E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pacing w:after="0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sq-AL"/>
        </w:rPr>
      </w:pPr>
      <w:r w:rsidRPr="00A50A0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sq-AL"/>
        </w:rPr>
        <w:t xml:space="preserve">Të ardhura të tjera jotatimore të </w:t>
      </w:r>
      <w:r w:rsidR="008206B5" w:rsidRPr="00A50A0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sq-AL"/>
        </w:rPr>
        <w:t>p</w:t>
      </w:r>
      <w:r w:rsidRPr="00A50A0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sq-AL"/>
        </w:rPr>
        <w:t xml:space="preserve">ushtetit </w:t>
      </w:r>
      <w:r w:rsidR="008206B5" w:rsidRPr="00A50A0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sq-AL"/>
        </w:rPr>
        <w:t>v</w:t>
      </w:r>
      <w:r w:rsidRPr="00A50A0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sq-AL"/>
        </w:rPr>
        <w:t>endor</w:t>
      </w:r>
    </w:p>
    <w:p w14:paraId="6162E750" w14:textId="2D14EAB7" w:rsidR="00A75758" w:rsidRPr="00B74733" w:rsidRDefault="00DE450C" w:rsidP="00244EF2">
      <w:pPr>
        <w:tabs>
          <w:tab w:val="left" w:pos="360"/>
        </w:tabs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F28C1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Nj</w:t>
      </w:r>
      <w:r w:rsidR="0008274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DF28C1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burim tjet</w:t>
      </w:r>
      <w:r w:rsidR="0008274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DF28C1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r i r</w:t>
      </w:r>
      <w:r w:rsidR="0008274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DF28C1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nd</w:t>
      </w:r>
      <w:r w:rsidR="0008274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DF28C1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sish</w:t>
      </w:r>
      <w:r w:rsidR="0008274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DF28C1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m i t</w:t>
      </w:r>
      <w:r w:rsidR="0008274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DF28C1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ardhurave t</w:t>
      </w:r>
      <w:r w:rsidR="0008274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DF28C1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veta vendore q</w:t>
      </w:r>
      <w:r w:rsidR="0008274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DF28C1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lidhet drejt</w:t>
      </w:r>
      <w:r w:rsidR="0008274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DF28C1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p</w:t>
      </w:r>
      <w:r w:rsidR="0008274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DF28C1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rdrejt</w:t>
      </w:r>
      <w:r w:rsidR="0008274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DF28C1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me aktivitetin e pushteti</w:t>
      </w:r>
      <w:r w:rsidR="00DD77A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t</w:t>
      </w:r>
      <w:r w:rsidR="00DF28C1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vendor</w:t>
      </w:r>
      <w:r w:rsidR="00DD77A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="00DF28C1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jan</w:t>
      </w:r>
      <w:r w:rsidR="0008274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DF28C1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t</w:t>
      </w:r>
      <w:r w:rsidR="0008274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DF28C1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ardhurat jotatimore. </w:t>
      </w:r>
      <w:r w:rsidR="00A757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Për </w:t>
      </w:r>
      <w:r w:rsidR="007D66C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="00B428B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mujorin</w:t>
      </w:r>
      <w:r w:rsidR="00DD77A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202</w:t>
      </w:r>
      <w:r w:rsidR="001D328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="00A757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njësitë e vetëqeverisjes vendore në shkallë kombëtare kanë mbledhur të ardhura jo tatimore në masën </w:t>
      </w:r>
      <w:r w:rsidR="00B6092B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mbi</w:t>
      </w:r>
      <w:r w:rsidR="00D769A3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D328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2.9</w:t>
      </w:r>
      <w:r w:rsidR="00DD77A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miliard lek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1D328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11CA7BF2" w14:textId="77777777" w:rsidR="00497766" w:rsidRPr="00B74733" w:rsidRDefault="00497766" w:rsidP="00244EF2">
      <w:pPr>
        <w:tabs>
          <w:tab w:val="left" w:pos="990"/>
        </w:tabs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14:paraId="2A50DF33" w14:textId="75F6A2A5" w:rsidR="006C2CC7" w:rsidRPr="00032728" w:rsidRDefault="006C2CC7" w:rsidP="00463358">
      <w:pPr>
        <w:tabs>
          <w:tab w:val="left" w:pos="360"/>
          <w:tab w:val="left" w:pos="990"/>
        </w:tabs>
        <w:spacing w:after="0"/>
        <w:jc w:val="left"/>
        <w:rPr>
          <w:rFonts w:ascii="Book Antiqua" w:hAnsi="Book Antiqua"/>
          <w:b/>
          <w:bCs/>
          <w:color w:val="548DD4" w:themeColor="text2" w:themeTint="99"/>
          <w:sz w:val="24"/>
          <w:szCs w:val="24"/>
        </w:rPr>
      </w:pPr>
      <w:r w:rsidRPr="00032728">
        <w:rPr>
          <w:rFonts w:ascii="Book Antiqua" w:hAnsi="Book Antiqua"/>
          <w:b/>
          <w:bCs/>
          <w:color w:val="548DD4" w:themeColor="text2" w:themeTint="99"/>
          <w:sz w:val="24"/>
          <w:szCs w:val="24"/>
        </w:rPr>
        <w:t xml:space="preserve">Shpenzimet e </w:t>
      </w:r>
      <w:r w:rsidR="008206B5" w:rsidRPr="00032728">
        <w:rPr>
          <w:rFonts w:ascii="Book Antiqua" w:hAnsi="Book Antiqua"/>
          <w:b/>
          <w:bCs/>
          <w:color w:val="548DD4" w:themeColor="text2" w:themeTint="99"/>
          <w:sz w:val="24"/>
          <w:szCs w:val="24"/>
        </w:rPr>
        <w:t>p</w:t>
      </w:r>
      <w:r w:rsidRPr="00032728">
        <w:rPr>
          <w:rFonts w:ascii="Book Antiqua" w:hAnsi="Book Antiqua"/>
          <w:b/>
          <w:bCs/>
          <w:color w:val="548DD4" w:themeColor="text2" w:themeTint="99"/>
          <w:sz w:val="24"/>
          <w:szCs w:val="24"/>
        </w:rPr>
        <w:t xml:space="preserve">ushtetit </w:t>
      </w:r>
      <w:r w:rsidR="008206B5" w:rsidRPr="00032728">
        <w:rPr>
          <w:rFonts w:ascii="Book Antiqua" w:hAnsi="Book Antiqua"/>
          <w:b/>
          <w:bCs/>
          <w:color w:val="548DD4" w:themeColor="text2" w:themeTint="99"/>
          <w:sz w:val="24"/>
          <w:szCs w:val="24"/>
        </w:rPr>
        <w:t>v</w:t>
      </w:r>
      <w:r w:rsidRPr="00032728">
        <w:rPr>
          <w:rFonts w:ascii="Book Antiqua" w:hAnsi="Book Antiqua"/>
          <w:b/>
          <w:bCs/>
          <w:color w:val="548DD4" w:themeColor="text2" w:themeTint="99"/>
          <w:sz w:val="24"/>
          <w:szCs w:val="24"/>
        </w:rPr>
        <w:t>endor</w:t>
      </w:r>
    </w:p>
    <w:p w14:paraId="0DB5C4BF" w14:textId="6277F7DA" w:rsidR="0076058D" w:rsidRPr="00B74733" w:rsidRDefault="00DE450C" w:rsidP="00244EF2">
      <w:pPr>
        <w:tabs>
          <w:tab w:val="left" w:pos="360"/>
        </w:tabs>
        <w:ind w:right="-43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1458CD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Shpenzimet e pushtetit vendor luajnë një rol thelbësor në përmirësimin e mirëqenies së qytetarëve dhe përfaqësojnë një tregues domethënës t</w:t>
      </w:r>
      <w:r w:rsidR="005D4E9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1458CD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zhvillimeve ekonomike në nivel lokal dhe kombëtar. Rritja e peshës së këtyre shpenzimeve, si në raport me shpenzimet e përgjithshme publike, ashtu edhe ndaj Produktit të Brendshëm Bruto (PBB), është pjesë e procesit të thellimit të decentralizimit fiskal dhe forcimit të autonomisë vendore. </w:t>
      </w:r>
    </w:p>
    <w:p w14:paraId="31C217B0" w14:textId="19A5FF4D" w:rsidR="001458CD" w:rsidRPr="00B74733" w:rsidRDefault="0076058D" w:rsidP="00244EF2">
      <w:pPr>
        <w:tabs>
          <w:tab w:val="left" w:pos="360"/>
        </w:tabs>
        <w:ind w:right="-43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1458CD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Gjatë viteve të fundit, shpenzimet e qeverisjes vendore janë karakterizuar nga një trend rritës dhe i qëndrueshëm. Ky zhvillim pasqyron një përmirësim të dukshëm në ofrimin e shërbimeve publike nga njësitë e vetëqeverisjes vendore, duke u mbështetur si në rritjen e të ardhurave të veta, ashtu edhe në financimin e ofruar nga qeveria qendrore përmes transfertave. Faktorët që kanë ndikuar në rritjen e shpenzimeve vendore përfshijnë, zgjerimin e kompetencave dhe funksioneve të deleguara, rritjen e sipërfaqes territoriale pas reformës administrativo-territoriale apo edhe shtimin e numrit të banorëve nën administrimin e secilës bashki. Këto zhvillime kanë ndikuar gjithashtu në rritjen e përgjegjshmërisë financiare, transparencës, konsultimit publik dhe llogaridhënies nga njësitë vendore për përdorimin e fondeve publike. Rritja e kapaciteteve administrative për mbulimin e shërbimeve publike ka fuqizuar dhe motivuar ndjeshëm njësitë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e</w:t>
      </w:r>
      <w:r w:rsidR="001458CD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vetëqeverisjes vendore për të rritur 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performanc</w:t>
      </w:r>
      <w:r w:rsidR="005D4E9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n n</w:t>
      </w:r>
      <w:r w:rsidR="005D4E9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arritjen e </w:t>
      </w:r>
      <w:r w:rsidR="001458CD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rezultate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ve</w:t>
      </w:r>
      <w:r w:rsidR="001458CD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Megjithatë ndryshimet thelbësore që 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 </w:t>
      </w:r>
      <w:r w:rsidR="001458CD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pëson pushteti vendor janë në proces konsolidimi të vazhdueshëm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67ACF8F4" w14:textId="34C79CE9" w:rsidR="00BD55BC" w:rsidRPr="00B74733" w:rsidRDefault="0076058D" w:rsidP="00244EF2">
      <w:pPr>
        <w:tabs>
          <w:tab w:val="left" w:pos="360"/>
        </w:tabs>
        <w:ind w:right="-43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931380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Shpenzimet e pushtetit vendor për vitin 202</w:t>
      </w:r>
      <w:r w:rsidR="001458CD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="00931380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458CD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jan</w:t>
      </w:r>
      <w:r w:rsidR="005D4E9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FC6A6D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planifikua</w:t>
      </w:r>
      <w:r w:rsidR="001458CD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r</w:t>
      </w:r>
      <w:r w:rsidR="00FC6A6D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</w:t>
      </w:r>
      <w:r w:rsidR="004E4F79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931380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458CD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mas</w:t>
      </w:r>
      <w:r w:rsidR="005D4E9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1458CD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 </w:t>
      </w:r>
      <w:r w:rsidR="00931380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rreth </w:t>
      </w:r>
      <w:r w:rsidR="001458CD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89.9</w:t>
      </w:r>
      <w:r w:rsidR="00931380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miliard lekë</w:t>
      </w:r>
      <w:r w:rsidR="001458CD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, nd</w:t>
      </w:r>
      <w:r w:rsidR="005D4E9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1458CD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rkoh</w:t>
      </w:r>
      <w:r w:rsidR="005D4E9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1458CD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q</w:t>
      </w:r>
      <w:r w:rsidR="005D4E9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1458CD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r</w:t>
      </w:r>
      <w:r w:rsidR="00BD55BC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eferuar të dhënave të treguesve fiskalë të pushtetit vendor për </w:t>
      </w:r>
      <w:r w:rsidR="007D66C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="000C473D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mujorin </w:t>
      </w:r>
      <w:r w:rsidR="00BD55BC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202</w:t>
      </w:r>
      <w:r w:rsidR="00875E10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="00BD55BC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, shpenzimet vendore janë realizuar në</w:t>
      </w:r>
      <w:r w:rsidR="00875E10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mas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875E10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 </w:t>
      </w:r>
      <w:r w:rsidR="00A50A0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rreth </w:t>
      </w:r>
      <w:r w:rsidR="00875E10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58.</w:t>
      </w:r>
      <w:r w:rsidR="00A50A08">
        <w:rPr>
          <w:rFonts w:ascii="Times New Roman" w:eastAsia="Times New Roman" w:hAnsi="Times New Roman"/>
          <w:color w:val="000000" w:themeColor="text1"/>
          <w:sz w:val="24"/>
          <w:szCs w:val="24"/>
        </w:rPr>
        <w:t>7</w:t>
      </w:r>
      <w:r w:rsidR="00875E10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miliard lek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875E10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nga </w:t>
      </w:r>
      <w:r w:rsidR="001458CD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rreth </w:t>
      </w:r>
      <w:r w:rsidR="007D66C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48.</w:t>
      </w:r>
      <w:r w:rsidR="0014236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8</w:t>
      </w:r>
      <w:r w:rsidR="007D66C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miliard lekë</w:t>
      </w:r>
      <w:r w:rsidR="00875E10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BD55BC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që kanë qenë në </w:t>
      </w:r>
      <w:r w:rsidR="007D66C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="000C473D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mujorin </w:t>
      </w:r>
      <w:r w:rsidR="00BD55BC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202</w:t>
      </w:r>
      <w:r w:rsidR="00875E10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4</w:t>
      </w:r>
      <w:r w:rsidR="00BD55BC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="000C473D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pra </w:t>
      </w:r>
      <w:r w:rsidR="00BD55BC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rreth </w:t>
      </w:r>
      <w:r w:rsidR="00875E10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9.8</w:t>
      </w:r>
      <w:r w:rsidR="007D66C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miliard lekë më shumë ose </w:t>
      </w:r>
      <w:r w:rsidR="00875E10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20</w:t>
      </w:r>
      <w:r w:rsidR="007D66C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% rritje </w:t>
      </w:r>
      <w:r w:rsidR="008A533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krahasuar me</w:t>
      </w:r>
      <w:r w:rsid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të njëjtën periudhë të</w:t>
      </w:r>
      <w:r w:rsidR="008A533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C473D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nj</w:t>
      </w:r>
      <w:r w:rsidR="00244EF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0C473D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vit</w:t>
      </w:r>
      <w:r w:rsid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r w:rsidR="000C473D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</w:t>
      </w:r>
      <w:r w:rsidR="00244EF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0C473D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par</w:t>
      </w:r>
      <w:r w:rsidR="00244EF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BD55BC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. Rritja e shpenzimeve të pushtetit vendor reflekton ecurinë mjaft pozitive si në drejtim të menaxhimit financiar ashtu edhe t</w:t>
      </w:r>
      <w:r w:rsidR="007D66C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BD55BC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efi</w:t>
      </w:r>
      <w:r w:rsidR="007D66C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ç</w:t>
      </w:r>
      <w:r w:rsidR="00BD55BC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encës së personelit në mbulimin e shërbimeve publike në nivel vendor.</w:t>
      </w:r>
    </w:p>
    <w:p w14:paraId="71D791B0" w14:textId="786E1ECC" w:rsidR="00BD55BC" w:rsidRPr="00B74733" w:rsidRDefault="00BD55BC" w:rsidP="00244EF2">
      <w:pPr>
        <w:tabs>
          <w:tab w:val="left" w:pos="360"/>
        </w:tabs>
        <w:ind w:right="-43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ab/>
        <w:t>Sipas grafikut të mëposhtëm, buxheti i pushteti</w:t>
      </w:r>
      <w:r w:rsidR="00AC24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t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vendor tashmë ka konsoliduar një trend të qëndrueshëm rritje</w:t>
      </w:r>
      <w:r w:rsidR="0097032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je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duke shmangur luhatjet e konsiderueshme nga viti në vit, efekt ky i cili vjen që prej vitit 201</w:t>
      </w:r>
      <w:r w:rsidR="001458CD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7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542F6AB5" w14:textId="72985206" w:rsidR="009030CB" w:rsidRPr="00032728" w:rsidRDefault="00497766" w:rsidP="00244EF2">
      <w:pPr>
        <w:tabs>
          <w:tab w:val="left" w:pos="990"/>
        </w:tabs>
        <w:spacing w:after="0"/>
        <w:ind w:right="-43"/>
        <w:rPr>
          <w:rFonts w:ascii="Times New Roman" w:eastAsia="Times New Roman" w:hAnsi="Times New Roman"/>
          <w:i/>
          <w:iCs/>
          <w:color w:val="548DD4" w:themeColor="text2" w:themeTint="99"/>
          <w:sz w:val="22"/>
          <w:szCs w:val="24"/>
        </w:rPr>
      </w:pPr>
      <w:r w:rsidRPr="00032728">
        <w:rPr>
          <w:rFonts w:ascii="Times New Roman" w:eastAsia="Times New Roman" w:hAnsi="Times New Roman"/>
          <w:b/>
          <w:i/>
          <w:iCs/>
          <w:color w:val="548DD4" w:themeColor="text2" w:themeTint="99"/>
          <w:sz w:val="22"/>
          <w:szCs w:val="24"/>
        </w:rPr>
        <w:t xml:space="preserve">Grafiku 4: </w:t>
      </w:r>
      <w:r w:rsidRPr="00032728">
        <w:rPr>
          <w:rFonts w:ascii="Times New Roman" w:eastAsia="Times New Roman" w:hAnsi="Times New Roman"/>
          <w:i/>
          <w:iCs/>
          <w:color w:val="548DD4" w:themeColor="text2" w:themeTint="99"/>
          <w:sz w:val="22"/>
          <w:szCs w:val="24"/>
        </w:rPr>
        <w:t>Shpenzimet për pushtetin vendor dhe ritmi i ndryshimit të tyre</w:t>
      </w:r>
      <w:r w:rsidR="00AA6F6F" w:rsidRPr="00032728">
        <w:rPr>
          <w:rFonts w:ascii="Times New Roman" w:eastAsia="Times New Roman" w:hAnsi="Times New Roman"/>
          <w:i/>
          <w:iCs/>
          <w:color w:val="548DD4" w:themeColor="text2" w:themeTint="99"/>
          <w:sz w:val="22"/>
          <w:szCs w:val="24"/>
        </w:rPr>
        <w:t xml:space="preserve"> n</w:t>
      </w:r>
      <w:r w:rsidR="005D4E92" w:rsidRPr="00032728">
        <w:rPr>
          <w:rFonts w:ascii="Times New Roman" w:eastAsia="Times New Roman" w:hAnsi="Times New Roman"/>
          <w:i/>
          <w:iCs/>
          <w:color w:val="548DD4" w:themeColor="text2" w:themeTint="99"/>
          <w:sz w:val="22"/>
          <w:szCs w:val="24"/>
        </w:rPr>
        <w:t>ë</w:t>
      </w:r>
      <w:r w:rsidR="00AA6F6F" w:rsidRPr="00032728">
        <w:rPr>
          <w:rFonts w:ascii="Times New Roman" w:eastAsia="Times New Roman" w:hAnsi="Times New Roman"/>
          <w:i/>
          <w:iCs/>
          <w:color w:val="548DD4" w:themeColor="text2" w:themeTint="99"/>
          <w:sz w:val="22"/>
          <w:szCs w:val="24"/>
        </w:rPr>
        <w:t xml:space="preserve"> vite</w:t>
      </w:r>
    </w:p>
    <w:p w14:paraId="047CBA6C" w14:textId="1F699C2E" w:rsidR="00AA6F6F" w:rsidRPr="00C36029" w:rsidRDefault="00AA6F6F" w:rsidP="00AA6F6F">
      <w:pPr>
        <w:tabs>
          <w:tab w:val="left" w:pos="990"/>
        </w:tabs>
        <w:spacing w:after="0"/>
        <w:ind w:right="-43"/>
        <w:jc w:val="center"/>
        <w:rPr>
          <w:rFonts w:ascii="Times New Roman" w:eastAsia="Times New Roman" w:hAnsi="Times New Roman"/>
          <w:color w:val="4F81BD" w:themeColor="accent1"/>
          <w:sz w:val="22"/>
          <w:szCs w:val="24"/>
        </w:rPr>
      </w:pPr>
      <w:r w:rsidRPr="00B74733">
        <w:rPr>
          <w:noProof/>
          <w:color w:val="000000" w:themeColor="text1"/>
        </w:rPr>
        <w:drawing>
          <wp:inline distT="0" distB="0" distL="0" distR="0" wp14:anchorId="61C5D7B3" wp14:editId="398D0A74">
            <wp:extent cx="6172200" cy="1836752"/>
            <wp:effectExtent l="0" t="0" r="0" b="11430"/>
            <wp:docPr id="62000521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B74733">
        <w:rPr>
          <w:rFonts w:ascii="Times New Roman" w:eastAsia="SimSun" w:hAnsi="Times New Roman"/>
          <w:b/>
          <w:bCs/>
          <w:i/>
          <w:color w:val="000000" w:themeColor="text1"/>
          <w:szCs w:val="18"/>
        </w:rPr>
        <w:t>Burimi:</w:t>
      </w:r>
      <w:r w:rsidRPr="00B74733">
        <w:rPr>
          <w:rFonts w:ascii="Times New Roman" w:eastAsia="SimSun" w:hAnsi="Times New Roman"/>
          <w:i/>
          <w:color w:val="000000" w:themeColor="text1"/>
          <w:szCs w:val="18"/>
        </w:rPr>
        <w:t xml:space="preserve"> Ministria e Financave </w:t>
      </w:r>
      <w:hyperlink r:id="rId15" w:history="1">
        <w:r w:rsidRPr="00C36029">
          <w:rPr>
            <w:rStyle w:val="Hyperlink"/>
            <w:rFonts w:ascii="Times New Roman" w:eastAsia="SimSun" w:hAnsi="Times New Roman"/>
            <w:i/>
            <w:color w:val="4F81BD" w:themeColor="accent1"/>
            <w:szCs w:val="18"/>
          </w:rPr>
          <w:t>https://financa.gov.al/treguesit-fiskale-sipas-buxhetit-te-konsoliduar/</w:t>
        </w:r>
      </w:hyperlink>
    </w:p>
    <w:p w14:paraId="08BBD746" w14:textId="3199501A" w:rsidR="001C1FEC" w:rsidRPr="00B74733" w:rsidRDefault="001C1FEC" w:rsidP="009030CB">
      <w:pPr>
        <w:tabs>
          <w:tab w:val="left" w:pos="990"/>
        </w:tabs>
        <w:spacing w:after="0"/>
        <w:ind w:right="-43"/>
        <w:jc w:val="center"/>
        <w:rPr>
          <w:noProof/>
          <w:color w:val="000000" w:themeColor="text1"/>
        </w:rPr>
      </w:pPr>
    </w:p>
    <w:p w14:paraId="0A65B438" w14:textId="51269741" w:rsidR="00931380" w:rsidRPr="00B74733" w:rsidRDefault="00E65AB2" w:rsidP="00244EF2">
      <w:pPr>
        <w:tabs>
          <w:tab w:val="left" w:pos="360"/>
        </w:tabs>
        <w:ind w:right="-43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97032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Sa i përket strukturës së shpenzimeve në </w:t>
      </w:r>
      <w:r w:rsidR="00290C70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="000C473D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mujorin </w:t>
      </w:r>
      <w:r w:rsidR="0097032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202</w:t>
      </w:r>
      <w:r w:rsidR="00875E10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="0097032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peshën më të madhe të zërave të shpenzimeve e zënë ato për personelin me rreth </w:t>
      </w:r>
      <w:r w:rsidR="007478ED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51</w:t>
      </w:r>
      <w:r w:rsidR="0097032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% të totalit të shpenzimeve, më pas vjen zëri i shpenzimeve operative me rreth </w:t>
      </w:r>
      <w:r w:rsidR="007478ED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24</w:t>
      </w:r>
      <w:r w:rsidR="0097032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%, dhe më pas shpenzimet për investime të cilat zënë </w:t>
      </w:r>
      <w:r w:rsidR="00C36029">
        <w:rPr>
          <w:rFonts w:ascii="Times New Roman" w:eastAsia="Times New Roman" w:hAnsi="Times New Roman"/>
          <w:color w:val="000000" w:themeColor="text1"/>
          <w:sz w:val="24"/>
          <w:szCs w:val="24"/>
        </w:rPr>
        <w:t>mbi 19</w:t>
      </w:r>
      <w:r w:rsidR="0097032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% të totalit të shpenzimeve të pushtetit vendor në </w:t>
      </w:r>
      <w:r w:rsidR="00AC24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="000C473D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mujorin </w:t>
      </w:r>
      <w:r w:rsidR="0097032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202</w:t>
      </w:r>
      <w:r w:rsidR="007478ED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5 si dhe subvencione 2% apo </w:t>
      </w:r>
      <w:r w:rsidR="00C3602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shpenzime </w:t>
      </w:r>
      <w:r w:rsidR="007478ED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t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7478ED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tjera </w:t>
      </w:r>
      <w:r w:rsidR="00C36029">
        <w:rPr>
          <w:rFonts w:ascii="Times New Roman" w:eastAsia="Times New Roman" w:hAnsi="Times New Roman"/>
          <w:color w:val="000000" w:themeColor="text1"/>
          <w:sz w:val="24"/>
          <w:szCs w:val="24"/>
        </w:rPr>
        <w:t>korente rreth 3.</w:t>
      </w:r>
      <w:r w:rsidR="00DA4EB5"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="007478ED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%.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31380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Për </w:t>
      </w:r>
      <w:r w:rsidR="000C473D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k</w:t>
      </w:r>
      <w:r w:rsidR="00244EF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0C473D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t</w:t>
      </w:r>
      <w:r w:rsidR="00244EF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0C473D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periudh</w:t>
      </w:r>
      <w:r w:rsidR="00244EF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931380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në tërësi, të gjithë zërat e buxhetit vendor kanë pësuar rritje në raport me </w:t>
      </w:r>
      <w:r w:rsidR="00AC24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="000C473D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mujorin </w:t>
      </w:r>
      <w:r w:rsidR="0097032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202</w:t>
      </w:r>
      <w:r w:rsidR="007478ED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4</w:t>
      </w:r>
      <w:r w:rsidR="00D10B2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, siç konstatohet edhe nga grafiku më poshtë</w:t>
      </w:r>
      <w:r w:rsidR="00AC24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14:paraId="10665E5E" w14:textId="209D29F9" w:rsidR="00931380" w:rsidRPr="00032728" w:rsidRDefault="00931380" w:rsidP="00244EF2">
      <w:pPr>
        <w:tabs>
          <w:tab w:val="left" w:pos="990"/>
        </w:tabs>
        <w:ind w:right="-43"/>
        <w:rPr>
          <w:rFonts w:ascii="Times New Roman" w:eastAsia="Times New Roman" w:hAnsi="Times New Roman"/>
          <w:i/>
          <w:iCs/>
          <w:color w:val="548DD4" w:themeColor="text2" w:themeTint="99"/>
          <w:sz w:val="22"/>
          <w:szCs w:val="24"/>
        </w:rPr>
      </w:pPr>
      <w:r w:rsidRPr="00032728">
        <w:rPr>
          <w:rFonts w:ascii="Times New Roman" w:eastAsia="Times New Roman" w:hAnsi="Times New Roman"/>
          <w:b/>
          <w:i/>
          <w:iCs/>
          <w:color w:val="548DD4" w:themeColor="text2" w:themeTint="99"/>
          <w:sz w:val="22"/>
          <w:szCs w:val="24"/>
        </w:rPr>
        <w:t xml:space="preserve">Grafiku </w:t>
      </w:r>
      <w:r w:rsidR="00D10B26" w:rsidRPr="00032728">
        <w:rPr>
          <w:rFonts w:ascii="Times New Roman" w:eastAsia="Times New Roman" w:hAnsi="Times New Roman"/>
          <w:b/>
          <w:i/>
          <w:iCs/>
          <w:color w:val="548DD4" w:themeColor="text2" w:themeTint="99"/>
          <w:sz w:val="22"/>
          <w:szCs w:val="24"/>
        </w:rPr>
        <w:t>5</w:t>
      </w:r>
      <w:r w:rsidRPr="00032728">
        <w:rPr>
          <w:rFonts w:ascii="Times New Roman" w:eastAsia="Times New Roman" w:hAnsi="Times New Roman"/>
          <w:b/>
          <w:i/>
          <w:iCs/>
          <w:color w:val="548DD4" w:themeColor="text2" w:themeTint="99"/>
          <w:sz w:val="22"/>
          <w:szCs w:val="24"/>
        </w:rPr>
        <w:t xml:space="preserve">: </w:t>
      </w:r>
      <w:r w:rsidRPr="00032728">
        <w:rPr>
          <w:rFonts w:ascii="Times New Roman" w:eastAsia="Times New Roman" w:hAnsi="Times New Roman"/>
          <w:i/>
          <w:iCs/>
          <w:color w:val="548DD4" w:themeColor="text2" w:themeTint="99"/>
          <w:sz w:val="22"/>
          <w:szCs w:val="24"/>
        </w:rPr>
        <w:t>Shpenzimet e pushtetit vendor sipas llogarive ekonomike</w:t>
      </w:r>
    </w:p>
    <w:p w14:paraId="14F151F5" w14:textId="63E75534" w:rsidR="00E65AB2" w:rsidRPr="00C36029" w:rsidRDefault="00DA4EB5" w:rsidP="00C36029">
      <w:pPr>
        <w:tabs>
          <w:tab w:val="left" w:pos="990"/>
        </w:tabs>
        <w:ind w:right="-43"/>
        <w:jc w:val="center"/>
        <w:rPr>
          <w:rFonts w:ascii="Times New Roman" w:eastAsia="Times New Roman" w:hAnsi="Times New Roman"/>
          <w:i/>
          <w:iCs/>
          <w:color w:val="000000" w:themeColor="text1"/>
          <w:sz w:val="22"/>
          <w:szCs w:val="24"/>
        </w:rPr>
      </w:pPr>
      <w:r>
        <w:rPr>
          <w:noProof/>
        </w:rPr>
        <w:drawing>
          <wp:inline distT="0" distB="0" distL="0" distR="0" wp14:anchorId="417EB9B9" wp14:editId="4EBC63E5">
            <wp:extent cx="6172200" cy="1638605"/>
            <wp:effectExtent l="0" t="0" r="0" b="0"/>
            <wp:docPr id="130075516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5CEB2F6-BF6E-4A7C-BA38-D4296859BB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E65AB2" w:rsidRPr="00B74733">
        <w:rPr>
          <w:rFonts w:ascii="Times New Roman" w:hAnsi="Times New Roman"/>
          <w:b/>
          <w:i/>
          <w:noProof/>
          <w:color w:val="000000" w:themeColor="text1"/>
          <w:szCs w:val="20"/>
          <w:lang w:eastAsia="sq-AL"/>
        </w:rPr>
        <w:t>Burimi:</w:t>
      </w:r>
      <w:r w:rsidR="00E65AB2" w:rsidRPr="00B74733">
        <w:rPr>
          <w:rFonts w:ascii="Times New Roman" w:hAnsi="Times New Roman"/>
          <w:i/>
          <w:noProof/>
          <w:color w:val="000000" w:themeColor="text1"/>
          <w:szCs w:val="20"/>
          <w:lang w:eastAsia="sq-AL"/>
        </w:rPr>
        <w:t xml:space="preserve"> Ministria e Financave, SIFQ, </w:t>
      </w:r>
      <w:hyperlink r:id="rId17" w:history="1">
        <w:r w:rsidR="00E65AB2" w:rsidRPr="00C36029">
          <w:rPr>
            <w:rStyle w:val="Hyperlink"/>
            <w:rFonts w:ascii="Times New Roman" w:hAnsi="Times New Roman"/>
            <w:i/>
            <w:color w:val="4F81BD" w:themeColor="accent1"/>
          </w:rPr>
          <w:t>https://financa.gov.al/realizimi-accrual_cash/</w:t>
        </w:r>
      </w:hyperlink>
    </w:p>
    <w:p w14:paraId="79F29FD5" w14:textId="5090391E" w:rsidR="0021123F" w:rsidRPr="00B74733" w:rsidRDefault="00B60FEE" w:rsidP="00CB0F28">
      <w:pPr>
        <w:tabs>
          <w:tab w:val="left" w:pos="360"/>
        </w:tabs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74733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ab/>
      </w:r>
      <w:r w:rsidR="00CB0F28" w:rsidRPr="00B74733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Shpenzimet e personelit</w:t>
      </w:r>
      <w:r w:rsidR="00D10B2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="00D10B26" w:rsidRPr="00B7473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="00D10B2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përbëjnë një pjesë të konsiderueshme të shpenzimeve totale të njësive të vetëqeverisjes vendore. Për </w:t>
      </w:r>
      <w:r w:rsidR="00BB54DA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="00B428B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A1F3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mujorin 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202</w:t>
      </w:r>
      <w:r w:rsidR="0043274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="00D10B2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këto shpenzime janë realizuar në masën </w:t>
      </w:r>
      <w:r w:rsidR="0043274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29.8</w:t>
      </w:r>
      <w:r w:rsidR="00D10B2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miliard lekë 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(respektivisht </w:t>
      </w:r>
      <w:r w:rsidR="0043274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25.6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miliard lekë paga dhe </w:t>
      </w:r>
      <w:r w:rsidR="00BB54DA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rreth </w:t>
      </w:r>
      <w:r w:rsidR="0043274E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4.2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miliard lekë sigurime shoq</w:t>
      </w:r>
      <w:r w:rsidR="00BF30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rore e sh</w:t>
      </w:r>
      <w:r w:rsidR="00BF30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ndet</w:t>
      </w:r>
      <w:r w:rsidR="00BF30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sore)</w:t>
      </w:r>
      <w:r w:rsidR="004D13AA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duke rezultuar me rritje prej </w:t>
      </w:r>
      <w:r w:rsidR="001A0F3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rreth </w:t>
      </w:r>
      <w:r w:rsidR="00AB00C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5.5</w:t>
      </w:r>
      <w:r w:rsidR="001A0F3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miliard lekë </w:t>
      </w:r>
      <w:r w:rsidR="00D10B2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më shumë </w:t>
      </w:r>
      <w:r w:rsidR="00285729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nga</w:t>
      </w:r>
      <w:r w:rsidR="00D10B2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e njëjta periudhë e vitit 202</w:t>
      </w:r>
      <w:r w:rsidR="00AB00C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4</w:t>
      </w:r>
      <w:r w:rsidR="00D10B2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  <w:r w:rsidR="004D13AA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Rritja e këtyre shpenzimeve</w:t>
      </w:r>
      <w:r w:rsidR="00CB0F2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nga viti n</w:t>
      </w:r>
      <w:r w:rsidR="005D4E9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CB0F2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vit reflekton politikave qeveritare për</w:t>
      </w:r>
      <w:r w:rsidR="004D13AA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rishikimit të nivelit të pagave në kuadër të përmirësimi</w:t>
      </w:r>
      <w:r w:rsidR="00CB0F2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t</w:t>
      </w:r>
      <w:r w:rsidR="004D13AA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B0F2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t</w:t>
      </w:r>
      <w:r w:rsidR="005D4E9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4D13AA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pagave në </w:t>
      </w:r>
      <w:r w:rsidR="00CB0F2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t</w:t>
      </w:r>
      <w:r w:rsidR="005D4E9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CB0F2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r</w:t>
      </w:r>
      <w:r w:rsidR="005D4E9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CB0F2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si</w:t>
      </w:r>
      <w:r w:rsidR="004D13AA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. Në buxhetin e vitit 202</w:t>
      </w:r>
      <w:r w:rsidR="00CB0F2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="004D13AA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rreth </w:t>
      </w:r>
      <w:r w:rsidR="00CB0F2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3</w:t>
      </w:r>
      <w:r w:rsidR="004D13AA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.5 miliard lekë u akorduan me ligj si transfertë e përgjithshme </w:t>
      </w:r>
      <w:r w:rsidR="0021123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nga buxheti qen</w:t>
      </w:r>
      <w:r w:rsidR="00BF30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d</w:t>
      </w:r>
      <w:r w:rsidR="0021123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ror n</w:t>
      </w:r>
      <w:r w:rsidR="00BF30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21123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buxhetin vendor, </w:t>
      </w:r>
      <w:r w:rsidR="004D13AA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drejtpërdrejt për mbulimin e rritjes së pagave, politikë që u nis në vitin 2023</w:t>
      </w:r>
      <w:r w:rsidR="00CB0F2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dhe ka vazhduar edhe n</w:t>
      </w:r>
      <w:r w:rsidR="005D4E9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CB0F2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vitin 2024</w:t>
      </w:r>
      <w:r w:rsidR="004D13AA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me ndryshimin</w:t>
      </w:r>
      <w:r w:rsidR="00C36029">
        <w:rPr>
          <w:rFonts w:ascii="Times New Roman" w:eastAsia="Times New Roman" w:hAnsi="Times New Roman"/>
          <w:color w:val="000000" w:themeColor="text1"/>
          <w:sz w:val="24"/>
          <w:szCs w:val="24"/>
        </w:rPr>
        <w:t>/rishikimin</w:t>
      </w:r>
      <w:r w:rsidR="004D13AA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e pagës minimale</w:t>
      </w:r>
      <w:r w:rsidR="00BF30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</w:p>
    <w:p w14:paraId="480B4BF2" w14:textId="7A9F3B95" w:rsidR="0021123F" w:rsidRPr="00B74733" w:rsidRDefault="001A0F36" w:rsidP="00244EF2">
      <w:pPr>
        <w:ind w:firstLine="36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74733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lastRenderedPageBreak/>
        <w:t xml:space="preserve">Shpenzimet </w:t>
      </w:r>
      <w:r w:rsidR="00CB0F28" w:rsidRPr="00B74733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>o</w:t>
      </w:r>
      <w:r w:rsidRPr="00B74733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 xml:space="preserve">perative 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dhe të mirëmbajtjes, të cilat janë shumë të rëndësishme për mbarëvajtjen dhe ushtrimin e funksioneve, rezultojnë me rritje</w:t>
      </w:r>
      <w:r w:rsidR="0021123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prej </w:t>
      </w:r>
      <w:r w:rsidR="00ED2043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4</w:t>
      </w:r>
      <w:r w:rsidR="0021123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% 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në </w:t>
      </w:r>
      <w:r w:rsidR="005C47A3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="00244EF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mujorin</w:t>
      </w:r>
      <w:r w:rsidR="0021123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202</w:t>
      </w:r>
      <w:r w:rsidR="00ED2043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="0021123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në krahasim më të njëjtën periudhë të një viti më parë. Shpenzimet operative përbëjnë </w:t>
      </w:r>
      <w:r w:rsidR="00CB0F2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mbi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F2731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24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% të totalit të shpenzimeve të periudh</w:t>
      </w:r>
      <w:r w:rsidR="00B6092B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s. Në vlerë absolute në </w:t>
      </w:r>
      <w:r w:rsidR="005C47A3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="007A1F3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mujorin </w:t>
      </w:r>
      <w:r w:rsidR="0021123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202</w:t>
      </w:r>
      <w:r w:rsidR="003F2731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="0021123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janë shpenzuar </w:t>
      </w:r>
      <w:r w:rsidR="003F2731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rreth 14.1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miliard lekë ose rreth </w:t>
      </w:r>
      <w:r w:rsidR="00C36029">
        <w:rPr>
          <w:rFonts w:ascii="Times New Roman" w:eastAsia="Times New Roman" w:hAnsi="Times New Roman"/>
          <w:color w:val="000000" w:themeColor="text1"/>
          <w:sz w:val="24"/>
          <w:szCs w:val="24"/>
        </w:rPr>
        <w:t>582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F2731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mili</w:t>
      </w:r>
      <w:r w:rsidR="00C36029">
        <w:rPr>
          <w:rFonts w:ascii="Times New Roman" w:eastAsia="Times New Roman" w:hAnsi="Times New Roman"/>
          <w:color w:val="000000" w:themeColor="text1"/>
          <w:sz w:val="24"/>
          <w:szCs w:val="24"/>
        </w:rPr>
        <w:t>on</w:t>
      </w:r>
      <w:r w:rsidR="003F2731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lekë më shumë se në të njëjtën periudhë të një viti më parë. Duke marrë në analizë edhe vitet e kaluara</w:t>
      </w:r>
      <w:r w:rsidR="0021123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vihet re tendenca e rritjes</w:t>
      </w:r>
      <w:r w:rsidR="007A1F3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s</w:t>
      </w:r>
      <w:r w:rsidR="00244EF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A1F3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shpenzimeve operative 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nga viti në vit</w:t>
      </w:r>
      <w:r w:rsidR="007A1F3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si rrjedhojë e konsolidimit të NJVQV-ve në ushtrimin e funksioneve, por edhe të rritjes së nivelit të shpenzimeve të mirëmbajtjes së vazhdueshme që shoqërojnë investimet tashmë të realizuara.</w:t>
      </w:r>
    </w:p>
    <w:p w14:paraId="004702C6" w14:textId="5D561536" w:rsidR="0021123F" w:rsidRPr="00B74733" w:rsidRDefault="001A0F36" w:rsidP="00244EF2">
      <w:pPr>
        <w:ind w:firstLine="36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74733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 xml:space="preserve">Shpenzimet për subvencione dhe </w:t>
      </w:r>
      <w:r w:rsidR="00CB0F28" w:rsidRPr="00B74733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 xml:space="preserve">shpenzime </w:t>
      </w:r>
      <w:r w:rsidRPr="00B74733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>të tjera</w:t>
      </w:r>
      <w:r w:rsidR="00CB0F28" w:rsidRPr="00B74733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 xml:space="preserve"> korente</w:t>
      </w:r>
      <w:r w:rsidRPr="00B74733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>,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janë shpenzimet që përdorin njësitë e vetëqeverisjes vendore për të paguar interesat, për të subvencionuar politikat e ndryshme vendore dhe mbuluar funksione të tjera administrative</w:t>
      </w:r>
      <w:r w:rsidR="00285729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. S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hpenzimet për subvencione në </w:t>
      </w:r>
      <w:r w:rsidR="005C47A3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="007A1F3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mujorin </w:t>
      </w:r>
      <w:r w:rsidR="0021123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202</w:t>
      </w:r>
      <w:r w:rsidR="004E50CA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="0021123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jan</w:t>
      </w:r>
      <w:r w:rsidR="00BF30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21123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realizuar n</w:t>
      </w:r>
      <w:r w:rsidR="00BF30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21123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mas</w:t>
      </w:r>
      <w:r w:rsidR="00BF30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21123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 </w:t>
      </w:r>
      <w:r w:rsidR="00DA4EB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mbi </w:t>
      </w:r>
      <w:r w:rsidR="004E50CA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1.1</w:t>
      </w:r>
      <w:r w:rsidR="0021123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</w:t>
      </w:r>
      <w:r w:rsidR="004E50CA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liard </w:t>
      </w:r>
      <w:r w:rsidR="0021123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lek</w:t>
      </w:r>
      <w:r w:rsidR="00BF30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21123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dhe 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kanë rritje me </w:t>
      </w:r>
      <w:r w:rsidR="00C36029">
        <w:rPr>
          <w:rFonts w:ascii="Times New Roman" w:eastAsia="Times New Roman" w:hAnsi="Times New Roman"/>
          <w:color w:val="000000" w:themeColor="text1"/>
          <w:sz w:val="24"/>
          <w:szCs w:val="24"/>
        </w:rPr>
        <w:t>rreth 800</w:t>
      </w:r>
      <w:r w:rsidR="0021123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milion lekë </w:t>
      </w:r>
      <w:r w:rsidR="005C47A3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ose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C25F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dy her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CC25F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CC25F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shum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CC25F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1123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se </w:t>
      </w:r>
      <w:r w:rsidR="005C47A3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="007A1F3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mujori </w:t>
      </w:r>
      <w:r w:rsidR="004E50CA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2024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, ndërsa shpenzimet e tjera</w:t>
      </w:r>
      <w:r w:rsidR="0021123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korente jan</w:t>
      </w:r>
      <w:r w:rsidR="00BF30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21123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realizuar n</w:t>
      </w:r>
      <w:r w:rsidR="00BF30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21123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mas</w:t>
      </w:r>
      <w:r w:rsidR="00BF30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21123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 mbi </w:t>
      </w:r>
      <w:r w:rsidR="000D611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21123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miliard lek</w:t>
      </w:r>
      <w:r w:rsidR="00BF30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21123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D611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duke reflektuar nj</w:t>
      </w:r>
      <w:r w:rsidR="005D4E9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0D611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rritje prej rreth </w:t>
      </w:r>
      <w:r w:rsidR="00DA4EB5">
        <w:rPr>
          <w:rFonts w:ascii="Times New Roman" w:eastAsia="Times New Roman" w:hAnsi="Times New Roman"/>
          <w:color w:val="000000" w:themeColor="text1"/>
          <w:sz w:val="24"/>
          <w:szCs w:val="24"/>
        </w:rPr>
        <w:t>199</w:t>
      </w:r>
      <w:r w:rsidR="000D611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milion lek</w:t>
      </w:r>
      <w:r w:rsidR="005D4E9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CC25F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1123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në krahasim më të njëjtën periudhë të një viti më parë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. K</w:t>
      </w:r>
      <w:r w:rsidR="00462120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11402C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to shpenzime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reflekto</w:t>
      </w:r>
      <w:r w:rsidR="0011402C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jn</w:t>
      </w:r>
      <w:r w:rsidR="00462120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11402C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kontributin e financimit nga vetë njësitë e vetëqeverisjes vendore nëpërmjet transfertave në buxhetet familjare apo individët, të ndihmës ekonomike, bursave etj, ndaj qytetarëve në nevojë.</w:t>
      </w:r>
    </w:p>
    <w:p w14:paraId="12953D40" w14:textId="11746333" w:rsidR="00BF3058" w:rsidRPr="00B74733" w:rsidRDefault="001A0F36" w:rsidP="00244EF2">
      <w:pPr>
        <w:ind w:firstLine="36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74733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>Shpenzimet Kapitale,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janë një zë mjaft i rëndësishëm jo vetëm për faktin që përbëjnë një pjesë të rëndësishme të buxhetit vendor me rreth </w:t>
      </w:r>
      <w:r w:rsidR="000D611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19.</w:t>
      </w:r>
      <w:r w:rsidR="00DA4EB5"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% të totalit të shpenzimeve</w:t>
      </w:r>
      <w:r w:rsidR="00AB736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faktike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për periudh</w:t>
      </w:r>
      <w:r w:rsidR="00B6092B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n, por edhe për shkak se këto shpenzime </w:t>
      </w:r>
      <w:r w:rsidR="0021123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kan</w:t>
      </w:r>
      <w:r w:rsidR="00BF30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21123F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ndikim</w:t>
      </w:r>
      <w:r w:rsidR="00BF30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t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 drejtpërdrejt</w:t>
      </w:r>
      <w:r w:rsidR="00BF30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ë 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në rritjen ekonomike dhe përmirësimin e cilësisë së jetesës së qytetarëve. </w:t>
      </w:r>
      <w:r w:rsidR="000B4F83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Deri n</w:t>
      </w:r>
      <w:r w:rsidR="00F72C65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0B4F83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fund t</w:t>
      </w:r>
      <w:r w:rsidR="00F72C65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0B4F83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1402C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="007A1F3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mujorit </w:t>
      </w:r>
      <w:r w:rsidR="00BF30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202</w:t>
      </w:r>
      <w:r w:rsidR="00974087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="00BF30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vëmë re që shpenzimet për investime janë realizuar në masën </w:t>
      </w:r>
      <w:r w:rsidR="00974087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="000D611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1.4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miliard lekë</w:t>
      </w:r>
      <w:r w:rsidR="00974087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nga 8.7 miliard lek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974087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974087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t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974087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nj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974087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jt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974087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n periudh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974087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t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974087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974087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viti m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974087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par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974087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, pra nj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974087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rritje me rreth </w:t>
      </w:r>
      <w:r w:rsidR="000D611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2.</w:t>
      </w:r>
      <w:r w:rsidR="00DA4EB5">
        <w:rPr>
          <w:rFonts w:ascii="Times New Roman" w:eastAsia="Times New Roman" w:hAnsi="Times New Roman"/>
          <w:color w:val="000000" w:themeColor="text1"/>
          <w:sz w:val="24"/>
          <w:szCs w:val="24"/>
        </w:rPr>
        <w:t>7</w:t>
      </w:r>
      <w:r w:rsidR="00974087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miliard lek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974087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974087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shum</w:t>
      </w:r>
      <w:r w:rsidR="004633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ë</w:t>
      </w:r>
      <w:r w:rsidR="000D611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ose 3</w:t>
      </w:r>
      <w:r w:rsidR="00DA4EB5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="000D6116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%</w:t>
      </w:r>
      <w:r w:rsidR="00244EF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136C2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P</w:t>
      </w:r>
      <w:r w:rsidR="00BF30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ritshmëria e ecurisë së realizimit për shpenzimet kapitale mbetet pozitive deri në fund të vitit. </w:t>
      </w:r>
    </w:p>
    <w:p w14:paraId="7225916E" w14:textId="156A17B8" w:rsidR="00931380" w:rsidRPr="00B74733" w:rsidRDefault="00931380" w:rsidP="00244EF2">
      <w:pPr>
        <w:ind w:firstLine="36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Më poshtë paraqitet në mënyrë të përmbledhur tabela e të ardhurave</w:t>
      </w:r>
      <w:r w:rsidR="00BF30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tatimore vendore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dhe shpenzimeve në financat publike vendore gjatë </w:t>
      </w:r>
      <w:r w:rsidR="0011402C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mujorit të vitit 202</w:t>
      </w:r>
      <w:r w:rsidR="00974087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dhe </w:t>
      </w:r>
      <w:r w:rsidR="0011402C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mujorit të vitit 202</w:t>
      </w:r>
      <w:r w:rsidR="00974087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>4</w:t>
      </w:r>
      <w:r w:rsidR="00BF3058" w:rsidRPr="00B747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dhe ndryshimet e tyre në vlerë dhe në përqindje.</w:t>
      </w:r>
    </w:p>
    <w:p w14:paraId="26492173" w14:textId="77777777" w:rsidR="00931380" w:rsidRPr="00032728" w:rsidRDefault="00931380" w:rsidP="00244EF2">
      <w:pPr>
        <w:rPr>
          <w:rFonts w:ascii="Times New Roman" w:eastAsia="Times New Roman" w:hAnsi="Times New Roman"/>
          <w:i/>
          <w:iCs/>
          <w:color w:val="548DD4" w:themeColor="text2" w:themeTint="99"/>
          <w:sz w:val="22"/>
        </w:rPr>
      </w:pPr>
      <w:r w:rsidRPr="00032728">
        <w:rPr>
          <w:rFonts w:ascii="Times New Roman" w:eastAsia="Times New Roman" w:hAnsi="Times New Roman"/>
          <w:b/>
          <w:i/>
          <w:iCs/>
          <w:color w:val="548DD4" w:themeColor="text2" w:themeTint="99"/>
          <w:sz w:val="22"/>
        </w:rPr>
        <w:t>Tabela 1:</w:t>
      </w:r>
      <w:r w:rsidRPr="00032728">
        <w:rPr>
          <w:rFonts w:ascii="Times New Roman" w:eastAsia="Times New Roman" w:hAnsi="Times New Roman"/>
          <w:i/>
          <w:iCs/>
          <w:color w:val="548DD4" w:themeColor="text2" w:themeTint="99"/>
          <w:sz w:val="22"/>
        </w:rPr>
        <w:t xml:space="preserve"> Të ardhurat dhe shpenzimet faktike të pushtetit vendor sipas natyrës (në milion lekë)</w:t>
      </w:r>
    </w:p>
    <w:tbl>
      <w:tblPr>
        <w:tblW w:w="8977" w:type="dxa"/>
        <w:jc w:val="center"/>
        <w:tblLook w:val="04A0" w:firstRow="1" w:lastRow="0" w:firstColumn="1" w:lastColumn="0" w:noHBand="0" w:noVBand="1"/>
      </w:tblPr>
      <w:tblGrid>
        <w:gridCol w:w="501"/>
        <w:gridCol w:w="3706"/>
        <w:gridCol w:w="1080"/>
        <w:gridCol w:w="1260"/>
        <w:gridCol w:w="1260"/>
        <w:gridCol w:w="1170"/>
      </w:tblGrid>
      <w:tr w:rsidR="00B74733" w:rsidRPr="00B74733" w14:paraId="3A678A29" w14:textId="77777777" w:rsidTr="000D6116">
        <w:trPr>
          <w:trHeight w:hRule="exact" w:val="259"/>
          <w:jc w:val="center"/>
        </w:trPr>
        <w:tc>
          <w:tcPr>
            <w:tcW w:w="501" w:type="dxa"/>
            <w:vMerge w:val="restart"/>
            <w:tcBorders>
              <w:top w:val="double" w:sz="6" w:space="0" w:color="auto"/>
              <w:left w:val="double" w:sz="6" w:space="0" w:color="auto"/>
              <w:bottom w:val="dotted" w:sz="4" w:space="0" w:color="000000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14:paraId="61F70090" w14:textId="77777777" w:rsidR="000D6116" w:rsidRPr="00B74733" w:rsidRDefault="000D6116" w:rsidP="00EA2488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Cs w:val="20"/>
              </w:rPr>
            </w:pPr>
            <w:r w:rsidRPr="00B74733">
              <w:rPr>
                <w:rFonts w:ascii="Times New Roman" w:eastAsia="Times New Roman" w:hAnsi="Times New Roman"/>
                <w:b/>
                <w:bCs/>
                <w:color w:val="000000" w:themeColor="text1"/>
                <w:szCs w:val="20"/>
              </w:rPr>
              <w:t>Nr</w:t>
            </w:r>
          </w:p>
        </w:tc>
        <w:tc>
          <w:tcPr>
            <w:tcW w:w="3706" w:type="dxa"/>
            <w:vMerge w:val="restart"/>
            <w:tcBorders>
              <w:top w:val="double" w:sz="6" w:space="0" w:color="auto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14:paraId="5BDD6E13" w14:textId="77777777" w:rsidR="000D6116" w:rsidRPr="00B74733" w:rsidRDefault="000D6116" w:rsidP="00EA2488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Cs w:val="20"/>
              </w:rPr>
            </w:pPr>
            <w:r w:rsidRPr="00B74733">
              <w:rPr>
                <w:rFonts w:ascii="Times New Roman" w:eastAsia="Times New Roman" w:hAnsi="Times New Roman"/>
                <w:b/>
                <w:bCs/>
                <w:color w:val="000000" w:themeColor="text1"/>
                <w:szCs w:val="20"/>
              </w:rPr>
              <w:t>E  M  Ë  R  T  I  M  I</w:t>
            </w:r>
          </w:p>
        </w:tc>
        <w:tc>
          <w:tcPr>
            <w:tcW w:w="2340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000000" w:fill="C6D9F1"/>
            <w:noWrap/>
            <w:vAlign w:val="center"/>
            <w:hideMark/>
          </w:tcPr>
          <w:p w14:paraId="58D4BFF8" w14:textId="77777777" w:rsidR="000D6116" w:rsidRPr="00B74733" w:rsidRDefault="000D6116" w:rsidP="00EA2488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Cs w:val="20"/>
              </w:rPr>
            </w:pPr>
            <w:r w:rsidRPr="00B74733">
              <w:rPr>
                <w:rFonts w:ascii="Times New Roman" w:eastAsia="Times New Roman" w:hAnsi="Times New Roman"/>
                <w:b/>
                <w:bCs/>
                <w:color w:val="000000" w:themeColor="text1"/>
                <w:szCs w:val="20"/>
              </w:rPr>
              <w:t>Realizimi faktik</w:t>
            </w:r>
          </w:p>
        </w:tc>
        <w:tc>
          <w:tcPr>
            <w:tcW w:w="2430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74D56A9A" w14:textId="7037FDDE" w:rsidR="000D6116" w:rsidRPr="00B74733" w:rsidRDefault="000D6116" w:rsidP="00EA2488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Cs w:val="20"/>
              </w:rPr>
            </w:pPr>
            <w:r w:rsidRPr="00B74733">
              <w:rPr>
                <w:rFonts w:ascii="Times New Roman" w:eastAsia="Times New Roman" w:hAnsi="Times New Roman"/>
                <w:b/>
                <w:bCs/>
                <w:color w:val="000000" w:themeColor="text1"/>
                <w:szCs w:val="20"/>
              </w:rPr>
              <w:t>Diferenca</w:t>
            </w:r>
          </w:p>
        </w:tc>
      </w:tr>
      <w:tr w:rsidR="00B74733" w:rsidRPr="00B74733" w14:paraId="560DE521" w14:textId="77777777" w:rsidTr="000D6116">
        <w:trPr>
          <w:trHeight w:hRule="exact" w:val="259"/>
          <w:jc w:val="center"/>
        </w:trPr>
        <w:tc>
          <w:tcPr>
            <w:tcW w:w="501" w:type="dxa"/>
            <w:vMerge/>
            <w:tcBorders>
              <w:top w:val="double" w:sz="6" w:space="0" w:color="auto"/>
              <w:left w:val="double" w:sz="6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312C163F" w14:textId="77777777" w:rsidR="000D6116" w:rsidRPr="00B74733" w:rsidRDefault="000D6116" w:rsidP="00EA2488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3706" w:type="dxa"/>
            <w:vMerge/>
            <w:tcBorders>
              <w:top w:val="double" w:sz="6" w:space="0" w:color="auto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035E3014" w14:textId="77777777" w:rsidR="000D6116" w:rsidRPr="00B74733" w:rsidRDefault="000D6116" w:rsidP="00EA2488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14:paraId="4F6723CA" w14:textId="77777777" w:rsidR="000D6116" w:rsidRPr="00B74733" w:rsidRDefault="000D6116" w:rsidP="00EA2488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Cs w:val="20"/>
              </w:rPr>
            </w:pPr>
            <w:r w:rsidRPr="00B74733">
              <w:rPr>
                <w:rFonts w:ascii="Times New Roman" w:eastAsia="Times New Roman" w:hAnsi="Times New Roman"/>
                <w:b/>
                <w:bCs/>
                <w:color w:val="000000" w:themeColor="text1"/>
                <w:szCs w:val="20"/>
              </w:rPr>
              <w:t>9 mujori 2025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14:paraId="42D4E2E3" w14:textId="77777777" w:rsidR="000D6116" w:rsidRPr="00B74733" w:rsidRDefault="000D6116" w:rsidP="00EA2488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Cs w:val="20"/>
              </w:rPr>
            </w:pPr>
            <w:r w:rsidRPr="00B74733">
              <w:rPr>
                <w:rFonts w:ascii="Times New Roman" w:eastAsia="Times New Roman" w:hAnsi="Times New Roman"/>
                <w:b/>
                <w:bCs/>
                <w:color w:val="000000" w:themeColor="text1"/>
                <w:szCs w:val="20"/>
              </w:rPr>
              <w:t>9 mujori 2024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7C10E485" w14:textId="143A7A4F" w:rsidR="000D6116" w:rsidRPr="00B74733" w:rsidRDefault="000D6116" w:rsidP="00EA2488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747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  <w:t>2025 -2024 në vlerë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double" w:sz="6" w:space="0" w:color="auto"/>
            </w:tcBorders>
            <w:shd w:val="clear" w:color="000000" w:fill="C6D9F1"/>
            <w:vAlign w:val="center"/>
            <w:hideMark/>
          </w:tcPr>
          <w:p w14:paraId="2F1BBC27" w14:textId="6A1B1A45" w:rsidR="000D6116" w:rsidRPr="00B74733" w:rsidRDefault="000D6116" w:rsidP="00EA2488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B7473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  <w:t>2025 / 2024 në %</w:t>
            </w:r>
          </w:p>
        </w:tc>
      </w:tr>
      <w:tr w:rsidR="00B74733" w:rsidRPr="00B74733" w14:paraId="17CD3174" w14:textId="77777777" w:rsidTr="000D6116">
        <w:trPr>
          <w:trHeight w:hRule="exact" w:val="259"/>
          <w:jc w:val="center"/>
        </w:trPr>
        <w:tc>
          <w:tcPr>
            <w:tcW w:w="501" w:type="dxa"/>
            <w:vMerge/>
            <w:tcBorders>
              <w:top w:val="double" w:sz="6" w:space="0" w:color="auto"/>
              <w:left w:val="double" w:sz="6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6E1C0F55" w14:textId="77777777" w:rsidR="000D6116" w:rsidRPr="00B74733" w:rsidRDefault="000D6116" w:rsidP="00EA2488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3706" w:type="dxa"/>
            <w:vMerge/>
            <w:tcBorders>
              <w:top w:val="double" w:sz="6" w:space="0" w:color="auto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458522BE" w14:textId="77777777" w:rsidR="000D6116" w:rsidRPr="00B74733" w:rsidRDefault="000D6116" w:rsidP="00EA2488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1F92BE66" w14:textId="77777777" w:rsidR="000D6116" w:rsidRPr="00B74733" w:rsidRDefault="000D6116" w:rsidP="00EA2488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5B9F0DB2" w14:textId="77777777" w:rsidR="000D6116" w:rsidRPr="00B74733" w:rsidRDefault="000D6116" w:rsidP="00EA2488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7FDD39CE" w14:textId="77777777" w:rsidR="000D6116" w:rsidRPr="00B74733" w:rsidRDefault="000D6116" w:rsidP="00EA2488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double" w:sz="6" w:space="0" w:color="auto"/>
            </w:tcBorders>
            <w:vAlign w:val="center"/>
            <w:hideMark/>
          </w:tcPr>
          <w:p w14:paraId="64FF935D" w14:textId="77777777" w:rsidR="000D6116" w:rsidRPr="00B74733" w:rsidRDefault="000D6116" w:rsidP="00EA2488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74733" w:rsidRPr="00B74733" w14:paraId="55D5F8D6" w14:textId="77777777" w:rsidTr="000D6116">
        <w:trPr>
          <w:trHeight w:hRule="exact" w:val="259"/>
          <w:jc w:val="center"/>
        </w:trPr>
        <w:tc>
          <w:tcPr>
            <w:tcW w:w="501" w:type="dxa"/>
            <w:tcBorders>
              <w:top w:val="nil"/>
              <w:left w:val="double" w:sz="6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EEF1C1" w14:textId="77777777" w:rsidR="000D6116" w:rsidRPr="00B74733" w:rsidRDefault="000D6116" w:rsidP="000D6116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Cs w:val="20"/>
              </w:rPr>
            </w:pPr>
            <w:r w:rsidRPr="00B74733">
              <w:rPr>
                <w:rFonts w:ascii="Times New Roman" w:eastAsia="Times New Roman" w:hAnsi="Times New Roman"/>
                <w:b/>
                <w:bCs/>
                <w:color w:val="000000" w:themeColor="text1"/>
                <w:szCs w:val="20"/>
              </w:rPr>
              <w:t>I.</w:t>
            </w:r>
          </w:p>
        </w:tc>
        <w:tc>
          <w:tcPr>
            <w:tcW w:w="370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BD3EF3" w14:textId="77777777" w:rsidR="000D6116" w:rsidRPr="00B74733" w:rsidRDefault="000D6116" w:rsidP="000D6116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0" w:themeColor="text1"/>
                <w:szCs w:val="20"/>
              </w:rPr>
            </w:pPr>
            <w:r w:rsidRPr="00B74733">
              <w:rPr>
                <w:rFonts w:ascii="Times New Roman" w:eastAsia="Times New Roman" w:hAnsi="Times New Roman"/>
                <w:b/>
                <w:bCs/>
                <w:color w:val="000000" w:themeColor="text1"/>
                <w:szCs w:val="20"/>
              </w:rPr>
              <w:t>Të ardhura nga Pushteti vendor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24AED8" w14:textId="5EC28A98" w:rsidR="000D6116" w:rsidRPr="00B74733" w:rsidRDefault="000D6116" w:rsidP="000D6116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</w:pPr>
            <w:r w:rsidRPr="00B74733">
              <w:rPr>
                <w:rFonts w:ascii="Times New Roman" w:hAnsi="Times New Roman"/>
                <w:b/>
                <w:bCs/>
                <w:color w:val="000000" w:themeColor="text1"/>
              </w:rPr>
              <w:t>28,798</w:t>
            </w:r>
          </w:p>
        </w:tc>
        <w:tc>
          <w:tcPr>
            <w:tcW w:w="12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5461A5" w14:textId="40D1223B" w:rsidR="000D6116" w:rsidRPr="00B74733" w:rsidRDefault="000D6116" w:rsidP="000D6116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</w:pPr>
            <w:r w:rsidRPr="00B74733">
              <w:rPr>
                <w:rFonts w:ascii="Times New Roman" w:hAnsi="Times New Roman"/>
                <w:b/>
                <w:bCs/>
                <w:color w:val="000000" w:themeColor="text1"/>
              </w:rPr>
              <w:t>30,936</w:t>
            </w:r>
          </w:p>
        </w:tc>
        <w:tc>
          <w:tcPr>
            <w:tcW w:w="12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32D439" w14:textId="4FC08E4E" w:rsidR="000D6116" w:rsidRPr="00B74733" w:rsidRDefault="000D6116" w:rsidP="000D6116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</w:pPr>
            <w:r w:rsidRPr="00B74733">
              <w:rPr>
                <w:rFonts w:ascii="Times New Roman" w:hAnsi="Times New Roman"/>
                <w:b/>
                <w:bCs/>
                <w:color w:val="000000" w:themeColor="text1"/>
              </w:rPr>
              <w:t>-2,138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00049462" w14:textId="4EFB217A" w:rsidR="000D6116" w:rsidRPr="00B74733" w:rsidRDefault="000D6116" w:rsidP="000D6116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</w:pPr>
            <w:r w:rsidRPr="00B74733">
              <w:rPr>
                <w:rFonts w:ascii="Times New Roman" w:hAnsi="Times New Roman"/>
                <w:b/>
                <w:bCs/>
                <w:color w:val="000000" w:themeColor="text1"/>
              </w:rPr>
              <w:t>93%</w:t>
            </w:r>
          </w:p>
        </w:tc>
      </w:tr>
      <w:tr w:rsidR="00B74733" w:rsidRPr="00B74733" w14:paraId="07796BA1" w14:textId="77777777" w:rsidTr="000D6116">
        <w:trPr>
          <w:trHeight w:hRule="exact" w:val="259"/>
          <w:jc w:val="center"/>
        </w:trPr>
        <w:tc>
          <w:tcPr>
            <w:tcW w:w="501" w:type="dxa"/>
            <w:tcBorders>
              <w:top w:val="nil"/>
              <w:left w:val="double" w:sz="6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B7FAD1" w14:textId="77777777" w:rsidR="000D6116" w:rsidRPr="00B74733" w:rsidRDefault="000D6116" w:rsidP="000D6116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Cs w:val="20"/>
              </w:rPr>
            </w:pPr>
            <w:r w:rsidRPr="00B74733">
              <w:rPr>
                <w:rFonts w:ascii="Times New Roman" w:eastAsia="Times New Roman" w:hAnsi="Times New Roman"/>
                <w:color w:val="000000" w:themeColor="text1"/>
                <w:szCs w:val="20"/>
              </w:rPr>
              <w:t>I.1</w:t>
            </w:r>
          </w:p>
        </w:tc>
        <w:tc>
          <w:tcPr>
            <w:tcW w:w="370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1DEBF0" w14:textId="77777777" w:rsidR="000D6116" w:rsidRPr="00B74733" w:rsidRDefault="000D6116" w:rsidP="000D6116">
            <w:pPr>
              <w:spacing w:before="0" w:after="0" w:line="240" w:lineRule="auto"/>
              <w:rPr>
                <w:rFonts w:ascii="Times New Roman" w:eastAsia="Times New Roman" w:hAnsi="Times New Roman"/>
                <w:i/>
                <w:iCs/>
                <w:color w:val="000000" w:themeColor="text1"/>
                <w:szCs w:val="20"/>
              </w:rPr>
            </w:pPr>
            <w:r w:rsidRPr="00B74733">
              <w:rPr>
                <w:rFonts w:ascii="Times New Roman" w:eastAsia="Times New Roman" w:hAnsi="Times New Roman"/>
                <w:i/>
                <w:iCs/>
                <w:color w:val="000000" w:themeColor="text1"/>
                <w:szCs w:val="20"/>
              </w:rPr>
              <w:t>Taksa mbi pasurinë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F0F8A7" w14:textId="20C9B91C" w:rsidR="000D6116" w:rsidRPr="00B74733" w:rsidRDefault="000D6116" w:rsidP="000D6116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 w:themeColor="text1"/>
                <w:sz w:val="22"/>
              </w:rPr>
            </w:pPr>
            <w:r w:rsidRPr="00B74733">
              <w:rPr>
                <w:rFonts w:ascii="Times New Roman" w:hAnsi="Times New Roman"/>
                <w:i/>
                <w:iCs/>
                <w:color w:val="000000" w:themeColor="text1"/>
              </w:rPr>
              <w:t>6,485</w:t>
            </w:r>
          </w:p>
        </w:tc>
        <w:tc>
          <w:tcPr>
            <w:tcW w:w="12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800DC9" w14:textId="2563824C" w:rsidR="000D6116" w:rsidRPr="00B74733" w:rsidRDefault="000D6116" w:rsidP="000D6116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 w:themeColor="text1"/>
                <w:sz w:val="22"/>
              </w:rPr>
            </w:pPr>
            <w:r w:rsidRPr="00B74733">
              <w:rPr>
                <w:rFonts w:ascii="Times New Roman" w:hAnsi="Times New Roman"/>
                <w:i/>
                <w:iCs/>
                <w:color w:val="000000" w:themeColor="text1"/>
              </w:rPr>
              <w:t>6,052</w:t>
            </w:r>
          </w:p>
        </w:tc>
        <w:tc>
          <w:tcPr>
            <w:tcW w:w="12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9DC02C" w14:textId="59BF6359" w:rsidR="000D6116" w:rsidRPr="00B74733" w:rsidRDefault="000D6116" w:rsidP="000D6116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B74733">
              <w:rPr>
                <w:rFonts w:ascii="Times New Roman" w:hAnsi="Times New Roman"/>
                <w:color w:val="000000" w:themeColor="text1"/>
              </w:rPr>
              <w:t>433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73E21DE4" w14:textId="7900FE69" w:rsidR="000D6116" w:rsidRPr="00B74733" w:rsidRDefault="000D6116" w:rsidP="000D6116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B74733">
              <w:rPr>
                <w:rFonts w:ascii="Times New Roman" w:hAnsi="Times New Roman"/>
                <w:color w:val="000000" w:themeColor="text1"/>
              </w:rPr>
              <w:t>107%</w:t>
            </w:r>
          </w:p>
        </w:tc>
      </w:tr>
      <w:tr w:rsidR="00B74733" w:rsidRPr="00B74733" w14:paraId="4BEED7F3" w14:textId="77777777" w:rsidTr="000D6116">
        <w:trPr>
          <w:trHeight w:hRule="exact" w:val="259"/>
          <w:jc w:val="center"/>
        </w:trPr>
        <w:tc>
          <w:tcPr>
            <w:tcW w:w="501" w:type="dxa"/>
            <w:tcBorders>
              <w:top w:val="nil"/>
              <w:left w:val="double" w:sz="6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22B6C9" w14:textId="77777777" w:rsidR="000D6116" w:rsidRPr="00B74733" w:rsidRDefault="000D6116" w:rsidP="000D6116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Cs w:val="20"/>
              </w:rPr>
            </w:pPr>
            <w:r w:rsidRPr="00B74733">
              <w:rPr>
                <w:rFonts w:ascii="Times New Roman" w:eastAsia="Times New Roman" w:hAnsi="Times New Roman"/>
                <w:color w:val="000000" w:themeColor="text1"/>
                <w:szCs w:val="20"/>
              </w:rPr>
              <w:t>I.2</w:t>
            </w:r>
          </w:p>
        </w:tc>
        <w:tc>
          <w:tcPr>
            <w:tcW w:w="370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CB18CE" w14:textId="77777777" w:rsidR="000D6116" w:rsidRPr="00B74733" w:rsidRDefault="000D6116" w:rsidP="000D6116">
            <w:pPr>
              <w:spacing w:before="0" w:after="0" w:line="240" w:lineRule="auto"/>
              <w:rPr>
                <w:rFonts w:ascii="Times New Roman" w:eastAsia="Times New Roman" w:hAnsi="Times New Roman"/>
                <w:i/>
                <w:iCs/>
                <w:color w:val="000000" w:themeColor="text1"/>
                <w:szCs w:val="20"/>
              </w:rPr>
            </w:pPr>
            <w:r w:rsidRPr="00B74733">
              <w:rPr>
                <w:rFonts w:ascii="Times New Roman" w:eastAsia="Times New Roman" w:hAnsi="Times New Roman"/>
                <w:i/>
                <w:iCs/>
                <w:color w:val="000000" w:themeColor="text1"/>
                <w:szCs w:val="20"/>
              </w:rPr>
              <w:t>Taksa e biznesit të vogël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83843A" w14:textId="74F14268" w:rsidR="000D6116" w:rsidRPr="00B74733" w:rsidRDefault="000D6116" w:rsidP="000D6116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 w:themeColor="text1"/>
                <w:sz w:val="22"/>
              </w:rPr>
            </w:pPr>
            <w:r w:rsidRPr="00B74733">
              <w:rPr>
                <w:rFonts w:ascii="Times New Roman" w:hAnsi="Times New Roman"/>
                <w:i/>
                <w:iCs/>
                <w:color w:val="000000" w:themeColor="text1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74ACC3" w14:textId="5FFEE689" w:rsidR="000D6116" w:rsidRPr="00B74733" w:rsidRDefault="000D6116" w:rsidP="000D6116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 w:themeColor="text1"/>
                <w:sz w:val="22"/>
              </w:rPr>
            </w:pPr>
            <w:r w:rsidRPr="00B74733">
              <w:rPr>
                <w:rFonts w:ascii="Times New Roman" w:hAnsi="Times New Roman"/>
                <w:i/>
                <w:iCs/>
                <w:color w:val="000000" w:themeColor="text1"/>
              </w:rPr>
              <w:t>58</w:t>
            </w:r>
          </w:p>
        </w:tc>
        <w:tc>
          <w:tcPr>
            <w:tcW w:w="12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14B33E" w14:textId="1701FE29" w:rsidR="000D6116" w:rsidRPr="00B74733" w:rsidRDefault="000D6116" w:rsidP="000D6116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B74733">
              <w:rPr>
                <w:rFonts w:ascii="Times New Roman" w:hAnsi="Times New Roman"/>
                <w:color w:val="000000" w:themeColor="text1"/>
              </w:rPr>
              <w:t>-37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382D3BC6" w14:textId="4AA0B716" w:rsidR="000D6116" w:rsidRPr="00B74733" w:rsidRDefault="000D6116" w:rsidP="000D6116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B74733">
              <w:rPr>
                <w:rFonts w:ascii="Times New Roman" w:hAnsi="Times New Roman"/>
                <w:color w:val="000000" w:themeColor="text1"/>
              </w:rPr>
              <w:t>36%</w:t>
            </w:r>
          </w:p>
        </w:tc>
      </w:tr>
      <w:tr w:rsidR="00B74733" w:rsidRPr="00B74733" w14:paraId="0A787F54" w14:textId="77777777" w:rsidTr="000D6116">
        <w:trPr>
          <w:trHeight w:hRule="exact" w:val="259"/>
          <w:jc w:val="center"/>
        </w:trPr>
        <w:tc>
          <w:tcPr>
            <w:tcW w:w="501" w:type="dxa"/>
            <w:tcBorders>
              <w:top w:val="nil"/>
              <w:left w:val="double" w:sz="6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DF58D3" w14:textId="77777777" w:rsidR="000D6116" w:rsidRPr="00B74733" w:rsidRDefault="000D6116" w:rsidP="000D6116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Cs w:val="20"/>
              </w:rPr>
            </w:pPr>
            <w:r w:rsidRPr="00B74733">
              <w:rPr>
                <w:rFonts w:ascii="Times New Roman" w:eastAsia="Times New Roman" w:hAnsi="Times New Roman"/>
                <w:color w:val="000000" w:themeColor="text1"/>
                <w:szCs w:val="20"/>
              </w:rPr>
              <w:t>I.3</w:t>
            </w:r>
          </w:p>
        </w:tc>
        <w:tc>
          <w:tcPr>
            <w:tcW w:w="370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5F5E6F" w14:textId="77777777" w:rsidR="000D6116" w:rsidRPr="00B74733" w:rsidRDefault="000D6116" w:rsidP="000D6116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i/>
                <w:iCs/>
                <w:color w:val="000000" w:themeColor="text1"/>
                <w:szCs w:val="20"/>
              </w:rPr>
            </w:pPr>
            <w:r w:rsidRPr="00B74733">
              <w:rPr>
                <w:rFonts w:ascii="Times New Roman" w:eastAsia="Times New Roman" w:hAnsi="Times New Roman"/>
                <w:i/>
                <w:iCs/>
                <w:color w:val="000000" w:themeColor="text1"/>
                <w:szCs w:val="20"/>
              </w:rPr>
              <w:t>Taksa Lokale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B6A29E" w14:textId="1CC78915" w:rsidR="000D6116" w:rsidRPr="00B74733" w:rsidRDefault="000D6116" w:rsidP="000D6116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 w:themeColor="text1"/>
                <w:sz w:val="22"/>
              </w:rPr>
            </w:pPr>
            <w:r w:rsidRPr="00B74733">
              <w:rPr>
                <w:rFonts w:ascii="Times New Roman" w:hAnsi="Times New Roman"/>
                <w:i/>
                <w:iCs/>
                <w:color w:val="000000" w:themeColor="text1"/>
              </w:rPr>
              <w:t>22,293</w:t>
            </w:r>
          </w:p>
        </w:tc>
        <w:tc>
          <w:tcPr>
            <w:tcW w:w="12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893627" w14:textId="69B8A4E7" w:rsidR="000D6116" w:rsidRPr="00B74733" w:rsidRDefault="000D6116" w:rsidP="000D6116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 w:themeColor="text1"/>
                <w:sz w:val="22"/>
              </w:rPr>
            </w:pPr>
            <w:r w:rsidRPr="00B74733">
              <w:rPr>
                <w:rFonts w:ascii="Times New Roman" w:hAnsi="Times New Roman"/>
                <w:i/>
                <w:iCs/>
                <w:color w:val="000000" w:themeColor="text1"/>
              </w:rPr>
              <w:t>24,827</w:t>
            </w:r>
          </w:p>
        </w:tc>
        <w:tc>
          <w:tcPr>
            <w:tcW w:w="12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EF5D32" w14:textId="3718F7E6" w:rsidR="000D6116" w:rsidRPr="00B74733" w:rsidRDefault="000D6116" w:rsidP="000D6116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B74733">
              <w:rPr>
                <w:rFonts w:ascii="Times New Roman" w:hAnsi="Times New Roman"/>
                <w:color w:val="000000" w:themeColor="text1"/>
              </w:rPr>
              <w:t>-2,534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0CD717A4" w14:textId="793C27E6" w:rsidR="000D6116" w:rsidRPr="00B74733" w:rsidRDefault="000D6116" w:rsidP="000D6116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B74733">
              <w:rPr>
                <w:rFonts w:ascii="Times New Roman" w:hAnsi="Times New Roman"/>
                <w:color w:val="000000" w:themeColor="text1"/>
              </w:rPr>
              <w:t>90%</w:t>
            </w:r>
          </w:p>
        </w:tc>
      </w:tr>
      <w:tr w:rsidR="00B74733" w:rsidRPr="00B74733" w14:paraId="00B9517C" w14:textId="77777777" w:rsidTr="000D6116">
        <w:trPr>
          <w:trHeight w:hRule="exact" w:val="259"/>
          <w:jc w:val="center"/>
        </w:trPr>
        <w:tc>
          <w:tcPr>
            <w:tcW w:w="501" w:type="dxa"/>
            <w:tcBorders>
              <w:top w:val="nil"/>
              <w:left w:val="double" w:sz="6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B97F46" w14:textId="77777777" w:rsidR="000D6116" w:rsidRPr="00B74733" w:rsidRDefault="000D6116" w:rsidP="000D6116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Cs w:val="20"/>
              </w:rPr>
            </w:pPr>
            <w:r w:rsidRPr="00B74733">
              <w:rPr>
                <w:rFonts w:ascii="Times New Roman" w:eastAsia="Times New Roman" w:hAnsi="Times New Roman"/>
                <w:b/>
                <w:bCs/>
                <w:color w:val="000000" w:themeColor="text1"/>
                <w:szCs w:val="20"/>
              </w:rPr>
              <w:t>II.</w:t>
            </w:r>
          </w:p>
        </w:tc>
        <w:tc>
          <w:tcPr>
            <w:tcW w:w="370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547E64" w14:textId="77777777" w:rsidR="000D6116" w:rsidRPr="00B74733" w:rsidRDefault="000D6116" w:rsidP="000D6116">
            <w:pPr>
              <w:spacing w:before="0"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Cs w:val="20"/>
              </w:rPr>
            </w:pPr>
            <w:r w:rsidRPr="00B74733">
              <w:rPr>
                <w:rFonts w:ascii="Times New Roman" w:eastAsia="Times New Roman" w:hAnsi="Times New Roman"/>
                <w:b/>
                <w:bCs/>
                <w:color w:val="000000" w:themeColor="text1"/>
                <w:szCs w:val="20"/>
              </w:rPr>
              <w:t>Shpenzime nga Pushtetit Vendor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8193A1" w14:textId="36715CBF" w:rsidR="000D6116" w:rsidRPr="00B74733" w:rsidRDefault="000D6116" w:rsidP="000D6116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</w:pPr>
            <w:r w:rsidRPr="00B74733">
              <w:rPr>
                <w:rFonts w:ascii="Times New Roman" w:hAnsi="Times New Roman"/>
                <w:b/>
                <w:bCs/>
                <w:color w:val="000000" w:themeColor="text1"/>
              </w:rPr>
              <w:t>58,673</w:t>
            </w:r>
          </w:p>
        </w:tc>
        <w:tc>
          <w:tcPr>
            <w:tcW w:w="12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093E0A" w14:textId="3249736E" w:rsidR="000D6116" w:rsidRPr="00B74733" w:rsidRDefault="000D6116" w:rsidP="000D6116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</w:pPr>
            <w:r w:rsidRPr="00B74733">
              <w:rPr>
                <w:rFonts w:ascii="Times New Roman" w:hAnsi="Times New Roman"/>
                <w:b/>
                <w:bCs/>
                <w:color w:val="000000" w:themeColor="text1"/>
              </w:rPr>
              <w:t>48,835</w:t>
            </w:r>
          </w:p>
        </w:tc>
        <w:tc>
          <w:tcPr>
            <w:tcW w:w="12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9DC219" w14:textId="4E07440E" w:rsidR="000D6116" w:rsidRPr="00B74733" w:rsidRDefault="000D6116" w:rsidP="000D6116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</w:pPr>
            <w:r w:rsidRPr="00B74733">
              <w:rPr>
                <w:rFonts w:ascii="Times New Roman" w:hAnsi="Times New Roman"/>
                <w:b/>
                <w:bCs/>
                <w:color w:val="000000" w:themeColor="text1"/>
              </w:rPr>
              <w:t>9,838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382C2953" w14:textId="0527BBA0" w:rsidR="000D6116" w:rsidRPr="00B74733" w:rsidRDefault="000D6116" w:rsidP="000D6116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</w:pPr>
            <w:r w:rsidRPr="00B74733">
              <w:rPr>
                <w:rFonts w:ascii="Times New Roman" w:hAnsi="Times New Roman"/>
                <w:b/>
                <w:bCs/>
                <w:color w:val="000000" w:themeColor="text1"/>
              </w:rPr>
              <w:t>120%</w:t>
            </w:r>
          </w:p>
        </w:tc>
      </w:tr>
      <w:tr w:rsidR="00DA4EB5" w:rsidRPr="00B74733" w14:paraId="3AE40328" w14:textId="77777777" w:rsidTr="000D6116">
        <w:trPr>
          <w:trHeight w:hRule="exact" w:val="259"/>
          <w:jc w:val="center"/>
        </w:trPr>
        <w:tc>
          <w:tcPr>
            <w:tcW w:w="501" w:type="dxa"/>
            <w:tcBorders>
              <w:top w:val="nil"/>
              <w:left w:val="double" w:sz="6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77A6D6" w14:textId="77777777" w:rsidR="00DA4EB5" w:rsidRPr="00B74733" w:rsidRDefault="00DA4EB5" w:rsidP="00DA4EB5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Cs w:val="20"/>
              </w:rPr>
            </w:pPr>
            <w:r w:rsidRPr="00B74733">
              <w:rPr>
                <w:rFonts w:ascii="Times New Roman" w:eastAsia="Times New Roman" w:hAnsi="Times New Roman"/>
                <w:color w:val="000000" w:themeColor="text1"/>
                <w:szCs w:val="20"/>
              </w:rPr>
              <w:t>II.1</w:t>
            </w:r>
          </w:p>
        </w:tc>
        <w:tc>
          <w:tcPr>
            <w:tcW w:w="370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4840B3" w14:textId="77777777" w:rsidR="00DA4EB5" w:rsidRPr="00B74733" w:rsidRDefault="00DA4EB5" w:rsidP="00DA4EB5">
            <w:pPr>
              <w:spacing w:before="0"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Cs w:val="20"/>
              </w:rPr>
            </w:pPr>
            <w:r w:rsidRPr="00B7473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Cs w:val="20"/>
              </w:rPr>
              <w:t>Shpenzime Korente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E6F9FB" w14:textId="544B2AB0" w:rsidR="00DA4EB5" w:rsidRPr="00DA4EB5" w:rsidRDefault="00DA4EB5" w:rsidP="00DA4EB5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</w:pPr>
            <w:r w:rsidRPr="00DA4EB5">
              <w:rPr>
                <w:rFonts w:ascii="Times New Roman" w:hAnsi="Times New Roman"/>
                <w:b/>
                <w:bCs/>
                <w:color w:val="000000" w:themeColor="text1"/>
              </w:rPr>
              <w:t>47,257</w:t>
            </w:r>
          </w:p>
        </w:tc>
        <w:tc>
          <w:tcPr>
            <w:tcW w:w="12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10DBB1" w14:textId="51336CF1" w:rsidR="00DA4EB5" w:rsidRPr="00DA4EB5" w:rsidRDefault="00DA4EB5" w:rsidP="00DA4EB5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</w:pPr>
            <w:r w:rsidRPr="00DA4EB5">
              <w:rPr>
                <w:rFonts w:ascii="Times New Roman" w:hAnsi="Times New Roman"/>
                <w:b/>
                <w:bCs/>
                <w:color w:val="000000" w:themeColor="text1"/>
              </w:rPr>
              <w:t>40,102</w:t>
            </w:r>
          </w:p>
        </w:tc>
        <w:tc>
          <w:tcPr>
            <w:tcW w:w="12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C8D00B" w14:textId="0F013A1A" w:rsidR="00DA4EB5" w:rsidRPr="00DA4EB5" w:rsidRDefault="00DA4EB5" w:rsidP="00DA4EB5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</w:pPr>
            <w:r w:rsidRPr="00DA4EB5">
              <w:rPr>
                <w:rFonts w:ascii="Times New Roman" w:hAnsi="Times New Roman"/>
                <w:b/>
                <w:bCs/>
                <w:color w:val="000000" w:themeColor="text1"/>
              </w:rPr>
              <w:t>7,155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06E21F6D" w14:textId="604486BA" w:rsidR="00DA4EB5" w:rsidRPr="00DA4EB5" w:rsidRDefault="00DA4EB5" w:rsidP="00DA4EB5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</w:pPr>
            <w:r w:rsidRPr="00DA4EB5">
              <w:rPr>
                <w:rFonts w:ascii="Times New Roman" w:hAnsi="Times New Roman"/>
                <w:b/>
                <w:bCs/>
                <w:color w:val="000000" w:themeColor="text1"/>
              </w:rPr>
              <w:t>118%</w:t>
            </w:r>
          </w:p>
        </w:tc>
      </w:tr>
      <w:tr w:rsidR="00DA4EB5" w:rsidRPr="00B74733" w14:paraId="7F2C3CE2" w14:textId="77777777" w:rsidTr="000D6116">
        <w:trPr>
          <w:trHeight w:hRule="exact" w:val="259"/>
          <w:jc w:val="center"/>
        </w:trPr>
        <w:tc>
          <w:tcPr>
            <w:tcW w:w="501" w:type="dxa"/>
            <w:tcBorders>
              <w:top w:val="nil"/>
              <w:left w:val="double" w:sz="6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59E4F4" w14:textId="77777777" w:rsidR="00DA4EB5" w:rsidRPr="00B74733" w:rsidRDefault="00DA4EB5" w:rsidP="00DA4EB5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Cs w:val="20"/>
              </w:rPr>
            </w:pPr>
            <w:r w:rsidRPr="00B74733">
              <w:rPr>
                <w:rFonts w:ascii="Times New Roman" w:eastAsia="Times New Roman" w:hAnsi="Times New Roman"/>
                <w:color w:val="000000" w:themeColor="text1"/>
                <w:szCs w:val="20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B1532A" w14:textId="77777777" w:rsidR="00DA4EB5" w:rsidRPr="00B74733" w:rsidRDefault="00DA4EB5" w:rsidP="00DA4EB5">
            <w:pPr>
              <w:spacing w:before="0" w:after="0" w:line="240" w:lineRule="auto"/>
              <w:rPr>
                <w:rFonts w:ascii="Times New Roman" w:eastAsia="Times New Roman" w:hAnsi="Times New Roman"/>
                <w:i/>
                <w:iCs/>
                <w:color w:val="000000" w:themeColor="text1"/>
                <w:szCs w:val="20"/>
              </w:rPr>
            </w:pPr>
            <w:r w:rsidRPr="00B74733">
              <w:rPr>
                <w:rFonts w:ascii="Times New Roman" w:eastAsia="Times New Roman" w:hAnsi="Times New Roman"/>
                <w:i/>
                <w:iCs/>
                <w:color w:val="000000" w:themeColor="text1"/>
                <w:szCs w:val="20"/>
              </w:rPr>
              <w:t xml:space="preserve">Personeli 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D022AA" w14:textId="2E325520" w:rsidR="00DA4EB5" w:rsidRPr="00DA4EB5" w:rsidRDefault="00DA4EB5" w:rsidP="00DA4EB5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 w:themeColor="text1"/>
                <w:sz w:val="22"/>
              </w:rPr>
            </w:pPr>
            <w:r w:rsidRPr="00DA4EB5">
              <w:rPr>
                <w:rFonts w:ascii="Times New Roman" w:hAnsi="Times New Roman"/>
                <w:i/>
                <w:iCs/>
                <w:color w:val="000000" w:themeColor="text1"/>
              </w:rPr>
              <w:t>29,868</w:t>
            </w:r>
          </w:p>
        </w:tc>
        <w:tc>
          <w:tcPr>
            <w:tcW w:w="12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CE9445" w14:textId="647FC09D" w:rsidR="00DA4EB5" w:rsidRPr="00DA4EB5" w:rsidRDefault="00DA4EB5" w:rsidP="00DA4EB5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 w:themeColor="text1"/>
                <w:sz w:val="22"/>
              </w:rPr>
            </w:pPr>
            <w:r w:rsidRPr="00DA4EB5">
              <w:rPr>
                <w:rFonts w:ascii="Times New Roman" w:hAnsi="Times New Roman"/>
                <w:i/>
                <w:iCs/>
                <w:color w:val="000000" w:themeColor="text1"/>
              </w:rPr>
              <w:t>24,294</w:t>
            </w:r>
          </w:p>
        </w:tc>
        <w:tc>
          <w:tcPr>
            <w:tcW w:w="12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1B03F7" w14:textId="5867EF63" w:rsidR="00DA4EB5" w:rsidRPr="00DA4EB5" w:rsidRDefault="00DA4EB5" w:rsidP="00DA4EB5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DA4EB5">
              <w:rPr>
                <w:rFonts w:ascii="Times New Roman" w:hAnsi="Times New Roman"/>
                <w:color w:val="000000" w:themeColor="text1"/>
              </w:rPr>
              <w:t>5,575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3673FFF6" w14:textId="0A0D7ECD" w:rsidR="00DA4EB5" w:rsidRPr="00DA4EB5" w:rsidRDefault="00DA4EB5" w:rsidP="00DA4EB5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DA4EB5">
              <w:rPr>
                <w:rFonts w:ascii="Times New Roman" w:hAnsi="Times New Roman"/>
                <w:color w:val="000000" w:themeColor="text1"/>
              </w:rPr>
              <w:t>123%</w:t>
            </w:r>
          </w:p>
        </w:tc>
      </w:tr>
      <w:tr w:rsidR="00DA4EB5" w:rsidRPr="00B74733" w14:paraId="1E8609A8" w14:textId="77777777" w:rsidTr="000D6116">
        <w:trPr>
          <w:trHeight w:hRule="exact" w:val="259"/>
          <w:jc w:val="center"/>
        </w:trPr>
        <w:tc>
          <w:tcPr>
            <w:tcW w:w="501" w:type="dxa"/>
            <w:tcBorders>
              <w:top w:val="nil"/>
              <w:left w:val="double" w:sz="6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28B145" w14:textId="77777777" w:rsidR="00DA4EB5" w:rsidRPr="00B74733" w:rsidRDefault="00DA4EB5" w:rsidP="00DA4EB5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Cs w:val="20"/>
              </w:rPr>
            </w:pPr>
            <w:r w:rsidRPr="00B74733">
              <w:rPr>
                <w:rFonts w:ascii="Times New Roman" w:eastAsia="Times New Roman" w:hAnsi="Times New Roman"/>
                <w:color w:val="000000" w:themeColor="text1"/>
                <w:szCs w:val="20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2597FB" w14:textId="77777777" w:rsidR="00DA4EB5" w:rsidRPr="00B74733" w:rsidRDefault="00DA4EB5" w:rsidP="00DA4EB5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i/>
                <w:iCs/>
                <w:color w:val="000000" w:themeColor="text1"/>
                <w:szCs w:val="20"/>
              </w:rPr>
            </w:pPr>
            <w:r w:rsidRPr="00B74733">
              <w:rPr>
                <w:rFonts w:ascii="Times New Roman" w:eastAsia="Times New Roman" w:hAnsi="Times New Roman"/>
                <w:i/>
                <w:iCs/>
                <w:color w:val="000000" w:themeColor="text1"/>
                <w:szCs w:val="20"/>
              </w:rPr>
              <w:t>Shpenzime Oper. Mirmbajtje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4451F3" w14:textId="469F9E29" w:rsidR="00DA4EB5" w:rsidRPr="00DA4EB5" w:rsidRDefault="00DA4EB5" w:rsidP="00DA4EB5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 w:themeColor="text1"/>
                <w:sz w:val="22"/>
              </w:rPr>
            </w:pPr>
            <w:r w:rsidRPr="00DA4EB5">
              <w:rPr>
                <w:rFonts w:ascii="Times New Roman" w:hAnsi="Times New Roman"/>
                <w:i/>
                <w:iCs/>
                <w:color w:val="000000" w:themeColor="text1"/>
              </w:rPr>
              <w:t>14,124</w:t>
            </w:r>
          </w:p>
        </w:tc>
        <w:tc>
          <w:tcPr>
            <w:tcW w:w="12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08A1FB" w14:textId="6D77AC17" w:rsidR="00DA4EB5" w:rsidRPr="00DA4EB5" w:rsidRDefault="00DA4EB5" w:rsidP="00DA4EB5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 w:themeColor="text1"/>
                <w:sz w:val="22"/>
              </w:rPr>
            </w:pPr>
            <w:r w:rsidRPr="00DA4EB5">
              <w:rPr>
                <w:rFonts w:ascii="Times New Roman" w:hAnsi="Times New Roman"/>
                <w:i/>
                <w:iCs/>
                <w:color w:val="000000" w:themeColor="text1"/>
              </w:rPr>
              <w:t>13,543</w:t>
            </w:r>
          </w:p>
        </w:tc>
        <w:tc>
          <w:tcPr>
            <w:tcW w:w="12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3AF7B1" w14:textId="002DCA64" w:rsidR="00DA4EB5" w:rsidRPr="00DA4EB5" w:rsidRDefault="00DA4EB5" w:rsidP="00DA4EB5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DA4EB5">
              <w:rPr>
                <w:rFonts w:ascii="Times New Roman" w:hAnsi="Times New Roman"/>
                <w:color w:val="000000" w:themeColor="text1"/>
              </w:rPr>
              <w:t>582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2F3D3584" w14:textId="3A57E5D8" w:rsidR="00DA4EB5" w:rsidRPr="00DA4EB5" w:rsidRDefault="00DA4EB5" w:rsidP="00DA4EB5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DA4EB5">
              <w:rPr>
                <w:rFonts w:ascii="Times New Roman" w:hAnsi="Times New Roman"/>
                <w:color w:val="000000" w:themeColor="text1"/>
              </w:rPr>
              <w:t>104%</w:t>
            </w:r>
          </w:p>
        </w:tc>
      </w:tr>
      <w:tr w:rsidR="00DA4EB5" w:rsidRPr="00B74733" w14:paraId="7D70FAE9" w14:textId="77777777" w:rsidTr="000D6116">
        <w:trPr>
          <w:trHeight w:hRule="exact" w:val="259"/>
          <w:jc w:val="center"/>
        </w:trPr>
        <w:tc>
          <w:tcPr>
            <w:tcW w:w="501" w:type="dxa"/>
            <w:tcBorders>
              <w:top w:val="nil"/>
              <w:left w:val="double" w:sz="6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2D2AAE" w14:textId="77777777" w:rsidR="00DA4EB5" w:rsidRPr="00B74733" w:rsidRDefault="00DA4EB5" w:rsidP="00DA4EB5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Cs w:val="20"/>
              </w:rPr>
            </w:pPr>
            <w:r w:rsidRPr="00B74733">
              <w:rPr>
                <w:rFonts w:ascii="Times New Roman" w:eastAsia="Times New Roman" w:hAnsi="Times New Roman"/>
                <w:color w:val="000000" w:themeColor="text1"/>
                <w:szCs w:val="20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CB14FA" w14:textId="77777777" w:rsidR="00DA4EB5" w:rsidRPr="00B74733" w:rsidRDefault="00DA4EB5" w:rsidP="00DA4EB5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i/>
                <w:iCs/>
                <w:color w:val="000000" w:themeColor="text1"/>
                <w:szCs w:val="20"/>
              </w:rPr>
            </w:pPr>
            <w:r w:rsidRPr="00B74733">
              <w:rPr>
                <w:rFonts w:ascii="Times New Roman" w:eastAsia="Times New Roman" w:hAnsi="Times New Roman"/>
                <w:i/>
                <w:iCs/>
                <w:color w:val="000000" w:themeColor="text1"/>
                <w:szCs w:val="20"/>
              </w:rPr>
              <w:t>Subvencione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F08467" w14:textId="3D3AA0C5" w:rsidR="00DA4EB5" w:rsidRPr="00DA4EB5" w:rsidRDefault="00DA4EB5" w:rsidP="00DA4EB5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 w:themeColor="text1"/>
                <w:sz w:val="22"/>
              </w:rPr>
            </w:pPr>
            <w:r w:rsidRPr="00DA4EB5">
              <w:rPr>
                <w:rFonts w:ascii="Times New Roman" w:hAnsi="Times New Roman"/>
                <w:i/>
                <w:iCs/>
                <w:color w:val="000000" w:themeColor="text1"/>
              </w:rPr>
              <w:t>1,199</w:t>
            </w:r>
          </w:p>
        </w:tc>
        <w:tc>
          <w:tcPr>
            <w:tcW w:w="12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142521" w14:textId="7F5803B9" w:rsidR="00DA4EB5" w:rsidRPr="00DA4EB5" w:rsidRDefault="00DA4EB5" w:rsidP="00DA4EB5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 w:themeColor="text1"/>
                <w:sz w:val="22"/>
              </w:rPr>
            </w:pPr>
            <w:r w:rsidRPr="00DA4EB5">
              <w:rPr>
                <w:rFonts w:ascii="Times New Roman" w:hAnsi="Times New Roman"/>
                <w:i/>
                <w:iCs/>
                <w:color w:val="000000" w:themeColor="text1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E1484B" w14:textId="39FF4340" w:rsidR="00DA4EB5" w:rsidRPr="00DA4EB5" w:rsidRDefault="00DA4EB5" w:rsidP="00DA4EB5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DA4EB5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7D9F2EE6" w14:textId="421F292F" w:rsidR="00DA4EB5" w:rsidRPr="00DA4EB5" w:rsidRDefault="00DA4EB5" w:rsidP="00DA4EB5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DA4EB5">
              <w:rPr>
                <w:rFonts w:ascii="Times New Roman" w:hAnsi="Times New Roman"/>
                <w:color w:val="000000" w:themeColor="text1"/>
              </w:rPr>
              <w:t>300%</w:t>
            </w:r>
          </w:p>
        </w:tc>
      </w:tr>
      <w:tr w:rsidR="00DA4EB5" w:rsidRPr="00B74733" w14:paraId="16DC8259" w14:textId="77777777" w:rsidTr="000D6116">
        <w:trPr>
          <w:trHeight w:hRule="exact" w:val="259"/>
          <w:jc w:val="center"/>
        </w:trPr>
        <w:tc>
          <w:tcPr>
            <w:tcW w:w="501" w:type="dxa"/>
            <w:tcBorders>
              <w:top w:val="nil"/>
              <w:left w:val="double" w:sz="6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56BAF9" w14:textId="77777777" w:rsidR="00DA4EB5" w:rsidRPr="00B74733" w:rsidRDefault="00DA4EB5" w:rsidP="00DA4EB5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Cs w:val="20"/>
              </w:rPr>
            </w:pPr>
            <w:r w:rsidRPr="00B74733">
              <w:rPr>
                <w:rFonts w:ascii="Times New Roman" w:eastAsia="Times New Roman" w:hAnsi="Times New Roman"/>
                <w:color w:val="000000" w:themeColor="text1"/>
                <w:szCs w:val="20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4FC5E4" w14:textId="77777777" w:rsidR="00DA4EB5" w:rsidRPr="00B74733" w:rsidRDefault="00DA4EB5" w:rsidP="00DA4EB5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i/>
                <w:iCs/>
                <w:color w:val="000000" w:themeColor="text1"/>
                <w:szCs w:val="20"/>
              </w:rPr>
            </w:pPr>
            <w:r w:rsidRPr="00B74733">
              <w:rPr>
                <w:rFonts w:ascii="Times New Roman" w:eastAsia="Times New Roman" w:hAnsi="Times New Roman"/>
                <w:i/>
                <w:iCs/>
                <w:color w:val="000000" w:themeColor="text1"/>
                <w:szCs w:val="20"/>
              </w:rPr>
              <w:t>Te tjera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6770CE" w14:textId="65D60082" w:rsidR="00DA4EB5" w:rsidRPr="00DA4EB5" w:rsidRDefault="00DA4EB5" w:rsidP="00DA4EB5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 w:themeColor="text1"/>
                <w:sz w:val="22"/>
              </w:rPr>
            </w:pPr>
            <w:r w:rsidRPr="00DA4EB5">
              <w:rPr>
                <w:rFonts w:ascii="Times New Roman" w:hAnsi="Times New Roman"/>
                <w:i/>
                <w:iCs/>
                <w:color w:val="000000" w:themeColor="text1"/>
              </w:rPr>
              <w:t>2,065</w:t>
            </w:r>
          </w:p>
        </w:tc>
        <w:tc>
          <w:tcPr>
            <w:tcW w:w="12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5F526C" w14:textId="38F8D63D" w:rsidR="00DA4EB5" w:rsidRPr="00DA4EB5" w:rsidRDefault="00DA4EB5" w:rsidP="00DA4EB5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 w:themeColor="text1"/>
                <w:sz w:val="22"/>
              </w:rPr>
            </w:pPr>
            <w:r w:rsidRPr="00DA4EB5">
              <w:rPr>
                <w:rFonts w:ascii="Times New Roman" w:hAnsi="Times New Roman"/>
                <w:i/>
                <w:iCs/>
                <w:color w:val="000000" w:themeColor="text1"/>
              </w:rPr>
              <w:t>1,866</w:t>
            </w:r>
          </w:p>
        </w:tc>
        <w:tc>
          <w:tcPr>
            <w:tcW w:w="12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E9CCEF" w14:textId="52978C9A" w:rsidR="00DA4EB5" w:rsidRPr="00DA4EB5" w:rsidRDefault="00DA4EB5" w:rsidP="00DA4EB5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DA4EB5">
              <w:rPr>
                <w:rFonts w:ascii="Times New Roman" w:hAnsi="Times New Roman"/>
                <w:color w:val="000000" w:themeColor="text1"/>
              </w:rPr>
              <w:t>199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D679C2D" w14:textId="7AA5425D" w:rsidR="00DA4EB5" w:rsidRPr="00DA4EB5" w:rsidRDefault="00DA4EB5" w:rsidP="00DA4EB5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DA4EB5">
              <w:rPr>
                <w:rFonts w:ascii="Times New Roman" w:hAnsi="Times New Roman"/>
                <w:color w:val="000000" w:themeColor="text1"/>
              </w:rPr>
              <w:t>111%</w:t>
            </w:r>
          </w:p>
        </w:tc>
      </w:tr>
      <w:tr w:rsidR="00DA4EB5" w:rsidRPr="00B74733" w14:paraId="6C1C5C00" w14:textId="77777777" w:rsidTr="000D6116">
        <w:trPr>
          <w:trHeight w:hRule="exact" w:val="259"/>
          <w:jc w:val="center"/>
        </w:trPr>
        <w:tc>
          <w:tcPr>
            <w:tcW w:w="501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24814A1B" w14:textId="77777777" w:rsidR="00DA4EB5" w:rsidRPr="00B74733" w:rsidRDefault="00DA4EB5" w:rsidP="00DA4EB5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Cs w:val="20"/>
              </w:rPr>
            </w:pPr>
            <w:r w:rsidRPr="00B74733">
              <w:rPr>
                <w:rFonts w:ascii="Times New Roman" w:eastAsia="Times New Roman" w:hAnsi="Times New Roman"/>
                <w:color w:val="000000" w:themeColor="text1"/>
                <w:szCs w:val="20"/>
              </w:rPr>
              <w:t>II.2</w:t>
            </w:r>
          </w:p>
        </w:tc>
        <w:tc>
          <w:tcPr>
            <w:tcW w:w="370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0F04A303" w14:textId="77777777" w:rsidR="00DA4EB5" w:rsidRPr="00B74733" w:rsidRDefault="00DA4EB5" w:rsidP="00DA4EB5">
            <w:pPr>
              <w:spacing w:before="0"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Cs w:val="20"/>
              </w:rPr>
            </w:pPr>
            <w:r w:rsidRPr="00B7473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Cs w:val="20"/>
              </w:rPr>
              <w:t>Shpenzime Kapitale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3FEE5C38" w14:textId="7C2780BA" w:rsidR="00DA4EB5" w:rsidRPr="00DA4EB5" w:rsidRDefault="00DA4EB5" w:rsidP="00DA4EB5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</w:pPr>
            <w:r w:rsidRPr="00DA4EB5">
              <w:rPr>
                <w:rFonts w:ascii="Times New Roman" w:hAnsi="Times New Roman"/>
                <w:b/>
                <w:bCs/>
                <w:color w:val="000000" w:themeColor="text1"/>
              </w:rPr>
              <w:t>11,416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365497AD" w14:textId="2D8A2D4C" w:rsidR="00DA4EB5" w:rsidRPr="00DA4EB5" w:rsidRDefault="00DA4EB5" w:rsidP="00DA4EB5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</w:pPr>
            <w:r w:rsidRPr="00DA4EB5">
              <w:rPr>
                <w:rFonts w:ascii="Times New Roman" w:hAnsi="Times New Roman"/>
                <w:b/>
                <w:bCs/>
                <w:color w:val="000000" w:themeColor="text1"/>
              </w:rPr>
              <w:t>8,733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664B9EB0" w14:textId="62603A94" w:rsidR="00DA4EB5" w:rsidRPr="00DA4EB5" w:rsidRDefault="00DA4EB5" w:rsidP="00DA4EB5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</w:pPr>
            <w:r w:rsidRPr="00DA4EB5">
              <w:rPr>
                <w:rFonts w:ascii="Times New Roman" w:hAnsi="Times New Roman"/>
                <w:b/>
                <w:bCs/>
                <w:color w:val="000000" w:themeColor="text1"/>
              </w:rPr>
              <w:t>2,683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E13B3C7" w14:textId="3B7A5C20" w:rsidR="00DA4EB5" w:rsidRPr="00DA4EB5" w:rsidRDefault="00DA4EB5" w:rsidP="00DA4EB5">
            <w:pPr>
              <w:spacing w:before="0"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</w:pPr>
            <w:r w:rsidRPr="00DA4EB5">
              <w:rPr>
                <w:rFonts w:ascii="Times New Roman" w:hAnsi="Times New Roman"/>
                <w:b/>
                <w:bCs/>
                <w:color w:val="000000" w:themeColor="text1"/>
              </w:rPr>
              <w:t>131%</w:t>
            </w:r>
          </w:p>
        </w:tc>
      </w:tr>
    </w:tbl>
    <w:p w14:paraId="5D4380B1" w14:textId="77777777" w:rsidR="000D6116" w:rsidRPr="00C36029" w:rsidRDefault="000D6116" w:rsidP="000D6116">
      <w:pPr>
        <w:tabs>
          <w:tab w:val="left" w:pos="990"/>
        </w:tabs>
        <w:spacing w:after="0"/>
        <w:ind w:right="-43"/>
        <w:jc w:val="center"/>
        <w:rPr>
          <w:rFonts w:ascii="Times New Roman" w:eastAsia="SimSun" w:hAnsi="Times New Roman"/>
          <w:i/>
          <w:color w:val="4F81BD" w:themeColor="accent1"/>
          <w:szCs w:val="18"/>
        </w:rPr>
      </w:pPr>
      <w:r w:rsidRPr="00B74733">
        <w:rPr>
          <w:rFonts w:ascii="Times New Roman" w:eastAsia="SimSun" w:hAnsi="Times New Roman"/>
          <w:b/>
          <w:bCs/>
          <w:i/>
          <w:color w:val="000000" w:themeColor="text1"/>
          <w:szCs w:val="18"/>
        </w:rPr>
        <w:t>Burimi:</w:t>
      </w:r>
      <w:r w:rsidRPr="00B74733">
        <w:rPr>
          <w:rFonts w:ascii="Times New Roman" w:eastAsia="SimSun" w:hAnsi="Times New Roman"/>
          <w:i/>
          <w:color w:val="000000" w:themeColor="text1"/>
          <w:szCs w:val="18"/>
        </w:rPr>
        <w:t xml:space="preserve"> Ministria e Financave </w:t>
      </w:r>
      <w:hyperlink r:id="rId18" w:history="1">
        <w:r w:rsidRPr="00C36029">
          <w:rPr>
            <w:rStyle w:val="Hyperlink"/>
            <w:rFonts w:ascii="Times New Roman" w:eastAsia="SimSun" w:hAnsi="Times New Roman"/>
            <w:i/>
            <w:color w:val="4F81BD" w:themeColor="accent1"/>
            <w:szCs w:val="18"/>
          </w:rPr>
          <w:t>https://financa.gov.al/treguesit-fiskale-sipas-buxhetit-te-konsoliduar/</w:t>
        </w:r>
      </w:hyperlink>
    </w:p>
    <w:p w14:paraId="4AD0065A" w14:textId="63EE0AE8" w:rsidR="00A45E18" w:rsidRPr="00B74733" w:rsidRDefault="00A45E18" w:rsidP="00244EF2">
      <w:pPr>
        <w:tabs>
          <w:tab w:val="left" w:pos="360"/>
        </w:tabs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</w:pPr>
      <w:bookmarkStart w:id="1" w:name="_Hlk178172536"/>
      <w:bookmarkStart w:id="2" w:name="_Hlk146806328"/>
    </w:p>
    <w:p w14:paraId="2E2DBD62" w14:textId="4CEE4F6E" w:rsidR="000848B6" w:rsidRPr="00B74733" w:rsidRDefault="00793AEE" w:rsidP="000848B6">
      <w:pPr>
        <w:pStyle w:val="NormalWeb"/>
        <w:spacing w:line="276" w:lineRule="auto"/>
        <w:jc w:val="both"/>
        <w:rPr>
          <w:color w:val="000000" w:themeColor="text1"/>
          <w:lang w:val="sq-AL"/>
        </w:rPr>
      </w:pPr>
      <w:r w:rsidRPr="00B74733">
        <w:rPr>
          <w:b/>
          <w:bCs/>
          <w:i/>
          <w:iCs/>
          <w:color w:val="000000" w:themeColor="text1"/>
          <w:lang w:val="sq-AL"/>
        </w:rPr>
        <w:lastRenderedPageBreak/>
        <w:t>Fondi i rindërtimit</w:t>
      </w:r>
      <w:r w:rsidR="000848B6" w:rsidRPr="00B74733">
        <w:rPr>
          <w:color w:val="000000" w:themeColor="text1"/>
          <w:lang w:val="sq-AL"/>
        </w:rPr>
        <w:t xml:space="preserve">. Njësitë e vetëqeverisjes vendore administrojnë gjithashtu Fondin e Rindërtimit, i cili është alokuar nga buxheti i shtetit për qëllime të rimëkëmbjes pas tërmetit dhe përbën një komponent shtesë të shpenzimeve të buxhetit vendor. Plani për Fondin e Rindërtimit </w:t>
      </w:r>
      <w:r w:rsidR="00C803C2">
        <w:rPr>
          <w:color w:val="000000" w:themeColor="text1"/>
          <w:lang w:val="sq-AL"/>
        </w:rPr>
        <w:t xml:space="preserve">deri në shtator </w:t>
      </w:r>
      <w:r w:rsidR="000848B6" w:rsidRPr="00B74733">
        <w:rPr>
          <w:color w:val="000000" w:themeColor="text1"/>
          <w:lang w:val="sq-AL"/>
        </w:rPr>
        <w:t xml:space="preserve"> 2025 është 7,311 milion lekë</w:t>
      </w:r>
      <w:r w:rsidR="00C803C2">
        <w:rPr>
          <w:color w:val="000000" w:themeColor="text1"/>
          <w:lang w:val="sq-AL"/>
        </w:rPr>
        <w:t xml:space="preserve"> (</w:t>
      </w:r>
      <w:r w:rsidR="00C803C2" w:rsidRPr="00B74733">
        <w:rPr>
          <w:color w:val="000000" w:themeColor="text1"/>
          <w:lang w:val="sq-AL"/>
        </w:rPr>
        <w:t xml:space="preserve">fonde </w:t>
      </w:r>
      <w:r w:rsidR="00C803C2">
        <w:rPr>
          <w:color w:val="000000" w:themeColor="text1"/>
          <w:lang w:val="sq-AL"/>
        </w:rPr>
        <w:t>të</w:t>
      </w:r>
      <w:r w:rsidR="00C803C2" w:rsidRPr="00B74733">
        <w:rPr>
          <w:color w:val="000000" w:themeColor="text1"/>
          <w:lang w:val="sq-AL"/>
        </w:rPr>
        <w:t xml:space="preserve"> papërdorura nga viti i kaluar</w:t>
      </w:r>
      <w:r w:rsidR="00C803C2">
        <w:rPr>
          <w:color w:val="000000" w:themeColor="text1"/>
          <w:lang w:val="sq-AL"/>
        </w:rPr>
        <w:t>)</w:t>
      </w:r>
      <w:r w:rsidR="000848B6" w:rsidRPr="00B74733">
        <w:rPr>
          <w:color w:val="000000" w:themeColor="text1"/>
          <w:lang w:val="sq-AL"/>
        </w:rPr>
        <w:t xml:space="preserve">, nga të cilat deri në fund të kësaj periudhe, janë përdorur vetëm 2 096 milion lekë, që përfaqëson rreth 29% të realizimit të planit deri në fund të 9 mujorit 2025. Detajimin e fondit të rindërtimit sipas natyrës së shpenzimeve, e paraqet tabela e mëposhtme: </w:t>
      </w:r>
    </w:p>
    <w:p w14:paraId="7BE17E65" w14:textId="77777777" w:rsidR="008C50E6" w:rsidRPr="00032728" w:rsidRDefault="00793AEE" w:rsidP="00244EF2">
      <w:pPr>
        <w:tabs>
          <w:tab w:val="left" w:pos="990"/>
        </w:tabs>
        <w:rPr>
          <w:rFonts w:ascii="Times New Roman" w:eastAsia="Times New Roman" w:hAnsi="Times New Roman"/>
          <w:i/>
          <w:color w:val="548DD4" w:themeColor="text2" w:themeTint="99"/>
          <w:szCs w:val="20"/>
        </w:rPr>
      </w:pPr>
      <w:r w:rsidRPr="00032728">
        <w:rPr>
          <w:rFonts w:ascii="Times New Roman" w:eastAsia="Times New Roman" w:hAnsi="Times New Roman"/>
          <w:b/>
          <w:color w:val="548DD4" w:themeColor="text2" w:themeTint="99"/>
          <w:sz w:val="22"/>
          <w:szCs w:val="24"/>
        </w:rPr>
        <w:t xml:space="preserve">Tabela </w:t>
      </w:r>
      <w:r w:rsidR="003D42BA" w:rsidRPr="00032728">
        <w:rPr>
          <w:rFonts w:ascii="Times New Roman" w:eastAsia="Times New Roman" w:hAnsi="Times New Roman"/>
          <w:b/>
          <w:color w:val="548DD4" w:themeColor="text2" w:themeTint="99"/>
          <w:sz w:val="22"/>
          <w:szCs w:val="24"/>
        </w:rPr>
        <w:t>2</w:t>
      </w:r>
      <w:r w:rsidRPr="00032728">
        <w:rPr>
          <w:rFonts w:ascii="Times New Roman" w:eastAsia="Times New Roman" w:hAnsi="Times New Roman"/>
          <w:b/>
          <w:color w:val="548DD4" w:themeColor="text2" w:themeTint="99"/>
          <w:sz w:val="22"/>
          <w:szCs w:val="24"/>
        </w:rPr>
        <w:t>:</w:t>
      </w:r>
      <w:r w:rsidRPr="00032728">
        <w:rPr>
          <w:rFonts w:ascii="Times New Roman" w:eastAsia="Times New Roman" w:hAnsi="Times New Roman"/>
          <w:color w:val="548DD4" w:themeColor="text2" w:themeTint="99"/>
          <w:sz w:val="22"/>
          <w:szCs w:val="24"/>
        </w:rPr>
        <w:t xml:space="preserve"> Detajimi i fondit të rindërtimit sipas llojit të shpenzimeve</w:t>
      </w:r>
      <w:r w:rsidR="00A75758" w:rsidRPr="00032728">
        <w:rPr>
          <w:rFonts w:ascii="Times New Roman" w:eastAsia="Times New Roman" w:hAnsi="Times New Roman"/>
          <w:color w:val="548DD4" w:themeColor="text2" w:themeTint="99"/>
          <w:sz w:val="22"/>
          <w:szCs w:val="24"/>
        </w:rPr>
        <w:t xml:space="preserve"> </w:t>
      </w:r>
      <w:r w:rsidR="00A75758" w:rsidRPr="00032728">
        <w:rPr>
          <w:rFonts w:ascii="Times New Roman" w:eastAsia="Times New Roman" w:hAnsi="Times New Roman"/>
          <w:i/>
          <w:color w:val="548DD4" w:themeColor="text2" w:themeTint="99"/>
          <w:szCs w:val="20"/>
        </w:rPr>
        <w:t>(në milion lekë)</w:t>
      </w:r>
    </w:p>
    <w:tbl>
      <w:tblPr>
        <w:tblW w:w="8077" w:type="dxa"/>
        <w:jc w:val="center"/>
        <w:tblLook w:val="04A0" w:firstRow="1" w:lastRow="0" w:firstColumn="1" w:lastColumn="0" w:noHBand="0" w:noVBand="1"/>
      </w:tblPr>
      <w:tblGrid>
        <w:gridCol w:w="528"/>
        <w:gridCol w:w="3880"/>
        <w:gridCol w:w="1869"/>
        <w:gridCol w:w="1800"/>
      </w:tblGrid>
      <w:tr w:rsidR="00B74733" w:rsidRPr="00B74733" w14:paraId="22D688EF" w14:textId="77777777" w:rsidTr="005A3C07">
        <w:trPr>
          <w:trHeight w:val="270"/>
          <w:jc w:val="center"/>
        </w:trPr>
        <w:tc>
          <w:tcPr>
            <w:tcW w:w="528" w:type="dxa"/>
            <w:vMerge w:val="restart"/>
            <w:tcBorders>
              <w:top w:val="double" w:sz="6" w:space="0" w:color="auto"/>
              <w:left w:val="double" w:sz="6" w:space="0" w:color="auto"/>
              <w:bottom w:val="dotted" w:sz="4" w:space="0" w:color="000000"/>
              <w:right w:val="dotted" w:sz="4" w:space="0" w:color="auto"/>
            </w:tcBorders>
            <w:shd w:val="clear" w:color="000000" w:fill="C5D9F1"/>
            <w:noWrap/>
            <w:vAlign w:val="center"/>
            <w:hideMark/>
          </w:tcPr>
          <w:p w14:paraId="7AE445B8" w14:textId="77777777" w:rsidR="00B6092B" w:rsidRPr="00B74733" w:rsidRDefault="00B6092B" w:rsidP="00244EF2">
            <w:pPr>
              <w:spacing w:before="0" w:after="0"/>
              <w:rPr>
                <w:rFonts w:ascii="Times New Roman" w:eastAsia="Times New Roman" w:hAnsi="Times New Roman"/>
                <w:b/>
                <w:bCs/>
                <w:color w:val="000000" w:themeColor="text1"/>
                <w:szCs w:val="20"/>
                <w:lang w:eastAsia="sq-AL"/>
              </w:rPr>
            </w:pPr>
            <w:r w:rsidRPr="00B74733">
              <w:rPr>
                <w:rFonts w:ascii="Times New Roman" w:eastAsia="Times New Roman" w:hAnsi="Times New Roman"/>
                <w:b/>
                <w:bCs/>
                <w:color w:val="000000" w:themeColor="text1"/>
                <w:szCs w:val="20"/>
                <w:lang w:eastAsia="sq-AL"/>
              </w:rPr>
              <w:t>Nr</w:t>
            </w:r>
          </w:p>
        </w:tc>
        <w:tc>
          <w:tcPr>
            <w:tcW w:w="3880" w:type="dxa"/>
            <w:vMerge w:val="restart"/>
            <w:tcBorders>
              <w:top w:val="double" w:sz="6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000000" w:fill="C5D9F1"/>
            <w:noWrap/>
            <w:vAlign w:val="center"/>
            <w:hideMark/>
          </w:tcPr>
          <w:p w14:paraId="22539E21" w14:textId="77777777" w:rsidR="00B6092B" w:rsidRPr="00B74733" w:rsidRDefault="00B6092B" w:rsidP="00244EF2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Cs w:val="20"/>
                <w:lang w:eastAsia="sq-AL"/>
              </w:rPr>
            </w:pPr>
            <w:r w:rsidRPr="00B74733">
              <w:rPr>
                <w:rFonts w:ascii="Times New Roman" w:eastAsia="Times New Roman" w:hAnsi="Times New Roman"/>
                <w:b/>
                <w:bCs/>
                <w:color w:val="000000" w:themeColor="text1"/>
                <w:szCs w:val="20"/>
                <w:lang w:eastAsia="sq-AL"/>
              </w:rPr>
              <w:t>E  M  Ë  R  T  I  M  I</w:t>
            </w:r>
          </w:p>
        </w:tc>
        <w:tc>
          <w:tcPr>
            <w:tcW w:w="3669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000000" w:fill="C5D9F1"/>
            <w:noWrap/>
            <w:vAlign w:val="center"/>
            <w:hideMark/>
          </w:tcPr>
          <w:p w14:paraId="7CE61C3F" w14:textId="1467200B" w:rsidR="00B6092B" w:rsidRPr="00B74733" w:rsidRDefault="00B6092B" w:rsidP="00244EF2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Cs w:val="20"/>
                <w:lang w:eastAsia="sq-AL"/>
              </w:rPr>
            </w:pPr>
            <w:r w:rsidRPr="00B74733">
              <w:rPr>
                <w:rFonts w:ascii="Times New Roman" w:eastAsia="Times New Roman" w:hAnsi="Times New Roman"/>
                <w:b/>
                <w:bCs/>
                <w:color w:val="000000" w:themeColor="text1"/>
                <w:szCs w:val="20"/>
                <w:lang w:eastAsia="sq-AL"/>
              </w:rPr>
              <w:t xml:space="preserve"> </w:t>
            </w:r>
            <w:r w:rsidR="00F26C44" w:rsidRPr="00B74733">
              <w:rPr>
                <w:rFonts w:ascii="Times New Roman" w:eastAsia="Times New Roman" w:hAnsi="Times New Roman"/>
                <w:b/>
                <w:bCs/>
                <w:color w:val="000000" w:themeColor="text1"/>
                <w:szCs w:val="20"/>
                <w:lang w:eastAsia="sq-AL"/>
              </w:rPr>
              <w:t>9</w:t>
            </w:r>
            <w:r w:rsidRPr="00B74733">
              <w:rPr>
                <w:rFonts w:ascii="Times New Roman" w:eastAsia="Times New Roman" w:hAnsi="Times New Roman"/>
                <w:b/>
                <w:bCs/>
                <w:color w:val="000000" w:themeColor="text1"/>
                <w:szCs w:val="20"/>
                <w:lang w:eastAsia="sq-AL"/>
              </w:rPr>
              <w:t xml:space="preserve"> mujori 202</w:t>
            </w:r>
            <w:r w:rsidR="00995F59" w:rsidRPr="00B74733">
              <w:rPr>
                <w:rFonts w:ascii="Times New Roman" w:eastAsia="Times New Roman" w:hAnsi="Times New Roman"/>
                <w:b/>
                <w:bCs/>
                <w:color w:val="000000" w:themeColor="text1"/>
                <w:szCs w:val="20"/>
                <w:lang w:eastAsia="sq-AL"/>
              </w:rPr>
              <w:t>5</w:t>
            </w:r>
          </w:p>
        </w:tc>
      </w:tr>
      <w:tr w:rsidR="00B74733" w:rsidRPr="00B74733" w14:paraId="4FD7A834" w14:textId="77777777" w:rsidTr="005A3C07">
        <w:trPr>
          <w:trHeight w:val="225"/>
          <w:jc w:val="center"/>
        </w:trPr>
        <w:tc>
          <w:tcPr>
            <w:tcW w:w="528" w:type="dxa"/>
            <w:vMerge/>
            <w:tcBorders>
              <w:top w:val="double" w:sz="6" w:space="0" w:color="auto"/>
              <w:left w:val="double" w:sz="6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1B500FF8" w14:textId="77777777" w:rsidR="00B6092B" w:rsidRPr="00B74733" w:rsidRDefault="00B6092B" w:rsidP="00244EF2">
            <w:pPr>
              <w:spacing w:before="0" w:after="0"/>
              <w:jc w:val="left"/>
              <w:rPr>
                <w:rFonts w:ascii="Times New Roman" w:eastAsia="Times New Roman" w:hAnsi="Times New Roman"/>
                <w:b/>
                <w:bCs/>
                <w:color w:val="000000" w:themeColor="text1"/>
                <w:szCs w:val="20"/>
                <w:lang w:eastAsia="sq-AL"/>
              </w:rPr>
            </w:pPr>
          </w:p>
        </w:tc>
        <w:tc>
          <w:tcPr>
            <w:tcW w:w="3880" w:type="dxa"/>
            <w:vMerge/>
            <w:tcBorders>
              <w:top w:val="double" w:sz="6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69815A15" w14:textId="77777777" w:rsidR="00B6092B" w:rsidRPr="00B74733" w:rsidRDefault="00B6092B" w:rsidP="00244EF2">
            <w:pPr>
              <w:spacing w:before="0" w:after="0"/>
              <w:jc w:val="left"/>
              <w:rPr>
                <w:rFonts w:ascii="Times New Roman" w:eastAsia="Times New Roman" w:hAnsi="Times New Roman"/>
                <w:b/>
                <w:bCs/>
                <w:color w:val="000000" w:themeColor="text1"/>
                <w:szCs w:val="20"/>
                <w:lang w:eastAsia="sq-AL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5D9F1"/>
            <w:noWrap/>
            <w:vAlign w:val="center"/>
            <w:hideMark/>
          </w:tcPr>
          <w:p w14:paraId="2269D24A" w14:textId="557CE889" w:rsidR="00B6092B" w:rsidRPr="00B74733" w:rsidRDefault="005A3C07" w:rsidP="00244EF2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Cs w:val="20"/>
                <w:lang w:eastAsia="sq-AL"/>
              </w:rPr>
            </w:pPr>
            <w:r w:rsidRPr="00B74733">
              <w:rPr>
                <w:rFonts w:ascii="Times New Roman" w:eastAsia="Times New Roman" w:hAnsi="Times New Roman"/>
                <w:b/>
                <w:bCs/>
                <w:color w:val="000000" w:themeColor="text1"/>
                <w:szCs w:val="20"/>
                <w:lang w:eastAsia="sq-AL"/>
              </w:rPr>
              <w:t>Realizimi faktik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000000" w:fill="C5D9F1"/>
            <w:noWrap/>
            <w:vAlign w:val="center"/>
            <w:hideMark/>
          </w:tcPr>
          <w:p w14:paraId="50B5219F" w14:textId="560AAB5B" w:rsidR="00B6092B" w:rsidRPr="00B74733" w:rsidRDefault="005A3C07" w:rsidP="00244EF2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Cs w:val="20"/>
                <w:lang w:eastAsia="sq-AL"/>
              </w:rPr>
            </w:pPr>
            <w:r w:rsidRPr="00B74733">
              <w:rPr>
                <w:rFonts w:ascii="Times New Roman" w:eastAsia="Times New Roman" w:hAnsi="Times New Roman"/>
                <w:b/>
                <w:bCs/>
                <w:color w:val="000000" w:themeColor="text1"/>
                <w:szCs w:val="20"/>
                <w:lang w:eastAsia="sq-AL"/>
              </w:rPr>
              <w:t>Buxheti operativ</w:t>
            </w:r>
          </w:p>
        </w:tc>
      </w:tr>
      <w:tr w:rsidR="00B74733" w:rsidRPr="00B74733" w14:paraId="2B31A092" w14:textId="77777777" w:rsidTr="00B6092B">
        <w:trPr>
          <w:trHeight w:val="300"/>
          <w:jc w:val="center"/>
        </w:trPr>
        <w:tc>
          <w:tcPr>
            <w:tcW w:w="528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F5CABC2" w14:textId="77777777" w:rsidR="00462120" w:rsidRPr="00B74733" w:rsidRDefault="00462120" w:rsidP="00462120">
            <w:pPr>
              <w:spacing w:before="0"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  <w:lang w:eastAsia="sq-AL"/>
              </w:rPr>
            </w:pPr>
            <w:r w:rsidRPr="00B74733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  <w:lang w:eastAsia="sq-AL"/>
              </w:rPr>
              <w:t>III.</w:t>
            </w:r>
          </w:p>
        </w:tc>
        <w:tc>
          <w:tcPr>
            <w:tcW w:w="3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35F549" w14:textId="77777777" w:rsidR="00462120" w:rsidRPr="00B74733" w:rsidRDefault="00462120" w:rsidP="00462120">
            <w:pPr>
              <w:spacing w:before="0"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  <w:lang w:eastAsia="sq-AL"/>
              </w:rPr>
            </w:pPr>
            <w:r w:rsidRPr="00B74733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  <w:lang w:eastAsia="sq-AL"/>
              </w:rPr>
              <w:t>Fondi i Rindërtimit</w:t>
            </w:r>
          </w:p>
        </w:tc>
        <w:tc>
          <w:tcPr>
            <w:tcW w:w="18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0FDA1E" w14:textId="3E00594F" w:rsidR="00462120" w:rsidRPr="00B74733" w:rsidRDefault="00995F59" w:rsidP="00462120">
            <w:pPr>
              <w:spacing w:before="0"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  <w:lang w:eastAsia="sq-AL"/>
              </w:rPr>
            </w:pPr>
            <w:r w:rsidRPr="00B74733"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  <w:t>2,096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12FA09E" w14:textId="5F759A5E" w:rsidR="00462120" w:rsidRPr="00B74733" w:rsidRDefault="00995F59" w:rsidP="00462120">
            <w:pPr>
              <w:spacing w:before="0"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  <w:lang w:eastAsia="sq-AL"/>
              </w:rPr>
            </w:pPr>
            <w:r w:rsidRPr="00B74733"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  <w:t>7,311</w:t>
            </w:r>
          </w:p>
        </w:tc>
      </w:tr>
      <w:tr w:rsidR="00B74733" w:rsidRPr="00B74733" w14:paraId="4E0D51CE" w14:textId="77777777" w:rsidTr="00B6092B">
        <w:trPr>
          <w:trHeight w:val="300"/>
          <w:jc w:val="center"/>
        </w:trPr>
        <w:tc>
          <w:tcPr>
            <w:tcW w:w="528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9E9CC58" w14:textId="77777777" w:rsidR="00462120" w:rsidRPr="00B74733" w:rsidRDefault="00462120" w:rsidP="00462120">
            <w:pPr>
              <w:spacing w:before="0" w:after="0"/>
              <w:rPr>
                <w:rFonts w:ascii="Times New Roman" w:eastAsia="Times New Roman" w:hAnsi="Times New Roman"/>
                <w:color w:val="000000" w:themeColor="text1"/>
                <w:sz w:val="22"/>
                <w:lang w:eastAsia="sq-AL"/>
              </w:rPr>
            </w:pPr>
            <w:r w:rsidRPr="00B74733">
              <w:rPr>
                <w:rFonts w:ascii="Times New Roman" w:eastAsia="Times New Roman" w:hAnsi="Times New Roman"/>
                <w:color w:val="000000" w:themeColor="text1"/>
                <w:sz w:val="22"/>
                <w:lang w:eastAsia="sq-AL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9511481" w14:textId="77777777" w:rsidR="00462120" w:rsidRPr="00B74733" w:rsidRDefault="00462120" w:rsidP="00462120">
            <w:pPr>
              <w:spacing w:before="0" w:after="0"/>
              <w:rPr>
                <w:rFonts w:ascii="Times New Roman" w:eastAsia="Times New Roman" w:hAnsi="Times New Roman"/>
                <w:i/>
                <w:iCs/>
                <w:color w:val="000000" w:themeColor="text1"/>
                <w:sz w:val="22"/>
                <w:lang w:eastAsia="sq-AL"/>
              </w:rPr>
            </w:pPr>
            <w:r w:rsidRPr="00B74733">
              <w:rPr>
                <w:rFonts w:ascii="Times New Roman" w:eastAsia="Times New Roman" w:hAnsi="Times New Roman"/>
                <w:i/>
                <w:iCs/>
                <w:color w:val="000000" w:themeColor="text1"/>
                <w:sz w:val="22"/>
                <w:lang w:eastAsia="sq-AL"/>
              </w:rPr>
              <w:t>Shpenzime kapitale</w:t>
            </w:r>
          </w:p>
        </w:tc>
        <w:tc>
          <w:tcPr>
            <w:tcW w:w="18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8C45C0" w14:textId="5764D783" w:rsidR="00462120" w:rsidRPr="00B74733" w:rsidRDefault="00995F59" w:rsidP="00462120">
            <w:pPr>
              <w:spacing w:before="0" w:after="0"/>
              <w:jc w:val="right"/>
              <w:rPr>
                <w:rFonts w:ascii="Times New Roman" w:eastAsia="Times New Roman" w:hAnsi="Times New Roman"/>
                <w:i/>
                <w:iCs/>
                <w:color w:val="000000" w:themeColor="text1"/>
                <w:sz w:val="22"/>
                <w:lang w:eastAsia="sq-AL"/>
              </w:rPr>
            </w:pPr>
            <w:r w:rsidRPr="00B74733">
              <w:rPr>
                <w:rFonts w:ascii="Times New Roman" w:hAnsi="Times New Roman"/>
                <w:i/>
                <w:iCs/>
                <w:color w:val="000000" w:themeColor="text1"/>
                <w:sz w:val="22"/>
              </w:rPr>
              <w:t>1,082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4E5C82A8" w14:textId="77223066" w:rsidR="00462120" w:rsidRPr="00B74733" w:rsidRDefault="00995F59" w:rsidP="00462120">
            <w:pPr>
              <w:spacing w:before="0" w:after="0"/>
              <w:jc w:val="right"/>
              <w:rPr>
                <w:rFonts w:ascii="Times New Roman" w:eastAsia="Times New Roman" w:hAnsi="Times New Roman"/>
                <w:i/>
                <w:iCs/>
                <w:color w:val="000000" w:themeColor="text1"/>
                <w:sz w:val="22"/>
                <w:lang w:eastAsia="sq-AL"/>
              </w:rPr>
            </w:pPr>
            <w:r w:rsidRPr="00B74733">
              <w:rPr>
                <w:rFonts w:ascii="Times New Roman" w:hAnsi="Times New Roman"/>
                <w:i/>
                <w:iCs/>
                <w:color w:val="000000" w:themeColor="text1"/>
                <w:sz w:val="22"/>
              </w:rPr>
              <w:t>4,194</w:t>
            </w:r>
          </w:p>
        </w:tc>
      </w:tr>
      <w:tr w:rsidR="00B74733" w:rsidRPr="00B74733" w14:paraId="6A645931" w14:textId="77777777" w:rsidTr="00B6092B">
        <w:trPr>
          <w:trHeight w:val="300"/>
          <w:jc w:val="center"/>
        </w:trPr>
        <w:tc>
          <w:tcPr>
            <w:tcW w:w="528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0081F74" w14:textId="77777777" w:rsidR="00462120" w:rsidRPr="00B74733" w:rsidRDefault="00462120" w:rsidP="00462120">
            <w:pPr>
              <w:spacing w:before="0" w:after="0"/>
              <w:rPr>
                <w:rFonts w:ascii="Times New Roman" w:eastAsia="Times New Roman" w:hAnsi="Times New Roman"/>
                <w:color w:val="000000" w:themeColor="text1"/>
                <w:sz w:val="22"/>
                <w:lang w:eastAsia="sq-AL"/>
              </w:rPr>
            </w:pPr>
            <w:r w:rsidRPr="00B74733">
              <w:rPr>
                <w:rFonts w:ascii="Times New Roman" w:eastAsia="Times New Roman" w:hAnsi="Times New Roman"/>
                <w:color w:val="000000" w:themeColor="text1"/>
                <w:sz w:val="22"/>
                <w:lang w:eastAsia="sq-AL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2AB9A42" w14:textId="77777777" w:rsidR="00462120" w:rsidRPr="00B74733" w:rsidRDefault="00462120" w:rsidP="00462120">
            <w:pPr>
              <w:spacing w:before="0" w:after="0"/>
              <w:rPr>
                <w:rFonts w:ascii="Times New Roman" w:eastAsia="Times New Roman" w:hAnsi="Times New Roman"/>
                <w:i/>
                <w:iCs/>
                <w:color w:val="000000" w:themeColor="text1"/>
                <w:sz w:val="22"/>
                <w:lang w:eastAsia="sq-AL"/>
              </w:rPr>
            </w:pPr>
            <w:r w:rsidRPr="00B74733">
              <w:rPr>
                <w:rFonts w:ascii="Times New Roman" w:eastAsia="Times New Roman" w:hAnsi="Times New Roman"/>
                <w:i/>
                <w:iCs/>
                <w:color w:val="000000" w:themeColor="text1"/>
                <w:sz w:val="22"/>
                <w:lang w:eastAsia="sq-AL"/>
              </w:rPr>
              <w:t>Shpenzime Opereative &amp; Mirëmbajtje</w:t>
            </w:r>
          </w:p>
        </w:tc>
        <w:tc>
          <w:tcPr>
            <w:tcW w:w="18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C4985DC" w14:textId="0D7D3ACD" w:rsidR="00462120" w:rsidRPr="00B74733" w:rsidRDefault="00995F59" w:rsidP="00462120">
            <w:pPr>
              <w:spacing w:before="0" w:after="0"/>
              <w:jc w:val="right"/>
              <w:rPr>
                <w:rFonts w:ascii="Times New Roman" w:eastAsia="Times New Roman" w:hAnsi="Times New Roman"/>
                <w:i/>
                <w:iCs/>
                <w:color w:val="000000" w:themeColor="text1"/>
                <w:sz w:val="22"/>
                <w:lang w:eastAsia="sq-AL"/>
              </w:rPr>
            </w:pPr>
            <w:r w:rsidRPr="00B74733">
              <w:rPr>
                <w:rFonts w:ascii="Times New Roman" w:hAnsi="Times New Roman"/>
                <w:i/>
                <w:iCs/>
                <w:color w:val="000000" w:themeColor="text1"/>
                <w:sz w:val="22"/>
              </w:rPr>
              <w:t>0.14</w:t>
            </w:r>
          </w:p>
        </w:tc>
        <w:tc>
          <w:tcPr>
            <w:tcW w:w="180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7BA0FF05" w14:textId="5829E7C0" w:rsidR="00462120" w:rsidRPr="00B74733" w:rsidRDefault="00995F59" w:rsidP="00462120">
            <w:pPr>
              <w:spacing w:before="0" w:after="0"/>
              <w:jc w:val="right"/>
              <w:rPr>
                <w:rFonts w:ascii="Times New Roman" w:eastAsia="Times New Roman" w:hAnsi="Times New Roman"/>
                <w:i/>
                <w:iCs/>
                <w:color w:val="000000" w:themeColor="text1"/>
                <w:sz w:val="22"/>
                <w:lang w:eastAsia="sq-AL"/>
              </w:rPr>
            </w:pPr>
            <w:r w:rsidRPr="00B74733">
              <w:rPr>
                <w:rFonts w:ascii="Times New Roman" w:hAnsi="Times New Roman"/>
                <w:i/>
                <w:iCs/>
                <w:color w:val="000000" w:themeColor="text1"/>
                <w:sz w:val="22"/>
              </w:rPr>
              <w:t>491</w:t>
            </w:r>
          </w:p>
        </w:tc>
      </w:tr>
      <w:tr w:rsidR="00B74733" w:rsidRPr="00B74733" w14:paraId="5CD0855F" w14:textId="77777777" w:rsidTr="00B6092B">
        <w:trPr>
          <w:trHeight w:val="315"/>
          <w:jc w:val="center"/>
        </w:trPr>
        <w:tc>
          <w:tcPr>
            <w:tcW w:w="528" w:type="dxa"/>
            <w:tcBorders>
              <w:top w:val="nil"/>
              <w:left w:val="double" w:sz="6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26BE9D92" w14:textId="77777777" w:rsidR="00462120" w:rsidRPr="00B74733" w:rsidRDefault="00462120" w:rsidP="00462120">
            <w:pPr>
              <w:spacing w:before="0" w:after="0"/>
              <w:rPr>
                <w:rFonts w:ascii="Times New Roman" w:eastAsia="Times New Roman" w:hAnsi="Times New Roman"/>
                <w:color w:val="000000" w:themeColor="text1"/>
                <w:sz w:val="22"/>
                <w:lang w:eastAsia="sq-AL"/>
              </w:rPr>
            </w:pPr>
            <w:r w:rsidRPr="00B74733">
              <w:rPr>
                <w:rFonts w:ascii="Times New Roman" w:eastAsia="Times New Roman" w:hAnsi="Times New Roman"/>
                <w:color w:val="000000" w:themeColor="text1"/>
                <w:sz w:val="22"/>
                <w:lang w:eastAsia="sq-AL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79AFABAC" w14:textId="77777777" w:rsidR="00462120" w:rsidRPr="00B74733" w:rsidRDefault="00462120" w:rsidP="00462120">
            <w:pPr>
              <w:spacing w:before="0" w:after="0"/>
              <w:rPr>
                <w:rFonts w:ascii="Times New Roman" w:eastAsia="Times New Roman" w:hAnsi="Times New Roman"/>
                <w:i/>
                <w:iCs/>
                <w:color w:val="000000" w:themeColor="text1"/>
                <w:sz w:val="22"/>
                <w:lang w:eastAsia="sq-AL"/>
              </w:rPr>
            </w:pPr>
            <w:r w:rsidRPr="00B74733">
              <w:rPr>
                <w:rFonts w:ascii="Times New Roman" w:eastAsia="Times New Roman" w:hAnsi="Times New Roman"/>
                <w:i/>
                <w:iCs/>
                <w:color w:val="000000" w:themeColor="text1"/>
                <w:sz w:val="22"/>
                <w:lang w:eastAsia="sq-AL"/>
              </w:rPr>
              <w:t>Transferta për familjet dhe individët</w:t>
            </w:r>
          </w:p>
        </w:tc>
        <w:tc>
          <w:tcPr>
            <w:tcW w:w="1869" w:type="dxa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6359EA2E" w14:textId="39FF49AD" w:rsidR="00462120" w:rsidRPr="00B74733" w:rsidRDefault="00995F59" w:rsidP="00462120">
            <w:pPr>
              <w:spacing w:before="0" w:after="0"/>
              <w:jc w:val="right"/>
              <w:rPr>
                <w:rFonts w:ascii="Times New Roman" w:eastAsia="Times New Roman" w:hAnsi="Times New Roman"/>
                <w:i/>
                <w:iCs/>
                <w:color w:val="000000" w:themeColor="text1"/>
                <w:sz w:val="22"/>
                <w:lang w:eastAsia="sq-AL"/>
              </w:rPr>
            </w:pPr>
            <w:r w:rsidRPr="00B74733">
              <w:rPr>
                <w:rFonts w:ascii="Times New Roman" w:hAnsi="Times New Roman"/>
                <w:i/>
                <w:iCs/>
                <w:color w:val="000000" w:themeColor="text1"/>
                <w:sz w:val="22"/>
              </w:rPr>
              <w:t>1,014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B79DAEE" w14:textId="023E1434" w:rsidR="00462120" w:rsidRPr="00B74733" w:rsidRDefault="00995F59" w:rsidP="00462120">
            <w:pPr>
              <w:spacing w:before="0" w:after="0"/>
              <w:jc w:val="right"/>
              <w:rPr>
                <w:rFonts w:ascii="Times New Roman" w:eastAsia="Times New Roman" w:hAnsi="Times New Roman"/>
                <w:i/>
                <w:iCs/>
                <w:color w:val="000000" w:themeColor="text1"/>
                <w:sz w:val="22"/>
                <w:lang w:eastAsia="sq-AL"/>
              </w:rPr>
            </w:pPr>
            <w:r w:rsidRPr="00B74733">
              <w:rPr>
                <w:rFonts w:ascii="Times New Roman" w:hAnsi="Times New Roman"/>
                <w:i/>
                <w:iCs/>
                <w:color w:val="000000" w:themeColor="text1"/>
                <w:sz w:val="22"/>
              </w:rPr>
              <w:t>2.626</w:t>
            </w:r>
          </w:p>
        </w:tc>
      </w:tr>
    </w:tbl>
    <w:bookmarkEnd w:id="1"/>
    <w:p w14:paraId="1AD4FCCF" w14:textId="77777777" w:rsidR="005A3C07" w:rsidRPr="00C36029" w:rsidRDefault="000A70A7" w:rsidP="00244EF2">
      <w:pPr>
        <w:tabs>
          <w:tab w:val="left" w:pos="990"/>
        </w:tabs>
        <w:ind w:right="-43"/>
        <w:jc w:val="center"/>
        <w:rPr>
          <w:rFonts w:ascii="Times New Roman" w:eastAsia="Times New Roman" w:hAnsi="Times New Roman"/>
          <w:iCs/>
          <w:color w:val="4F81BD" w:themeColor="accent1"/>
          <w:sz w:val="22"/>
          <w:szCs w:val="24"/>
        </w:rPr>
      </w:pPr>
      <w:r w:rsidRPr="00B74733">
        <w:rPr>
          <w:rFonts w:ascii="Times New Roman" w:hAnsi="Times New Roman"/>
          <w:b/>
          <w:iCs/>
          <w:noProof/>
          <w:color w:val="000000" w:themeColor="text1"/>
          <w:szCs w:val="20"/>
          <w:lang w:eastAsia="sq-AL"/>
        </w:rPr>
        <w:t>Burimi:</w:t>
      </w:r>
      <w:r w:rsidRPr="00B74733">
        <w:rPr>
          <w:rFonts w:ascii="Times New Roman" w:hAnsi="Times New Roman"/>
          <w:iCs/>
          <w:noProof/>
          <w:color w:val="000000" w:themeColor="text1"/>
          <w:szCs w:val="20"/>
          <w:lang w:eastAsia="sq-AL"/>
        </w:rPr>
        <w:t xml:space="preserve"> Ministria e Financave</w:t>
      </w:r>
      <w:r w:rsidR="005A3C07" w:rsidRPr="00B74733">
        <w:rPr>
          <w:rFonts w:ascii="Times New Roman" w:hAnsi="Times New Roman"/>
          <w:iCs/>
          <w:noProof/>
          <w:color w:val="000000" w:themeColor="text1"/>
          <w:szCs w:val="20"/>
          <w:lang w:eastAsia="sq-AL"/>
        </w:rPr>
        <w:t xml:space="preserve">, SIFQ, </w:t>
      </w:r>
      <w:hyperlink r:id="rId19" w:history="1">
        <w:r w:rsidR="005A3C07" w:rsidRPr="00C36029">
          <w:rPr>
            <w:rStyle w:val="Hyperlink"/>
            <w:rFonts w:ascii="Times New Roman" w:hAnsi="Times New Roman"/>
            <w:iCs/>
            <w:color w:val="4F81BD" w:themeColor="accent1"/>
          </w:rPr>
          <w:t>https://financa.gov.al/realizimi-accrual_cash/</w:t>
        </w:r>
      </w:hyperlink>
    </w:p>
    <w:bookmarkEnd w:id="2"/>
    <w:p w14:paraId="334277F9" w14:textId="77777777" w:rsidR="00B157E7" w:rsidRPr="00B74733" w:rsidRDefault="00B157E7" w:rsidP="00244EF2">
      <w:pPr>
        <w:tabs>
          <w:tab w:val="left" w:pos="360"/>
        </w:tabs>
        <w:rPr>
          <w:rFonts w:ascii="Times New Roman" w:hAnsi="Times New Roman"/>
          <w:color w:val="000000" w:themeColor="text1"/>
          <w:sz w:val="24"/>
          <w:szCs w:val="24"/>
        </w:rPr>
      </w:pPr>
    </w:p>
    <w:sectPr w:rsidR="00B157E7" w:rsidRPr="00B74733" w:rsidSect="002C68BF">
      <w:footerReference w:type="default" r:id="rId20"/>
      <w:pgSz w:w="12240" w:h="15840"/>
      <w:pgMar w:top="1080" w:right="1260" w:bottom="540" w:left="1260" w:header="720" w:footer="2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122BD" w14:textId="77777777" w:rsidR="009E4624" w:rsidRDefault="009E4624" w:rsidP="004E1577">
      <w:pPr>
        <w:spacing w:before="0" w:after="0" w:line="240" w:lineRule="auto"/>
      </w:pPr>
      <w:r>
        <w:separator/>
      </w:r>
    </w:p>
  </w:endnote>
  <w:endnote w:type="continuationSeparator" w:id="0">
    <w:p w14:paraId="3D9AD56E" w14:textId="77777777" w:rsidR="009E4624" w:rsidRDefault="009E4624" w:rsidP="004E15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97912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6E0A24" w14:textId="47C39DEC" w:rsidR="004E1577" w:rsidRDefault="004E15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4B2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B2EA5B5" w14:textId="77777777" w:rsidR="004E1577" w:rsidRDefault="004E15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4FFEC" w14:textId="77777777" w:rsidR="009E4624" w:rsidRDefault="009E4624" w:rsidP="004E1577">
      <w:pPr>
        <w:spacing w:before="0" w:after="0" w:line="240" w:lineRule="auto"/>
      </w:pPr>
      <w:r>
        <w:separator/>
      </w:r>
    </w:p>
  </w:footnote>
  <w:footnote w:type="continuationSeparator" w:id="0">
    <w:p w14:paraId="350C74A9" w14:textId="77777777" w:rsidR="009E4624" w:rsidRDefault="009E4624" w:rsidP="004E157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ED5C50"/>
    <w:multiLevelType w:val="hybridMultilevel"/>
    <w:tmpl w:val="C882AFAE"/>
    <w:lvl w:ilvl="0" w:tplc="EAB4A3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36DCC"/>
    <w:multiLevelType w:val="hybridMultilevel"/>
    <w:tmpl w:val="D92ABB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E10761"/>
    <w:multiLevelType w:val="hybridMultilevel"/>
    <w:tmpl w:val="C5665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B617E"/>
    <w:multiLevelType w:val="hybridMultilevel"/>
    <w:tmpl w:val="F9CE0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255511">
    <w:abstractNumId w:val="2"/>
  </w:num>
  <w:num w:numId="2" w16cid:durableId="881792015">
    <w:abstractNumId w:val="1"/>
  </w:num>
  <w:num w:numId="3" w16cid:durableId="199365787">
    <w:abstractNumId w:val="0"/>
  </w:num>
  <w:num w:numId="4" w16cid:durableId="485391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D47"/>
    <w:rsid w:val="00001638"/>
    <w:rsid w:val="00003D47"/>
    <w:rsid w:val="00007AFF"/>
    <w:rsid w:val="000154F7"/>
    <w:rsid w:val="000211E4"/>
    <w:rsid w:val="0002513D"/>
    <w:rsid w:val="00032728"/>
    <w:rsid w:val="00032C9F"/>
    <w:rsid w:val="00032E89"/>
    <w:rsid w:val="00035F26"/>
    <w:rsid w:val="000362B7"/>
    <w:rsid w:val="00065935"/>
    <w:rsid w:val="000724A9"/>
    <w:rsid w:val="000755ED"/>
    <w:rsid w:val="000757C9"/>
    <w:rsid w:val="00082742"/>
    <w:rsid w:val="000848B6"/>
    <w:rsid w:val="0009388D"/>
    <w:rsid w:val="000A1187"/>
    <w:rsid w:val="000A70A7"/>
    <w:rsid w:val="000B1600"/>
    <w:rsid w:val="000B4F83"/>
    <w:rsid w:val="000C41DD"/>
    <w:rsid w:val="000C473D"/>
    <w:rsid w:val="000D4A4D"/>
    <w:rsid w:val="000D557F"/>
    <w:rsid w:val="000D5DF5"/>
    <w:rsid w:val="000D6116"/>
    <w:rsid w:val="000E2175"/>
    <w:rsid w:val="001003EF"/>
    <w:rsid w:val="00105021"/>
    <w:rsid w:val="00107558"/>
    <w:rsid w:val="0011402C"/>
    <w:rsid w:val="00114639"/>
    <w:rsid w:val="00122DD0"/>
    <w:rsid w:val="00132B77"/>
    <w:rsid w:val="00137061"/>
    <w:rsid w:val="0014236E"/>
    <w:rsid w:val="001458CD"/>
    <w:rsid w:val="0014710D"/>
    <w:rsid w:val="001554B9"/>
    <w:rsid w:val="00160975"/>
    <w:rsid w:val="00162F5E"/>
    <w:rsid w:val="00184A5B"/>
    <w:rsid w:val="00185BFA"/>
    <w:rsid w:val="00196741"/>
    <w:rsid w:val="001A0F36"/>
    <w:rsid w:val="001A3C3D"/>
    <w:rsid w:val="001B102D"/>
    <w:rsid w:val="001C1FEC"/>
    <w:rsid w:val="001C4DA3"/>
    <w:rsid w:val="001D310A"/>
    <w:rsid w:val="001D328E"/>
    <w:rsid w:val="001D760F"/>
    <w:rsid w:val="001F3AF3"/>
    <w:rsid w:val="00200FC7"/>
    <w:rsid w:val="00207D43"/>
    <w:rsid w:val="0021123F"/>
    <w:rsid w:val="002207B0"/>
    <w:rsid w:val="00244EF2"/>
    <w:rsid w:val="00255AE4"/>
    <w:rsid w:val="00256130"/>
    <w:rsid w:val="002604D2"/>
    <w:rsid w:val="00262633"/>
    <w:rsid w:val="00267CD3"/>
    <w:rsid w:val="00276039"/>
    <w:rsid w:val="00281D6E"/>
    <w:rsid w:val="00285729"/>
    <w:rsid w:val="00290C70"/>
    <w:rsid w:val="002C68BF"/>
    <w:rsid w:val="002D1CE6"/>
    <w:rsid w:val="002E18D2"/>
    <w:rsid w:val="002E3AC5"/>
    <w:rsid w:val="002F7EAD"/>
    <w:rsid w:val="00311E34"/>
    <w:rsid w:val="00322D44"/>
    <w:rsid w:val="00345AE7"/>
    <w:rsid w:val="00346562"/>
    <w:rsid w:val="003848C9"/>
    <w:rsid w:val="00385F2C"/>
    <w:rsid w:val="0039134B"/>
    <w:rsid w:val="00397B83"/>
    <w:rsid w:val="003A6499"/>
    <w:rsid w:val="003B0010"/>
    <w:rsid w:val="003B3847"/>
    <w:rsid w:val="003B50B0"/>
    <w:rsid w:val="003C1F93"/>
    <w:rsid w:val="003C3496"/>
    <w:rsid w:val="003C7BC3"/>
    <w:rsid w:val="003D42BA"/>
    <w:rsid w:val="003E2E66"/>
    <w:rsid w:val="003E5650"/>
    <w:rsid w:val="003F1F17"/>
    <w:rsid w:val="003F2731"/>
    <w:rsid w:val="003F2924"/>
    <w:rsid w:val="003F4A03"/>
    <w:rsid w:val="004146D2"/>
    <w:rsid w:val="00416D2F"/>
    <w:rsid w:val="004246BD"/>
    <w:rsid w:val="00425319"/>
    <w:rsid w:val="0043274E"/>
    <w:rsid w:val="0043347F"/>
    <w:rsid w:val="00442A66"/>
    <w:rsid w:val="00444AF9"/>
    <w:rsid w:val="00462120"/>
    <w:rsid w:val="00463358"/>
    <w:rsid w:val="00463DE7"/>
    <w:rsid w:val="0046621E"/>
    <w:rsid w:val="004732E0"/>
    <w:rsid w:val="00476937"/>
    <w:rsid w:val="00491363"/>
    <w:rsid w:val="0049444C"/>
    <w:rsid w:val="00497766"/>
    <w:rsid w:val="00497B15"/>
    <w:rsid w:val="004A1114"/>
    <w:rsid w:val="004A7EA8"/>
    <w:rsid w:val="004B316D"/>
    <w:rsid w:val="004B4014"/>
    <w:rsid w:val="004C06B4"/>
    <w:rsid w:val="004C0C5C"/>
    <w:rsid w:val="004C2DAD"/>
    <w:rsid w:val="004C7340"/>
    <w:rsid w:val="004D13AA"/>
    <w:rsid w:val="004E1577"/>
    <w:rsid w:val="004E34B9"/>
    <w:rsid w:val="004E4F79"/>
    <w:rsid w:val="004E50CA"/>
    <w:rsid w:val="0052153C"/>
    <w:rsid w:val="00523455"/>
    <w:rsid w:val="00525D96"/>
    <w:rsid w:val="00530AAC"/>
    <w:rsid w:val="00531E15"/>
    <w:rsid w:val="0054391F"/>
    <w:rsid w:val="00555A7E"/>
    <w:rsid w:val="00557F21"/>
    <w:rsid w:val="00564031"/>
    <w:rsid w:val="00574DF8"/>
    <w:rsid w:val="00591515"/>
    <w:rsid w:val="0059163E"/>
    <w:rsid w:val="005A3C07"/>
    <w:rsid w:val="005A440C"/>
    <w:rsid w:val="005A4B05"/>
    <w:rsid w:val="005C08F1"/>
    <w:rsid w:val="005C15D6"/>
    <w:rsid w:val="005C47A3"/>
    <w:rsid w:val="005D2F3F"/>
    <w:rsid w:val="005D4658"/>
    <w:rsid w:val="005D4E92"/>
    <w:rsid w:val="005E6D3E"/>
    <w:rsid w:val="005F6DB1"/>
    <w:rsid w:val="00612298"/>
    <w:rsid w:val="00620B4F"/>
    <w:rsid w:val="00625B00"/>
    <w:rsid w:val="0064732E"/>
    <w:rsid w:val="00662398"/>
    <w:rsid w:val="00664B7A"/>
    <w:rsid w:val="006808ED"/>
    <w:rsid w:val="00683342"/>
    <w:rsid w:val="00697226"/>
    <w:rsid w:val="006B0C80"/>
    <w:rsid w:val="006B3FAB"/>
    <w:rsid w:val="006B52ED"/>
    <w:rsid w:val="006B70A3"/>
    <w:rsid w:val="006C2CC7"/>
    <w:rsid w:val="006C46FA"/>
    <w:rsid w:val="006C7233"/>
    <w:rsid w:val="006D15A9"/>
    <w:rsid w:val="006E1C1F"/>
    <w:rsid w:val="006E7566"/>
    <w:rsid w:val="006F1C7A"/>
    <w:rsid w:val="00714E0C"/>
    <w:rsid w:val="00731E3B"/>
    <w:rsid w:val="0073690A"/>
    <w:rsid w:val="007478ED"/>
    <w:rsid w:val="0076058D"/>
    <w:rsid w:val="00773A9F"/>
    <w:rsid w:val="0077771A"/>
    <w:rsid w:val="00780185"/>
    <w:rsid w:val="00786C51"/>
    <w:rsid w:val="007936C6"/>
    <w:rsid w:val="00793AEE"/>
    <w:rsid w:val="007A1F38"/>
    <w:rsid w:val="007B3917"/>
    <w:rsid w:val="007C6FAE"/>
    <w:rsid w:val="007D1D5D"/>
    <w:rsid w:val="007D66C8"/>
    <w:rsid w:val="007F090D"/>
    <w:rsid w:val="00814629"/>
    <w:rsid w:val="008206B5"/>
    <w:rsid w:val="00825935"/>
    <w:rsid w:val="0082594E"/>
    <w:rsid w:val="00825D90"/>
    <w:rsid w:val="0083404C"/>
    <w:rsid w:val="00843AE2"/>
    <w:rsid w:val="00846AA3"/>
    <w:rsid w:val="008603DC"/>
    <w:rsid w:val="008671E0"/>
    <w:rsid w:val="00875E10"/>
    <w:rsid w:val="008A5336"/>
    <w:rsid w:val="008B0AF1"/>
    <w:rsid w:val="008B20D6"/>
    <w:rsid w:val="008B2D6D"/>
    <w:rsid w:val="008B4473"/>
    <w:rsid w:val="008B665C"/>
    <w:rsid w:val="008C0DC9"/>
    <w:rsid w:val="008C1AC7"/>
    <w:rsid w:val="008C4A3F"/>
    <w:rsid w:val="008C50E6"/>
    <w:rsid w:val="008C5D92"/>
    <w:rsid w:val="008C7D8E"/>
    <w:rsid w:val="008D08D2"/>
    <w:rsid w:val="008D0E33"/>
    <w:rsid w:val="008D21A9"/>
    <w:rsid w:val="008E5D15"/>
    <w:rsid w:val="008E5FD3"/>
    <w:rsid w:val="008F598B"/>
    <w:rsid w:val="008F5F64"/>
    <w:rsid w:val="009030CB"/>
    <w:rsid w:val="00907EB6"/>
    <w:rsid w:val="00931380"/>
    <w:rsid w:val="00935C32"/>
    <w:rsid w:val="00940406"/>
    <w:rsid w:val="009539E2"/>
    <w:rsid w:val="00954FE2"/>
    <w:rsid w:val="009571C7"/>
    <w:rsid w:val="00965030"/>
    <w:rsid w:val="00970326"/>
    <w:rsid w:val="00974087"/>
    <w:rsid w:val="00992F49"/>
    <w:rsid w:val="00994D0D"/>
    <w:rsid w:val="00995F59"/>
    <w:rsid w:val="00997A94"/>
    <w:rsid w:val="009A22A2"/>
    <w:rsid w:val="009B36CB"/>
    <w:rsid w:val="009B3904"/>
    <w:rsid w:val="009B5C60"/>
    <w:rsid w:val="009D0F9D"/>
    <w:rsid w:val="009E26CF"/>
    <w:rsid w:val="009E4624"/>
    <w:rsid w:val="00A03F37"/>
    <w:rsid w:val="00A07F62"/>
    <w:rsid w:val="00A11E35"/>
    <w:rsid w:val="00A167AD"/>
    <w:rsid w:val="00A406BF"/>
    <w:rsid w:val="00A45E18"/>
    <w:rsid w:val="00A50A08"/>
    <w:rsid w:val="00A537C5"/>
    <w:rsid w:val="00A55FE2"/>
    <w:rsid w:val="00A75758"/>
    <w:rsid w:val="00A81C34"/>
    <w:rsid w:val="00A93FE3"/>
    <w:rsid w:val="00AA0AB0"/>
    <w:rsid w:val="00AA61C4"/>
    <w:rsid w:val="00AA6F6F"/>
    <w:rsid w:val="00AA7337"/>
    <w:rsid w:val="00AB00CF"/>
    <w:rsid w:val="00AB3CF9"/>
    <w:rsid w:val="00AB4C28"/>
    <w:rsid w:val="00AB7366"/>
    <w:rsid w:val="00AC2458"/>
    <w:rsid w:val="00AC3FB0"/>
    <w:rsid w:val="00AC5271"/>
    <w:rsid w:val="00AD161E"/>
    <w:rsid w:val="00AE1DB8"/>
    <w:rsid w:val="00AE2A54"/>
    <w:rsid w:val="00AE3B93"/>
    <w:rsid w:val="00AF1A84"/>
    <w:rsid w:val="00B00659"/>
    <w:rsid w:val="00B03422"/>
    <w:rsid w:val="00B07C81"/>
    <w:rsid w:val="00B157E7"/>
    <w:rsid w:val="00B15D2B"/>
    <w:rsid w:val="00B26ADA"/>
    <w:rsid w:val="00B30826"/>
    <w:rsid w:val="00B40466"/>
    <w:rsid w:val="00B428BF"/>
    <w:rsid w:val="00B6092B"/>
    <w:rsid w:val="00B60FEE"/>
    <w:rsid w:val="00B62795"/>
    <w:rsid w:val="00B65F73"/>
    <w:rsid w:val="00B74733"/>
    <w:rsid w:val="00B75087"/>
    <w:rsid w:val="00B83A1E"/>
    <w:rsid w:val="00B83C4A"/>
    <w:rsid w:val="00B94190"/>
    <w:rsid w:val="00BB54DA"/>
    <w:rsid w:val="00BC0E5E"/>
    <w:rsid w:val="00BC49B7"/>
    <w:rsid w:val="00BC5746"/>
    <w:rsid w:val="00BD382F"/>
    <w:rsid w:val="00BD55BC"/>
    <w:rsid w:val="00BD600C"/>
    <w:rsid w:val="00BE3415"/>
    <w:rsid w:val="00BE5C9B"/>
    <w:rsid w:val="00BF3058"/>
    <w:rsid w:val="00BF71E5"/>
    <w:rsid w:val="00BF7DEC"/>
    <w:rsid w:val="00C14FCF"/>
    <w:rsid w:val="00C25DDF"/>
    <w:rsid w:val="00C27C57"/>
    <w:rsid w:val="00C34B2E"/>
    <w:rsid w:val="00C353FB"/>
    <w:rsid w:val="00C36029"/>
    <w:rsid w:val="00C40DD4"/>
    <w:rsid w:val="00C42CCE"/>
    <w:rsid w:val="00C51553"/>
    <w:rsid w:val="00C67915"/>
    <w:rsid w:val="00C75ABC"/>
    <w:rsid w:val="00C803C2"/>
    <w:rsid w:val="00C918EA"/>
    <w:rsid w:val="00C978C3"/>
    <w:rsid w:val="00CA1A6F"/>
    <w:rsid w:val="00CA1D0E"/>
    <w:rsid w:val="00CB0F28"/>
    <w:rsid w:val="00CB3187"/>
    <w:rsid w:val="00CC025E"/>
    <w:rsid w:val="00CC25F6"/>
    <w:rsid w:val="00CC791A"/>
    <w:rsid w:val="00CE2A80"/>
    <w:rsid w:val="00CE2BC1"/>
    <w:rsid w:val="00CE665D"/>
    <w:rsid w:val="00D034D1"/>
    <w:rsid w:val="00D10B26"/>
    <w:rsid w:val="00D12A01"/>
    <w:rsid w:val="00D144AC"/>
    <w:rsid w:val="00D211BD"/>
    <w:rsid w:val="00D345AF"/>
    <w:rsid w:val="00D61B6E"/>
    <w:rsid w:val="00D64523"/>
    <w:rsid w:val="00D6488C"/>
    <w:rsid w:val="00D74FEB"/>
    <w:rsid w:val="00D769A3"/>
    <w:rsid w:val="00D83D10"/>
    <w:rsid w:val="00D85BCF"/>
    <w:rsid w:val="00D910F3"/>
    <w:rsid w:val="00D948BB"/>
    <w:rsid w:val="00DA4EB5"/>
    <w:rsid w:val="00DD23F1"/>
    <w:rsid w:val="00DD77AE"/>
    <w:rsid w:val="00DE01F9"/>
    <w:rsid w:val="00DE450C"/>
    <w:rsid w:val="00DE7668"/>
    <w:rsid w:val="00DF1E19"/>
    <w:rsid w:val="00DF28C1"/>
    <w:rsid w:val="00DF3563"/>
    <w:rsid w:val="00E33FA8"/>
    <w:rsid w:val="00E44348"/>
    <w:rsid w:val="00E44AF9"/>
    <w:rsid w:val="00E55426"/>
    <w:rsid w:val="00E55707"/>
    <w:rsid w:val="00E65AB2"/>
    <w:rsid w:val="00E67824"/>
    <w:rsid w:val="00E720BD"/>
    <w:rsid w:val="00E80946"/>
    <w:rsid w:val="00E84FAB"/>
    <w:rsid w:val="00E9783C"/>
    <w:rsid w:val="00EA2488"/>
    <w:rsid w:val="00EB2C98"/>
    <w:rsid w:val="00EC151B"/>
    <w:rsid w:val="00EC22F8"/>
    <w:rsid w:val="00EC4BDC"/>
    <w:rsid w:val="00EC57A8"/>
    <w:rsid w:val="00ED2043"/>
    <w:rsid w:val="00EE023F"/>
    <w:rsid w:val="00EE34B4"/>
    <w:rsid w:val="00F136C2"/>
    <w:rsid w:val="00F14821"/>
    <w:rsid w:val="00F2345A"/>
    <w:rsid w:val="00F26C44"/>
    <w:rsid w:val="00F27283"/>
    <w:rsid w:val="00F72284"/>
    <w:rsid w:val="00F72C65"/>
    <w:rsid w:val="00F76D7C"/>
    <w:rsid w:val="00F93B08"/>
    <w:rsid w:val="00FA473F"/>
    <w:rsid w:val="00FA6CE1"/>
    <w:rsid w:val="00FC146F"/>
    <w:rsid w:val="00FC6A6D"/>
    <w:rsid w:val="00FD21C1"/>
    <w:rsid w:val="00FD2932"/>
    <w:rsid w:val="00FF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71631C"/>
  <w15:docId w15:val="{584EAF9B-152D-4548-8B56-028D6B33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D47"/>
    <w:pPr>
      <w:spacing w:before="120" w:after="120"/>
      <w:jc w:val="both"/>
    </w:pPr>
    <w:rPr>
      <w:rFonts w:ascii="Century Schoolbook" w:eastAsia="Century Schoolbook" w:hAnsi="Century Schoolbook" w:cs="Times New Roman"/>
      <w:sz w:val="20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3D4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D47"/>
    <w:rPr>
      <w:rFonts w:ascii="Tahoma" w:eastAsia="Century Schoolbook" w:hAnsi="Tahoma" w:cs="Tahoma"/>
      <w:sz w:val="16"/>
      <w:szCs w:val="16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D034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34D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34D1"/>
    <w:rPr>
      <w:rFonts w:ascii="Century Schoolbook" w:eastAsia="Century Schoolbook" w:hAnsi="Century Schoolbook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4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4D1"/>
    <w:rPr>
      <w:rFonts w:ascii="Century Schoolbook" w:eastAsia="Century Schoolbook" w:hAnsi="Century Schoolbook" w:cs="Times New Roman"/>
      <w:b/>
      <w:bCs/>
      <w:sz w:val="20"/>
      <w:szCs w:val="20"/>
      <w:lang w:val="sq-AL"/>
    </w:rPr>
  </w:style>
  <w:style w:type="paragraph" w:styleId="Revision">
    <w:name w:val="Revision"/>
    <w:hidden/>
    <w:uiPriority w:val="99"/>
    <w:semiHidden/>
    <w:rsid w:val="00D034D1"/>
    <w:pPr>
      <w:spacing w:after="0" w:line="240" w:lineRule="auto"/>
    </w:pPr>
    <w:rPr>
      <w:rFonts w:ascii="Century Schoolbook" w:eastAsia="Century Schoolbook" w:hAnsi="Century Schoolbook" w:cs="Times New Roman"/>
      <w:sz w:val="20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4E157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577"/>
    <w:rPr>
      <w:rFonts w:ascii="Century Schoolbook" w:eastAsia="Century Schoolbook" w:hAnsi="Century Schoolbook" w:cs="Times New Roman"/>
      <w:sz w:val="20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4E157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577"/>
    <w:rPr>
      <w:rFonts w:ascii="Century Schoolbook" w:eastAsia="Century Schoolbook" w:hAnsi="Century Schoolbook" w:cs="Times New Roman"/>
      <w:sz w:val="20"/>
      <w:lang w:val="sq-AL"/>
    </w:rPr>
  </w:style>
  <w:style w:type="character" w:styleId="Hyperlink">
    <w:name w:val="Hyperlink"/>
    <w:basedOn w:val="DefaultParagraphFont"/>
    <w:uiPriority w:val="99"/>
    <w:unhideWhenUsed/>
    <w:rsid w:val="009B5C60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00C25DDF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57E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81D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1D6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848B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financa.gov.al/treguesit-fiskale-sipas-buxhetit-te-konsoliduar/" TargetMode="External"/><Relationship Id="rId18" Type="http://schemas.openxmlformats.org/officeDocument/2006/relationships/hyperlink" Target="https://financa.gov.al/treguesit-fiskale-sipas-buxhetit-te-konsoliduar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https://financa.gov.al/realizimi-accrual_cash/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nanca.gov.al/treguesit-fiskale-sipas-buxhetit-te-konsolidua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inanca.gov.al/treguesit-fiskale-sipas-buxhetit-te-konsoliduar/" TargetMode="External"/><Relationship Id="rId10" Type="http://schemas.openxmlformats.org/officeDocument/2006/relationships/chart" Target="charts/chart2.xml"/><Relationship Id="rId19" Type="http://schemas.openxmlformats.org/officeDocument/2006/relationships/hyperlink" Target="https://financa.gov.al/realizimi-accrual_cash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nanca.gov.al/treguesit-fiskale-sipas-buxhetit-te-konsoliduar/" TargetMode="External"/><Relationship Id="rId14" Type="http://schemas.openxmlformats.org/officeDocument/2006/relationships/chart" Target="charts/chart4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rdita.xhyheri\Desktop\ardita.xhyheri\Desktop\desktopi%20dt%2023.10.2024\2025\raporte%202025\Analiza%209M%202025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rdita.xhyheri\Desktop\ardita.xhyheri\Desktop\desktopi%20dt%2023.10.2024\2025\raporte%202025\Analiza%209M%202025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rdita.xhyheri\Desktop\ardita.xhyheri\Desktop\desktopi%20dt%2023.10.2024\2025\raporte%202025\Analiza%209M%202025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rdita.xhyheri\Desktop\ardita.xhyheri\Desktop\desktopi%20dt%2023.10.2024\2025\raporte%202025\Analiza%209M%202025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dita.xhyheri\Desktop\ardita.xhyheri\Desktop\desktopi%20dt%2023.10.2024\2025\raporte%202025\Analiza%209M%20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40"/>
    </mc:Choice>
    <mc:Fallback>
      <c:style val="4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5423371452558738E-2"/>
          <c:y val="3.3902887139107614E-2"/>
          <c:w val="0.84281337056212058"/>
          <c:h val="0.76056321084864387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'Te ardhurat'!$C$4</c:f>
              <c:strCache>
                <c:ptCount val="1"/>
                <c:pt idx="0">
                  <c:v>Të ardhura nga Pushteti Vendor</c:v>
                </c:pt>
              </c:strCache>
            </c:strRef>
          </c:tx>
          <c:spPr>
            <a:solidFill>
              <a:sysClr val="window" lastClr="FFFFFF">
                <a:lumMod val="65000"/>
              </a:sysClr>
            </a:solidFill>
            <a:ln>
              <a:solidFill>
                <a:schemeClr val="bg1">
                  <a:lumMod val="65000"/>
                </a:schemeClr>
              </a:solidFill>
            </a:ln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'Te ardhurat'!$O$3:$X$3</c:f>
              <c:strCache>
                <c:ptCount val="10"/>
                <c:pt idx="0">
                  <c:v>9M-2016</c:v>
                </c:pt>
                <c:pt idx="1">
                  <c:v>9M-2017</c:v>
                </c:pt>
                <c:pt idx="2">
                  <c:v>9M-2018</c:v>
                </c:pt>
                <c:pt idx="3">
                  <c:v>9M-2019</c:v>
                </c:pt>
                <c:pt idx="4">
                  <c:v>9M-2020</c:v>
                </c:pt>
                <c:pt idx="5">
                  <c:v>9M-2021</c:v>
                </c:pt>
                <c:pt idx="6">
                  <c:v>9M-2022</c:v>
                </c:pt>
                <c:pt idx="7">
                  <c:v>9M-2023</c:v>
                </c:pt>
                <c:pt idx="8">
                  <c:v>9M-2024</c:v>
                </c:pt>
                <c:pt idx="9">
                  <c:v>9M-2025</c:v>
                </c:pt>
              </c:strCache>
            </c:strRef>
          </c:cat>
          <c:val>
            <c:numRef>
              <c:f>'Te ardhurat'!$O$4:$X$4</c:f>
              <c:numCache>
                <c:formatCode>#,##0</c:formatCode>
                <c:ptCount val="10"/>
                <c:pt idx="0">
                  <c:v>11624</c:v>
                </c:pt>
                <c:pt idx="1">
                  <c:v>15358</c:v>
                </c:pt>
                <c:pt idx="2">
                  <c:v>15584.5</c:v>
                </c:pt>
                <c:pt idx="3">
                  <c:v>18998</c:v>
                </c:pt>
                <c:pt idx="4">
                  <c:v>16744</c:v>
                </c:pt>
                <c:pt idx="5">
                  <c:v>21093</c:v>
                </c:pt>
                <c:pt idx="6">
                  <c:v>22145.300000000003</c:v>
                </c:pt>
                <c:pt idx="7">
                  <c:v>21353.739999999998</c:v>
                </c:pt>
                <c:pt idx="8">
                  <c:v>30936.49</c:v>
                </c:pt>
                <c:pt idx="9">
                  <c:v>28798.370000000003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95-4CAB-80BD-88C5098763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427532752"/>
        <c:axId val="427540368"/>
      </c:barChart>
      <c:lineChart>
        <c:grouping val="standard"/>
        <c:varyColors val="0"/>
        <c:ser>
          <c:idx val="0"/>
          <c:order val="1"/>
          <c:tx>
            <c:strRef>
              <c:f>'Te ardhurat'!$C$5</c:f>
              <c:strCache>
                <c:ptCount val="1"/>
                <c:pt idx="0">
                  <c:v>Ritmi i ndryshimit</c:v>
                </c:pt>
              </c:strCache>
            </c:strRef>
          </c:tx>
          <c:spPr>
            <a:ln w="31750">
              <a:solidFill>
                <a:srgbClr val="0070C0"/>
              </a:solidFill>
            </a:ln>
          </c:spPr>
          <c:marker>
            <c:spPr>
              <a:solidFill>
                <a:srgbClr val="FFC000"/>
              </a:solidFill>
              <a:ln>
                <a:solidFill>
                  <a:srgbClr val="0070C0"/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/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'Te ardhurat'!$O$3:$X$3</c:f>
              <c:strCache>
                <c:ptCount val="10"/>
                <c:pt idx="0">
                  <c:v>9M-2016</c:v>
                </c:pt>
                <c:pt idx="1">
                  <c:v>9M-2017</c:v>
                </c:pt>
                <c:pt idx="2">
                  <c:v>9M-2018</c:v>
                </c:pt>
                <c:pt idx="3">
                  <c:v>9M-2019</c:v>
                </c:pt>
                <c:pt idx="4">
                  <c:v>9M-2020</c:v>
                </c:pt>
                <c:pt idx="5">
                  <c:v>9M-2021</c:v>
                </c:pt>
                <c:pt idx="6">
                  <c:v>9M-2022</c:v>
                </c:pt>
                <c:pt idx="7">
                  <c:v>9M-2023</c:v>
                </c:pt>
                <c:pt idx="8">
                  <c:v>9M-2024</c:v>
                </c:pt>
                <c:pt idx="9">
                  <c:v>9M-2025</c:v>
                </c:pt>
              </c:strCache>
            </c:strRef>
          </c:cat>
          <c:val>
            <c:numRef>
              <c:f>'Te ardhurat'!$O$5:$X$5</c:f>
              <c:numCache>
                <c:formatCode>0.0%</c:formatCode>
                <c:ptCount val="10"/>
                <c:pt idx="0">
                  <c:v>0.23135593220338982</c:v>
                </c:pt>
                <c:pt idx="1">
                  <c:v>0.32123193392980043</c:v>
                </c:pt>
                <c:pt idx="2">
                  <c:v>1.4748014064331292E-2</c:v>
                </c:pt>
                <c:pt idx="3">
                  <c:v>0.2190317302447945</c:v>
                </c:pt>
                <c:pt idx="4">
                  <c:v>-0.11864406779661017</c:v>
                </c:pt>
                <c:pt idx="5">
                  <c:v>0.25973483038700429</c:v>
                </c:pt>
                <c:pt idx="6">
                  <c:v>4.9888588631299621E-2</c:v>
                </c:pt>
                <c:pt idx="7">
                  <c:v>-3.5743927605406331E-2</c:v>
                </c:pt>
                <c:pt idx="8">
                  <c:v>0.44876213721811753</c:v>
                </c:pt>
                <c:pt idx="9">
                  <c:v>-6.9113205796779112E-2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9295-4CAB-80BD-88C5098763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7545264"/>
        <c:axId val="427534928"/>
      </c:lineChart>
      <c:catAx>
        <c:axId val="42753275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 sz="800"/>
            </a:pPr>
            <a:endParaRPr lang="en-US"/>
          </a:p>
        </c:txPr>
        <c:crossAx val="42754036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427540368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sq-AL"/>
                  <a:t>Në miliard</a:t>
                </a:r>
              </a:p>
            </c:rich>
          </c:tx>
          <c:layout>
            <c:manualLayout>
              <c:xMode val="edge"/>
              <c:yMode val="edge"/>
              <c:x val="2.3211008756362887E-3"/>
              <c:y val="2.8845144356955382E-3"/>
            </c:manualLayout>
          </c:layout>
          <c:overlay val="0"/>
        </c:title>
        <c:numFmt formatCode="#,##0.0" sourceLinked="0"/>
        <c:majorTickMark val="cross"/>
        <c:minorTickMark val="none"/>
        <c:tickLblPos val="nextTo"/>
        <c:txPr>
          <a:bodyPr rot="0" vert="horz"/>
          <a:lstStyle/>
          <a:p>
            <a:pPr>
              <a:defRPr sz="800"/>
            </a:pPr>
            <a:endParaRPr lang="en-US"/>
          </a:p>
        </c:txPr>
        <c:crossAx val="427532752"/>
        <c:crosses val="autoZero"/>
        <c:crossBetween val="between"/>
        <c:dispUnits>
          <c:builtInUnit val="thousands"/>
        </c:dispUnits>
      </c:valAx>
      <c:valAx>
        <c:axId val="427534928"/>
        <c:scaling>
          <c:orientation val="minMax"/>
        </c:scaling>
        <c:delete val="0"/>
        <c:axPos val="r"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427545264"/>
        <c:crosses val="max"/>
        <c:crossBetween val="between"/>
      </c:valAx>
      <c:catAx>
        <c:axId val="4275452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27534928"/>
        <c:crosses val="autoZero"/>
        <c:auto val="0"/>
        <c:lblAlgn val="ctr"/>
        <c:lblOffset val="100"/>
        <c:noMultiLvlLbl val="0"/>
      </c:catAx>
      <c:spPr>
        <a:solidFill>
          <a:srgbClr val="EEECE1"/>
        </a:solidFill>
      </c:spPr>
    </c:plotArea>
    <c:legend>
      <c:legendPos val="b"/>
      <c:layout>
        <c:manualLayout>
          <c:xMode val="edge"/>
          <c:yMode val="edge"/>
          <c:x val="8.8880496864386302E-2"/>
          <c:y val="0.90470466832671548"/>
          <c:w val="0.75276115273555266"/>
          <c:h val="9.0301689816862818E-2"/>
        </c:manualLayout>
      </c:layout>
      <c:overlay val="0"/>
      <c:txPr>
        <a:bodyPr/>
        <a:lstStyle/>
        <a:p>
          <a:pPr>
            <a:defRPr b="1"/>
          </a:pPr>
          <a:endParaRPr lang="en-US"/>
        </a:p>
      </c:txPr>
    </c:legend>
    <c:plotVisOnly val="1"/>
    <c:dispBlanksAs val="gap"/>
    <c:showDLblsOverMax val="0"/>
  </c:chart>
  <c:spPr>
    <a:ln>
      <a:solidFill>
        <a:sysClr val="window" lastClr="FFFFFF">
          <a:lumMod val="85000"/>
        </a:sysClr>
      </a:solidFill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40"/>
    </mc:Choice>
    <mc:Fallback>
      <c:style val="4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450798761449143E-2"/>
          <c:y val="3.0474505293579875E-2"/>
          <c:w val="0.86220375070593502"/>
          <c:h val="0.7431737886696746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'Te ardhurat'!$C$10</c:f>
              <c:strCache>
                <c:ptCount val="1"/>
                <c:pt idx="0">
                  <c:v>Taksa Lokale</c:v>
                </c:pt>
              </c:strCache>
            </c:strRef>
          </c:tx>
          <c:spPr>
            <a:solidFill>
              <a:sysClr val="window" lastClr="FFFFFF">
                <a:lumMod val="65000"/>
              </a:sysClr>
            </a:solidFill>
            <a:ln>
              <a:solidFill>
                <a:schemeClr val="bg1">
                  <a:lumMod val="65000"/>
                </a:schemeClr>
              </a:solidFill>
            </a:ln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'Te ardhurat'!$O$3:$X$3</c:f>
              <c:strCache>
                <c:ptCount val="10"/>
                <c:pt idx="0">
                  <c:v>9M-2016</c:v>
                </c:pt>
                <c:pt idx="1">
                  <c:v>9M-2017</c:v>
                </c:pt>
                <c:pt idx="2">
                  <c:v>9M-2018</c:v>
                </c:pt>
                <c:pt idx="3">
                  <c:v>9M-2019</c:v>
                </c:pt>
                <c:pt idx="4">
                  <c:v>9M-2020</c:v>
                </c:pt>
                <c:pt idx="5">
                  <c:v>9M-2021</c:v>
                </c:pt>
                <c:pt idx="6">
                  <c:v>9M-2022</c:v>
                </c:pt>
                <c:pt idx="7">
                  <c:v>9M-2023</c:v>
                </c:pt>
                <c:pt idx="8">
                  <c:v>9M-2024</c:v>
                </c:pt>
                <c:pt idx="9">
                  <c:v>9M-2025</c:v>
                </c:pt>
              </c:strCache>
            </c:strRef>
          </c:cat>
          <c:val>
            <c:numRef>
              <c:f>'Te ardhurat'!$O$10:$X$10</c:f>
              <c:numCache>
                <c:formatCode>#,##0</c:formatCode>
                <c:ptCount val="10"/>
                <c:pt idx="0">
                  <c:v>7232</c:v>
                </c:pt>
                <c:pt idx="1">
                  <c:v>11087</c:v>
                </c:pt>
                <c:pt idx="2">
                  <c:v>11065</c:v>
                </c:pt>
                <c:pt idx="3">
                  <c:v>14479</c:v>
                </c:pt>
                <c:pt idx="4">
                  <c:v>12467</c:v>
                </c:pt>
                <c:pt idx="5">
                  <c:v>15811</c:v>
                </c:pt>
                <c:pt idx="6">
                  <c:v>17060.900000000001</c:v>
                </c:pt>
                <c:pt idx="7">
                  <c:v>16678.03</c:v>
                </c:pt>
                <c:pt idx="8">
                  <c:v>24826.68</c:v>
                </c:pt>
                <c:pt idx="9">
                  <c:v>22292.880000000001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57D-4544-BB36-F637C6FC3E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427536016"/>
        <c:axId val="427536560"/>
      </c:barChart>
      <c:lineChart>
        <c:grouping val="standard"/>
        <c:varyColors val="0"/>
        <c:ser>
          <c:idx val="0"/>
          <c:order val="1"/>
          <c:tx>
            <c:strRef>
              <c:f>'Te ardhurat'!$C$11</c:f>
              <c:strCache>
                <c:ptCount val="1"/>
                <c:pt idx="0">
                  <c:v>Ritmi i ndryshimit</c:v>
                </c:pt>
              </c:strCache>
            </c:strRef>
          </c:tx>
          <c:spPr>
            <a:ln w="31750">
              <a:solidFill>
                <a:srgbClr val="0070C0"/>
              </a:solidFill>
            </a:ln>
          </c:spPr>
          <c:marker>
            <c:spPr>
              <a:solidFill>
                <a:srgbClr val="FFC000"/>
              </a:solidFill>
              <a:ln>
                <a:solidFill>
                  <a:srgbClr val="0070C0"/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/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'Te ardhurat'!$O$3:$X$3</c:f>
              <c:strCache>
                <c:ptCount val="10"/>
                <c:pt idx="0">
                  <c:v>9M-2016</c:v>
                </c:pt>
                <c:pt idx="1">
                  <c:v>9M-2017</c:v>
                </c:pt>
                <c:pt idx="2">
                  <c:v>9M-2018</c:v>
                </c:pt>
                <c:pt idx="3">
                  <c:v>9M-2019</c:v>
                </c:pt>
                <c:pt idx="4">
                  <c:v>9M-2020</c:v>
                </c:pt>
                <c:pt idx="5">
                  <c:v>9M-2021</c:v>
                </c:pt>
                <c:pt idx="6">
                  <c:v>9M-2022</c:v>
                </c:pt>
                <c:pt idx="7">
                  <c:v>9M-2023</c:v>
                </c:pt>
                <c:pt idx="8">
                  <c:v>9M-2024</c:v>
                </c:pt>
                <c:pt idx="9">
                  <c:v>9M-2025</c:v>
                </c:pt>
              </c:strCache>
            </c:strRef>
          </c:cat>
          <c:val>
            <c:numRef>
              <c:f>'Te ardhurat'!$O$11:$X$11</c:f>
              <c:numCache>
                <c:formatCode>0.0%</c:formatCode>
                <c:ptCount val="10"/>
                <c:pt idx="0">
                  <c:v>0.58076502732240443</c:v>
                </c:pt>
                <c:pt idx="1">
                  <c:v>0.53304756637168138</c:v>
                </c:pt>
                <c:pt idx="2">
                  <c:v>-1.984305943898259E-3</c:v>
                </c:pt>
                <c:pt idx="3">
                  <c:v>0.30854044283777676</c:v>
                </c:pt>
                <c:pt idx="4">
                  <c:v>-0.13895987291940051</c:v>
                </c:pt>
                <c:pt idx="5">
                  <c:v>0.2682281222427208</c:v>
                </c:pt>
                <c:pt idx="6">
                  <c:v>7.9052558345455784E-2</c:v>
                </c:pt>
                <c:pt idx="7">
                  <c:v>-2.2441371791640685E-2</c:v>
                </c:pt>
                <c:pt idx="8">
                  <c:v>0.48858588214555326</c:v>
                </c:pt>
                <c:pt idx="9">
                  <c:v>-0.10205955850721882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B57D-4544-BB36-F637C6FC3E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7537648"/>
        <c:axId val="427544720"/>
      </c:lineChart>
      <c:catAx>
        <c:axId val="42753601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 sz="800"/>
            </a:pPr>
            <a:endParaRPr lang="en-US"/>
          </a:p>
        </c:txPr>
        <c:crossAx val="42753656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427536560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b="1"/>
                </a:pPr>
                <a:r>
                  <a:rPr lang="sq-AL" b="1"/>
                  <a:t>Në miliard</a:t>
                </a:r>
              </a:p>
            </c:rich>
          </c:tx>
          <c:layout>
            <c:manualLayout>
              <c:xMode val="edge"/>
              <c:yMode val="edge"/>
              <c:x val="2.5074020882827293E-4"/>
              <c:y val="2.6242393858071117E-2"/>
            </c:manualLayout>
          </c:layout>
          <c:overlay val="0"/>
        </c:title>
        <c:numFmt formatCode="#,##0.0" sourceLinked="0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427536016"/>
        <c:crosses val="autoZero"/>
        <c:crossBetween val="between"/>
        <c:dispUnits>
          <c:builtInUnit val="thousands"/>
        </c:dispUnits>
      </c:valAx>
      <c:catAx>
        <c:axId val="42753764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27544720"/>
        <c:crosses val="autoZero"/>
        <c:auto val="0"/>
        <c:lblAlgn val="ctr"/>
        <c:lblOffset val="100"/>
        <c:noMultiLvlLbl val="0"/>
      </c:catAx>
      <c:valAx>
        <c:axId val="427544720"/>
        <c:scaling>
          <c:orientation val="minMax"/>
        </c:scaling>
        <c:delete val="0"/>
        <c:axPos val="r"/>
        <c:numFmt formatCode="0%" sourceLinked="0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427537648"/>
        <c:crosses val="max"/>
        <c:crossBetween val="between"/>
      </c:valAx>
      <c:spPr>
        <a:solidFill>
          <a:srgbClr val="EEECE1"/>
        </a:solidFill>
      </c:spPr>
    </c:plotArea>
    <c:legend>
      <c:legendPos val="b"/>
      <c:layout>
        <c:manualLayout>
          <c:xMode val="edge"/>
          <c:yMode val="edge"/>
          <c:x val="0.22983555626975197"/>
          <c:y val="0.9047045523803906"/>
          <c:w val="0.54032888746049612"/>
          <c:h val="9.0301689816862818E-2"/>
        </c:manualLayout>
      </c:layout>
      <c:overlay val="0"/>
      <c:txPr>
        <a:bodyPr/>
        <a:lstStyle/>
        <a:p>
          <a:pPr>
            <a:defRPr b="1"/>
          </a:pPr>
          <a:endParaRPr lang="en-US"/>
        </a:p>
      </c:txPr>
    </c:legend>
    <c:plotVisOnly val="1"/>
    <c:dispBlanksAs val="gap"/>
    <c:showDLblsOverMax val="0"/>
  </c:chart>
  <c:spPr>
    <a:ln>
      <a:solidFill>
        <a:sysClr val="window" lastClr="FFFFFF">
          <a:lumMod val="75000"/>
        </a:sysClr>
      </a:solidFill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40"/>
    </mc:Choice>
    <mc:Fallback>
      <c:style val="4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0132667308578964E-2"/>
          <c:y val="3.4044740223371658E-2"/>
          <c:w val="0.8574708654900447"/>
          <c:h val="0.72424537618604123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'Te ardhurat'!$C$6</c:f>
              <c:strCache>
                <c:ptCount val="1"/>
                <c:pt idx="0">
                  <c:v>Taksë mbi Pasurinë 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>
              <a:solidFill>
                <a:schemeClr val="bg1">
                  <a:lumMod val="65000"/>
                </a:schemeClr>
              </a:solidFill>
            </a:ln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'Te ardhurat'!$O$3:$X$3</c:f>
              <c:strCache>
                <c:ptCount val="10"/>
                <c:pt idx="0">
                  <c:v>9M-2016</c:v>
                </c:pt>
                <c:pt idx="1">
                  <c:v>9M-2017</c:v>
                </c:pt>
                <c:pt idx="2">
                  <c:v>9M-2018</c:v>
                </c:pt>
                <c:pt idx="3">
                  <c:v>9M-2019</c:v>
                </c:pt>
                <c:pt idx="4">
                  <c:v>9M-2020</c:v>
                </c:pt>
                <c:pt idx="5">
                  <c:v>9M-2021</c:v>
                </c:pt>
                <c:pt idx="6">
                  <c:v>9M-2022</c:v>
                </c:pt>
                <c:pt idx="7">
                  <c:v>9M-2023</c:v>
                </c:pt>
                <c:pt idx="8">
                  <c:v>9M-2024</c:v>
                </c:pt>
                <c:pt idx="9">
                  <c:v>9M-2025</c:v>
                </c:pt>
              </c:strCache>
            </c:strRef>
          </c:cat>
          <c:val>
            <c:numRef>
              <c:f>'Te ardhurat'!$O$6:$X$6</c:f>
              <c:numCache>
                <c:formatCode>#,##0</c:formatCode>
                <c:ptCount val="10"/>
                <c:pt idx="0">
                  <c:v>3827</c:v>
                </c:pt>
                <c:pt idx="1">
                  <c:v>4009</c:v>
                </c:pt>
                <c:pt idx="2">
                  <c:v>4224</c:v>
                </c:pt>
                <c:pt idx="3">
                  <c:v>4191</c:v>
                </c:pt>
                <c:pt idx="4">
                  <c:v>3917</c:v>
                </c:pt>
                <c:pt idx="5">
                  <c:v>4929</c:v>
                </c:pt>
                <c:pt idx="6">
                  <c:v>5027.7</c:v>
                </c:pt>
                <c:pt idx="7">
                  <c:v>4629.2700000000004</c:v>
                </c:pt>
                <c:pt idx="8">
                  <c:v>6051.59</c:v>
                </c:pt>
                <c:pt idx="9">
                  <c:v>6484.68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3F-4B17-A816-DBEE721877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427539824"/>
        <c:axId val="427532208"/>
      </c:barChart>
      <c:lineChart>
        <c:grouping val="standard"/>
        <c:varyColors val="0"/>
        <c:ser>
          <c:idx val="0"/>
          <c:order val="1"/>
          <c:tx>
            <c:strRef>
              <c:f>'Te ardhurat'!$C$7</c:f>
              <c:strCache>
                <c:ptCount val="1"/>
                <c:pt idx="0">
                  <c:v>Ritmi i ndryshimit</c:v>
                </c:pt>
              </c:strCache>
            </c:strRef>
          </c:tx>
          <c:spPr>
            <a:ln w="31750">
              <a:solidFill>
                <a:srgbClr val="0070C0"/>
              </a:solidFill>
            </a:ln>
          </c:spPr>
          <c:marker>
            <c:spPr>
              <a:solidFill>
                <a:srgbClr val="FFC000"/>
              </a:solidFill>
              <a:ln>
                <a:solidFill>
                  <a:srgbClr val="0070C0"/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'Te ardhurat'!$O$3:$X$3</c:f>
              <c:strCache>
                <c:ptCount val="10"/>
                <c:pt idx="0">
                  <c:v>9M-2016</c:v>
                </c:pt>
                <c:pt idx="1">
                  <c:v>9M-2017</c:v>
                </c:pt>
                <c:pt idx="2">
                  <c:v>9M-2018</c:v>
                </c:pt>
                <c:pt idx="3">
                  <c:v>9M-2019</c:v>
                </c:pt>
                <c:pt idx="4">
                  <c:v>9M-2020</c:v>
                </c:pt>
                <c:pt idx="5">
                  <c:v>9M-2021</c:v>
                </c:pt>
                <c:pt idx="6">
                  <c:v>9M-2022</c:v>
                </c:pt>
                <c:pt idx="7">
                  <c:v>9M-2023</c:v>
                </c:pt>
                <c:pt idx="8">
                  <c:v>9M-2024</c:v>
                </c:pt>
                <c:pt idx="9">
                  <c:v>9M-2025</c:v>
                </c:pt>
              </c:strCache>
            </c:strRef>
          </c:cat>
          <c:val>
            <c:numRef>
              <c:f>'Te ardhurat'!$O$7:$X$7</c:f>
              <c:numCache>
                <c:formatCode>0.0%</c:formatCode>
                <c:ptCount val="10"/>
                <c:pt idx="0">
                  <c:v>0.21492063492063493</c:v>
                </c:pt>
                <c:pt idx="1">
                  <c:v>4.7556833028481842E-2</c:v>
                </c:pt>
                <c:pt idx="2">
                  <c:v>5.3629333998503365E-2</c:v>
                </c:pt>
                <c:pt idx="3">
                  <c:v>-7.8125E-3</c:v>
                </c:pt>
                <c:pt idx="4">
                  <c:v>-6.5378191362443328E-2</c:v>
                </c:pt>
                <c:pt idx="5">
                  <c:v>0.25836099055399542</c:v>
                </c:pt>
                <c:pt idx="6">
                  <c:v>2.002434570906874E-2</c:v>
                </c:pt>
                <c:pt idx="7">
                  <c:v>-7.9246971776358852E-2</c:v>
                </c:pt>
                <c:pt idx="8">
                  <c:v>0.30724498679057383</c:v>
                </c:pt>
                <c:pt idx="9">
                  <c:v>7.1566315629446167E-2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423F-4B17-A816-DBEE721877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7535472"/>
        <c:axId val="427530032"/>
      </c:lineChart>
      <c:catAx>
        <c:axId val="42753982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4275322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427532208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sq-AL" b="1"/>
                  <a:t>Në miliard</a:t>
                </a:r>
              </a:p>
            </c:rich>
          </c:tx>
          <c:layout>
            <c:manualLayout>
              <c:xMode val="edge"/>
              <c:yMode val="edge"/>
              <c:x val="2.5074020882827293E-4"/>
              <c:y val="1.1188146113654304E-2"/>
            </c:manualLayout>
          </c:layout>
          <c:overlay val="0"/>
        </c:title>
        <c:numFmt formatCode="#,##0.0" sourceLinked="0"/>
        <c:majorTickMark val="cross"/>
        <c:minorTickMark val="none"/>
        <c:tickLblPos val="nextTo"/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427539824"/>
        <c:crosses val="autoZero"/>
        <c:crossBetween val="between"/>
        <c:dispUnits>
          <c:builtInUnit val="thousands"/>
        </c:dispUnits>
      </c:valAx>
      <c:valAx>
        <c:axId val="427530032"/>
        <c:scaling>
          <c:orientation val="minMax"/>
        </c:scaling>
        <c:delete val="0"/>
        <c:axPos val="r"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 sz="900" b="0"/>
            </a:pPr>
            <a:endParaRPr lang="en-US"/>
          </a:p>
        </c:txPr>
        <c:crossAx val="427535472"/>
        <c:crosses val="max"/>
        <c:crossBetween val="between"/>
      </c:valAx>
      <c:catAx>
        <c:axId val="42753547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27530032"/>
        <c:crosses val="autoZero"/>
        <c:auto val="0"/>
        <c:lblAlgn val="ctr"/>
        <c:lblOffset val="100"/>
        <c:noMultiLvlLbl val="0"/>
      </c:catAx>
      <c:spPr>
        <a:solidFill>
          <a:srgbClr val="EEECE1"/>
        </a:solidFill>
      </c:spPr>
    </c:plotArea>
    <c:legend>
      <c:legendPos val="b"/>
      <c:layout>
        <c:manualLayout>
          <c:xMode val="edge"/>
          <c:yMode val="edge"/>
          <c:x val="0.13156383850528927"/>
          <c:y val="0.91614927962330894"/>
          <c:w val="0.72445751078135712"/>
          <c:h val="7.8856859630743584E-2"/>
        </c:manualLayout>
      </c:layout>
      <c:overlay val="0"/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40"/>
    </mc:Choice>
    <mc:Fallback>
      <c:style val="4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6503191730663292E-2"/>
          <c:y val="3.665083442246423E-2"/>
          <c:w val="0.84370597193869268"/>
          <c:h val="0.7755267324668797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Shpenzimet!$C$5</c:f>
              <c:strCache>
                <c:ptCount val="1"/>
                <c:pt idx="0">
                  <c:v>Buxheti lokal </c:v>
                </c:pt>
              </c:strCache>
            </c:strRef>
          </c:tx>
          <c:spPr>
            <a:solidFill>
              <a:sysClr val="window" lastClr="FFFFFF">
                <a:lumMod val="65000"/>
              </a:sysClr>
            </a:solidFill>
            <a:ln>
              <a:solidFill>
                <a:srgbClr val="1F497D">
                  <a:lumMod val="20000"/>
                  <a:lumOff val="80000"/>
                </a:srgbClr>
              </a:solidFill>
            </a:ln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/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Shpenzimet!$O$4:$X$4</c:f>
              <c:strCache>
                <c:ptCount val="10"/>
                <c:pt idx="0">
                  <c:v>9M-2016</c:v>
                </c:pt>
                <c:pt idx="1">
                  <c:v>9M-2017</c:v>
                </c:pt>
                <c:pt idx="2">
                  <c:v>9M-2018</c:v>
                </c:pt>
                <c:pt idx="3">
                  <c:v>9M-2019</c:v>
                </c:pt>
                <c:pt idx="4">
                  <c:v>9M-2020</c:v>
                </c:pt>
                <c:pt idx="5">
                  <c:v>9M-2021</c:v>
                </c:pt>
                <c:pt idx="6">
                  <c:v>9M-2022</c:v>
                </c:pt>
                <c:pt idx="7">
                  <c:v>9M-2023</c:v>
                </c:pt>
                <c:pt idx="8">
                  <c:v>9M-2024</c:v>
                </c:pt>
                <c:pt idx="9">
                  <c:v>9M-2025</c:v>
                </c:pt>
              </c:strCache>
            </c:strRef>
          </c:cat>
          <c:val>
            <c:numRef>
              <c:f>Shpenzimet!$O$5:$X$5</c:f>
              <c:numCache>
                <c:formatCode>#,##0</c:formatCode>
                <c:ptCount val="10"/>
                <c:pt idx="0">
                  <c:v>26047</c:v>
                </c:pt>
                <c:pt idx="1">
                  <c:v>37795</c:v>
                </c:pt>
                <c:pt idx="2">
                  <c:v>38147</c:v>
                </c:pt>
                <c:pt idx="3">
                  <c:v>42330</c:v>
                </c:pt>
                <c:pt idx="4">
                  <c:v>41219</c:v>
                </c:pt>
                <c:pt idx="5">
                  <c:v>36548</c:v>
                </c:pt>
                <c:pt idx="6">
                  <c:v>38474</c:v>
                </c:pt>
                <c:pt idx="7">
                  <c:v>45723.44</c:v>
                </c:pt>
                <c:pt idx="8">
                  <c:v>48835</c:v>
                </c:pt>
                <c:pt idx="9">
                  <c:v>58673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0B-4CF6-9258-7037F2877C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500802064"/>
        <c:axId val="500814576"/>
      </c:barChart>
      <c:lineChart>
        <c:grouping val="standard"/>
        <c:varyColors val="0"/>
        <c:ser>
          <c:idx val="0"/>
          <c:order val="1"/>
          <c:tx>
            <c:strRef>
              <c:f>Shpenzimet!$C$6</c:f>
              <c:strCache>
                <c:ptCount val="1"/>
                <c:pt idx="0">
                  <c:v>Ritmi i ndryshimit</c:v>
                </c:pt>
              </c:strCache>
            </c:strRef>
          </c:tx>
          <c:spPr>
            <a:ln w="31750">
              <a:solidFill>
                <a:srgbClr val="0070C0"/>
              </a:solidFill>
            </a:ln>
          </c:spPr>
          <c:marker>
            <c:spPr>
              <a:solidFill>
                <a:srgbClr val="FFC000"/>
              </a:solidFill>
              <a:ln>
                <a:solidFill>
                  <a:srgbClr val="0070C0"/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/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Shpenzimet!$O$4:$X$4</c:f>
              <c:strCache>
                <c:ptCount val="10"/>
                <c:pt idx="0">
                  <c:v>9M-2016</c:v>
                </c:pt>
                <c:pt idx="1">
                  <c:v>9M-2017</c:v>
                </c:pt>
                <c:pt idx="2">
                  <c:v>9M-2018</c:v>
                </c:pt>
                <c:pt idx="3">
                  <c:v>9M-2019</c:v>
                </c:pt>
                <c:pt idx="4">
                  <c:v>9M-2020</c:v>
                </c:pt>
                <c:pt idx="5">
                  <c:v>9M-2021</c:v>
                </c:pt>
                <c:pt idx="6">
                  <c:v>9M-2022</c:v>
                </c:pt>
                <c:pt idx="7">
                  <c:v>9M-2023</c:v>
                </c:pt>
                <c:pt idx="8">
                  <c:v>9M-2024</c:v>
                </c:pt>
                <c:pt idx="9">
                  <c:v>9M-2025</c:v>
                </c:pt>
              </c:strCache>
            </c:strRef>
          </c:cat>
          <c:val>
            <c:numRef>
              <c:f>Shpenzimet!$O$6:$X$6</c:f>
              <c:numCache>
                <c:formatCode>0.0%</c:formatCode>
                <c:ptCount val="10"/>
                <c:pt idx="0">
                  <c:v>0.12049384840402649</c:v>
                </c:pt>
                <c:pt idx="1">
                  <c:v>0.45103082888624407</c:v>
                </c:pt>
                <c:pt idx="2">
                  <c:v>9.3134012435507341E-3</c:v>
                </c:pt>
                <c:pt idx="3">
                  <c:v>0.10965475659947047</c:v>
                </c:pt>
                <c:pt idx="4">
                  <c:v>-2.624616111504843E-2</c:v>
                </c:pt>
                <c:pt idx="5">
                  <c:v>-0.11332152648050656</c:v>
                </c:pt>
                <c:pt idx="6">
                  <c:v>5.2697822042245816E-2</c:v>
                </c:pt>
                <c:pt idx="7">
                  <c:v>0.18842439049747889</c:v>
                </c:pt>
                <c:pt idx="8">
                  <c:v>6.8051747637535534E-2</c:v>
                </c:pt>
                <c:pt idx="9">
                  <c:v>0.20145387529435854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6D0B-4CF6-9258-7037F2877C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0808048"/>
        <c:axId val="500809680"/>
      </c:lineChart>
      <c:catAx>
        <c:axId val="50080206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50081457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500814576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900" b="1"/>
                </a:pPr>
                <a:r>
                  <a:rPr lang="sq-AL" sz="900" b="1"/>
                  <a:t>Në </a:t>
                </a:r>
                <a:r>
                  <a:rPr lang="en-US" sz="900" b="1"/>
                  <a:t>miliard</a:t>
                </a:r>
                <a:endParaRPr lang="sq-AL" sz="900" b="1"/>
              </a:p>
            </c:rich>
          </c:tx>
          <c:layout>
            <c:manualLayout>
              <c:xMode val="edge"/>
              <c:yMode val="edge"/>
              <c:x val="1.6255613947973046E-3"/>
              <c:y val="2.6032651883313739E-2"/>
            </c:manualLayout>
          </c:layout>
          <c:overlay val="0"/>
        </c:title>
        <c:numFmt formatCode="#,##0" sourceLinked="0"/>
        <c:majorTickMark val="cross"/>
        <c:minorTickMark val="none"/>
        <c:tickLblPos val="nextTo"/>
        <c:txPr>
          <a:bodyPr rot="0" vert="horz"/>
          <a:lstStyle/>
          <a:p>
            <a:pPr>
              <a:defRPr sz="900"/>
            </a:pPr>
            <a:endParaRPr lang="en-US"/>
          </a:p>
        </c:txPr>
        <c:crossAx val="500802064"/>
        <c:crosses val="autoZero"/>
        <c:crossBetween val="between"/>
        <c:dispUnits>
          <c:builtInUnit val="thousands"/>
        </c:dispUnits>
      </c:valAx>
      <c:catAx>
        <c:axId val="50080804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00809680"/>
        <c:crosses val="autoZero"/>
        <c:auto val="0"/>
        <c:lblAlgn val="ctr"/>
        <c:lblOffset val="100"/>
        <c:noMultiLvlLbl val="0"/>
      </c:catAx>
      <c:valAx>
        <c:axId val="500809680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b="1"/>
                </a:pPr>
                <a:r>
                  <a:rPr lang="sq-AL" b="1"/>
                  <a:t>Në përqindje</a:t>
                </a:r>
              </a:p>
            </c:rich>
          </c:tx>
          <c:layout>
            <c:manualLayout>
              <c:xMode val="edge"/>
              <c:yMode val="edge"/>
              <c:x val="0.96903733111390156"/>
              <c:y val="2.1423527696782945E-2"/>
            </c:manualLayout>
          </c:layout>
          <c:overlay val="0"/>
        </c:title>
        <c:numFmt formatCode="0%" sourceLinked="0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500808048"/>
        <c:crosses val="max"/>
        <c:crossBetween val="between"/>
      </c:valAx>
      <c:spPr>
        <a:solidFill>
          <a:srgbClr val="EEECE1"/>
        </a:solidFill>
      </c:spPr>
    </c:plotArea>
    <c:legend>
      <c:legendPos val="b"/>
      <c:layout>
        <c:manualLayout>
          <c:xMode val="edge"/>
          <c:yMode val="edge"/>
          <c:x val="0.18773018617731313"/>
          <c:y val="0.91727414724825973"/>
          <c:w val="0.61611846940185111"/>
          <c:h val="8.195744923587471E-2"/>
        </c:manualLayout>
      </c:layout>
      <c:overlay val="0"/>
      <c:txPr>
        <a:bodyPr/>
        <a:lstStyle/>
        <a:p>
          <a:pPr>
            <a:defRPr sz="900" b="1"/>
          </a:pPr>
          <a:endParaRPr lang="en-US"/>
        </a:p>
      </c:txPr>
    </c:legend>
    <c:plotVisOnly val="1"/>
    <c:dispBlanksAs val="gap"/>
    <c:showDLblsOverMax val="0"/>
  </c:chart>
  <c:spPr>
    <a:ln>
      <a:solidFill>
        <a:sysClr val="window" lastClr="FFFFFF">
          <a:lumMod val="85000"/>
        </a:sysClr>
      </a:solidFill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3547843556592463E-2"/>
          <c:y val="3.0051056599729165E-2"/>
          <c:w val="0.902814231554389"/>
          <c:h val="0.7449441042091961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Shpenzimet!$C$53</c:f>
              <c:strCache>
                <c:ptCount val="1"/>
                <c:pt idx="0">
                  <c:v>9 mujori 2025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>
                  <a:lumMod val="60000"/>
                  <a:lumOff val="40000"/>
                </a:schemeClr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solidFill>
                      <a:srgbClr val="002060"/>
                    </a:solidFill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Shpenzimet!$D$52:$I$52</c:f>
              <c:strCache>
                <c:ptCount val="6"/>
                <c:pt idx="0">
                  <c:v>Paga</c:v>
                </c:pt>
                <c:pt idx="1">
                  <c:v>Sigurime</c:v>
                </c:pt>
                <c:pt idx="2">
                  <c:v>Operative</c:v>
                </c:pt>
                <c:pt idx="3">
                  <c:v>Subvencione</c:v>
                </c:pt>
                <c:pt idx="4">
                  <c:v>Shpenz të tjera korente</c:v>
                </c:pt>
                <c:pt idx="5">
                  <c:v>Shpenzime Kapitale</c:v>
                </c:pt>
              </c:strCache>
              <c:extLst/>
            </c:strRef>
          </c:cat>
          <c:val>
            <c:numRef>
              <c:f>Shpenzimet!$D$53:$I$53</c:f>
              <c:numCache>
                <c:formatCode>#,##0</c:formatCode>
                <c:ptCount val="6"/>
                <c:pt idx="0">
                  <c:v>25628.104224250001</c:v>
                </c:pt>
                <c:pt idx="1">
                  <c:v>4240.2336970200004</c:v>
                </c:pt>
                <c:pt idx="2">
                  <c:v>14124.270680469996</c:v>
                </c:pt>
                <c:pt idx="3">
                  <c:v>1199.3439238199999</c:v>
                </c:pt>
                <c:pt idx="4">
                  <c:v>2065.03022655</c:v>
                </c:pt>
                <c:pt idx="5">
                  <c:v>11416.016132089997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B2BC-4836-8A7F-EBD6C6C2DBB7}"/>
            </c:ext>
          </c:extLst>
        </c:ser>
        <c:ser>
          <c:idx val="2"/>
          <c:order val="1"/>
          <c:tx>
            <c:strRef>
              <c:f>Shpenzimet!$C$54</c:f>
              <c:strCache>
                <c:ptCount val="1"/>
                <c:pt idx="0">
                  <c:v>9 mujori 2024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>
              <a:solidFill>
                <a:schemeClr val="accent3">
                  <a:lumMod val="60000"/>
                  <a:lumOff val="40000"/>
                </a:schemeClr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solidFill>
                      <a:schemeClr val="accent3">
                        <a:lumMod val="50000"/>
                      </a:schemeClr>
                    </a:solidFill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Shpenzimet!$D$52:$I$52</c:f>
              <c:strCache>
                <c:ptCount val="6"/>
                <c:pt idx="0">
                  <c:v>Paga</c:v>
                </c:pt>
                <c:pt idx="1">
                  <c:v>Sigurime</c:v>
                </c:pt>
                <c:pt idx="2">
                  <c:v>Operative</c:v>
                </c:pt>
                <c:pt idx="3">
                  <c:v>Subvencione</c:v>
                </c:pt>
                <c:pt idx="4">
                  <c:v>Shpenz të tjera korente</c:v>
                </c:pt>
                <c:pt idx="5">
                  <c:v>Shpenzime Kapitale</c:v>
                </c:pt>
              </c:strCache>
              <c:extLst/>
            </c:strRef>
          </c:cat>
          <c:val>
            <c:numRef>
              <c:f>Shpenzimet!$D$54:$I$54</c:f>
              <c:numCache>
                <c:formatCode>#,##0</c:formatCode>
                <c:ptCount val="6"/>
                <c:pt idx="0">
                  <c:v>20820.567018919999</c:v>
                </c:pt>
                <c:pt idx="1">
                  <c:v>3473.19835384</c:v>
                </c:pt>
                <c:pt idx="2">
                  <c:v>13542.58969404</c:v>
                </c:pt>
                <c:pt idx="3">
                  <c:v>399.67556681000002</c:v>
                </c:pt>
                <c:pt idx="4">
                  <c:v>1866.0848775400113</c:v>
                </c:pt>
                <c:pt idx="5">
                  <c:v>8732.8844888499989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B2BC-4836-8A7F-EBD6C6C2DB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8"/>
        <c:overlap val="-13"/>
        <c:axId val="427531664"/>
        <c:axId val="427530576"/>
      </c:barChart>
      <c:catAx>
        <c:axId val="4275316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+mn-lt"/>
              </a:defRPr>
            </a:pPr>
            <a:endParaRPr lang="en-US"/>
          </a:p>
        </c:txPr>
        <c:crossAx val="427530576"/>
        <c:crosses val="autoZero"/>
        <c:auto val="1"/>
        <c:lblAlgn val="ctr"/>
        <c:lblOffset val="100"/>
        <c:noMultiLvlLbl val="0"/>
      </c:catAx>
      <c:valAx>
        <c:axId val="427530576"/>
        <c:scaling>
          <c:orientation val="minMax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800" b="1"/>
                </a:pPr>
                <a:r>
                  <a:rPr lang="sq-AL" sz="800" b="1"/>
                  <a:t>Në milion leke</a:t>
                </a:r>
              </a:p>
            </c:rich>
          </c:tx>
          <c:layout>
            <c:manualLayout>
              <c:xMode val="edge"/>
              <c:yMode val="edge"/>
              <c:x val="3.1121192927844238E-4"/>
              <c:y val="5.1290228281378721E-3"/>
            </c:manualLayout>
          </c:layout>
          <c:overlay val="0"/>
        </c:title>
        <c:numFmt formatCode="#,##0" sourceLinked="0"/>
        <c:majorTickMark val="none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700" b="0"/>
            </a:pPr>
            <a:endParaRPr lang="en-US"/>
          </a:p>
        </c:txPr>
        <c:crossAx val="427531664"/>
        <c:crosses val="autoZero"/>
        <c:crossBetween val="between"/>
      </c:valAx>
      <c:spPr>
        <a:solidFill>
          <a:schemeClr val="bg1">
            <a:lumMod val="95000"/>
          </a:schemeClr>
        </a:solidFill>
        <a:effectLst>
          <a:glow rad="127000">
            <a:schemeClr val="bg1"/>
          </a:glow>
          <a:outerShdw blurRad="50800" dist="50800" dir="5400000" algn="ctr" rotWithShape="0">
            <a:schemeClr val="bg1"/>
          </a:outerShdw>
        </a:effectLst>
      </c:spPr>
    </c:plotArea>
    <c:legend>
      <c:legendPos val="r"/>
      <c:layout>
        <c:manualLayout>
          <c:xMode val="edge"/>
          <c:yMode val="edge"/>
          <c:x val="0.26209633973378699"/>
          <c:y val="0.91318333796209916"/>
          <c:w val="0.46935618075909391"/>
          <c:h val="8.681661785577649E-2"/>
        </c:manualLayout>
      </c:layout>
      <c:overlay val="0"/>
      <c:txPr>
        <a:bodyPr/>
        <a:lstStyle/>
        <a:p>
          <a:pPr>
            <a:defRPr sz="900" b="1">
              <a:latin typeface="Calibri" panose="020F0502020204030204" pitchFamily="34" charset="0"/>
              <a:cs typeface="Calibri" panose="020F050202020403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ln>
      <a:solidFill>
        <a:schemeClr val="bg1">
          <a:lumMod val="85000"/>
        </a:schemeClr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197F8-1CDC-4DCA-857A-848D4C6DFAA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2235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Ardita Xhyheri</dc:creator>
  <cp:keywords/>
  <dc:description/>
  <cp:lastModifiedBy>Ardita Xhyheri</cp:lastModifiedBy>
  <cp:revision>3</cp:revision>
  <cp:lastPrinted>2024-10-17T08:27:00Z</cp:lastPrinted>
  <dcterms:created xsi:type="dcterms:W3CDTF">2026-01-13T13:58:00Z</dcterms:created>
  <dcterms:modified xsi:type="dcterms:W3CDTF">2026-01-13T14:06:00Z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04226e4a940d0a0fc69ac665441aa1b2abc296783c385b29617499ac3b7a1e96</vt:lpwstr>
  </property>
</Properties>
</file>