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75FD0" w14:textId="6B817858" w:rsidR="00CF2AA3" w:rsidRPr="009A28B0" w:rsidRDefault="001B75D4" w:rsidP="009A28B0">
      <w:pPr>
        <w:pStyle w:val="Heading2"/>
        <w:ind w:left="0" w:firstLine="0"/>
        <w:rPr>
          <w:rFonts w:ascii="Book Antiqua" w:hAnsi="Book Antiqua"/>
          <w:color w:val="0070C0"/>
          <w:sz w:val="32"/>
          <w:szCs w:val="32"/>
        </w:rPr>
      </w:pPr>
      <w:r w:rsidRPr="009A28B0">
        <w:rPr>
          <w:rFonts w:ascii="Book Antiqua" w:hAnsi="Book Antiqua"/>
          <w:color w:val="0070C0"/>
          <w:sz w:val="32"/>
          <w:szCs w:val="32"/>
        </w:rPr>
        <w:t>Financa</w:t>
      </w:r>
      <w:r w:rsidR="007575C9" w:rsidRPr="009A28B0">
        <w:rPr>
          <w:rFonts w:ascii="Book Antiqua" w:hAnsi="Book Antiqua"/>
          <w:color w:val="0070C0"/>
          <w:sz w:val="32"/>
          <w:szCs w:val="32"/>
        </w:rPr>
        <w:t>t</w:t>
      </w:r>
      <w:r w:rsidRPr="009A28B0">
        <w:rPr>
          <w:rFonts w:ascii="Book Antiqua" w:hAnsi="Book Antiqua"/>
          <w:color w:val="0070C0"/>
          <w:sz w:val="32"/>
          <w:szCs w:val="32"/>
        </w:rPr>
        <w:t xml:space="preserve"> Vendore </w:t>
      </w:r>
      <w:r w:rsidR="00EA585B" w:rsidRPr="009A28B0">
        <w:rPr>
          <w:rFonts w:ascii="Book Antiqua" w:hAnsi="Book Antiqua"/>
          <w:color w:val="0070C0"/>
          <w:sz w:val="32"/>
          <w:szCs w:val="32"/>
        </w:rPr>
        <w:t>p</w:t>
      </w:r>
      <w:r w:rsidR="006D28C0" w:rsidRPr="009A28B0">
        <w:rPr>
          <w:rFonts w:ascii="Book Antiqua" w:hAnsi="Book Antiqua"/>
          <w:color w:val="0070C0"/>
          <w:sz w:val="32"/>
          <w:szCs w:val="32"/>
        </w:rPr>
        <w:t>ë</w:t>
      </w:r>
      <w:r w:rsidR="00EA585B" w:rsidRPr="009A28B0">
        <w:rPr>
          <w:rFonts w:ascii="Book Antiqua" w:hAnsi="Book Antiqua"/>
          <w:color w:val="0070C0"/>
          <w:sz w:val="32"/>
          <w:szCs w:val="32"/>
        </w:rPr>
        <w:t>r</w:t>
      </w:r>
      <w:r w:rsidRPr="009A28B0">
        <w:rPr>
          <w:rFonts w:ascii="Book Antiqua" w:hAnsi="Book Antiqua"/>
          <w:color w:val="0070C0"/>
          <w:sz w:val="32"/>
          <w:szCs w:val="32"/>
        </w:rPr>
        <w:t xml:space="preserve"> </w:t>
      </w:r>
      <w:r w:rsidR="000B697A" w:rsidRPr="009A28B0">
        <w:rPr>
          <w:rFonts w:ascii="Book Antiqua" w:hAnsi="Book Antiqua"/>
          <w:color w:val="0070C0"/>
          <w:sz w:val="32"/>
          <w:szCs w:val="32"/>
        </w:rPr>
        <w:t>periudhë</w:t>
      </w:r>
      <w:r w:rsidR="00EA585B" w:rsidRPr="009A28B0">
        <w:rPr>
          <w:rFonts w:ascii="Book Antiqua" w:hAnsi="Book Antiqua"/>
          <w:color w:val="0070C0"/>
          <w:sz w:val="32"/>
          <w:szCs w:val="32"/>
        </w:rPr>
        <w:t>n</w:t>
      </w:r>
      <w:r w:rsidR="000B697A" w:rsidRPr="009A28B0">
        <w:rPr>
          <w:rFonts w:ascii="Book Antiqua" w:hAnsi="Book Antiqua"/>
          <w:color w:val="0070C0"/>
          <w:sz w:val="32"/>
          <w:szCs w:val="32"/>
        </w:rPr>
        <w:t xml:space="preserve"> </w:t>
      </w:r>
      <w:r w:rsidRPr="009A28B0">
        <w:rPr>
          <w:rFonts w:ascii="Book Antiqua" w:hAnsi="Book Antiqua"/>
          <w:color w:val="0070C0"/>
          <w:sz w:val="32"/>
          <w:szCs w:val="32"/>
        </w:rPr>
        <w:t>Janar</w:t>
      </w:r>
      <w:r w:rsidR="000B697A" w:rsidRPr="009A28B0">
        <w:rPr>
          <w:rFonts w:ascii="Book Antiqua" w:hAnsi="Book Antiqua"/>
          <w:color w:val="0070C0"/>
          <w:sz w:val="32"/>
          <w:szCs w:val="32"/>
        </w:rPr>
        <w:t xml:space="preserve"> </w:t>
      </w:r>
      <w:r w:rsidRPr="009A28B0">
        <w:rPr>
          <w:rFonts w:ascii="Book Antiqua" w:hAnsi="Book Antiqua"/>
          <w:color w:val="0070C0"/>
          <w:sz w:val="32"/>
          <w:szCs w:val="32"/>
        </w:rPr>
        <w:t>-</w:t>
      </w:r>
      <w:r w:rsidR="000B697A" w:rsidRPr="009A28B0">
        <w:rPr>
          <w:rFonts w:ascii="Book Antiqua" w:hAnsi="Book Antiqua"/>
          <w:color w:val="0070C0"/>
          <w:sz w:val="32"/>
          <w:szCs w:val="32"/>
        </w:rPr>
        <w:t xml:space="preserve"> </w:t>
      </w:r>
      <w:r w:rsidRPr="009A28B0">
        <w:rPr>
          <w:rFonts w:ascii="Book Antiqua" w:hAnsi="Book Antiqua"/>
          <w:color w:val="0070C0"/>
          <w:sz w:val="32"/>
          <w:szCs w:val="32"/>
        </w:rPr>
        <w:t xml:space="preserve">Qershor </w:t>
      </w:r>
      <w:r w:rsidR="009D5418" w:rsidRPr="009A28B0">
        <w:rPr>
          <w:rFonts w:ascii="Book Antiqua" w:hAnsi="Book Antiqua"/>
          <w:color w:val="0070C0"/>
          <w:sz w:val="32"/>
          <w:szCs w:val="32"/>
        </w:rPr>
        <w:t>2025</w:t>
      </w:r>
    </w:p>
    <w:p w14:paraId="1D9F3805" w14:textId="77777777" w:rsidR="000B697A" w:rsidRPr="00801BC5" w:rsidRDefault="000B697A" w:rsidP="000B697A">
      <w:pPr>
        <w:rPr>
          <w:lang w:val="sq-AL"/>
        </w:rPr>
      </w:pPr>
    </w:p>
    <w:p w14:paraId="1095FDF9" w14:textId="32B06BCA" w:rsidR="009A28B0" w:rsidRPr="00DC3655" w:rsidRDefault="009A28B0" w:rsidP="009A28B0">
      <w:pPr>
        <w:spacing w:line="276" w:lineRule="auto"/>
        <w:jc w:val="both"/>
        <w:rPr>
          <w:color w:val="002060"/>
          <w:lang w:val="sq-AL"/>
        </w:rPr>
      </w:pPr>
      <w:r w:rsidRPr="00526614">
        <w:rPr>
          <w:color w:val="002060"/>
          <w:lang w:val="sq-AL"/>
        </w:rPr>
        <w:t xml:space="preserve">Financat publike në nivel vendor zbatohen mbi parimet e Ligjit nr.68 datë 27.04.2018 </w:t>
      </w:r>
      <w:r w:rsidRPr="00526614">
        <w:rPr>
          <w:i/>
          <w:iCs/>
          <w:color w:val="002060"/>
          <w:lang w:val="sq-AL"/>
        </w:rPr>
        <w:t>“Për financat e vetëqverisjes vendore”, të ndryshuar,</w:t>
      </w:r>
      <w:r w:rsidRPr="00526614">
        <w:rPr>
          <w:color w:val="002060"/>
          <w:lang w:val="sq-AL"/>
        </w:rPr>
        <w:t xml:space="preserve"> ndërkohë që treguesit e të ardhurave dhe </w:t>
      </w:r>
      <w:r w:rsidRPr="00DC3655">
        <w:rPr>
          <w:color w:val="002060"/>
          <w:lang w:val="sq-AL"/>
        </w:rPr>
        <w:t xml:space="preserve">shpenzimeve të buxhetit vendor ndiqen në mënyrë të vazhdueshme nga Ministria e Financave, me qëllim monitorimin e tyre dhe asistencën e njësive të vetëqeverisjes vendore në përmirësmin e menaxhimit të këtij procesi. Referuar raportit të treguesve fiskalë të buxhetit të konsoliduar dhe të dhënave të Sistemit Informatik Financiar të Qeverisë, është realizuar analiza e të adhurave dhe shpenzimeve të buxhetit vendor në nivel kombëtar për periudhën </w:t>
      </w:r>
      <w:r>
        <w:rPr>
          <w:color w:val="002060"/>
          <w:lang w:val="sq-AL"/>
        </w:rPr>
        <w:t>6</w:t>
      </w:r>
      <w:r w:rsidRPr="00DC3655">
        <w:rPr>
          <w:color w:val="002060"/>
          <w:lang w:val="sq-AL"/>
        </w:rPr>
        <w:t xml:space="preserve"> </w:t>
      </w:r>
      <w:r>
        <w:rPr>
          <w:color w:val="002060"/>
          <w:lang w:val="sq-AL"/>
        </w:rPr>
        <w:t xml:space="preserve">mujore </w:t>
      </w:r>
      <w:r w:rsidRPr="00DC3655">
        <w:rPr>
          <w:color w:val="002060"/>
          <w:lang w:val="sq-AL"/>
        </w:rPr>
        <w:t>janar-</w:t>
      </w:r>
      <w:r>
        <w:rPr>
          <w:color w:val="002060"/>
          <w:lang w:val="sq-AL"/>
        </w:rPr>
        <w:t>qershor</w:t>
      </w:r>
      <w:r w:rsidRPr="00DC3655">
        <w:rPr>
          <w:color w:val="002060"/>
          <w:lang w:val="sq-AL"/>
        </w:rPr>
        <w:t xml:space="preserve"> 2025, duke i marrë në krahasim këto të dhëna edhe me periudhat e mëparshme.</w:t>
      </w:r>
    </w:p>
    <w:p w14:paraId="647B9EDA" w14:textId="77777777" w:rsidR="006E1F5F" w:rsidRPr="009A28B0" w:rsidRDefault="006E1F5F" w:rsidP="00A349F7">
      <w:pPr>
        <w:spacing w:line="276" w:lineRule="auto"/>
        <w:jc w:val="both"/>
        <w:rPr>
          <w:rFonts w:ascii="Book Antiqua" w:hAnsi="Book Antiqua"/>
          <w:sz w:val="28"/>
          <w:szCs w:val="28"/>
          <w:lang w:val="sq-AL"/>
        </w:rPr>
      </w:pPr>
    </w:p>
    <w:p w14:paraId="09B30F98" w14:textId="77777777" w:rsidR="001B75D4" w:rsidRPr="006E1F5F" w:rsidRDefault="001B75D4" w:rsidP="006E1F5F">
      <w:pPr>
        <w:pStyle w:val="ListParagraph"/>
        <w:numPr>
          <w:ilvl w:val="0"/>
          <w:numId w:val="2"/>
        </w:numPr>
        <w:spacing w:line="276" w:lineRule="auto"/>
        <w:jc w:val="both"/>
        <w:rPr>
          <w:rFonts w:ascii="Book Antiqua" w:hAnsi="Book Antiqua"/>
          <w:b/>
          <w:i/>
          <w:color w:val="0070C0"/>
          <w:sz w:val="26"/>
          <w:szCs w:val="26"/>
          <w:u w:val="single"/>
          <w:lang w:val="sq-AL"/>
        </w:rPr>
      </w:pPr>
      <w:r w:rsidRPr="006E1F5F">
        <w:rPr>
          <w:rFonts w:ascii="Book Antiqua" w:hAnsi="Book Antiqua"/>
          <w:b/>
          <w:i/>
          <w:color w:val="0070C0"/>
          <w:sz w:val="26"/>
          <w:szCs w:val="26"/>
          <w:u w:val="single"/>
          <w:lang w:val="sq-AL"/>
        </w:rPr>
        <w:t>Të ardhurat vendore</w:t>
      </w:r>
    </w:p>
    <w:p w14:paraId="53DBB211" w14:textId="0F5BD315" w:rsidR="009F4630" w:rsidRDefault="009F4630" w:rsidP="009F4630">
      <w:pPr>
        <w:spacing w:before="120" w:line="276" w:lineRule="auto"/>
        <w:jc w:val="both"/>
        <w:rPr>
          <w:color w:val="002060"/>
          <w:lang w:val="sq-AL"/>
        </w:rPr>
      </w:pPr>
      <w:r w:rsidRPr="009F4630">
        <w:rPr>
          <w:color w:val="002060"/>
          <w:lang w:val="sq-AL"/>
        </w:rPr>
        <w:t xml:space="preserve">Për periudhën </w:t>
      </w:r>
      <w:r w:rsidRPr="00DC3655">
        <w:rPr>
          <w:color w:val="002060"/>
          <w:lang w:val="sq-AL"/>
        </w:rPr>
        <w:t>janar-</w:t>
      </w:r>
      <w:r>
        <w:rPr>
          <w:color w:val="002060"/>
          <w:lang w:val="sq-AL"/>
        </w:rPr>
        <w:t>qershor</w:t>
      </w:r>
      <w:r w:rsidRPr="00DC3655">
        <w:rPr>
          <w:color w:val="002060"/>
          <w:lang w:val="sq-AL"/>
        </w:rPr>
        <w:t xml:space="preserve"> </w:t>
      </w:r>
      <w:r w:rsidRPr="009F4630">
        <w:rPr>
          <w:color w:val="002060"/>
          <w:lang w:val="sq-AL"/>
        </w:rPr>
        <w:t xml:space="preserve">2025, njësitë e vetëqeverisjes vendore (NJVQV) në shkallë kombëtare kanë mbledhur të ardhura të veta tatimore në masën </w:t>
      </w:r>
      <w:r w:rsidRPr="009A28B0">
        <w:rPr>
          <w:color w:val="002060"/>
          <w:lang w:val="sq-AL"/>
        </w:rPr>
        <w:t>19.1 miliardë lekë</w:t>
      </w:r>
      <w:r w:rsidRPr="009F4630">
        <w:rPr>
          <w:color w:val="002060"/>
          <w:lang w:val="sq-AL"/>
        </w:rPr>
        <w:t xml:space="preserve">. Ky nivel rezulton rreth </w:t>
      </w:r>
      <w:r w:rsidRPr="009A28B0">
        <w:rPr>
          <w:color w:val="002060"/>
          <w:lang w:val="sq-AL"/>
        </w:rPr>
        <w:t xml:space="preserve">1.7 miliardë lekë më i ulët ose rreth 8% më pak </w:t>
      </w:r>
      <w:r w:rsidRPr="009F4630">
        <w:rPr>
          <w:color w:val="002060"/>
          <w:lang w:val="sq-AL"/>
        </w:rPr>
        <w:t xml:space="preserve">se vlera e të ardhurave tatimore të mbledhura gjatë të njëjtës periudhë 2024, megjithatë rreth </w:t>
      </w:r>
      <w:r>
        <w:rPr>
          <w:color w:val="002060"/>
          <w:lang w:val="sq-AL"/>
        </w:rPr>
        <w:t>24</w:t>
      </w:r>
      <w:r w:rsidRPr="009F4630">
        <w:rPr>
          <w:color w:val="002060"/>
          <w:lang w:val="sq-AL"/>
        </w:rPr>
        <w:t xml:space="preserve">% më e lartë se </w:t>
      </w:r>
      <w:r>
        <w:rPr>
          <w:color w:val="002060"/>
          <w:lang w:val="sq-AL"/>
        </w:rPr>
        <w:t>6</w:t>
      </w:r>
      <w:r w:rsidRPr="009F4630">
        <w:rPr>
          <w:color w:val="002060"/>
          <w:lang w:val="sq-AL"/>
        </w:rPr>
        <w:t xml:space="preserve"> mujori 2023. Realizimi i të ardhurave vendore gjatë </w:t>
      </w:r>
      <w:r>
        <w:rPr>
          <w:color w:val="002060"/>
          <w:lang w:val="sq-AL"/>
        </w:rPr>
        <w:t>6</w:t>
      </w:r>
      <w:r w:rsidRPr="009F4630">
        <w:rPr>
          <w:color w:val="002060"/>
          <w:lang w:val="sq-AL"/>
        </w:rPr>
        <w:t xml:space="preserve">M 2025, pavarësisht raportit kundrejt vitit 2024, tregon një performancë të mirë të pushtetit vendor në mbledhjen e të ardhurave të veta, dhe pritshmëritë janë që deri në fund të vitit ky raport do të ndryshojë pozitivisht.  </w:t>
      </w:r>
    </w:p>
    <w:p w14:paraId="380E0BF5" w14:textId="13DC2DCE" w:rsidR="00B9520D" w:rsidRPr="00DC3655" w:rsidRDefault="00B9520D" w:rsidP="00B9520D">
      <w:pPr>
        <w:spacing w:before="120" w:line="276" w:lineRule="auto"/>
        <w:jc w:val="both"/>
        <w:rPr>
          <w:color w:val="002060"/>
          <w:lang w:val="sq-AL"/>
        </w:rPr>
      </w:pPr>
      <w:r w:rsidRPr="00DC3655">
        <w:rPr>
          <w:color w:val="002060"/>
          <w:lang w:val="sq-AL"/>
        </w:rPr>
        <w:t xml:space="preserve">Duke ju referuar të dhënave të treguesve fiskalë, nëse marrim në analizë të ardhurat e pushtetit vendor  për periudhën </w:t>
      </w:r>
      <w:r>
        <w:rPr>
          <w:color w:val="002060"/>
          <w:lang w:val="sq-AL"/>
        </w:rPr>
        <w:t>6</w:t>
      </w:r>
      <w:r w:rsidRPr="00DC3655">
        <w:rPr>
          <w:color w:val="002060"/>
          <w:lang w:val="sq-AL"/>
        </w:rPr>
        <w:t xml:space="preserve"> mujore në vitet 2015-2025, do të kemi rezultatet si në grafikun  e mëposhtëm:</w:t>
      </w:r>
    </w:p>
    <w:p w14:paraId="0DED9025" w14:textId="64D535BD" w:rsidR="00B9520D" w:rsidRDefault="00B9520D" w:rsidP="00B9520D">
      <w:pPr>
        <w:pStyle w:val="Caption"/>
        <w:spacing w:after="0" w:line="276" w:lineRule="auto"/>
        <w:jc w:val="both"/>
        <w:rPr>
          <w:b w:val="0"/>
          <w:bCs w:val="0"/>
          <w:i/>
          <w:color w:val="002060"/>
          <w:sz w:val="24"/>
          <w:szCs w:val="24"/>
          <w:lang w:val="sq-AL"/>
        </w:rPr>
      </w:pPr>
      <w:r w:rsidRPr="00B9520D">
        <w:rPr>
          <w:noProof/>
          <w:sz w:val="22"/>
          <w:szCs w:val="22"/>
        </w:rPr>
        <w:drawing>
          <wp:anchor distT="0" distB="0" distL="114300" distR="114300" simplePos="0" relativeHeight="251662336" behindDoc="0" locked="0" layoutInCell="1" allowOverlap="1" wp14:anchorId="56083DE1" wp14:editId="60FCF99C">
            <wp:simplePos x="0" y="0"/>
            <wp:positionH relativeFrom="margin">
              <wp:align>left</wp:align>
            </wp:positionH>
            <wp:positionV relativeFrom="margin">
              <wp:posOffset>5053026</wp:posOffset>
            </wp:positionV>
            <wp:extent cx="5955030" cy="1915795"/>
            <wp:effectExtent l="0" t="0" r="7620" b="8255"/>
            <wp:wrapSquare wrapText="bothSides"/>
            <wp:docPr id="7" name="Chart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DC3655">
        <w:rPr>
          <w:i/>
          <w:color w:val="002060"/>
          <w:sz w:val="24"/>
          <w:szCs w:val="24"/>
          <w:lang w:val="sq-AL"/>
        </w:rPr>
        <w:t>Grafiku 1:</w:t>
      </w:r>
      <w:r w:rsidRPr="00DC3655">
        <w:rPr>
          <w:b w:val="0"/>
          <w:bCs w:val="0"/>
          <w:i/>
          <w:color w:val="002060"/>
          <w:sz w:val="24"/>
          <w:szCs w:val="24"/>
          <w:lang w:val="sq-AL"/>
        </w:rPr>
        <w:t xml:space="preserve"> Të ardhurat e përgjithshme të pushtetit vendor dhe </w:t>
      </w:r>
      <w:r>
        <w:rPr>
          <w:b w:val="0"/>
          <w:bCs w:val="0"/>
          <w:i/>
          <w:color w:val="002060"/>
          <w:sz w:val="24"/>
          <w:szCs w:val="24"/>
          <w:lang w:val="sq-AL"/>
        </w:rPr>
        <w:t xml:space="preserve">ritmi i </w:t>
      </w:r>
      <w:r w:rsidRPr="00B9520D">
        <w:rPr>
          <w:b w:val="0"/>
          <w:bCs w:val="0"/>
          <w:i/>
          <w:color w:val="002060"/>
          <w:sz w:val="24"/>
          <w:szCs w:val="24"/>
          <w:lang w:val="sq-AL"/>
        </w:rPr>
        <w:t>ndryshimit t</w:t>
      </w:r>
      <w:r w:rsidRPr="00DC3655">
        <w:rPr>
          <w:b w:val="0"/>
          <w:bCs w:val="0"/>
          <w:i/>
          <w:color w:val="002060"/>
          <w:sz w:val="24"/>
          <w:szCs w:val="24"/>
          <w:lang w:val="sq-AL"/>
        </w:rPr>
        <w:t>ë tyre</w:t>
      </w:r>
    </w:p>
    <w:p w14:paraId="688097CC" w14:textId="12B65768" w:rsidR="001B75D4" w:rsidRPr="00B9520D" w:rsidRDefault="001B75D4" w:rsidP="00B9520D">
      <w:pPr>
        <w:spacing w:line="276" w:lineRule="auto"/>
        <w:jc w:val="both"/>
        <w:rPr>
          <w:rFonts w:eastAsia="SimSun"/>
          <w:b/>
          <w:bCs/>
          <w:i/>
          <w:color w:val="0070C0"/>
          <w:sz w:val="22"/>
          <w:szCs w:val="20"/>
          <w:lang w:val="sq-AL"/>
        </w:rPr>
      </w:pPr>
      <w:r w:rsidRPr="00B9520D">
        <w:rPr>
          <w:rFonts w:eastAsia="SimSun"/>
          <w:i/>
          <w:color w:val="0070C0"/>
          <w:sz w:val="22"/>
          <w:szCs w:val="20"/>
          <w:lang w:val="sq-AL"/>
        </w:rPr>
        <w:t>Burimi: Drejtoria e Financave Vendore, Ministria e Financave (</w:t>
      </w:r>
      <w:r w:rsidR="009D5418" w:rsidRPr="00B9520D">
        <w:rPr>
          <w:rFonts w:eastAsia="SimSun"/>
          <w:i/>
          <w:color w:val="0070C0"/>
          <w:sz w:val="22"/>
          <w:szCs w:val="20"/>
          <w:lang w:val="sq-AL"/>
        </w:rPr>
        <w:t>2025</w:t>
      </w:r>
      <w:r w:rsidRPr="00B9520D">
        <w:rPr>
          <w:rFonts w:eastAsia="SimSun"/>
          <w:i/>
          <w:color w:val="0070C0"/>
          <w:sz w:val="22"/>
          <w:szCs w:val="20"/>
          <w:lang w:val="sq-AL"/>
        </w:rPr>
        <w:t>)</w:t>
      </w:r>
    </w:p>
    <w:p w14:paraId="0D4BD906" w14:textId="77777777" w:rsidR="00B9520D" w:rsidRDefault="00B9520D" w:rsidP="009F4630">
      <w:pPr>
        <w:spacing w:line="276" w:lineRule="auto"/>
        <w:jc w:val="both"/>
        <w:rPr>
          <w:color w:val="FF0000"/>
          <w:lang w:val="sq-AL"/>
        </w:rPr>
      </w:pPr>
    </w:p>
    <w:p w14:paraId="60E95A66" w14:textId="08772349" w:rsidR="009F4630" w:rsidRPr="009A28B0" w:rsidRDefault="009F4630" w:rsidP="009F4630">
      <w:pPr>
        <w:spacing w:line="276" w:lineRule="auto"/>
        <w:jc w:val="both"/>
        <w:rPr>
          <w:color w:val="002060"/>
          <w:lang w:val="sq-AL"/>
        </w:rPr>
      </w:pPr>
      <w:r w:rsidRPr="009A28B0">
        <w:rPr>
          <w:color w:val="002060"/>
          <w:lang w:val="sq-AL"/>
        </w:rPr>
        <w:t>Sa i takon performancës së përgjithshme të realizimit të të ardhurave vendore për këtë periudhë, rezulton se deri në fund të gjashtëmujorit është realizuar rreth 47% e planit vjetor të të ardhurave nga burimet e veta</w:t>
      </w:r>
      <w:r w:rsidR="00B9520D">
        <w:rPr>
          <w:color w:val="002060"/>
          <w:lang w:val="sq-AL"/>
        </w:rPr>
        <w:t>, ku</w:t>
      </w:r>
      <w:r w:rsidRPr="009A28B0">
        <w:rPr>
          <w:color w:val="002060"/>
          <w:lang w:val="sq-AL"/>
        </w:rPr>
        <w:t xml:space="preserve"> konkretisht taksa mbi pasurinë është realizuar në masën rreth 55% e planit vjetor dhe taksat lokale janë realizuar në masën rreth 45% e planit vjetor 2025.</w:t>
      </w:r>
    </w:p>
    <w:p w14:paraId="5C9086F7" w14:textId="77777777" w:rsidR="00B9520D" w:rsidRDefault="00B9520D" w:rsidP="00B9520D">
      <w:pPr>
        <w:spacing w:line="276" w:lineRule="auto"/>
        <w:jc w:val="both"/>
        <w:rPr>
          <w:color w:val="002060"/>
          <w:lang w:val="sq-AL"/>
        </w:rPr>
      </w:pPr>
    </w:p>
    <w:p w14:paraId="40ED4963" w14:textId="647D00A7" w:rsidR="00C63474" w:rsidRPr="00B9520D" w:rsidRDefault="00C63474" w:rsidP="00B9520D">
      <w:pPr>
        <w:spacing w:line="276" w:lineRule="auto"/>
        <w:jc w:val="both"/>
        <w:rPr>
          <w:noProof/>
          <w:color w:val="002060"/>
          <w:lang w:val="sq-AL"/>
        </w:rPr>
      </w:pPr>
      <w:r w:rsidRPr="00B9520D">
        <w:rPr>
          <w:color w:val="002060"/>
          <w:lang w:val="sq-AL"/>
        </w:rPr>
        <w:lastRenderedPageBreak/>
        <w:t xml:space="preserve">Gjatë viteve, të ardhurat e pushtetit vendor kanë pësuar ndryshime të konsiderueshme, si në aspektin e vlerës ashtu edhe në përbërjen e tyre sipas burimeve. Për gjashtëmujorin e parë të vitit 2025, taksat lokale </w:t>
      </w:r>
      <w:r w:rsidR="00416538" w:rsidRPr="00B9520D">
        <w:rPr>
          <w:color w:val="002060"/>
          <w:lang w:val="sq-AL"/>
        </w:rPr>
        <w:t>mbajn</w:t>
      </w:r>
      <w:r w:rsidR="00AD1128" w:rsidRPr="00B9520D">
        <w:rPr>
          <w:color w:val="002060"/>
          <w:lang w:val="sq-AL"/>
        </w:rPr>
        <w:t>ë</w:t>
      </w:r>
      <w:r w:rsidR="00416538" w:rsidRPr="00B9520D">
        <w:rPr>
          <w:color w:val="002060"/>
          <w:lang w:val="sq-AL"/>
        </w:rPr>
        <w:t xml:space="preserve"> pesh</w:t>
      </w:r>
      <w:r w:rsidR="00AD1128" w:rsidRPr="00B9520D">
        <w:rPr>
          <w:color w:val="002060"/>
          <w:lang w:val="sq-AL"/>
        </w:rPr>
        <w:t>ë</w:t>
      </w:r>
      <w:r w:rsidR="00416538" w:rsidRPr="00B9520D">
        <w:rPr>
          <w:color w:val="002060"/>
          <w:lang w:val="sq-AL"/>
        </w:rPr>
        <w:t>n</w:t>
      </w:r>
      <w:r w:rsidRPr="00B9520D">
        <w:rPr>
          <w:color w:val="002060"/>
          <w:lang w:val="sq-AL"/>
        </w:rPr>
        <w:t xml:space="preserve"> më të madhe të të ardhurave nga burimet e veta, duke zënë 75.2% të totalit të të ardhurave vendore. Ndërkohë,</w:t>
      </w:r>
      <w:r w:rsidR="00B9520D">
        <w:rPr>
          <w:color w:val="002060"/>
          <w:lang w:val="sq-AL"/>
        </w:rPr>
        <w:t xml:space="preserve"> nga</w:t>
      </w:r>
      <w:r w:rsidRPr="00B9520D">
        <w:rPr>
          <w:color w:val="002060"/>
          <w:lang w:val="sq-AL"/>
        </w:rPr>
        <w:t xml:space="preserve"> taksa mbi pasurinë (përfshirë ndërtesat, truallin dhe tokën bujqësore) </w:t>
      </w:r>
      <w:r w:rsidR="00B9520D">
        <w:rPr>
          <w:color w:val="002060"/>
          <w:lang w:val="sq-AL"/>
        </w:rPr>
        <w:t>jan</w:t>
      </w:r>
      <w:r w:rsidR="00C957FA" w:rsidRPr="00B9520D">
        <w:rPr>
          <w:color w:val="002060"/>
          <w:lang w:val="sq-AL"/>
        </w:rPr>
        <w:t>ë</w:t>
      </w:r>
      <w:r w:rsidR="00571FAE" w:rsidRPr="00B9520D">
        <w:rPr>
          <w:color w:val="002060"/>
          <w:lang w:val="sq-AL"/>
        </w:rPr>
        <w:t xml:space="preserve"> ark</w:t>
      </w:r>
      <w:r w:rsidR="00C957FA" w:rsidRPr="00B9520D">
        <w:rPr>
          <w:color w:val="002060"/>
          <w:lang w:val="sq-AL"/>
        </w:rPr>
        <w:t>ë</w:t>
      </w:r>
      <w:r w:rsidR="00571FAE" w:rsidRPr="00B9520D">
        <w:rPr>
          <w:color w:val="002060"/>
          <w:lang w:val="sq-AL"/>
        </w:rPr>
        <w:t>tuar</w:t>
      </w:r>
      <w:r w:rsidR="00B9520D">
        <w:rPr>
          <w:color w:val="002060"/>
          <w:lang w:val="sq-AL"/>
        </w:rPr>
        <w:t xml:space="preserve"> t</w:t>
      </w:r>
      <w:r w:rsidR="007B70E4">
        <w:rPr>
          <w:color w:val="002060"/>
          <w:lang w:val="sq-AL"/>
        </w:rPr>
        <w:t>ë</w:t>
      </w:r>
      <w:r w:rsidR="00B9520D">
        <w:rPr>
          <w:color w:val="002060"/>
          <w:lang w:val="sq-AL"/>
        </w:rPr>
        <w:t xml:space="preserve"> ardhura</w:t>
      </w:r>
      <w:r w:rsidRPr="00B9520D">
        <w:rPr>
          <w:color w:val="002060"/>
          <w:lang w:val="sq-AL"/>
        </w:rPr>
        <w:t xml:space="preserve"> </w:t>
      </w:r>
      <w:r w:rsidR="002651EC" w:rsidRPr="00B9520D">
        <w:rPr>
          <w:color w:val="002060"/>
          <w:lang w:val="sq-AL"/>
        </w:rPr>
        <w:t>n</w:t>
      </w:r>
      <w:r w:rsidR="00C957FA" w:rsidRPr="00B9520D">
        <w:rPr>
          <w:color w:val="002060"/>
          <w:lang w:val="sq-AL"/>
        </w:rPr>
        <w:t>ë</w:t>
      </w:r>
      <w:r w:rsidR="002651EC" w:rsidRPr="00B9520D">
        <w:rPr>
          <w:color w:val="002060"/>
          <w:lang w:val="sq-AL"/>
        </w:rPr>
        <w:t xml:space="preserve"> mas</w:t>
      </w:r>
      <w:r w:rsidR="00C957FA" w:rsidRPr="00B9520D">
        <w:rPr>
          <w:color w:val="002060"/>
          <w:lang w:val="sq-AL"/>
        </w:rPr>
        <w:t>ë</w:t>
      </w:r>
      <w:r w:rsidR="002651EC" w:rsidRPr="00B9520D">
        <w:rPr>
          <w:color w:val="002060"/>
          <w:lang w:val="sq-AL"/>
        </w:rPr>
        <w:t xml:space="preserve">n </w:t>
      </w:r>
      <w:r w:rsidRPr="00B9520D">
        <w:rPr>
          <w:color w:val="002060"/>
          <w:lang w:val="sq-AL"/>
        </w:rPr>
        <w:t>rreth 4</w:t>
      </w:r>
      <w:r w:rsidR="00416538" w:rsidRPr="00B9520D">
        <w:rPr>
          <w:color w:val="002060"/>
          <w:lang w:val="sq-AL"/>
        </w:rPr>
        <w:t>.7 miliard</w:t>
      </w:r>
      <w:r w:rsidR="00AD1128" w:rsidRPr="00B9520D">
        <w:rPr>
          <w:color w:val="002060"/>
          <w:lang w:val="sq-AL"/>
        </w:rPr>
        <w:t>ë</w:t>
      </w:r>
      <w:r w:rsidR="00416538" w:rsidRPr="00B9520D">
        <w:rPr>
          <w:color w:val="002060"/>
          <w:lang w:val="sq-AL"/>
        </w:rPr>
        <w:t xml:space="preserve"> lekë</w:t>
      </w:r>
      <w:r w:rsidRPr="00B9520D">
        <w:rPr>
          <w:color w:val="002060"/>
          <w:lang w:val="sq-AL"/>
        </w:rPr>
        <w:t xml:space="preserve">, që përfaqëson 24.7% të totalit të të ardhurave vendore për këtë periudhë. </w:t>
      </w:r>
      <w:r w:rsidR="00B9520D" w:rsidRPr="00DC3655">
        <w:rPr>
          <w:color w:val="002060"/>
          <w:lang w:val="sq-AL"/>
        </w:rPr>
        <w:t>Nga ana tjetër, ‘</w:t>
      </w:r>
      <w:r w:rsidR="00B9520D" w:rsidRPr="00DC3655">
        <w:rPr>
          <w:i/>
          <w:color w:val="002060"/>
          <w:lang w:val="sq-AL"/>
        </w:rPr>
        <w:t>taksa mbi biznesin e vogël’</w:t>
      </w:r>
      <w:r w:rsidR="00B9520D" w:rsidRPr="00DC3655">
        <w:rPr>
          <w:color w:val="002060"/>
          <w:lang w:val="sq-AL"/>
        </w:rPr>
        <w:t xml:space="preserve"> (</w:t>
      </w:r>
      <w:r w:rsidR="00B9520D" w:rsidRPr="00DC3655">
        <w:rPr>
          <w:i/>
          <w:color w:val="002060"/>
          <w:sz w:val="22"/>
          <w:lang w:val="sq-AL"/>
        </w:rPr>
        <w:t>tatimi i thjeshtuar mbi fitimin e biznesit të vogël dhe taksa vendore mbi biznesin e vogël</w:t>
      </w:r>
      <w:r w:rsidR="00B9520D" w:rsidRPr="00DC3655">
        <w:rPr>
          <w:color w:val="002060"/>
          <w:lang w:val="sq-AL"/>
        </w:rPr>
        <w:t>) ka ardhur drejt uljes, duke zënë vetëm 0.</w:t>
      </w:r>
      <w:r w:rsidR="00B9520D">
        <w:rPr>
          <w:color w:val="002060"/>
          <w:lang w:val="sq-AL"/>
        </w:rPr>
        <w:t>1</w:t>
      </w:r>
      <w:r w:rsidR="00B9520D" w:rsidRPr="00DC3655">
        <w:rPr>
          <w:color w:val="002060"/>
          <w:lang w:val="sq-AL"/>
        </w:rPr>
        <w:t xml:space="preserve">% të të ardhurave vendore në </w:t>
      </w:r>
      <w:r w:rsidR="00B9520D">
        <w:rPr>
          <w:color w:val="002060"/>
          <w:lang w:val="sq-AL"/>
        </w:rPr>
        <w:t>6</w:t>
      </w:r>
      <w:r w:rsidR="00B9520D" w:rsidRPr="00DC3655">
        <w:rPr>
          <w:color w:val="002060"/>
          <w:lang w:val="sq-AL"/>
        </w:rPr>
        <w:t>M 2025, të cilat përfaqësojnë detyrime të paguara me vonesë, pasi kjo taksë tashmë është ‘</w:t>
      </w:r>
      <w:r w:rsidR="00B9520D" w:rsidRPr="00DC3655">
        <w:rPr>
          <w:i/>
          <w:color w:val="002060"/>
          <w:lang w:val="sq-AL"/>
        </w:rPr>
        <w:t>zeruar</w:t>
      </w:r>
      <w:r w:rsidR="00B9520D" w:rsidRPr="00DC3655">
        <w:rPr>
          <w:color w:val="002060"/>
          <w:lang w:val="sq-AL"/>
        </w:rPr>
        <w:t xml:space="preserve">’ pas ndryshimeve fiskale me </w:t>
      </w:r>
      <w:r w:rsidR="00B9520D" w:rsidRPr="00DC3655">
        <w:rPr>
          <w:iCs/>
          <w:color w:val="002060"/>
          <w:lang w:val="sq-AL"/>
        </w:rPr>
        <w:t>Ligjin nr.112/2020 “</w:t>
      </w:r>
      <w:r w:rsidR="00B9520D" w:rsidRPr="00DC3655">
        <w:rPr>
          <w:i/>
          <w:iCs/>
          <w:color w:val="002060"/>
          <w:lang w:val="sq-AL"/>
        </w:rPr>
        <w:t>Për disa ndryshime në ligjin nr.9632 datë 30.10.2006 “Për sistemin e taksave vendore, të ndryshuar</w:t>
      </w:r>
      <w:r w:rsidR="00B9520D" w:rsidRPr="00DC3655">
        <w:rPr>
          <w:iCs/>
          <w:color w:val="002060"/>
          <w:lang w:val="sq-AL"/>
        </w:rPr>
        <w:t>”</w:t>
      </w:r>
      <w:r w:rsidR="00B9520D" w:rsidRPr="00DC3655">
        <w:rPr>
          <w:noProof/>
          <w:color w:val="002060"/>
          <w:lang w:val="sq-AL"/>
        </w:rPr>
        <w:t>.</w:t>
      </w:r>
      <w:r w:rsidR="00B9520D">
        <w:rPr>
          <w:noProof/>
          <w:color w:val="002060"/>
          <w:lang w:val="sq-AL"/>
        </w:rPr>
        <w:t xml:space="preserve"> </w:t>
      </w:r>
      <w:r w:rsidRPr="00B9520D">
        <w:rPr>
          <w:color w:val="002060"/>
          <w:lang w:val="sq-AL"/>
        </w:rPr>
        <w:t>Në vijim paraqitet grafikisht ndarja strukturore e të ardhurave vendore për gjashtëmujorin e parë të vitit 2025:</w:t>
      </w:r>
    </w:p>
    <w:p w14:paraId="16F648A4" w14:textId="6F180234" w:rsidR="001B75D4" w:rsidRPr="00A349F7" w:rsidRDefault="001B75D4" w:rsidP="00A349F7">
      <w:pPr>
        <w:spacing w:line="276" w:lineRule="auto"/>
        <w:jc w:val="both"/>
        <w:rPr>
          <w:sz w:val="8"/>
          <w:szCs w:val="8"/>
          <w:lang w:val="sq-AL"/>
        </w:rPr>
      </w:pPr>
    </w:p>
    <w:p w14:paraId="014D8B75" w14:textId="24847AF7" w:rsidR="001B75D4" w:rsidRPr="00883844" w:rsidRDefault="001B75D4" w:rsidP="00A349F7">
      <w:pPr>
        <w:pStyle w:val="Caption"/>
        <w:spacing w:line="276" w:lineRule="auto"/>
        <w:rPr>
          <w:b w:val="0"/>
          <w:bCs w:val="0"/>
          <w:color w:val="auto"/>
          <w:sz w:val="24"/>
          <w:szCs w:val="24"/>
          <w:lang w:val="sq-AL"/>
        </w:rPr>
      </w:pPr>
      <w:r w:rsidRPr="00B9520D">
        <w:rPr>
          <w:i/>
          <w:noProof/>
          <w:color w:val="0070C0"/>
          <w:sz w:val="24"/>
          <w:szCs w:val="28"/>
          <w:lang w:val="sq-AL"/>
        </w:rPr>
        <w:t xml:space="preserve">Grafiku 2: </w:t>
      </w:r>
      <w:r w:rsidRPr="00B9520D">
        <w:rPr>
          <w:b w:val="0"/>
          <w:bCs w:val="0"/>
          <w:i/>
          <w:noProof/>
          <w:color w:val="0070C0"/>
          <w:sz w:val="24"/>
          <w:szCs w:val="28"/>
          <w:lang w:val="sq-AL"/>
        </w:rPr>
        <w:t xml:space="preserve">Të ardhurat e pushtetit vendor sipas burimit </w:t>
      </w:r>
      <w:r w:rsidR="00124F66" w:rsidRPr="00B9520D">
        <w:rPr>
          <w:b w:val="0"/>
          <w:bCs w:val="0"/>
          <w:i/>
          <w:noProof/>
          <w:color w:val="0070C0"/>
          <w:sz w:val="24"/>
          <w:szCs w:val="28"/>
          <w:lang w:val="sq-AL"/>
        </w:rPr>
        <w:t>n</w:t>
      </w:r>
      <w:r w:rsidR="00CF2AA3" w:rsidRPr="00B9520D">
        <w:rPr>
          <w:b w:val="0"/>
          <w:bCs w:val="0"/>
          <w:i/>
          <w:noProof/>
          <w:color w:val="0070C0"/>
          <w:sz w:val="24"/>
          <w:szCs w:val="28"/>
          <w:lang w:val="sq-AL"/>
        </w:rPr>
        <w:t>ë</w:t>
      </w:r>
      <w:r w:rsidR="00124F66" w:rsidRPr="00B9520D">
        <w:rPr>
          <w:b w:val="0"/>
          <w:bCs w:val="0"/>
          <w:i/>
          <w:noProof/>
          <w:color w:val="0070C0"/>
          <w:sz w:val="24"/>
          <w:szCs w:val="28"/>
          <w:lang w:val="sq-AL"/>
        </w:rPr>
        <w:t xml:space="preserve"> vite</w:t>
      </w:r>
      <w:r w:rsidR="00001E77" w:rsidRPr="00B9520D">
        <w:rPr>
          <w:b w:val="0"/>
          <w:bCs w:val="0"/>
          <w:i/>
          <w:noProof/>
          <w:color w:val="0070C0"/>
          <w:sz w:val="24"/>
          <w:szCs w:val="28"/>
          <w:lang w:val="sq-AL"/>
        </w:rPr>
        <w:t xml:space="preserve"> </w:t>
      </w:r>
      <w:r w:rsidR="00B9520D">
        <w:rPr>
          <w:noProof/>
        </w:rPr>
        <w:drawing>
          <wp:inline distT="0" distB="0" distL="0" distR="0" wp14:anchorId="51E9FE10" wp14:editId="125A1280">
            <wp:extent cx="5943600" cy="1804946"/>
            <wp:effectExtent l="0" t="0" r="0" b="5080"/>
            <wp:docPr id="453443776"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06AFF">
        <w:rPr>
          <w:rFonts w:eastAsia="SimSun"/>
          <w:i/>
          <w:color w:val="0070C0"/>
          <w:szCs w:val="22"/>
          <w:lang w:val="sq-AL"/>
        </w:rPr>
        <w:t xml:space="preserve">Burimi: </w:t>
      </w:r>
      <w:r w:rsidRPr="00406AFF">
        <w:rPr>
          <w:rFonts w:eastAsia="SimSun"/>
          <w:b w:val="0"/>
          <w:bCs w:val="0"/>
          <w:i/>
          <w:color w:val="0070C0"/>
          <w:szCs w:val="22"/>
          <w:lang w:val="sq-AL"/>
        </w:rPr>
        <w:t>Drejtoria e Financave Vendore, Ministria e Financave (</w:t>
      </w:r>
      <w:r w:rsidR="009D5418">
        <w:rPr>
          <w:rFonts w:eastAsia="SimSun"/>
          <w:b w:val="0"/>
          <w:bCs w:val="0"/>
          <w:i/>
          <w:color w:val="0070C0"/>
          <w:szCs w:val="22"/>
          <w:lang w:val="sq-AL"/>
        </w:rPr>
        <w:t>2025</w:t>
      </w:r>
      <w:r w:rsidRPr="00406AFF">
        <w:rPr>
          <w:rFonts w:eastAsia="SimSun"/>
          <w:b w:val="0"/>
          <w:bCs w:val="0"/>
          <w:i/>
          <w:color w:val="0070C0"/>
          <w:szCs w:val="22"/>
          <w:lang w:val="sq-AL"/>
        </w:rPr>
        <w:t>)</w:t>
      </w:r>
    </w:p>
    <w:p w14:paraId="165FA6DF" w14:textId="45DE4FD6" w:rsidR="007575C9" w:rsidRPr="006E1F5F" w:rsidRDefault="006E1F5F" w:rsidP="006E1F5F">
      <w:pPr>
        <w:spacing w:line="276" w:lineRule="auto"/>
        <w:jc w:val="both"/>
        <w:rPr>
          <w:rFonts w:ascii="Book Antiqua" w:hAnsi="Book Antiqua"/>
          <w:b/>
          <w:color w:val="0070C0"/>
          <w:lang w:val="sq-AL"/>
        </w:rPr>
      </w:pPr>
      <w:r w:rsidRPr="006E1F5F">
        <w:rPr>
          <w:rFonts w:ascii="Book Antiqua" w:hAnsi="Book Antiqua"/>
          <w:b/>
          <w:color w:val="0070C0"/>
          <w:lang w:val="sq-AL"/>
        </w:rPr>
        <w:t xml:space="preserve">A.1. </w:t>
      </w:r>
      <w:r w:rsidR="007575C9" w:rsidRPr="006E1F5F">
        <w:rPr>
          <w:rFonts w:ascii="Book Antiqua" w:hAnsi="Book Antiqua"/>
          <w:b/>
          <w:color w:val="0070C0"/>
          <w:lang w:val="sq-AL"/>
        </w:rPr>
        <w:t>Taksat Lokale</w:t>
      </w:r>
    </w:p>
    <w:p w14:paraId="21913037" w14:textId="75731203" w:rsidR="000A1C48" w:rsidRPr="005A3A85" w:rsidRDefault="000D44A1" w:rsidP="000A1C48">
      <w:pPr>
        <w:spacing w:line="276" w:lineRule="auto"/>
        <w:jc w:val="both"/>
        <w:rPr>
          <w:color w:val="002060"/>
          <w:lang w:val="sq-AL"/>
        </w:rPr>
      </w:pPr>
      <w:r w:rsidRPr="00883844">
        <w:rPr>
          <w:iCs/>
          <w:color w:val="002060"/>
          <w:lang w:val="sq-AL"/>
        </w:rPr>
        <w:t xml:space="preserve">Të ardhurat nga taksat lokale </w:t>
      </w:r>
      <w:r w:rsidR="00B61D18" w:rsidRPr="00883844">
        <w:rPr>
          <w:iCs/>
          <w:color w:val="002060"/>
          <w:lang w:val="sq-AL"/>
        </w:rPr>
        <w:t>z</w:t>
      </w:r>
      <w:r w:rsidR="00AD1128" w:rsidRPr="00883844">
        <w:rPr>
          <w:iCs/>
          <w:color w:val="002060"/>
          <w:lang w:val="sq-AL"/>
        </w:rPr>
        <w:t>ë</w:t>
      </w:r>
      <w:r w:rsidR="00B61D18" w:rsidRPr="00883844">
        <w:rPr>
          <w:iCs/>
          <w:color w:val="002060"/>
          <w:lang w:val="sq-AL"/>
        </w:rPr>
        <w:t>n</w:t>
      </w:r>
      <w:r w:rsidR="00AD1128" w:rsidRPr="00883844">
        <w:rPr>
          <w:iCs/>
          <w:color w:val="002060"/>
          <w:lang w:val="sq-AL"/>
        </w:rPr>
        <w:t>ë</w:t>
      </w:r>
      <w:r w:rsidR="00B61D18" w:rsidRPr="00883844">
        <w:rPr>
          <w:iCs/>
          <w:color w:val="002060"/>
          <w:lang w:val="sq-AL"/>
        </w:rPr>
        <w:t xml:space="preserve"> pesh</w:t>
      </w:r>
      <w:r w:rsidR="00AD1128" w:rsidRPr="00883844">
        <w:rPr>
          <w:iCs/>
          <w:color w:val="002060"/>
          <w:lang w:val="sq-AL"/>
        </w:rPr>
        <w:t>ë</w:t>
      </w:r>
      <w:r w:rsidR="00B61D18" w:rsidRPr="00883844">
        <w:rPr>
          <w:iCs/>
          <w:color w:val="002060"/>
          <w:lang w:val="sq-AL"/>
        </w:rPr>
        <w:t>n</w:t>
      </w:r>
      <w:r w:rsidRPr="00883844">
        <w:rPr>
          <w:iCs/>
          <w:color w:val="002060"/>
          <w:lang w:val="sq-AL"/>
        </w:rPr>
        <w:t xml:space="preserve"> kryesor</w:t>
      </w:r>
      <w:r w:rsidR="00B61D18" w:rsidRPr="00883844">
        <w:rPr>
          <w:iCs/>
          <w:color w:val="002060"/>
          <w:lang w:val="sq-AL"/>
        </w:rPr>
        <w:t>e</w:t>
      </w:r>
      <w:r w:rsidRPr="00883844">
        <w:rPr>
          <w:iCs/>
          <w:color w:val="002060"/>
          <w:lang w:val="sq-AL"/>
        </w:rPr>
        <w:t xml:space="preserve"> të të ardhurave të veta të njësive të vetëqeverisjes vendore, duke qenë burimi më i rëndësishëm i financimit të tyre. Kjo kategori të ardhurash është konsoliduar në mënyrë të vazhdueshme në këndvështrimin financiar, siç tregohet nga trendi në rritje i të ardhurave nga taksat lokale ndër vite. Për gjysmën e parë të vitit 2025, të ardhurat nga taksat lokale përbëjnë rreth 75.2% të shumës totale të të ardhurave tatimore të pushtetit vendor</w:t>
      </w:r>
      <w:r w:rsidR="00883844">
        <w:rPr>
          <w:iCs/>
          <w:color w:val="002060"/>
          <w:lang w:val="sq-AL"/>
        </w:rPr>
        <w:t>, q</w:t>
      </w:r>
      <w:r w:rsidRPr="00883844">
        <w:rPr>
          <w:iCs/>
          <w:color w:val="002060"/>
          <w:lang w:val="sq-AL"/>
        </w:rPr>
        <w:t xml:space="preserve">ë konfirmon rëndësinë këtij burimi në </w:t>
      </w:r>
      <w:r w:rsidR="00AD1128" w:rsidRPr="00883844">
        <w:rPr>
          <w:iCs/>
          <w:color w:val="002060"/>
          <w:lang w:val="sq-AL"/>
        </w:rPr>
        <w:t>buxhetin vendor</w:t>
      </w:r>
      <w:r w:rsidRPr="00883844">
        <w:rPr>
          <w:iCs/>
          <w:color w:val="002060"/>
          <w:lang w:val="sq-AL"/>
        </w:rPr>
        <w:t xml:space="preserve">. Në terma absolutë, për periudhën janar–qershor 2025 janë mbledhur rreth 14.4 miliard lekë, nga taksat lokale. Megjithatë, krahasuar me të njëjtën periudhë të vitit 2024, kjo shumë rezulton të jetë </w:t>
      </w:r>
      <w:r w:rsidR="00AD1128" w:rsidRPr="00883844">
        <w:rPr>
          <w:iCs/>
          <w:color w:val="002060"/>
          <w:lang w:val="sq-AL"/>
        </w:rPr>
        <w:t>rreth 1.8</w:t>
      </w:r>
      <w:r w:rsidRPr="00883844">
        <w:rPr>
          <w:iCs/>
          <w:color w:val="002060"/>
          <w:lang w:val="sq-AL"/>
        </w:rPr>
        <w:t xml:space="preserve"> milionë lekë më pak, që përfaqëson një </w:t>
      </w:r>
      <w:r w:rsidR="00B61D18" w:rsidRPr="00883844">
        <w:rPr>
          <w:iCs/>
          <w:color w:val="002060"/>
          <w:lang w:val="sq-AL"/>
        </w:rPr>
        <w:t>r</w:t>
      </w:r>
      <w:r w:rsidRPr="00883844">
        <w:rPr>
          <w:iCs/>
          <w:color w:val="002060"/>
          <w:lang w:val="sq-AL"/>
        </w:rPr>
        <w:t>ënie me rreth 11%. K</w:t>
      </w:r>
      <w:r w:rsidR="00883844">
        <w:rPr>
          <w:iCs/>
          <w:color w:val="002060"/>
          <w:lang w:val="sq-AL"/>
        </w:rPr>
        <w:t>ryesisht k</w:t>
      </w:r>
      <w:r w:rsidRPr="00883844">
        <w:rPr>
          <w:iCs/>
          <w:color w:val="002060"/>
          <w:lang w:val="sq-AL"/>
        </w:rPr>
        <w:t xml:space="preserve">jo </w:t>
      </w:r>
      <w:r w:rsidR="00B61D18" w:rsidRPr="00883844">
        <w:rPr>
          <w:iCs/>
          <w:color w:val="002060"/>
          <w:lang w:val="sq-AL"/>
        </w:rPr>
        <w:t>r</w:t>
      </w:r>
      <w:r w:rsidR="00AD1128" w:rsidRPr="00883844">
        <w:rPr>
          <w:iCs/>
          <w:color w:val="002060"/>
          <w:lang w:val="sq-AL"/>
        </w:rPr>
        <w:t>ë</w:t>
      </w:r>
      <w:r w:rsidR="00B61D18" w:rsidRPr="00883844">
        <w:rPr>
          <w:iCs/>
          <w:color w:val="002060"/>
          <w:lang w:val="sq-AL"/>
        </w:rPr>
        <w:t>nie n</w:t>
      </w:r>
      <w:r w:rsidR="00AD1128" w:rsidRPr="00883844">
        <w:rPr>
          <w:iCs/>
          <w:color w:val="002060"/>
          <w:lang w:val="sq-AL"/>
        </w:rPr>
        <w:t>ë</w:t>
      </w:r>
      <w:r w:rsidR="00B61D18" w:rsidRPr="00883844">
        <w:rPr>
          <w:iCs/>
          <w:color w:val="002060"/>
          <w:lang w:val="sq-AL"/>
        </w:rPr>
        <w:t xml:space="preserve"> 6 M 2025 krahasuar me t</w:t>
      </w:r>
      <w:r w:rsidR="00AD1128" w:rsidRPr="00883844">
        <w:rPr>
          <w:iCs/>
          <w:color w:val="002060"/>
          <w:lang w:val="sq-AL"/>
        </w:rPr>
        <w:t>ë</w:t>
      </w:r>
      <w:r w:rsidR="00B61D18" w:rsidRPr="00883844">
        <w:rPr>
          <w:iCs/>
          <w:color w:val="002060"/>
          <w:lang w:val="sq-AL"/>
        </w:rPr>
        <w:t xml:space="preserve"> nj</w:t>
      </w:r>
      <w:r w:rsidR="00AD1128" w:rsidRPr="00883844">
        <w:rPr>
          <w:iCs/>
          <w:color w:val="002060"/>
          <w:lang w:val="sq-AL"/>
        </w:rPr>
        <w:t>ë</w:t>
      </w:r>
      <w:r w:rsidR="00B61D18" w:rsidRPr="00883844">
        <w:rPr>
          <w:iCs/>
          <w:color w:val="002060"/>
          <w:lang w:val="sq-AL"/>
        </w:rPr>
        <w:t>jt</w:t>
      </w:r>
      <w:r w:rsidR="00AD1128" w:rsidRPr="00883844">
        <w:rPr>
          <w:iCs/>
          <w:color w:val="002060"/>
          <w:lang w:val="sq-AL"/>
        </w:rPr>
        <w:t>ë</w:t>
      </w:r>
      <w:r w:rsidR="00B61D18" w:rsidRPr="00883844">
        <w:rPr>
          <w:iCs/>
          <w:color w:val="002060"/>
          <w:lang w:val="sq-AL"/>
        </w:rPr>
        <w:t>n periudh</w:t>
      </w:r>
      <w:r w:rsidR="00AD1128" w:rsidRPr="00883844">
        <w:rPr>
          <w:iCs/>
          <w:color w:val="002060"/>
          <w:lang w:val="sq-AL"/>
        </w:rPr>
        <w:t>ë</w:t>
      </w:r>
      <w:r w:rsidR="00B61D18" w:rsidRPr="00883844">
        <w:rPr>
          <w:iCs/>
          <w:color w:val="002060"/>
          <w:lang w:val="sq-AL"/>
        </w:rPr>
        <w:t xml:space="preserve"> t</w:t>
      </w:r>
      <w:r w:rsidR="00AD1128" w:rsidRPr="00883844">
        <w:rPr>
          <w:iCs/>
          <w:color w:val="002060"/>
          <w:lang w:val="sq-AL"/>
        </w:rPr>
        <w:t>ë</w:t>
      </w:r>
      <w:r w:rsidR="00B61D18" w:rsidRPr="00883844">
        <w:rPr>
          <w:iCs/>
          <w:color w:val="002060"/>
          <w:lang w:val="sq-AL"/>
        </w:rPr>
        <w:t xml:space="preserve"> nj</w:t>
      </w:r>
      <w:r w:rsidR="00AD1128" w:rsidRPr="00883844">
        <w:rPr>
          <w:iCs/>
          <w:color w:val="002060"/>
          <w:lang w:val="sq-AL"/>
        </w:rPr>
        <w:t>ë</w:t>
      </w:r>
      <w:r w:rsidR="00B61D18" w:rsidRPr="00883844">
        <w:rPr>
          <w:iCs/>
          <w:color w:val="002060"/>
          <w:lang w:val="sq-AL"/>
        </w:rPr>
        <w:t xml:space="preserve"> viti m</w:t>
      </w:r>
      <w:r w:rsidR="00AD1128" w:rsidRPr="00883844">
        <w:rPr>
          <w:iCs/>
          <w:color w:val="002060"/>
          <w:lang w:val="sq-AL"/>
        </w:rPr>
        <w:t>ë</w:t>
      </w:r>
      <w:r w:rsidR="00B61D18" w:rsidRPr="00883844">
        <w:rPr>
          <w:iCs/>
          <w:color w:val="002060"/>
          <w:lang w:val="sq-AL"/>
        </w:rPr>
        <w:t xml:space="preserve"> par</w:t>
      </w:r>
      <w:r w:rsidR="00AD1128" w:rsidRPr="00883844">
        <w:rPr>
          <w:iCs/>
          <w:color w:val="002060"/>
          <w:lang w:val="sq-AL"/>
        </w:rPr>
        <w:t>ë</w:t>
      </w:r>
      <w:r w:rsidR="00B61D18" w:rsidRPr="00883844">
        <w:rPr>
          <w:iCs/>
          <w:color w:val="002060"/>
          <w:lang w:val="sq-AL"/>
        </w:rPr>
        <w:t>,</w:t>
      </w:r>
      <w:r w:rsidRPr="00883844">
        <w:rPr>
          <w:iCs/>
          <w:color w:val="002060"/>
          <w:lang w:val="sq-AL"/>
        </w:rPr>
        <w:t xml:space="preserve"> </w:t>
      </w:r>
      <w:r w:rsidR="00883844">
        <w:rPr>
          <w:iCs/>
          <w:color w:val="002060"/>
          <w:lang w:val="sq-AL"/>
        </w:rPr>
        <w:t>vjen nga t</w:t>
      </w:r>
      <w:r w:rsidR="007B70E4">
        <w:rPr>
          <w:iCs/>
          <w:color w:val="002060"/>
          <w:lang w:val="sq-AL"/>
        </w:rPr>
        <w:t>ë</w:t>
      </w:r>
      <w:r w:rsidR="00883844">
        <w:rPr>
          <w:iCs/>
          <w:color w:val="002060"/>
          <w:lang w:val="sq-AL"/>
        </w:rPr>
        <w:t xml:space="preserve"> ardhurat e mbledhuar nga </w:t>
      </w:r>
      <w:r w:rsidR="00883844" w:rsidRPr="00DC3655">
        <w:rPr>
          <w:color w:val="002060"/>
          <w:lang w:val="sq-AL"/>
        </w:rPr>
        <w:t>‘</w:t>
      </w:r>
      <w:r w:rsidR="00883844" w:rsidRPr="00DC3655">
        <w:rPr>
          <w:i/>
          <w:iCs/>
          <w:color w:val="002060"/>
          <w:lang w:val="sq-AL"/>
        </w:rPr>
        <w:t>taksa e ndikimit në infrastrukturë nga ndëtimet e reja’</w:t>
      </w:r>
      <w:r w:rsidR="00883844">
        <w:rPr>
          <w:i/>
          <w:iCs/>
          <w:color w:val="002060"/>
          <w:lang w:val="sq-AL"/>
        </w:rPr>
        <w:t xml:space="preserve"> </w:t>
      </w:r>
      <w:r w:rsidR="00883844" w:rsidRPr="00883844">
        <w:rPr>
          <w:color w:val="002060"/>
          <w:lang w:val="sq-AL"/>
        </w:rPr>
        <w:t>q</w:t>
      </w:r>
      <w:r w:rsidR="007B70E4">
        <w:rPr>
          <w:color w:val="002060"/>
          <w:lang w:val="sq-AL"/>
        </w:rPr>
        <w:t>ë</w:t>
      </w:r>
      <w:r w:rsidR="00883844" w:rsidRPr="00883844">
        <w:rPr>
          <w:color w:val="002060"/>
          <w:lang w:val="sq-AL"/>
        </w:rPr>
        <w:t xml:space="preserve"> nga 6 mujori 2024 ka nj</w:t>
      </w:r>
      <w:r w:rsidR="007B70E4">
        <w:rPr>
          <w:color w:val="002060"/>
          <w:lang w:val="sq-AL"/>
        </w:rPr>
        <w:t>ë</w:t>
      </w:r>
      <w:r w:rsidR="00883844" w:rsidRPr="00883844">
        <w:rPr>
          <w:color w:val="002060"/>
          <w:lang w:val="sq-AL"/>
        </w:rPr>
        <w:t xml:space="preserve"> ulje prej rreth 2.4 miliard</w:t>
      </w:r>
      <w:r w:rsidR="007B70E4">
        <w:rPr>
          <w:color w:val="002060"/>
          <w:lang w:val="sq-AL"/>
        </w:rPr>
        <w:t>ë</w:t>
      </w:r>
      <w:r w:rsidR="00883844" w:rsidRPr="00883844">
        <w:rPr>
          <w:color w:val="002060"/>
          <w:lang w:val="sq-AL"/>
        </w:rPr>
        <w:t xml:space="preserve"> lek</w:t>
      </w:r>
      <w:r w:rsidR="007B70E4">
        <w:rPr>
          <w:color w:val="002060"/>
          <w:lang w:val="sq-AL"/>
        </w:rPr>
        <w:t>ë</w:t>
      </w:r>
      <w:r w:rsidR="00883844">
        <w:rPr>
          <w:i/>
          <w:iCs/>
          <w:color w:val="002060"/>
          <w:lang w:val="sq-AL"/>
        </w:rPr>
        <w:t xml:space="preserve">, </w:t>
      </w:r>
      <w:r w:rsidR="00883844">
        <w:rPr>
          <w:color w:val="002060"/>
          <w:lang w:val="sq-AL"/>
        </w:rPr>
        <w:t>nd</w:t>
      </w:r>
      <w:r w:rsidR="007B70E4">
        <w:rPr>
          <w:color w:val="002060"/>
          <w:lang w:val="sq-AL"/>
        </w:rPr>
        <w:t>ë</w:t>
      </w:r>
      <w:r w:rsidR="00883844">
        <w:rPr>
          <w:color w:val="002060"/>
          <w:lang w:val="sq-AL"/>
        </w:rPr>
        <w:t>rkoh</w:t>
      </w:r>
      <w:r w:rsidR="007B70E4">
        <w:rPr>
          <w:color w:val="002060"/>
          <w:lang w:val="sq-AL"/>
        </w:rPr>
        <w:t>ë</w:t>
      </w:r>
      <w:r w:rsidR="00883844">
        <w:rPr>
          <w:color w:val="002060"/>
          <w:lang w:val="sq-AL"/>
        </w:rPr>
        <w:t xml:space="preserve"> q</w:t>
      </w:r>
      <w:r w:rsidR="007B70E4">
        <w:rPr>
          <w:color w:val="002060"/>
          <w:lang w:val="sq-AL"/>
        </w:rPr>
        <w:t>ë</w:t>
      </w:r>
      <w:r w:rsidR="00883844">
        <w:rPr>
          <w:color w:val="002060"/>
          <w:lang w:val="sq-AL"/>
        </w:rPr>
        <w:t xml:space="preserve"> z</w:t>
      </w:r>
      <w:r w:rsidR="007B70E4">
        <w:rPr>
          <w:color w:val="002060"/>
          <w:lang w:val="sq-AL"/>
        </w:rPr>
        <w:t>ë</w:t>
      </w:r>
      <w:r w:rsidR="00883844">
        <w:rPr>
          <w:color w:val="002060"/>
          <w:lang w:val="sq-AL"/>
        </w:rPr>
        <w:t>rat e tjet</w:t>
      </w:r>
      <w:r w:rsidR="007B70E4">
        <w:rPr>
          <w:color w:val="002060"/>
          <w:lang w:val="sq-AL"/>
        </w:rPr>
        <w:t>ë</w:t>
      </w:r>
      <w:r w:rsidR="00883844">
        <w:rPr>
          <w:color w:val="002060"/>
          <w:lang w:val="sq-AL"/>
        </w:rPr>
        <w:t xml:space="preserve"> t</w:t>
      </w:r>
      <w:r w:rsidR="007B70E4">
        <w:rPr>
          <w:color w:val="002060"/>
          <w:lang w:val="sq-AL"/>
        </w:rPr>
        <w:t>ë</w:t>
      </w:r>
      <w:r w:rsidR="00883844">
        <w:rPr>
          <w:color w:val="002060"/>
          <w:lang w:val="sq-AL"/>
        </w:rPr>
        <w:t xml:space="preserve"> taksave lokale rezultojn</w:t>
      </w:r>
      <w:r w:rsidR="007B70E4">
        <w:rPr>
          <w:color w:val="002060"/>
          <w:lang w:val="sq-AL"/>
        </w:rPr>
        <w:t>ë</w:t>
      </w:r>
      <w:r w:rsidR="00883844">
        <w:rPr>
          <w:color w:val="002060"/>
          <w:lang w:val="sq-AL"/>
        </w:rPr>
        <w:t xml:space="preserve"> me rritje</w:t>
      </w:r>
      <w:r w:rsidR="000A1C48">
        <w:rPr>
          <w:color w:val="002060"/>
          <w:lang w:val="sq-AL"/>
        </w:rPr>
        <w:t xml:space="preserve">, </w:t>
      </w:r>
      <w:r w:rsidR="000A1C48" w:rsidRPr="00A34AEC">
        <w:rPr>
          <w:color w:val="002060"/>
          <w:lang w:val="sq-AL"/>
        </w:rPr>
        <w:t>megjithatë pritshmëritë janë që taksat lokale të rritin ritmin e realizimit deri në fund të vitit.</w:t>
      </w:r>
      <w:r w:rsidR="000A1C48">
        <w:rPr>
          <w:color w:val="002060"/>
          <w:lang w:val="sq-AL"/>
        </w:rPr>
        <w:t xml:space="preserve"> </w:t>
      </w:r>
      <w:r w:rsidR="000A1C48" w:rsidRPr="005A3A85">
        <w:rPr>
          <w:color w:val="002060"/>
          <w:lang w:val="sq-AL"/>
        </w:rPr>
        <w:t>Ecuria në vite e këtij treguesi reflektohet vizualisht edhe në grafikun e mëposhtëm</w:t>
      </w:r>
      <w:r w:rsidR="000A1C48">
        <w:rPr>
          <w:iCs/>
          <w:color w:val="002060"/>
          <w:lang w:val="sq-AL"/>
        </w:rPr>
        <w:t xml:space="preserve">, ku </w:t>
      </w:r>
      <w:r w:rsidR="000A1C48" w:rsidRPr="00883844">
        <w:rPr>
          <w:iCs/>
          <w:color w:val="002060"/>
          <w:lang w:val="sq-AL"/>
        </w:rPr>
        <w:t>vërehet qartë konsolidimi i këtij burimi financiar</w:t>
      </w:r>
      <w:r w:rsidR="000A1C48" w:rsidRPr="005A3A85">
        <w:rPr>
          <w:color w:val="002060"/>
          <w:lang w:val="sq-AL"/>
        </w:rPr>
        <w:t>:</w:t>
      </w:r>
    </w:p>
    <w:p w14:paraId="5E1DF082" w14:textId="55ADDB78" w:rsidR="007575C9" w:rsidRPr="000A1C48" w:rsidRDefault="007575C9" w:rsidP="000A1C48">
      <w:pPr>
        <w:spacing w:line="276" w:lineRule="auto"/>
        <w:jc w:val="both"/>
        <w:rPr>
          <w:i/>
          <w:iCs/>
          <w:color w:val="0070C0"/>
          <w:lang w:val="sq-AL"/>
        </w:rPr>
      </w:pPr>
      <w:r w:rsidRPr="000A1C48">
        <w:rPr>
          <w:b/>
          <w:bCs/>
          <w:i/>
          <w:iCs/>
          <w:color w:val="0070C0"/>
          <w:lang w:val="sq-AL"/>
        </w:rPr>
        <w:t xml:space="preserve">Grafiku 3: </w:t>
      </w:r>
      <w:r w:rsidRPr="000A1C48">
        <w:rPr>
          <w:i/>
          <w:iCs/>
          <w:color w:val="0070C0"/>
          <w:lang w:val="sq-AL"/>
        </w:rPr>
        <w:t>Të ardhurat nga taksat lokale dhe ritmi i ndryshimit të tyre</w:t>
      </w:r>
      <w:r w:rsidR="00124F66" w:rsidRPr="000A1C48">
        <w:rPr>
          <w:i/>
          <w:iCs/>
          <w:color w:val="0070C0"/>
          <w:lang w:val="sq-AL"/>
        </w:rPr>
        <w:t xml:space="preserve"> </w:t>
      </w:r>
    </w:p>
    <w:p w14:paraId="177567B4" w14:textId="2CA80207" w:rsidR="00001E77" w:rsidRPr="007575C9" w:rsidRDefault="00001E77" w:rsidP="007575C9">
      <w:pPr>
        <w:tabs>
          <w:tab w:val="left" w:pos="990"/>
        </w:tabs>
        <w:spacing w:line="276" w:lineRule="auto"/>
        <w:rPr>
          <w:i/>
          <w:iCs/>
          <w:color w:val="0070C0"/>
          <w:sz w:val="20"/>
          <w:szCs w:val="20"/>
          <w:lang w:val="sq-AL"/>
        </w:rPr>
      </w:pPr>
      <w:r>
        <w:rPr>
          <w:noProof/>
        </w:rPr>
        <w:lastRenderedPageBreak/>
        <w:drawing>
          <wp:inline distT="0" distB="0" distL="0" distR="0" wp14:anchorId="44629FB5" wp14:editId="52038AB7">
            <wp:extent cx="5812210" cy="1899920"/>
            <wp:effectExtent l="0" t="0" r="17145" b="5080"/>
            <wp:docPr id="8" name="Chart 8">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E23A35" w14:textId="1FBCD746" w:rsidR="007010B5" w:rsidRPr="00001E77" w:rsidRDefault="007575C9" w:rsidP="00001E77">
      <w:pPr>
        <w:tabs>
          <w:tab w:val="left" w:pos="990"/>
        </w:tabs>
        <w:spacing w:line="276" w:lineRule="auto"/>
        <w:rPr>
          <w:color w:val="0070C0"/>
          <w:sz w:val="20"/>
          <w:szCs w:val="20"/>
          <w:lang w:val="sq-AL"/>
        </w:rPr>
      </w:pPr>
      <w:r w:rsidRPr="007575C9">
        <w:rPr>
          <w:rFonts w:eastAsia="SimSun"/>
          <w:b/>
          <w:bCs/>
          <w:i/>
          <w:color w:val="0070C0"/>
          <w:sz w:val="18"/>
          <w:szCs w:val="22"/>
          <w:lang w:val="sq-AL"/>
        </w:rPr>
        <w:t xml:space="preserve">Burimi: </w:t>
      </w:r>
      <w:r w:rsidRPr="007575C9">
        <w:rPr>
          <w:rFonts w:eastAsia="SimSun"/>
          <w:i/>
          <w:color w:val="0070C0"/>
          <w:sz w:val="18"/>
          <w:szCs w:val="22"/>
          <w:lang w:val="sq-AL"/>
        </w:rPr>
        <w:t>Drejtoria e Financave Vendore, Ministria e Financave (</w:t>
      </w:r>
      <w:r w:rsidR="009D5418">
        <w:rPr>
          <w:rFonts w:eastAsia="SimSun"/>
          <w:i/>
          <w:color w:val="0070C0"/>
          <w:sz w:val="18"/>
          <w:szCs w:val="22"/>
          <w:lang w:val="sq-AL"/>
        </w:rPr>
        <w:t>2025</w:t>
      </w:r>
      <w:r w:rsidRPr="007575C9">
        <w:rPr>
          <w:rFonts w:eastAsia="SimSun"/>
          <w:i/>
          <w:color w:val="0070C0"/>
          <w:sz w:val="18"/>
          <w:szCs w:val="22"/>
          <w:lang w:val="sq-AL"/>
        </w:rPr>
        <w:t>)</w:t>
      </w:r>
    </w:p>
    <w:p w14:paraId="68F7C29F" w14:textId="77777777" w:rsidR="00B61D18" w:rsidRDefault="00B61D18" w:rsidP="006E1F5F">
      <w:pPr>
        <w:spacing w:line="276" w:lineRule="auto"/>
        <w:jc w:val="both"/>
        <w:rPr>
          <w:rFonts w:ascii="Book Antiqua" w:hAnsi="Book Antiqua"/>
          <w:b/>
          <w:color w:val="0070C0"/>
          <w:lang w:val="sq-AL"/>
        </w:rPr>
      </w:pPr>
    </w:p>
    <w:p w14:paraId="16EBACBF" w14:textId="5C956C12" w:rsidR="001B75D4" w:rsidRPr="006E1F5F" w:rsidRDefault="006E1F5F" w:rsidP="006E1F5F">
      <w:pPr>
        <w:spacing w:line="276" w:lineRule="auto"/>
        <w:jc w:val="both"/>
        <w:rPr>
          <w:rFonts w:ascii="Book Antiqua" w:hAnsi="Book Antiqua"/>
          <w:b/>
          <w:lang w:val="sq-AL"/>
        </w:rPr>
      </w:pPr>
      <w:r w:rsidRPr="006E1F5F">
        <w:rPr>
          <w:rFonts w:ascii="Book Antiqua" w:hAnsi="Book Antiqua"/>
          <w:b/>
          <w:color w:val="0070C0"/>
          <w:lang w:val="sq-AL"/>
        </w:rPr>
        <w:t xml:space="preserve">A.2. </w:t>
      </w:r>
      <w:r w:rsidR="001B75D4" w:rsidRPr="006E1F5F">
        <w:rPr>
          <w:rFonts w:ascii="Book Antiqua" w:hAnsi="Book Antiqua"/>
          <w:b/>
          <w:color w:val="0070C0"/>
          <w:lang w:val="sq-AL"/>
        </w:rPr>
        <w:t xml:space="preserve">Taksa </w:t>
      </w:r>
      <w:r w:rsidR="000A1C48">
        <w:rPr>
          <w:rFonts w:ascii="Book Antiqua" w:hAnsi="Book Antiqua"/>
          <w:b/>
          <w:color w:val="0070C0"/>
          <w:lang w:val="sq-AL"/>
        </w:rPr>
        <w:t>mbi</w:t>
      </w:r>
      <w:r w:rsidR="001B75D4" w:rsidRPr="006E1F5F">
        <w:rPr>
          <w:rFonts w:ascii="Book Antiqua" w:hAnsi="Book Antiqua"/>
          <w:b/>
          <w:color w:val="0070C0"/>
          <w:lang w:val="sq-AL"/>
        </w:rPr>
        <w:t xml:space="preserve"> pasuri</w:t>
      </w:r>
      <w:r w:rsidR="000A1C48">
        <w:rPr>
          <w:rFonts w:ascii="Book Antiqua" w:hAnsi="Book Antiqua"/>
          <w:b/>
          <w:color w:val="0070C0"/>
          <w:lang w:val="sq-AL"/>
        </w:rPr>
        <w:t>n</w:t>
      </w:r>
      <w:r w:rsidR="001B75D4" w:rsidRPr="006E1F5F">
        <w:rPr>
          <w:rFonts w:ascii="Book Antiqua" w:hAnsi="Book Antiqua"/>
          <w:b/>
          <w:color w:val="0070C0"/>
          <w:lang w:val="sq-AL"/>
        </w:rPr>
        <w:t xml:space="preserve">ë </w:t>
      </w:r>
    </w:p>
    <w:p w14:paraId="18F34505" w14:textId="01732D68" w:rsidR="0005028D" w:rsidRPr="000A1C48" w:rsidRDefault="00626668" w:rsidP="000A1C48">
      <w:pPr>
        <w:spacing w:line="276" w:lineRule="auto"/>
        <w:jc w:val="both"/>
        <w:rPr>
          <w:color w:val="002060"/>
          <w:lang w:val="sq-AL"/>
        </w:rPr>
      </w:pPr>
      <w:r w:rsidRPr="000A1C48">
        <w:rPr>
          <w:color w:val="002060"/>
          <w:lang w:val="sq-AL"/>
        </w:rPr>
        <w:t>T</w:t>
      </w:r>
      <w:r w:rsidR="007B70E4">
        <w:rPr>
          <w:color w:val="002060"/>
          <w:lang w:val="sq-AL"/>
        </w:rPr>
        <w:t>ë</w:t>
      </w:r>
      <w:r w:rsidR="000A1C48" w:rsidRPr="000A1C48">
        <w:rPr>
          <w:color w:val="002060"/>
          <w:lang w:val="sq-AL"/>
        </w:rPr>
        <w:t xml:space="preserve"> ardhurat nga t</w:t>
      </w:r>
      <w:r w:rsidRPr="000A1C48">
        <w:rPr>
          <w:color w:val="002060"/>
          <w:lang w:val="sq-AL"/>
        </w:rPr>
        <w:t>aksa mbi pasurinë përbë</w:t>
      </w:r>
      <w:r w:rsidR="000A1C48" w:rsidRPr="000A1C48">
        <w:rPr>
          <w:color w:val="002060"/>
          <w:lang w:val="sq-AL"/>
        </w:rPr>
        <w:t>jn</w:t>
      </w:r>
      <w:r w:rsidR="007B70E4">
        <w:rPr>
          <w:color w:val="002060"/>
          <w:lang w:val="sq-AL"/>
        </w:rPr>
        <w:t>ë</w:t>
      </w:r>
      <w:r w:rsidRPr="000A1C48">
        <w:rPr>
          <w:color w:val="002060"/>
          <w:lang w:val="sq-AL"/>
        </w:rPr>
        <w:t xml:space="preserve"> një burim të rëndësishëm të të ardhurave të pushtetit vendor dhe zë një </w:t>
      </w:r>
      <w:r w:rsidR="00AD1128" w:rsidRPr="000A1C48">
        <w:rPr>
          <w:color w:val="002060"/>
          <w:lang w:val="sq-AL"/>
        </w:rPr>
        <w:t>pesh</w:t>
      </w:r>
      <w:r w:rsidR="003F7B95" w:rsidRPr="000A1C48">
        <w:rPr>
          <w:color w:val="002060"/>
          <w:lang w:val="sq-AL"/>
        </w:rPr>
        <w:t>ë</w:t>
      </w:r>
      <w:r w:rsidRPr="000A1C48">
        <w:rPr>
          <w:color w:val="002060"/>
          <w:lang w:val="sq-AL"/>
        </w:rPr>
        <w:t xml:space="preserve"> të konsiderueshme në strukturën e të ardhurave të veta tatimore. Kjo taksë përfshin taks</w:t>
      </w:r>
      <w:r w:rsidR="007B70E4">
        <w:rPr>
          <w:color w:val="002060"/>
          <w:lang w:val="sq-AL"/>
        </w:rPr>
        <w:t>ë</w:t>
      </w:r>
      <w:r w:rsidR="000A1C48" w:rsidRPr="000A1C48">
        <w:rPr>
          <w:color w:val="002060"/>
          <w:lang w:val="sq-AL"/>
        </w:rPr>
        <w:t>n</w:t>
      </w:r>
      <w:r w:rsidRPr="000A1C48">
        <w:rPr>
          <w:color w:val="002060"/>
          <w:lang w:val="sq-AL"/>
        </w:rPr>
        <w:t xml:space="preserve"> mbi ndërtesat, truallin, tokën bujqësore dhe transaksionet e pasurisë, dhe përfaqëson një instrument që i mundëson njësive të vetëqeverisjes vendore të ndërmarrin politika të pavarura zhvillimore, në diskrecion të plotë mbi përdorimin e të ardhurave të mbledhura. Gjatë gjashtëmujorit të parë të vitit 2025, të ardhurat nga grupi</w:t>
      </w:r>
      <w:r w:rsidR="00AD1128" w:rsidRPr="000A1C48">
        <w:rPr>
          <w:color w:val="002060"/>
          <w:lang w:val="sq-AL"/>
        </w:rPr>
        <w:t xml:space="preserve"> i taksave mbi pasurinë përbëjn</w:t>
      </w:r>
      <w:r w:rsidR="003F7B95" w:rsidRPr="000A1C48">
        <w:rPr>
          <w:color w:val="002060"/>
          <w:lang w:val="sq-AL"/>
        </w:rPr>
        <w:t>ë</w:t>
      </w:r>
      <w:r w:rsidRPr="000A1C48">
        <w:rPr>
          <w:color w:val="002060"/>
          <w:lang w:val="sq-AL"/>
        </w:rPr>
        <w:t xml:space="preserve"> rreth 24.7% të totalit të të ardhurave të veta tatimore të pushtetit vendor. Në vlerë absolute, janë mbledhur rreth 4.7 miliardë lekë, </w:t>
      </w:r>
      <w:r w:rsidR="000A1C48">
        <w:rPr>
          <w:color w:val="002060"/>
          <w:lang w:val="sq-AL"/>
        </w:rPr>
        <w:t>q</w:t>
      </w:r>
      <w:r w:rsidR="007B70E4">
        <w:rPr>
          <w:color w:val="002060"/>
          <w:lang w:val="sq-AL"/>
        </w:rPr>
        <w:t>ë</w:t>
      </w:r>
      <w:r w:rsidRPr="000A1C48">
        <w:rPr>
          <w:color w:val="002060"/>
          <w:lang w:val="sq-AL"/>
        </w:rPr>
        <w:t xml:space="preserve"> përfaqëson një rritje prej rreth 149 milionë lekë ose rreth 3% më shumë, krahasuar me të njëjtën periudhë të vitit 2024. Duke iu referuar të dhënave zyrtare fiskale, trendi i të ardhurave nga kjo kategori tatimore për periudhën gjashtëmujore në vite tregon një ecuri relativisht të qëndrueshme dhe me tendencë pozitive. </w:t>
      </w:r>
      <w:r w:rsidR="0005028D" w:rsidRPr="000A1C48">
        <w:rPr>
          <w:color w:val="002060"/>
          <w:lang w:val="sq-AL"/>
        </w:rPr>
        <w:t>Duke ju referuar të dhënave të treguesve fiskalë, nëse marrim në analizë 6 mujorin në vite do të kemi rezultatet si në grafikun  e mëposhtëm:</w:t>
      </w:r>
    </w:p>
    <w:p w14:paraId="62D2B029" w14:textId="0A9390B8" w:rsidR="001B75D4" w:rsidRPr="00F57EDE" w:rsidRDefault="001B75D4" w:rsidP="00A349F7">
      <w:pPr>
        <w:spacing w:line="276" w:lineRule="auto"/>
        <w:jc w:val="both"/>
        <w:rPr>
          <w:bCs/>
          <w:i/>
          <w:color w:val="0070C0"/>
          <w:szCs w:val="20"/>
          <w:lang w:val="sq-AL"/>
        </w:rPr>
      </w:pPr>
      <w:r w:rsidRPr="00F57EDE">
        <w:rPr>
          <w:b/>
          <w:bCs/>
          <w:i/>
          <w:color w:val="0070C0"/>
          <w:szCs w:val="28"/>
          <w:lang w:val="sq-AL"/>
        </w:rPr>
        <w:t xml:space="preserve">Grafiku </w:t>
      </w:r>
      <w:r w:rsidR="007575C9" w:rsidRPr="00F57EDE">
        <w:rPr>
          <w:b/>
          <w:bCs/>
          <w:i/>
          <w:color w:val="0070C0"/>
          <w:szCs w:val="28"/>
          <w:lang w:val="sq-AL"/>
        </w:rPr>
        <w:t>4</w:t>
      </w:r>
      <w:r w:rsidRPr="00F57EDE">
        <w:rPr>
          <w:b/>
          <w:bCs/>
          <w:i/>
          <w:color w:val="0070C0"/>
          <w:szCs w:val="28"/>
          <w:lang w:val="sq-AL"/>
        </w:rPr>
        <w:t xml:space="preserve">: </w:t>
      </w:r>
      <w:r w:rsidRPr="00F57EDE">
        <w:rPr>
          <w:i/>
          <w:color w:val="0070C0"/>
          <w:szCs w:val="28"/>
          <w:lang w:val="sq-AL"/>
        </w:rPr>
        <w:t xml:space="preserve">Të ardhurat nga taksa </w:t>
      </w:r>
      <w:r w:rsidR="00F57EDE">
        <w:rPr>
          <w:i/>
          <w:color w:val="0070C0"/>
          <w:szCs w:val="28"/>
          <w:lang w:val="sq-AL"/>
        </w:rPr>
        <w:t>mbi</w:t>
      </w:r>
      <w:r w:rsidRPr="00F57EDE">
        <w:rPr>
          <w:i/>
          <w:color w:val="0070C0"/>
          <w:szCs w:val="28"/>
          <w:lang w:val="sq-AL"/>
        </w:rPr>
        <w:t xml:space="preserve"> pasuri</w:t>
      </w:r>
      <w:r w:rsidR="00F57EDE">
        <w:rPr>
          <w:i/>
          <w:color w:val="0070C0"/>
          <w:szCs w:val="28"/>
          <w:lang w:val="sq-AL"/>
        </w:rPr>
        <w:t>n</w:t>
      </w:r>
      <w:r w:rsidRPr="00F57EDE">
        <w:rPr>
          <w:i/>
          <w:color w:val="0070C0"/>
          <w:szCs w:val="28"/>
          <w:lang w:val="sq-AL"/>
        </w:rPr>
        <w:t>ë</w:t>
      </w:r>
      <w:r w:rsidR="00124F66" w:rsidRPr="00F57EDE">
        <w:rPr>
          <w:b/>
          <w:i/>
          <w:color w:val="0070C0"/>
          <w:szCs w:val="20"/>
          <w:lang w:val="sq-AL"/>
        </w:rPr>
        <w:t xml:space="preserve"> </w:t>
      </w:r>
      <w:r w:rsidR="00124F66" w:rsidRPr="00F57EDE">
        <w:rPr>
          <w:bCs/>
          <w:i/>
          <w:color w:val="0070C0"/>
          <w:szCs w:val="20"/>
          <w:lang w:val="sq-AL"/>
        </w:rPr>
        <w:t>dhe ritmi i ndryshimit të tyre</w:t>
      </w:r>
      <w:r w:rsidR="00124F66" w:rsidRPr="00F57EDE">
        <w:rPr>
          <w:bCs/>
          <w:noProof/>
          <w:sz w:val="32"/>
          <w:szCs w:val="32"/>
          <w:lang w:val="sq-AL"/>
        </w:rPr>
        <w:t xml:space="preserve"> </w:t>
      </w:r>
    </w:p>
    <w:p w14:paraId="2A9B52BA" w14:textId="4AA4720B" w:rsidR="00001E77" w:rsidRPr="00124F66" w:rsidRDefault="00001E77" w:rsidP="00A349F7">
      <w:pPr>
        <w:spacing w:line="276" w:lineRule="auto"/>
        <w:jc w:val="both"/>
        <w:rPr>
          <w:bCs/>
          <w:i/>
          <w:color w:val="0070C0"/>
          <w:sz w:val="20"/>
          <w:szCs w:val="22"/>
          <w:lang w:val="sq-AL"/>
        </w:rPr>
      </w:pPr>
      <w:r>
        <w:rPr>
          <w:noProof/>
        </w:rPr>
        <w:drawing>
          <wp:inline distT="0" distB="0" distL="0" distR="0" wp14:anchorId="21B7EF9B" wp14:editId="3DBAD125">
            <wp:extent cx="5915770" cy="1844675"/>
            <wp:effectExtent l="0" t="0" r="8890" b="3175"/>
            <wp:docPr id="9" name="Chart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07C6F7" w14:textId="40E561CF" w:rsidR="001B75D4" w:rsidRDefault="001B75D4" w:rsidP="00A349F7">
      <w:pPr>
        <w:pStyle w:val="Caption"/>
        <w:spacing w:line="276" w:lineRule="auto"/>
        <w:rPr>
          <w:rFonts w:eastAsia="SimSun"/>
          <w:b w:val="0"/>
          <w:bCs w:val="0"/>
          <w:i/>
          <w:color w:val="0070C0"/>
          <w:szCs w:val="22"/>
          <w:lang w:val="sq-AL"/>
        </w:rPr>
      </w:pPr>
      <w:r w:rsidRPr="007575C9">
        <w:rPr>
          <w:rFonts w:eastAsia="SimSun"/>
          <w:i/>
          <w:color w:val="0070C0"/>
          <w:szCs w:val="22"/>
          <w:lang w:val="sq-AL"/>
        </w:rPr>
        <w:t>Burimi</w:t>
      </w:r>
      <w:r w:rsidRPr="007575C9">
        <w:rPr>
          <w:rFonts w:eastAsia="SimSun"/>
          <w:b w:val="0"/>
          <w:bCs w:val="0"/>
          <w:i/>
          <w:color w:val="0070C0"/>
          <w:szCs w:val="22"/>
          <w:lang w:val="sq-AL"/>
        </w:rPr>
        <w:t>: Drejtoria e Financave Vendore, Ministria e Financave (</w:t>
      </w:r>
      <w:r w:rsidR="009D5418">
        <w:rPr>
          <w:rFonts w:eastAsia="SimSun"/>
          <w:b w:val="0"/>
          <w:bCs w:val="0"/>
          <w:i/>
          <w:color w:val="0070C0"/>
          <w:szCs w:val="22"/>
          <w:lang w:val="sq-AL"/>
        </w:rPr>
        <w:t>2025</w:t>
      </w:r>
      <w:r w:rsidRPr="007575C9">
        <w:rPr>
          <w:rFonts w:eastAsia="SimSun"/>
          <w:b w:val="0"/>
          <w:bCs w:val="0"/>
          <w:i/>
          <w:color w:val="0070C0"/>
          <w:szCs w:val="22"/>
          <w:lang w:val="sq-AL"/>
        </w:rPr>
        <w:t>)</w:t>
      </w:r>
    </w:p>
    <w:p w14:paraId="47ABA1BD" w14:textId="77777777" w:rsidR="0005028D" w:rsidRPr="0005028D" w:rsidRDefault="0005028D" w:rsidP="0005028D">
      <w:pPr>
        <w:rPr>
          <w:rFonts w:eastAsia="SimSun"/>
          <w:lang w:val="sq-AL"/>
        </w:rPr>
      </w:pPr>
    </w:p>
    <w:p w14:paraId="6811CBD5" w14:textId="77777777" w:rsidR="001B75D4" w:rsidRPr="00A349F7" w:rsidRDefault="001B75D4" w:rsidP="00A349F7">
      <w:pPr>
        <w:spacing w:before="120" w:after="120" w:line="276" w:lineRule="auto"/>
        <w:jc w:val="both"/>
        <w:rPr>
          <w:sz w:val="4"/>
          <w:lang w:val="sq-AL"/>
        </w:rPr>
      </w:pPr>
    </w:p>
    <w:p w14:paraId="0DC59E99" w14:textId="04807252" w:rsidR="001B75D4" w:rsidRPr="006E1F5F" w:rsidRDefault="006E1F5F" w:rsidP="006E1F5F">
      <w:pPr>
        <w:spacing w:line="276" w:lineRule="auto"/>
        <w:jc w:val="both"/>
        <w:rPr>
          <w:rFonts w:ascii="Book Antiqua" w:hAnsi="Book Antiqua"/>
          <w:b/>
          <w:color w:val="0070C0"/>
          <w:lang w:val="sq-AL"/>
        </w:rPr>
      </w:pPr>
      <w:r w:rsidRPr="006E1F5F">
        <w:rPr>
          <w:rFonts w:ascii="Book Antiqua" w:hAnsi="Book Antiqua"/>
          <w:b/>
          <w:color w:val="0070C0"/>
          <w:lang w:val="sq-AL"/>
        </w:rPr>
        <w:t xml:space="preserve">A.3. </w:t>
      </w:r>
      <w:r w:rsidR="001B75D4" w:rsidRPr="006E1F5F">
        <w:rPr>
          <w:rFonts w:ascii="Book Antiqua" w:hAnsi="Book Antiqua"/>
          <w:b/>
          <w:color w:val="0070C0"/>
          <w:lang w:val="sq-AL"/>
        </w:rPr>
        <w:t>Taksa e Biznesit të vogël</w:t>
      </w:r>
    </w:p>
    <w:p w14:paraId="31151C45" w14:textId="62D1A8F0" w:rsidR="006D28C0" w:rsidRPr="00F57EDE" w:rsidRDefault="00626668" w:rsidP="00F57EDE">
      <w:pPr>
        <w:spacing w:line="276" w:lineRule="auto"/>
        <w:jc w:val="both"/>
        <w:rPr>
          <w:color w:val="002060"/>
          <w:lang w:val="sq-AL"/>
        </w:rPr>
      </w:pPr>
      <w:r w:rsidRPr="00F57EDE">
        <w:rPr>
          <w:color w:val="002060"/>
          <w:lang w:val="sq-AL"/>
        </w:rPr>
        <w:t xml:space="preserve">Pas hyrjes në fuqi të Ligjit nr. 112/2020, “Për disa ndryshime në ligjin nr. 9632, datë 30.10.2006, </w:t>
      </w:r>
      <w:r w:rsidRPr="00F57EDE">
        <w:rPr>
          <w:i/>
          <w:iCs/>
          <w:color w:val="002060"/>
          <w:lang w:val="sq-AL"/>
        </w:rPr>
        <w:t>Për sistemin e taksave vendore</w:t>
      </w:r>
      <w:r w:rsidRPr="00F57EDE">
        <w:rPr>
          <w:color w:val="002060"/>
          <w:lang w:val="sq-AL"/>
        </w:rPr>
        <w:t>, të ndryshuar”, tatimi i thjeshtuar mbi fitimin e biznesit të vogël u zerua si barrë</w:t>
      </w:r>
      <w:r w:rsidR="00AD1128" w:rsidRPr="00F57EDE">
        <w:rPr>
          <w:color w:val="002060"/>
          <w:lang w:val="sq-AL"/>
        </w:rPr>
        <w:t xml:space="preserve"> fiskale për subjektet</w:t>
      </w:r>
      <w:r w:rsidRPr="00F57EDE">
        <w:rPr>
          <w:color w:val="002060"/>
          <w:lang w:val="sq-AL"/>
        </w:rPr>
        <w:t xml:space="preserve">. Ky ndryshim ligjor u shoqërua me kompensim për njësitë e </w:t>
      </w:r>
      <w:r w:rsidRPr="00F57EDE">
        <w:rPr>
          <w:color w:val="002060"/>
          <w:lang w:val="sq-AL"/>
        </w:rPr>
        <w:lastRenderedPageBreak/>
        <w:t xml:space="preserve">vetëqeverisjes vendore përmes rritjes së transfertave </w:t>
      </w:r>
      <w:r w:rsidR="00604742" w:rsidRPr="00F57EDE">
        <w:rPr>
          <w:color w:val="002060"/>
          <w:lang w:val="sq-AL"/>
        </w:rPr>
        <w:t>nga qeveria qendrore.</w:t>
      </w:r>
      <w:r w:rsidRPr="00F57EDE">
        <w:rPr>
          <w:color w:val="002060"/>
          <w:lang w:val="sq-AL"/>
        </w:rPr>
        <w:t xml:space="preserve"> Gjatë gjashtëmujorit të parë të vitit 2025, të ardhurat e mbledhura nga ky zë kanë qenë minimale, me vetëm 10 milion lekë të arkëtuara, që përfaqësojnë vetëm 0.1% të totalit të të ardhurave vendore për këtë periudhë. Kjo shumë përbëhet tërësisht nga detyrime të papaguara në kohë nga subjekte që rezultojnë debitorë. Në krahasim me të njëjtën periudhë të vitit 2024, kjo shifër është rreth 78% më e ulët, duke reflektuar ndikimin e plotë të politikës së zerimit të këtij tatimi. Pavarësisht këtij ndryshimi, disa bashki vijojnë të realizojnë të ardhura nga ky zë, përmes mbledhjes së detyrimeve të prapambetura nga subjekte të cilat nuk kanë kryer pagesat brenda afatit të përcaktuar.</w:t>
      </w:r>
    </w:p>
    <w:p w14:paraId="0C4DFAFC" w14:textId="77777777" w:rsidR="00F57EDE" w:rsidRDefault="00F57EDE" w:rsidP="00F57EDE">
      <w:pPr>
        <w:spacing w:line="276" w:lineRule="auto"/>
        <w:jc w:val="both"/>
        <w:rPr>
          <w:color w:val="002060"/>
          <w:lang w:val="sq-AL"/>
        </w:rPr>
      </w:pPr>
    </w:p>
    <w:p w14:paraId="6469B956" w14:textId="78F2735D" w:rsidR="002B3B55" w:rsidRDefault="00F57EDE" w:rsidP="00F57EDE">
      <w:pPr>
        <w:spacing w:line="276" w:lineRule="auto"/>
        <w:jc w:val="both"/>
        <w:rPr>
          <w:color w:val="002060"/>
          <w:lang w:val="sq-AL"/>
        </w:rPr>
      </w:pPr>
      <w:r w:rsidRPr="00F57EDE">
        <w:rPr>
          <w:color w:val="002060"/>
          <w:lang w:val="sq-AL"/>
        </w:rPr>
        <w:t>P</w:t>
      </w:r>
      <w:r w:rsidR="007B70E4">
        <w:rPr>
          <w:color w:val="002060"/>
          <w:lang w:val="sq-AL"/>
        </w:rPr>
        <w:t>ë</w:t>
      </w:r>
      <w:r w:rsidRPr="00F57EDE">
        <w:rPr>
          <w:color w:val="002060"/>
          <w:lang w:val="sq-AL"/>
        </w:rPr>
        <w:t>r periudh</w:t>
      </w:r>
      <w:r w:rsidR="007B70E4">
        <w:rPr>
          <w:color w:val="002060"/>
          <w:lang w:val="sq-AL"/>
        </w:rPr>
        <w:t>ë</w:t>
      </w:r>
      <w:r w:rsidRPr="00F57EDE">
        <w:rPr>
          <w:color w:val="002060"/>
          <w:lang w:val="sq-AL"/>
        </w:rPr>
        <w:t>n 6 mujore 2025</w:t>
      </w:r>
      <w:r w:rsidR="00B9520D" w:rsidRPr="00F57EDE">
        <w:rPr>
          <w:color w:val="002060"/>
          <w:lang w:val="sq-AL"/>
        </w:rPr>
        <w:t xml:space="preserve">, të ardhurat jotatimore të arkëtuara nga njësitë vendore arritën </w:t>
      </w:r>
      <w:r w:rsidRPr="00F57EDE">
        <w:rPr>
          <w:color w:val="002060"/>
          <w:lang w:val="sq-AL"/>
        </w:rPr>
        <w:t>vler</w:t>
      </w:r>
      <w:r w:rsidR="007B70E4">
        <w:rPr>
          <w:color w:val="002060"/>
          <w:lang w:val="sq-AL"/>
        </w:rPr>
        <w:t>ë</w:t>
      </w:r>
      <w:r w:rsidRPr="00F57EDE">
        <w:rPr>
          <w:color w:val="002060"/>
          <w:lang w:val="sq-AL"/>
        </w:rPr>
        <w:t>n mbi</w:t>
      </w:r>
      <w:r w:rsidR="00B9520D" w:rsidRPr="00F57EDE">
        <w:rPr>
          <w:color w:val="002060"/>
          <w:lang w:val="sq-AL"/>
        </w:rPr>
        <w:t xml:space="preserve"> 2 miliardë lekë.</w:t>
      </w:r>
    </w:p>
    <w:p w14:paraId="3ABE5E04" w14:textId="77777777" w:rsidR="00F57EDE" w:rsidRPr="00F57EDE" w:rsidRDefault="00F57EDE" w:rsidP="00F57EDE">
      <w:pPr>
        <w:spacing w:line="276" w:lineRule="auto"/>
        <w:jc w:val="both"/>
        <w:rPr>
          <w:color w:val="002060"/>
          <w:lang w:val="sq-AL"/>
        </w:rPr>
      </w:pPr>
    </w:p>
    <w:p w14:paraId="1E3E739B" w14:textId="77777777" w:rsidR="001B75D4" w:rsidRDefault="001B75D4" w:rsidP="006E1F5F">
      <w:pPr>
        <w:pStyle w:val="ListParagraph"/>
        <w:numPr>
          <w:ilvl w:val="0"/>
          <w:numId w:val="2"/>
        </w:numPr>
        <w:spacing w:line="276" w:lineRule="auto"/>
        <w:jc w:val="both"/>
        <w:rPr>
          <w:rFonts w:ascii="Book Antiqua" w:hAnsi="Book Antiqua"/>
          <w:b/>
          <w:i/>
          <w:color w:val="0070C0"/>
          <w:sz w:val="26"/>
          <w:szCs w:val="26"/>
          <w:u w:val="single"/>
          <w:lang w:val="sq-AL"/>
        </w:rPr>
      </w:pPr>
      <w:r w:rsidRPr="007B70E4">
        <w:rPr>
          <w:rFonts w:ascii="Book Antiqua" w:hAnsi="Book Antiqua"/>
          <w:b/>
          <w:i/>
          <w:color w:val="0070C0"/>
          <w:sz w:val="26"/>
          <w:szCs w:val="26"/>
          <w:u w:val="single"/>
          <w:lang w:val="sq-AL"/>
        </w:rPr>
        <w:t>Shpenzimet vendore</w:t>
      </w:r>
    </w:p>
    <w:p w14:paraId="215E7CB8" w14:textId="77777777" w:rsidR="007B70E4" w:rsidRPr="007B70E4" w:rsidRDefault="007B70E4" w:rsidP="007B70E4">
      <w:pPr>
        <w:pStyle w:val="ListParagraph"/>
        <w:spacing w:line="276" w:lineRule="auto"/>
        <w:jc w:val="both"/>
        <w:rPr>
          <w:rFonts w:ascii="Book Antiqua" w:hAnsi="Book Antiqua"/>
          <w:b/>
          <w:i/>
          <w:color w:val="0070C0"/>
          <w:sz w:val="26"/>
          <w:szCs w:val="26"/>
          <w:u w:val="single"/>
          <w:lang w:val="sq-AL"/>
        </w:rPr>
      </w:pPr>
    </w:p>
    <w:p w14:paraId="7477E325" w14:textId="26D64E1D" w:rsidR="00626668" w:rsidRDefault="00626668" w:rsidP="00F57EDE">
      <w:pPr>
        <w:spacing w:line="276" w:lineRule="auto"/>
        <w:jc w:val="both"/>
        <w:rPr>
          <w:color w:val="002060"/>
          <w:lang w:val="sq-AL"/>
        </w:rPr>
      </w:pPr>
      <w:r w:rsidRPr="00F57EDE">
        <w:rPr>
          <w:color w:val="002060"/>
          <w:lang w:val="sq-AL"/>
        </w:rPr>
        <w:t>Shpenzimet e pushtetit vendor luajnë një rol thelbësor në përmirësimin e mirëqenies së qytetarëve dhe përfaqësojnë një tregues domethënës i zhvillimeve ekonomike në nivel lokal dhe kombëtar. Rritja e peshës së këtyre shpenzimeve, si në raport me shpenzimet e përgjithshme publike, ashtu edhe ndaj Produktit të Brendshëm Bruto (PBB), është pjesë e procesit të thellimit të decentralizimit fiskal dhe forcimit të autonomisë vendore. Gjatë viteve të fundit, shpenzimet e qeverisjes vendore janë karakterizuar nga një trend rritës dhe i qëndrueshëm. Ky zhvillim pasqyron një përmirësim të dukshëm në ofrimin e shërbimeve publike nga njësitë e vetëqeverisjes vendore, duke u mbështetur si në rritjen e të ardhurave të veta, ashtu edhe në financimin e ofruar nga qeveria</w:t>
      </w:r>
      <w:r w:rsidR="003C3A4E" w:rsidRPr="00F57EDE">
        <w:rPr>
          <w:color w:val="002060"/>
          <w:lang w:val="sq-AL"/>
        </w:rPr>
        <w:t xml:space="preserve"> qendrore përmes transfertave</w:t>
      </w:r>
      <w:r w:rsidRPr="00F57EDE">
        <w:rPr>
          <w:color w:val="002060"/>
          <w:lang w:val="sq-AL"/>
        </w:rPr>
        <w:t>. Faktorët që kanë ndikuar në rritjen e shpenzimeve vendore përfshijnë, zgjerimin e kompetencave dhe funksioneve të deleguara, rritjen e sipërfaqes territoriale pas reform</w:t>
      </w:r>
      <w:r w:rsidR="003C3A4E" w:rsidRPr="00F57EDE">
        <w:rPr>
          <w:color w:val="002060"/>
          <w:lang w:val="sq-AL"/>
        </w:rPr>
        <w:t xml:space="preserve">ës administrativo-territoriale apo edhe </w:t>
      </w:r>
      <w:r w:rsidRPr="00F57EDE">
        <w:rPr>
          <w:color w:val="002060"/>
          <w:lang w:val="sq-AL"/>
        </w:rPr>
        <w:t xml:space="preserve">shtimin e numrit të banorëve nën administrimin e secilës bashki. Këto zhvillime kanë ndikuar gjithashtu në rritjen e përgjegjshmërisë financiare, transparencës, konsultimit publik dhe llogaridhënies nga njësitë vendore për përdorimin e fondeve publike. Sipas të dhënave </w:t>
      </w:r>
      <w:r w:rsidR="00604742" w:rsidRPr="00F57EDE">
        <w:rPr>
          <w:color w:val="002060"/>
          <w:lang w:val="sq-AL"/>
        </w:rPr>
        <w:t xml:space="preserve">faktike </w:t>
      </w:r>
      <w:r w:rsidRPr="00F57EDE">
        <w:rPr>
          <w:color w:val="002060"/>
          <w:lang w:val="sq-AL"/>
        </w:rPr>
        <w:t>të thesarit, për gjysmën e parë të vitit 2025 buxheti i pushtetit vendor është realizuar në masën rreth 36.5 miliardë lekë, çka përfaqëson një rritje prej rreth 5.5 miliardë lekësh, ose 17.9% më shumë krahasuar me të njëjtën periudhë të vitit 2024.</w:t>
      </w:r>
    </w:p>
    <w:p w14:paraId="57695204" w14:textId="128FDA1A" w:rsidR="00F57EDE" w:rsidRPr="00F57EDE" w:rsidRDefault="00F57EDE" w:rsidP="00F57EDE">
      <w:pPr>
        <w:spacing w:line="276" w:lineRule="auto"/>
        <w:jc w:val="both"/>
        <w:rPr>
          <w:color w:val="002060"/>
          <w:lang w:val="sq-AL"/>
        </w:rPr>
      </w:pPr>
    </w:p>
    <w:p w14:paraId="1708E549" w14:textId="33AEC993" w:rsidR="00A46590" w:rsidRDefault="007B70E4" w:rsidP="00A349F7">
      <w:pPr>
        <w:pStyle w:val="Caption"/>
        <w:spacing w:line="276" w:lineRule="auto"/>
        <w:rPr>
          <w:b w:val="0"/>
          <w:i/>
          <w:color w:val="0070C0"/>
          <w:sz w:val="24"/>
          <w:szCs w:val="20"/>
          <w:lang w:val="sq-AL"/>
        </w:rPr>
      </w:pPr>
      <w:r>
        <w:rPr>
          <w:noProof/>
        </w:rPr>
        <w:drawing>
          <wp:anchor distT="0" distB="0" distL="114300" distR="114300" simplePos="0" relativeHeight="251664384" behindDoc="0" locked="0" layoutInCell="1" allowOverlap="1" wp14:anchorId="082A92D7" wp14:editId="7A7EEC46">
            <wp:simplePos x="0" y="0"/>
            <wp:positionH relativeFrom="margin">
              <wp:align>right</wp:align>
            </wp:positionH>
            <wp:positionV relativeFrom="margin">
              <wp:posOffset>6512008</wp:posOffset>
            </wp:positionV>
            <wp:extent cx="5939155" cy="1828800"/>
            <wp:effectExtent l="0" t="0" r="4445" b="0"/>
            <wp:wrapSquare wrapText="bothSides"/>
            <wp:docPr id="2" name="Chart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B75D4" w:rsidRPr="00F57EDE">
        <w:rPr>
          <w:bCs w:val="0"/>
          <w:i/>
          <w:color w:val="0070C0"/>
          <w:sz w:val="24"/>
          <w:szCs w:val="20"/>
          <w:lang w:val="sq-AL"/>
        </w:rPr>
        <w:t xml:space="preserve">Grafiku </w:t>
      </w:r>
      <w:r w:rsidR="00124F66" w:rsidRPr="00F57EDE">
        <w:rPr>
          <w:bCs w:val="0"/>
          <w:i/>
          <w:color w:val="0070C0"/>
          <w:sz w:val="24"/>
          <w:szCs w:val="20"/>
          <w:lang w:val="sq-AL"/>
        </w:rPr>
        <w:t>5</w:t>
      </w:r>
      <w:r w:rsidR="001B75D4" w:rsidRPr="00F57EDE">
        <w:rPr>
          <w:bCs w:val="0"/>
          <w:i/>
          <w:color w:val="0070C0"/>
          <w:sz w:val="24"/>
          <w:szCs w:val="20"/>
          <w:lang w:val="sq-AL"/>
        </w:rPr>
        <w:t xml:space="preserve">: </w:t>
      </w:r>
      <w:r w:rsidR="001B75D4" w:rsidRPr="00F57EDE">
        <w:rPr>
          <w:b w:val="0"/>
          <w:i/>
          <w:color w:val="0070C0"/>
          <w:sz w:val="24"/>
          <w:szCs w:val="20"/>
          <w:lang w:val="sq-AL"/>
        </w:rPr>
        <w:t xml:space="preserve">Shpenzimet </w:t>
      </w:r>
      <w:r w:rsidR="00F57EDE">
        <w:rPr>
          <w:b w:val="0"/>
          <w:i/>
          <w:color w:val="0070C0"/>
          <w:sz w:val="24"/>
          <w:szCs w:val="20"/>
          <w:lang w:val="sq-AL"/>
        </w:rPr>
        <w:t>e</w:t>
      </w:r>
      <w:r w:rsidR="001B75D4" w:rsidRPr="00F57EDE">
        <w:rPr>
          <w:b w:val="0"/>
          <w:i/>
          <w:color w:val="0070C0"/>
          <w:sz w:val="24"/>
          <w:szCs w:val="20"/>
          <w:lang w:val="sq-AL"/>
        </w:rPr>
        <w:t xml:space="preserve"> pushteti</w:t>
      </w:r>
      <w:r w:rsidR="00F57EDE">
        <w:rPr>
          <w:b w:val="0"/>
          <w:i/>
          <w:color w:val="0070C0"/>
          <w:sz w:val="24"/>
          <w:szCs w:val="20"/>
          <w:lang w:val="sq-AL"/>
        </w:rPr>
        <w:t>t</w:t>
      </w:r>
      <w:r w:rsidR="001B75D4" w:rsidRPr="00F57EDE">
        <w:rPr>
          <w:b w:val="0"/>
          <w:i/>
          <w:color w:val="0070C0"/>
          <w:sz w:val="24"/>
          <w:szCs w:val="20"/>
          <w:lang w:val="sq-AL"/>
        </w:rPr>
        <w:t xml:space="preserve"> vendor dhe ritmi i ndryshimit të tyr</w:t>
      </w:r>
      <w:r w:rsidR="00124F66" w:rsidRPr="00F57EDE">
        <w:rPr>
          <w:b w:val="0"/>
          <w:i/>
          <w:color w:val="0070C0"/>
          <w:sz w:val="24"/>
          <w:szCs w:val="20"/>
          <w:lang w:val="sq-AL"/>
        </w:rPr>
        <w:t>e</w:t>
      </w:r>
      <w:r w:rsidR="00124F66" w:rsidRPr="00F57EDE">
        <w:rPr>
          <w:noProof/>
          <w:sz w:val="22"/>
          <w:szCs w:val="22"/>
          <w:lang w:val="sq-AL"/>
        </w:rPr>
        <w:t xml:space="preserve"> </w:t>
      </w:r>
      <w:r w:rsidR="00124F66" w:rsidRPr="00F57EDE">
        <w:rPr>
          <w:b w:val="0"/>
          <w:i/>
          <w:color w:val="0070C0"/>
          <w:sz w:val="24"/>
          <w:szCs w:val="20"/>
          <w:lang w:val="sq-AL"/>
        </w:rPr>
        <w:t>n</w:t>
      </w:r>
      <w:r w:rsidR="00CF2AA3" w:rsidRPr="00F57EDE">
        <w:rPr>
          <w:b w:val="0"/>
          <w:i/>
          <w:color w:val="0070C0"/>
          <w:sz w:val="24"/>
          <w:szCs w:val="20"/>
          <w:lang w:val="sq-AL"/>
        </w:rPr>
        <w:t>ë</w:t>
      </w:r>
      <w:r w:rsidR="00124F66" w:rsidRPr="00F57EDE">
        <w:rPr>
          <w:b w:val="0"/>
          <w:i/>
          <w:color w:val="0070C0"/>
          <w:sz w:val="24"/>
          <w:szCs w:val="20"/>
          <w:lang w:val="sq-AL"/>
        </w:rPr>
        <w:t xml:space="preserve"> vite</w:t>
      </w:r>
    </w:p>
    <w:p w14:paraId="7355C1B5" w14:textId="77777777" w:rsidR="00F57EDE" w:rsidRPr="00F57EDE" w:rsidRDefault="00F57EDE" w:rsidP="00F57EDE">
      <w:pPr>
        <w:rPr>
          <w:b/>
          <w:bCs/>
          <w:color w:val="0070C0"/>
          <w:sz w:val="20"/>
          <w:szCs w:val="20"/>
          <w:lang w:val="sq-AL"/>
        </w:rPr>
      </w:pPr>
      <w:r w:rsidRPr="00F57EDE">
        <w:rPr>
          <w:rFonts w:eastAsia="SimSun"/>
          <w:i/>
          <w:color w:val="0070C0"/>
          <w:sz w:val="20"/>
          <w:szCs w:val="18"/>
          <w:lang w:val="sq-AL"/>
        </w:rPr>
        <w:t>Burimi: Drejtoria e Financave Vendore, Ministria e Financave (2025</w:t>
      </w:r>
      <w:r w:rsidRPr="00F57EDE">
        <w:rPr>
          <w:rFonts w:eastAsia="SimSun"/>
          <w:i/>
          <w:color w:val="0070C0"/>
          <w:sz w:val="18"/>
          <w:szCs w:val="22"/>
          <w:lang w:val="sq-AL"/>
        </w:rPr>
        <w:t>)</w:t>
      </w:r>
    </w:p>
    <w:p w14:paraId="5395D3EB" w14:textId="3744B99F" w:rsidR="002B3B55" w:rsidRPr="00F57EDE" w:rsidRDefault="00604742" w:rsidP="00F57EDE">
      <w:pPr>
        <w:spacing w:line="276" w:lineRule="auto"/>
        <w:jc w:val="both"/>
        <w:rPr>
          <w:color w:val="002060"/>
          <w:lang w:val="sq-AL"/>
        </w:rPr>
      </w:pPr>
      <w:r w:rsidRPr="00F57EDE">
        <w:rPr>
          <w:color w:val="002060"/>
          <w:lang w:val="sq-AL"/>
        </w:rPr>
        <w:lastRenderedPageBreak/>
        <w:t xml:space="preserve">Shpenzimet e pushtetit vendor në vite sipas strukturës nuk kanë pësuar ndryshime të mëdha, por vihet re një tendencë pozitive rritje e qendrueshmërisë së shpenzimeve të personelit, dhe zgjerimi i shpenzimeve të mirëmbajtjes së aseteve që njësitë vendore zotërojnë përmes përdorimit në formën e shpenzimeve operative. </w:t>
      </w:r>
      <w:r w:rsidR="006776D9" w:rsidRPr="00F57EDE">
        <w:rPr>
          <w:color w:val="002060"/>
          <w:lang w:val="sq-AL"/>
        </w:rPr>
        <w:t xml:space="preserve">Nga analiza e të dhënave fiskale për gjashtëmujorin e parë të vitit 2025, rezulton se të gjithë zërat e shpenzimeve korente kanë shfaqur rritje krahasuar me të njëjtën periudhë të vitit 2024. </w:t>
      </w:r>
      <w:r w:rsidR="006776D9" w:rsidRPr="00F57EDE">
        <w:rPr>
          <w:b/>
          <w:bCs/>
          <w:color w:val="002060"/>
          <w:lang w:val="sq-AL"/>
        </w:rPr>
        <w:t>Shpenzimet për personelin</w:t>
      </w:r>
      <w:r w:rsidR="006776D9" w:rsidRPr="00F57EDE">
        <w:rPr>
          <w:color w:val="002060"/>
          <w:lang w:val="sq-AL"/>
        </w:rPr>
        <w:t xml:space="preserve"> përbëjnë pjesën më të madhe të kësaj rritjeje, duke konfirmuar trendin e rritjes së kapaciteteve njerëzore në funksion të ofrimit të shërbimeve publike. Një trend rritës vërehet gjithashtu edhe për </w:t>
      </w:r>
      <w:r w:rsidR="006776D9" w:rsidRPr="00F57EDE">
        <w:rPr>
          <w:b/>
          <w:bCs/>
          <w:color w:val="002060"/>
          <w:lang w:val="sq-AL"/>
        </w:rPr>
        <w:t>shpenzimet operative dhe të tjera</w:t>
      </w:r>
      <w:r w:rsidR="00F57EDE">
        <w:rPr>
          <w:b/>
          <w:bCs/>
          <w:color w:val="002060"/>
          <w:lang w:val="sq-AL"/>
        </w:rPr>
        <w:t xml:space="preserve"> korente</w:t>
      </w:r>
      <w:r w:rsidR="006776D9" w:rsidRPr="00F57EDE">
        <w:rPr>
          <w:color w:val="002060"/>
          <w:lang w:val="sq-AL"/>
        </w:rPr>
        <w:t xml:space="preserve">, të cilat pasqyrojnë përmirësimin e menaxhimit të funksioneve të përditshme dhe kostove të mirëmbajtjes së infrastrukturës vendore. Në të njëjtën kohë, edhe </w:t>
      </w:r>
      <w:r w:rsidR="006776D9" w:rsidRPr="00F57EDE">
        <w:rPr>
          <w:b/>
          <w:bCs/>
          <w:color w:val="002060"/>
          <w:lang w:val="sq-AL"/>
        </w:rPr>
        <w:t>shpenzimet kapitale</w:t>
      </w:r>
      <w:r w:rsidR="006776D9" w:rsidRPr="00F57EDE">
        <w:rPr>
          <w:color w:val="002060"/>
          <w:lang w:val="sq-AL"/>
        </w:rPr>
        <w:t xml:space="preserve"> shfaqin një </w:t>
      </w:r>
      <w:r w:rsidR="006776D9" w:rsidRPr="00F57EDE">
        <w:rPr>
          <w:b/>
          <w:bCs/>
          <w:color w:val="002060"/>
          <w:lang w:val="sq-AL"/>
        </w:rPr>
        <w:t>rritje të realizimit</w:t>
      </w:r>
      <w:r w:rsidR="006776D9" w:rsidRPr="00F57EDE">
        <w:rPr>
          <w:color w:val="002060"/>
          <w:lang w:val="sq-AL"/>
        </w:rPr>
        <w:t>, në raport me 6-mujorin e parë të vitit paraardhës, duke sinjalizuar një angazhim më të madh për investime publike në nivel vendor</w:t>
      </w:r>
      <w:r w:rsidRPr="00F57EDE">
        <w:rPr>
          <w:color w:val="002060"/>
          <w:lang w:val="sq-AL"/>
        </w:rPr>
        <w:t>, siç konstatohet edhe nga grafiku më poshtë:</w:t>
      </w:r>
    </w:p>
    <w:p w14:paraId="7E4C1C3A" w14:textId="77777777" w:rsidR="00B30E71" w:rsidRPr="004F5FF7" w:rsidRDefault="001B75D4" w:rsidP="00B30E71">
      <w:pPr>
        <w:spacing w:before="120" w:after="120"/>
        <w:rPr>
          <w:i/>
          <w:color w:val="0070C0"/>
          <w:szCs w:val="28"/>
          <w:lang w:val="sq-AL"/>
        </w:rPr>
      </w:pPr>
      <w:r w:rsidRPr="004F5FF7">
        <w:rPr>
          <w:sz w:val="32"/>
          <w:szCs w:val="32"/>
          <w:lang w:val="sq-AL"/>
        </w:rPr>
        <w:t xml:space="preserve"> </w:t>
      </w:r>
      <w:r w:rsidRPr="004F5FF7">
        <w:rPr>
          <w:b/>
          <w:bCs/>
          <w:i/>
          <w:color w:val="0070C0"/>
          <w:szCs w:val="28"/>
          <w:lang w:val="sq-AL"/>
        </w:rPr>
        <w:t xml:space="preserve">Grafiku </w:t>
      </w:r>
      <w:r w:rsidR="00124F66" w:rsidRPr="004F5FF7">
        <w:rPr>
          <w:b/>
          <w:bCs/>
          <w:i/>
          <w:color w:val="0070C0"/>
          <w:szCs w:val="28"/>
          <w:lang w:val="sq-AL"/>
        </w:rPr>
        <w:t>6</w:t>
      </w:r>
      <w:r w:rsidRPr="004F5FF7">
        <w:rPr>
          <w:b/>
          <w:bCs/>
          <w:i/>
          <w:color w:val="0070C0"/>
          <w:szCs w:val="28"/>
          <w:lang w:val="sq-AL"/>
        </w:rPr>
        <w:t xml:space="preserve">: </w:t>
      </w:r>
      <w:r w:rsidRPr="004F5FF7">
        <w:rPr>
          <w:i/>
          <w:color w:val="0070C0"/>
          <w:szCs w:val="28"/>
          <w:lang w:val="sq-AL"/>
        </w:rPr>
        <w:t>Shpenzimet e pushtetit vendor sipas strukturës buxhetore</w:t>
      </w:r>
    </w:p>
    <w:p w14:paraId="1829D289" w14:textId="155F50F5" w:rsidR="004F5FF7" w:rsidRDefault="004F5FF7" w:rsidP="00B30E71">
      <w:pPr>
        <w:spacing w:before="120" w:after="120"/>
        <w:rPr>
          <w:i/>
          <w:color w:val="0070C0"/>
          <w:sz w:val="20"/>
          <w:szCs w:val="22"/>
          <w:lang w:val="sq-AL"/>
        </w:rPr>
      </w:pPr>
      <w:r w:rsidRPr="004F5FF7">
        <w:rPr>
          <w:noProof/>
          <w:sz w:val="22"/>
          <w:szCs w:val="22"/>
        </w:rPr>
        <w:drawing>
          <wp:inline distT="0" distB="0" distL="0" distR="0" wp14:anchorId="04B175C3" wp14:editId="00AC54AC">
            <wp:extent cx="5943600" cy="1765190"/>
            <wp:effectExtent l="0" t="0" r="0" b="6985"/>
            <wp:docPr id="1798145317" name="Chart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A22F89" w14:textId="60BA8E32" w:rsidR="006516A9" w:rsidRPr="00B30E71" w:rsidRDefault="001B75D4" w:rsidP="00B30E71">
      <w:pPr>
        <w:spacing w:before="120" w:after="120"/>
        <w:rPr>
          <w:i/>
          <w:color w:val="0070C0"/>
          <w:sz w:val="20"/>
          <w:szCs w:val="22"/>
          <w:lang w:val="sq-AL"/>
        </w:rPr>
      </w:pPr>
      <w:r w:rsidRPr="00B30E71">
        <w:rPr>
          <w:b/>
          <w:bCs/>
          <w:i/>
          <w:color w:val="0070C0"/>
          <w:sz w:val="20"/>
          <w:szCs w:val="22"/>
          <w:lang w:val="sq-AL"/>
        </w:rPr>
        <w:t xml:space="preserve">Burimi: </w:t>
      </w:r>
      <w:r w:rsidRPr="00B30E71">
        <w:rPr>
          <w:i/>
          <w:color w:val="0070C0"/>
          <w:sz w:val="20"/>
          <w:szCs w:val="22"/>
          <w:lang w:val="sq-AL"/>
        </w:rPr>
        <w:t>Drejtoria e Financave Vendore, Ministria e Financave (</w:t>
      </w:r>
      <w:r w:rsidR="009D5418">
        <w:rPr>
          <w:i/>
          <w:color w:val="0070C0"/>
          <w:sz w:val="20"/>
          <w:szCs w:val="22"/>
          <w:lang w:val="sq-AL"/>
        </w:rPr>
        <w:t>2025</w:t>
      </w:r>
      <w:r w:rsidRPr="00B30E71">
        <w:rPr>
          <w:i/>
          <w:color w:val="0070C0"/>
          <w:sz w:val="20"/>
          <w:szCs w:val="22"/>
          <w:lang w:val="sq-AL"/>
        </w:rPr>
        <w:t>)</w:t>
      </w:r>
    </w:p>
    <w:p w14:paraId="75215638" w14:textId="77777777" w:rsidR="004F5FF7" w:rsidRPr="007B70E4" w:rsidRDefault="004F5FF7" w:rsidP="004F5FF7">
      <w:pPr>
        <w:spacing w:line="276" w:lineRule="auto"/>
        <w:jc w:val="both"/>
        <w:rPr>
          <w:color w:val="002060"/>
          <w:sz w:val="12"/>
          <w:szCs w:val="12"/>
          <w:lang w:val="sq-AL"/>
        </w:rPr>
      </w:pPr>
    </w:p>
    <w:p w14:paraId="0A2CB9E5" w14:textId="483D5CE3" w:rsidR="001B75D4" w:rsidRDefault="001B75D4" w:rsidP="004F5FF7">
      <w:pPr>
        <w:spacing w:line="276" w:lineRule="auto"/>
        <w:jc w:val="both"/>
        <w:rPr>
          <w:color w:val="002060"/>
          <w:lang w:val="sq-AL"/>
        </w:rPr>
      </w:pPr>
      <w:r w:rsidRPr="004F5FF7">
        <w:rPr>
          <w:color w:val="002060"/>
          <w:lang w:val="sq-AL"/>
        </w:rPr>
        <w:t xml:space="preserve">Më poshtë janë paraqitur në mënyrë të përmbledhur tabela e ndryshimeve të të ardhurave dhe shpenzimeve në financat publike vendore gjatë </w:t>
      </w:r>
      <w:r w:rsidR="00B517BB" w:rsidRPr="004F5FF7">
        <w:rPr>
          <w:color w:val="002060"/>
          <w:lang w:val="sq-AL"/>
        </w:rPr>
        <w:t>6</w:t>
      </w:r>
      <w:r w:rsidRPr="004F5FF7">
        <w:rPr>
          <w:color w:val="002060"/>
          <w:lang w:val="sq-AL"/>
        </w:rPr>
        <w:t xml:space="preserve"> mujorit të vitit </w:t>
      </w:r>
      <w:r w:rsidR="009D5418" w:rsidRPr="004F5FF7">
        <w:rPr>
          <w:color w:val="002060"/>
          <w:lang w:val="sq-AL"/>
        </w:rPr>
        <w:t>2025</w:t>
      </w:r>
      <w:r w:rsidRPr="004F5FF7">
        <w:rPr>
          <w:color w:val="002060"/>
          <w:lang w:val="sq-AL"/>
        </w:rPr>
        <w:t xml:space="preserve"> dhe</w:t>
      </w:r>
      <w:r w:rsidR="00B517BB" w:rsidRPr="004F5FF7">
        <w:rPr>
          <w:color w:val="002060"/>
          <w:lang w:val="sq-AL"/>
        </w:rPr>
        <w:t xml:space="preserve"> 6 mujorit të</w:t>
      </w:r>
      <w:r w:rsidRPr="004F5FF7">
        <w:rPr>
          <w:color w:val="002060"/>
          <w:lang w:val="sq-AL"/>
        </w:rPr>
        <w:t xml:space="preserve"> vitit </w:t>
      </w:r>
      <w:r w:rsidR="009D5418" w:rsidRPr="004F5FF7">
        <w:rPr>
          <w:color w:val="002060"/>
          <w:lang w:val="sq-AL"/>
        </w:rPr>
        <w:t>2024</w:t>
      </w:r>
      <w:r w:rsidR="00B517BB" w:rsidRPr="004F5FF7">
        <w:rPr>
          <w:color w:val="002060"/>
          <w:lang w:val="sq-AL"/>
        </w:rPr>
        <w:t>:</w:t>
      </w:r>
    </w:p>
    <w:p w14:paraId="0F869078" w14:textId="77777777" w:rsidR="004F5FF7" w:rsidRPr="00F1184C" w:rsidRDefault="004F5FF7" w:rsidP="004F5FF7">
      <w:pPr>
        <w:spacing w:before="120" w:after="120" w:line="276" w:lineRule="auto"/>
        <w:ind w:right="-43"/>
        <w:jc w:val="both"/>
        <w:rPr>
          <w:i/>
          <w:color w:val="265898" w:themeColor="text2" w:themeTint="E6"/>
          <w:lang w:val="sq-AL"/>
        </w:rPr>
      </w:pPr>
      <w:r w:rsidRPr="00F1184C">
        <w:rPr>
          <w:b/>
          <w:bCs/>
          <w:i/>
          <w:color w:val="265898" w:themeColor="text2" w:themeTint="E6"/>
          <w:lang w:val="sq-AL"/>
        </w:rPr>
        <w:t>Tabela 1:</w:t>
      </w:r>
      <w:r w:rsidRPr="00F1184C">
        <w:rPr>
          <w:i/>
          <w:color w:val="265898" w:themeColor="text2" w:themeTint="E6"/>
          <w:lang w:val="sq-AL"/>
        </w:rPr>
        <w:t xml:space="preserve"> Të ardhurat dhe shpenzimet faktike të pushtetit vendor sipas natyrës (në milion lekë)</w:t>
      </w:r>
    </w:p>
    <w:tbl>
      <w:tblPr>
        <w:tblW w:w="9064" w:type="dxa"/>
        <w:jc w:val="center"/>
        <w:tblLook w:val="04A0" w:firstRow="1" w:lastRow="0" w:firstColumn="1" w:lastColumn="0" w:noHBand="0" w:noVBand="1"/>
      </w:tblPr>
      <w:tblGrid>
        <w:gridCol w:w="452"/>
        <w:gridCol w:w="3819"/>
        <w:gridCol w:w="1165"/>
        <w:gridCol w:w="1165"/>
        <w:gridCol w:w="1276"/>
        <w:gridCol w:w="1187"/>
      </w:tblGrid>
      <w:tr w:rsidR="004F5FF7" w:rsidRPr="008A5F70" w14:paraId="311845CC" w14:textId="77777777" w:rsidTr="006A771E">
        <w:trPr>
          <w:trHeight w:val="252"/>
          <w:jc w:val="center"/>
        </w:trPr>
        <w:tc>
          <w:tcPr>
            <w:tcW w:w="452" w:type="dxa"/>
            <w:vMerge w:val="restart"/>
            <w:tcBorders>
              <w:top w:val="double" w:sz="6" w:space="0" w:color="auto"/>
              <w:left w:val="double" w:sz="6" w:space="0" w:color="auto"/>
              <w:bottom w:val="single" w:sz="4" w:space="0" w:color="auto"/>
              <w:right w:val="single" w:sz="4" w:space="0" w:color="auto"/>
            </w:tcBorders>
            <w:shd w:val="clear" w:color="000000" w:fill="DBE5F1"/>
            <w:noWrap/>
            <w:vAlign w:val="center"/>
            <w:hideMark/>
          </w:tcPr>
          <w:p w14:paraId="38611480" w14:textId="77777777" w:rsidR="004F5FF7" w:rsidRPr="008A5F70" w:rsidRDefault="004F5FF7" w:rsidP="006A771E">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Nr</w:t>
            </w:r>
          </w:p>
        </w:tc>
        <w:tc>
          <w:tcPr>
            <w:tcW w:w="3819" w:type="dxa"/>
            <w:vMerge w:val="restart"/>
            <w:tcBorders>
              <w:top w:val="double" w:sz="6" w:space="0" w:color="auto"/>
              <w:left w:val="single" w:sz="4" w:space="0" w:color="auto"/>
              <w:bottom w:val="single" w:sz="4" w:space="0" w:color="auto"/>
              <w:right w:val="single" w:sz="4" w:space="0" w:color="auto"/>
            </w:tcBorders>
            <w:shd w:val="clear" w:color="000000" w:fill="DBE5F1"/>
            <w:noWrap/>
            <w:vAlign w:val="center"/>
            <w:hideMark/>
          </w:tcPr>
          <w:p w14:paraId="7F5C4238" w14:textId="77777777" w:rsidR="004F5FF7" w:rsidRPr="008A5F70" w:rsidRDefault="004F5FF7" w:rsidP="006A771E">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E  M  Ë  R  T  I  M  I</w:t>
            </w:r>
          </w:p>
        </w:tc>
        <w:tc>
          <w:tcPr>
            <w:tcW w:w="2330" w:type="dxa"/>
            <w:gridSpan w:val="2"/>
            <w:tcBorders>
              <w:top w:val="double" w:sz="6" w:space="0" w:color="auto"/>
              <w:left w:val="nil"/>
              <w:bottom w:val="single" w:sz="4" w:space="0" w:color="auto"/>
              <w:right w:val="single" w:sz="4" w:space="0" w:color="auto"/>
            </w:tcBorders>
            <w:shd w:val="clear" w:color="000000" w:fill="DBE5F1"/>
            <w:noWrap/>
            <w:vAlign w:val="center"/>
            <w:hideMark/>
          </w:tcPr>
          <w:p w14:paraId="116568BD" w14:textId="5DF66537" w:rsidR="004F5FF7" w:rsidRPr="008A5F70" w:rsidRDefault="004F5FF7" w:rsidP="006A771E">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 xml:space="preserve">Fakt </w:t>
            </w:r>
            <w:r>
              <w:rPr>
                <w:rFonts w:ascii="Calibri" w:hAnsi="Calibri" w:cs="Calibri"/>
                <w:b/>
                <w:bCs/>
                <w:color w:val="000000" w:themeColor="text1"/>
                <w:sz w:val="18"/>
                <w:szCs w:val="18"/>
                <w:lang w:val="sq-AL"/>
              </w:rPr>
              <w:t>6</w:t>
            </w:r>
            <w:r w:rsidRPr="008A5F70">
              <w:rPr>
                <w:rFonts w:ascii="Calibri" w:hAnsi="Calibri" w:cs="Calibri"/>
                <w:b/>
                <w:bCs/>
                <w:color w:val="000000" w:themeColor="text1"/>
                <w:sz w:val="18"/>
                <w:szCs w:val="18"/>
                <w:lang w:val="sq-AL"/>
              </w:rPr>
              <w:t xml:space="preserve"> mujori</w:t>
            </w:r>
          </w:p>
        </w:tc>
        <w:tc>
          <w:tcPr>
            <w:tcW w:w="2463" w:type="dxa"/>
            <w:gridSpan w:val="2"/>
            <w:tcBorders>
              <w:top w:val="double" w:sz="6" w:space="0" w:color="auto"/>
              <w:left w:val="nil"/>
              <w:bottom w:val="single" w:sz="4" w:space="0" w:color="auto"/>
              <w:right w:val="double" w:sz="6" w:space="0" w:color="000000"/>
            </w:tcBorders>
            <w:shd w:val="clear" w:color="000000" w:fill="DBE5F1"/>
            <w:noWrap/>
            <w:vAlign w:val="center"/>
            <w:hideMark/>
          </w:tcPr>
          <w:p w14:paraId="7A6FE104" w14:textId="77777777" w:rsidR="004F5FF7" w:rsidRPr="008A5F70" w:rsidRDefault="004F5FF7" w:rsidP="006A771E">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Diferenca</w:t>
            </w:r>
          </w:p>
        </w:tc>
      </w:tr>
      <w:tr w:rsidR="004F5FF7" w:rsidRPr="008A5F70" w14:paraId="1D0FA5CD" w14:textId="77777777" w:rsidTr="006A771E">
        <w:trPr>
          <w:trHeight w:val="135"/>
          <w:jc w:val="center"/>
        </w:trPr>
        <w:tc>
          <w:tcPr>
            <w:tcW w:w="452" w:type="dxa"/>
            <w:vMerge/>
            <w:tcBorders>
              <w:top w:val="double" w:sz="6" w:space="0" w:color="auto"/>
              <w:left w:val="double" w:sz="6" w:space="0" w:color="auto"/>
              <w:bottom w:val="single" w:sz="4" w:space="0" w:color="auto"/>
              <w:right w:val="single" w:sz="4" w:space="0" w:color="auto"/>
            </w:tcBorders>
            <w:vAlign w:val="center"/>
            <w:hideMark/>
          </w:tcPr>
          <w:p w14:paraId="0B3A79F4" w14:textId="77777777" w:rsidR="004F5FF7" w:rsidRPr="008A5F70" w:rsidRDefault="004F5FF7" w:rsidP="006A771E">
            <w:pPr>
              <w:rPr>
                <w:rFonts w:ascii="Calibri" w:hAnsi="Calibri" w:cs="Calibri"/>
                <w:b/>
                <w:bCs/>
                <w:color w:val="000000" w:themeColor="text1"/>
                <w:sz w:val="18"/>
                <w:szCs w:val="18"/>
                <w:lang w:val="sq-AL"/>
              </w:rPr>
            </w:pPr>
          </w:p>
        </w:tc>
        <w:tc>
          <w:tcPr>
            <w:tcW w:w="3819" w:type="dxa"/>
            <w:vMerge/>
            <w:tcBorders>
              <w:top w:val="double" w:sz="6" w:space="0" w:color="auto"/>
              <w:left w:val="single" w:sz="4" w:space="0" w:color="auto"/>
              <w:bottom w:val="single" w:sz="4" w:space="0" w:color="auto"/>
              <w:right w:val="single" w:sz="4" w:space="0" w:color="auto"/>
            </w:tcBorders>
            <w:vAlign w:val="center"/>
            <w:hideMark/>
          </w:tcPr>
          <w:p w14:paraId="5D654D1F" w14:textId="77777777" w:rsidR="004F5FF7" w:rsidRPr="008A5F70" w:rsidRDefault="004F5FF7" w:rsidP="006A771E">
            <w:pPr>
              <w:rPr>
                <w:rFonts w:ascii="Calibri" w:hAnsi="Calibri" w:cs="Calibri"/>
                <w:b/>
                <w:bCs/>
                <w:color w:val="000000" w:themeColor="text1"/>
                <w:sz w:val="18"/>
                <w:szCs w:val="18"/>
                <w:lang w:val="sq-AL"/>
              </w:rPr>
            </w:pPr>
          </w:p>
        </w:tc>
        <w:tc>
          <w:tcPr>
            <w:tcW w:w="1165" w:type="dxa"/>
            <w:vMerge w:val="restart"/>
            <w:tcBorders>
              <w:top w:val="nil"/>
              <w:left w:val="single" w:sz="4" w:space="0" w:color="auto"/>
              <w:bottom w:val="single" w:sz="4" w:space="0" w:color="auto"/>
              <w:right w:val="single" w:sz="4" w:space="0" w:color="auto"/>
            </w:tcBorders>
            <w:shd w:val="clear" w:color="000000" w:fill="DBE5F1"/>
            <w:noWrap/>
            <w:vAlign w:val="center"/>
            <w:hideMark/>
          </w:tcPr>
          <w:p w14:paraId="124C830B" w14:textId="2205DB42" w:rsidR="004F5FF7" w:rsidRPr="008A5F70" w:rsidRDefault="004F5FF7" w:rsidP="006A771E">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202</w:t>
            </w:r>
            <w:r>
              <w:rPr>
                <w:rFonts w:ascii="Calibri" w:hAnsi="Calibri" w:cs="Calibri"/>
                <w:b/>
                <w:bCs/>
                <w:color w:val="000000" w:themeColor="text1"/>
                <w:sz w:val="18"/>
                <w:szCs w:val="18"/>
                <w:lang w:val="sq-AL"/>
              </w:rPr>
              <w:t>5</w:t>
            </w:r>
          </w:p>
        </w:tc>
        <w:tc>
          <w:tcPr>
            <w:tcW w:w="1165" w:type="dxa"/>
            <w:vMerge w:val="restart"/>
            <w:tcBorders>
              <w:top w:val="nil"/>
              <w:left w:val="single" w:sz="4" w:space="0" w:color="auto"/>
              <w:bottom w:val="single" w:sz="4" w:space="0" w:color="auto"/>
              <w:right w:val="single" w:sz="4" w:space="0" w:color="auto"/>
            </w:tcBorders>
            <w:shd w:val="clear" w:color="000000" w:fill="DBE5F1"/>
            <w:noWrap/>
            <w:vAlign w:val="center"/>
            <w:hideMark/>
          </w:tcPr>
          <w:p w14:paraId="1C4BFC3D" w14:textId="3E2CBD79" w:rsidR="004F5FF7" w:rsidRPr="008A5F70" w:rsidRDefault="004F5FF7" w:rsidP="006A771E">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202</w:t>
            </w:r>
            <w:r>
              <w:rPr>
                <w:rFonts w:ascii="Calibri" w:hAnsi="Calibri" w:cs="Calibri"/>
                <w:b/>
                <w:bCs/>
                <w:color w:val="000000" w:themeColor="text1"/>
                <w:sz w:val="18"/>
                <w:szCs w:val="18"/>
                <w:lang w:val="sq-AL"/>
              </w:rPr>
              <w:t>4</w:t>
            </w:r>
          </w:p>
        </w:tc>
        <w:tc>
          <w:tcPr>
            <w:tcW w:w="1276" w:type="dxa"/>
            <w:tcBorders>
              <w:top w:val="nil"/>
              <w:left w:val="nil"/>
              <w:right w:val="single" w:sz="4" w:space="0" w:color="auto"/>
            </w:tcBorders>
            <w:shd w:val="clear" w:color="000000" w:fill="DBE5F1"/>
            <w:vAlign w:val="center"/>
            <w:hideMark/>
          </w:tcPr>
          <w:p w14:paraId="2A186F54" w14:textId="6935A4D7" w:rsidR="004F5FF7" w:rsidRPr="008A5F70" w:rsidRDefault="004F5FF7" w:rsidP="006A771E">
            <w:pPr>
              <w:jc w:val="center"/>
              <w:rPr>
                <w:rFonts w:ascii="Calibri" w:hAnsi="Calibri" w:cs="Calibri"/>
                <w:b/>
                <w:bCs/>
                <w:color w:val="000000" w:themeColor="text1"/>
                <w:sz w:val="16"/>
                <w:szCs w:val="16"/>
                <w:lang w:val="sq-AL"/>
              </w:rPr>
            </w:pPr>
            <w:r w:rsidRPr="008A5F70">
              <w:rPr>
                <w:rFonts w:ascii="Calibri" w:hAnsi="Calibri" w:cs="Calibri"/>
                <w:b/>
                <w:bCs/>
                <w:color w:val="000000" w:themeColor="text1"/>
                <w:sz w:val="16"/>
                <w:szCs w:val="16"/>
                <w:lang w:val="sq-AL"/>
              </w:rPr>
              <w:t>202</w:t>
            </w:r>
            <w:r>
              <w:rPr>
                <w:rFonts w:ascii="Calibri" w:hAnsi="Calibri" w:cs="Calibri"/>
                <w:b/>
                <w:bCs/>
                <w:color w:val="000000" w:themeColor="text1"/>
                <w:sz w:val="16"/>
                <w:szCs w:val="16"/>
                <w:lang w:val="sq-AL"/>
              </w:rPr>
              <w:t>5</w:t>
            </w:r>
            <w:r w:rsidRPr="008A5F70">
              <w:rPr>
                <w:rFonts w:ascii="Calibri" w:hAnsi="Calibri" w:cs="Calibri"/>
                <w:b/>
                <w:bCs/>
                <w:color w:val="000000" w:themeColor="text1"/>
                <w:sz w:val="16"/>
                <w:szCs w:val="16"/>
                <w:lang w:val="sq-AL"/>
              </w:rPr>
              <w:t xml:space="preserve"> ndaj</w:t>
            </w:r>
          </w:p>
        </w:tc>
        <w:tc>
          <w:tcPr>
            <w:tcW w:w="1187" w:type="dxa"/>
            <w:vMerge w:val="restart"/>
            <w:tcBorders>
              <w:top w:val="nil"/>
              <w:left w:val="single" w:sz="4" w:space="0" w:color="auto"/>
              <w:bottom w:val="single" w:sz="4" w:space="0" w:color="auto"/>
              <w:right w:val="double" w:sz="6" w:space="0" w:color="auto"/>
            </w:tcBorders>
            <w:shd w:val="clear" w:color="000000" w:fill="DBE5F1"/>
            <w:vAlign w:val="center"/>
            <w:hideMark/>
          </w:tcPr>
          <w:p w14:paraId="0673A1B7" w14:textId="269D4CC8" w:rsidR="004F5FF7" w:rsidRPr="008A5F70" w:rsidRDefault="004F5FF7" w:rsidP="006A771E">
            <w:pPr>
              <w:jc w:val="center"/>
              <w:rPr>
                <w:rFonts w:ascii="Calibri" w:hAnsi="Calibri" w:cs="Calibri"/>
                <w:b/>
                <w:bCs/>
                <w:color w:val="000000" w:themeColor="text1"/>
                <w:sz w:val="16"/>
                <w:szCs w:val="16"/>
                <w:lang w:val="sq-AL"/>
              </w:rPr>
            </w:pPr>
            <w:r w:rsidRPr="008A5F70">
              <w:rPr>
                <w:rFonts w:ascii="Calibri" w:hAnsi="Calibri" w:cs="Calibri"/>
                <w:b/>
                <w:bCs/>
                <w:color w:val="000000" w:themeColor="text1"/>
                <w:sz w:val="16"/>
                <w:szCs w:val="16"/>
                <w:lang w:val="sq-AL"/>
              </w:rPr>
              <w:t>202</w:t>
            </w:r>
            <w:r>
              <w:rPr>
                <w:rFonts w:ascii="Calibri" w:hAnsi="Calibri" w:cs="Calibri"/>
                <w:b/>
                <w:bCs/>
                <w:color w:val="000000" w:themeColor="text1"/>
                <w:sz w:val="16"/>
                <w:szCs w:val="16"/>
                <w:lang w:val="sq-AL"/>
              </w:rPr>
              <w:t>5</w:t>
            </w:r>
            <w:r w:rsidRPr="008A5F70">
              <w:rPr>
                <w:rFonts w:ascii="Calibri" w:hAnsi="Calibri" w:cs="Calibri"/>
                <w:b/>
                <w:bCs/>
                <w:color w:val="000000" w:themeColor="text1"/>
                <w:sz w:val="16"/>
                <w:szCs w:val="16"/>
                <w:lang w:val="sq-AL"/>
              </w:rPr>
              <w:t xml:space="preserve"> ndaj 202</w:t>
            </w:r>
            <w:r>
              <w:rPr>
                <w:rFonts w:ascii="Calibri" w:hAnsi="Calibri" w:cs="Calibri"/>
                <w:b/>
                <w:bCs/>
                <w:color w:val="000000" w:themeColor="text1"/>
                <w:sz w:val="16"/>
                <w:szCs w:val="16"/>
                <w:lang w:val="sq-AL"/>
              </w:rPr>
              <w:t>4</w:t>
            </w:r>
            <w:r w:rsidRPr="008A5F70">
              <w:rPr>
                <w:rFonts w:ascii="Calibri" w:hAnsi="Calibri" w:cs="Calibri"/>
                <w:b/>
                <w:bCs/>
                <w:color w:val="000000" w:themeColor="text1"/>
                <w:sz w:val="16"/>
                <w:szCs w:val="16"/>
                <w:lang w:val="sq-AL"/>
              </w:rPr>
              <w:t xml:space="preserve"> në %</w:t>
            </w:r>
          </w:p>
        </w:tc>
      </w:tr>
      <w:tr w:rsidR="004F5FF7" w:rsidRPr="008A5F70" w14:paraId="418F08BB" w14:textId="77777777" w:rsidTr="006A771E">
        <w:trPr>
          <w:trHeight w:val="180"/>
          <w:jc w:val="center"/>
        </w:trPr>
        <w:tc>
          <w:tcPr>
            <w:tcW w:w="452" w:type="dxa"/>
            <w:vMerge/>
            <w:tcBorders>
              <w:top w:val="double" w:sz="6" w:space="0" w:color="auto"/>
              <w:left w:val="double" w:sz="6" w:space="0" w:color="auto"/>
              <w:bottom w:val="single" w:sz="4" w:space="0" w:color="auto"/>
              <w:right w:val="single" w:sz="4" w:space="0" w:color="auto"/>
            </w:tcBorders>
            <w:vAlign w:val="center"/>
            <w:hideMark/>
          </w:tcPr>
          <w:p w14:paraId="7C586569" w14:textId="77777777" w:rsidR="004F5FF7" w:rsidRPr="008A5F70" w:rsidRDefault="004F5FF7" w:rsidP="006A771E">
            <w:pPr>
              <w:rPr>
                <w:rFonts w:ascii="Calibri" w:hAnsi="Calibri" w:cs="Calibri"/>
                <w:b/>
                <w:bCs/>
                <w:color w:val="000000" w:themeColor="text1"/>
                <w:sz w:val="18"/>
                <w:szCs w:val="18"/>
                <w:lang w:val="sq-AL"/>
              </w:rPr>
            </w:pPr>
          </w:p>
        </w:tc>
        <w:tc>
          <w:tcPr>
            <w:tcW w:w="3819" w:type="dxa"/>
            <w:vMerge/>
            <w:tcBorders>
              <w:top w:val="double" w:sz="6" w:space="0" w:color="auto"/>
              <w:left w:val="single" w:sz="4" w:space="0" w:color="auto"/>
              <w:bottom w:val="single" w:sz="4" w:space="0" w:color="auto"/>
              <w:right w:val="single" w:sz="4" w:space="0" w:color="auto"/>
            </w:tcBorders>
            <w:vAlign w:val="center"/>
            <w:hideMark/>
          </w:tcPr>
          <w:p w14:paraId="66377955" w14:textId="77777777" w:rsidR="004F5FF7" w:rsidRPr="008A5F70" w:rsidRDefault="004F5FF7" w:rsidP="006A771E">
            <w:pPr>
              <w:rPr>
                <w:rFonts w:ascii="Calibri" w:hAnsi="Calibri" w:cs="Calibri"/>
                <w:b/>
                <w:bCs/>
                <w:color w:val="000000" w:themeColor="text1"/>
                <w:sz w:val="18"/>
                <w:szCs w:val="18"/>
                <w:lang w:val="sq-AL"/>
              </w:rPr>
            </w:pPr>
          </w:p>
        </w:tc>
        <w:tc>
          <w:tcPr>
            <w:tcW w:w="1165" w:type="dxa"/>
            <w:vMerge/>
            <w:tcBorders>
              <w:top w:val="nil"/>
              <w:left w:val="single" w:sz="4" w:space="0" w:color="auto"/>
              <w:bottom w:val="single" w:sz="4" w:space="0" w:color="auto"/>
              <w:right w:val="single" w:sz="4" w:space="0" w:color="auto"/>
            </w:tcBorders>
            <w:vAlign w:val="center"/>
            <w:hideMark/>
          </w:tcPr>
          <w:p w14:paraId="7936AC62" w14:textId="77777777" w:rsidR="004F5FF7" w:rsidRPr="008A5F70" w:rsidRDefault="004F5FF7" w:rsidP="006A771E">
            <w:pPr>
              <w:rPr>
                <w:rFonts w:ascii="Calibri" w:hAnsi="Calibri" w:cs="Calibri"/>
                <w:b/>
                <w:bCs/>
                <w:color w:val="000000" w:themeColor="text1"/>
                <w:sz w:val="18"/>
                <w:szCs w:val="18"/>
                <w:lang w:val="sq-AL"/>
              </w:rPr>
            </w:pPr>
          </w:p>
        </w:tc>
        <w:tc>
          <w:tcPr>
            <w:tcW w:w="1165" w:type="dxa"/>
            <w:vMerge/>
            <w:tcBorders>
              <w:top w:val="nil"/>
              <w:left w:val="single" w:sz="4" w:space="0" w:color="auto"/>
              <w:bottom w:val="single" w:sz="4" w:space="0" w:color="auto"/>
              <w:right w:val="single" w:sz="4" w:space="0" w:color="auto"/>
            </w:tcBorders>
            <w:vAlign w:val="center"/>
            <w:hideMark/>
          </w:tcPr>
          <w:p w14:paraId="41802B21" w14:textId="77777777" w:rsidR="004F5FF7" w:rsidRPr="008A5F70" w:rsidRDefault="004F5FF7" w:rsidP="006A771E">
            <w:pPr>
              <w:rPr>
                <w:rFonts w:ascii="Calibri" w:hAnsi="Calibri" w:cs="Calibri"/>
                <w:b/>
                <w:bCs/>
                <w:color w:val="000000" w:themeColor="text1"/>
                <w:sz w:val="18"/>
                <w:szCs w:val="18"/>
                <w:lang w:val="sq-AL"/>
              </w:rPr>
            </w:pPr>
          </w:p>
        </w:tc>
        <w:tc>
          <w:tcPr>
            <w:tcW w:w="1276" w:type="dxa"/>
            <w:tcBorders>
              <w:top w:val="nil"/>
              <w:left w:val="nil"/>
              <w:bottom w:val="single" w:sz="8" w:space="0" w:color="auto"/>
              <w:right w:val="single" w:sz="4" w:space="0" w:color="auto"/>
            </w:tcBorders>
            <w:shd w:val="clear" w:color="000000" w:fill="DBE5F1"/>
            <w:vAlign w:val="center"/>
            <w:hideMark/>
          </w:tcPr>
          <w:p w14:paraId="6D0370D2" w14:textId="41192F1B" w:rsidR="004F5FF7" w:rsidRPr="008A5F70" w:rsidRDefault="004F5FF7" w:rsidP="006A771E">
            <w:pPr>
              <w:jc w:val="center"/>
              <w:rPr>
                <w:rFonts w:ascii="Calibri" w:hAnsi="Calibri" w:cs="Calibri"/>
                <w:b/>
                <w:bCs/>
                <w:color w:val="000000" w:themeColor="text1"/>
                <w:sz w:val="16"/>
                <w:szCs w:val="16"/>
                <w:lang w:val="sq-AL"/>
              </w:rPr>
            </w:pPr>
            <w:r w:rsidRPr="008A5F70">
              <w:rPr>
                <w:rFonts w:ascii="Calibri" w:hAnsi="Calibri" w:cs="Calibri"/>
                <w:b/>
                <w:bCs/>
                <w:color w:val="000000" w:themeColor="text1"/>
                <w:sz w:val="16"/>
                <w:szCs w:val="16"/>
                <w:lang w:val="sq-AL"/>
              </w:rPr>
              <w:t>202</w:t>
            </w:r>
            <w:r>
              <w:rPr>
                <w:rFonts w:ascii="Calibri" w:hAnsi="Calibri" w:cs="Calibri"/>
                <w:b/>
                <w:bCs/>
                <w:color w:val="000000" w:themeColor="text1"/>
                <w:sz w:val="16"/>
                <w:szCs w:val="16"/>
                <w:lang w:val="sq-AL"/>
              </w:rPr>
              <w:t>4</w:t>
            </w:r>
            <w:r w:rsidRPr="008A5F70">
              <w:rPr>
                <w:rFonts w:ascii="Calibri" w:hAnsi="Calibri" w:cs="Calibri"/>
                <w:b/>
                <w:bCs/>
                <w:color w:val="000000" w:themeColor="text1"/>
                <w:sz w:val="16"/>
                <w:szCs w:val="16"/>
                <w:lang w:val="sq-AL"/>
              </w:rPr>
              <w:t xml:space="preserve"> në vlerë</w:t>
            </w:r>
          </w:p>
        </w:tc>
        <w:tc>
          <w:tcPr>
            <w:tcW w:w="1187" w:type="dxa"/>
            <w:vMerge/>
            <w:tcBorders>
              <w:top w:val="nil"/>
              <w:left w:val="single" w:sz="4" w:space="0" w:color="auto"/>
              <w:bottom w:val="single" w:sz="4" w:space="0" w:color="auto"/>
              <w:right w:val="double" w:sz="6" w:space="0" w:color="auto"/>
            </w:tcBorders>
            <w:vAlign w:val="center"/>
            <w:hideMark/>
          </w:tcPr>
          <w:p w14:paraId="380C0E58" w14:textId="77777777" w:rsidR="004F5FF7" w:rsidRPr="008A5F70" w:rsidRDefault="004F5FF7" w:rsidP="006A771E">
            <w:pPr>
              <w:rPr>
                <w:rFonts w:ascii="Calibri" w:hAnsi="Calibri" w:cs="Calibri"/>
                <w:b/>
                <w:bCs/>
                <w:color w:val="000000" w:themeColor="text1"/>
                <w:sz w:val="18"/>
                <w:szCs w:val="18"/>
                <w:lang w:val="sq-AL"/>
              </w:rPr>
            </w:pPr>
          </w:p>
        </w:tc>
      </w:tr>
      <w:tr w:rsidR="004F5FF7" w:rsidRPr="008A5F70" w14:paraId="25229E13" w14:textId="77777777" w:rsidTr="006A771E">
        <w:trPr>
          <w:trHeight w:val="154"/>
          <w:jc w:val="center"/>
        </w:trPr>
        <w:tc>
          <w:tcPr>
            <w:tcW w:w="452" w:type="dxa"/>
            <w:tcBorders>
              <w:top w:val="single" w:sz="8" w:space="0" w:color="auto"/>
              <w:left w:val="double" w:sz="6" w:space="0" w:color="auto"/>
              <w:bottom w:val="single" w:sz="8" w:space="0" w:color="auto"/>
              <w:right w:val="single" w:sz="4" w:space="0" w:color="auto"/>
            </w:tcBorders>
            <w:shd w:val="clear" w:color="auto" w:fill="auto"/>
            <w:noWrap/>
            <w:vAlign w:val="center"/>
            <w:hideMark/>
          </w:tcPr>
          <w:p w14:paraId="274EC1B5" w14:textId="77777777" w:rsidR="004F5FF7" w:rsidRPr="008A5F70" w:rsidRDefault="004F5FF7" w:rsidP="004F5FF7">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I.</w:t>
            </w:r>
          </w:p>
        </w:tc>
        <w:tc>
          <w:tcPr>
            <w:tcW w:w="3819" w:type="dxa"/>
            <w:tcBorders>
              <w:top w:val="single" w:sz="8" w:space="0" w:color="auto"/>
              <w:left w:val="nil"/>
              <w:bottom w:val="single" w:sz="8" w:space="0" w:color="auto"/>
              <w:right w:val="single" w:sz="4" w:space="0" w:color="auto"/>
            </w:tcBorders>
            <w:shd w:val="clear" w:color="auto" w:fill="auto"/>
            <w:noWrap/>
            <w:vAlign w:val="center"/>
            <w:hideMark/>
          </w:tcPr>
          <w:p w14:paraId="1369F314" w14:textId="77777777" w:rsidR="004F5FF7" w:rsidRPr="008A5F70" w:rsidRDefault="004F5FF7" w:rsidP="004F5FF7">
            <w:pP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Të ardhura nga Pushteti vendor</w:t>
            </w:r>
          </w:p>
        </w:tc>
        <w:tc>
          <w:tcPr>
            <w:tcW w:w="1165" w:type="dxa"/>
            <w:tcBorders>
              <w:top w:val="single" w:sz="8" w:space="0" w:color="auto"/>
              <w:left w:val="nil"/>
              <w:bottom w:val="single" w:sz="8" w:space="0" w:color="auto"/>
              <w:right w:val="single" w:sz="4" w:space="0" w:color="auto"/>
            </w:tcBorders>
            <w:shd w:val="clear" w:color="auto" w:fill="auto"/>
            <w:noWrap/>
            <w:vAlign w:val="center"/>
            <w:hideMark/>
          </w:tcPr>
          <w:p w14:paraId="629F1430" w14:textId="19118890"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19,122</w:t>
            </w:r>
          </w:p>
        </w:tc>
        <w:tc>
          <w:tcPr>
            <w:tcW w:w="1165" w:type="dxa"/>
            <w:tcBorders>
              <w:top w:val="single" w:sz="8" w:space="0" w:color="auto"/>
              <w:left w:val="nil"/>
              <w:bottom w:val="single" w:sz="8" w:space="0" w:color="auto"/>
              <w:right w:val="single" w:sz="4" w:space="0" w:color="auto"/>
            </w:tcBorders>
            <w:shd w:val="clear" w:color="auto" w:fill="auto"/>
            <w:noWrap/>
            <w:vAlign w:val="center"/>
            <w:hideMark/>
          </w:tcPr>
          <w:p w14:paraId="0BD6720C" w14:textId="2457B570"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20,832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3CE1EC75" w14:textId="2C38E8B4"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-1,710</w:t>
            </w:r>
          </w:p>
        </w:tc>
        <w:tc>
          <w:tcPr>
            <w:tcW w:w="1187" w:type="dxa"/>
            <w:tcBorders>
              <w:top w:val="single" w:sz="8" w:space="0" w:color="auto"/>
              <w:left w:val="nil"/>
              <w:bottom w:val="single" w:sz="8" w:space="0" w:color="auto"/>
              <w:right w:val="double" w:sz="6" w:space="0" w:color="auto"/>
            </w:tcBorders>
            <w:shd w:val="clear" w:color="auto" w:fill="auto"/>
            <w:noWrap/>
            <w:vAlign w:val="center"/>
            <w:hideMark/>
          </w:tcPr>
          <w:p w14:paraId="423923E3" w14:textId="342C0B3F"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-8%</w:t>
            </w:r>
          </w:p>
        </w:tc>
      </w:tr>
      <w:tr w:rsidR="004F5FF7" w:rsidRPr="008A5F70" w14:paraId="050386D0"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3C16F3E1"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I.1</w:t>
            </w:r>
          </w:p>
        </w:tc>
        <w:tc>
          <w:tcPr>
            <w:tcW w:w="3819" w:type="dxa"/>
            <w:tcBorders>
              <w:top w:val="nil"/>
              <w:left w:val="nil"/>
              <w:bottom w:val="single" w:sz="4" w:space="0" w:color="auto"/>
              <w:right w:val="single" w:sz="4" w:space="0" w:color="auto"/>
            </w:tcBorders>
            <w:shd w:val="clear" w:color="auto" w:fill="auto"/>
            <w:noWrap/>
            <w:vAlign w:val="center"/>
            <w:hideMark/>
          </w:tcPr>
          <w:p w14:paraId="5796C253" w14:textId="77777777" w:rsidR="004F5FF7" w:rsidRPr="008A5F70" w:rsidRDefault="004F5FF7" w:rsidP="004F5FF7">
            <w:pPr>
              <w:jc w:val="both"/>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Taksa mbi pasurinë</w:t>
            </w:r>
          </w:p>
        </w:tc>
        <w:tc>
          <w:tcPr>
            <w:tcW w:w="1165" w:type="dxa"/>
            <w:tcBorders>
              <w:top w:val="nil"/>
              <w:left w:val="nil"/>
              <w:bottom w:val="single" w:sz="4" w:space="0" w:color="auto"/>
              <w:right w:val="single" w:sz="4" w:space="0" w:color="auto"/>
            </w:tcBorders>
            <w:shd w:val="clear" w:color="auto" w:fill="auto"/>
            <w:noWrap/>
            <w:vAlign w:val="center"/>
            <w:hideMark/>
          </w:tcPr>
          <w:p w14:paraId="4DA9BDD9" w14:textId="704A7DBE"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4,723</w:t>
            </w:r>
          </w:p>
        </w:tc>
        <w:tc>
          <w:tcPr>
            <w:tcW w:w="1165" w:type="dxa"/>
            <w:tcBorders>
              <w:top w:val="nil"/>
              <w:left w:val="nil"/>
              <w:bottom w:val="single" w:sz="4" w:space="0" w:color="auto"/>
              <w:right w:val="single" w:sz="4" w:space="0" w:color="auto"/>
            </w:tcBorders>
            <w:shd w:val="clear" w:color="auto" w:fill="auto"/>
            <w:noWrap/>
            <w:vAlign w:val="center"/>
            <w:hideMark/>
          </w:tcPr>
          <w:p w14:paraId="03E5038E" w14:textId="0863D08D"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4,574</w:t>
            </w:r>
          </w:p>
        </w:tc>
        <w:tc>
          <w:tcPr>
            <w:tcW w:w="1276" w:type="dxa"/>
            <w:tcBorders>
              <w:top w:val="nil"/>
              <w:left w:val="nil"/>
              <w:bottom w:val="single" w:sz="4" w:space="0" w:color="auto"/>
              <w:right w:val="single" w:sz="4" w:space="0" w:color="auto"/>
            </w:tcBorders>
            <w:shd w:val="clear" w:color="auto" w:fill="auto"/>
            <w:noWrap/>
            <w:vAlign w:val="center"/>
            <w:hideMark/>
          </w:tcPr>
          <w:p w14:paraId="03C60A46" w14:textId="73A6EF63"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149</w:t>
            </w:r>
          </w:p>
        </w:tc>
        <w:tc>
          <w:tcPr>
            <w:tcW w:w="1187" w:type="dxa"/>
            <w:tcBorders>
              <w:top w:val="nil"/>
              <w:left w:val="nil"/>
              <w:bottom w:val="single" w:sz="4" w:space="0" w:color="auto"/>
              <w:right w:val="double" w:sz="6" w:space="0" w:color="auto"/>
            </w:tcBorders>
            <w:shd w:val="clear" w:color="auto" w:fill="auto"/>
            <w:noWrap/>
            <w:vAlign w:val="center"/>
            <w:hideMark/>
          </w:tcPr>
          <w:p w14:paraId="5F84CEEF" w14:textId="6F345982"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3%</w:t>
            </w:r>
          </w:p>
        </w:tc>
      </w:tr>
      <w:tr w:rsidR="004F5FF7" w:rsidRPr="008A5F70" w14:paraId="7BE0BC9D"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735780D2"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I.2</w:t>
            </w:r>
          </w:p>
        </w:tc>
        <w:tc>
          <w:tcPr>
            <w:tcW w:w="3819" w:type="dxa"/>
            <w:tcBorders>
              <w:top w:val="nil"/>
              <w:left w:val="nil"/>
              <w:bottom w:val="single" w:sz="4" w:space="0" w:color="auto"/>
              <w:right w:val="single" w:sz="4" w:space="0" w:color="auto"/>
            </w:tcBorders>
            <w:shd w:val="clear" w:color="auto" w:fill="auto"/>
            <w:noWrap/>
            <w:vAlign w:val="center"/>
            <w:hideMark/>
          </w:tcPr>
          <w:p w14:paraId="7EF5FF62" w14:textId="77777777" w:rsidR="004F5FF7" w:rsidRPr="008A5F70" w:rsidRDefault="004F5FF7" w:rsidP="004F5FF7">
            <w:pPr>
              <w:jc w:val="both"/>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Taksa e biznesit të vogël</w:t>
            </w:r>
          </w:p>
        </w:tc>
        <w:tc>
          <w:tcPr>
            <w:tcW w:w="1165" w:type="dxa"/>
            <w:tcBorders>
              <w:top w:val="nil"/>
              <w:left w:val="nil"/>
              <w:bottom w:val="single" w:sz="4" w:space="0" w:color="auto"/>
              <w:right w:val="single" w:sz="4" w:space="0" w:color="auto"/>
            </w:tcBorders>
            <w:shd w:val="clear" w:color="auto" w:fill="auto"/>
            <w:noWrap/>
            <w:vAlign w:val="center"/>
            <w:hideMark/>
          </w:tcPr>
          <w:p w14:paraId="3E533F9F" w14:textId="24EC7E6E"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10</w:t>
            </w:r>
          </w:p>
        </w:tc>
        <w:tc>
          <w:tcPr>
            <w:tcW w:w="1165" w:type="dxa"/>
            <w:tcBorders>
              <w:top w:val="nil"/>
              <w:left w:val="nil"/>
              <w:bottom w:val="single" w:sz="4" w:space="0" w:color="auto"/>
              <w:right w:val="single" w:sz="4" w:space="0" w:color="auto"/>
            </w:tcBorders>
            <w:shd w:val="clear" w:color="auto" w:fill="auto"/>
            <w:noWrap/>
            <w:vAlign w:val="center"/>
            <w:hideMark/>
          </w:tcPr>
          <w:p w14:paraId="1ABC9BB1" w14:textId="67828084"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46</w:t>
            </w:r>
          </w:p>
        </w:tc>
        <w:tc>
          <w:tcPr>
            <w:tcW w:w="1276" w:type="dxa"/>
            <w:tcBorders>
              <w:top w:val="nil"/>
              <w:left w:val="nil"/>
              <w:bottom w:val="single" w:sz="4" w:space="0" w:color="auto"/>
              <w:right w:val="single" w:sz="4" w:space="0" w:color="auto"/>
            </w:tcBorders>
            <w:shd w:val="clear" w:color="auto" w:fill="auto"/>
            <w:noWrap/>
            <w:vAlign w:val="center"/>
            <w:hideMark/>
          </w:tcPr>
          <w:p w14:paraId="50ADA27A" w14:textId="6C86130B"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-36</w:t>
            </w:r>
          </w:p>
        </w:tc>
        <w:tc>
          <w:tcPr>
            <w:tcW w:w="1187" w:type="dxa"/>
            <w:tcBorders>
              <w:top w:val="nil"/>
              <w:left w:val="nil"/>
              <w:bottom w:val="single" w:sz="4" w:space="0" w:color="auto"/>
              <w:right w:val="double" w:sz="6" w:space="0" w:color="auto"/>
            </w:tcBorders>
            <w:shd w:val="clear" w:color="auto" w:fill="auto"/>
            <w:noWrap/>
            <w:vAlign w:val="center"/>
            <w:hideMark/>
          </w:tcPr>
          <w:p w14:paraId="303EFF9B" w14:textId="79905845"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-78%</w:t>
            </w:r>
          </w:p>
        </w:tc>
      </w:tr>
      <w:tr w:rsidR="004F5FF7" w:rsidRPr="008A5F70" w14:paraId="17F02AF8" w14:textId="77777777" w:rsidTr="006A771E">
        <w:trPr>
          <w:trHeight w:val="154"/>
          <w:jc w:val="center"/>
        </w:trPr>
        <w:tc>
          <w:tcPr>
            <w:tcW w:w="452" w:type="dxa"/>
            <w:tcBorders>
              <w:top w:val="nil"/>
              <w:left w:val="double" w:sz="6" w:space="0" w:color="auto"/>
              <w:bottom w:val="nil"/>
              <w:right w:val="single" w:sz="4" w:space="0" w:color="auto"/>
            </w:tcBorders>
            <w:shd w:val="clear" w:color="auto" w:fill="auto"/>
            <w:noWrap/>
            <w:vAlign w:val="center"/>
            <w:hideMark/>
          </w:tcPr>
          <w:p w14:paraId="77B0D508"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I.3</w:t>
            </w:r>
          </w:p>
        </w:tc>
        <w:tc>
          <w:tcPr>
            <w:tcW w:w="3819" w:type="dxa"/>
            <w:tcBorders>
              <w:top w:val="nil"/>
              <w:left w:val="nil"/>
              <w:bottom w:val="nil"/>
              <w:right w:val="single" w:sz="4" w:space="0" w:color="auto"/>
            </w:tcBorders>
            <w:shd w:val="clear" w:color="auto" w:fill="auto"/>
            <w:noWrap/>
            <w:vAlign w:val="center"/>
            <w:hideMark/>
          </w:tcPr>
          <w:p w14:paraId="55E999CD" w14:textId="77777777" w:rsidR="004F5FF7" w:rsidRPr="008A5F70" w:rsidRDefault="004F5FF7" w:rsidP="004F5FF7">
            <w:pPr>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Taksat Lokale</w:t>
            </w:r>
          </w:p>
        </w:tc>
        <w:tc>
          <w:tcPr>
            <w:tcW w:w="1165" w:type="dxa"/>
            <w:tcBorders>
              <w:top w:val="nil"/>
              <w:left w:val="nil"/>
              <w:bottom w:val="nil"/>
              <w:right w:val="single" w:sz="4" w:space="0" w:color="auto"/>
            </w:tcBorders>
            <w:shd w:val="clear" w:color="auto" w:fill="auto"/>
            <w:noWrap/>
            <w:vAlign w:val="center"/>
            <w:hideMark/>
          </w:tcPr>
          <w:p w14:paraId="7DBE3E16" w14:textId="136FEB56"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14,389</w:t>
            </w:r>
          </w:p>
        </w:tc>
        <w:tc>
          <w:tcPr>
            <w:tcW w:w="1165" w:type="dxa"/>
            <w:tcBorders>
              <w:top w:val="nil"/>
              <w:left w:val="nil"/>
              <w:bottom w:val="nil"/>
              <w:right w:val="single" w:sz="4" w:space="0" w:color="auto"/>
            </w:tcBorders>
            <w:shd w:val="clear" w:color="auto" w:fill="auto"/>
            <w:noWrap/>
            <w:vAlign w:val="center"/>
            <w:hideMark/>
          </w:tcPr>
          <w:p w14:paraId="0660D26C" w14:textId="786F8181"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16,212</w:t>
            </w:r>
          </w:p>
        </w:tc>
        <w:tc>
          <w:tcPr>
            <w:tcW w:w="1276" w:type="dxa"/>
            <w:tcBorders>
              <w:top w:val="nil"/>
              <w:left w:val="nil"/>
              <w:bottom w:val="nil"/>
              <w:right w:val="single" w:sz="4" w:space="0" w:color="auto"/>
            </w:tcBorders>
            <w:shd w:val="clear" w:color="auto" w:fill="auto"/>
            <w:noWrap/>
            <w:vAlign w:val="center"/>
            <w:hideMark/>
          </w:tcPr>
          <w:p w14:paraId="4B753999" w14:textId="613E7E7A"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-1,823</w:t>
            </w:r>
          </w:p>
        </w:tc>
        <w:tc>
          <w:tcPr>
            <w:tcW w:w="1187" w:type="dxa"/>
            <w:tcBorders>
              <w:top w:val="nil"/>
              <w:left w:val="nil"/>
              <w:bottom w:val="nil"/>
              <w:right w:val="double" w:sz="6" w:space="0" w:color="auto"/>
            </w:tcBorders>
            <w:shd w:val="clear" w:color="auto" w:fill="auto"/>
            <w:noWrap/>
            <w:vAlign w:val="center"/>
            <w:hideMark/>
          </w:tcPr>
          <w:p w14:paraId="6B2F7D8B" w14:textId="180BAA73"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-11%</w:t>
            </w:r>
          </w:p>
        </w:tc>
      </w:tr>
      <w:tr w:rsidR="004F5FF7" w:rsidRPr="008A5F70" w14:paraId="02822F41" w14:textId="77777777" w:rsidTr="006A771E">
        <w:trPr>
          <w:trHeight w:val="154"/>
          <w:jc w:val="center"/>
        </w:trPr>
        <w:tc>
          <w:tcPr>
            <w:tcW w:w="452" w:type="dxa"/>
            <w:tcBorders>
              <w:top w:val="single" w:sz="8" w:space="0" w:color="auto"/>
              <w:left w:val="double" w:sz="6" w:space="0" w:color="auto"/>
              <w:bottom w:val="single" w:sz="8" w:space="0" w:color="auto"/>
              <w:right w:val="single" w:sz="4" w:space="0" w:color="auto"/>
            </w:tcBorders>
            <w:shd w:val="clear" w:color="auto" w:fill="auto"/>
            <w:noWrap/>
            <w:vAlign w:val="center"/>
            <w:hideMark/>
          </w:tcPr>
          <w:p w14:paraId="73AD2E1A" w14:textId="77777777" w:rsidR="004F5FF7" w:rsidRPr="008A5F70" w:rsidRDefault="004F5FF7" w:rsidP="004F5FF7">
            <w:pPr>
              <w:jc w:val="center"/>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II.</w:t>
            </w:r>
          </w:p>
        </w:tc>
        <w:tc>
          <w:tcPr>
            <w:tcW w:w="3819" w:type="dxa"/>
            <w:tcBorders>
              <w:top w:val="single" w:sz="8" w:space="0" w:color="auto"/>
              <w:left w:val="nil"/>
              <w:bottom w:val="single" w:sz="8" w:space="0" w:color="auto"/>
              <w:right w:val="single" w:sz="4" w:space="0" w:color="auto"/>
            </w:tcBorders>
            <w:shd w:val="clear" w:color="auto" w:fill="auto"/>
            <w:noWrap/>
            <w:vAlign w:val="center"/>
            <w:hideMark/>
          </w:tcPr>
          <w:p w14:paraId="55CE9C9F" w14:textId="77777777" w:rsidR="004F5FF7" w:rsidRPr="008A5F70" w:rsidRDefault="004F5FF7" w:rsidP="004F5FF7">
            <w:pPr>
              <w:jc w:val="both"/>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Shpenzime nga Pushtetit Vendor</w:t>
            </w:r>
          </w:p>
        </w:tc>
        <w:tc>
          <w:tcPr>
            <w:tcW w:w="1165" w:type="dxa"/>
            <w:tcBorders>
              <w:top w:val="single" w:sz="8" w:space="0" w:color="auto"/>
              <w:left w:val="nil"/>
              <w:bottom w:val="single" w:sz="8" w:space="0" w:color="auto"/>
              <w:right w:val="single" w:sz="4" w:space="0" w:color="auto"/>
            </w:tcBorders>
            <w:shd w:val="clear" w:color="auto" w:fill="auto"/>
            <w:noWrap/>
            <w:vAlign w:val="center"/>
            <w:hideMark/>
          </w:tcPr>
          <w:p w14:paraId="725B5F4B" w14:textId="3E1D0E1E"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36,547</w:t>
            </w:r>
          </w:p>
        </w:tc>
        <w:tc>
          <w:tcPr>
            <w:tcW w:w="1165" w:type="dxa"/>
            <w:tcBorders>
              <w:top w:val="single" w:sz="8" w:space="0" w:color="auto"/>
              <w:left w:val="nil"/>
              <w:bottom w:val="single" w:sz="8" w:space="0" w:color="auto"/>
              <w:right w:val="single" w:sz="4" w:space="0" w:color="auto"/>
            </w:tcBorders>
            <w:shd w:val="clear" w:color="auto" w:fill="auto"/>
            <w:noWrap/>
            <w:vAlign w:val="center"/>
            <w:hideMark/>
          </w:tcPr>
          <w:p w14:paraId="3663B0CA" w14:textId="2B985242"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31,007</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98208A1" w14:textId="2ED5F7A7"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5,540</w:t>
            </w:r>
          </w:p>
        </w:tc>
        <w:tc>
          <w:tcPr>
            <w:tcW w:w="1187" w:type="dxa"/>
            <w:tcBorders>
              <w:top w:val="single" w:sz="8" w:space="0" w:color="auto"/>
              <w:left w:val="nil"/>
              <w:bottom w:val="single" w:sz="8" w:space="0" w:color="auto"/>
              <w:right w:val="double" w:sz="6" w:space="0" w:color="auto"/>
            </w:tcBorders>
            <w:shd w:val="clear" w:color="auto" w:fill="auto"/>
            <w:noWrap/>
            <w:vAlign w:val="center"/>
            <w:hideMark/>
          </w:tcPr>
          <w:p w14:paraId="7C91DAC2" w14:textId="1AA83C7E" w:rsidR="004F5FF7" w:rsidRPr="004F5FF7" w:rsidRDefault="004F5FF7" w:rsidP="004F5FF7">
            <w:pPr>
              <w:jc w:val="right"/>
              <w:rPr>
                <w:rFonts w:ascii="Calibri" w:hAnsi="Calibri" w:cs="Calibri"/>
                <w:b/>
                <w:bCs/>
                <w:color w:val="000000" w:themeColor="text1"/>
                <w:sz w:val="18"/>
                <w:szCs w:val="16"/>
                <w:lang w:val="sq-AL"/>
              </w:rPr>
            </w:pPr>
            <w:r w:rsidRPr="004F5FF7">
              <w:rPr>
                <w:rFonts w:ascii="Calibri" w:hAnsi="Calibri" w:cs="Calibri"/>
                <w:b/>
                <w:bCs/>
                <w:color w:val="000000" w:themeColor="text1"/>
                <w:sz w:val="18"/>
                <w:szCs w:val="16"/>
                <w:lang w:val="sq-AL"/>
              </w:rPr>
              <w:t>18%</w:t>
            </w:r>
          </w:p>
        </w:tc>
      </w:tr>
      <w:tr w:rsidR="004F5FF7" w:rsidRPr="008A5F70" w14:paraId="0FE3B842"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575B7DF2" w14:textId="77777777" w:rsidR="004F5FF7" w:rsidRPr="008A5F70" w:rsidRDefault="004F5FF7" w:rsidP="004F5FF7">
            <w:pPr>
              <w:jc w:val="right"/>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II.1</w:t>
            </w:r>
          </w:p>
        </w:tc>
        <w:tc>
          <w:tcPr>
            <w:tcW w:w="3819" w:type="dxa"/>
            <w:tcBorders>
              <w:top w:val="nil"/>
              <w:left w:val="nil"/>
              <w:bottom w:val="single" w:sz="4" w:space="0" w:color="auto"/>
              <w:right w:val="single" w:sz="4" w:space="0" w:color="auto"/>
            </w:tcBorders>
            <w:shd w:val="clear" w:color="auto" w:fill="auto"/>
            <w:noWrap/>
            <w:vAlign w:val="center"/>
            <w:hideMark/>
          </w:tcPr>
          <w:p w14:paraId="6BFB82A2" w14:textId="77777777" w:rsidR="004F5FF7" w:rsidRPr="008A5F70" w:rsidRDefault="004F5FF7" w:rsidP="004F5FF7">
            <w:pPr>
              <w:jc w:val="both"/>
              <w:rPr>
                <w:rFonts w:ascii="Calibri" w:hAnsi="Calibri" w:cs="Calibri"/>
                <w:b/>
                <w:bCs/>
                <w:i/>
                <w:iCs/>
                <w:color w:val="000000" w:themeColor="text1"/>
                <w:sz w:val="18"/>
                <w:szCs w:val="18"/>
                <w:lang w:val="sq-AL"/>
              </w:rPr>
            </w:pPr>
            <w:r w:rsidRPr="008A5F70">
              <w:rPr>
                <w:rFonts w:ascii="Calibri" w:hAnsi="Calibri" w:cs="Calibri"/>
                <w:b/>
                <w:bCs/>
                <w:i/>
                <w:iCs/>
                <w:color w:val="000000" w:themeColor="text1"/>
                <w:sz w:val="18"/>
                <w:szCs w:val="18"/>
                <w:lang w:val="sq-AL"/>
              </w:rPr>
              <w:t>Shpenzime Korente</w:t>
            </w:r>
          </w:p>
        </w:tc>
        <w:tc>
          <w:tcPr>
            <w:tcW w:w="1165" w:type="dxa"/>
            <w:tcBorders>
              <w:top w:val="nil"/>
              <w:left w:val="nil"/>
              <w:bottom w:val="single" w:sz="4" w:space="0" w:color="auto"/>
              <w:right w:val="single" w:sz="4" w:space="0" w:color="auto"/>
            </w:tcBorders>
            <w:shd w:val="clear" w:color="auto" w:fill="auto"/>
            <w:noWrap/>
            <w:vAlign w:val="center"/>
            <w:hideMark/>
          </w:tcPr>
          <w:p w14:paraId="2ACF69E7" w14:textId="0C66E20C"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30,596</w:t>
            </w:r>
          </w:p>
        </w:tc>
        <w:tc>
          <w:tcPr>
            <w:tcW w:w="1165" w:type="dxa"/>
            <w:tcBorders>
              <w:top w:val="nil"/>
              <w:left w:val="nil"/>
              <w:bottom w:val="single" w:sz="4" w:space="0" w:color="auto"/>
              <w:right w:val="single" w:sz="4" w:space="0" w:color="auto"/>
            </w:tcBorders>
            <w:shd w:val="clear" w:color="auto" w:fill="auto"/>
            <w:noWrap/>
            <w:vAlign w:val="center"/>
            <w:hideMark/>
          </w:tcPr>
          <w:p w14:paraId="721E8FDE" w14:textId="649387EE"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25,460</w:t>
            </w:r>
          </w:p>
        </w:tc>
        <w:tc>
          <w:tcPr>
            <w:tcW w:w="1276" w:type="dxa"/>
            <w:tcBorders>
              <w:top w:val="nil"/>
              <w:left w:val="nil"/>
              <w:bottom w:val="single" w:sz="4" w:space="0" w:color="auto"/>
              <w:right w:val="single" w:sz="4" w:space="0" w:color="auto"/>
            </w:tcBorders>
            <w:shd w:val="clear" w:color="auto" w:fill="auto"/>
            <w:noWrap/>
            <w:vAlign w:val="center"/>
            <w:hideMark/>
          </w:tcPr>
          <w:p w14:paraId="19822665" w14:textId="4FDDD472"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5,135</w:t>
            </w:r>
          </w:p>
        </w:tc>
        <w:tc>
          <w:tcPr>
            <w:tcW w:w="1187" w:type="dxa"/>
            <w:tcBorders>
              <w:top w:val="nil"/>
              <w:left w:val="nil"/>
              <w:bottom w:val="single" w:sz="4" w:space="0" w:color="auto"/>
              <w:right w:val="double" w:sz="6" w:space="0" w:color="auto"/>
            </w:tcBorders>
            <w:shd w:val="clear" w:color="auto" w:fill="auto"/>
            <w:noWrap/>
            <w:vAlign w:val="center"/>
            <w:hideMark/>
          </w:tcPr>
          <w:p w14:paraId="3107B627" w14:textId="10DA2B5A"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20%</w:t>
            </w:r>
          </w:p>
        </w:tc>
      </w:tr>
      <w:tr w:rsidR="004F5FF7" w:rsidRPr="008A5F70" w14:paraId="5567BAF2"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2E207765"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 </w:t>
            </w:r>
          </w:p>
        </w:tc>
        <w:tc>
          <w:tcPr>
            <w:tcW w:w="3819" w:type="dxa"/>
            <w:tcBorders>
              <w:top w:val="nil"/>
              <w:left w:val="nil"/>
              <w:bottom w:val="single" w:sz="4" w:space="0" w:color="auto"/>
              <w:right w:val="single" w:sz="4" w:space="0" w:color="auto"/>
            </w:tcBorders>
            <w:shd w:val="clear" w:color="auto" w:fill="auto"/>
            <w:noWrap/>
            <w:vAlign w:val="center"/>
            <w:hideMark/>
          </w:tcPr>
          <w:p w14:paraId="2E91391B" w14:textId="77777777" w:rsidR="004F5FF7" w:rsidRPr="008A5F70" w:rsidRDefault="004F5FF7" w:rsidP="004F5FF7">
            <w:pPr>
              <w:jc w:val="both"/>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 xml:space="preserve">Personeli </w:t>
            </w:r>
          </w:p>
        </w:tc>
        <w:tc>
          <w:tcPr>
            <w:tcW w:w="1165" w:type="dxa"/>
            <w:tcBorders>
              <w:top w:val="nil"/>
              <w:left w:val="nil"/>
              <w:bottom w:val="single" w:sz="4" w:space="0" w:color="auto"/>
              <w:right w:val="single" w:sz="4" w:space="0" w:color="auto"/>
            </w:tcBorders>
            <w:shd w:val="clear" w:color="auto" w:fill="auto"/>
            <w:noWrap/>
            <w:vAlign w:val="center"/>
            <w:hideMark/>
          </w:tcPr>
          <w:p w14:paraId="14488B5E" w14:textId="3A9EC730"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19,774</w:t>
            </w:r>
          </w:p>
        </w:tc>
        <w:tc>
          <w:tcPr>
            <w:tcW w:w="1165" w:type="dxa"/>
            <w:tcBorders>
              <w:top w:val="nil"/>
              <w:left w:val="nil"/>
              <w:bottom w:val="single" w:sz="4" w:space="0" w:color="auto"/>
              <w:right w:val="single" w:sz="4" w:space="0" w:color="auto"/>
            </w:tcBorders>
            <w:shd w:val="clear" w:color="auto" w:fill="auto"/>
            <w:noWrap/>
            <w:vAlign w:val="center"/>
            <w:hideMark/>
          </w:tcPr>
          <w:p w14:paraId="3E173E5C" w14:textId="247CA91F"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15,882</w:t>
            </w:r>
          </w:p>
        </w:tc>
        <w:tc>
          <w:tcPr>
            <w:tcW w:w="1276" w:type="dxa"/>
            <w:tcBorders>
              <w:top w:val="nil"/>
              <w:left w:val="nil"/>
              <w:bottom w:val="single" w:sz="4" w:space="0" w:color="auto"/>
              <w:right w:val="single" w:sz="4" w:space="0" w:color="auto"/>
            </w:tcBorders>
            <w:shd w:val="clear" w:color="auto" w:fill="auto"/>
            <w:noWrap/>
            <w:vAlign w:val="center"/>
            <w:hideMark/>
          </w:tcPr>
          <w:p w14:paraId="1CC02584" w14:textId="4B7632F3"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3,892</w:t>
            </w:r>
          </w:p>
        </w:tc>
        <w:tc>
          <w:tcPr>
            <w:tcW w:w="1187" w:type="dxa"/>
            <w:tcBorders>
              <w:top w:val="nil"/>
              <w:left w:val="nil"/>
              <w:bottom w:val="single" w:sz="4" w:space="0" w:color="auto"/>
              <w:right w:val="double" w:sz="6" w:space="0" w:color="auto"/>
            </w:tcBorders>
            <w:shd w:val="clear" w:color="auto" w:fill="auto"/>
            <w:noWrap/>
            <w:vAlign w:val="center"/>
            <w:hideMark/>
          </w:tcPr>
          <w:p w14:paraId="126C077B" w14:textId="1D3381A9"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25%</w:t>
            </w:r>
          </w:p>
        </w:tc>
      </w:tr>
      <w:tr w:rsidR="004F5FF7" w:rsidRPr="008A5F70" w14:paraId="72A5529E"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077BB7C6"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 </w:t>
            </w:r>
          </w:p>
        </w:tc>
        <w:tc>
          <w:tcPr>
            <w:tcW w:w="3819" w:type="dxa"/>
            <w:tcBorders>
              <w:top w:val="nil"/>
              <w:left w:val="nil"/>
              <w:bottom w:val="single" w:sz="4" w:space="0" w:color="auto"/>
              <w:right w:val="single" w:sz="4" w:space="0" w:color="auto"/>
            </w:tcBorders>
            <w:shd w:val="clear" w:color="auto" w:fill="auto"/>
            <w:noWrap/>
            <w:vAlign w:val="center"/>
            <w:hideMark/>
          </w:tcPr>
          <w:p w14:paraId="3045E2F3" w14:textId="77777777" w:rsidR="004F5FF7" w:rsidRPr="008A5F70" w:rsidRDefault="004F5FF7" w:rsidP="004F5FF7">
            <w:pPr>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Shpenzime Oper. Mirmbajtje</w:t>
            </w:r>
          </w:p>
        </w:tc>
        <w:tc>
          <w:tcPr>
            <w:tcW w:w="1165" w:type="dxa"/>
            <w:tcBorders>
              <w:top w:val="nil"/>
              <w:left w:val="nil"/>
              <w:bottom w:val="single" w:sz="4" w:space="0" w:color="auto"/>
              <w:right w:val="single" w:sz="4" w:space="0" w:color="auto"/>
            </w:tcBorders>
            <w:shd w:val="clear" w:color="auto" w:fill="auto"/>
            <w:noWrap/>
            <w:vAlign w:val="center"/>
            <w:hideMark/>
          </w:tcPr>
          <w:p w14:paraId="04204AB7" w14:textId="4F05B9E4"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8,694</w:t>
            </w:r>
          </w:p>
        </w:tc>
        <w:tc>
          <w:tcPr>
            <w:tcW w:w="1165" w:type="dxa"/>
            <w:tcBorders>
              <w:top w:val="nil"/>
              <w:left w:val="nil"/>
              <w:bottom w:val="single" w:sz="4" w:space="0" w:color="auto"/>
              <w:right w:val="single" w:sz="4" w:space="0" w:color="auto"/>
            </w:tcBorders>
            <w:shd w:val="clear" w:color="auto" w:fill="auto"/>
            <w:noWrap/>
            <w:vAlign w:val="center"/>
            <w:hideMark/>
          </w:tcPr>
          <w:p w14:paraId="65DEF810" w14:textId="42BADD39"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7,984</w:t>
            </w:r>
          </w:p>
        </w:tc>
        <w:tc>
          <w:tcPr>
            <w:tcW w:w="1276" w:type="dxa"/>
            <w:tcBorders>
              <w:top w:val="nil"/>
              <w:left w:val="nil"/>
              <w:bottom w:val="single" w:sz="4" w:space="0" w:color="auto"/>
              <w:right w:val="single" w:sz="4" w:space="0" w:color="auto"/>
            </w:tcBorders>
            <w:shd w:val="clear" w:color="auto" w:fill="auto"/>
            <w:noWrap/>
            <w:vAlign w:val="center"/>
            <w:hideMark/>
          </w:tcPr>
          <w:p w14:paraId="35DF76BF" w14:textId="5BD922F1"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710</w:t>
            </w:r>
          </w:p>
        </w:tc>
        <w:tc>
          <w:tcPr>
            <w:tcW w:w="1187" w:type="dxa"/>
            <w:tcBorders>
              <w:top w:val="nil"/>
              <w:left w:val="nil"/>
              <w:bottom w:val="single" w:sz="4" w:space="0" w:color="auto"/>
              <w:right w:val="double" w:sz="6" w:space="0" w:color="auto"/>
            </w:tcBorders>
            <w:shd w:val="clear" w:color="auto" w:fill="auto"/>
            <w:noWrap/>
            <w:vAlign w:val="center"/>
            <w:hideMark/>
          </w:tcPr>
          <w:p w14:paraId="58DB5DAB" w14:textId="0EF94365"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9%</w:t>
            </w:r>
          </w:p>
        </w:tc>
      </w:tr>
      <w:tr w:rsidR="004F5FF7" w:rsidRPr="008A5F70" w14:paraId="325B057F"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4B5F6E02"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 </w:t>
            </w:r>
          </w:p>
        </w:tc>
        <w:tc>
          <w:tcPr>
            <w:tcW w:w="3819" w:type="dxa"/>
            <w:tcBorders>
              <w:top w:val="nil"/>
              <w:left w:val="nil"/>
              <w:bottom w:val="single" w:sz="4" w:space="0" w:color="auto"/>
              <w:right w:val="single" w:sz="4" w:space="0" w:color="auto"/>
            </w:tcBorders>
            <w:shd w:val="clear" w:color="auto" w:fill="auto"/>
            <w:noWrap/>
            <w:vAlign w:val="center"/>
            <w:hideMark/>
          </w:tcPr>
          <w:p w14:paraId="270C313F" w14:textId="77777777" w:rsidR="004F5FF7" w:rsidRPr="008A5F70" w:rsidRDefault="004F5FF7" w:rsidP="004F5FF7">
            <w:pPr>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Subvencione</w:t>
            </w:r>
          </w:p>
        </w:tc>
        <w:tc>
          <w:tcPr>
            <w:tcW w:w="1165" w:type="dxa"/>
            <w:tcBorders>
              <w:top w:val="nil"/>
              <w:left w:val="nil"/>
              <w:bottom w:val="single" w:sz="4" w:space="0" w:color="auto"/>
              <w:right w:val="single" w:sz="4" w:space="0" w:color="auto"/>
            </w:tcBorders>
            <w:shd w:val="clear" w:color="auto" w:fill="auto"/>
            <w:noWrap/>
            <w:vAlign w:val="center"/>
            <w:hideMark/>
          </w:tcPr>
          <w:p w14:paraId="19CA14A8" w14:textId="59F5A9BE"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878</w:t>
            </w:r>
          </w:p>
        </w:tc>
        <w:tc>
          <w:tcPr>
            <w:tcW w:w="1165" w:type="dxa"/>
            <w:tcBorders>
              <w:top w:val="nil"/>
              <w:left w:val="nil"/>
              <w:bottom w:val="single" w:sz="4" w:space="0" w:color="auto"/>
              <w:right w:val="single" w:sz="4" w:space="0" w:color="auto"/>
            </w:tcBorders>
            <w:shd w:val="clear" w:color="auto" w:fill="auto"/>
            <w:noWrap/>
            <w:vAlign w:val="center"/>
            <w:hideMark/>
          </w:tcPr>
          <w:p w14:paraId="7887318B" w14:textId="32EF205A"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75848A65" w14:textId="45DF2B8B"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598</w:t>
            </w:r>
          </w:p>
        </w:tc>
        <w:tc>
          <w:tcPr>
            <w:tcW w:w="1187" w:type="dxa"/>
            <w:tcBorders>
              <w:top w:val="nil"/>
              <w:left w:val="nil"/>
              <w:bottom w:val="single" w:sz="4" w:space="0" w:color="auto"/>
              <w:right w:val="double" w:sz="6" w:space="0" w:color="auto"/>
            </w:tcBorders>
            <w:shd w:val="clear" w:color="auto" w:fill="auto"/>
            <w:noWrap/>
            <w:vAlign w:val="center"/>
            <w:hideMark/>
          </w:tcPr>
          <w:p w14:paraId="78BE29EB" w14:textId="2ABCE6EF"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214%</w:t>
            </w:r>
          </w:p>
        </w:tc>
      </w:tr>
      <w:tr w:rsidR="004F5FF7" w:rsidRPr="008A5F70" w14:paraId="19F3964E" w14:textId="77777777" w:rsidTr="006A771E">
        <w:trPr>
          <w:trHeight w:val="154"/>
          <w:jc w:val="center"/>
        </w:trPr>
        <w:tc>
          <w:tcPr>
            <w:tcW w:w="452" w:type="dxa"/>
            <w:tcBorders>
              <w:top w:val="nil"/>
              <w:left w:val="double" w:sz="6" w:space="0" w:color="auto"/>
              <w:bottom w:val="single" w:sz="4" w:space="0" w:color="auto"/>
              <w:right w:val="single" w:sz="4" w:space="0" w:color="auto"/>
            </w:tcBorders>
            <w:shd w:val="clear" w:color="auto" w:fill="auto"/>
            <w:noWrap/>
            <w:vAlign w:val="center"/>
            <w:hideMark/>
          </w:tcPr>
          <w:p w14:paraId="68EEACFB" w14:textId="77777777" w:rsidR="004F5FF7" w:rsidRPr="008A5F70" w:rsidRDefault="004F5FF7" w:rsidP="004F5FF7">
            <w:pPr>
              <w:jc w:val="right"/>
              <w:rPr>
                <w:rFonts w:ascii="Calibri" w:hAnsi="Calibri" w:cs="Calibri"/>
                <w:color w:val="000000" w:themeColor="text1"/>
                <w:sz w:val="18"/>
                <w:szCs w:val="18"/>
                <w:lang w:val="sq-AL"/>
              </w:rPr>
            </w:pPr>
            <w:r w:rsidRPr="008A5F70">
              <w:rPr>
                <w:rFonts w:ascii="Calibri" w:hAnsi="Calibri" w:cs="Calibri"/>
                <w:color w:val="000000" w:themeColor="text1"/>
                <w:sz w:val="18"/>
                <w:szCs w:val="18"/>
                <w:lang w:val="sq-AL"/>
              </w:rPr>
              <w:t> </w:t>
            </w:r>
          </w:p>
        </w:tc>
        <w:tc>
          <w:tcPr>
            <w:tcW w:w="3819" w:type="dxa"/>
            <w:tcBorders>
              <w:top w:val="nil"/>
              <w:left w:val="nil"/>
              <w:bottom w:val="single" w:sz="4" w:space="0" w:color="auto"/>
              <w:right w:val="single" w:sz="4" w:space="0" w:color="auto"/>
            </w:tcBorders>
            <w:shd w:val="clear" w:color="auto" w:fill="auto"/>
            <w:noWrap/>
            <w:vAlign w:val="center"/>
            <w:hideMark/>
          </w:tcPr>
          <w:p w14:paraId="276EFCD7" w14:textId="77777777" w:rsidR="004F5FF7" w:rsidRPr="008A5F70" w:rsidRDefault="004F5FF7" w:rsidP="004F5FF7">
            <w:pPr>
              <w:rPr>
                <w:rFonts w:ascii="Calibri" w:hAnsi="Calibri" w:cs="Calibri"/>
                <w:i/>
                <w:iCs/>
                <w:color w:val="000000" w:themeColor="text1"/>
                <w:sz w:val="18"/>
                <w:szCs w:val="18"/>
                <w:lang w:val="sq-AL"/>
              </w:rPr>
            </w:pPr>
            <w:r w:rsidRPr="008A5F70">
              <w:rPr>
                <w:rFonts w:ascii="Calibri" w:hAnsi="Calibri" w:cs="Calibri"/>
                <w:i/>
                <w:iCs/>
                <w:color w:val="000000" w:themeColor="text1"/>
                <w:sz w:val="18"/>
                <w:szCs w:val="18"/>
                <w:lang w:val="sq-AL"/>
              </w:rPr>
              <w:t>Te tjera</w:t>
            </w:r>
          </w:p>
        </w:tc>
        <w:tc>
          <w:tcPr>
            <w:tcW w:w="1165" w:type="dxa"/>
            <w:tcBorders>
              <w:top w:val="nil"/>
              <w:left w:val="nil"/>
              <w:bottom w:val="single" w:sz="4" w:space="0" w:color="auto"/>
              <w:right w:val="single" w:sz="4" w:space="0" w:color="auto"/>
            </w:tcBorders>
            <w:shd w:val="clear" w:color="auto" w:fill="auto"/>
            <w:noWrap/>
            <w:vAlign w:val="center"/>
            <w:hideMark/>
          </w:tcPr>
          <w:p w14:paraId="67E68DE8" w14:textId="4E82D93B"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1,250</w:t>
            </w:r>
          </w:p>
        </w:tc>
        <w:tc>
          <w:tcPr>
            <w:tcW w:w="1165" w:type="dxa"/>
            <w:tcBorders>
              <w:top w:val="nil"/>
              <w:left w:val="nil"/>
              <w:bottom w:val="single" w:sz="4" w:space="0" w:color="auto"/>
              <w:right w:val="single" w:sz="4" w:space="0" w:color="auto"/>
            </w:tcBorders>
            <w:shd w:val="clear" w:color="auto" w:fill="auto"/>
            <w:noWrap/>
            <w:vAlign w:val="center"/>
            <w:hideMark/>
          </w:tcPr>
          <w:p w14:paraId="12DEFA44" w14:textId="4E52D292" w:rsidR="004F5FF7" w:rsidRPr="004F5FF7" w:rsidRDefault="004F5FF7" w:rsidP="004F5FF7">
            <w:pPr>
              <w:jc w:val="right"/>
              <w:rPr>
                <w:rFonts w:ascii="Calibri" w:hAnsi="Calibri" w:cs="Calibri"/>
                <w:i/>
                <w:iCs/>
                <w:color w:val="000000" w:themeColor="text1"/>
                <w:sz w:val="18"/>
                <w:szCs w:val="16"/>
                <w:lang w:val="sq-AL"/>
              </w:rPr>
            </w:pPr>
            <w:r w:rsidRPr="004F5FF7">
              <w:rPr>
                <w:rFonts w:ascii="Calibri" w:hAnsi="Calibri" w:cs="Calibri"/>
                <w:bCs/>
                <w:i/>
                <w:color w:val="000000" w:themeColor="text1"/>
                <w:sz w:val="18"/>
                <w:szCs w:val="16"/>
                <w:lang w:val="sq-AL"/>
              </w:rPr>
              <w:t>1,315</w:t>
            </w:r>
          </w:p>
        </w:tc>
        <w:tc>
          <w:tcPr>
            <w:tcW w:w="1276" w:type="dxa"/>
            <w:tcBorders>
              <w:top w:val="nil"/>
              <w:left w:val="nil"/>
              <w:bottom w:val="single" w:sz="4" w:space="0" w:color="auto"/>
              <w:right w:val="single" w:sz="4" w:space="0" w:color="auto"/>
            </w:tcBorders>
            <w:shd w:val="clear" w:color="auto" w:fill="auto"/>
            <w:noWrap/>
            <w:vAlign w:val="center"/>
            <w:hideMark/>
          </w:tcPr>
          <w:p w14:paraId="0F33B548" w14:textId="6F70894E"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-65</w:t>
            </w:r>
          </w:p>
        </w:tc>
        <w:tc>
          <w:tcPr>
            <w:tcW w:w="1187" w:type="dxa"/>
            <w:tcBorders>
              <w:top w:val="nil"/>
              <w:left w:val="nil"/>
              <w:bottom w:val="single" w:sz="4" w:space="0" w:color="auto"/>
              <w:right w:val="double" w:sz="6" w:space="0" w:color="auto"/>
            </w:tcBorders>
            <w:shd w:val="clear" w:color="auto" w:fill="auto"/>
            <w:noWrap/>
            <w:vAlign w:val="center"/>
            <w:hideMark/>
          </w:tcPr>
          <w:p w14:paraId="4DBE55EF" w14:textId="67FC496A" w:rsidR="004F5FF7" w:rsidRPr="004F5FF7" w:rsidRDefault="004F5FF7" w:rsidP="004F5FF7">
            <w:pPr>
              <w:jc w:val="right"/>
              <w:rPr>
                <w:rFonts w:ascii="Calibri" w:hAnsi="Calibri" w:cs="Calibri"/>
                <w:color w:val="000000" w:themeColor="text1"/>
                <w:sz w:val="18"/>
                <w:szCs w:val="16"/>
                <w:lang w:val="sq-AL"/>
              </w:rPr>
            </w:pPr>
            <w:r w:rsidRPr="004F5FF7">
              <w:rPr>
                <w:rFonts w:ascii="Calibri" w:hAnsi="Calibri" w:cs="Calibri"/>
                <w:bCs/>
                <w:i/>
                <w:color w:val="000000" w:themeColor="text1"/>
                <w:sz w:val="18"/>
                <w:szCs w:val="16"/>
                <w:lang w:val="sq-AL"/>
              </w:rPr>
              <w:t>-5%</w:t>
            </w:r>
          </w:p>
        </w:tc>
      </w:tr>
      <w:tr w:rsidR="004F5FF7" w:rsidRPr="008A5F70" w14:paraId="54B60381" w14:textId="77777777" w:rsidTr="006A771E">
        <w:trPr>
          <w:trHeight w:val="154"/>
          <w:jc w:val="center"/>
        </w:trPr>
        <w:tc>
          <w:tcPr>
            <w:tcW w:w="452" w:type="dxa"/>
            <w:tcBorders>
              <w:top w:val="nil"/>
              <w:left w:val="double" w:sz="6" w:space="0" w:color="auto"/>
              <w:bottom w:val="double" w:sz="6" w:space="0" w:color="auto"/>
              <w:right w:val="single" w:sz="4" w:space="0" w:color="auto"/>
            </w:tcBorders>
            <w:shd w:val="clear" w:color="auto" w:fill="auto"/>
            <w:noWrap/>
            <w:vAlign w:val="center"/>
            <w:hideMark/>
          </w:tcPr>
          <w:p w14:paraId="30D9F811" w14:textId="77777777" w:rsidR="004F5FF7" w:rsidRPr="008A5F70" w:rsidRDefault="004F5FF7" w:rsidP="004F5FF7">
            <w:pPr>
              <w:jc w:val="right"/>
              <w:rPr>
                <w:rFonts w:ascii="Calibri" w:hAnsi="Calibri" w:cs="Calibri"/>
                <w:b/>
                <w:bCs/>
                <w:color w:val="000000" w:themeColor="text1"/>
                <w:sz w:val="18"/>
                <w:szCs w:val="18"/>
                <w:lang w:val="sq-AL"/>
              </w:rPr>
            </w:pPr>
            <w:r w:rsidRPr="008A5F70">
              <w:rPr>
                <w:rFonts w:ascii="Calibri" w:hAnsi="Calibri" w:cs="Calibri"/>
                <w:b/>
                <w:bCs/>
                <w:color w:val="000000" w:themeColor="text1"/>
                <w:sz w:val="18"/>
                <w:szCs w:val="18"/>
                <w:lang w:val="sq-AL"/>
              </w:rPr>
              <w:t>II.2</w:t>
            </w:r>
          </w:p>
        </w:tc>
        <w:tc>
          <w:tcPr>
            <w:tcW w:w="3819" w:type="dxa"/>
            <w:tcBorders>
              <w:top w:val="nil"/>
              <w:left w:val="nil"/>
              <w:bottom w:val="double" w:sz="6" w:space="0" w:color="auto"/>
              <w:right w:val="single" w:sz="4" w:space="0" w:color="auto"/>
            </w:tcBorders>
            <w:shd w:val="clear" w:color="auto" w:fill="auto"/>
            <w:noWrap/>
            <w:vAlign w:val="center"/>
            <w:hideMark/>
          </w:tcPr>
          <w:p w14:paraId="350E73D3" w14:textId="77777777" w:rsidR="004F5FF7" w:rsidRPr="008A5F70" w:rsidRDefault="004F5FF7" w:rsidP="004F5FF7">
            <w:pPr>
              <w:jc w:val="both"/>
              <w:rPr>
                <w:rFonts w:ascii="Calibri" w:hAnsi="Calibri" w:cs="Calibri"/>
                <w:b/>
                <w:bCs/>
                <w:i/>
                <w:iCs/>
                <w:color w:val="000000" w:themeColor="text1"/>
                <w:sz w:val="18"/>
                <w:szCs w:val="18"/>
                <w:lang w:val="sq-AL"/>
              </w:rPr>
            </w:pPr>
            <w:r w:rsidRPr="008A5F70">
              <w:rPr>
                <w:rFonts w:ascii="Calibri" w:hAnsi="Calibri" w:cs="Calibri"/>
                <w:b/>
                <w:bCs/>
                <w:i/>
                <w:iCs/>
                <w:color w:val="000000" w:themeColor="text1"/>
                <w:sz w:val="18"/>
                <w:szCs w:val="18"/>
                <w:lang w:val="sq-AL"/>
              </w:rPr>
              <w:t>Shpenzime Kapitale</w:t>
            </w:r>
          </w:p>
        </w:tc>
        <w:tc>
          <w:tcPr>
            <w:tcW w:w="1165" w:type="dxa"/>
            <w:tcBorders>
              <w:top w:val="nil"/>
              <w:left w:val="nil"/>
              <w:bottom w:val="double" w:sz="6" w:space="0" w:color="auto"/>
              <w:right w:val="single" w:sz="4" w:space="0" w:color="auto"/>
            </w:tcBorders>
            <w:shd w:val="clear" w:color="auto" w:fill="auto"/>
            <w:noWrap/>
            <w:vAlign w:val="center"/>
            <w:hideMark/>
          </w:tcPr>
          <w:p w14:paraId="067E42B8" w14:textId="17EB13CE"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5,951</w:t>
            </w:r>
          </w:p>
        </w:tc>
        <w:tc>
          <w:tcPr>
            <w:tcW w:w="1165" w:type="dxa"/>
            <w:tcBorders>
              <w:top w:val="nil"/>
              <w:left w:val="nil"/>
              <w:bottom w:val="double" w:sz="6" w:space="0" w:color="auto"/>
              <w:right w:val="single" w:sz="4" w:space="0" w:color="auto"/>
            </w:tcBorders>
            <w:shd w:val="clear" w:color="auto" w:fill="auto"/>
            <w:noWrap/>
            <w:vAlign w:val="center"/>
            <w:hideMark/>
          </w:tcPr>
          <w:p w14:paraId="34D230E3" w14:textId="7739B54E"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5,546</w:t>
            </w:r>
          </w:p>
        </w:tc>
        <w:tc>
          <w:tcPr>
            <w:tcW w:w="1276" w:type="dxa"/>
            <w:tcBorders>
              <w:top w:val="nil"/>
              <w:left w:val="nil"/>
              <w:bottom w:val="double" w:sz="6" w:space="0" w:color="auto"/>
              <w:right w:val="single" w:sz="4" w:space="0" w:color="auto"/>
            </w:tcBorders>
            <w:shd w:val="clear" w:color="auto" w:fill="auto"/>
            <w:noWrap/>
            <w:vAlign w:val="center"/>
            <w:hideMark/>
          </w:tcPr>
          <w:p w14:paraId="7EAA3619" w14:textId="5BD992F4"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405</w:t>
            </w:r>
          </w:p>
        </w:tc>
        <w:tc>
          <w:tcPr>
            <w:tcW w:w="1187" w:type="dxa"/>
            <w:tcBorders>
              <w:top w:val="nil"/>
              <w:left w:val="nil"/>
              <w:bottom w:val="double" w:sz="6" w:space="0" w:color="auto"/>
              <w:right w:val="double" w:sz="6" w:space="0" w:color="auto"/>
            </w:tcBorders>
            <w:shd w:val="clear" w:color="auto" w:fill="auto"/>
            <w:noWrap/>
            <w:vAlign w:val="center"/>
            <w:hideMark/>
          </w:tcPr>
          <w:p w14:paraId="62EA61C7" w14:textId="0254B75B" w:rsidR="004F5FF7" w:rsidRPr="004F5FF7" w:rsidRDefault="004F5FF7" w:rsidP="004F5FF7">
            <w:pPr>
              <w:jc w:val="right"/>
              <w:rPr>
                <w:rFonts w:ascii="Calibri" w:hAnsi="Calibri" w:cs="Calibri"/>
                <w:b/>
                <w:bCs/>
                <w:i/>
                <w:iCs/>
                <w:color w:val="000000" w:themeColor="text1"/>
                <w:sz w:val="18"/>
                <w:szCs w:val="16"/>
                <w:lang w:val="sq-AL"/>
              </w:rPr>
            </w:pPr>
            <w:r w:rsidRPr="004F5FF7">
              <w:rPr>
                <w:rFonts w:ascii="Calibri" w:hAnsi="Calibri" w:cs="Calibri"/>
                <w:b/>
                <w:bCs/>
                <w:color w:val="000000" w:themeColor="text1"/>
                <w:sz w:val="18"/>
                <w:szCs w:val="16"/>
                <w:lang w:val="sq-AL"/>
              </w:rPr>
              <w:t>7%</w:t>
            </w:r>
          </w:p>
        </w:tc>
      </w:tr>
    </w:tbl>
    <w:p w14:paraId="763C2E99" w14:textId="77777777" w:rsidR="004F5FF7" w:rsidRPr="00B30E71" w:rsidRDefault="004F5FF7" w:rsidP="004F5FF7">
      <w:pPr>
        <w:spacing w:before="120" w:after="120"/>
        <w:rPr>
          <w:i/>
          <w:color w:val="0070C0"/>
          <w:sz w:val="20"/>
          <w:szCs w:val="22"/>
          <w:lang w:val="sq-AL"/>
        </w:rPr>
      </w:pPr>
      <w:r w:rsidRPr="00B30E71">
        <w:rPr>
          <w:b/>
          <w:bCs/>
          <w:i/>
          <w:color w:val="0070C0"/>
          <w:sz w:val="20"/>
          <w:szCs w:val="22"/>
          <w:lang w:val="sq-AL"/>
        </w:rPr>
        <w:t xml:space="preserve">Burimi: </w:t>
      </w:r>
      <w:r w:rsidRPr="00B30E71">
        <w:rPr>
          <w:i/>
          <w:color w:val="0070C0"/>
          <w:sz w:val="20"/>
          <w:szCs w:val="22"/>
          <w:lang w:val="sq-AL"/>
        </w:rPr>
        <w:t>Drejtoria e Financave Vendore, Ministria e Financave (</w:t>
      </w:r>
      <w:r>
        <w:rPr>
          <w:i/>
          <w:color w:val="0070C0"/>
          <w:sz w:val="20"/>
          <w:szCs w:val="22"/>
          <w:lang w:val="sq-AL"/>
        </w:rPr>
        <w:t>2025</w:t>
      </w:r>
      <w:r w:rsidRPr="00B30E71">
        <w:rPr>
          <w:i/>
          <w:color w:val="0070C0"/>
          <w:sz w:val="20"/>
          <w:szCs w:val="22"/>
          <w:lang w:val="sq-AL"/>
        </w:rPr>
        <w:t>)</w:t>
      </w:r>
    </w:p>
    <w:p w14:paraId="428058FE" w14:textId="77777777" w:rsidR="001B75D4" w:rsidRPr="00A349F7" w:rsidRDefault="001B75D4" w:rsidP="00A349F7">
      <w:pPr>
        <w:spacing w:line="276" w:lineRule="auto"/>
        <w:ind w:firstLine="567"/>
        <w:jc w:val="both"/>
        <w:rPr>
          <w:i/>
          <w:sz w:val="4"/>
          <w:szCs w:val="8"/>
          <w:lang w:val="sq-AL"/>
        </w:rPr>
      </w:pPr>
    </w:p>
    <w:p w14:paraId="3F832A8F" w14:textId="6B26E709" w:rsidR="003933AE" w:rsidRPr="004F5FF7" w:rsidRDefault="00604742" w:rsidP="002B3B55">
      <w:pPr>
        <w:pStyle w:val="NormalWeb"/>
        <w:jc w:val="both"/>
        <w:rPr>
          <w:color w:val="002060"/>
          <w:lang w:val="sq-AL"/>
        </w:rPr>
      </w:pPr>
      <w:r w:rsidRPr="002B3B55">
        <w:rPr>
          <w:b/>
          <w:color w:val="0070C0"/>
          <w:u w:val="single"/>
          <w:lang w:val="sq-AL"/>
        </w:rPr>
        <w:lastRenderedPageBreak/>
        <w:t xml:space="preserve">B.1. Shpenzimet e </w:t>
      </w:r>
      <w:r w:rsidR="003933AE" w:rsidRPr="002B3B55">
        <w:rPr>
          <w:b/>
          <w:color w:val="0070C0"/>
          <w:u w:val="single"/>
          <w:lang w:val="sq-AL"/>
        </w:rPr>
        <w:t>personel</w:t>
      </w:r>
      <w:r w:rsidRPr="002B3B55">
        <w:rPr>
          <w:b/>
          <w:color w:val="0070C0"/>
          <w:u w:val="single"/>
          <w:lang w:val="sq-AL"/>
        </w:rPr>
        <w:t>it</w:t>
      </w:r>
      <w:r w:rsidR="003933AE" w:rsidRPr="002B3B55">
        <w:rPr>
          <w:b/>
          <w:bCs/>
          <w:color w:val="0070C0"/>
          <w:u w:val="single"/>
          <w:lang w:val="sq-AL"/>
        </w:rPr>
        <w:t>:</w:t>
      </w:r>
      <w:r w:rsidRPr="009A28B0">
        <w:rPr>
          <w:lang w:val="sq-AL"/>
        </w:rPr>
        <w:t xml:space="preserve"> </w:t>
      </w:r>
      <w:r w:rsidR="003933AE" w:rsidRPr="009A28B0">
        <w:rPr>
          <w:lang w:val="sq-AL"/>
        </w:rPr>
        <w:t xml:space="preserve"> </w:t>
      </w:r>
      <w:r w:rsidR="003933AE" w:rsidRPr="004F5FF7">
        <w:rPr>
          <w:color w:val="002060"/>
          <w:lang w:val="sq-AL"/>
        </w:rPr>
        <w:t xml:space="preserve">zënë një peshë dominuese në buxhetin e njësive të vetëqeverisjes vendore, duke përbërë rreth 54.1% të totalit të shpenzimeve vendore për periudhën </w:t>
      </w:r>
      <w:r w:rsidR="003C3A4E" w:rsidRPr="004F5FF7">
        <w:rPr>
          <w:color w:val="002060"/>
          <w:lang w:val="sq-AL"/>
        </w:rPr>
        <w:t>6 M</w:t>
      </w:r>
      <w:r w:rsidR="003933AE" w:rsidRPr="004F5FF7">
        <w:rPr>
          <w:color w:val="002060"/>
          <w:lang w:val="sq-AL"/>
        </w:rPr>
        <w:t xml:space="preserve"> 2025. Në vlerë absolute, këto shpenzime janë realizuar në masën 19.8 miliardë lekë, që përfaqëson një rritje prej rreth 3.8 miliardë lekësh </w:t>
      </w:r>
      <w:r w:rsidR="003C3A4E" w:rsidRPr="004F5FF7">
        <w:rPr>
          <w:color w:val="002060"/>
          <w:lang w:val="sq-AL"/>
        </w:rPr>
        <w:t>ose rreth 25%</w:t>
      </w:r>
      <w:r w:rsidR="00C14DF5" w:rsidRPr="004F5FF7">
        <w:rPr>
          <w:color w:val="002060"/>
          <w:lang w:val="sq-AL"/>
        </w:rPr>
        <w:t xml:space="preserve"> m</w:t>
      </w:r>
      <w:r w:rsidR="003F7B95" w:rsidRPr="004F5FF7">
        <w:rPr>
          <w:color w:val="002060"/>
          <w:lang w:val="sq-AL"/>
        </w:rPr>
        <w:t>ë</w:t>
      </w:r>
      <w:r w:rsidR="00C14DF5" w:rsidRPr="004F5FF7">
        <w:rPr>
          <w:color w:val="002060"/>
          <w:lang w:val="sq-AL"/>
        </w:rPr>
        <w:t xml:space="preserve"> e lart</w:t>
      </w:r>
      <w:r w:rsidR="003F7B95" w:rsidRPr="004F5FF7">
        <w:rPr>
          <w:color w:val="002060"/>
          <w:lang w:val="sq-AL"/>
        </w:rPr>
        <w:t>ë</w:t>
      </w:r>
      <w:r w:rsidR="003C3A4E" w:rsidRPr="004F5FF7">
        <w:rPr>
          <w:color w:val="002060"/>
          <w:lang w:val="sq-AL"/>
        </w:rPr>
        <w:t xml:space="preserve"> </w:t>
      </w:r>
      <w:r w:rsidR="003933AE" w:rsidRPr="004F5FF7">
        <w:rPr>
          <w:color w:val="002060"/>
          <w:lang w:val="sq-AL"/>
        </w:rPr>
        <w:t xml:space="preserve">krahasuar me të njëjtën periudhë të vitit 2024. Rritja është kryesisht rezultat i politikave të miratuara për rritjen e pagave, të cilat kanë ndikuar drejtpërdrejt në rritjen e </w:t>
      </w:r>
      <w:r w:rsidRPr="004F5FF7">
        <w:rPr>
          <w:color w:val="002060"/>
          <w:lang w:val="sq-AL"/>
        </w:rPr>
        <w:t>pesh</w:t>
      </w:r>
      <w:r w:rsidR="00AD1128" w:rsidRPr="004F5FF7">
        <w:rPr>
          <w:color w:val="002060"/>
          <w:lang w:val="sq-AL"/>
        </w:rPr>
        <w:t>ë</w:t>
      </w:r>
      <w:r w:rsidRPr="004F5FF7">
        <w:rPr>
          <w:color w:val="002060"/>
          <w:lang w:val="sq-AL"/>
        </w:rPr>
        <w:t>s q</w:t>
      </w:r>
      <w:r w:rsidR="00AD1128" w:rsidRPr="004F5FF7">
        <w:rPr>
          <w:color w:val="002060"/>
          <w:lang w:val="sq-AL"/>
        </w:rPr>
        <w:t>ë</w:t>
      </w:r>
      <w:r w:rsidRPr="004F5FF7">
        <w:rPr>
          <w:color w:val="002060"/>
          <w:lang w:val="sq-AL"/>
        </w:rPr>
        <w:t xml:space="preserve"> z</w:t>
      </w:r>
      <w:r w:rsidR="00AD1128" w:rsidRPr="004F5FF7">
        <w:rPr>
          <w:color w:val="002060"/>
          <w:lang w:val="sq-AL"/>
        </w:rPr>
        <w:t>ë</w:t>
      </w:r>
      <w:r w:rsidRPr="004F5FF7">
        <w:rPr>
          <w:color w:val="002060"/>
          <w:lang w:val="sq-AL"/>
        </w:rPr>
        <w:t>n</w:t>
      </w:r>
      <w:r w:rsidR="00AD1128" w:rsidRPr="004F5FF7">
        <w:rPr>
          <w:color w:val="002060"/>
          <w:lang w:val="sq-AL"/>
        </w:rPr>
        <w:t>ë</w:t>
      </w:r>
      <w:r w:rsidRPr="004F5FF7">
        <w:rPr>
          <w:color w:val="002060"/>
          <w:lang w:val="sq-AL"/>
        </w:rPr>
        <w:t xml:space="preserve"> shpenzimet e </w:t>
      </w:r>
      <w:r w:rsidR="003933AE" w:rsidRPr="004F5FF7">
        <w:rPr>
          <w:color w:val="002060"/>
          <w:lang w:val="sq-AL"/>
        </w:rPr>
        <w:t>personel</w:t>
      </w:r>
      <w:r w:rsidRPr="004F5FF7">
        <w:rPr>
          <w:color w:val="002060"/>
          <w:lang w:val="sq-AL"/>
        </w:rPr>
        <w:t>it</w:t>
      </w:r>
      <w:r w:rsidR="003933AE" w:rsidRPr="004F5FF7">
        <w:rPr>
          <w:color w:val="002060"/>
          <w:lang w:val="sq-AL"/>
        </w:rPr>
        <w:t xml:space="preserve"> në </w:t>
      </w:r>
      <w:r w:rsidRPr="004F5FF7">
        <w:rPr>
          <w:color w:val="002060"/>
          <w:lang w:val="sq-AL"/>
        </w:rPr>
        <w:t>buxhetin</w:t>
      </w:r>
      <w:r w:rsidR="003933AE" w:rsidRPr="004F5FF7">
        <w:rPr>
          <w:color w:val="002060"/>
          <w:lang w:val="sq-AL"/>
        </w:rPr>
        <w:t xml:space="preserve"> vendor.</w:t>
      </w:r>
    </w:p>
    <w:p w14:paraId="16E79EE7" w14:textId="0F0BA5E3" w:rsidR="003933AE" w:rsidRPr="004F5FF7" w:rsidRDefault="003933AE" w:rsidP="002B3B55">
      <w:pPr>
        <w:pStyle w:val="NormalWeb"/>
        <w:jc w:val="both"/>
        <w:rPr>
          <w:color w:val="002060"/>
          <w:lang w:val="sq-AL"/>
        </w:rPr>
      </w:pPr>
      <w:r w:rsidRPr="002B3B55">
        <w:rPr>
          <w:b/>
          <w:bCs/>
          <w:color w:val="0070C0"/>
          <w:u w:val="single"/>
          <w:lang w:val="sq-AL"/>
        </w:rPr>
        <w:t>B.2. Shpenzimet operative</w:t>
      </w:r>
      <w:r w:rsidRPr="002B3B55">
        <w:rPr>
          <w:b/>
          <w:color w:val="0070C0"/>
          <w:u w:val="single"/>
          <w:lang w:val="sq-AL"/>
        </w:rPr>
        <w:t>:</w:t>
      </w:r>
      <w:r w:rsidRPr="009A28B0">
        <w:rPr>
          <w:lang w:val="sq-AL"/>
        </w:rPr>
        <w:t xml:space="preserve"> </w:t>
      </w:r>
      <w:r w:rsidR="00604742" w:rsidRPr="004F5FF7">
        <w:rPr>
          <w:color w:val="002060"/>
          <w:lang w:val="sq-AL"/>
        </w:rPr>
        <w:t xml:space="preserve">janë shumë të rëndësishme për mbarëvajtjen dhe ushtrimin e funksioneve </w:t>
      </w:r>
      <w:r w:rsidRPr="004F5FF7">
        <w:rPr>
          <w:color w:val="002060"/>
          <w:lang w:val="sq-AL"/>
        </w:rPr>
        <w:t xml:space="preserve">dhe ofrimin e shërbimeve publike, përbëjnë rreth 23.8% të totalit të shpenzimeve të pushtetit vendor për 6-mujorin e parë të vitit 2025. </w:t>
      </w:r>
      <w:r w:rsidR="00604742" w:rsidRPr="004F5FF7">
        <w:rPr>
          <w:color w:val="002060"/>
          <w:lang w:val="sq-AL"/>
        </w:rPr>
        <w:t>Faktikisht</w:t>
      </w:r>
      <w:r w:rsidRPr="004F5FF7">
        <w:rPr>
          <w:color w:val="002060"/>
          <w:lang w:val="sq-AL"/>
        </w:rPr>
        <w:t xml:space="preserve"> janë realizuar 8.7 miliardë lekë, me një rritje prej rreth 710 milionë lekësh </w:t>
      </w:r>
      <w:r w:rsidR="003C3A4E" w:rsidRPr="004F5FF7">
        <w:rPr>
          <w:color w:val="002060"/>
          <w:lang w:val="sq-AL"/>
        </w:rPr>
        <w:t xml:space="preserve">ose rreth 9% </w:t>
      </w:r>
      <w:r w:rsidR="00C14DF5" w:rsidRPr="004F5FF7">
        <w:rPr>
          <w:color w:val="002060"/>
          <w:lang w:val="sq-AL"/>
        </w:rPr>
        <w:t>m</w:t>
      </w:r>
      <w:r w:rsidR="003F7B95" w:rsidRPr="004F5FF7">
        <w:rPr>
          <w:color w:val="002060"/>
          <w:lang w:val="sq-AL"/>
        </w:rPr>
        <w:t>ë</w:t>
      </w:r>
      <w:r w:rsidR="00C14DF5" w:rsidRPr="004F5FF7">
        <w:rPr>
          <w:color w:val="002060"/>
          <w:lang w:val="sq-AL"/>
        </w:rPr>
        <w:t xml:space="preserve"> e lart</w:t>
      </w:r>
      <w:r w:rsidR="003F7B95" w:rsidRPr="004F5FF7">
        <w:rPr>
          <w:color w:val="002060"/>
          <w:lang w:val="sq-AL"/>
        </w:rPr>
        <w:t>ë</w:t>
      </w:r>
      <w:r w:rsidR="00C14DF5" w:rsidRPr="004F5FF7">
        <w:rPr>
          <w:color w:val="002060"/>
          <w:lang w:val="sq-AL"/>
        </w:rPr>
        <w:t xml:space="preserve"> </w:t>
      </w:r>
      <w:r w:rsidRPr="004F5FF7">
        <w:rPr>
          <w:color w:val="002060"/>
          <w:lang w:val="sq-AL"/>
        </w:rPr>
        <w:t>krahasuar me të njëjtën periudhë të një viti më parë.</w:t>
      </w:r>
    </w:p>
    <w:p w14:paraId="60D8D815" w14:textId="7E42DE1B" w:rsidR="003933AE" w:rsidRPr="004F5FF7" w:rsidRDefault="003933AE" w:rsidP="002B3B55">
      <w:pPr>
        <w:pStyle w:val="NormalWeb"/>
        <w:jc w:val="both"/>
        <w:rPr>
          <w:color w:val="002060"/>
          <w:lang w:val="sq-AL"/>
        </w:rPr>
      </w:pPr>
      <w:r w:rsidRPr="002B3B55">
        <w:rPr>
          <w:b/>
          <w:color w:val="0070C0"/>
          <w:u w:val="single"/>
          <w:lang w:val="sq-AL"/>
        </w:rPr>
        <w:t xml:space="preserve">B.3. Shpenzimet për subvencione dhe </w:t>
      </w:r>
      <w:r w:rsidR="004F5FF7">
        <w:rPr>
          <w:b/>
          <w:color w:val="0070C0"/>
          <w:u w:val="single"/>
          <w:lang w:val="sq-AL"/>
        </w:rPr>
        <w:t xml:space="preserve">shpenzime </w:t>
      </w:r>
      <w:r w:rsidRPr="002B3B55">
        <w:rPr>
          <w:b/>
          <w:color w:val="0070C0"/>
          <w:u w:val="single"/>
          <w:lang w:val="sq-AL"/>
        </w:rPr>
        <w:t>të tjera</w:t>
      </w:r>
      <w:r w:rsidR="004F5FF7">
        <w:rPr>
          <w:b/>
          <w:color w:val="0070C0"/>
          <w:u w:val="single"/>
          <w:lang w:val="sq-AL"/>
        </w:rPr>
        <w:t xml:space="preserve"> korente</w:t>
      </w:r>
      <w:r w:rsidRPr="002B3B55">
        <w:rPr>
          <w:b/>
          <w:bCs/>
          <w:color w:val="0070C0"/>
          <w:u w:val="single"/>
          <w:lang w:val="sq-AL"/>
        </w:rPr>
        <w:t>:</w:t>
      </w:r>
      <w:r w:rsidRPr="009A28B0">
        <w:rPr>
          <w:lang w:val="sq-AL"/>
        </w:rPr>
        <w:t xml:space="preserve"> </w:t>
      </w:r>
      <w:r w:rsidR="00604742" w:rsidRPr="004F5FF7">
        <w:rPr>
          <w:color w:val="002060"/>
          <w:lang w:val="sq-AL"/>
        </w:rPr>
        <w:t>janë shpenzimet që zhvillojnë njësitë e vetëqeverisjes vendore për të subvencionuar dhe mbuluar funksione të tjera administrative</w:t>
      </w:r>
      <w:r w:rsidR="004F5FF7">
        <w:rPr>
          <w:color w:val="002060"/>
          <w:lang w:val="sq-AL"/>
        </w:rPr>
        <w:t>.</w:t>
      </w:r>
      <w:r w:rsidRPr="004F5FF7">
        <w:rPr>
          <w:color w:val="002060"/>
          <w:lang w:val="sq-AL"/>
        </w:rPr>
        <w:t xml:space="preserve"> Gjatë 6-mujorit të parë 2025, shpenzimet për subvencione janë realizuar në 878 milionë lekë, duke shënuar një rritje të ndjeshme prej 598 milionë lekësh ose </w:t>
      </w:r>
      <w:r w:rsidR="00C14DF5" w:rsidRPr="004F5FF7">
        <w:rPr>
          <w:color w:val="002060"/>
          <w:lang w:val="sq-AL"/>
        </w:rPr>
        <w:t xml:space="preserve">rreth </w:t>
      </w:r>
      <w:r w:rsidRPr="004F5FF7">
        <w:rPr>
          <w:color w:val="002060"/>
          <w:lang w:val="sq-AL"/>
        </w:rPr>
        <w:t>214%</w:t>
      </w:r>
      <w:r w:rsidR="00C14DF5" w:rsidRPr="004F5FF7">
        <w:rPr>
          <w:color w:val="002060"/>
          <w:lang w:val="sq-AL"/>
        </w:rPr>
        <w:t xml:space="preserve"> m</w:t>
      </w:r>
      <w:r w:rsidR="003F7B95" w:rsidRPr="004F5FF7">
        <w:rPr>
          <w:color w:val="002060"/>
          <w:lang w:val="sq-AL"/>
        </w:rPr>
        <w:t>ë</w:t>
      </w:r>
      <w:r w:rsidR="00C14DF5" w:rsidRPr="004F5FF7">
        <w:rPr>
          <w:color w:val="002060"/>
          <w:lang w:val="sq-AL"/>
        </w:rPr>
        <w:t xml:space="preserve"> e lart</w:t>
      </w:r>
      <w:r w:rsidR="003F7B95" w:rsidRPr="004F5FF7">
        <w:rPr>
          <w:color w:val="002060"/>
          <w:lang w:val="sq-AL"/>
        </w:rPr>
        <w:t>ë</w:t>
      </w:r>
      <w:r w:rsidRPr="004F5FF7">
        <w:rPr>
          <w:color w:val="002060"/>
          <w:lang w:val="sq-AL"/>
        </w:rPr>
        <w:t xml:space="preserve"> krahasuar me të njëjtën periudhë të vitit 2024.</w:t>
      </w:r>
      <w:r w:rsidR="00604742" w:rsidRPr="004F5FF7">
        <w:rPr>
          <w:color w:val="002060"/>
          <w:lang w:val="sq-AL"/>
        </w:rPr>
        <w:t xml:space="preserve"> </w:t>
      </w:r>
      <w:r w:rsidRPr="004F5FF7">
        <w:rPr>
          <w:color w:val="002060"/>
          <w:lang w:val="sq-AL"/>
        </w:rPr>
        <w:t xml:space="preserve">Ndërkohë, shpenzimet e tjera korente janë realizuar në vlerën </w:t>
      </w:r>
      <w:r w:rsidR="00C14DF5" w:rsidRPr="004F5FF7">
        <w:rPr>
          <w:color w:val="002060"/>
          <w:lang w:val="sq-AL"/>
        </w:rPr>
        <w:t>1.3</w:t>
      </w:r>
      <w:r w:rsidRPr="004F5FF7">
        <w:rPr>
          <w:color w:val="002060"/>
          <w:lang w:val="sq-AL"/>
        </w:rPr>
        <w:t xml:space="preserve"> miliardë lekë, që është rreth 65 milionë lekë më pak, ose </w:t>
      </w:r>
      <w:r w:rsidR="00C14DF5" w:rsidRPr="004F5FF7">
        <w:rPr>
          <w:color w:val="002060"/>
          <w:lang w:val="sq-AL"/>
        </w:rPr>
        <w:t xml:space="preserve">rreth </w:t>
      </w:r>
      <w:r w:rsidRPr="004F5FF7">
        <w:rPr>
          <w:color w:val="002060"/>
          <w:lang w:val="sq-AL"/>
        </w:rPr>
        <w:t>5% më e ulët krahasuar me 6-mujorin e parë të vitit të kaluar.</w:t>
      </w:r>
    </w:p>
    <w:p w14:paraId="20F32C86" w14:textId="4689B7D2" w:rsidR="003933AE" w:rsidRPr="004F5FF7" w:rsidRDefault="003933AE" w:rsidP="002B3B55">
      <w:pPr>
        <w:pStyle w:val="NormalWeb"/>
        <w:jc w:val="both"/>
        <w:rPr>
          <w:color w:val="002060"/>
          <w:lang w:val="sq-AL"/>
        </w:rPr>
      </w:pPr>
      <w:r w:rsidRPr="002B3B55">
        <w:rPr>
          <w:b/>
          <w:bCs/>
          <w:color w:val="0070C0"/>
          <w:u w:val="single"/>
          <w:lang w:val="sq-AL"/>
        </w:rPr>
        <w:t>B.4. Shpenzimet kapitale</w:t>
      </w:r>
      <w:r w:rsidRPr="002B3B55">
        <w:rPr>
          <w:b/>
          <w:color w:val="0070C0"/>
          <w:u w:val="single"/>
          <w:lang w:val="sq-AL"/>
        </w:rPr>
        <w:t>:</w:t>
      </w:r>
      <w:r w:rsidRPr="009A28B0">
        <w:rPr>
          <w:lang w:val="sq-AL"/>
        </w:rPr>
        <w:t xml:space="preserve"> </w:t>
      </w:r>
      <w:r w:rsidR="00604742" w:rsidRPr="004F5FF7">
        <w:rPr>
          <w:color w:val="002060"/>
          <w:lang w:val="sq-AL"/>
        </w:rPr>
        <w:t xml:space="preserve">janë një zë mjaft i rëndësishëm në buxhetin vendor, për shkak sepse këto shpenzime sjellin në mënyrë direkte dhe indirekte zhvillim ekonomik dhe për rrjedhojë ndikojnë mirëqënien e qytetarëve. Shpenzimet kapitale, </w:t>
      </w:r>
      <w:r w:rsidRPr="004F5FF7">
        <w:rPr>
          <w:color w:val="002060"/>
          <w:lang w:val="sq-AL"/>
        </w:rPr>
        <w:t xml:space="preserve">lidhen </w:t>
      </w:r>
      <w:r w:rsidR="00E534F8" w:rsidRPr="004F5FF7">
        <w:rPr>
          <w:color w:val="002060"/>
          <w:lang w:val="sq-AL"/>
        </w:rPr>
        <w:t xml:space="preserve">kryesisht </w:t>
      </w:r>
      <w:r w:rsidRPr="004F5FF7">
        <w:rPr>
          <w:color w:val="002060"/>
          <w:lang w:val="sq-AL"/>
        </w:rPr>
        <w:t xml:space="preserve">me investime në infrastrukturë dhe projekte zhvillimore, </w:t>
      </w:r>
      <w:r w:rsidR="00E534F8" w:rsidRPr="004F5FF7">
        <w:rPr>
          <w:color w:val="002060"/>
          <w:lang w:val="sq-AL"/>
        </w:rPr>
        <w:t>e p</w:t>
      </w:r>
      <w:r w:rsidR="00AD1128" w:rsidRPr="004F5FF7">
        <w:rPr>
          <w:color w:val="002060"/>
          <w:lang w:val="sq-AL"/>
        </w:rPr>
        <w:t>ë</w:t>
      </w:r>
      <w:r w:rsidR="00E534F8" w:rsidRPr="004F5FF7">
        <w:rPr>
          <w:color w:val="002060"/>
          <w:lang w:val="sq-AL"/>
        </w:rPr>
        <w:t>r pasoj</w:t>
      </w:r>
      <w:r w:rsidR="00AD1128" w:rsidRPr="004F5FF7">
        <w:rPr>
          <w:color w:val="002060"/>
          <w:lang w:val="sq-AL"/>
        </w:rPr>
        <w:t>ë</w:t>
      </w:r>
      <w:r w:rsidR="00E534F8" w:rsidRPr="004F5FF7">
        <w:rPr>
          <w:color w:val="002060"/>
          <w:lang w:val="sq-AL"/>
        </w:rPr>
        <w:t xml:space="preserve"> </w:t>
      </w:r>
      <w:r w:rsidRPr="004F5FF7">
        <w:rPr>
          <w:color w:val="002060"/>
          <w:lang w:val="sq-AL"/>
        </w:rPr>
        <w:t xml:space="preserve">përbëjnë një komponent të rëndësishëm të buxhetit vendor </w:t>
      </w:r>
      <w:r w:rsidR="00E534F8" w:rsidRPr="004F5FF7">
        <w:rPr>
          <w:color w:val="002060"/>
          <w:lang w:val="sq-AL"/>
        </w:rPr>
        <w:t>n</w:t>
      </w:r>
      <w:r w:rsidR="00AD1128" w:rsidRPr="004F5FF7">
        <w:rPr>
          <w:color w:val="002060"/>
          <w:lang w:val="sq-AL"/>
        </w:rPr>
        <w:t>ë</w:t>
      </w:r>
      <w:r w:rsidRPr="004F5FF7">
        <w:rPr>
          <w:color w:val="002060"/>
          <w:lang w:val="sq-AL"/>
        </w:rPr>
        <w:t xml:space="preserve"> afatgjatë. Gjatë gjashtëmujorit të parë të vitit 2025, ato zënë rreth 16.3% të totalit të shpenzimeve vendore dhe janë realizuar në masën 5.9 miliardë lekë. Kjo vlerë është rreth 405 milionë lekë më </w:t>
      </w:r>
      <w:r w:rsidR="00C14DF5" w:rsidRPr="004F5FF7">
        <w:rPr>
          <w:color w:val="002060"/>
          <w:lang w:val="sq-AL"/>
        </w:rPr>
        <w:t>shum</w:t>
      </w:r>
      <w:r w:rsidR="003F7B95" w:rsidRPr="004F5FF7">
        <w:rPr>
          <w:color w:val="002060"/>
          <w:lang w:val="sq-AL"/>
        </w:rPr>
        <w:t>ë</w:t>
      </w:r>
      <w:r w:rsidRPr="004F5FF7">
        <w:rPr>
          <w:color w:val="002060"/>
          <w:lang w:val="sq-AL"/>
        </w:rPr>
        <w:t xml:space="preserve">, ose </w:t>
      </w:r>
      <w:r w:rsidR="00C14DF5" w:rsidRPr="004F5FF7">
        <w:rPr>
          <w:color w:val="002060"/>
          <w:lang w:val="sq-AL"/>
        </w:rPr>
        <w:t>rreth 7% m</w:t>
      </w:r>
      <w:r w:rsidR="003F7B95" w:rsidRPr="004F5FF7">
        <w:rPr>
          <w:color w:val="002060"/>
          <w:lang w:val="sq-AL"/>
        </w:rPr>
        <w:t>ë</w:t>
      </w:r>
      <w:r w:rsidR="00C14DF5" w:rsidRPr="004F5FF7">
        <w:rPr>
          <w:color w:val="002060"/>
          <w:lang w:val="sq-AL"/>
        </w:rPr>
        <w:t xml:space="preserve"> e lart</w:t>
      </w:r>
      <w:r w:rsidR="003F7B95" w:rsidRPr="004F5FF7">
        <w:rPr>
          <w:color w:val="002060"/>
          <w:lang w:val="sq-AL"/>
        </w:rPr>
        <w:t>ë</w:t>
      </w:r>
      <w:r w:rsidRPr="004F5FF7">
        <w:rPr>
          <w:color w:val="002060"/>
          <w:lang w:val="sq-AL"/>
        </w:rPr>
        <w:t xml:space="preserve"> krahasuar me të njëjtën periudhë të vitit 2024</w:t>
      </w:r>
      <w:r w:rsidR="00C14DF5" w:rsidRPr="004F5FF7">
        <w:rPr>
          <w:color w:val="002060"/>
          <w:lang w:val="sq-AL"/>
        </w:rPr>
        <w:t>,</w:t>
      </w:r>
      <w:r w:rsidR="00E534F8" w:rsidRPr="004F5FF7">
        <w:rPr>
          <w:color w:val="002060"/>
          <w:lang w:val="sq-AL"/>
        </w:rPr>
        <w:t xml:space="preserve"> pritshmëria deri në fund të vitit është që ecuria e investimeve të pushtetit vendor të jetë pozitive.</w:t>
      </w:r>
    </w:p>
    <w:p w14:paraId="3E9AA0D8" w14:textId="66FB84F5" w:rsidR="00E534F8" w:rsidRPr="009A28B0" w:rsidRDefault="006E1F5F" w:rsidP="002B3B55">
      <w:pPr>
        <w:pStyle w:val="NormalWeb"/>
        <w:jc w:val="both"/>
        <w:rPr>
          <w:lang w:val="sq-AL"/>
        </w:rPr>
      </w:pPr>
      <w:r w:rsidRPr="002B3B55">
        <w:rPr>
          <w:b/>
          <w:color w:val="0070C0"/>
          <w:u w:val="single"/>
          <w:lang w:val="sq-AL"/>
        </w:rPr>
        <w:t xml:space="preserve">B.5. </w:t>
      </w:r>
      <w:r w:rsidR="001B75D4" w:rsidRPr="002B3B55">
        <w:rPr>
          <w:b/>
          <w:color w:val="0070C0"/>
          <w:u w:val="single"/>
          <w:lang w:val="sq-AL"/>
        </w:rPr>
        <w:t>Fondi i rindërtimit</w:t>
      </w:r>
      <w:r w:rsidR="004F5FF7">
        <w:rPr>
          <w:b/>
          <w:color w:val="0070C0"/>
          <w:u w:val="single"/>
          <w:lang w:val="sq-AL"/>
        </w:rPr>
        <w:t>:</w:t>
      </w:r>
      <w:r w:rsidR="001B75D4" w:rsidRPr="002B3B55">
        <w:rPr>
          <w:i/>
          <w:color w:val="0070C0"/>
          <w:lang w:val="sq-AL"/>
        </w:rPr>
        <w:t xml:space="preserve"> </w:t>
      </w:r>
      <w:r w:rsidR="003933AE" w:rsidRPr="004F5FF7">
        <w:rPr>
          <w:color w:val="002060"/>
          <w:lang w:val="sq-AL"/>
        </w:rPr>
        <w:t>Njësitë e vetëqeverisjes vendore (NJ</w:t>
      </w:r>
      <w:r w:rsidR="00D75284">
        <w:rPr>
          <w:color w:val="002060"/>
          <w:lang w:val="sq-AL"/>
        </w:rPr>
        <w:t>V</w:t>
      </w:r>
      <w:r w:rsidR="003933AE" w:rsidRPr="004F5FF7">
        <w:rPr>
          <w:color w:val="002060"/>
          <w:lang w:val="sq-AL"/>
        </w:rPr>
        <w:t xml:space="preserve">QV) </w:t>
      </w:r>
      <w:r w:rsidR="00D75284">
        <w:rPr>
          <w:color w:val="002060"/>
          <w:lang w:val="sq-AL"/>
        </w:rPr>
        <w:t xml:space="preserve">përfitojnë dhe </w:t>
      </w:r>
      <w:r w:rsidR="003933AE" w:rsidRPr="004F5FF7">
        <w:rPr>
          <w:color w:val="002060"/>
          <w:lang w:val="sq-AL"/>
        </w:rPr>
        <w:t xml:space="preserve">administrojnë gjithashtu Fondin e Rindërtimit, i cili është alokuar nga buxheti i shtetit për qëllime të rimëkëmbjes pas tërmetit dhe përbën një komponent </w:t>
      </w:r>
      <w:r w:rsidR="004F5FF7">
        <w:rPr>
          <w:color w:val="002060"/>
          <w:lang w:val="sq-AL"/>
        </w:rPr>
        <w:t>shtes</w:t>
      </w:r>
      <w:r w:rsidR="007B70E4">
        <w:rPr>
          <w:color w:val="002060"/>
          <w:lang w:val="sq-AL"/>
        </w:rPr>
        <w:t>ë</w:t>
      </w:r>
      <w:r w:rsidR="004F5FF7">
        <w:rPr>
          <w:color w:val="002060"/>
          <w:lang w:val="sq-AL"/>
        </w:rPr>
        <w:t xml:space="preserve"> </w:t>
      </w:r>
      <w:r w:rsidR="003933AE" w:rsidRPr="004F5FF7">
        <w:rPr>
          <w:color w:val="002060"/>
          <w:lang w:val="sq-AL"/>
        </w:rPr>
        <w:t xml:space="preserve">të shpenzimeve të buxhetit vendor. </w:t>
      </w:r>
      <w:r w:rsidR="0063778E" w:rsidRPr="004F5FF7">
        <w:rPr>
          <w:color w:val="002060"/>
          <w:lang w:val="sq-AL"/>
        </w:rPr>
        <w:t>P</w:t>
      </w:r>
      <w:r w:rsidR="003933AE" w:rsidRPr="004F5FF7">
        <w:rPr>
          <w:color w:val="002060"/>
          <w:lang w:val="sq-AL"/>
        </w:rPr>
        <w:t xml:space="preserve">lani i alokuar për Fondin e Rindërtimit </w:t>
      </w:r>
      <w:r w:rsidR="004F5FF7">
        <w:rPr>
          <w:color w:val="002060"/>
          <w:lang w:val="sq-AL"/>
        </w:rPr>
        <w:t>n</w:t>
      </w:r>
      <w:r w:rsidR="007B70E4">
        <w:rPr>
          <w:color w:val="002060"/>
          <w:lang w:val="sq-AL"/>
        </w:rPr>
        <w:t>ë</w:t>
      </w:r>
      <w:r w:rsidR="004F5FF7">
        <w:rPr>
          <w:color w:val="002060"/>
          <w:lang w:val="sq-AL"/>
        </w:rPr>
        <w:t xml:space="preserve"> vitin 2025 </w:t>
      </w:r>
      <w:r w:rsidR="00AD1128" w:rsidRPr="004F5FF7">
        <w:rPr>
          <w:color w:val="002060"/>
          <w:lang w:val="sq-AL"/>
        </w:rPr>
        <w:t>ë</w:t>
      </w:r>
      <w:r w:rsidR="005F74B7" w:rsidRPr="004F5FF7">
        <w:rPr>
          <w:color w:val="002060"/>
          <w:lang w:val="sq-AL"/>
        </w:rPr>
        <w:t>sht</w:t>
      </w:r>
      <w:r w:rsidR="00AD1128" w:rsidRPr="004F5FF7">
        <w:rPr>
          <w:color w:val="002060"/>
          <w:lang w:val="sq-AL"/>
        </w:rPr>
        <w:t>ë</w:t>
      </w:r>
      <w:r w:rsidR="003933AE" w:rsidRPr="004F5FF7">
        <w:rPr>
          <w:color w:val="002060"/>
          <w:lang w:val="sq-AL"/>
        </w:rPr>
        <w:t xml:space="preserve"> 7,311 milion lekë</w:t>
      </w:r>
      <w:r w:rsidR="0063778E" w:rsidRPr="004F5FF7">
        <w:rPr>
          <w:color w:val="002060"/>
          <w:lang w:val="sq-AL"/>
        </w:rPr>
        <w:t>, nga t</w:t>
      </w:r>
      <w:r w:rsidR="00AD1128" w:rsidRPr="004F5FF7">
        <w:rPr>
          <w:color w:val="002060"/>
          <w:lang w:val="sq-AL"/>
        </w:rPr>
        <w:t>ë</w:t>
      </w:r>
      <w:r w:rsidR="0063778E" w:rsidRPr="004F5FF7">
        <w:rPr>
          <w:color w:val="002060"/>
          <w:lang w:val="sq-AL"/>
        </w:rPr>
        <w:t xml:space="preserve"> cilat</w:t>
      </w:r>
      <w:r w:rsidR="003933AE" w:rsidRPr="004F5FF7">
        <w:rPr>
          <w:color w:val="002060"/>
          <w:lang w:val="sq-AL"/>
        </w:rPr>
        <w:t xml:space="preserve"> deri në fund të kësaj periudhe, janë përdorur vetëm 1,189 milion lekë, që përfaqëson rreth 16% të realizimit të planit </w:t>
      </w:r>
      <w:r w:rsidR="00C14DF5" w:rsidRPr="004F5FF7">
        <w:rPr>
          <w:color w:val="002060"/>
          <w:lang w:val="sq-AL"/>
        </w:rPr>
        <w:t>p</w:t>
      </w:r>
      <w:r w:rsidR="003F7B95" w:rsidRPr="004F5FF7">
        <w:rPr>
          <w:color w:val="002060"/>
          <w:lang w:val="sq-AL"/>
        </w:rPr>
        <w:t>ë</w:t>
      </w:r>
      <w:r w:rsidR="00C14DF5" w:rsidRPr="004F5FF7">
        <w:rPr>
          <w:color w:val="002060"/>
          <w:lang w:val="sq-AL"/>
        </w:rPr>
        <w:t>r periudh</w:t>
      </w:r>
      <w:r w:rsidR="003F7B95" w:rsidRPr="004F5FF7">
        <w:rPr>
          <w:color w:val="002060"/>
          <w:lang w:val="sq-AL"/>
        </w:rPr>
        <w:t>ë</w:t>
      </w:r>
      <w:r w:rsidR="00C14DF5" w:rsidRPr="004F5FF7">
        <w:rPr>
          <w:color w:val="002060"/>
          <w:lang w:val="sq-AL"/>
        </w:rPr>
        <w:t xml:space="preserve">n </w:t>
      </w:r>
      <w:r w:rsidR="003933AE" w:rsidRPr="004F5FF7">
        <w:rPr>
          <w:color w:val="002060"/>
          <w:lang w:val="sq-AL"/>
        </w:rPr>
        <w:t>6-mujor</w:t>
      </w:r>
      <w:r w:rsidR="00C14DF5" w:rsidRPr="004F5FF7">
        <w:rPr>
          <w:color w:val="002060"/>
          <w:lang w:val="sq-AL"/>
        </w:rPr>
        <w:t xml:space="preserve"> 2025</w:t>
      </w:r>
      <w:r w:rsidR="003933AE" w:rsidRPr="004F5FF7">
        <w:rPr>
          <w:color w:val="002060"/>
          <w:lang w:val="sq-AL"/>
        </w:rPr>
        <w:t xml:space="preserve">. </w:t>
      </w:r>
      <w:r w:rsidR="00E534F8" w:rsidRPr="004F5FF7">
        <w:rPr>
          <w:color w:val="002060"/>
          <w:lang w:val="sq-AL"/>
        </w:rPr>
        <w:t>Plani në tabelën e mëposhtme për njësitë e vetëqeverisjes vendore paraqet fondin e rindërtimit të papërdorur në buxhetin e vitit 2024 dhe të trash</w:t>
      </w:r>
      <w:r w:rsidR="00C14DF5" w:rsidRPr="004F5FF7">
        <w:rPr>
          <w:color w:val="002060"/>
          <w:lang w:val="sq-AL"/>
        </w:rPr>
        <w:t xml:space="preserve">ëguar në buxhetin e vitit 2025. </w:t>
      </w:r>
      <w:r w:rsidR="00E534F8" w:rsidRPr="004F5FF7">
        <w:rPr>
          <w:color w:val="002060"/>
          <w:lang w:val="sq-AL"/>
        </w:rPr>
        <w:t xml:space="preserve">Detajimin e fondit të </w:t>
      </w:r>
      <w:r w:rsidR="004F5FF7">
        <w:rPr>
          <w:color w:val="002060"/>
          <w:lang w:val="sq-AL"/>
        </w:rPr>
        <w:t>r</w:t>
      </w:r>
      <w:r w:rsidR="00E534F8" w:rsidRPr="004F5FF7">
        <w:rPr>
          <w:color w:val="002060"/>
          <w:lang w:val="sq-AL"/>
        </w:rPr>
        <w:t>indërtimit sipas natyrës së shpenzimeve, e paraqet tabela e mëposhtme:</w:t>
      </w:r>
      <w:r w:rsidR="00E534F8" w:rsidRPr="009A28B0">
        <w:rPr>
          <w:lang w:val="sq-AL"/>
        </w:rPr>
        <w:t xml:space="preserve"> </w:t>
      </w:r>
    </w:p>
    <w:p w14:paraId="6626A00E" w14:textId="2912E792" w:rsidR="001B75D4" w:rsidRPr="004F5FF7" w:rsidRDefault="001B75D4" w:rsidP="00E534F8">
      <w:pPr>
        <w:pStyle w:val="NormalWeb"/>
        <w:jc w:val="both"/>
        <w:rPr>
          <w:i/>
          <w:iCs/>
          <w:color w:val="0070C0"/>
          <w:lang w:val="sq-AL"/>
        </w:rPr>
      </w:pPr>
      <w:r w:rsidRPr="004F5FF7">
        <w:rPr>
          <w:b/>
          <w:bCs/>
          <w:i/>
          <w:iCs/>
          <w:color w:val="0070C0"/>
          <w:lang w:val="sq-AL"/>
        </w:rPr>
        <w:t xml:space="preserve">Tabela </w:t>
      </w:r>
      <w:r w:rsidR="00A41475" w:rsidRPr="004F5FF7">
        <w:rPr>
          <w:b/>
          <w:bCs/>
          <w:i/>
          <w:iCs/>
          <w:color w:val="0070C0"/>
          <w:lang w:val="sq-AL"/>
        </w:rPr>
        <w:t>2</w:t>
      </w:r>
      <w:r w:rsidRPr="004F5FF7">
        <w:rPr>
          <w:b/>
          <w:bCs/>
          <w:i/>
          <w:iCs/>
          <w:color w:val="0070C0"/>
          <w:lang w:val="sq-AL"/>
        </w:rPr>
        <w:t xml:space="preserve">: </w:t>
      </w:r>
      <w:r w:rsidRPr="004F5FF7">
        <w:rPr>
          <w:i/>
          <w:iCs/>
          <w:color w:val="0070C0"/>
          <w:lang w:val="sq-AL"/>
        </w:rPr>
        <w:t>Shpenzimet e fondit të rindërtimit për pushtetin vendor sipas natyrës (në milion lekë)</w:t>
      </w:r>
    </w:p>
    <w:tbl>
      <w:tblPr>
        <w:tblW w:w="9173" w:type="dxa"/>
        <w:jc w:val="center"/>
        <w:tblLook w:val="04A0" w:firstRow="1" w:lastRow="0" w:firstColumn="1" w:lastColumn="0" w:noHBand="0" w:noVBand="1"/>
      </w:tblPr>
      <w:tblGrid>
        <w:gridCol w:w="4533"/>
        <w:gridCol w:w="2320"/>
        <w:gridCol w:w="2320"/>
      </w:tblGrid>
      <w:tr w:rsidR="00FE7316" w:rsidRPr="00CF2AA3" w14:paraId="7788BA06" w14:textId="77777777" w:rsidTr="00CF2AA3">
        <w:trPr>
          <w:trHeight w:val="270"/>
          <w:jc w:val="center"/>
        </w:trPr>
        <w:tc>
          <w:tcPr>
            <w:tcW w:w="4533" w:type="dxa"/>
            <w:vMerge w:val="restart"/>
            <w:tcBorders>
              <w:top w:val="double" w:sz="6" w:space="0" w:color="auto"/>
              <w:left w:val="double" w:sz="6" w:space="0" w:color="auto"/>
              <w:bottom w:val="single" w:sz="4" w:space="0" w:color="auto"/>
              <w:right w:val="single" w:sz="4" w:space="0" w:color="auto"/>
            </w:tcBorders>
            <w:shd w:val="clear" w:color="000000" w:fill="DBE5F1"/>
            <w:noWrap/>
            <w:vAlign w:val="center"/>
            <w:hideMark/>
          </w:tcPr>
          <w:p w14:paraId="64771CB5" w14:textId="77777777" w:rsidR="00FE7316" w:rsidRPr="00CF2AA3" w:rsidRDefault="00FE7316" w:rsidP="00CF2AA3">
            <w:pPr>
              <w:spacing w:line="276" w:lineRule="auto"/>
              <w:jc w:val="center"/>
              <w:rPr>
                <w:b/>
                <w:bCs/>
                <w:color w:val="0D0D0D"/>
                <w:sz w:val="20"/>
                <w:szCs w:val="20"/>
                <w:lang w:val="sq-AL"/>
              </w:rPr>
            </w:pPr>
            <w:r w:rsidRPr="00CF2AA3">
              <w:rPr>
                <w:b/>
                <w:bCs/>
                <w:color w:val="0D0D0D"/>
                <w:sz w:val="20"/>
                <w:szCs w:val="20"/>
                <w:lang w:val="sq-AL"/>
              </w:rPr>
              <w:t>E  M  Ë  R  T  I  M  I</w:t>
            </w:r>
          </w:p>
        </w:tc>
        <w:tc>
          <w:tcPr>
            <w:tcW w:w="2320" w:type="dxa"/>
            <w:tcBorders>
              <w:top w:val="double" w:sz="6" w:space="0" w:color="auto"/>
              <w:left w:val="single" w:sz="4" w:space="0" w:color="auto"/>
              <w:bottom w:val="single" w:sz="4" w:space="0" w:color="auto"/>
              <w:right w:val="single" w:sz="4" w:space="0" w:color="auto"/>
            </w:tcBorders>
            <w:shd w:val="clear" w:color="000000" w:fill="DBE5F1"/>
            <w:noWrap/>
            <w:vAlign w:val="center"/>
            <w:hideMark/>
          </w:tcPr>
          <w:p w14:paraId="48953999" w14:textId="77777777" w:rsidR="00FE7316" w:rsidRPr="00CF2AA3" w:rsidRDefault="00FE7316" w:rsidP="00CF2AA3">
            <w:pPr>
              <w:spacing w:line="276" w:lineRule="auto"/>
              <w:jc w:val="center"/>
              <w:rPr>
                <w:b/>
                <w:bCs/>
                <w:color w:val="0D0D0D"/>
                <w:sz w:val="20"/>
                <w:szCs w:val="20"/>
                <w:lang w:val="sq-AL"/>
              </w:rPr>
            </w:pPr>
            <w:r w:rsidRPr="00CF2AA3">
              <w:rPr>
                <w:b/>
                <w:bCs/>
                <w:color w:val="0D0D0D"/>
                <w:sz w:val="20"/>
                <w:szCs w:val="20"/>
                <w:lang w:val="sq-AL"/>
              </w:rPr>
              <w:t>Buxheti total 6-mujor</w:t>
            </w:r>
          </w:p>
        </w:tc>
        <w:tc>
          <w:tcPr>
            <w:tcW w:w="2320" w:type="dxa"/>
            <w:tcBorders>
              <w:top w:val="double" w:sz="6" w:space="0" w:color="auto"/>
              <w:left w:val="nil"/>
              <w:bottom w:val="single" w:sz="4" w:space="0" w:color="auto"/>
              <w:right w:val="double" w:sz="6" w:space="0" w:color="auto"/>
            </w:tcBorders>
            <w:shd w:val="clear" w:color="000000" w:fill="DBE5F1"/>
            <w:noWrap/>
            <w:vAlign w:val="center"/>
            <w:hideMark/>
          </w:tcPr>
          <w:p w14:paraId="1FCF875D" w14:textId="77777777" w:rsidR="00FE7316" w:rsidRPr="00CF2AA3" w:rsidRDefault="00FE7316" w:rsidP="00CF2AA3">
            <w:pPr>
              <w:spacing w:line="276" w:lineRule="auto"/>
              <w:jc w:val="center"/>
              <w:rPr>
                <w:b/>
                <w:bCs/>
                <w:color w:val="0D0D0D"/>
                <w:sz w:val="20"/>
                <w:szCs w:val="20"/>
                <w:lang w:val="sq-AL"/>
              </w:rPr>
            </w:pPr>
            <w:r w:rsidRPr="00CF2AA3">
              <w:rPr>
                <w:b/>
                <w:bCs/>
                <w:color w:val="0D0D0D"/>
                <w:sz w:val="20"/>
                <w:szCs w:val="20"/>
                <w:lang w:val="sq-AL"/>
              </w:rPr>
              <w:t>Fakt 6 mujori</w:t>
            </w:r>
          </w:p>
        </w:tc>
      </w:tr>
      <w:tr w:rsidR="00FE7316" w:rsidRPr="00CF2AA3" w14:paraId="3F060A9D" w14:textId="77777777" w:rsidTr="00CF2AA3">
        <w:trPr>
          <w:trHeight w:val="255"/>
          <w:jc w:val="center"/>
        </w:trPr>
        <w:tc>
          <w:tcPr>
            <w:tcW w:w="4533" w:type="dxa"/>
            <w:vMerge/>
            <w:tcBorders>
              <w:top w:val="double" w:sz="6" w:space="0" w:color="auto"/>
              <w:left w:val="double" w:sz="6" w:space="0" w:color="auto"/>
              <w:bottom w:val="single" w:sz="4" w:space="0" w:color="auto"/>
              <w:right w:val="single" w:sz="4" w:space="0" w:color="auto"/>
            </w:tcBorders>
            <w:vAlign w:val="center"/>
            <w:hideMark/>
          </w:tcPr>
          <w:p w14:paraId="53555DB5" w14:textId="77777777" w:rsidR="00FE7316" w:rsidRPr="00CF2AA3" w:rsidRDefault="00FE7316" w:rsidP="00CF2AA3">
            <w:pPr>
              <w:spacing w:line="276" w:lineRule="auto"/>
              <w:rPr>
                <w:b/>
                <w:bCs/>
                <w:color w:val="0D0D0D"/>
                <w:sz w:val="20"/>
                <w:szCs w:val="20"/>
                <w:lang w:val="sq-AL"/>
              </w:rPr>
            </w:pPr>
          </w:p>
        </w:tc>
        <w:tc>
          <w:tcPr>
            <w:tcW w:w="4640" w:type="dxa"/>
            <w:gridSpan w:val="2"/>
            <w:tcBorders>
              <w:top w:val="single" w:sz="4" w:space="0" w:color="auto"/>
              <w:left w:val="nil"/>
              <w:bottom w:val="single" w:sz="4" w:space="0" w:color="auto"/>
              <w:right w:val="double" w:sz="6" w:space="0" w:color="000000"/>
            </w:tcBorders>
            <w:shd w:val="clear" w:color="000000" w:fill="DBE5F1"/>
            <w:noWrap/>
            <w:vAlign w:val="center"/>
            <w:hideMark/>
          </w:tcPr>
          <w:p w14:paraId="0CF8C764" w14:textId="31856367" w:rsidR="00FE7316" w:rsidRPr="00CF2AA3" w:rsidRDefault="009D5418" w:rsidP="00CF2AA3">
            <w:pPr>
              <w:spacing w:line="276" w:lineRule="auto"/>
              <w:jc w:val="center"/>
              <w:rPr>
                <w:b/>
                <w:bCs/>
                <w:color w:val="0D0D0D"/>
                <w:sz w:val="20"/>
                <w:szCs w:val="20"/>
                <w:lang w:val="sq-AL"/>
              </w:rPr>
            </w:pPr>
            <w:r>
              <w:rPr>
                <w:b/>
                <w:bCs/>
                <w:color w:val="0D0D0D"/>
                <w:sz w:val="20"/>
                <w:szCs w:val="20"/>
                <w:lang w:val="sq-AL"/>
              </w:rPr>
              <w:t>2025</w:t>
            </w:r>
          </w:p>
        </w:tc>
      </w:tr>
      <w:tr w:rsidR="003933AE" w:rsidRPr="00CF2AA3" w14:paraId="037075BD" w14:textId="77777777" w:rsidTr="00665954">
        <w:trPr>
          <w:trHeight w:val="255"/>
          <w:jc w:val="center"/>
        </w:trPr>
        <w:tc>
          <w:tcPr>
            <w:tcW w:w="4533" w:type="dxa"/>
            <w:tcBorders>
              <w:top w:val="nil"/>
              <w:left w:val="double" w:sz="6" w:space="0" w:color="auto"/>
              <w:bottom w:val="single" w:sz="4" w:space="0" w:color="auto"/>
              <w:right w:val="single" w:sz="4" w:space="0" w:color="auto"/>
            </w:tcBorders>
            <w:shd w:val="clear" w:color="auto" w:fill="auto"/>
            <w:noWrap/>
            <w:vAlign w:val="center"/>
            <w:hideMark/>
          </w:tcPr>
          <w:p w14:paraId="65D20738" w14:textId="77777777" w:rsidR="003933AE" w:rsidRPr="00CF2AA3" w:rsidRDefault="003933AE" w:rsidP="003933AE">
            <w:pPr>
              <w:spacing w:line="276" w:lineRule="auto"/>
              <w:jc w:val="both"/>
              <w:rPr>
                <w:b/>
                <w:bCs/>
                <w:color w:val="0D0D0D"/>
                <w:sz w:val="20"/>
                <w:szCs w:val="20"/>
                <w:lang w:val="sq-AL"/>
              </w:rPr>
            </w:pPr>
            <w:r w:rsidRPr="00CF2AA3">
              <w:rPr>
                <w:b/>
                <w:bCs/>
                <w:color w:val="0D0D0D"/>
                <w:sz w:val="20"/>
                <w:szCs w:val="20"/>
                <w:lang w:val="sq-AL"/>
              </w:rPr>
              <w:t>Fondi i Rindërtimit</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BD58C" w14:textId="5AB95F70" w:rsidR="003933AE" w:rsidRPr="00CF2AA3" w:rsidRDefault="003933AE" w:rsidP="003933AE">
            <w:pPr>
              <w:spacing w:line="276" w:lineRule="auto"/>
              <w:jc w:val="center"/>
              <w:rPr>
                <w:b/>
                <w:bCs/>
                <w:color w:val="0D0D0D"/>
                <w:sz w:val="20"/>
                <w:szCs w:val="20"/>
                <w:lang w:val="sq-AL"/>
              </w:rPr>
            </w:pPr>
            <w:r>
              <w:rPr>
                <w:b/>
                <w:bCs/>
                <w:color w:val="0D0D0D"/>
                <w:sz w:val="20"/>
                <w:szCs w:val="20"/>
              </w:rPr>
              <w:t>7,311</w:t>
            </w:r>
          </w:p>
        </w:tc>
        <w:tc>
          <w:tcPr>
            <w:tcW w:w="2320" w:type="dxa"/>
            <w:tcBorders>
              <w:top w:val="single" w:sz="4" w:space="0" w:color="auto"/>
              <w:left w:val="nil"/>
              <w:bottom w:val="single" w:sz="4" w:space="0" w:color="auto"/>
              <w:right w:val="double" w:sz="6" w:space="0" w:color="auto"/>
            </w:tcBorders>
            <w:shd w:val="clear" w:color="auto" w:fill="auto"/>
            <w:noWrap/>
            <w:vAlign w:val="center"/>
            <w:hideMark/>
          </w:tcPr>
          <w:p w14:paraId="54EC2C68" w14:textId="52DBDB00" w:rsidR="003933AE" w:rsidRPr="00CF2AA3" w:rsidRDefault="003933AE" w:rsidP="003933AE">
            <w:pPr>
              <w:spacing w:line="276" w:lineRule="auto"/>
              <w:jc w:val="center"/>
              <w:rPr>
                <w:b/>
                <w:bCs/>
                <w:color w:val="0D0D0D"/>
                <w:sz w:val="20"/>
                <w:szCs w:val="20"/>
                <w:lang w:val="sq-AL"/>
              </w:rPr>
            </w:pPr>
            <w:r>
              <w:rPr>
                <w:b/>
                <w:bCs/>
                <w:color w:val="0D0D0D"/>
                <w:sz w:val="20"/>
                <w:szCs w:val="20"/>
              </w:rPr>
              <w:t>1,189</w:t>
            </w:r>
          </w:p>
        </w:tc>
      </w:tr>
      <w:tr w:rsidR="003933AE" w:rsidRPr="00CF2AA3" w14:paraId="549AB752" w14:textId="77777777" w:rsidTr="00665954">
        <w:trPr>
          <w:trHeight w:val="255"/>
          <w:jc w:val="center"/>
        </w:trPr>
        <w:tc>
          <w:tcPr>
            <w:tcW w:w="4533" w:type="dxa"/>
            <w:tcBorders>
              <w:top w:val="nil"/>
              <w:left w:val="double" w:sz="6" w:space="0" w:color="auto"/>
              <w:bottom w:val="single" w:sz="4" w:space="0" w:color="auto"/>
              <w:right w:val="single" w:sz="4" w:space="0" w:color="auto"/>
            </w:tcBorders>
            <w:shd w:val="clear" w:color="auto" w:fill="auto"/>
            <w:noWrap/>
            <w:vAlign w:val="center"/>
            <w:hideMark/>
          </w:tcPr>
          <w:p w14:paraId="0C6192FA" w14:textId="77777777" w:rsidR="003933AE" w:rsidRPr="00CF2AA3" w:rsidRDefault="003933AE" w:rsidP="003933AE">
            <w:pPr>
              <w:spacing w:line="276" w:lineRule="auto"/>
              <w:jc w:val="both"/>
              <w:rPr>
                <w:i/>
                <w:iCs/>
                <w:color w:val="0D0D0D"/>
                <w:sz w:val="20"/>
                <w:szCs w:val="20"/>
                <w:lang w:val="sq-AL"/>
              </w:rPr>
            </w:pPr>
            <w:r w:rsidRPr="00CF2AA3">
              <w:rPr>
                <w:i/>
                <w:iCs/>
                <w:color w:val="0D0D0D"/>
                <w:sz w:val="20"/>
                <w:szCs w:val="20"/>
                <w:lang w:val="sq-AL"/>
              </w:rPr>
              <w:t>Shpenzime kapitale</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165046F5" w14:textId="19D2037F" w:rsidR="003933AE" w:rsidRPr="00CF2AA3" w:rsidRDefault="003933AE" w:rsidP="003933AE">
            <w:pPr>
              <w:spacing w:line="276" w:lineRule="auto"/>
              <w:jc w:val="center"/>
              <w:rPr>
                <w:color w:val="0D0D0D"/>
                <w:sz w:val="20"/>
                <w:szCs w:val="20"/>
                <w:lang w:val="sq-AL"/>
              </w:rPr>
            </w:pPr>
            <w:r>
              <w:rPr>
                <w:color w:val="0D0D0D"/>
                <w:sz w:val="20"/>
                <w:szCs w:val="20"/>
              </w:rPr>
              <w:t>4,195</w:t>
            </w:r>
          </w:p>
        </w:tc>
        <w:tc>
          <w:tcPr>
            <w:tcW w:w="2320" w:type="dxa"/>
            <w:tcBorders>
              <w:top w:val="nil"/>
              <w:left w:val="nil"/>
              <w:bottom w:val="single" w:sz="4" w:space="0" w:color="auto"/>
              <w:right w:val="double" w:sz="6" w:space="0" w:color="auto"/>
            </w:tcBorders>
            <w:shd w:val="clear" w:color="auto" w:fill="auto"/>
            <w:noWrap/>
            <w:vAlign w:val="center"/>
            <w:hideMark/>
          </w:tcPr>
          <w:p w14:paraId="20BED915" w14:textId="3E965405" w:rsidR="003933AE" w:rsidRPr="00CF2AA3" w:rsidRDefault="003933AE" w:rsidP="003933AE">
            <w:pPr>
              <w:spacing w:line="276" w:lineRule="auto"/>
              <w:jc w:val="center"/>
              <w:rPr>
                <w:color w:val="0D0D0D"/>
                <w:sz w:val="20"/>
                <w:szCs w:val="20"/>
                <w:lang w:val="sq-AL"/>
              </w:rPr>
            </w:pPr>
            <w:r>
              <w:rPr>
                <w:color w:val="0D0D0D"/>
                <w:sz w:val="20"/>
                <w:szCs w:val="20"/>
              </w:rPr>
              <w:t>501</w:t>
            </w:r>
          </w:p>
        </w:tc>
      </w:tr>
      <w:tr w:rsidR="003933AE" w:rsidRPr="00CF2AA3" w14:paraId="76D0CA20" w14:textId="77777777" w:rsidTr="00665954">
        <w:trPr>
          <w:trHeight w:val="255"/>
          <w:jc w:val="center"/>
        </w:trPr>
        <w:tc>
          <w:tcPr>
            <w:tcW w:w="4533" w:type="dxa"/>
            <w:tcBorders>
              <w:top w:val="nil"/>
              <w:left w:val="double" w:sz="6" w:space="0" w:color="auto"/>
              <w:bottom w:val="single" w:sz="4" w:space="0" w:color="auto"/>
              <w:right w:val="single" w:sz="4" w:space="0" w:color="auto"/>
            </w:tcBorders>
            <w:shd w:val="clear" w:color="auto" w:fill="auto"/>
            <w:noWrap/>
            <w:vAlign w:val="center"/>
            <w:hideMark/>
          </w:tcPr>
          <w:p w14:paraId="4E77A393" w14:textId="77777777" w:rsidR="003933AE" w:rsidRPr="00CF2AA3" w:rsidRDefault="003933AE" w:rsidP="003933AE">
            <w:pPr>
              <w:spacing w:line="276" w:lineRule="auto"/>
              <w:jc w:val="both"/>
              <w:rPr>
                <w:i/>
                <w:iCs/>
                <w:color w:val="0D0D0D"/>
                <w:sz w:val="20"/>
                <w:szCs w:val="20"/>
                <w:lang w:val="sq-AL"/>
              </w:rPr>
            </w:pPr>
            <w:r w:rsidRPr="00CF2AA3">
              <w:rPr>
                <w:i/>
                <w:iCs/>
                <w:color w:val="0D0D0D"/>
                <w:sz w:val="20"/>
                <w:szCs w:val="20"/>
                <w:lang w:val="sq-AL"/>
              </w:rPr>
              <w:t>Shpenzime operative e mirëmbajtjeje</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5ECB0FA0" w14:textId="410C19DE" w:rsidR="003933AE" w:rsidRPr="00CF2AA3" w:rsidRDefault="003933AE" w:rsidP="003933AE">
            <w:pPr>
              <w:spacing w:line="276" w:lineRule="auto"/>
              <w:jc w:val="center"/>
              <w:rPr>
                <w:color w:val="0D0D0D"/>
                <w:sz w:val="20"/>
                <w:szCs w:val="20"/>
                <w:lang w:val="sq-AL"/>
              </w:rPr>
            </w:pPr>
            <w:r>
              <w:rPr>
                <w:color w:val="0D0D0D"/>
                <w:sz w:val="20"/>
                <w:szCs w:val="20"/>
              </w:rPr>
              <w:t>491</w:t>
            </w:r>
          </w:p>
        </w:tc>
        <w:tc>
          <w:tcPr>
            <w:tcW w:w="2320" w:type="dxa"/>
            <w:tcBorders>
              <w:top w:val="nil"/>
              <w:left w:val="nil"/>
              <w:bottom w:val="single" w:sz="4" w:space="0" w:color="auto"/>
              <w:right w:val="double" w:sz="6" w:space="0" w:color="auto"/>
            </w:tcBorders>
            <w:shd w:val="clear" w:color="auto" w:fill="auto"/>
            <w:noWrap/>
            <w:vAlign w:val="center"/>
            <w:hideMark/>
          </w:tcPr>
          <w:p w14:paraId="2F234312" w14:textId="78609593" w:rsidR="003933AE" w:rsidRPr="00CF2AA3" w:rsidRDefault="003933AE" w:rsidP="003933AE">
            <w:pPr>
              <w:spacing w:line="276" w:lineRule="auto"/>
              <w:jc w:val="center"/>
              <w:rPr>
                <w:color w:val="0D0D0D"/>
                <w:sz w:val="20"/>
                <w:szCs w:val="20"/>
                <w:lang w:val="sq-AL"/>
              </w:rPr>
            </w:pPr>
            <w:r>
              <w:rPr>
                <w:color w:val="0D0D0D"/>
                <w:sz w:val="20"/>
                <w:szCs w:val="20"/>
              </w:rPr>
              <w:t>0</w:t>
            </w:r>
          </w:p>
        </w:tc>
      </w:tr>
      <w:tr w:rsidR="003933AE" w:rsidRPr="00CF2AA3" w14:paraId="1584DE6E" w14:textId="77777777" w:rsidTr="00665954">
        <w:trPr>
          <w:trHeight w:val="270"/>
          <w:jc w:val="center"/>
        </w:trPr>
        <w:tc>
          <w:tcPr>
            <w:tcW w:w="4533" w:type="dxa"/>
            <w:tcBorders>
              <w:top w:val="nil"/>
              <w:left w:val="double" w:sz="6" w:space="0" w:color="auto"/>
              <w:bottom w:val="double" w:sz="6" w:space="0" w:color="auto"/>
              <w:right w:val="single" w:sz="4" w:space="0" w:color="auto"/>
            </w:tcBorders>
            <w:shd w:val="clear" w:color="auto" w:fill="auto"/>
            <w:noWrap/>
            <w:vAlign w:val="center"/>
            <w:hideMark/>
          </w:tcPr>
          <w:p w14:paraId="42E71D7E" w14:textId="77777777" w:rsidR="003933AE" w:rsidRPr="00CF2AA3" w:rsidRDefault="003933AE" w:rsidP="003933AE">
            <w:pPr>
              <w:spacing w:line="276" w:lineRule="auto"/>
              <w:jc w:val="both"/>
              <w:rPr>
                <w:i/>
                <w:iCs/>
                <w:color w:val="0D0D0D"/>
                <w:sz w:val="20"/>
                <w:szCs w:val="20"/>
                <w:lang w:val="sq-AL"/>
              </w:rPr>
            </w:pPr>
            <w:r w:rsidRPr="00CF2AA3">
              <w:rPr>
                <w:i/>
                <w:iCs/>
                <w:color w:val="0D0D0D"/>
                <w:sz w:val="20"/>
                <w:szCs w:val="20"/>
                <w:lang w:val="sq-AL"/>
              </w:rPr>
              <w:t>Transferta për familjet dhe individët</w:t>
            </w:r>
          </w:p>
        </w:tc>
        <w:tc>
          <w:tcPr>
            <w:tcW w:w="2320" w:type="dxa"/>
            <w:tcBorders>
              <w:top w:val="nil"/>
              <w:left w:val="single" w:sz="4" w:space="0" w:color="auto"/>
              <w:bottom w:val="double" w:sz="6" w:space="0" w:color="auto"/>
              <w:right w:val="single" w:sz="4" w:space="0" w:color="auto"/>
            </w:tcBorders>
            <w:shd w:val="clear" w:color="auto" w:fill="auto"/>
            <w:noWrap/>
            <w:vAlign w:val="center"/>
            <w:hideMark/>
          </w:tcPr>
          <w:p w14:paraId="37634BF5" w14:textId="25A6C0AD" w:rsidR="003933AE" w:rsidRPr="00CF2AA3" w:rsidRDefault="003933AE" w:rsidP="003933AE">
            <w:pPr>
              <w:spacing w:line="276" w:lineRule="auto"/>
              <w:jc w:val="center"/>
              <w:rPr>
                <w:color w:val="0D0D0D"/>
                <w:sz w:val="20"/>
                <w:szCs w:val="20"/>
                <w:lang w:val="sq-AL"/>
              </w:rPr>
            </w:pPr>
            <w:r>
              <w:rPr>
                <w:color w:val="0D0D0D"/>
                <w:sz w:val="20"/>
                <w:szCs w:val="20"/>
              </w:rPr>
              <w:t>2,626</w:t>
            </w:r>
          </w:p>
        </w:tc>
        <w:tc>
          <w:tcPr>
            <w:tcW w:w="2320" w:type="dxa"/>
            <w:tcBorders>
              <w:top w:val="nil"/>
              <w:left w:val="nil"/>
              <w:bottom w:val="double" w:sz="6" w:space="0" w:color="auto"/>
              <w:right w:val="double" w:sz="6" w:space="0" w:color="auto"/>
            </w:tcBorders>
            <w:shd w:val="clear" w:color="auto" w:fill="auto"/>
            <w:noWrap/>
            <w:vAlign w:val="center"/>
            <w:hideMark/>
          </w:tcPr>
          <w:p w14:paraId="7765C008" w14:textId="23FD8EBE" w:rsidR="003933AE" w:rsidRPr="00CF2AA3" w:rsidRDefault="003933AE" w:rsidP="003933AE">
            <w:pPr>
              <w:spacing w:line="276" w:lineRule="auto"/>
              <w:jc w:val="center"/>
              <w:rPr>
                <w:color w:val="0D0D0D"/>
                <w:sz w:val="20"/>
                <w:szCs w:val="20"/>
                <w:lang w:val="sq-AL"/>
              </w:rPr>
            </w:pPr>
            <w:r>
              <w:rPr>
                <w:color w:val="0D0D0D"/>
                <w:sz w:val="20"/>
                <w:szCs w:val="20"/>
              </w:rPr>
              <w:t>688</w:t>
            </w:r>
          </w:p>
        </w:tc>
      </w:tr>
    </w:tbl>
    <w:p w14:paraId="3DD82E50" w14:textId="5159D7DA" w:rsidR="00B00659" w:rsidRPr="003933AE" w:rsidRDefault="00CF2AA3" w:rsidP="00CF2AA3">
      <w:pPr>
        <w:pStyle w:val="Caption"/>
        <w:spacing w:line="276" w:lineRule="auto"/>
        <w:rPr>
          <w:rFonts w:eastAsia="SimSun"/>
          <w:b w:val="0"/>
          <w:bCs w:val="0"/>
          <w:i/>
          <w:color w:val="0070C0"/>
          <w:szCs w:val="22"/>
          <w:lang w:val="sq-AL"/>
        </w:rPr>
      </w:pPr>
      <w:r w:rsidRPr="00B30E71">
        <w:rPr>
          <w:rFonts w:eastAsia="SimSun"/>
          <w:i/>
          <w:color w:val="0070C0"/>
          <w:szCs w:val="22"/>
          <w:lang w:val="sq-AL"/>
        </w:rPr>
        <w:t xml:space="preserve">Burimi: </w:t>
      </w:r>
      <w:r w:rsidRPr="00B30E71">
        <w:rPr>
          <w:rFonts w:eastAsia="SimSun"/>
          <w:b w:val="0"/>
          <w:bCs w:val="0"/>
          <w:i/>
          <w:color w:val="0070C0"/>
          <w:szCs w:val="22"/>
          <w:lang w:val="sq-AL"/>
        </w:rPr>
        <w:t>Drejtoria e Financave Vendore, Ministria e Financave (</w:t>
      </w:r>
      <w:r w:rsidR="009D5418">
        <w:rPr>
          <w:rFonts w:eastAsia="SimSun"/>
          <w:b w:val="0"/>
          <w:bCs w:val="0"/>
          <w:i/>
          <w:color w:val="0070C0"/>
          <w:szCs w:val="22"/>
          <w:lang w:val="sq-AL"/>
        </w:rPr>
        <w:t>2025</w:t>
      </w:r>
      <w:r w:rsidRPr="00B30E71">
        <w:rPr>
          <w:rFonts w:eastAsia="SimSun"/>
          <w:b w:val="0"/>
          <w:bCs w:val="0"/>
          <w:i/>
          <w:color w:val="0070C0"/>
          <w:szCs w:val="22"/>
          <w:lang w:val="sq-AL"/>
        </w:rPr>
        <w:t>)</w:t>
      </w:r>
    </w:p>
    <w:sectPr w:rsidR="00B00659" w:rsidRPr="003933AE" w:rsidSect="00947CC0">
      <w:footerReference w:type="default" r:id="rId13"/>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F0912" w14:textId="77777777" w:rsidR="004312B4" w:rsidRDefault="004312B4" w:rsidP="00FD1456">
      <w:r>
        <w:separator/>
      </w:r>
    </w:p>
  </w:endnote>
  <w:endnote w:type="continuationSeparator" w:id="0">
    <w:p w14:paraId="7DDFE038" w14:textId="77777777" w:rsidR="004312B4" w:rsidRDefault="004312B4" w:rsidP="00FD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136E8" w14:textId="77777777" w:rsidR="00FD1456" w:rsidRDefault="00FD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DA8BF" w14:textId="77777777" w:rsidR="004312B4" w:rsidRDefault="004312B4" w:rsidP="00FD1456">
      <w:r>
        <w:separator/>
      </w:r>
    </w:p>
  </w:footnote>
  <w:footnote w:type="continuationSeparator" w:id="0">
    <w:p w14:paraId="0B618F65" w14:textId="77777777" w:rsidR="004312B4" w:rsidRDefault="004312B4" w:rsidP="00FD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549B"/>
    <w:multiLevelType w:val="multilevel"/>
    <w:tmpl w:val="2040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36DCC"/>
    <w:multiLevelType w:val="hybridMultilevel"/>
    <w:tmpl w:val="D92AB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BC3C71"/>
    <w:multiLevelType w:val="hybridMultilevel"/>
    <w:tmpl w:val="EA14C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559E6"/>
    <w:multiLevelType w:val="multilevel"/>
    <w:tmpl w:val="347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181372">
    <w:abstractNumId w:val="1"/>
  </w:num>
  <w:num w:numId="2" w16cid:durableId="122385509">
    <w:abstractNumId w:val="2"/>
  </w:num>
  <w:num w:numId="3" w16cid:durableId="1537279273">
    <w:abstractNumId w:val="3"/>
  </w:num>
  <w:num w:numId="4" w16cid:durableId="18541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D4"/>
    <w:rsid w:val="00001E77"/>
    <w:rsid w:val="00022C62"/>
    <w:rsid w:val="000269E5"/>
    <w:rsid w:val="000328C1"/>
    <w:rsid w:val="00035F26"/>
    <w:rsid w:val="00042F79"/>
    <w:rsid w:val="0005028D"/>
    <w:rsid w:val="00063A4D"/>
    <w:rsid w:val="00095179"/>
    <w:rsid w:val="0009625B"/>
    <w:rsid w:val="00096995"/>
    <w:rsid w:val="000A1C48"/>
    <w:rsid w:val="000B697A"/>
    <w:rsid w:val="000B7CAB"/>
    <w:rsid w:val="000C2980"/>
    <w:rsid w:val="000D44A1"/>
    <w:rsid w:val="00124F66"/>
    <w:rsid w:val="0016173C"/>
    <w:rsid w:val="00186439"/>
    <w:rsid w:val="00194F67"/>
    <w:rsid w:val="001B479C"/>
    <w:rsid w:val="001B75D4"/>
    <w:rsid w:val="00227F00"/>
    <w:rsid w:val="0026246A"/>
    <w:rsid w:val="002651EC"/>
    <w:rsid w:val="002A5168"/>
    <w:rsid w:val="002B3B55"/>
    <w:rsid w:val="002C1FA4"/>
    <w:rsid w:val="003466A7"/>
    <w:rsid w:val="00347A5D"/>
    <w:rsid w:val="00356EB8"/>
    <w:rsid w:val="00357F3D"/>
    <w:rsid w:val="003933AE"/>
    <w:rsid w:val="003C3A4E"/>
    <w:rsid w:val="003D7ADA"/>
    <w:rsid w:val="003E4A26"/>
    <w:rsid w:val="003F0727"/>
    <w:rsid w:val="003F3CF9"/>
    <w:rsid w:val="003F7B95"/>
    <w:rsid w:val="00406AFF"/>
    <w:rsid w:val="00416538"/>
    <w:rsid w:val="004312B4"/>
    <w:rsid w:val="00464552"/>
    <w:rsid w:val="0049147C"/>
    <w:rsid w:val="004E5A2E"/>
    <w:rsid w:val="004F5FF7"/>
    <w:rsid w:val="0053492E"/>
    <w:rsid w:val="00571FAE"/>
    <w:rsid w:val="00586937"/>
    <w:rsid w:val="00592889"/>
    <w:rsid w:val="005C1DDD"/>
    <w:rsid w:val="005F74B7"/>
    <w:rsid w:val="00604742"/>
    <w:rsid w:val="00626668"/>
    <w:rsid w:val="0063778E"/>
    <w:rsid w:val="006516A9"/>
    <w:rsid w:val="006776D9"/>
    <w:rsid w:val="006D28C0"/>
    <w:rsid w:val="006E1F5F"/>
    <w:rsid w:val="007010B5"/>
    <w:rsid w:val="0072367B"/>
    <w:rsid w:val="00742854"/>
    <w:rsid w:val="007575C9"/>
    <w:rsid w:val="00762A5E"/>
    <w:rsid w:val="007733DA"/>
    <w:rsid w:val="007833BC"/>
    <w:rsid w:val="007B70E4"/>
    <w:rsid w:val="007D1544"/>
    <w:rsid w:val="00801BC5"/>
    <w:rsid w:val="0082616D"/>
    <w:rsid w:val="00865218"/>
    <w:rsid w:val="00881B6C"/>
    <w:rsid w:val="00883844"/>
    <w:rsid w:val="00890DE3"/>
    <w:rsid w:val="008C4465"/>
    <w:rsid w:val="008D0F0A"/>
    <w:rsid w:val="009453E1"/>
    <w:rsid w:val="00947CC0"/>
    <w:rsid w:val="00970C6D"/>
    <w:rsid w:val="00972895"/>
    <w:rsid w:val="009A28B0"/>
    <w:rsid w:val="009D5418"/>
    <w:rsid w:val="009F4630"/>
    <w:rsid w:val="00A07986"/>
    <w:rsid w:val="00A178BB"/>
    <w:rsid w:val="00A349F7"/>
    <w:rsid w:val="00A41475"/>
    <w:rsid w:val="00A46590"/>
    <w:rsid w:val="00A5520B"/>
    <w:rsid w:val="00A57860"/>
    <w:rsid w:val="00A82BFA"/>
    <w:rsid w:val="00A87AC8"/>
    <w:rsid w:val="00AD1128"/>
    <w:rsid w:val="00B00659"/>
    <w:rsid w:val="00B27F9E"/>
    <w:rsid w:val="00B30E71"/>
    <w:rsid w:val="00B439CD"/>
    <w:rsid w:val="00B517BB"/>
    <w:rsid w:val="00B61D18"/>
    <w:rsid w:val="00B653EC"/>
    <w:rsid w:val="00B9520D"/>
    <w:rsid w:val="00BC0ABC"/>
    <w:rsid w:val="00BD5140"/>
    <w:rsid w:val="00C14DF5"/>
    <w:rsid w:val="00C479D8"/>
    <w:rsid w:val="00C63474"/>
    <w:rsid w:val="00C957FA"/>
    <w:rsid w:val="00CD77EC"/>
    <w:rsid w:val="00CF2AA3"/>
    <w:rsid w:val="00D20301"/>
    <w:rsid w:val="00D4183D"/>
    <w:rsid w:val="00D72B33"/>
    <w:rsid w:val="00D74A14"/>
    <w:rsid w:val="00D75284"/>
    <w:rsid w:val="00DC7DC1"/>
    <w:rsid w:val="00E13C66"/>
    <w:rsid w:val="00E15607"/>
    <w:rsid w:val="00E534F8"/>
    <w:rsid w:val="00E63164"/>
    <w:rsid w:val="00EA585B"/>
    <w:rsid w:val="00F02207"/>
    <w:rsid w:val="00F57EDE"/>
    <w:rsid w:val="00F70BD9"/>
    <w:rsid w:val="00FD1456"/>
    <w:rsid w:val="00FE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B2B8"/>
  <w15:chartTrackingRefBased/>
  <w15:docId w15:val="{388B809B-B3E7-4D55-92EA-5CEFBF1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D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B75D4"/>
    <w:pPr>
      <w:keepNext/>
      <w:keepLines/>
      <w:spacing w:before="200" w:line="276" w:lineRule="auto"/>
      <w:ind w:left="720" w:hanging="720"/>
      <w:outlineLvl w:val="1"/>
    </w:pPr>
    <w:rPr>
      <w:rFonts w:asciiTheme="minorHAnsi" w:eastAsiaTheme="majorEastAsia" w:hAnsiTheme="minorHAnsi" w:cstheme="majorBidi"/>
      <w:b/>
      <w:bCs/>
      <w:noProof/>
      <w:color w:val="4F81BD" w:themeColor="accent1"/>
      <w:sz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5D4"/>
    <w:rPr>
      <w:rFonts w:eastAsiaTheme="majorEastAsia" w:cstheme="majorBidi"/>
      <w:b/>
      <w:bCs/>
      <w:noProof/>
      <w:color w:val="4F81BD" w:themeColor="accent1"/>
      <w:sz w:val="28"/>
      <w:szCs w:val="24"/>
      <w:lang w:val="sq-AL"/>
    </w:rPr>
  </w:style>
  <w:style w:type="paragraph" w:styleId="Caption">
    <w:name w:val="caption"/>
    <w:basedOn w:val="Normal"/>
    <w:next w:val="Normal"/>
    <w:uiPriority w:val="35"/>
    <w:unhideWhenUsed/>
    <w:qFormat/>
    <w:rsid w:val="001B75D4"/>
    <w:pPr>
      <w:spacing w:after="200"/>
    </w:pPr>
    <w:rPr>
      <w:b/>
      <w:bCs/>
      <w:color w:val="4F81BD" w:themeColor="accent1"/>
      <w:sz w:val="18"/>
      <w:szCs w:val="18"/>
    </w:rPr>
  </w:style>
  <w:style w:type="paragraph" w:styleId="ListParagraph">
    <w:name w:val="List Paragraph"/>
    <w:basedOn w:val="Normal"/>
    <w:uiPriority w:val="34"/>
    <w:qFormat/>
    <w:rsid w:val="006E1F5F"/>
    <w:pPr>
      <w:ind w:left="720"/>
      <w:contextualSpacing/>
    </w:pPr>
  </w:style>
  <w:style w:type="paragraph" w:styleId="NormalWeb">
    <w:name w:val="Normal (Web)"/>
    <w:basedOn w:val="Normal"/>
    <w:uiPriority w:val="99"/>
    <w:unhideWhenUsed/>
    <w:rsid w:val="0026246A"/>
    <w:pPr>
      <w:spacing w:before="100" w:beforeAutospacing="1" w:after="100" w:afterAutospacing="1"/>
    </w:pPr>
  </w:style>
  <w:style w:type="character" w:styleId="Strong">
    <w:name w:val="Strong"/>
    <w:basedOn w:val="DefaultParagraphFont"/>
    <w:uiPriority w:val="22"/>
    <w:qFormat/>
    <w:rsid w:val="0026246A"/>
    <w:rPr>
      <w:b/>
      <w:bCs/>
    </w:rPr>
  </w:style>
  <w:style w:type="character" w:styleId="Emphasis">
    <w:name w:val="Emphasis"/>
    <w:basedOn w:val="DefaultParagraphFont"/>
    <w:uiPriority w:val="20"/>
    <w:qFormat/>
    <w:rsid w:val="00626668"/>
    <w:rPr>
      <w:i/>
      <w:iCs/>
    </w:rPr>
  </w:style>
  <w:style w:type="paragraph" w:styleId="Header">
    <w:name w:val="header"/>
    <w:basedOn w:val="Normal"/>
    <w:link w:val="HeaderChar"/>
    <w:uiPriority w:val="99"/>
    <w:unhideWhenUsed/>
    <w:rsid w:val="00FD1456"/>
    <w:pPr>
      <w:tabs>
        <w:tab w:val="center" w:pos="4680"/>
        <w:tab w:val="right" w:pos="9360"/>
      </w:tabs>
    </w:pPr>
  </w:style>
  <w:style w:type="character" w:customStyle="1" w:styleId="HeaderChar">
    <w:name w:val="Header Char"/>
    <w:basedOn w:val="DefaultParagraphFont"/>
    <w:link w:val="Header"/>
    <w:uiPriority w:val="99"/>
    <w:rsid w:val="00FD1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1456"/>
    <w:pPr>
      <w:tabs>
        <w:tab w:val="center" w:pos="4680"/>
        <w:tab w:val="right" w:pos="9360"/>
      </w:tabs>
    </w:pPr>
  </w:style>
  <w:style w:type="character" w:customStyle="1" w:styleId="FooterChar">
    <w:name w:val="Footer Char"/>
    <w:basedOn w:val="DefaultParagraphFont"/>
    <w:link w:val="Footer"/>
    <w:uiPriority w:val="99"/>
    <w:rsid w:val="00FD14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49461">
      <w:bodyDiv w:val="1"/>
      <w:marLeft w:val="0"/>
      <w:marRight w:val="0"/>
      <w:marTop w:val="0"/>
      <w:marBottom w:val="0"/>
      <w:divBdr>
        <w:top w:val="none" w:sz="0" w:space="0" w:color="auto"/>
        <w:left w:val="none" w:sz="0" w:space="0" w:color="auto"/>
        <w:bottom w:val="none" w:sz="0" w:space="0" w:color="auto"/>
        <w:right w:val="none" w:sz="0" w:space="0" w:color="auto"/>
      </w:divBdr>
    </w:div>
    <w:div w:id="418403341">
      <w:bodyDiv w:val="1"/>
      <w:marLeft w:val="0"/>
      <w:marRight w:val="0"/>
      <w:marTop w:val="0"/>
      <w:marBottom w:val="0"/>
      <w:divBdr>
        <w:top w:val="none" w:sz="0" w:space="0" w:color="auto"/>
        <w:left w:val="none" w:sz="0" w:space="0" w:color="auto"/>
        <w:bottom w:val="none" w:sz="0" w:space="0" w:color="auto"/>
        <w:right w:val="none" w:sz="0" w:space="0" w:color="auto"/>
      </w:divBdr>
    </w:div>
    <w:div w:id="422383778">
      <w:bodyDiv w:val="1"/>
      <w:marLeft w:val="0"/>
      <w:marRight w:val="0"/>
      <w:marTop w:val="0"/>
      <w:marBottom w:val="0"/>
      <w:divBdr>
        <w:top w:val="none" w:sz="0" w:space="0" w:color="auto"/>
        <w:left w:val="none" w:sz="0" w:space="0" w:color="auto"/>
        <w:bottom w:val="none" w:sz="0" w:space="0" w:color="auto"/>
        <w:right w:val="none" w:sz="0" w:space="0" w:color="auto"/>
      </w:divBdr>
    </w:div>
    <w:div w:id="739718559">
      <w:bodyDiv w:val="1"/>
      <w:marLeft w:val="0"/>
      <w:marRight w:val="0"/>
      <w:marTop w:val="0"/>
      <w:marBottom w:val="0"/>
      <w:divBdr>
        <w:top w:val="none" w:sz="0" w:space="0" w:color="auto"/>
        <w:left w:val="none" w:sz="0" w:space="0" w:color="auto"/>
        <w:bottom w:val="none" w:sz="0" w:space="0" w:color="auto"/>
        <w:right w:val="none" w:sz="0" w:space="0" w:color="auto"/>
      </w:divBdr>
    </w:div>
    <w:div w:id="740562923">
      <w:bodyDiv w:val="1"/>
      <w:marLeft w:val="0"/>
      <w:marRight w:val="0"/>
      <w:marTop w:val="0"/>
      <w:marBottom w:val="0"/>
      <w:divBdr>
        <w:top w:val="none" w:sz="0" w:space="0" w:color="auto"/>
        <w:left w:val="none" w:sz="0" w:space="0" w:color="auto"/>
        <w:bottom w:val="none" w:sz="0" w:space="0" w:color="auto"/>
        <w:right w:val="none" w:sz="0" w:space="0" w:color="auto"/>
      </w:divBdr>
    </w:div>
    <w:div w:id="790435329">
      <w:bodyDiv w:val="1"/>
      <w:marLeft w:val="0"/>
      <w:marRight w:val="0"/>
      <w:marTop w:val="0"/>
      <w:marBottom w:val="0"/>
      <w:divBdr>
        <w:top w:val="none" w:sz="0" w:space="0" w:color="auto"/>
        <w:left w:val="none" w:sz="0" w:space="0" w:color="auto"/>
        <w:bottom w:val="none" w:sz="0" w:space="0" w:color="auto"/>
        <w:right w:val="none" w:sz="0" w:space="0" w:color="auto"/>
      </w:divBdr>
    </w:div>
    <w:div w:id="1138111902">
      <w:bodyDiv w:val="1"/>
      <w:marLeft w:val="0"/>
      <w:marRight w:val="0"/>
      <w:marTop w:val="0"/>
      <w:marBottom w:val="0"/>
      <w:divBdr>
        <w:top w:val="none" w:sz="0" w:space="0" w:color="auto"/>
        <w:left w:val="none" w:sz="0" w:space="0" w:color="auto"/>
        <w:bottom w:val="none" w:sz="0" w:space="0" w:color="auto"/>
        <w:right w:val="none" w:sz="0" w:space="0" w:color="auto"/>
      </w:divBdr>
    </w:div>
    <w:div w:id="1148084297">
      <w:bodyDiv w:val="1"/>
      <w:marLeft w:val="0"/>
      <w:marRight w:val="0"/>
      <w:marTop w:val="0"/>
      <w:marBottom w:val="0"/>
      <w:divBdr>
        <w:top w:val="none" w:sz="0" w:space="0" w:color="auto"/>
        <w:left w:val="none" w:sz="0" w:space="0" w:color="auto"/>
        <w:bottom w:val="none" w:sz="0" w:space="0" w:color="auto"/>
        <w:right w:val="none" w:sz="0" w:space="0" w:color="auto"/>
      </w:divBdr>
    </w:div>
    <w:div w:id="1186867943">
      <w:bodyDiv w:val="1"/>
      <w:marLeft w:val="0"/>
      <w:marRight w:val="0"/>
      <w:marTop w:val="0"/>
      <w:marBottom w:val="0"/>
      <w:divBdr>
        <w:top w:val="none" w:sz="0" w:space="0" w:color="auto"/>
        <w:left w:val="none" w:sz="0" w:space="0" w:color="auto"/>
        <w:bottom w:val="none" w:sz="0" w:space="0" w:color="auto"/>
        <w:right w:val="none" w:sz="0" w:space="0" w:color="auto"/>
      </w:divBdr>
    </w:div>
    <w:div w:id="1199586913">
      <w:bodyDiv w:val="1"/>
      <w:marLeft w:val="0"/>
      <w:marRight w:val="0"/>
      <w:marTop w:val="0"/>
      <w:marBottom w:val="0"/>
      <w:divBdr>
        <w:top w:val="none" w:sz="0" w:space="0" w:color="auto"/>
        <w:left w:val="none" w:sz="0" w:space="0" w:color="auto"/>
        <w:bottom w:val="none" w:sz="0" w:space="0" w:color="auto"/>
        <w:right w:val="none" w:sz="0" w:space="0" w:color="auto"/>
      </w:divBdr>
    </w:div>
    <w:div w:id="1201476120">
      <w:bodyDiv w:val="1"/>
      <w:marLeft w:val="0"/>
      <w:marRight w:val="0"/>
      <w:marTop w:val="0"/>
      <w:marBottom w:val="0"/>
      <w:divBdr>
        <w:top w:val="none" w:sz="0" w:space="0" w:color="auto"/>
        <w:left w:val="none" w:sz="0" w:space="0" w:color="auto"/>
        <w:bottom w:val="none" w:sz="0" w:space="0" w:color="auto"/>
        <w:right w:val="none" w:sz="0" w:space="0" w:color="auto"/>
      </w:divBdr>
    </w:div>
    <w:div w:id="1415323770">
      <w:bodyDiv w:val="1"/>
      <w:marLeft w:val="0"/>
      <w:marRight w:val="0"/>
      <w:marTop w:val="0"/>
      <w:marBottom w:val="0"/>
      <w:divBdr>
        <w:top w:val="none" w:sz="0" w:space="0" w:color="auto"/>
        <w:left w:val="none" w:sz="0" w:space="0" w:color="auto"/>
        <w:bottom w:val="none" w:sz="0" w:space="0" w:color="auto"/>
        <w:right w:val="none" w:sz="0" w:space="0" w:color="auto"/>
      </w:divBdr>
    </w:div>
    <w:div w:id="1818297901">
      <w:bodyDiv w:val="1"/>
      <w:marLeft w:val="0"/>
      <w:marRight w:val="0"/>
      <w:marTop w:val="0"/>
      <w:marBottom w:val="0"/>
      <w:divBdr>
        <w:top w:val="none" w:sz="0" w:space="0" w:color="auto"/>
        <w:left w:val="none" w:sz="0" w:space="0" w:color="auto"/>
        <w:bottom w:val="none" w:sz="0" w:space="0" w:color="auto"/>
        <w:right w:val="none" w:sz="0" w:space="0" w:color="auto"/>
      </w:divBdr>
    </w:div>
    <w:div w:id="1965042417">
      <w:bodyDiv w:val="1"/>
      <w:marLeft w:val="0"/>
      <w:marRight w:val="0"/>
      <w:marTop w:val="0"/>
      <w:marBottom w:val="0"/>
      <w:divBdr>
        <w:top w:val="none" w:sz="0" w:space="0" w:color="auto"/>
        <w:left w:val="none" w:sz="0" w:space="0" w:color="auto"/>
        <w:bottom w:val="none" w:sz="0" w:space="0" w:color="auto"/>
        <w:right w:val="none" w:sz="0" w:space="0" w:color="auto"/>
      </w:divBdr>
    </w:div>
    <w:div w:id="19925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ejsi.reka\Desktop\Analiza%206%20mujor%202025\Analiza%206%20M%20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dita.xhyheri\AppData\Local\Microsoft\Windows\INetCache\Content.Outlook\GMXNEJTR\Analiza%206%20M%202025.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gejsi.reka\Desktop\Analiza%206%20mujor%202025\Analiza%206%20M%202024.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gejsi.reka\Desktop\Analiza%206%20mujor%202025\Analiza%206%20M%202024.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gejsi.reka\Desktop\Analiza%206%20mujor%202025\Analiza%206%20M%202024.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ardita.xhyheri\AppData\Local\Microsoft\Windows\INetCache\Content.Outlook\GMXNEJTR\Analiza%206%20M%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724895499173701E-2"/>
          <c:y val="4.1967431831989241E-2"/>
          <c:w val="0.82624418324521032"/>
          <c:h val="0.75235231753368192"/>
        </c:manualLayout>
      </c:layout>
      <c:barChart>
        <c:barDir val="col"/>
        <c:grouping val="clustered"/>
        <c:varyColors val="0"/>
        <c:ser>
          <c:idx val="1"/>
          <c:order val="0"/>
          <c:tx>
            <c:strRef>
              <c:f>'Te ardhurat'!$C$4</c:f>
              <c:strCache>
                <c:ptCount val="1"/>
                <c:pt idx="0">
                  <c:v>Të ardhura nga Pushteti Vendor</c:v>
                </c:pt>
              </c:strCache>
            </c:strRef>
          </c:tx>
          <c:spPr>
            <a:solidFill>
              <a:srgbClr val="1F497D">
                <a:lumMod val="40000"/>
                <a:lumOff val="60000"/>
              </a:srgbClr>
            </a:solidFill>
            <a:ln>
              <a:solidFill>
                <a:schemeClr val="bg1">
                  <a:lumMod val="65000"/>
                </a:schemeClr>
              </a:solidFill>
            </a:ln>
          </c:spPr>
          <c:invertIfNegative val="0"/>
          <c:dLbls>
            <c:numFmt formatCode="#,##0.0" sourceLinked="0"/>
            <c:spPr>
              <a:noFill/>
              <a:ln>
                <a:noFill/>
              </a:ln>
              <a:effectLst/>
            </c:spPr>
            <c:txPr>
              <a:bodyPr/>
              <a:lstStyle/>
              <a:p>
                <a:pPr>
                  <a:defRPr sz="900" b="0" i="0" u="none" strike="noStrike" baseline="0">
                    <a:solidFill>
                      <a:srgbClr val="000000"/>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ardhurat'!$N$4:$X$4</c:f>
              <c:numCache>
                <c:formatCode>#,##0</c:formatCode>
                <c:ptCount val="11"/>
                <c:pt idx="0">
                  <c:v>6732</c:v>
                </c:pt>
                <c:pt idx="1">
                  <c:v>8125</c:v>
                </c:pt>
                <c:pt idx="2">
                  <c:v>10928</c:v>
                </c:pt>
                <c:pt idx="3">
                  <c:v>10921</c:v>
                </c:pt>
                <c:pt idx="4">
                  <c:v>13457.7</c:v>
                </c:pt>
                <c:pt idx="5">
                  <c:v>10236</c:v>
                </c:pt>
                <c:pt idx="6">
                  <c:v>13966</c:v>
                </c:pt>
                <c:pt idx="7">
                  <c:v>16851.04</c:v>
                </c:pt>
                <c:pt idx="8">
                  <c:v>15362.24</c:v>
                </c:pt>
                <c:pt idx="9">
                  <c:v>20831.849999999999</c:v>
                </c:pt>
                <c:pt idx="10">
                  <c:v>19122.23</c:v>
                </c:pt>
              </c:numCache>
            </c:numRef>
          </c:val>
          <c:extLst>
            <c:ext xmlns:c16="http://schemas.microsoft.com/office/drawing/2014/chart" uri="{C3380CC4-5D6E-409C-BE32-E72D297353CC}">
              <c16:uniqueId val="{00000000-A241-4163-A9D6-0EF79EA3BFFC}"/>
            </c:ext>
          </c:extLst>
        </c:ser>
        <c:dLbls>
          <c:showLegendKey val="0"/>
          <c:showVal val="0"/>
          <c:showCatName val="0"/>
          <c:showSerName val="0"/>
          <c:showPercent val="0"/>
          <c:showBubbleSize val="0"/>
        </c:dLbls>
        <c:gapWidth val="40"/>
        <c:axId val="411729168"/>
        <c:axId val="411734608"/>
      </c:barChart>
      <c:lineChart>
        <c:grouping val="standard"/>
        <c:varyColors val="0"/>
        <c:ser>
          <c:idx val="0"/>
          <c:order val="1"/>
          <c:tx>
            <c:strRef>
              <c:f>'Te ardhurat'!$C$5</c:f>
              <c:strCache>
                <c:ptCount val="1"/>
                <c:pt idx="0">
                  <c:v>Ritmi i rritjes</c:v>
                </c:pt>
              </c:strCache>
            </c:strRef>
          </c:tx>
          <c:spPr>
            <a:ln w="31750">
              <a:solidFill>
                <a:srgbClr val="1F497D">
                  <a:lumMod val="75000"/>
                </a:srgbClr>
              </a:solidFill>
            </a:ln>
          </c:spPr>
          <c:dLbls>
            <c:dLbl>
              <c:idx val="1"/>
              <c:layout>
                <c:manualLayout>
                  <c:x val="-6.1617012159194386E-2"/>
                  <c:y val="-7.74925044481799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41-4163-A9D6-0EF79EA3BFFC}"/>
                </c:ext>
              </c:extLst>
            </c:dLbl>
            <c:dLbl>
              <c:idx val="5"/>
              <c:layout>
                <c:manualLayout>
                  <c:x val="-4.0091495210070674E-2"/>
                  <c:y val="4.2962570855113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41-4163-A9D6-0EF79EA3BFFC}"/>
                </c:ext>
              </c:extLst>
            </c:dLbl>
            <c:dLbl>
              <c:idx val="9"/>
              <c:layout>
                <c:manualLayout>
                  <c:x val="-5.0784935703700781E-2"/>
                  <c:y val="-8.6888493776987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41-4163-A9D6-0EF79EA3BFFC}"/>
                </c:ext>
              </c:extLst>
            </c:dLbl>
            <c:dLbl>
              <c:idx val="10"/>
              <c:layout>
                <c:manualLayout>
                  <c:x val="-4.5604526305281098E-2"/>
                  <c:y val="-8.4149944966556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41-4163-A9D6-0EF79EA3BFFC}"/>
                </c:ext>
              </c:extLst>
            </c:dLbl>
            <c:spPr>
              <a:noFill/>
              <a:ln>
                <a:noFill/>
              </a:ln>
              <a:effectLst/>
            </c:spPr>
            <c:txPr>
              <a:bodyPr/>
              <a:lstStyle/>
              <a:p>
                <a:pPr>
                  <a:defRPr sz="900"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ardhurat'!$N$5:$X$5</c:f>
              <c:numCache>
                <c:formatCode>0%</c:formatCode>
                <c:ptCount val="11"/>
                <c:pt idx="0">
                  <c:v>7.9711307137129109E-2</c:v>
                </c:pt>
                <c:pt idx="1">
                  <c:v>0.20692216280451575</c:v>
                </c:pt>
                <c:pt idx="2">
                  <c:v>0.34498461538461539</c:v>
                </c:pt>
                <c:pt idx="3">
                  <c:v>-6.4055636896046854E-4</c:v>
                </c:pt>
                <c:pt idx="4">
                  <c:v>0.23227726398681445</c:v>
                </c:pt>
                <c:pt idx="5">
                  <c:v>-0.23939454735950427</c:v>
                </c:pt>
                <c:pt idx="6">
                  <c:v>0.36440015631105899</c:v>
                </c:pt>
                <c:pt idx="7">
                  <c:v>0.2065759702133754</c:v>
                </c:pt>
                <c:pt idx="8">
                  <c:v>-8.835062999078995E-2</c:v>
                </c:pt>
                <c:pt idx="9">
                  <c:v>0.3560424781802653</c:v>
                </c:pt>
                <c:pt idx="10">
                  <c:v>-8.2067603213348744E-2</c:v>
                </c:pt>
              </c:numCache>
            </c:numRef>
          </c:val>
          <c:smooth val="1"/>
          <c:extLst>
            <c:ext xmlns:c16="http://schemas.microsoft.com/office/drawing/2014/chart" uri="{C3380CC4-5D6E-409C-BE32-E72D297353CC}">
              <c16:uniqueId val="{00000005-A241-4163-A9D6-0EF79EA3BFFC}"/>
            </c:ext>
          </c:extLst>
        </c:ser>
        <c:dLbls>
          <c:showLegendKey val="0"/>
          <c:showVal val="0"/>
          <c:showCatName val="0"/>
          <c:showSerName val="0"/>
          <c:showPercent val="0"/>
          <c:showBubbleSize val="0"/>
        </c:dLbls>
        <c:marker val="1"/>
        <c:smooth val="0"/>
        <c:axId val="411736240"/>
        <c:axId val="411738416"/>
      </c:lineChart>
      <c:catAx>
        <c:axId val="411729168"/>
        <c:scaling>
          <c:orientation val="minMax"/>
        </c:scaling>
        <c:delete val="0"/>
        <c:axPos val="b"/>
        <c:numFmt formatCode="General" sourceLinked="1"/>
        <c:majorTickMark val="cross"/>
        <c:minorTickMark val="none"/>
        <c:tickLblPos val="nextTo"/>
        <c:txPr>
          <a:bodyPr rot="0" vert="horz"/>
          <a:lstStyle/>
          <a:p>
            <a:pPr>
              <a:defRPr sz="800" b="0" i="0" u="none" strike="noStrike" baseline="0">
                <a:solidFill>
                  <a:srgbClr val="000000"/>
                </a:solidFill>
                <a:latin typeface="Calibri"/>
                <a:ea typeface="Calibri"/>
                <a:cs typeface="Calibri"/>
              </a:defRPr>
            </a:pPr>
            <a:endParaRPr lang="en-US"/>
          </a:p>
        </c:txPr>
        <c:crossAx val="411734608"/>
        <c:crosses val="autoZero"/>
        <c:auto val="0"/>
        <c:lblAlgn val="ctr"/>
        <c:lblOffset val="100"/>
        <c:tickLblSkip val="1"/>
        <c:tickMarkSkip val="1"/>
        <c:noMultiLvlLbl val="0"/>
      </c:catAx>
      <c:valAx>
        <c:axId val="411734608"/>
        <c:scaling>
          <c:orientation val="minMax"/>
        </c:scaling>
        <c:delete val="0"/>
        <c:axPos val="l"/>
        <c:title>
          <c:tx>
            <c:rich>
              <a:bodyPr/>
              <a:lstStyle/>
              <a:p>
                <a:pPr>
                  <a:defRPr sz="900" b="1" i="0" u="none" strike="noStrike" baseline="0">
                    <a:solidFill>
                      <a:srgbClr val="000000"/>
                    </a:solidFill>
                    <a:latin typeface="Calibri"/>
                    <a:ea typeface="Calibri"/>
                    <a:cs typeface="Calibri"/>
                  </a:defRPr>
                </a:pPr>
                <a:r>
                  <a:rPr lang="sq-AL" sz="900" b="1"/>
                  <a:t>Në miliardë</a:t>
                </a:r>
              </a:p>
            </c:rich>
          </c:tx>
          <c:layout>
            <c:manualLayout>
              <c:xMode val="edge"/>
              <c:yMode val="edge"/>
              <c:x val="1.3991487779003477E-3"/>
              <c:y val="1.9317158525915968E-2"/>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11729168"/>
        <c:crosses val="autoZero"/>
        <c:crossBetween val="between"/>
        <c:dispUnits>
          <c:builtInUnit val="thousands"/>
        </c:dispUnits>
      </c:valAx>
      <c:catAx>
        <c:axId val="411736240"/>
        <c:scaling>
          <c:orientation val="minMax"/>
        </c:scaling>
        <c:delete val="1"/>
        <c:axPos val="b"/>
        <c:numFmt formatCode="General" sourceLinked="1"/>
        <c:majorTickMark val="out"/>
        <c:minorTickMark val="none"/>
        <c:tickLblPos val="nextTo"/>
        <c:crossAx val="411738416"/>
        <c:crosses val="autoZero"/>
        <c:auto val="0"/>
        <c:lblAlgn val="ctr"/>
        <c:lblOffset val="100"/>
        <c:noMultiLvlLbl val="0"/>
      </c:catAx>
      <c:valAx>
        <c:axId val="411738416"/>
        <c:scaling>
          <c:orientation val="minMax"/>
        </c:scaling>
        <c:delete val="0"/>
        <c:axPos val="r"/>
        <c:title>
          <c:tx>
            <c:rich>
              <a:bodyPr/>
              <a:lstStyle/>
              <a:p>
                <a:pPr>
                  <a:defRPr sz="900" b="1" i="0" u="none" strike="noStrike" baseline="0">
                    <a:solidFill>
                      <a:srgbClr val="000000"/>
                    </a:solidFill>
                    <a:latin typeface="Calibri"/>
                    <a:ea typeface="Calibri"/>
                    <a:cs typeface="Calibri"/>
                  </a:defRPr>
                </a:pPr>
                <a:r>
                  <a:rPr lang="sq-AL" sz="900" b="1"/>
                  <a:t>Në përqindje</a:t>
                </a:r>
              </a:p>
            </c:rich>
          </c:tx>
          <c:layout>
            <c:manualLayout>
              <c:xMode val="edge"/>
              <c:yMode val="edge"/>
              <c:x val="0.96616125882815374"/>
              <c:y val="1.1804195207306403E-2"/>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11736240"/>
        <c:crosses val="max"/>
        <c:crossBetween val="between"/>
      </c:valAx>
      <c:spPr>
        <a:solidFill>
          <a:srgbClr val="EEECE1"/>
        </a:solidFill>
      </c:spPr>
    </c:plotArea>
    <c:legend>
      <c:legendPos val="b"/>
      <c:layout>
        <c:manualLayout>
          <c:xMode val="edge"/>
          <c:yMode val="edge"/>
          <c:x val="0.12804501837270343"/>
          <c:y val="0.90470457859434239"/>
          <c:w val="0.70631528201831917"/>
          <c:h val="9.0301689816862818E-2"/>
        </c:manualLayout>
      </c:layout>
      <c:overlay val="0"/>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460764519819621E-2"/>
          <c:y val="5.1400554097404488E-2"/>
          <c:w val="0.8981639073961909"/>
          <c:h val="0.71512625569605748"/>
        </c:manualLayout>
      </c:layout>
      <c:barChart>
        <c:barDir val="col"/>
        <c:grouping val="clustered"/>
        <c:varyColors val="0"/>
        <c:ser>
          <c:idx val="2"/>
          <c:order val="0"/>
          <c:tx>
            <c:strRef>
              <c:f>'Te ardhurat'!$C$6</c:f>
              <c:strCache>
                <c:ptCount val="1"/>
                <c:pt idx="0">
                  <c:v>Taksë mbi Pasurinë </c:v>
                </c:pt>
              </c:strCache>
            </c:strRef>
          </c:tx>
          <c:invertIfNegative val="0"/>
          <c:dLbls>
            <c:dLbl>
              <c:idx val="0"/>
              <c:layout>
                <c:manualLayout>
                  <c:x val="-3.8986350786495904E-3"/>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AE-44ED-A9C5-07C2A33B7311}"/>
                </c:ext>
              </c:extLst>
            </c:dLbl>
            <c:dLbl>
              <c:idx val="1"/>
              <c:layout>
                <c:manualLayout>
                  <c:x val="-3.8986350786496143E-3"/>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AE-44ED-A9C5-07C2A33B7311}"/>
                </c:ext>
              </c:extLst>
            </c:dLbl>
            <c:dLbl>
              <c:idx val="2"/>
              <c:layout>
                <c:manualLayout>
                  <c:x val="0"/>
                  <c:y val="1.85185185185186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AE-44ED-A9C5-07C2A33B7311}"/>
                </c:ext>
              </c:extLst>
            </c:dLbl>
            <c:dLbl>
              <c:idx val="3"/>
              <c:layout>
                <c:manualLayout>
                  <c:x val="-2.5990900524330606E-3"/>
                  <c:y val="3.24074074074073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AE-44ED-A9C5-07C2A33B7311}"/>
                </c:ext>
              </c:extLst>
            </c:dLbl>
            <c:dLbl>
              <c:idx val="4"/>
              <c:layout>
                <c:manualLayout>
                  <c:x val="0"/>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AE-44ED-A9C5-07C2A33B7311}"/>
                </c:ext>
              </c:extLst>
            </c:dLbl>
            <c:dLbl>
              <c:idx val="6"/>
              <c:layout>
                <c:manualLayout>
                  <c:x val="0"/>
                  <c:y val="2.7777777777777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AE-44ED-A9C5-07C2A33B7311}"/>
                </c:ext>
              </c:extLst>
            </c:dLbl>
            <c:dLbl>
              <c:idx val="8"/>
              <c:layout>
                <c:manualLayout>
                  <c:x val="-3.8986350786495904E-3"/>
                  <c:y val="4.62962962962962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2313186053610223E-2"/>
                      <c:h val="0.12030110819480898"/>
                    </c:manualLayout>
                  </c15:layout>
                </c:ext>
                <c:ext xmlns:c16="http://schemas.microsoft.com/office/drawing/2014/chart" uri="{C3380CC4-5D6E-409C-BE32-E72D297353CC}">
                  <c16:uniqueId val="{00000006-8EAE-44ED-A9C5-07C2A33B7311}"/>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ardhurat'!$N$6:$X$6</c:f>
              <c:numCache>
                <c:formatCode>#,##0</c:formatCode>
                <c:ptCount val="11"/>
                <c:pt idx="0">
                  <c:v>2399</c:v>
                </c:pt>
                <c:pt idx="1">
                  <c:v>2880</c:v>
                </c:pt>
                <c:pt idx="2">
                  <c:v>3026</c:v>
                </c:pt>
                <c:pt idx="3">
                  <c:v>3075</c:v>
                </c:pt>
                <c:pt idx="4">
                  <c:v>3126.3</c:v>
                </c:pt>
                <c:pt idx="5">
                  <c:v>2248</c:v>
                </c:pt>
                <c:pt idx="6">
                  <c:v>3566</c:v>
                </c:pt>
                <c:pt idx="7">
                  <c:v>3658.62</c:v>
                </c:pt>
                <c:pt idx="8">
                  <c:v>3314.16</c:v>
                </c:pt>
                <c:pt idx="9">
                  <c:v>4573.5200000000004</c:v>
                </c:pt>
                <c:pt idx="10">
                  <c:v>4722.63</c:v>
                </c:pt>
              </c:numCache>
            </c:numRef>
          </c:val>
          <c:extLst>
            <c:ext xmlns:c16="http://schemas.microsoft.com/office/drawing/2014/chart" uri="{C3380CC4-5D6E-409C-BE32-E72D297353CC}">
              <c16:uniqueId val="{00000007-8EAE-44ED-A9C5-07C2A33B7311}"/>
            </c:ext>
          </c:extLst>
        </c:ser>
        <c:ser>
          <c:idx val="4"/>
          <c:order val="1"/>
          <c:tx>
            <c:strRef>
              <c:f>'Te ardhurat'!$C$8</c:f>
              <c:strCache>
                <c:ptCount val="1"/>
                <c:pt idx="0">
                  <c:v>Taksë mbi Biznesin e vogël</c:v>
                </c:pt>
              </c:strCache>
            </c:strRef>
          </c:tx>
          <c:invertIfNegative val="0"/>
          <c:dLbls>
            <c:dLbl>
              <c:idx val="0"/>
              <c:layout>
                <c:manualLayout>
                  <c:x val="-2.5990900524330606E-3"/>
                  <c:y val="1.3888888888888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AE-44ED-A9C5-07C2A33B7311}"/>
                </c:ext>
              </c:extLst>
            </c:dLbl>
            <c:dLbl>
              <c:idx val="5"/>
              <c:layout>
                <c:manualLayout>
                  <c:x val="0"/>
                  <c:y val="-1.8518336249635461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6211821132259821E-2"/>
                      <c:h val="0.10178258967629045"/>
                    </c:manualLayout>
                  </c15:layout>
                </c:ext>
                <c:ext xmlns:c16="http://schemas.microsoft.com/office/drawing/2014/chart" uri="{C3380CC4-5D6E-409C-BE32-E72D297353CC}">
                  <c16:uniqueId val="{00000009-8EAE-44ED-A9C5-07C2A33B7311}"/>
                </c:ext>
              </c:extLst>
            </c:dLbl>
            <c:dLbl>
              <c:idx val="7"/>
              <c:layout>
                <c:manualLayout>
                  <c:x val="9.0968151835157107E-3"/>
                  <c:y val="4.16666666666665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AE-44ED-A9C5-07C2A33B7311}"/>
                </c:ext>
              </c:extLst>
            </c:dLbl>
            <c:dLbl>
              <c:idx val="8"/>
              <c:layout>
                <c:manualLayout>
                  <c:x val="2.5990900524330606E-3"/>
                  <c:y val="3.9352034120734909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3.451591589631104E-2"/>
                      <c:h val="7.8634441528142307E-2"/>
                    </c:manualLayout>
                  </c15:layout>
                </c:ext>
                <c:ext xmlns:c16="http://schemas.microsoft.com/office/drawing/2014/chart" uri="{C3380CC4-5D6E-409C-BE32-E72D297353CC}">
                  <c16:uniqueId val="{0000000B-8EAE-44ED-A9C5-07C2A33B7311}"/>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ardhurat'!$N$8:$X$8</c:f>
              <c:numCache>
                <c:formatCode>#,##0</c:formatCode>
                <c:ptCount val="11"/>
                <c:pt idx="0">
                  <c:v>839</c:v>
                </c:pt>
                <c:pt idx="1">
                  <c:v>543</c:v>
                </c:pt>
                <c:pt idx="2">
                  <c:v>234</c:v>
                </c:pt>
                <c:pt idx="3">
                  <c:v>268</c:v>
                </c:pt>
                <c:pt idx="4">
                  <c:v>300.8</c:v>
                </c:pt>
                <c:pt idx="5">
                  <c:v>331</c:v>
                </c:pt>
                <c:pt idx="6">
                  <c:v>292</c:v>
                </c:pt>
                <c:pt idx="7">
                  <c:v>39.76</c:v>
                </c:pt>
                <c:pt idx="8">
                  <c:v>32.479999999999997</c:v>
                </c:pt>
                <c:pt idx="9">
                  <c:v>46.07</c:v>
                </c:pt>
                <c:pt idx="10">
                  <c:v>10.15</c:v>
                </c:pt>
              </c:numCache>
            </c:numRef>
          </c:val>
          <c:extLst>
            <c:ext xmlns:c16="http://schemas.microsoft.com/office/drawing/2014/chart" uri="{C3380CC4-5D6E-409C-BE32-E72D297353CC}">
              <c16:uniqueId val="{0000000C-8EAE-44ED-A9C5-07C2A33B7311}"/>
            </c:ext>
          </c:extLst>
        </c:ser>
        <c:ser>
          <c:idx val="6"/>
          <c:order val="2"/>
          <c:tx>
            <c:strRef>
              <c:f>'Te ardhurat'!$C$10</c:f>
              <c:strCache>
                <c:ptCount val="1"/>
                <c:pt idx="0">
                  <c:v>Taksa Lokale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ardhurat'!$N$10:$X$10</c:f>
              <c:numCache>
                <c:formatCode>#,##0</c:formatCode>
                <c:ptCount val="11"/>
                <c:pt idx="0">
                  <c:v>3494</c:v>
                </c:pt>
                <c:pt idx="1">
                  <c:v>4702</c:v>
                </c:pt>
                <c:pt idx="2">
                  <c:v>7668</c:v>
                </c:pt>
                <c:pt idx="3">
                  <c:v>7578</c:v>
                </c:pt>
                <c:pt idx="4">
                  <c:v>10030.6</c:v>
                </c:pt>
                <c:pt idx="5">
                  <c:v>7657</c:v>
                </c:pt>
                <c:pt idx="6">
                  <c:v>10108</c:v>
                </c:pt>
                <c:pt idx="7">
                  <c:v>13152.66</c:v>
                </c:pt>
                <c:pt idx="8">
                  <c:v>12015.6</c:v>
                </c:pt>
                <c:pt idx="9">
                  <c:v>16212.26</c:v>
                </c:pt>
                <c:pt idx="10">
                  <c:v>14389.45</c:v>
                </c:pt>
              </c:numCache>
            </c:numRef>
          </c:val>
          <c:extLst>
            <c:ext xmlns:c16="http://schemas.microsoft.com/office/drawing/2014/chart" uri="{C3380CC4-5D6E-409C-BE32-E72D297353CC}">
              <c16:uniqueId val="{0000000D-8EAE-44ED-A9C5-07C2A33B7311}"/>
            </c:ext>
          </c:extLst>
        </c:ser>
        <c:dLbls>
          <c:dLblPos val="outEnd"/>
          <c:showLegendKey val="0"/>
          <c:showVal val="1"/>
          <c:showCatName val="0"/>
          <c:showSerName val="0"/>
          <c:showPercent val="0"/>
          <c:showBubbleSize val="0"/>
        </c:dLbls>
        <c:gapWidth val="150"/>
        <c:axId val="988943520"/>
        <c:axId val="988939168"/>
      </c:barChart>
      <c:catAx>
        <c:axId val="988943520"/>
        <c:scaling>
          <c:orientation val="minMax"/>
        </c:scaling>
        <c:delete val="0"/>
        <c:axPos val="b"/>
        <c:numFmt formatCode="General" sourceLinked="0"/>
        <c:majorTickMark val="out"/>
        <c:minorTickMark val="none"/>
        <c:tickLblPos val="nextTo"/>
        <c:crossAx val="988939168"/>
        <c:crosses val="autoZero"/>
        <c:auto val="1"/>
        <c:lblAlgn val="ctr"/>
        <c:lblOffset val="100"/>
        <c:noMultiLvlLbl val="0"/>
      </c:catAx>
      <c:valAx>
        <c:axId val="988939168"/>
        <c:scaling>
          <c:orientation val="minMax"/>
        </c:scaling>
        <c:delete val="0"/>
        <c:axPos val="l"/>
        <c:title>
          <c:tx>
            <c:rich>
              <a:bodyPr rot="-5400000" vert="horz"/>
              <a:lstStyle/>
              <a:p>
                <a:pPr>
                  <a:defRPr/>
                </a:pPr>
                <a:r>
                  <a:rPr lang="en-US"/>
                  <a:t>Në milion leke</a:t>
                </a:r>
              </a:p>
            </c:rich>
          </c:tx>
          <c:layout>
            <c:manualLayout>
              <c:xMode val="edge"/>
              <c:yMode val="edge"/>
              <c:x val="0"/>
              <c:y val="1.3393482064741908E-2"/>
            </c:manualLayout>
          </c:layout>
          <c:overlay val="0"/>
        </c:title>
        <c:numFmt formatCode="#,##0" sourceLinked="1"/>
        <c:majorTickMark val="out"/>
        <c:minorTickMark val="none"/>
        <c:tickLblPos val="nextTo"/>
        <c:crossAx val="988943520"/>
        <c:crosses val="autoZero"/>
        <c:crossBetween val="between"/>
      </c:valAx>
      <c:spPr>
        <a:solidFill>
          <a:schemeClr val="bg2"/>
        </a:solidFill>
      </c:spPr>
    </c:plotArea>
    <c:legend>
      <c:legendPos val="r"/>
      <c:layout>
        <c:manualLayout>
          <c:xMode val="edge"/>
          <c:yMode val="edge"/>
          <c:x val="9.6232418063126726E-2"/>
          <c:y val="0.86990849922631308"/>
          <c:w val="0.79738962918096778"/>
          <c:h val="0.12091518662401199"/>
        </c:manualLayout>
      </c:layout>
      <c:overlay val="0"/>
      <c:txPr>
        <a:bodyPr/>
        <a:lstStyle/>
        <a:p>
          <a:pPr>
            <a:defRPr sz="900" b="1"/>
          </a:pPr>
          <a:endParaRPr lang="en-US"/>
        </a:p>
      </c:txPr>
    </c:legend>
    <c:plotVisOnly val="1"/>
    <c:dispBlanksAs val="gap"/>
    <c:showDLblsOverMax val="0"/>
  </c:chart>
  <c:txPr>
    <a:bodyPr/>
    <a:lstStyle/>
    <a:p>
      <a:pPr>
        <a:defRPr sz="800" b="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56978349682691E-2"/>
          <c:y val="4.260048645751742E-2"/>
          <c:w val="0.83043931209680399"/>
          <c:h val="0.74954363688832093"/>
        </c:manualLayout>
      </c:layout>
      <c:barChart>
        <c:barDir val="col"/>
        <c:grouping val="clustered"/>
        <c:varyColors val="0"/>
        <c:ser>
          <c:idx val="1"/>
          <c:order val="0"/>
          <c:tx>
            <c:strRef>
              <c:f>'Te ardhurat'!$C$10</c:f>
              <c:strCache>
                <c:ptCount val="1"/>
                <c:pt idx="0">
                  <c:v>Taksa Lokale</c:v>
                </c:pt>
              </c:strCache>
            </c:strRef>
          </c:tx>
          <c:spPr>
            <a:solidFill>
              <a:srgbClr val="1F497D">
                <a:lumMod val="40000"/>
                <a:lumOff val="60000"/>
              </a:srgbClr>
            </a:solidFill>
            <a:ln>
              <a:solidFill>
                <a:schemeClr val="bg1">
                  <a:lumMod val="65000"/>
                </a:schemeClr>
              </a:solidFill>
            </a:ln>
          </c:spPr>
          <c:invertIfNegative val="0"/>
          <c:dLbls>
            <c:numFmt formatCode="#,##0.0" sourceLinked="0"/>
            <c:spPr>
              <a:noFill/>
              <a:ln>
                <a:noFill/>
              </a:ln>
              <a:effectLst/>
            </c:spPr>
            <c:txPr>
              <a:bodyPr/>
              <a:lstStyle/>
              <a:p>
                <a:pPr>
                  <a:defRPr sz="900" b="0" i="0" u="none" strike="noStrike" baseline="0">
                    <a:solidFill>
                      <a:srgbClr val="000000"/>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ardhurat'!$N$10:$X$10</c:f>
              <c:numCache>
                <c:formatCode>#,##0</c:formatCode>
                <c:ptCount val="11"/>
                <c:pt idx="0">
                  <c:v>3494</c:v>
                </c:pt>
                <c:pt idx="1">
                  <c:v>4702</c:v>
                </c:pt>
                <c:pt idx="2">
                  <c:v>7668</c:v>
                </c:pt>
                <c:pt idx="3">
                  <c:v>7578</c:v>
                </c:pt>
                <c:pt idx="4">
                  <c:v>10030.6</c:v>
                </c:pt>
                <c:pt idx="5">
                  <c:v>7657</c:v>
                </c:pt>
                <c:pt idx="6">
                  <c:v>10108</c:v>
                </c:pt>
                <c:pt idx="7">
                  <c:v>13152.66</c:v>
                </c:pt>
                <c:pt idx="8">
                  <c:v>12015.6</c:v>
                </c:pt>
                <c:pt idx="9">
                  <c:v>16212.26</c:v>
                </c:pt>
                <c:pt idx="10">
                  <c:v>14389.45</c:v>
                </c:pt>
              </c:numCache>
            </c:numRef>
          </c:val>
          <c:extLst>
            <c:ext xmlns:c16="http://schemas.microsoft.com/office/drawing/2014/chart" uri="{C3380CC4-5D6E-409C-BE32-E72D297353CC}">
              <c16:uniqueId val="{00000000-2281-41A8-BEFC-161DA3A41E11}"/>
            </c:ext>
          </c:extLst>
        </c:ser>
        <c:dLbls>
          <c:showLegendKey val="0"/>
          <c:showVal val="0"/>
          <c:showCatName val="0"/>
          <c:showSerName val="0"/>
          <c:showPercent val="0"/>
          <c:showBubbleSize val="0"/>
        </c:dLbls>
        <c:gapWidth val="40"/>
        <c:axId val="465317280"/>
        <c:axId val="465328704"/>
      </c:barChart>
      <c:lineChart>
        <c:grouping val="standard"/>
        <c:varyColors val="0"/>
        <c:ser>
          <c:idx val="0"/>
          <c:order val="1"/>
          <c:tx>
            <c:strRef>
              <c:f>'Te ardhurat'!$C$11</c:f>
              <c:strCache>
                <c:ptCount val="1"/>
                <c:pt idx="0">
                  <c:v>Ritmi i rritjes</c:v>
                </c:pt>
              </c:strCache>
            </c:strRef>
          </c:tx>
          <c:spPr>
            <a:ln w="31750">
              <a:solidFill>
                <a:srgbClr val="1F497D">
                  <a:lumMod val="75000"/>
                </a:srgbClr>
              </a:solidFill>
            </a:ln>
          </c:spPr>
          <c:dLbls>
            <c:dLbl>
              <c:idx val="1"/>
              <c:layout>
                <c:manualLayout>
                  <c:x val="-7.794355366438345E-2"/>
                  <c:y val="-7.2498941664549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81-41A8-BEFC-161DA3A41E11}"/>
                </c:ext>
              </c:extLst>
            </c:dLbl>
            <c:dLbl>
              <c:idx val="5"/>
              <c:layout>
                <c:manualLayout>
                  <c:x val="-4.9938829074937068E-2"/>
                  <c:y val="-3.5468656305602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81-41A8-BEFC-161DA3A41E11}"/>
                </c:ext>
              </c:extLst>
            </c:dLbl>
            <c:dLbl>
              <c:idx val="9"/>
              <c:layout>
                <c:manualLayout>
                  <c:x val="-5.0784935703700781E-2"/>
                  <c:y val="-8.6888493776987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81-41A8-BEFC-161DA3A41E11}"/>
                </c:ext>
              </c:extLst>
            </c:dLbl>
            <c:dLbl>
              <c:idx val="10"/>
              <c:layout>
                <c:manualLayout>
                  <c:x val="-4.5604526305281098E-2"/>
                  <c:y val="-8.4149944966556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81-41A8-BEFC-161DA3A41E11}"/>
                </c:ext>
              </c:extLst>
            </c:dLbl>
            <c:spPr>
              <a:noFill/>
              <a:ln>
                <a:noFill/>
              </a:ln>
              <a:effectLst/>
            </c:spPr>
            <c:txPr>
              <a:bodyPr/>
              <a:lstStyle/>
              <a:p>
                <a:pPr>
                  <a:defRPr sz="900"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ardhurat'!$N$11:$X$11</c:f>
              <c:numCache>
                <c:formatCode>0%</c:formatCode>
                <c:ptCount val="11"/>
                <c:pt idx="0">
                  <c:v>4.6421084156933211E-2</c:v>
                </c:pt>
                <c:pt idx="1">
                  <c:v>0.34573554665140238</c:v>
                </c:pt>
                <c:pt idx="2">
                  <c:v>0.63079540621012331</c:v>
                </c:pt>
                <c:pt idx="3">
                  <c:v>-1.1737089201877934E-2</c:v>
                </c:pt>
                <c:pt idx="4">
                  <c:v>0.32364740036949069</c:v>
                </c:pt>
                <c:pt idx="5">
                  <c:v>-0.23663589416385861</c:v>
                </c:pt>
                <c:pt idx="6">
                  <c:v>0.32009925558312657</c:v>
                </c:pt>
                <c:pt idx="7">
                  <c:v>0.30121290067273443</c:v>
                </c:pt>
                <c:pt idx="8">
                  <c:v>-8.6450953647399048E-2</c:v>
                </c:pt>
                <c:pt idx="9">
                  <c:v>0.34926761876227569</c:v>
                </c:pt>
                <c:pt idx="10">
                  <c:v>-0.11243404682629068</c:v>
                </c:pt>
              </c:numCache>
            </c:numRef>
          </c:val>
          <c:smooth val="1"/>
          <c:extLst>
            <c:ext xmlns:c16="http://schemas.microsoft.com/office/drawing/2014/chart" uri="{C3380CC4-5D6E-409C-BE32-E72D297353CC}">
              <c16:uniqueId val="{00000005-2281-41A8-BEFC-161DA3A41E11}"/>
            </c:ext>
          </c:extLst>
        </c:ser>
        <c:dLbls>
          <c:showLegendKey val="0"/>
          <c:showVal val="0"/>
          <c:showCatName val="0"/>
          <c:showSerName val="0"/>
          <c:showPercent val="0"/>
          <c:showBubbleSize val="0"/>
        </c:dLbls>
        <c:marker val="1"/>
        <c:smooth val="0"/>
        <c:axId val="465315648"/>
        <c:axId val="465322176"/>
      </c:lineChart>
      <c:catAx>
        <c:axId val="465317280"/>
        <c:scaling>
          <c:orientation val="minMax"/>
        </c:scaling>
        <c:delete val="0"/>
        <c:axPos val="b"/>
        <c:numFmt formatCode="General" sourceLinked="1"/>
        <c:majorTickMark val="cross"/>
        <c:minorTickMark val="none"/>
        <c:tickLblPos val="nextTo"/>
        <c:txPr>
          <a:bodyPr rot="0" vert="horz"/>
          <a:lstStyle/>
          <a:p>
            <a:pPr>
              <a:defRPr sz="800" b="0" i="0" u="none" strike="noStrike" baseline="0">
                <a:solidFill>
                  <a:srgbClr val="000000"/>
                </a:solidFill>
                <a:latin typeface="Calibri"/>
                <a:ea typeface="Calibri"/>
                <a:cs typeface="Calibri"/>
              </a:defRPr>
            </a:pPr>
            <a:endParaRPr lang="en-US"/>
          </a:p>
        </c:txPr>
        <c:crossAx val="465328704"/>
        <c:crosses val="autoZero"/>
        <c:auto val="0"/>
        <c:lblAlgn val="ctr"/>
        <c:lblOffset val="100"/>
        <c:tickLblSkip val="1"/>
        <c:tickMarkSkip val="1"/>
        <c:noMultiLvlLbl val="0"/>
      </c:catAx>
      <c:valAx>
        <c:axId val="465328704"/>
        <c:scaling>
          <c:orientation val="minMax"/>
        </c:scaling>
        <c:delete val="0"/>
        <c:axPos val="l"/>
        <c:title>
          <c:tx>
            <c:rich>
              <a:bodyPr/>
              <a:lstStyle/>
              <a:p>
                <a:pPr>
                  <a:defRPr sz="900" b="1" i="0" u="none" strike="noStrike" baseline="0">
                    <a:solidFill>
                      <a:srgbClr val="000000"/>
                    </a:solidFill>
                    <a:latin typeface="Calibri"/>
                    <a:ea typeface="Calibri"/>
                    <a:cs typeface="Calibri"/>
                  </a:defRPr>
                </a:pPr>
                <a:r>
                  <a:rPr lang="sq-AL" sz="900" b="1"/>
                  <a:t>Në miliardë</a:t>
                </a:r>
              </a:p>
            </c:rich>
          </c:tx>
          <c:layout>
            <c:manualLayout>
              <c:xMode val="edge"/>
              <c:yMode val="edge"/>
              <c:x val="3.5639752250647087E-3"/>
              <c:y val="3.7763695313486882E-2"/>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65317280"/>
        <c:crosses val="autoZero"/>
        <c:crossBetween val="between"/>
        <c:dispUnits>
          <c:builtInUnit val="thousands"/>
        </c:dispUnits>
      </c:valAx>
      <c:catAx>
        <c:axId val="465315648"/>
        <c:scaling>
          <c:orientation val="minMax"/>
        </c:scaling>
        <c:delete val="1"/>
        <c:axPos val="b"/>
        <c:numFmt formatCode="General" sourceLinked="1"/>
        <c:majorTickMark val="out"/>
        <c:minorTickMark val="none"/>
        <c:tickLblPos val="nextTo"/>
        <c:crossAx val="465322176"/>
        <c:crosses val="autoZero"/>
        <c:auto val="0"/>
        <c:lblAlgn val="ctr"/>
        <c:lblOffset val="100"/>
        <c:noMultiLvlLbl val="0"/>
      </c:catAx>
      <c:valAx>
        <c:axId val="465322176"/>
        <c:scaling>
          <c:orientation val="minMax"/>
        </c:scaling>
        <c:delete val="0"/>
        <c:axPos val="r"/>
        <c:title>
          <c:tx>
            <c:rich>
              <a:bodyPr/>
              <a:lstStyle/>
              <a:p>
                <a:pPr>
                  <a:defRPr sz="900" b="1" i="0" u="none" strike="noStrike" baseline="0">
                    <a:solidFill>
                      <a:srgbClr val="000000"/>
                    </a:solidFill>
                    <a:latin typeface="Calibri"/>
                    <a:ea typeface="Calibri"/>
                    <a:cs typeface="Calibri"/>
                  </a:defRPr>
                </a:pPr>
                <a:r>
                  <a:rPr lang="sq-AL" sz="900" b="1"/>
                  <a:t>Në përqindje</a:t>
                </a:r>
              </a:p>
            </c:rich>
          </c:tx>
          <c:layout>
            <c:manualLayout>
              <c:xMode val="edge"/>
              <c:yMode val="edge"/>
              <c:x val="0.96207594584831646"/>
              <c:y val="2.2552518013899955E-2"/>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65315648"/>
        <c:crosses val="max"/>
        <c:crossBetween val="between"/>
      </c:valAx>
      <c:spPr>
        <a:solidFill>
          <a:srgbClr val="EEECE1"/>
        </a:solidFill>
      </c:spPr>
    </c:plotArea>
    <c:legend>
      <c:legendPos val="b"/>
      <c:layout>
        <c:manualLayout>
          <c:xMode val="edge"/>
          <c:yMode val="edge"/>
          <c:x val="0.22983564069136009"/>
          <c:y val="0.90969831018313718"/>
          <c:w val="0.54032888746049612"/>
          <c:h val="9.0301689816862818E-2"/>
        </c:manualLayout>
      </c:layout>
      <c:overlay val="0"/>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60669471110634E-2"/>
          <c:y val="3.5898821470845554E-2"/>
          <c:w val="0.85388814982602057"/>
          <c:h val="0.73604086253924139"/>
        </c:manualLayout>
      </c:layout>
      <c:barChart>
        <c:barDir val="col"/>
        <c:grouping val="clustered"/>
        <c:varyColors val="0"/>
        <c:ser>
          <c:idx val="1"/>
          <c:order val="0"/>
          <c:tx>
            <c:strRef>
              <c:f>'Te ardhurat'!$C$6</c:f>
              <c:strCache>
                <c:ptCount val="1"/>
                <c:pt idx="0">
                  <c:v>Taksë mbi Pasurinë (ndërtesat)</c:v>
                </c:pt>
              </c:strCache>
            </c:strRef>
          </c:tx>
          <c:spPr>
            <a:solidFill>
              <a:schemeClr val="bg1">
                <a:lumMod val="75000"/>
              </a:schemeClr>
            </a:solidFill>
            <a:ln>
              <a:solidFill>
                <a:schemeClr val="bg1">
                  <a:lumMod val="65000"/>
                </a:schemeClr>
              </a:solidFill>
            </a:ln>
          </c:spPr>
          <c:invertIfNegative val="0"/>
          <c:dLbls>
            <c:numFmt formatCode="#,##0.0" sourceLinked="0"/>
            <c:spPr>
              <a:noFill/>
              <a:ln>
                <a:noFill/>
              </a:ln>
              <a:effectLst/>
            </c:spPr>
            <c:txPr>
              <a:bodyPr/>
              <a:lstStyle/>
              <a:p>
                <a:pPr>
                  <a:defRPr sz="1000" b="0" i="0" u="none" strike="noStrike" baseline="0">
                    <a:solidFill>
                      <a:srgbClr val="000000"/>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ardhurat'!$N$6:$X$6</c:f>
              <c:numCache>
                <c:formatCode>#,##0</c:formatCode>
                <c:ptCount val="11"/>
                <c:pt idx="0">
                  <c:v>2399</c:v>
                </c:pt>
                <c:pt idx="1">
                  <c:v>2880</c:v>
                </c:pt>
                <c:pt idx="2">
                  <c:v>3026</c:v>
                </c:pt>
                <c:pt idx="3">
                  <c:v>3075</c:v>
                </c:pt>
                <c:pt idx="4">
                  <c:v>3126.3</c:v>
                </c:pt>
                <c:pt idx="5">
                  <c:v>2248</c:v>
                </c:pt>
                <c:pt idx="6">
                  <c:v>3566</c:v>
                </c:pt>
                <c:pt idx="7">
                  <c:v>3658.62</c:v>
                </c:pt>
                <c:pt idx="8">
                  <c:v>3314.16</c:v>
                </c:pt>
                <c:pt idx="9">
                  <c:v>4573.5200000000004</c:v>
                </c:pt>
                <c:pt idx="10">
                  <c:v>4722.63</c:v>
                </c:pt>
              </c:numCache>
            </c:numRef>
          </c:val>
          <c:extLst>
            <c:ext xmlns:c16="http://schemas.microsoft.com/office/drawing/2014/chart" uri="{C3380CC4-5D6E-409C-BE32-E72D297353CC}">
              <c16:uniqueId val="{00000000-FD21-4EAB-A130-3322440A86F2}"/>
            </c:ext>
          </c:extLst>
        </c:ser>
        <c:dLbls>
          <c:showLegendKey val="0"/>
          <c:showVal val="0"/>
          <c:showCatName val="0"/>
          <c:showSerName val="0"/>
          <c:showPercent val="0"/>
          <c:showBubbleSize val="0"/>
        </c:dLbls>
        <c:gapWidth val="40"/>
        <c:axId val="465321088"/>
        <c:axId val="465318368"/>
      </c:barChart>
      <c:lineChart>
        <c:grouping val="standard"/>
        <c:varyColors val="0"/>
        <c:ser>
          <c:idx val="0"/>
          <c:order val="1"/>
          <c:tx>
            <c:strRef>
              <c:f>'Te ardhurat'!$C$7</c:f>
              <c:strCache>
                <c:ptCount val="1"/>
                <c:pt idx="0">
                  <c:v>Ritmi i rritjes</c:v>
                </c:pt>
              </c:strCache>
            </c:strRef>
          </c:tx>
          <c:spPr>
            <a:ln w="31750">
              <a:solidFill>
                <a:srgbClr val="1F497D">
                  <a:lumMod val="75000"/>
                </a:srgbClr>
              </a:solidFill>
            </a:ln>
          </c:spPr>
          <c:dLbls>
            <c:dLbl>
              <c:idx val="0"/>
              <c:layout>
                <c:manualLayout>
                  <c:x val="-3.3047726177085006E-2"/>
                  <c:y val="-6.0871171591355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21-4EAB-A130-3322440A86F2}"/>
                </c:ext>
              </c:extLst>
            </c:dLbl>
            <c:dLbl>
              <c:idx val="1"/>
              <c:delete val="1"/>
              <c:extLst>
                <c:ext xmlns:c15="http://schemas.microsoft.com/office/drawing/2012/chart" uri="{CE6537A1-D6FC-4f65-9D91-7224C49458BB}"/>
                <c:ext xmlns:c16="http://schemas.microsoft.com/office/drawing/2014/chart" uri="{C3380CC4-5D6E-409C-BE32-E72D297353CC}">
                  <c16:uniqueId val="{00000002-FD21-4EAB-A130-3322440A86F2}"/>
                </c:ext>
              </c:extLst>
            </c:dLbl>
            <c:dLbl>
              <c:idx val="5"/>
              <c:layout>
                <c:manualLayout>
                  <c:x val="-4.9938829074937068E-2"/>
                  <c:y val="-3.5468656305602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21-4EAB-A130-3322440A86F2}"/>
                </c:ext>
              </c:extLst>
            </c:dLbl>
            <c:dLbl>
              <c:idx val="9"/>
              <c:layout>
                <c:manualLayout>
                  <c:x val="-5.0784935703700781E-2"/>
                  <c:y val="-8.6888493776987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21-4EAB-A130-3322440A86F2}"/>
                </c:ext>
              </c:extLst>
            </c:dLbl>
            <c:dLbl>
              <c:idx val="10"/>
              <c:layout>
                <c:manualLayout>
                  <c:x val="-4.5604526305281098E-2"/>
                  <c:y val="-8.4149944966556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21-4EAB-A130-3322440A86F2}"/>
                </c:ext>
              </c:extLst>
            </c:dLbl>
            <c:spPr>
              <a:noFill/>
              <a:ln>
                <a:noFill/>
              </a:ln>
              <a:effectLst/>
            </c:spPr>
            <c:txPr>
              <a:bodyPr/>
              <a:lstStyle/>
              <a:p>
                <a:pPr>
                  <a:defRPr sz="1000"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 ardhurat'!$N$3:$X$3</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'Te ardhurat'!$N$7:$X$7</c:f>
              <c:numCache>
                <c:formatCode>0%</c:formatCode>
                <c:ptCount val="11"/>
                <c:pt idx="0">
                  <c:v>8.5029398462234285E-2</c:v>
                </c:pt>
                <c:pt idx="1">
                  <c:v>0.20050020842017507</c:v>
                </c:pt>
                <c:pt idx="2">
                  <c:v>5.0694444444444445E-2</c:v>
                </c:pt>
                <c:pt idx="3">
                  <c:v>1.6192994051553205E-2</c:v>
                </c:pt>
                <c:pt idx="4">
                  <c:v>1.6682926829268353E-2</c:v>
                </c:pt>
                <c:pt idx="5">
                  <c:v>-0.280939129322202</c:v>
                </c:pt>
                <c:pt idx="6">
                  <c:v>0.58629893238434161</c:v>
                </c:pt>
                <c:pt idx="7">
                  <c:v>2.5973079080201876E-2</c:v>
                </c:pt>
                <c:pt idx="8">
                  <c:v>-9.4150253374223086E-2</c:v>
                </c:pt>
                <c:pt idx="9">
                  <c:v>0.37999372389987224</c:v>
                </c:pt>
                <c:pt idx="10">
                  <c:v>3.2602896674771217E-2</c:v>
                </c:pt>
              </c:numCache>
            </c:numRef>
          </c:val>
          <c:smooth val="1"/>
          <c:extLst>
            <c:ext xmlns:c16="http://schemas.microsoft.com/office/drawing/2014/chart" uri="{C3380CC4-5D6E-409C-BE32-E72D297353CC}">
              <c16:uniqueId val="{00000006-FD21-4EAB-A130-3322440A86F2}"/>
            </c:ext>
          </c:extLst>
        </c:ser>
        <c:dLbls>
          <c:showLegendKey val="0"/>
          <c:showVal val="0"/>
          <c:showCatName val="0"/>
          <c:showSerName val="0"/>
          <c:showPercent val="0"/>
          <c:showBubbleSize val="0"/>
        </c:dLbls>
        <c:marker val="1"/>
        <c:smooth val="0"/>
        <c:axId val="465318912"/>
        <c:axId val="465322720"/>
      </c:lineChart>
      <c:catAx>
        <c:axId val="465321088"/>
        <c:scaling>
          <c:orientation val="minMax"/>
        </c:scaling>
        <c:delete val="0"/>
        <c:axPos val="b"/>
        <c:numFmt formatCode="General" sourceLinked="1"/>
        <c:majorTickMark val="cross"/>
        <c:minorTickMark val="none"/>
        <c:tickLblPos val="nextTo"/>
        <c:txPr>
          <a:bodyPr rot="0" vert="horz"/>
          <a:lstStyle/>
          <a:p>
            <a:pPr>
              <a:defRPr sz="800" b="0" i="0" u="none" strike="noStrike" baseline="0">
                <a:solidFill>
                  <a:srgbClr val="000000"/>
                </a:solidFill>
                <a:latin typeface="Calibri"/>
                <a:ea typeface="Calibri"/>
                <a:cs typeface="Calibri"/>
              </a:defRPr>
            </a:pPr>
            <a:endParaRPr lang="en-US"/>
          </a:p>
        </c:txPr>
        <c:crossAx val="465318368"/>
        <c:crosses val="autoZero"/>
        <c:auto val="0"/>
        <c:lblAlgn val="ctr"/>
        <c:lblOffset val="100"/>
        <c:tickLblSkip val="1"/>
        <c:tickMarkSkip val="1"/>
        <c:noMultiLvlLbl val="0"/>
      </c:catAx>
      <c:valAx>
        <c:axId val="465318368"/>
        <c:scaling>
          <c:orientation val="minMax"/>
        </c:scaling>
        <c:delete val="0"/>
        <c:axPos val="l"/>
        <c:title>
          <c:tx>
            <c:rich>
              <a:bodyPr/>
              <a:lstStyle/>
              <a:p>
                <a:pPr>
                  <a:defRPr sz="900" b="1" i="0" u="none" strike="noStrike" baseline="0">
                    <a:solidFill>
                      <a:srgbClr val="000000"/>
                    </a:solidFill>
                    <a:latin typeface="Calibri"/>
                    <a:ea typeface="Calibri"/>
                    <a:cs typeface="Calibri"/>
                  </a:defRPr>
                </a:pPr>
                <a:r>
                  <a:rPr lang="sq-AL" sz="900" b="1"/>
                  <a:t>Në miliardë</a:t>
                </a:r>
              </a:p>
            </c:rich>
          </c:tx>
          <c:layout>
            <c:manualLayout>
              <c:xMode val="edge"/>
              <c:yMode val="edge"/>
              <c:x val="3.724077869261776E-3"/>
              <c:y val="5.8072152745612792E-3"/>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65321088"/>
        <c:crosses val="autoZero"/>
        <c:crossBetween val="between"/>
        <c:dispUnits>
          <c:builtInUnit val="thousands"/>
        </c:dispUnits>
      </c:valAx>
      <c:valAx>
        <c:axId val="465322720"/>
        <c:scaling>
          <c:orientation val="minMax"/>
        </c:scaling>
        <c:delete val="0"/>
        <c:axPos val="r"/>
        <c:title>
          <c:tx>
            <c:rich>
              <a:bodyPr rot="-5400000" vert="horz"/>
              <a:lstStyle/>
              <a:p>
                <a:pPr>
                  <a:defRPr sz="900" b="1"/>
                </a:pPr>
                <a:r>
                  <a:rPr lang="en-US" sz="900" b="1"/>
                  <a:t>Në përqindje</a:t>
                </a:r>
              </a:p>
            </c:rich>
          </c:tx>
          <c:layout>
            <c:manualLayout>
              <c:xMode val="edge"/>
              <c:yMode val="edge"/>
              <c:x val="0.96784109748838476"/>
              <c:y val="2.0612938088621274E-2"/>
            </c:manualLayout>
          </c:layout>
          <c:overlay val="0"/>
        </c:title>
        <c:numFmt formatCode="0%" sourceLinked="1"/>
        <c:majorTickMark val="out"/>
        <c:minorTickMark val="none"/>
        <c:tickLblPos val="nextTo"/>
        <c:txPr>
          <a:bodyPr/>
          <a:lstStyle/>
          <a:p>
            <a:pPr>
              <a:defRPr sz="800"/>
            </a:pPr>
            <a:endParaRPr lang="en-US"/>
          </a:p>
        </c:txPr>
        <c:crossAx val="465318912"/>
        <c:crosses val="max"/>
        <c:crossBetween val="between"/>
      </c:valAx>
      <c:catAx>
        <c:axId val="465318912"/>
        <c:scaling>
          <c:orientation val="minMax"/>
        </c:scaling>
        <c:delete val="1"/>
        <c:axPos val="b"/>
        <c:numFmt formatCode="General" sourceLinked="1"/>
        <c:majorTickMark val="out"/>
        <c:minorTickMark val="none"/>
        <c:tickLblPos val="nextTo"/>
        <c:crossAx val="465322720"/>
        <c:crosses val="autoZero"/>
        <c:auto val="0"/>
        <c:lblAlgn val="ctr"/>
        <c:lblOffset val="100"/>
        <c:noMultiLvlLbl val="0"/>
      </c:catAx>
      <c:spPr>
        <a:solidFill>
          <a:srgbClr val="EEECE1"/>
        </a:solidFill>
      </c:spPr>
    </c:plotArea>
    <c:legend>
      <c:legendPos val="b"/>
      <c:layout>
        <c:manualLayout>
          <c:xMode val="edge"/>
          <c:yMode val="edge"/>
          <c:x val="0.1046654882425411"/>
          <c:y val="0.9047045523803906"/>
          <c:w val="0.79066902351491775"/>
          <c:h val="9.0301689816862818E-2"/>
        </c:manualLayout>
      </c:layout>
      <c:overlay val="0"/>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608306232115516E-2"/>
          <c:y val="2.7156011799801913E-2"/>
          <c:w val="0.83240966097028968"/>
          <c:h val="0.74715856204875353"/>
        </c:manualLayout>
      </c:layout>
      <c:barChart>
        <c:barDir val="col"/>
        <c:grouping val="clustered"/>
        <c:varyColors val="0"/>
        <c:ser>
          <c:idx val="1"/>
          <c:order val="0"/>
          <c:tx>
            <c:strRef>
              <c:f>Shpenzimet!$B$5</c:f>
              <c:strCache>
                <c:ptCount val="1"/>
                <c:pt idx="0">
                  <c:v>Buxheti lokal </c:v>
                </c:pt>
              </c:strCache>
            </c:strRef>
          </c:tx>
          <c:spPr>
            <a:solidFill>
              <a:srgbClr val="4F81BD">
                <a:lumMod val="40000"/>
                <a:lumOff val="60000"/>
              </a:srgbClr>
            </a:solidFill>
            <a:ln>
              <a:solidFill>
                <a:srgbClr val="4F81BD">
                  <a:lumMod val="40000"/>
                  <a:lumOff val="60000"/>
                </a:srgbClr>
              </a:solidFill>
            </a:ln>
          </c:spPr>
          <c:invertIfNegative val="0"/>
          <c:dLbls>
            <c:numFmt formatCode="#,##0.0" sourceLinked="0"/>
            <c:spPr>
              <a:noFill/>
              <a:ln>
                <a:noFill/>
              </a:ln>
              <a:effectLst/>
            </c:spPr>
            <c:txPr>
              <a:bodyPr/>
              <a:lstStyle/>
              <a:p>
                <a:pPr>
                  <a:defRPr sz="900" b="0" i="0" u="none" strike="noStrike" baseline="0">
                    <a:solidFill>
                      <a:srgbClr val="000000"/>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Shpenzimet!$N$4:$X$4</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Shpenzimet!$N$5:$X$5</c:f>
              <c:numCache>
                <c:formatCode>#,##0</c:formatCode>
                <c:ptCount val="11"/>
                <c:pt idx="0">
                  <c:v>16276</c:v>
                </c:pt>
                <c:pt idx="1">
                  <c:v>15366</c:v>
                </c:pt>
                <c:pt idx="2">
                  <c:v>23946</c:v>
                </c:pt>
                <c:pt idx="3">
                  <c:v>25892</c:v>
                </c:pt>
                <c:pt idx="4">
                  <c:v>29156</c:v>
                </c:pt>
                <c:pt idx="5">
                  <c:v>22340</c:v>
                </c:pt>
                <c:pt idx="6">
                  <c:v>24336</c:v>
                </c:pt>
                <c:pt idx="7">
                  <c:v>24735</c:v>
                </c:pt>
                <c:pt idx="8">
                  <c:v>28957.03</c:v>
                </c:pt>
                <c:pt idx="9">
                  <c:v>31006.560000000001</c:v>
                </c:pt>
                <c:pt idx="10">
                  <c:v>36546.6</c:v>
                </c:pt>
              </c:numCache>
            </c:numRef>
          </c:val>
          <c:extLst>
            <c:ext xmlns:c16="http://schemas.microsoft.com/office/drawing/2014/chart" uri="{C3380CC4-5D6E-409C-BE32-E72D297353CC}">
              <c16:uniqueId val="{00000000-202F-443C-9F8D-A2DB05BB88F0}"/>
            </c:ext>
          </c:extLst>
        </c:ser>
        <c:dLbls>
          <c:showLegendKey val="0"/>
          <c:showVal val="0"/>
          <c:showCatName val="0"/>
          <c:showSerName val="0"/>
          <c:showPercent val="0"/>
          <c:showBubbleSize val="0"/>
        </c:dLbls>
        <c:gapWidth val="40"/>
        <c:axId val="465323264"/>
        <c:axId val="465324352"/>
      </c:barChart>
      <c:lineChart>
        <c:grouping val="standard"/>
        <c:varyColors val="0"/>
        <c:ser>
          <c:idx val="0"/>
          <c:order val="1"/>
          <c:tx>
            <c:strRef>
              <c:f>Shpenzimet!$B$6</c:f>
              <c:strCache>
                <c:ptCount val="1"/>
                <c:pt idx="0">
                  <c:v>Ritmi i rritjes</c:v>
                </c:pt>
              </c:strCache>
            </c:strRef>
          </c:tx>
          <c:spPr>
            <a:ln w="31750">
              <a:solidFill>
                <a:srgbClr val="1F497D">
                  <a:lumMod val="75000"/>
                </a:srgbClr>
              </a:solidFill>
            </a:ln>
          </c:spPr>
          <c:dLbls>
            <c:dLbl>
              <c:idx val="1"/>
              <c:layout>
                <c:manualLayout>
                  <c:x val="-7.794355366438345E-2"/>
                  <c:y val="-7.2498941664549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2F-443C-9F8D-A2DB05BB88F0}"/>
                </c:ext>
              </c:extLst>
            </c:dLbl>
            <c:dLbl>
              <c:idx val="5"/>
              <c:layout>
                <c:manualLayout>
                  <c:x val="-4.9938829074937068E-2"/>
                  <c:y val="-3.54686563056022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2F-443C-9F8D-A2DB05BB88F0}"/>
                </c:ext>
              </c:extLst>
            </c:dLbl>
            <c:dLbl>
              <c:idx val="9"/>
              <c:layout>
                <c:manualLayout>
                  <c:x val="-5.0784935703700781E-2"/>
                  <c:y val="-8.6888493776987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2F-443C-9F8D-A2DB05BB88F0}"/>
                </c:ext>
              </c:extLst>
            </c:dLbl>
            <c:dLbl>
              <c:idx val="10"/>
              <c:layout>
                <c:manualLayout>
                  <c:x val="-4.5604526305281098E-2"/>
                  <c:y val="-8.4149944966556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2F-443C-9F8D-A2DB05BB88F0}"/>
                </c:ext>
              </c:extLst>
            </c:dLbl>
            <c:spPr>
              <a:noFill/>
              <a:ln>
                <a:noFill/>
              </a:ln>
              <a:effectLst/>
            </c:spPr>
            <c:txPr>
              <a:bodyPr/>
              <a:lstStyle/>
              <a:p>
                <a:pPr>
                  <a:defRPr sz="900" b="0"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Shpenzimet!$N$4:$X$4</c:f>
              <c:strCache>
                <c:ptCount val="11"/>
                <c:pt idx="0">
                  <c:v>6M-2015</c:v>
                </c:pt>
                <c:pt idx="1">
                  <c:v>6M-2016</c:v>
                </c:pt>
                <c:pt idx="2">
                  <c:v>6M-2017</c:v>
                </c:pt>
                <c:pt idx="3">
                  <c:v>6M-2018</c:v>
                </c:pt>
                <c:pt idx="4">
                  <c:v>6M-2019</c:v>
                </c:pt>
                <c:pt idx="5">
                  <c:v>6M-2020</c:v>
                </c:pt>
                <c:pt idx="6">
                  <c:v>6M-2021</c:v>
                </c:pt>
                <c:pt idx="7">
                  <c:v>6M-2022</c:v>
                </c:pt>
                <c:pt idx="8">
                  <c:v>6M-2023</c:v>
                </c:pt>
                <c:pt idx="9">
                  <c:v>6M-2024</c:v>
                </c:pt>
                <c:pt idx="10">
                  <c:v>6M-2025</c:v>
                </c:pt>
              </c:strCache>
            </c:strRef>
          </c:cat>
          <c:val>
            <c:numRef>
              <c:f>Shpenzimet!$N$6:$X$6</c:f>
              <c:numCache>
                <c:formatCode>#,##0.0</c:formatCode>
                <c:ptCount val="11"/>
                <c:pt idx="0">
                  <c:v>34.279349888623052</c:v>
                </c:pt>
                <c:pt idx="1">
                  <c:v>-5.5910543130990416</c:v>
                </c:pt>
                <c:pt idx="2">
                  <c:v>55.837563451776653</c:v>
                </c:pt>
                <c:pt idx="3">
                  <c:v>8.1266182243380953</c:v>
                </c:pt>
                <c:pt idx="4">
                  <c:v>12.606210412482621</c:v>
                </c:pt>
                <c:pt idx="5">
                  <c:v>-23.377692413225411</c:v>
                </c:pt>
                <c:pt idx="6">
                  <c:v>8.9346463742166531</c:v>
                </c:pt>
                <c:pt idx="7">
                  <c:v>1.6395463510848127</c:v>
                </c:pt>
                <c:pt idx="8">
                  <c:v>17.069051950677171</c:v>
                </c:pt>
                <c:pt idx="9">
                  <c:v>7.0778322224344228</c:v>
                </c:pt>
                <c:pt idx="10">
                  <c:v>17.867315819620096</c:v>
                </c:pt>
              </c:numCache>
            </c:numRef>
          </c:val>
          <c:smooth val="1"/>
          <c:extLst>
            <c:ext xmlns:c16="http://schemas.microsoft.com/office/drawing/2014/chart" uri="{C3380CC4-5D6E-409C-BE32-E72D297353CC}">
              <c16:uniqueId val="{00000005-202F-443C-9F8D-A2DB05BB88F0}"/>
            </c:ext>
          </c:extLst>
        </c:ser>
        <c:dLbls>
          <c:showLegendKey val="0"/>
          <c:showVal val="0"/>
          <c:showCatName val="0"/>
          <c:showSerName val="0"/>
          <c:showPercent val="0"/>
          <c:showBubbleSize val="0"/>
        </c:dLbls>
        <c:marker val="1"/>
        <c:smooth val="0"/>
        <c:axId val="465324896"/>
        <c:axId val="465325440"/>
      </c:lineChart>
      <c:catAx>
        <c:axId val="465323264"/>
        <c:scaling>
          <c:orientation val="minMax"/>
        </c:scaling>
        <c:delete val="0"/>
        <c:axPos val="b"/>
        <c:numFmt formatCode="General" sourceLinked="1"/>
        <c:majorTickMark val="cross"/>
        <c:minorTickMark val="none"/>
        <c:tickLblPos val="nextTo"/>
        <c:txPr>
          <a:bodyPr rot="0" vert="horz"/>
          <a:lstStyle/>
          <a:p>
            <a:pPr>
              <a:defRPr sz="800" b="0" i="0" u="none" strike="noStrike" baseline="0">
                <a:solidFill>
                  <a:srgbClr val="000000"/>
                </a:solidFill>
                <a:latin typeface="Calibri"/>
                <a:ea typeface="Calibri"/>
                <a:cs typeface="Calibri"/>
              </a:defRPr>
            </a:pPr>
            <a:endParaRPr lang="en-US"/>
          </a:p>
        </c:txPr>
        <c:crossAx val="465324352"/>
        <c:crosses val="autoZero"/>
        <c:auto val="0"/>
        <c:lblAlgn val="ctr"/>
        <c:lblOffset val="100"/>
        <c:tickLblSkip val="1"/>
        <c:tickMarkSkip val="1"/>
        <c:noMultiLvlLbl val="0"/>
      </c:catAx>
      <c:valAx>
        <c:axId val="465324352"/>
        <c:scaling>
          <c:orientation val="minMax"/>
        </c:scaling>
        <c:delete val="0"/>
        <c:axPos val="l"/>
        <c:title>
          <c:tx>
            <c:rich>
              <a:bodyPr/>
              <a:lstStyle/>
              <a:p>
                <a:pPr>
                  <a:defRPr sz="900" b="1" i="0" u="none" strike="noStrike" baseline="0">
                    <a:solidFill>
                      <a:srgbClr val="000000"/>
                    </a:solidFill>
                    <a:latin typeface="Calibri"/>
                    <a:ea typeface="Calibri"/>
                    <a:cs typeface="Calibri"/>
                  </a:defRPr>
                </a:pPr>
                <a:r>
                  <a:rPr lang="sq-AL" sz="900" b="1"/>
                  <a:t>Në miliardë</a:t>
                </a:r>
              </a:p>
            </c:rich>
          </c:tx>
          <c:layout>
            <c:manualLayout>
              <c:xMode val="edge"/>
              <c:yMode val="edge"/>
              <c:x val="2.1100644788694689E-3"/>
              <c:y val="3.6919825916329153E-3"/>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65323264"/>
        <c:crosses val="autoZero"/>
        <c:crossBetween val="between"/>
        <c:dispUnits>
          <c:builtInUnit val="thousands"/>
        </c:dispUnits>
      </c:valAx>
      <c:catAx>
        <c:axId val="465324896"/>
        <c:scaling>
          <c:orientation val="minMax"/>
        </c:scaling>
        <c:delete val="1"/>
        <c:axPos val="b"/>
        <c:numFmt formatCode="General" sourceLinked="1"/>
        <c:majorTickMark val="out"/>
        <c:minorTickMark val="none"/>
        <c:tickLblPos val="nextTo"/>
        <c:crossAx val="465325440"/>
        <c:crosses val="autoZero"/>
        <c:auto val="0"/>
        <c:lblAlgn val="ctr"/>
        <c:lblOffset val="100"/>
        <c:noMultiLvlLbl val="0"/>
      </c:catAx>
      <c:valAx>
        <c:axId val="465325440"/>
        <c:scaling>
          <c:orientation val="minMax"/>
        </c:scaling>
        <c:delete val="0"/>
        <c:axPos val="r"/>
        <c:title>
          <c:tx>
            <c:rich>
              <a:bodyPr/>
              <a:lstStyle/>
              <a:p>
                <a:pPr>
                  <a:defRPr sz="900" b="1" i="0" u="none" strike="noStrike" baseline="0">
                    <a:solidFill>
                      <a:srgbClr val="000000"/>
                    </a:solidFill>
                    <a:latin typeface="Calibri"/>
                    <a:ea typeface="Calibri"/>
                    <a:cs typeface="Calibri"/>
                  </a:defRPr>
                </a:pPr>
                <a:r>
                  <a:rPr lang="sq-AL" sz="900" b="1"/>
                  <a:t>Në përqindje</a:t>
                </a:r>
              </a:p>
            </c:rich>
          </c:tx>
          <c:layout>
            <c:manualLayout>
              <c:xMode val="edge"/>
              <c:yMode val="edge"/>
              <c:x val="0.96936483388630201"/>
              <c:y val="5.2248586376367392E-3"/>
            </c:manualLayout>
          </c:layout>
          <c:overlay val="0"/>
        </c:title>
        <c:numFmt formatCode="0.0" sourceLinked="0"/>
        <c:majorTickMark val="cross"/>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465324896"/>
        <c:crosses val="max"/>
        <c:crossBetween val="between"/>
      </c:valAx>
      <c:spPr>
        <a:solidFill>
          <a:srgbClr val="EEECE1"/>
        </a:solidFill>
      </c:spPr>
    </c:plotArea>
    <c:legend>
      <c:legendPos val="b"/>
      <c:layout>
        <c:manualLayout>
          <c:xMode val="edge"/>
          <c:yMode val="edge"/>
          <c:x val="0.18524736156232219"/>
          <c:y val="0.88382844189930809"/>
          <c:w val="0.61611846940185111"/>
          <c:h val="9.0301689816862818E-2"/>
        </c:manualLayout>
      </c:layout>
      <c:overlay val="0"/>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42566794535296E-2"/>
          <c:y val="2.2633350066978385E-2"/>
          <c:w val="0.86801719496601382"/>
          <c:h val="0.72092123468591984"/>
        </c:manualLayout>
      </c:layout>
      <c:barChart>
        <c:barDir val="col"/>
        <c:grouping val="clustered"/>
        <c:varyColors val="0"/>
        <c:ser>
          <c:idx val="0"/>
          <c:order val="0"/>
          <c:tx>
            <c:strRef>
              <c:f>Shpenzimet!$C$26</c:f>
              <c:strCache>
                <c:ptCount val="1"/>
                <c:pt idx="0">
                  <c:v>6 mujori 2025</c:v>
                </c:pt>
              </c:strCache>
            </c:strRef>
          </c:tx>
          <c:spPr>
            <a:solidFill>
              <a:schemeClr val="tx2">
                <a:lumMod val="40000"/>
                <a:lumOff val="60000"/>
              </a:schemeClr>
            </a:solidFill>
          </c:spPr>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Shpenzimet!$D$25:$I$25</c:f>
              <c:strCache>
                <c:ptCount val="6"/>
                <c:pt idx="0">
                  <c:v>Paga</c:v>
                </c:pt>
                <c:pt idx="1">
                  <c:v>Sigurime</c:v>
                </c:pt>
                <c:pt idx="2">
                  <c:v>Operative</c:v>
                </c:pt>
                <c:pt idx="3">
                  <c:v>Subvencione</c:v>
                </c:pt>
                <c:pt idx="4">
                  <c:v>Të tjera korente</c:v>
                </c:pt>
                <c:pt idx="5">
                  <c:v>Shpenzime Kapitale</c:v>
                </c:pt>
              </c:strCache>
            </c:strRef>
          </c:cat>
          <c:val>
            <c:numRef>
              <c:f>Shpenzimet!$D$26:$I$26</c:f>
              <c:numCache>
                <c:formatCode>#,##0</c:formatCode>
                <c:ptCount val="6"/>
                <c:pt idx="0">
                  <c:v>16963.971977329998</c:v>
                </c:pt>
                <c:pt idx="1">
                  <c:v>2809.9999822799996</c:v>
                </c:pt>
                <c:pt idx="2">
                  <c:v>8693.6828050000004</c:v>
                </c:pt>
                <c:pt idx="3">
                  <c:v>877.84713474</c:v>
                </c:pt>
                <c:pt idx="4">
                  <c:v>1250.3260716199977</c:v>
                </c:pt>
                <c:pt idx="5">
                  <c:v>5950.7720290299994</c:v>
                </c:pt>
              </c:numCache>
            </c:numRef>
          </c:val>
          <c:extLst>
            <c:ext xmlns:c16="http://schemas.microsoft.com/office/drawing/2014/chart" uri="{C3380CC4-5D6E-409C-BE32-E72D297353CC}">
              <c16:uniqueId val="{00000000-A918-4A36-903A-27A545DC24B0}"/>
            </c:ext>
          </c:extLst>
        </c:ser>
        <c:ser>
          <c:idx val="1"/>
          <c:order val="1"/>
          <c:tx>
            <c:strRef>
              <c:f>Shpenzimet!$C$27</c:f>
              <c:strCache>
                <c:ptCount val="1"/>
                <c:pt idx="0">
                  <c:v>6 mujori 2024</c:v>
                </c:pt>
              </c:strCache>
            </c:strRef>
          </c:tx>
          <c:spPr>
            <a:solidFill>
              <a:schemeClr val="accent2">
                <a:lumMod val="60000"/>
                <a:lumOff val="40000"/>
              </a:schemeClr>
            </a:solidFill>
          </c:spPr>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Shpenzimet!$D$25:$I$25</c:f>
              <c:strCache>
                <c:ptCount val="6"/>
                <c:pt idx="0">
                  <c:v>Paga</c:v>
                </c:pt>
                <c:pt idx="1">
                  <c:v>Sigurime</c:v>
                </c:pt>
                <c:pt idx="2">
                  <c:v>Operative</c:v>
                </c:pt>
                <c:pt idx="3">
                  <c:v>Subvencione</c:v>
                </c:pt>
                <c:pt idx="4">
                  <c:v>Të tjera korente</c:v>
                </c:pt>
                <c:pt idx="5">
                  <c:v>Shpenzime Kapitale</c:v>
                </c:pt>
              </c:strCache>
            </c:strRef>
          </c:cat>
          <c:val>
            <c:numRef>
              <c:f>Shpenzimet!$D$27:$I$27</c:f>
              <c:numCache>
                <c:formatCode>#,##0</c:formatCode>
                <c:ptCount val="6"/>
                <c:pt idx="0">
                  <c:v>13606.5085777</c:v>
                </c:pt>
                <c:pt idx="1">
                  <c:v>2275.3510107299999</c:v>
                </c:pt>
                <c:pt idx="2">
                  <c:v>7983.6297309399997</c:v>
                </c:pt>
                <c:pt idx="3">
                  <c:v>279.57466773000004</c:v>
                </c:pt>
                <c:pt idx="4">
                  <c:v>1315.4161536099946</c:v>
                </c:pt>
                <c:pt idx="5">
                  <c:v>5546.0798592900019</c:v>
                </c:pt>
              </c:numCache>
            </c:numRef>
          </c:val>
          <c:extLst>
            <c:ext xmlns:c16="http://schemas.microsoft.com/office/drawing/2014/chart" uri="{C3380CC4-5D6E-409C-BE32-E72D297353CC}">
              <c16:uniqueId val="{00000001-A918-4A36-903A-27A545DC24B0}"/>
            </c:ext>
          </c:extLst>
        </c:ser>
        <c:dLbls>
          <c:showLegendKey val="0"/>
          <c:showVal val="0"/>
          <c:showCatName val="0"/>
          <c:showSerName val="0"/>
          <c:showPercent val="0"/>
          <c:showBubbleSize val="0"/>
        </c:dLbls>
        <c:gapWidth val="100"/>
        <c:overlap val="-15"/>
        <c:axId val="988937536"/>
        <c:axId val="988944064"/>
        <c:extLst/>
      </c:barChart>
      <c:catAx>
        <c:axId val="988937536"/>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44064"/>
        <c:crosses val="autoZero"/>
        <c:auto val="1"/>
        <c:lblAlgn val="ctr"/>
        <c:lblOffset val="100"/>
        <c:noMultiLvlLbl val="0"/>
      </c:catAx>
      <c:valAx>
        <c:axId val="9889440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sq-AL">
                    <a:solidFill>
                      <a:sysClr val="windowText" lastClr="000000"/>
                    </a:solidFill>
                  </a:rPr>
                  <a:t>Në milion</a:t>
                </a:r>
              </a:p>
            </c:rich>
          </c:tx>
          <c:layout>
            <c:manualLayout>
              <c:xMode val="edge"/>
              <c:yMode val="edge"/>
              <c:x val="1.1499764452520358E-3"/>
              <c:y val="0"/>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988937536"/>
        <c:crosses val="autoZero"/>
        <c:crossBetween val="between"/>
      </c:valAx>
      <c:spPr>
        <a:noFill/>
        <a:ln>
          <a:noFill/>
        </a:ln>
        <a:effectLst/>
      </c:spPr>
    </c:plotArea>
    <c:legend>
      <c:legendPos val="b"/>
      <c:layout>
        <c:manualLayout>
          <c:xMode val="edge"/>
          <c:yMode val="edge"/>
          <c:x val="0.23941516925768894"/>
          <c:y val="0.89723378028225709"/>
          <c:w val="0.48911821118514032"/>
          <c:h val="8.9986667002088003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Xhyheri</dc:creator>
  <cp:keywords/>
  <dc:description/>
  <cp:lastModifiedBy>Ardita Xhyheri</cp:lastModifiedBy>
  <cp:revision>2</cp:revision>
  <dcterms:created xsi:type="dcterms:W3CDTF">2026-01-13T13:57:00Z</dcterms:created>
  <dcterms:modified xsi:type="dcterms:W3CDTF">2026-01-13T13:57:00Z</dcterms:modified>
</cp:coreProperties>
</file>