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A5672" w14:textId="296FF43D" w:rsidR="007509DE" w:rsidRPr="00D4585A" w:rsidRDefault="006A75BE" w:rsidP="007509DE">
      <w:pPr>
        <w:spacing w:before="120" w:after="120" w:line="276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sq-AL"/>
        </w:rPr>
      </w:pPr>
      <w:r w:rsidRPr="00D4585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sq-AL"/>
        </w:rPr>
        <w:t xml:space="preserve">ANEKSI </w:t>
      </w:r>
      <w:r w:rsidR="00A91700" w:rsidRPr="00D4585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sq-AL"/>
        </w:rPr>
        <w:t>10</w:t>
      </w:r>
    </w:p>
    <w:p w14:paraId="12030C8B" w14:textId="77777777" w:rsidR="001F7414" w:rsidRDefault="001F7414" w:rsidP="001F741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032AE">
        <w:rPr>
          <w:rFonts w:ascii="Times New Roman" w:eastAsiaTheme="minorHAnsi" w:hAnsi="Times New Roman" w:cs="Times New Roman"/>
          <w:b/>
          <w:bCs/>
          <w:sz w:val="24"/>
          <w:szCs w:val="24"/>
          <w:lang w:val="sq-AL"/>
        </w:rPr>
        <w:t xml:space="preserve">Metodologjia </w:t>
      </w:r>
      <w:r w:rsidRPr="002032AE">
        <w:rPr>
          <w:rFonts w:ascii="Times New Roman" w:hAnsi="Times New Roman" w:cs="Times New Roman"/>
          <w:b/>
          <w:bCs/>
          <w:sz w:val="24"/>
          <w:szCs w:val="24"/>
          <w:lang w:val="sq-AL"/>
        </w:rPr>
        <w:t>mbi bazë risku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,</w:t>
      </w:r>
      <w:r w:rsidRPr="002032AE">
        <w:rPr>
          <w:rFonts w:ascii="Times New Roman" w:eastAsiaTheme="minorHAnsi" w:hAnsi="Times New Roman" w:cs="Times New Roman"/>
          <w:b/>
          <w:bCs/>
          <w:sz w:val="24"/>
          <w:szCs w:val="24"/>
          <w:lang w:val="sq-AL"/>
        </w:rPr>
        <w:t xml:space="preserve"> për shpërndarjen e transfertës së kushtëzuar për emergjencat civile, Njësive të Vetëqeverisjes Vendore</w:t>
      </w:r>
      <w:r w:rsidRPr="002032AE">
        <w:rPr>
          <w:rFonts w:ascii="Times New Roman" w:hAnsi="Times New Roman" w:cs="Times New Roman"/>
          <w:b/>
          <w:bCs/>
          <w:sz w:val="24"/>
          <w:szCs w:val="24"/>
          <w:lang w:val="sq-AL"/>
        </w:rPr>
        <w:t>.</w:t>
      </w:r>
    </w:p>
    <w:p w14:paraId="1A126665" w14:textId="77777777" w:rsidR="001F7414" w:rsidRDefault="001F7414" w:rsidP="001F7414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  <w:lang w:val="sq-AL"/>
        </w:rPr>
      </w:pPr>
    </w:p>
    <w:p w14:paraId="704714D1" w14:textId="61126751" w:rsidR="0072174C" w:rsidRPr="00C606CB" w:rsidRDefault="00A91700" w:rsidP="001F7414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C606CB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767EE" w:rsidRPr="00C60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 zbatim t</w:t>
      </w:r>
      <w:r w:rsidR="005767EE" w:rsidRPr="00C60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72865" w:rsidRPr="00C606CB">
        <w:rPr>
          <w:rFonts w:ascii="Times New Roman" w:hAnsi="Times New Roman" w:cs="Times New Roman"/>
          <w:sz w:val="24"/>
          <w:szCs w:val="24"/>
          <w:lang w:val="sq-AL"/>
        </w:rPr>
        <w:t>v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>endimit t</w:t>
      </w:r>
      <w:r w:rsidR="005767EE" w:rsidRPr="00C60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5767EE" w:rsidRPr="00C60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>shillit t</w:t>
      </w:r>
      <w:r w:rsidR="005767EE" w:rsidRPr="00C60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 Ministrave nr. 168, datë 24.03.2023 </w:t>
      </w:r>
      <w:r w:rsidR="00272865" w:rsidRPr="00C606CB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“Për miratimin e vlerësimit të riskut nga fatkeqësitë në nivel qendror”, metodologjia </w:t>
      </w:r>
      <w:r w:rsidR="00EC351B"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për shpërndarjen e transfertës së kushtëzuar për emergjencat civile, </w:t>
      </w:r>
      <w:r w:rsidR="00272865" w:rsidRPr="00C606CB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EC351B"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jësive të </w:t>
      </w:r>
      <w:r w:rsidR="00272865" w:rsidRPr="00C606CB">
        <w:rPr>
          <w:rFonts w:ascii="Times New Roman" w:hAnsi="Times New Roman" w:cs="Times New Roman"/>
          <w:sz w:val="24"/>
          <w:szCs w:val="24"/>
          <w:lang w:val="sq-AL"/>
        </w:rPr>
        <w:t>v</w:t>
      </w:r>
      <w:r w:rsidR="00EC351B"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etëqeverisjes </w:t>
      </w:r>
      <w:r w:rsidR="00272865" w:rsidRPr="00C606CB">
        <w:rPr>
          <w:rFonts w:ascii="Times New Roman" w:hAnsi="Times New Roman" w:cs="Times New Roman"/>
          <w:sz w:val="24"/>
          <w:szCs w:val="24"/>
          <w:lang w:val="sq-AL"/>
        </w:rPr>
        <w:t>v</w:t>
      </w:r>
      <w:r w:rsidR="00EC351B" w:rsidRPr="00C606CB">
        <w:rPr>
          <w:rFonts w:ascii="Times New Roman" w:hAnsi="Times New Roman" w:cs="Times New Roman"/>
          <w:sz w:val="24"/>
          <w:szCs w:val="24"/>
          <w:lang w:val="sq-AL"/>
        </w:rPr>
        <w:t>endore, mbi bazë risku,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 integron vlerësimet rajonale të riskut n</w:t>
      </w:r>
      <w:r w:rsidR="005767EE" w:rsidRPr="00C60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 nivel qarku me tregues financiarë dhe demografik, q</w:t>
      </w:r>
      <w:r w:rsidR="005767EE" w:rsidRPr="00C60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D1E29"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 v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endosin </w:t>
      </w:r>
      <w:r w:rsidR="00FD1E29" w:rsidRPr="00C606CB">
        <w:rPr>
          <w:rFonts w:ascii="Times New Roman" w:hAnsi="Times New Roman" w:cs="Times New Roman"/>
          <w:sz w:val="24"/>
          <w:szCs w:val="24"/>
          <w:lang w:val="sq-AL"/>
        </w:rPr>
        <w:t>në qendër të vlerësimit indikatorët e riskut, c</w:t>
      </w:r>
      <w:r w:rsidR="00272865" w:rsidRPr="00C606CB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FD1E29" w:rsidRPr="00C606CB">
        <w:rPr>
          <w:rFonts w:ascii="Times New Roman" w:hAnsi="Times New Roman" w:cs="Times New Roman"/>
          <w:sz w:val="24"/>
          <w:szCs w:val="24"/>
          <w:lang w:val="sq-AL"/>
        </w:rPr>
        <w:t>nueshmërisë dhe kapaciteteve reaguese</w:t>
      </w:r>
      <w:r w:rsidR="00EC351B" w:rsidRPr="00C606CB">
        <w:rPr>
          <w:rFonts w:ascii="Times New Roman" w:hAnsi="Times New Roman" w:cs="Times New Roman"/>
          <w:sz w:val="24"/>
          <w:szCs w:val="24"/>
          <w:lang w:val="sq-AL"/>
        </w:rPr>
        <w:t>. Kjo metodologji</w:t>
      </w:r>
      <w:r w:rsidR="000276A8"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 garanton që fondet të shkojnë atje ku ndikimi i mundshëm i fatkeqësive është më i lartë dhe kapaciteti reagues më i kufizuar</w:t>
      </w:r>
      <w:r w:rsidR="00EC351B"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. Procesi i vlerësimit dhe ndarjes së </w:t>
      </w:r>
      <w:r w:rsidR="00EC351B" w:rsidRPr="00D4585A">
        <w:rPr>
          <w:rFonts w:ascii="Times New Roman" w:hAnsi="Times New Roman" w:cs="Times New Roman"/>
          <w:sz w:val="24"/>
          <w:szCs w:val="24"/>
          <w:lang w:val="sq-AL"/>
        </w:rPr>
        <w:t xml:space="preserve">fondeve </w:t>
      </w:r>
      <w:r w:rsidR="00272865" w:rsidRPr="00D4585A">
        <w:rPr>
          <w:rFonts w:ascii="Times New Roman" w:hAnsi="Times New Roman" w:cs="Times New Roman"/>
          <w:sz w:val="24"/>
          <w:szCs w:val="24"/>
          <w:lang w:val="sq-AL"/>
        </w:rPr>
        <w:t>bë</w:t>
      </w:r>
      <w:r w:rsidR="00EC351B" w:rsidRPr="00D4585A">
        <w:rPr>
          <w:rFonts w:ascii="Times New Roman" w:hAnsi="Times New Roman" w:cs="Times New Roman"/>
          <w:sz w:val="24"/>
          <w:szCs w:val="24"/>
          <w:lang w:val="sq-AL"/>
        </w:rPr>
        <w:t>het në</w:t>
      </w:r>
      <w:r w:rsidR="00EC351B"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 dy faza</w:t>
      </w:r>
      <w:r w:rsidR="000276A8" w:rsidRPr="00C606C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DEDD704" w14:textId="4F4F4451" w:rsidR="00DF1AF7" w:rsidRPr="00C606CB" w:rsidRDefault="00DF1AF7" w:rsidP="00DF1A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iCs/>
          <w:noProof w:val="0"/>
          <w:sz w:val="24"/>
          <w:szCs w:val="24"/>
          <w:lang w:val="sq-AL"/>
        </w:rPr>
      </w:pPr>
      <w:r w:rsidRPr="00C606CB">
        <w:rPr>
          <w:rFonts w:ascii="Times New Roman" w:hAnsi="Times New Roman" w:cs="Times New Roman"/>
          <w:b/>
          <w:i/>
          <w:iCs/>
          <w:noProof w:val="0"/>
          <w:sz w:val="24"/>
          <w:szCs w:val="24"/>
          <w:lang w:val="sq-AL"/>
        </w:rPr>
        <w:t>Faza e parë: Kriteret për shpërndarjen e fondit në nivel qarku</w:t>
      </w:r>
    </w:p>
    <w:p w14:paraId="2EFCB8C2" w14:textId="77777777" w:rsidR="00DF1AF7" w:rsidRPr="00C606CB" w:rsidRDefault="00DF1AF7" w:rsidP="00DF1A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noProof w:val="0"/>
          <w:sz w:val="24"/>
          <w:szCs w:val="24"/>
          <w:lang w:val="sq-AL"/>
        </w:rPr>
      </w:pPr>
    </w:p>
    <w:p w14:paraId="085E95A4" w14:textId="2EBA78B1" w:rsidR="00DF1AF7" w:rsidRPr="00C606CB" w:rsidRDefault="00DF1AF7" w:rsidP="000244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Fondi i përgjithshëm vjetor i </w:t>
      </w:r>
      <w:r w:rsidR="00272865" w:rsidRPr="00C606CB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>rogramit “</w:t>
      </w:r>
      <w:r w:rsidR="00272865" w:rsidRPr="00C606CB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>mergjencat civile”</w:t>
      </w:r>
      <w:r w:rsidR="00272865" w:rsidRPr="00C606CB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 të destinuar për 61 </w:t>
      </w:r>
      <w:r w:rsidRPr="00D4585A">
        <w:rPr>
          <w:rFonts w:ascii="Times New Roman" w:hAnsi="Times New Roman" w:cs="Times New Roman"/>
          <w:sz w:val="24"/>
          <w:szCs w:val="24"/>
          <w:lang w:val="sq-AL"/>
        </w:rPr>
        <w:t>bashkitë</w:t>
      </w:r>
      <w:r w:rsidR="00272865" w:rsidRPr="00D4585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D4585A">
        <w:rPr>
          <w:rFonts w:ascii="Times New Roman" w:hAnsi="Times New Roman" w:cs="Times New Roman"/>
          <w:sz w:val="24"/>
          <w:szCs w:val="24"/>
          <w:lang w:val="sq-AL"/>
        </w:rPr>
        <w:t xml:space="preserve"> ndahet</w:t>
      </w:r>
      <w:r w:rsidR="00272865" w:rsidRPr="00D4585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91700" w:rsidRPr="00C606CB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5767EE" w:rsidRPr="00C60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91700"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 pari</w:t>
      </w:r>
      <w:r w:rsidR="00272865" w:rsidRPr="00C606CB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A91700"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>midis 12 qarqeve të Shqipërisë bazuar në pesë kritere të kombinuara</w:t>
      </w:r>
      <w:r w:rsidR="000244E3"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 (një kuotë të barabartë për çdo qark dhe në katër kritere të matshme: popullsia rezidente, sipërfaqja territoriale, indeksi i riskut të shumëfishtë dhe indeksi i cenueshmërisë sociale)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>, me peshë të caktuar për secilin kriter, si më poshtë:</w:t>
      </w:r>
    </w:p>
    <w:tbl>
      <w:tblPr>
        <w:tblW w:w="515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178"/>
        <w:gridCol w:w="3326"/>
        <w:gridCol w:w="719"/>
        <w:gridCol w:w="2699"/>
        <w:gridCol w:w="271"/>
      </w:tblGrid>
      <w:tr w:rsidR="000244E3" w:rsidRPr="00C606CB" w14:paraId="1F974C95" w14:textId="3489CBB6" w:rsidTr="000244E3">
        <w:trPr>
          <w:tblHeader/>
          <w:jc w:val="center"/>
        </w:trPr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F583F" w14:textId="77777777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Nr.</w:t>
            </w:r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92E0D" w14:textId="77777777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Kriteri</w:t>
            </w:r>
          </w:p>
        </w:tc>
        <w:tc>
          <w:tcPr>
            <w:tcW w:w="1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84EEF" w14:textId="77777777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Përshkrimi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91918" w14:textId="77777777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Pesha (pikë)</w:t>
            </w:r>
          </w:p>
        </w:tc>
        <w:tc>
          <w:tcPr>
            <w:tcW w:w="13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E74B618" w14:textId="55A5E552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Burimi i të dhënave</w:t>
            </w: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58C5B5" w14:textId="6EF60041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bdr w:val="none" w:sz="0" w:space="0" w:color="auto" w:frame="1"/>
                <w:lang w:val="sq-AL" w:eastAsia="en-GB"/>
              </w:rPr>
            </w:pPr>
          </w:p>
        </w:tc>
      </w:tr>
      <w:tr w:rsidR="000244E3" w:rsidRPr="00C606CB" w14:paraId="2899B4E0" w14:textId="59A57A42" w:rsidTr="000244E3">
        <w:trPr>
          <w:jc w:val="center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1A66A" w14:textId="77777777" w:rsidR="0041293B" w:rsidRPr="00C606CB" w:rsidRDefault="0041293B" w:rsidP="00A9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1.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9E020" w14:textId="77777777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Kuotë minimale për çdo qark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802E1" w14:textId="77777777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Siguron shpërndarje të barabartë për çdo qark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34C67" w14:textId="77777777" w:rsidR="0041293B" w:rsidRPr="00C606CB" w:rsidRDefault="0041293B" w:rsidP="00A9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20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53B4850" w14:textId="585B53E1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Vendim metodologjik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501716" w14:textId="0E7AB9EC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bdr w:val="none" w:sz="0" w:space="0" w:color="auto" w:frame="1"/>
                <w:lang w:val="sq-AL" w:eastAsia="en-GB"/>
              </w:rPr>
            </w:pPr>
          </w:p>
        </w:tc>
      </w:tr>
      <w:tr w:rsidR="000244E3" w:rsidRPr="00C606CB" w14:paraId="09C40C48" w14:textId="67926A0D" w:rsidTr="000244E3">
        <w:trPr>
          <w:jc w:val="center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CC7B9" w14:textId="77777777" w:rsidR="0041293B" w:rsidRPr="00C606CB" w:rsidRDefault="0041293B" w:rsidP="00A9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2.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6CF97" w14:textId="77777777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Popullsia e qarkut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67CFE" w14:textId="77777777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Reflekton shkallën e ekspozimit demografik të territorit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5EB66" w14:textId="77777777" w:rsidR="0041293B" w:rsidRPr="00C606CB" w:rsidRDefault="0041293B" w:rsidP="00A9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20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4322036" w14:textId="42ADB774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 xml:space="preserve">INSTAT 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FB645D" w14:textId="1E51D3AC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bdr w:val="none" w:sz="0" w:space="0" w:color="auto" w:frame="1"/>
                <w:lang w:val="sq-AL" w:eastAsia="en-GB"/>
              </w:rPr>
            </w:pPr>
          </w:p>
        </w:tc>
      </w:tr>
      <w:tr w:rsidR="000244E3" w:rsidRPr="00C606CB" w14:paraId="3FE96751" w14:textId="2546365A" w:rsidTr="000244E3">
        <w:trPr>
          <w:jc w:val="center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7E52C" w14:textId="77777777" w:rsidR="0041293B" w:rsidRPr="00C606CB" w:rsidRDefault="0041293B" w:rsidP="00A9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3.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F999B" w14:textId="77777777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Sipërfaqja territoriale e qarkut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4BA3B" w14:textId="77777777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Tregon përmasat territoriale që kërkojnë mbulim me kapacitete reagimi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94AFE" w14:textId="77777777" w:rsidR="0041293B" w:rsidRPr="00C606CB" w:rsidRDefault="0041293B" w:rsidP="00A9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10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A4FE91D" w14:textId="1D63B961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INSTAT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9FEA33" w14:textId="520A9055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bdr w:val="none" w:sz="0" w:space="0" w:color="auto" w:frame="1"/>
                <w:lang w:val="sq-AL" w:eastAsia="en-GB"/>
              </w:rPr>
            </w:pPr>
          </w:p>
        </w:tc>
      </w:tr>
      <w:tr w:rsidR="000244E3" w:rsidRPr="00C606CB" w14:paraId="6FD03C3B" w14:textId="3EE84F4A" w:rsidTr="000244E3">
        <w:trPr>
          <w:jc w:val="center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D54A1" w14:textId="77777777" w:rsidR="0041293B" w:rsidRPr="00C606CB" w:rsidRDefault="0041293B" w:rsidP="00A9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4.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4AC41" w14:textId="77777777" w:rsidR="0041293B" w:rsidRPr="00D4585A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sq-AL" w:eastAsia="en-GB"/>
              </w:rPr>
            </w:pPr>
            <w:r w:rsidRPr="00D458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Indeksi shumë faktorësh i riskut (risk i shumëfishtë)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13EE8" w14:textId="3186C6EF" w:rsidR="0041293B" w:rsidRPr="00D4585A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sq-AL" w:eastAsia="en-GB"/>
              </w:rPr>
            </w:pPr>
            <w:r w:rsidRPr="00D458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Vlerësim i kombinuar i rreziqeve (tërmete, përmbytje, zjarre, rrëshqitje, teknologjik</w:t>
            </w:r>
            <w:r w:rsidR="00272865" w:rsidRPr="00D458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e</w:t>
            </w:r>
            <w:r w:rsidRPr="00D458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, biologjik</w:t>
            </w:r>
            <w:r w:rsidR="00272865" w:rsidRPr="00D458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e</w:t>
            </w:r>
            <w:r w:rsidRPr="00D458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 xml:space="preserve"> etj.)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74FE0" w14:textId="77777777" w:rsidR="0041293B" w:rsidRPr="00D4585A" w:rsidRDefault="0041293B" w:rsidP="00A9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sq-AL" w:eastAsia="en-GB"/>
              </w:rPr>
            </w:pPr>
            <w:r w:rsidRPr="00D458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30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FFBC7FE" w14:textId="7A0610B2" w:rsidR="000244E3" w:rsidRPr="00D4585A" w:rsidRDefault="0041293B" w:rsidP="0027286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</w:pPr>
            <w:r w:rsidRPr="00D458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 xml:space="preserve">Dokumenti i Vlerësimit të </w:t>
            </w:r>
            <w:r w:rsidR="00272865" w:rsidRPr="00D458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Riskut nga F</w:t>
            </w:r>
            <w:r w:rsidRPr="00D458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atkeqësitë (VRF) në nivel qendror</w:t>
            </w:r>
            <w:r w:rsidR="00272865" w:rsidRPr="00D458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,</w:t>
            </w:r>
            <w:r w:rsidR="000244E3" w:rsidRPr="00D458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 xml:space="preserve"> VKM </w:t>
            </w:r>
            <w:r w:rsidR="00272865" w:rsidRPr="00D458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nr.</w:t>
            </w:r>
            <w:r w:rsidR="000244E3" w:rsidRPr="00D458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168/2023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369C87" w14:textId="66AEEE60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bdr w:val="none" w:sz="0" w:space="0" w:color="auto" w:frame="1"/>
                <w:lang w:val="sq-AL" w:eastAsia="en-GB"/>
              </w:rPr>
            </w:pPr>
          </w:p>
        </w:tc>
      </w:tr>
      <w:tr w:rsidR="000244E3" w:rsidRPr="00C606CB" w14:paraId="5CD66225" w14:textId="571FCE4B" w:rsidTr="000244E3">
        <w:trPr>
          <w:jc w:val="center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8884" w14:textId="77777777" w:rsidR="0041293B" w:rsidRPr="00C606CB" w:rsidRDefault="0041293B" w:rsidP="00A9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5.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8E4C6" w14:textId="77777777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Indeksi i cenueshmërisë sociale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824E" w14:textId="77777777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Reflekton kapacitete më të ulëta për përballim dhe reagim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CC646" w14:textId="77777777" w:rsidR="0041293B" w:rsidRPr="00C606CB" w:rsidRDefault="0041293B" w:rsidP="00A9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20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50B7281" w14:textId="24D68FD3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INSTAT (papunësia dhe</w:t>
            </w:r>
            <w:r w:rsidR="00A91700"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 xml:space="preserve"> </w:t>
            </w: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 xml:space="preserve">shpenzimet mesatare </w:t>
            </w:r>
            <w:r w:rsidR="00A91700"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m</w:t>
            </w:r>
            <w:r w:rsidRPr="00C606C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ujore për familje)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39F8C5" w14:textId="5934436C" w:rsidR="0041293B" w:rsidRPr="00C606CB" w:rsidRDefault="0041293B" w:rsidP="0041293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bdr w:val="none" w:sz="0" w:space="0" w:color="auto" w:frame="1"/>
                <w:lang w:val="sq-AL" w:eastAsia="en-GB"/>
              </w:rPr>
            </w:pPr>
          </w:p>
        </w:tc>
      </w:tr>
    </w:tbl>
    <w:p w14:paraId="3AD1FD89" w14:textId="709F2AE4" w:rsidR="005F227A" w:rsidRPr="00C606CB" w:rsidRDefault="005F227A" w:rsidP="00A91700">
      <w:pPr>
        <w:shd w:val="clear" w:color="auto" w:fill="FFFFFF"/>
        <w:spacing w:after="0" w:line="240" w:lineRule="auto"/>
        <w:ind w:left="-90"/>
        <w:rPr>
          <w:rFonts w:ascii="Times New Roman" w:hAnsi="Times New Roman" w:cs="Times New Roman"/>
          <w:b/>
          <w:noProof w:val="0"/>
          <w:sz w:val="24"/>
          <w:szCs w:val="24"/>
          <w:lang w:val="sq-AL"/>
        </w:rPr>
      </w:pPr>
      <w:r w:rsidRPr="00C606CB">
        <w:drawing>
          <wp:inline distT="0" distB="0" distL="0" distR="0" wp14:anchorId="253D4F23" wp14:editId="67495AB8">
            <wp:extent cx="6151231" cy="30577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01" b="9664"/>
                    <a:stretch/>
                  </pic:blipFill>
                  <pic:spPr bwMode="auto">
                    <a:xfrm>
                      <a:off x="0" y="0"/>
                      <a:ext cx="6184176" cy="307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60EEAE" w14:textId="77777777" w:rsidR="00A91700" w:rsidRPr="00C606CB" w:rsidRDefault="00A91700" w:rsidP="00AC76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noProof w:val="0"/>
          <w:sz w:val="24"/>
          <w:szCs w:val="24"/>
          <w:lang w:val="sq-AL"/>
        </w:rPr>
      </w:pPr>
    </w:p>
    <w:p w14:paraId="2143D798" w14:textId="0CD1C435" w:rsidR="00AC7638" w:rsidRPr="00C606CB" w:rsidRDefault="00AC7638" w:rsidP="00AC76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iCs/>
          <w:noProof w:val="0"/>
          <w:sz w:val="24"/>
          <w:szCs w:val="24"/>
          <w:lang w:val="sq-AL"/>
        </w:rPr>
      </w:pPr>
      <w:r w:rsidRPr="00C606CB">
        <w:rPr>
          <w:rFonts w:ascii="Times New Roman" w:hAnsi="Times New Roman" w:cs="Times New Roman"/>
          <w:b/>
          <w:i/>
          <w:iCs/>
          <w:noProof w:val="0"/>
          <w:sz w:val="24"/>
          <w:szCs w:val="24"/>
          <w:lang w:val="sq-AL"/>
        </w:rPr>
        <w:lastRenderedPageBreak/>
        <w:t>Faza e dytë: Kriteret për ndarjen e fondit në nivel bashkie</w:t>
      </w:r>
    </w:p>
    <w:p w14:paraId="022AAF76" w14:textId="77777777" w:rsidR="000244E3" w:rsidRPr="00C606CB" w:rsidRDefault="000244E3" w:rsidP="00AC76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noProof w:val="0"/>
          <w:sz w:val="24"/>
          <w:szCs w:val="24"/>
          <w:lang w:val="sq-AL"/>
        </w:rPr>
      </w:pPr>
    </w:p>
    <w:p w14:paraId="42B2977E" w14:textId="163CE5DA" w:rsidR="00AC7638" w:rsidRPr="00C606CB" w:rsidRDefault="000244E3" w:rsidP="000244E3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val="sq-AL" w:eastAsia="en-GB"/>
        </w:rPr>
      </w:pPr>
      <w:r w:rsidRPr="00C606CB">
        <w:rPr>
          <w:rFonts w:ascii="Times New Roman" w:hAnsi="Times New Roman" w:cs="Times New Roman"/>
          <w:sz w:val="24"/>
          <w:szCs w:val="24"/>
          <w:lang w:val="sq-AL"/>
        </w:rPr>
        <w:t>Fondi i p</w:t>
      </w:r>
      <w:r w:rsidR="005767EE" w:rsidRPr="00C60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>rllogaritur p</w:t>
      </w:r>
      <w:r w:rsidR="005767EE" w:rsidRPr="00C60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>r secilin qark sipas faz</w:t>
      </w:r>
      <w:r w:rsidR="005767EE" w:rsidRPr="00C60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5767EE" w:rsidRPr="00C60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4585A">
        <w:rPr>
          <w:rFonts w:ascii="Times New Roman" w:hAnsi="Times New Roman" w:cs="Times New Roman"/>
          <w:sz w:val="24"/>
          <w:szCs w:val="24"/>
          <w:lang w:val="sq-AL"/>
        </w:rPr>
        <w:t>par</w:t>
      </w:r>
      <w:r w:rsidR="005767EE" w:rsidRPr="00D4585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4585A">
        <w:rPr>
          <w:rFonts w:ascii="Times New Roman" w:hAnsi="Times New Roman" w:cs="Times New Roman"/>
          <w:sz w:val="24"/>
          <w:szCs w:val="24"/>
          <w:lang w:val="sq-AL"/>
        </w:rPr>
        <w:t xml:space="preserve"> ndahet mes bashkive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 përkatëse t</w:t>
      </w:r>
      <w:r w:rsidR="005767EE" w:rsidRPr="00C606C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 secilit qark bazuar në katër kritere të matshme dhe në përqindjen që zë secila bashki ndaj totalit të qarkut me pesh</w:t>
      </w:r>
      <w:r w:rsidR="00C606CB" w:rsidRPr="00C606CB">
        <w:rPr>
          <w:rFonts w:ascii="Times New Roman" w:hAnsi="Times New Roman" w:cs="Times New Roman"/>
          <w:sz w:val="24"/>
          <w:szCs w:val="24"/>
          <w:lang w:val="sq-AL"/>
        </w:rPr>
        <w:t>ë të caktuar për secilin kriter</w:t>
      </w:r>
      <w:r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 si më poshtë:</w:t>
      </w:r>
    </w:p>
    <w:p w14:paraId="3BC07A9D" w14:textId="77777777" w:rsidR="00280C42" w:rsidRPr="00C606CB" w:rsidRDefault="00280C42" w:rsidP="00AC7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  <w:lang w:val="sq-AL" w:eastAsia="en-GB"/>
        </w:rPr>
      </w:pPr>
    </w:p>
    <w:tbl>
      <w:tblPr>
        <w:tblW w:w="5582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78"/>
        <w:gridCol w:w="5571"/>
        <w:gridCol w:w="716"/>
        <w:gridCol w:w="1861"/>
      </w:tblGrid>
      <w:tr w:rsidR="00486F84" w:rsidRPr="00C606CB" w14:paraId="42D86FF6" w14:textId="21305C1F" w:rsidTr="000244E3">
        <w:trPr>
          <w:tblHeader/>
          <w:jc w:val="center"/>
        </w:trPr>
        <w:tc>
          <w:tcPr>
            <w:tcW w:w="2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C0022" w14:textId="77777777" w:rsidR="00486F84" w:rsidRPr="00C606CB" w:rsidRDefault="00486F84" w:rsidP="00A9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242424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b/>
                <w:bCs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Nr.</w:t>
            </w:r>
          </w:p>
        </w:tc>
        <w:tc>
          <w:tcPr>
            <w:tcW w:w="9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DC1B7" w14:textId="77777777" w:rsidR="00486F84" w:rsidRPr="00C606CB" w:rsidRDefault="00486F84" w:rsidP="00486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242424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b/>
                <w:bCs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Kriteri</w:t>
            </w:r>
          </w:p>
        </w:tc>
        <w:tc>
          <w:tcPr>
            <w:tcW w:w="26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4725" w14:textId="77777777" w:rsidR="00486F84" w:rsidRPr="00C606CB" w:rsidRDefault="00486F84" w:rsidP="00486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242424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b/>
                <w:bCs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Përshkrimi</w:t>
            </w:r>
          </w:p>
        </w:tc>
        <w:tc>
          <w:tcPr>
            <w:tcW w:w="3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F4316" w14:textId="77777777" w:rsidR="00486F84" w:rsidRPr="00C606CB" w:rsidRDefault="00486F84" w:rsidP="00486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242424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b/>
                <w:bCs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Pesha (pikë)</w:t>
            </w:r>
          </w:p>
        </w:tc>
        <w:tc>
          <w:tcPr>
            <w:tcW w:w="885" w:type="pct"/>
            <w:shd w:val="clear" w:color="auto" w:fill="FFFFFF"/>
            <w:vAlign w:val="center"/>
          </w:tcPr>
          <w:p w14:paraId="574AC556" w14:textId="20878C65" w:rsidR="00486F84" w:rsidRPr="00C606CB" w:rsidRDefault="00486F84" w:rsidP="00486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bdr w:val="none" w:sz="0" w:space="0" w:color="auto" w:frame="1"/>
                <w:lang w:val="sq-AL" w:eastAsia="en-GB"/>
              </w:rPr>
              <w:t>Burimi i të dhënave</w:t>
            </w:r>
          </w:p>
        </w:tc>
      </w:tr>
      <w:tr w:rsidR="00486F84" w:rsidRPr="00C606CB" w14:paraId="00E89ADB" w14:textId="6A81574C" w:rsidTr="000244E3">
        <w:trPr>
          <w:jc w:val="center"/>
        </w:trPr>
        <w:tc>
          <w:tcPr>
            <w:tcW w:w="2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0FE8" w14:textId="77777777" w:rsidR="00486F84" w:rsidRPr="00C606CB" w:rsidRDefault="00486F84" w:rsidP="00A9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1.</w:t>
            </w:r>
          </w:p>
        </w:tc>
        <w:tc>
          <w:tcPr>
            <w:tcW w:w="9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DB18" w14:textId="77777777" w:rsidR="00486F84" w:rsidRPr="00C606CB" w:rsidRDefault="00486F84" w:rsidP="00486F8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Popullsia e bashkisë</w:t>
            </w:r>
          </w:p>
        </w:tc>
        <w:tc>
          <w:tcPr>
            <w:tcW w:w="26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4212E" w14:textId="5E3EE1D4" w:rsidR="00486F84" w:rsidRPr="00C606CB" w:rsidRDefault="00486F84" w:rsidP="00486F8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Si përqindje ndaj totalit të qarkut. Reflekton nevojën për shërbime publike dhe nivelin e ekspozimit demografik.</w:t>
            </w:r>
          </w:p>
        </w:tc>
        <w:tc>
          <w:tcPr>
            <w:tcW w:w="3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9A61F" w14:textId="77777777" w:rsidR="00486F84" w:rsidRPr="00C606CB" w:rsidRDefault="00486F84" w:rsidP="00A9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40</w:t>
            </w:r>
          </w:p>
        </w:tc>
        <w:tc>
          <w:tcPr>
            <w:tcW w:w="885" w:type="pct"/>
            <w:shd w:val="clear" w:color="auto" w:fill="FFFFFF"/>
            <w:vAlign w:val="center"/>
          </w:tcPr>
          <w:p w14:paraId="7EFEDD64" w14:textId="69B02ED0" w:rsidR="00486F84" w:rsidRPr="00C606CB" w:rsidRDefault="00486F84" w:rsidP="00486F8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INSTAT</w:t>
            </w:r>
          </w:p>
        </w:tc>
      </w:tr>
      <w:tr w:rsidR="00486F84" w:rsidRPr="00C606CB" w14:paraId="62C9856C" w14:textId="12803CEB" w:rsidTr="000244E3">
        <w:trPr>
          <w:trHeight w:val="493"/>
          <w:jc w:val="center"/>
        </w:trPr>
        <w:tc>
          <w:tcPr>
            <w:tcW w:w="2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735C" w14:textId="77777777" w:rsidR="00486F84" w:rsidRPr="00C606CB" w:rsidRDefault="00486F84" w:rsidP="00A9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2.</w:t>
            </w:r>
          </w:p>
        </w:tc>
        <w:tc>
          <w:tcPr>
            <w:tcW w:w="9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B8C48" w14:textId="77777777" w:rsidR="00486F84" w:rsidRPr="00C606CB" w:rsidRDefault="00486F84" w:rsidP="00486F8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Sipërfaqja e bashkisë</w:t>
            </w:r>
          </w:p>
        </w:tc>
        <w:tc>
          <w:tcPr>
            <w:tcW w:w="26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16EE9" w14:textId="66553B14" w:rsidR="00486F84" w:rsidRPr="00C606CB" w:rsidRDefault="00486F84" w:rsidP="00486F8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Reflekton nevojën për mbulim territorial. Përllogarit sfidat logjistike dhe menaxhimin e territorit, veçanërisht për zonat më të mëdha.</w:t>
            </w:r>
          </w:p>
        </w:tc>
        <w:tc>
          <w:tcPr>
            <w:tcW w:w="3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8C8CB" w14:textId="77777777" w:rsidR="00486F84" w:rsidRPr="00C606CB" w:rsidRDefault="00486F84" w:rsidP="00A9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20</w:t>
            </w:r>
          </w:p>
        </w:tc>
        <w:tc>
          <w:tcPr>
            <w:tcW w:w="885" w:type="pct"/>
            <w:shd w:val="clear" w:color="auto" w:fill="FFFFFF"/>
            <w:vAlign w:val="center"/>
          </w:tcPr>
          <w:p w14:paraId="5CADB2F3" w14:textId="06CE490A" w:rsidR="00486F84" w:rsidRPr="00C606CB" w:rsidRDefault="00486F84" w:rsidP="00486F8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INSTAT</w:t>
            </w:r>
          </w:p>
        </w:tc>
      </w:tr>
      <w:tr w:rsidR="00486F84" w:rsidRPr="00C606CB" w14:paraId="00BAE84C" w14:textId="0EB6FB3B" w:rsidTr="000244E3">
        <w:trPr>
          <w:jc w:val="center"/>
        </w:trPr>
        <w:tc>
          <w:tcPr>
            <w:tcW w:w="2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0FF1B" w14:textId="53A266F7" w:rsidR="00486F84" w:rsidRPr="00C606CB" w:rsidRDefault="00486F84" w:rsidP="00A9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3.</w:t>
            </w:r>
          </w:p>
        </w:tc>
        <w:tc>
          <w:tcPr>
            <w:tcW w:w="9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77698" w14:textId="77777777" w:rsidR="00486F84" w:rsidRPr="00C606CB" w:rsidRDefault="00486F84" w:rsidP="00486F8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Ekspozimi indirekt</w:t>
            </w:r>
          </w:p>
        </w:tc>
        <w:tc>
          <w:tcPr>
            <w:tcW w:w="26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D5925" w14:textId="2DA57AE0" w:rsidR="00486F84" w:rsidRPr="00C606CB" w:rsidRDefault="00486F84" w:rsidP="00486F8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Mat efektivitetin e bashkisë në përdorimin e fondeve për ZRF në vitin pararendës.</w:t>
            </w:r>
          </w:p>
        </w:tc>
        <w:tc>
          <w:tcPr>
            <w:tcW w:w="3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1B58F" w14:textId="7C602159" w:rsidR="00486F84" w:rsidRPr="00C606CB" w:rsidRDefault="000276A8" w:rsidP="00A9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2</w:t>
            </w:r>
            <w:r w:rsidR="00486F84"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0</w:t>
            </w:r>
          </w:p>
        </w:tc>
        <w:tc>
          <w:tcPr>
            <w:tcW w:w="885" w:type="pct"/>
            <w:shd w:val="clear" w:color="auto" w:fill="FFFFFF"/>
            <w:vAlign w:val="center"/>
          </w:tcPr>
          <w:p w14:paraId="1CD0CFF1" w14:textId="50E5B7DC" w:rsidR="00486F84" w:rsidRPr="00C606CB" w:rsidRDefault="00486F84" w:rsidP="00486F8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INSTAT</w:t>
            </w:r>
          </w:p>
        </w:tc>
      </w:tr>
      <w:tr w:rsidR="00486F84" w:rsidRPr="00C606CB" w14:paraId="7C59C5A1" w14:textId="11C60B4C" w:rsidTr="000244E3">
        <w:trPr>
          <w:jc w:val="center"/>
        </w:trPr>
        <w:tc>
          <w:tcPr>
            <w:tcW w:w="2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E623C" w14:textId="30CBD5D9" w:rsidR="00486F84" w:rsidRPr="00C606CB" w:rsidRDefault="00486F84" w:rsidP="00A9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4.</w:t>
            </w:r>
          </w:p>
        </w:tc>
        <w:tc>
          <w:tcPr>
            <w:tcW w:w="9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B5B3C" w14:textId="77777777" w:rsidR="00486F84" w:rsidRPr="00C606CB" w:rsidRDefault="00486F84" w:rsidP="00486F8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Performanca në përdorimin e buxhetit</w:t>
            </w:r>
          </w:p>
        </w:tc>
        <w:tc>
          <w:tcPr>
            <w:tcW w:w="26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7DE0E" w14:textId="65C484CF" w:rsidR="00486F84" w:rsidRPr="00C606CB" w:rsidRDefault="00486F84" w:rsidP="00486F8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Si përqindje ndaj totalit të qarkut. Reflekton nevojën për shërbime publike dhe nivelin e ekspozimit demografik.</w:t>
            </w:r>
          </w:p>
        </w:tc>
        <w:tc>
          <w:tcPr>
            <w:tcW w:w="3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ABB3" w14:textId="1739F777" w:rsidR="00486F84" w:rsidRPr="00C606CB" w:rsidRDefault="000276A8" w:rsidP="00A9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2</w:t>
            </w:r>
            <w:r w:rsidR="00486F84"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0</w:t>
            </w:r>
          </w:p>
        </w:tc>
        <w:tc>
          <w:tcPr>
            <w:tcW w:w="885" w:type="pct"/>
            <w:shd w:val="clear" w:color="auto" w:fill="FFFFFF"/>
            <w:vAlign w:val="center"/>
          </w:tcPr>
          <w:p w14:paraId="75AC25AB" w14:textId="4BBAB0F9" w:rsidR="00486F84" w:rsidRPr="00C606CB" w:rsidRDefault="00486F84" w:rsidP="00486F8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</w:pP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 xml:space="preserve">AKMC / MF (në bazë të realizimit </w:t>
            </w:r>
            <w:r w:rsidR="00A91700"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t</w:t>
            </w:r>
            <w:r w:rsidR="005767EE"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ë</w:t>
            </w:r>
            <w:r w:rsidR="00A91700"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 xml:space="preserve"> </w:t>
            </w: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buxhet</w:t>
            </w:r>
            <w:r w:rsidR="00A91700"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it</w:t>
            </w: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 xml:space="preserve"> vjetor</w:t>
            </w:r>
            <w:r w:rsidR="00A91700"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 xml:space="preserve"> 2025</w:t>
            </w:r>
            <w:r w:rsidRPr="00C606CB">
              <w:rPr>
                <w:rFonts w:ascii="Times New Roman" w:eastAsia="Times New Roman" w:hAnsi="Times New Roman" w:cs="Times New Roman"/>
                <w:noProof w:val="0"/>
                <w:color w:val="242424"/>
                <w:sz w:val="20"/>
                <w:szCs w:val="20"/>
                <w:bdr w:val="none" w:sz="0" w:space="0" w:color="auto" w:frame="1"/>
                <w:lang w:val="sq-AL" w:eastAsia="en-GB"/>
              </w:rPr>
              <w:t>)</w:t>
            </w:r>
          </w:p>
        </w:tc>
      </w:tr>
    </w:tbl>
    <w:p w14:paraId="10BD48E3" w14:textId="77777777" w:rsidR="00DF1AF7" w:rsidRPr="00C606CB" w:rsidRDefault="00DF1AF7" w:rsidP="007E7E3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2ABF12" w14:textId="537999FD" w:rsidR="000244E3" w:rsidRPr="00C606CB" w:rsidRDefault="000244E3" w:rsidP="0029097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4585A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5767EE" w:rsidRPr="00D4585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06CB" w:rsidRPr="00D4585A">
        <w:rPr>
          <w:rFonts w:ascii="Times New Roman" w:hAnsi="Times New Roman" w:cs="Times New Roman"/>
          <w:sz w:val="24"/>
          <w:szCs w:val="24"/>
          <w:lang w:val="sq-AL"/>
        </w:rPr>
        <w:t>rllogaritja</w:t>
      </w:r>
      <w:r w:rsidRPr="00D4585A">
        <w:rPr>
          <w:rFonts w:ascii="Times New Roman" w:hAnsi="Times New Roman" w:cs="Times New Roman"/>
          <w:sz w:val="24"/>
          <w:szCs w:val="24"/>
          <w:lang w:val="sq-AL"/>
        </w:rPr>
        <w:t xml:space="preserve"> e t</w:t>
      </w:r>
      <w:r w:rsidR="005767EE" w:rsidRPr="00D4585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4585A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5767EE" w:rsidRPr="00D4585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4585A">
        <w:rPr>
          <w:rFonts w:ascii="Times New Roman" w:hAnsi="Times New Roman" w:cs="Times New Roman"/>
          <w:sz w:val="24"/>
          <w:szCs w:val="24"/>
          <w:lang w:val="sq-AL"/>
        </w:rPr>
        <w:t xml:space="preserve">nave sipas </w:t>
      </w:r>
      <w:r w:rsidR="005767EE" w:rsidRPr="00D4585A">
        <w:rPr>
          <w:rFonts w:ascii="Times New Roman" w:hAnsi="Times New Roman" w:cs="Times New Roman"/>
          <w:sz w:val="24"/>
          <w:szCs w:val="24"/>
          <w:lang w:val="sq-AL"/>
        </w:rPr>
        <w:t>çdo kriteri bëhet nga MM/AKMC mbi të dhënat e INSTAT</w:t>
      </w:r>
      <w:r w:rsidR="00C606CB" w:rsidRPr="00D4585A">
        <w:rPr>
          <w:rFonts w:ascii="Times New Roman" w:hAnsi="Times New Roman" w:cs="Times New Roman"/>
          <w:sz w:val="24"/>
          <w:szCs w:val="24"/>
          <w:lang w:val="sq-AL"/>
        </w:rPr>
        <w:t>-it</w:t>
      </w:r>
      <w:r w:rsidR="005767EE" w:rsidRPr="00D4585A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C606CB" w:rsidRPr="00D4585A">
        <w:rPr>
          <w:rFonts w:ascii="Times New Roman" w:hAnsi="Times New Roman" w:cs="Times New Roman"/>
          <w:sz w:val="24"/>
          <w:szCs w:val="24"/>
          <w:lang w:val="sq-AL"/>
        </w:rPr>
        <w:t>v</w:t>
      </w:r>
      <w:r w:rsidR="005767EE" w:rsidRPr="00D4585A">
        <w:rPr>
          <w:rFonts w:ascii="Times New Roman" w:hAnsi="Times New Roman" w:cs="Times New Roman"/>
          <w:sz w:val="24"/>
          <w:szCs w:val="24"/>
          <w:lang w:val="sq-AL"/>
        </w:rPr>
        <w:t>endimit të Këshillit të Ministrave nr. 168, datë 24.03.2023</w:t>
      </w:r>
      <w:r w:rsidR="00C606CB" w:rsidRPr="00D4585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5767EE" w:rsidRPr="00D4585A">
        <w:rPr>
          <w:rFonts w:ascii="Times New Roman" w:hAnsi="Times New Roman" w:cs="Times New Roman"/>
          <w:sz w:val="24"/>
          <w:szCs w:val="24"/>
          <w:lang w:val="sq-AL"/>
        </w:rPr>
        <w:t xml:space="preserve"> “Për miratimin e vlerësimit të riskut nga fatkeqësitë në nivel qendror”. Për kriterin e katërt të fazës së dytë “</w:t>
      </w:r>
      <w:r w:rsidR="005767EE" w:rsidRPr="00D4585A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lang w:val="sq-AL" w:eastAsia="en-GB"/>
        </w:rPr>
        <w:t>Performanca në përdorimin e buxhetit</w:t>
      </w:r>
      <w:r w:rsidR="005767EE" w:rsidRPr="00D4585A">
        <w:rPr>
          <w:rFonts w:ascii="Times New Roman" w:hAnsi="Times New Roman" w:cs="Times New Roman"/>
          <w:i/>
          <w:iCs/>
          <w:sz w:val="24"/>
          <w:szCs w:val="24"/>
          <w:lang w:val="sq-AL"/>
        </w:rPr>
        <w:t>”</w:t>
      </w:r>
      <w:r w:rsidR="00C606CB" w:rsidRPr="00D4585A">
        <w:rPr>
          <w:rFonts w:ascii="Times New Roman" w:hAnsi="Times New Roman" w:cs="Times New Roman"/>
          <w:i/>
          <w:iCs/>
          <w:sz w:val="24"/>
          <w:szCs w:val="24"/>
          <w:lang w:val="sq-AL"/>
        </w:rPr>
        <w:t>,</w:t>
      </w:r>
      <w:r w:rsidR="005767EE" w:rsidRPr="00D4585A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="005767EE" w:rsidRPr="00D4585A">
        <w:rPr>
          <w:rFonts w:ascii="Times New Roman" w:hAnsi="Times New Roman" w:cs="Times New Roman"/>
          <w:sz w:val="24"/>
          <w:szCs w:val="24"/>
          <w:lang w:val="sq-AL"/>
        </w:rPr>
        <w:t>që është raporti i realizimit të buxhetit të vitit 2025 për çdo bashki, merren të dhënat nga Ministria e Fina</w:t>
      </w:r>
      <w:r w:rsidR="00C606CB" w:rsidRPr="00D4585A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767EE" w:rsidRPr="00D4585A">
        <w:rPr>
          <w:rFonts w:ascii="Times New Roman" w:hAnsi="Times New Roman" w:cs="Times New Roman"/>
          <w:sz w:val="24"/>
          <w:szCs w:val="24"/>
          <w:lang w:val="sq-AL"/>
        </w:rPr>
        <w:t>cave brenda muajit shkurt 2026.</w:t>
      </w:r>
      <w:r w:rsidR="005767EE" w:rsidRPr="00C606C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bookmarkStart w:id="0" w:name="_GoBack"/>
      <w:bookmarkEnd w:id="0"/>
    </w:p>
    <w:sectPr w:rsidR="000244E3" w:rsidRPr="00C606CB" w:rsidSect="00B65DE5">
      <w:footerReference w:type="default" r:id="rId9"/>
      <w:pgSz w:w="12240" w:h="15840"/>
      <w:pgMar w:top="990" w:right="1440" w:bottom="0" w:left="12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27CAE" w14:textId="77777777" w:rsidR="003302A3" w:rsidRDefault="003302A3" w:rsidP="005D6219">
      <w:pPr>
        <w:spacing w:after="0" w:line="240" w:lineRule="auto"/>
      </w:pPr>
      <w:r>
        <w:separator/>
      </w:r>
    </w:p>
  </w:endnote>
  <w:endnote w:type="continuationSeparator" w:id="0">
    <w:p w14:paraId="1B45E896" w14:textId="77777777" w:rsidR="003302A3" w:rsidRDefault="003302A3" w:rsidP="005D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073DA" w14:textId="7F44B678" w:rsidR="0046060B" w:rsidRPr="00C20DA6" w:rsidRDefault="0046060B" w:rsidP="00CC6B76">
    <w:pPr>
      <w:tabs>
        <w:tab w:val="center" w:pos="4680"/>
        <w:tab w:val="right" w:pos="9360"/>
      </w:tabs>
      <w:jc w:val="center"/>
      <w:rPr>
        <w:rFonts w:ascii="Times New Roman" w:hAnsi="Times New Roman" w:cs="Times New Roman"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7D3E8" w14:textId="77777777" w:rsidR="003302A3" w:rsidRDefault="003302A3" w:rsidP="005D6219">
      <w:pPr>
        <w:spacing w:after="0" w:line="240" w:lineRule="auto"/>
      </w:pPr>
      <w:r>
        <w:separator/>
      </w:r>
    </w:p>
  </w:footnote>
  <w:footnote w:type="continuationSeparator" w:id="0">
    <w:p w14:paraId="2878BD00" w14:textId="77777777" w:rsidR="003302A3" w:rsidRDefault="003302A3" w:rsidP="005D6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688"/>
    <w:multiLevelType w:val="hybridMultilevel"/>
    <w:tmpl w:val="23F2803A"/>
    <w:lvl w:ilvl="0" w:tplc="ED6ABA4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7487"/>
    <w:multiLevelType w:val="hybridMultilevel"/>
    <w:tmpl w:val="728013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6C1C"/>
    <w:multiLevelType w:val="hybridMultilevel"/>
    <w:tmpl w:val="9F7E49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69CE"/>
    <w:multiLevelType w:val="hybridMultilevel"/>
    <w:tmpl w:val="7DA0DE34"/>
    <w:lvl w:ilvl="0" w:tplc="84CE465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6A0C57"/>
    <w:multiLevelType w:val="hybridMultilevel"/>
    <w:tmpl w:val="14208204"/>
    <w:lvl w:ilvl="0" w:tplc="AE36C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A175D"/>
    <w:multiLevelType w:val="hybridMultilevel"/>
    <w:tmpl w:val="B952FC68"/>
    <w:lvl w:ilvl="0" w:tplc="DDB29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60408"/>
    <w:multiLevelType w:val="hybridMultilevel"/>
    <w:tmpl w:val="F7AAF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678A7"/>
    <w:multiLevelType w:val="hybridMultilevel"/>
    <w:tmpl w:val="3BD82BA6"/>
    <w:lvl w:ilvl="0" w:tplc="7B6C71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95AA8"/>
    <w:multiLevelType w:val="hybridMultilevel"/>
    <w:tmpl w:val="B6020D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C2E1C"/>
    <w:multiLevelType w:val="hybridMultilevel"/>
    <w:tmpl w:val="B7FE1F4A"/>
    <w:lvl w:ilvl="0" w:tplc="50900742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B3158"/>
    <w:multiLevelType w:val="hybridMultilevel"/>
    <w:tmpl w:val="B7C6DADE"/>
    <w:lvl w:ilvl="0" w:tplc="51741E7A">
      <w:start w:val="1"/>
      <w:numFmt w:val="bullet"/>
      <w:lvlText w:val="-"/>
      <w:lvlJc w:val="left"/>
      <w:pPr>
        <w:ind w:left="-1440" w:hanging="360"/>
      </w:pPr>
      <w:rPr>
        <w:rFonts w:ascii="Times New Roman" w:eastAsia="Times New Roman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5098437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4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1" w15:restartNumberingAfterBreak="0">
    <w:nsid w:val="18860AA3"/>
    <w:multiLevelType w:val="hybridMultilevel"/>
    <w:tmpl w:val="8A2C54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050E8"/>
    <w:multiLevelType w:val="hybridMultilevel"/>
    <w:tmpl w:val="AEFA5C4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AD5E2A"/>
    <w:multiLevelType w:val="hybridMultilevel"/>
    <w:tmpl w:val="20A22D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340F67"/>
    <w:multiLevelType w:val="hybridMultilevel"/>
    <w:tmpl w:val="1A0CA51E"/>
    <w:lvl w:ilvl="0" w:tplc="6114C9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1D2228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41041"/>
    <w:multiLevelType w:val="hybridMultilevel"/>
    <w:tmpl w:val="6E02C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C429A"/>
    <w:multiLevelType w:val="hybridMultilevel"/>
    <w:tmpl w:val="4D60C0EC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A0CA6"/>
    <w:multiLevelType w:val="hybridMultilevel"/>
    <w:tmpl w:val="2B104B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524829"/>
    <w:multiLevelType w:val="hybridMultilevel"/>
    <w:tmpl w:val="13A62ABC"/>
    <w:lvl w:ilvl="0" w:tplc="8300084C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DA197D"/>
    <w:multiLevelType w:val="hybridMultilevel"/>
    <w:tmpl w:val="2530E578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0" w15:restartNumberingAfterBreak="0">
    <w:nsid w:val="35A06FC6"/>
    <w:multiLevelType w:val="hybridMultilevel"/>
    <w:tmpl w:val="B4604B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30886"/>
    <w:multiLevelType w:val="multilevel"/>
    <w:tmpl w:val="4DE0D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6434A2"/>
    <w:multiLevelType w:val="hybridMultilevel"/>
    <w:tmpl w:val="6BAE781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1245ED"/>
    <w:multiLevelType w:val="hybridMultilevel"/>
    <w:tmpl w:val="EC58B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F3127"/>
    <w:multiLevelType w:val="hybridMultilevel"/>
    <w:tmpl w:val="988CA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C7A48"/>
    <w:multiLevelType w:val="hybridMultilevel"/>
    <w:tmpl w:val="D60E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16BFC"/>
    <w:multiLevelType w:val="hybridMultilevel"/>
    <w:tmpl w:val="14EE30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E6738"/>
    <w:multiLevelType w:val="hybridMultilevel"/>
    <w:tmpl w:val="96188A02"/>
    <w:lvl w:ilvl="0" w:tplc="2B908A2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A47B7"/>
    <w:multiLevelType w:val="hybridMultilevel"/>
    <w:tmpl w:val="3EAA6718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651E2"/>
    <w:multiLevelType w:val="hybridMultilevel"/>
    <w:tmpl w:val="B6AA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8437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E0856"/>
    <w:multiLevelType w:val="hybridMultilevel"/>
    <w:tmpl w:val="06EA82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B6062B"/>
    <w:multiLevelType w:val="hybridMultilevel"/>
    <w:tmpl w:val="ED407090"/>
    <w:lvl w:ilvl="0" w:tplc="3D0ED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1D2228"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70264"/>
    <w:multiLevelType w:val="hybridMultilevel"/>
    <w:tmpl w:val="3FDC4EFC"/>
    <w:lvl w:ilvl="0" w:tplc="18D8A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F1C94"/>
    <w:multiLevelType w:val="hybridMultilevel"/>
    <w:tmpl w:val="7D0A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4535F"/>
    <w:multiLevelType w:val="hybridMultilevel"/>
    <w:tmpl w:val="2F482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160FB"/>
    <w:multiLevelType w:val="hybridMultilevel"/>
    <w:tmpl w:val="0A3E6C06"/>
    <w:lvl w:ilvl="0" w:tplc="C1A694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D2196"/>
    <w:multiLevelType w:val="hybridMultilevel"/>
    <w:tmpl w:val="04349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EF498B"/>
    <w:multiLevelType w:val="hybridMultilevel"/>
    <w:tmpl w:val="523A10FC"/>
    <w:lvl w:ilvl="0" w:tplc="84CE46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E5B17"/>
    <w:multiLevelType w:val="hybridMultilevel"/>
    <w:tmpl w:val="E042D480"/>
    <w:lvl w:ilvl="0" w:tplc="5098437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3307EA2"/>
    <w:multiLevelType w:val="hybridMultilevel"/>
    <w:tmpl w:val="492C8E54"/>
    <w:lvl w:ilvl="0" w:tplc="84CE46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3637F5"/>
    <w:multiLevelType w:val="hybridMultilevel"/>
    <w:tmpl w:val="E06C35E0"/>
    <w:lvl w:ilvl="0" w:tplc="84CE46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61345"/>
    <w:multiLevelType w:val="hybridMultilevel"/>
    <w:tmpl w:val="1A3CB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D369F3"/>
    <w:multiLevelType w:val="hybridMultilevel"/>
    <w:tmpl w:val="AC5C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973BE4"/>
    <w:multiLevelType w:val="hybridMultilevel"/>
    <w:tmpl w:val="93C2E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8A553AA"/>
    <w:multiLevelType w:val="hybridMultilevel"/>
    <w:tmpl w:val="94D07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F75139"/>
    <w:multiLevelType w:val="hybridMultilevel"/>
    <w:tmpl w:val="0ABC4B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9C1F60"/>
    <w:multiLevelType w:val="multilevel"/>
    <w:tmpl w:val="5EBE2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7" w15:restartNumberingAfterBreak="0">
    <w:nsid w:val="6D6D3CB4"/>
    <w:multiLevelType w:val="hybridMultilevel"/>
    <w:tmpl w:val="8D44E0EE"/>
    <w:lvl w:ilvl="0" w:tplc="5098437C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966DDD"/>
    <w:multiLevelType w:val="hybridMultilevel"/>
    <w:tmpl w:val="0DD051A2"/>
    <w:lvl w:ilvl="0" w:tplc="5098437C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E5801E7"/>
    <w:multiLevelType w:val="hybridMultilevel"/>
    <w:tmpl w:val="11543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FE55EC"/>
    <w:multiLevelType w:val="hybridMultilevel"/>
    <w:tmpl w:val="2C5C3E30"/>
    <w:lvl w:ilvl="0" w:tplc="84CE46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C5077D"/>
    <w:multiLevelType w:val="hybridMultilevel"/>
    <w:tmpl w:val="EF263406"/>
    <w:lvl w:ilvl="0" w:tplc="3D0ED04E">
      <w:numFmt w:val="bullet"/>
      <w:lvlText w:val="-"/>
      <w:lvlJc w:val="left"/>
      <w:pPr>
        <w:ind w:left="1144" w:hanging="360"/>
      </w:pPr>
      <w:rPr>
        <w:rFonts w:ascii="Calibri" w:eastAsia="Calibri" w:hAnsi="Calibri" w:cs="Calibri" w:hint="default"/>
        <w:color w:val="1D2228"/>
        <w:sz w:val="22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2" w15:restartNumberingAfterBreak="0">
    <w:nsid w:val="727F4340"/>
    <w:multiLevelType w:val="hybridMultilevel"/>
    <w:tmpl w:val="B4ACCD0E"/>
    <w:lvl w:ilvl="0" w:tplc="25C08C9E">
      <w:start w:val="1"/>
      <w:numFmt w:val="lowerLetter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144002"/>
    <w:multiLevelType w:val="hybridMultilevel"/>
    <w:tmpl w:val="BF268F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896AD8"/>
    <w:multiLevelType w:val="hybridMultilevel"/>
    <w:tmpl w:val="F86C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0F5D9B"/>
    <w:multiLevelType w:val="hybridMultilevel"/>
    <w:tmpl w:val="BB30A636"/>
    <w:lvl w:ilvl="0" w:tplc="84CE46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29622A"/>
    <w:multiLevelType w:val="hybridMultilevel"/>
    <w:tmpl w:val="EC00688E"/>
    <w:lvl w:ilvl="0" w:tplc="5098437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3A7140"/>
    <w:multiLevelType w:val="hybridMultilevel"/>
    <w:tmpl w:val="E43A03DE"/>
    <w:lvl w:ilvl="0" w:tplc="7D14C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A026F8"/>
    <w:multiLevelType w:val="hybridMultilevel"/>
    <w:tmpl w:val="0AE66CEA"/>
    <w:lvl w:ilvl="0" w:tplc="8300084C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22"/>
  </w:num>
  <w:num w:numId="3">
    <w:abstractNumId w:val="0"/>
  </w:num>
  <w:num w:numId="4">
    <w:abstractNumId w:val="35"/>
  </w:num>
  <w:num w:numId="5">
    <w:abstractNumId w:val="5"/>
  </w:num>
  <w:num w:numId="6">
    <w:abstractNumId w:val="7"/>
  </w:num>
  <w:num w:numId="7">
    <w:abstractNumId w:val="4"/>
  </w:num>
  <w:num w:numId="8">
    <w:abstractNumId w:val="20"/>
  </w:num>
  <w:num w:numId="9">
    <w:abstractNumId w:val="14"/>
  </w:num>
  <w:num w:numId="10">
    <w:abstractNumId w:val="6"/>
  </w:num>
  <w:num w:numId="11">
    <w:abstractNumId w:val="48"/>
  </w:num>
  <w:num w:numId="12">
    <w:abstractNumId w:val="47"/>
  </w:num>
  <w:num w:numId="13">
    <w:abstractNumId w:val="10"/>
  </w:num>
  <w:num w:numId="14">
    <w:abstractNumId w:val="56"/>
  </w:num>
  <w:num w:numId="15">
    <w:abstractNumId w:val="54"/>
  </w:num>
  <w:num w:numId="16">
    <w:abstractNumId w:val="29"/>
  </w:num>
  <w:num w:numId="17">
    <w:abstractNumId w:val="38"/>
  </w:num>
  <w:num w:numId="18">
    <w:abstractNumId w:val="57"/>
  </w:num>
  <w:num w:numId="19">
    <w:abstractNumId w:val="41"/>
  </w:num>
  <w:num w:numId="20">
    <w:abstractNumId w:val="9"/>
  </w:num>
  <w:num w:numId="21">
    <w:abstractNumId w:val="31"/>
  </w:num>
  <w:num w:numId="22">
    <w:abstractNumId w:val="32"/>
  </w:num>
  <w:num w:numId="23">
    <w:abstractNumId w:val="8"/>
  </w:num>
  <w:num w:numId="24">
    <w:abstractNumId w:val="25"/>
  </w:num>
  <w:num w:numId="25">
    <w:abstractNumId w:val="21"/>
  </w:num>
  <w:num w:numId="26">
    <w:abstractNumId w:val="26"/>
  </w:num>
  <w:num w:numId="27">
    <w:abstractNumId w:val="36"/>
  </w:num>
  <w:num w:numId="28">
    <w:abstractNumId w:val="53"/>
  </w:num>
  <w:num w:numId="29">
    <w:abstractNumId w:val="44"/>
  </w:num>
  <w:num w:numId="30">
    <w:abstractNumId w:val="49"/>
  </w:num>
  <w:num w:numId="31">
    <w:abstractNumId w:val="19"/>
  </w:num>
  <w:num w:numId="32">
    <w:abstractNumId w:val="42"/>
  </w:num>
  <w:num w:numId="33">
    <w:abstractNumId w:val="45"/>
  </w:num>
  <w:num w:numId="34">
    <w:abstractNumId w:val="11"/>
  </w:num>
  <w:num w:numId="35">
    <w:abstractNumId w:val="23"/>
  </w:num>
  <w:num w:numId="36">
    <w:abstractNumId w:val="33"/>
  </w:num>
  <w:num w:numId="37">
    <w:abstractNumId w:val="52"/>
  </w:num>
  <w:num w:numId="38">
    <w:abstractNumId w:val="34"/>
  </w:num>
  <w:num w:numId="39">
    <w:abstractNumId w:val="15"/>
  </w:num>
  <w:num w:numId="40">
    <w:abstractNumId w:val="43"/>
  </w:num>
  <w:num w:numId="41">
    <w:abstractNumId w:val="2"/>
  </w:num>
  <w:num w:numId="42">
    <w:abstractNumId w:val="30"/>
  </w:num>
  <w:num w:numId="43">
    <w:abstractNumId w:val="12"/>
  </w:num>
  <w:num w:numId="44">
    <w:abstractNumId w:val="1"/>
  </w:num>
  <w:num w:numId="45">
    <w:abstractNumId w:val="16"/>
  </w:num>
  <w:num w:numId="46">
    <w:abstractNumId w:val="39"/>
  </w:num>
  <w:num w:numId="47">
    <w:abstractNumId w:val="27"/>
  </w:num>
  <w:num w:numId="48">
    <w:abstractNumId w:val="37"/>
  </w:num>
  <w:num w:numId="49">
    <w:abstractNumId w:val="40"/>
  </w:num>
  <w:num w:numId="50">
    <w:abstractNumId w:val="50"/>
  </w:num>
  <w:num w:numId="51">
    <w:abstractNumId w:val="55"/>
  </w:num>
  <w:num w:numId="52">
    <w:abstractNumId w:val="3"/>
  </w:num>
  <w:num w:numId="53">
    <w:abstractNumId w:val="46"/>
  </w:num>
  <w:num w:numId="54">
    <w:abstractNumId w:val="28"/>
  </w:num>
  <w:num w:numId="55">
    <w:abstractNumId w:val="24"/>
  </w:num>
  <w:num w:numId="56">
    <w:abstractNumId w:val="18"/>
  </w:num>
  <w:num w:numId="57">
    <w:abstractNumId w:val="17"/>
  </w:num>
  <w:num w:numId="58">
    <w:abstractNumId w:val="13"/>
  </w:num>
  <w:num w:numId="59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19"/>
    <w:rsid w:val="00002F60"/>
    <w:rsid w:val="00006422"/>
    <w:rsid w:val="00010107"/>
    <w:rsid w:val="00012FAD"/>
    <w:rsid w:val="000140BE"/>
    <w:rsid w:val="00020E20"/>
    <w:rsid w:val="000244E3"/>
    <w:rsid w:val="00024E7E"/>
    <w:rsid w:val="000276A8"/>
    <w:rsid w:val="00027F40"/>
    <w:rsid w:val="000335AF"/>
    <w:rsid w:val="00033CB4"/>
    <w:rsid w:val="00040B53"/>
    <w:rsid w:val="0004696A"/>
    <w:rsid w:val="00061E3B"/>
    <w:rsid w:val="000710F4"/>
    <w:rsid w:val="000861B0"/>
    <w:rsid w:val="00093BA7"/>
    <w:rsid w:val="000A046B"/>
    <w:rsid w:val="000A410D"/>
    <w:rsid w:val="000B1B25"/>
    <w:rsid w:val="000C24F0"/>
    <w:rsid w:val="000C7811"/>
    <w:rsid w:val="000D0EA7"/>
    <w:rsid w:val="000D201E"/>
    <w:rsid w:val="000D6800"/>
    <w:rsid w:val="000E466D"/>
    <w:rsid w:val="000F09AE"/>
    <w:rsid w:val="000F1461"/>
    <w:rsid w:val="000F22BF"/>
    <w:rsid w:val="000F4C4F"/>
    <w:rsid w:val="00110F74"/>
    <w:rsid w:val="00115649"/>
    <w:rsid w:val="00123ECF"/>
    <w:rsid w:val="001273A2"/>
    <w:rsid w:val="001319B0"/>
    <w:rsid w:val="00132218"/>
    <w:rsid w:val="0013266B"/>
    <w:rsid w:val="001351C6"/>
    <w:rsid w:val="00135A82"/>
    <w:rsid w:val="00135DEB"/>
    <w:rsid w:val="00141DDC"/>
    <w:rsid w:val="00142C19"/>
    <w:rsid w:val="0015001D"/>
    <w:rsid w:val="0015006E"/>
    <w:rsid w:val="00151E59"/>
    <w:rsid w:val="00154820"/>
    <w:rsid w:val="00164211"/>
    <w:rsid w:val="00166C69"/>
    <w:rsid w:val="0017086F"/>
    <w:rsid w:val="00173DBE"/>
    <w:rsid w:val="001757C6"/>
    <w:rsid w:val="00175A16"/>
    <w:rsid w:val="00181FB7"/>
    <w:rsid w:val="001867AD"/>
    <w:rsid w:val="0018728E"/>
    <w:rsid w:val="00187CF6"/>
    <w:rsid w:val="001937DD"/>
    <w:rsid w:val="00196765"/>
    <w:rsid w:val="00196AFF"/>
    <w:rsid w:val="001A1439"/>
    <w:rsid w:val="001A1540"/>
    <w:rsid w:val="001A234E"/>
    <w:rsid w:val="001A541E"/>
    <w:rsid w:val="001B27BC"/>
    <w:rsid w:val="001C03B6"/>
    <w:rsid w:val="001D0DF0"/>
    <w:rsid w:val="001D310D"/>
    <w:rsid w:val="001D4D83"/>
    <w:rsid w:val="001E1414"/>
    <w:rsid w:val="001F2277"/>
    <w:rsid w:val="001F2A66"/>
    <w:rsid w:val="001F70D8"/>
    <w:rsid w:val="001F7414"/>
    <w:rsid w:val="001F75C5"/>
    <w:rsid w:val="002028C9"/>
    <w:rsid w:val="00203EE4"/>
    <w:rsid w:val="00211FDE"/>
    <w:rsid w:val="00217FC8"/>
    <w:rsid w:val="00221752"/>
    <w:rsid w:val="002236AC"/>
    <w:rsid w:val="00226FD0"/>
    <w:rsid w:val="00231214"/>
    <w:rsid w:val="0023710C"/>
    <w:rsid w:val="002407C8"/>
    <w:rsid w:val="002439A5"/>
    <w:rsid w:val="002541BA"/>
    <w:rsid w:val="002568D9"/>
    <w:rsid w:val="00265144"/>
    <w:rsid w:val="00265DDF"/>
    <w:rsid w:val="00270C4B"/>
    <w:rsid w:val="00272865"/>
    <w:rsid w:val="002762A8"/>
    <w:rsid w:val="00280C42"/>
    <w:rsid w:val="00290977"/>
    <w:rsid w:val="002A20B3"/>
    <w:rsid w:val="002A3CAE"/>
    <w:rsid w:val="002B20B9"/>
    <w:rsid w:val="002B730B"/>
    <w:rsid w:val="002C6EC1"/>
    <w:rsid w:val="002D1262"/>
    <w:rsid w:val="002E4087"/>
    <w:rsid w:val="002E75CA"/>
    <w:rsid w:val="002E792D"/>
    <w:rsid w:val="00301786"/>
    <w:rsid w:val="0030740A"/>
    <w:rsid w:val="00315702"/>
    <w:rsid w:val="003232A7"/>
    <w:rsid w:val="00325507"/>
    <w:rsid w:val="003302A3"/>
    <w:rsid w:val="00340427"/>
    <w:rsid w:val="00346EDD"/>
    <w:rsid w:val="00347395"/>
    <w:rsid w:val="00351E19"/>
    <w:rsid w:val="00360132"/>
    <w:rsid w:val="00375CFF"/>
    <w:rsid w:val="00376BD9"/>
    <w:rsid w:val="00385B9A"/>
    <w:rsid w:val="003877B4"/>
    <w:rsid w:val="003900E5"/>
    <w:rsid w:val="003A7A02"/>
    <w:rsid w:val="003B129E"/>
    <w:rsid w:val="003B364A"/>
    <w:rsid w:val="003B74E9"/>
    <w:rsid w:val="003C3068"/>
    <w:rsid w:val="003D324C"/>
    <w:rsid w:val="003D3C78"/>
    <w:rsid w:val="003D4D7D"/>
    <w:rsid w:val="003E5325"/>
    <w:rsid w:val="003E6772"/>
    <w:rsid w:val="003F691F"/>
    <w:rsid w:val="004030D3"/>
    <w:rsid w:val="0041293B"/>
    <w:rsid w:val="00420E7C"/>
    <w:rsid w:val="00422BB6"/>
    <w:rsid w:val="0042333D"/>
    <w:rsid w:val="00426B90"/>
    <w:rsid w:val="004333BB"/>
    <w:rsid w:val="004463C0"/>
    <w:rsid w:val="0045012B"/>
    <w:rsid w:val="00451F22"/>
    <w:rsid w:val="00453429"/>
    <w:rsid w:val="00453F94"/>
    <w:rsid w:val="004573F6"/>
    <w:rsid w:val="0046060B"/>
    <w:rsid w:val="0046182E"/>
    <w:rsid w:val="00467069"/>
    <w:rsid w:val="00470BAE"/>
    <w:rsid w:val="00471493"/>
    <w:rsid w:val="00472260"/>
    <w:rsid w:val="00474F02"/>
    <w:rsid w:val="0047641D"/>
    <w:rsid w:val="00482D91"/>
    <w:rsid w:val="00486F84"/>
    <w:rsid w:val="00492383"/>
    <w:rsid w:val="00493C05"/>
    <w:rsid w:val="00495817"/>
    <w:rsid w:val="00497B4B"/>
    <w:rsid w:val="004A0EFA"/>
    <w:rsid w:val="004A23F2"/>
    <w:rsid w:val="004A4776"/>
    <w:rsid w:val="004A7E9C"/>
    <w:rsid w:val="004B12F3"/>
    <w:rsid w:val="004B1577"/>
    <w:rsid w:val="004B28FA"/>
    <w:rsid w:val="004B6DDE"/>
    <w:rsid w:val="004B732C"/>
    <w:rsid w:val="004C1578"/>
    <w:rsid w:val="004C399D"/>
    <w:rsid w:val="004C4624"/>
    <w:rsid w:val="004C5426"/>
    <w:rsid w:val="004D0981"/>
    <w:rsid w:val="004E2088"/>
    <w:rsid w:val="004E239D"/>
    <w:rsid w:val="004F42B1"/>
    <w:rsid w:val="00514543"/>
    <w:rsid w:val="00540193"/>
    <w:rsid w:val="00545BF6"/>
    <w:rsid w:val="005507BD"/>
    <w:rsid w:val="005631DF"/>
    <w:rsid w:val="00564716"/>
    <w:rsid w:val="005659AD"/>
    <w:rsid w:val="00565EA8"/>
    <w:rsid w:val="005757D6"/>
    <w:rsid w:val="005767EE"/>
    <w:rsid w:val="0058763B"/>
    <w:rsid w:val="00594F27"/>
    <w:rsid w:val="005A022C"/>
    <w:rsid w:val="005A2551"/>
    <w:rsid w:val="005B35D1"/>
    <w:rsid w:val="005C0129"/>
    <w:rsid w:val="005C1A43"/>
    <w:rsid w:val="005C1BD2"/>
    <w:rsid w:val="005C32EF"/>
    <w:rsid w:val="005C3DAF"/>
    <w:rsid w:val="005D4448"/>
    <w:rsid w:val="005D6219"/>
    <w:rsid w:val="005E1EAB"/>
    <w:rsid w:val="005E2535"/>
    <w:rsid w:val="005E5F32"/>
    <w:rsid w:val="005F00EF"/>
    <w:rsid w:val="005F227A"/>
    <w:rsid w:val="005F402B"/>
    <w:rsid w:val="006133C3"/>
    <w:rsid w:val="00616616"/>
    <w:rsid w:val="0062700F"/>
    <w:rsid w:val="0063540C"/>
    <w:rsid w:val="006435B6"/>
    <w:rsid w:val="0064518F"/>
    <w:rsid w:val="0065204F"/>
    <w:rsid w:val="006523A7"/>
    <w:rsid w:val="00664429"/>
    <w:rsid w:val="00664F3D"/>
    <w:rsid w:val="006653DE"/>
    <w:rsid w:val="00665B18"/>
    <w:rsid w:val="006833C6"/>
    <w:rsid w:val="006A3F9C"/>
    <w:rsid w:val="006A75BE"/>
    <w:rsid w:val="006C111E"/>
    <w:rsid w:val="006C35DD"/>
    <w:rsid w:val="006C474D"/>
    <w:rsid w:val="006D0178"/>
    <w:rsid w:val="006D1D5B"/>
    <w:rsid w:val="006D40F7"/>
    <w:rsid w:val="006D5A4C"/>
    <w:rsid w:val="006D673D"/>
    <w:rsid w:val="006D7049"/>
    <w:rsid w:val="006E49D6"/>
    <w:rsid w:val="006E6158"/>
    <w:rsid w:val="006F0430"/>
    <w:rsid w:val="006F27B4"/>
    <w:rsid w:val="006F5B87"/>
    <w:rsid w:val="00700D72"/>
    <w:rsid w:val="0071273B"/>
    <w:rsid w:val="0071614F"/>
    <w:rsid w:val="0072174C"/>
    <w:rsid w:val="00723494"/>
    <w:rsid w:val="007252A0"/>
    <w:rsid w:val="00736FE8"/>
    <w:rsid w:val="0074043C"/>
    <w:rsid w:val="00740DE7"/>
    <w:rsid w:val="0074622B"/>
    <w:rsid w:val="007509DE"/>
    <w:rsid w:val="007609EC"/>
    <w:rsid w:val="0076258F"/>
    <w:rsid w:val="0076773D"/>
    <w:rsid w:val="00773FEB"/>
    <w:rsid w:val="007827B0"/>
    <w:rsid w:val="00787154"/>
    <w:rsid w:val="007A04CF"/>
    <w:rsid w:val="007A4F69"/>
    <w:rsid w:val="007B1CF8"/>
    <w:rsid w:val="007B1DD3"/>
    <w:rsid w:val="007B31A4"/>
    <w:rsid w:val="007B44D8"/>
    <w:rsid w:val="007B5F80"/>
    <w:rsid w:val="007C13B5"/>
    <w:rsid w:val="007C3858"/>
    <w:rsid w:val="007C7798"/>
    <w:rsid w:val="007D2C65"/>
    <w:rsid w:val="007E492A"/>
    <w:rsid w:val="007E4EE6"/>
    <w:rsid w:val="007E60E6"/>
    <w:rsid w:val="007E7E3C"/>
    <w:rsid w:val="007F40DB"/>
    <w:rsid w:val="00800DCC"/>
    <w:rsid w:val="00805686"/>
    <w:rsid w:val="0080568E"/>
    <w:rsid w:val="00807CC8"/>
    <w:rsid w:val="0081465C"/>
    <w:rsid w:val="00821144"/>
    <w:rsid w:val="00821C9E"/>
    <w:rsid w:val="00822BA1"/>
    <w:rsid w:val="00827991"/>
    <w:rsid w:val="00827A46"/>
    <w:rsid w:val="0083019D"/>
    <w:rsid w:val="00840665"/>
    <w:rsid w:val="00852705"/>
    <w:rsid w:val="00855316"/>
    <w:rsid w:val="0085725E"/>
    <w:rsid w:val="00867AB0"/>
    <w:rsid w:val="00875EEE"/>
    <w:rsid w:val="00875F2A"/>
    <w:rsid w:val="00876042"/>
    <w:rsid w:val="00886BFF"/>
    <w:rsid w:val="008A0C00"/>
    <w:rsid w:val="008A193B"/>
    <w:rsid w:val="008A327E"/>
    <w:rsid w:val="008A3B5A"/>
    <w:rsid w:val="008A78D2"/>
    <w:rsid w:val="008B39BE"/>
    <w:rsid w:val="008C3515"/>
    <w:rsid w:val="008C71D6"/>
    <w:rsid w:val="008D1B7B"/>
    <w:rsid w:val="008E0E1F"/>
    <w:rsid w:val="008E4E23"/>
    <w:rsid w:val="008E53E7"/>
    <w:rsid w:val="008F2A3D"/>
    <w:rsid w:val="008F2A82"/>
    <w:rsid w:val="008F7B0B"/>
    <w:rsid w:val="009035E3"/>
    <w:rsid w:val="00905D7B"/>
    <w:rsid w:val="00906617"/>
    <w:rsid w:val="00915DBF"/>
    <w:rsid w:val="0092129A"/>
    <w:rsid w:val="00931464"/>
    <w:rsid w:val="00942FEF"/>
    <w:rsid w:val="00947F9D"/>
    <w:rsid w:val="0096177D"/>
    <w:rsid w:val="009618B4"/>
    <w:rsid w:val="0096421A"/>
    <w:rsid w:val="0096670A"/>
    <w:rsid w:val="00970940"/>
    <w:rsid w:val="0097477C"/>
    <w:rsid w:val="0099783F"/>
    <w:rsid w:val="00997C41"/>
    <w:rsid w:val="009B566E"/>
    <w:rsid w:val="009D1826"/>
    <w:rsid w:val="009D2687"/>
    <w:rsid w:val="009D2915"/>
    <w:rsid w:val="009E031F"/>
    <w:rsid w:val="009E20CA"/>
    <w:rsid w:val="009E3A83"/>
    <w:rsid w:val="009E7BB1"/>
    <w:rsid w:val="00A139C9"/>
    <w:rsid w:val="00A225C9"/>
    <w:rsid w:val="00A352D8"/>
    <w:rsid w:val="00A3646C"/>
    <w:rsid w:val="00A46230"/>
    <w:rsid w:val="00A4785E"/>
    <w:rsid w:val="00A47CDB"/>
    <w:rsid w:val="00A57338"/>
    <w:rsid w:val="00A61D74"/>
    <w:rsid w:val="00A67ED4"/>
    <w:rsid w:val="00A816F3"/>
    <w:rsid w:val="00A83C1A"/>
    <w:rsid w:val="00A83DE2"/>
    <w:rsid w:val="00A9011A"/>
    <w:rsid w:val="00A90C8D"/>
    <w:rsid w:val="00A91700"/>
    <w:rsid w:val="00A948CD"/>
    <w:rsid w:val="00A95379"/>
    <w:rsid w:val="00A95E25"/>
    <w:rsid w:val="00A95EDE"/>
    <w:rsid w:val="00AA0477"/>
    <w:rsid w:val="00AA33AF"/>
    <w:rsid w:val="00AA3459"/>
    <w:rsid w:val="00AA3A20"/>
    <w:rsid w:val="00AA620A"/>
    <w:rsid w:val="00AB02A0"/>
    <w:rsid w:val="00AC022E"/>
    <w:rsid w:val="00AC3DBD"/>
    <w:rsid w:val="00AC4868"/>
    <w:rsid w:val="00AC5A9C"/>
    <w:rsid w:val="00AC7638"/>
    <w:rsid w:val="00AD2974"/>
    <w:rsid w:val="00AE0BE4"/>
    <w:rsid w:val="00AE125B"/>
    <w:rsid w:val="00AE3A43"/>
    <w:rsid w:val="00AE65A1"/>
    <w:rsid w:val="00AE7A1B"/>
    <w:rsid w:val="00AF0662"/>
    <w:rsid w:val="00AF3DC8"/>
    <w:rsid w:val="00B02F84"/>
    <w:rsid w:val="00B122F8"/>
    <w:rsid w:val="00B1443A"/>
    <w:rsid w:val="00B1548F"/>
    <w:rsid w:val="00B159DF"/>
    <w:rsid w:val="00B20A34"/>
    <w:rsid w:val="00B237DF"/>
    <w:rsid w:val="00B316EA"/>
    <w:rsid w:val="00B326AB"/>
    <w:rsid w:val="00B343BE"/>
    <w:rsid w:val="00B37ECF"/>
    <w:rsid w:val="00B418DB"/>
    <w:rsid w:val="00B57DE3"/>
    <w:rsid w:val="00B6349E"/>
    <w:rsid w:val="00B65DE5"/>
    <w:rsid w:val="00B668D2"/>
    <w:rsid w:val="00B7180B"/>
    <w:rsid w:val="00B829CE"/>
    <w:rsid w:val="00B84E89"/>
    <w:rsid w:val="00B91487"/>
    <w:rsid w:val="00BA4289"/>
    <w:rsid w:val="00BC1AF3"/>
    <w:rsid w:val="00BC1E59"/>
    <w:rsid w:val="00BC3C33"/>
    <w:rsid w:val="00BD3B9A"/>
    <w:rsid w:val="00BD47DA"/>
    <w:rsid w:val="00BD532C"/>
    <w:rsid w:val="00BD79B9"/>
    <w:rsid w:val="00BE3669"/>
    <w:rsid w:val="00BE4289"/>
    <w:rsid w:val="00BE4762"/>
    <w:rsid w:val="00BF6AB9"/>
    <w:rsid w:val="00C05170"/>
    <w:rsid w:val="00C05DB0"/>
    <w:rsid w:val="00C10522"/>
    <w:rsid w:val="00C20733"/>
    <w:rsid w:val="00C20AB6"/>
    <w:rsid w:val="00C20DA6"/>
    <w:rsid w:val="00C24A77"/>
    <w:rsid w:val="00C321BB"/>
    <w:rsid w:val="00C53C41"/>
    <w:rsid w:val="00C553B0"/>
    <w:rsid w:val="00C606CB"/>
    <w:rsid w:val="00C6299E"/>
    <w:rsid w:val="00C64B70"/>
    <w:rsid w:val="00C67573"/>
    <w:rsid w:val="00C71AC6"/>
    <w:rsid w:val="00C71C04"/>
    <w:rsid w:val="00C72B3D"/>
    <w:rsid w:val="00C731A3"/>
    <w:rsid w:val="00C77CF3"/>
    <w:rsid w:val="00C848B7"/>
    <w:rsid w:val="00C84F70"/>
    <w:rsid w:val="00C85061"/>
    <w:rsid w:val="00C85157"/>
    <w:rsid w:val="00C86E49"/>
    <w:rsid w:val="00C9634A"/>
    <w:rsid w:val="00CB5112"/>
    <w:rsid w:val="00CB678E"/>
    <w:rsid w:val="00CC59C1"/>
    <w:rsid w:val="00CC6B76"/>
    <w:rsid w:val="00CC7B59"/>
    <w:rsid w:val="00CD29C2"/>
    <w:rsid w:val="00CE2662"/>
    <w:rsid w:val="00CE49F5"/>
    <w:rsid w:val="00CE750D"/>
    <w:rsid w:val="00D00310"/>
    <w:rsid w:val="00D00CE2"/>
    <w:rsid w:val="00D03589"/>
    <w:rsid w:val="00D041A7"/>
    <w:rsid w:val="00D11A81"/>
    <w:rsid w:val="00D11E8D"/>
    <w:rsid w:val="00D17BD5"/>
    <w:rsid w:val="00D20D6D"/>
    <w:rsid w:val="00D2270B"/>
    <w:rsid w:val="00D31765"/>
    <w:rsid w:val="00D42D03"/>
    <w:rsid w:val="00D43104"/>
    <w:rsid w:val="00D4476A"/>
    <w:rsid w:val="00D44F06"/>
    <w:rsid w:val="00D4585A"/>
    <w:rsid w:val="00D52E5C"/>
    <w:rsid w:val="00D548C8"/>
    <w:rsid w:val="00D621D6"/>
    <w:rsid w:val="00D672D5"/>
    <w:rsid w:val="00D746D0"/>
    <w:rsid w:val="00D77C77"/>
    <w:rsid w:val="00D84ACC"/>
    <w:rsid w:val="00D967ED"/>
    <w:rsid w:val="00DA4353"/>
    <w:rsid w:val="00DB0706"/>
    <w:rsid w:val="00DB397D"/>
    <w:rsid w:val="00DD5155"/>
    <w:rsid w:val="00DD6FB4"/>
    <w:rsid w:val="00DE08B0"/>
    <w:rsid w:val="00DE411B"/>
    <w:rsid w:val="00DE4647"/>
    <w:rsid w:val="00DE49B1"/>
    <w:rsid w:val="00DE582B"/>
    <w:rsid w:val="00DE624A"/>
    <w:rsid w:val="00DE6292"/>
    <w:rsid w:val="00DE7F4B"/>
    <w:rsid w:val="00DF0495"/>
    <w:rsid w:val="00DF1AF7"/>
    <w:rsid w:val="00DF61EF"/>
    <w:rsid w:val="00E043AA"/>
    <w:rsid w:val="00E0579F"/>
    <w:rsid w:val="00E05F1C"/>
    <w:rsid w:val="00E10064"/>
    <w:rsid w:val="00E139B0"/>
    <w:rsid w:val="00E16DE4"/>
    <w:rsid w:val="00E17164"/>
    <w:rsid w:val="00E17EF0"/>
    <w:rsid w:val="00E2062A"/>
    <w:rsid w:val="00E4231B"/>
    <w:rsid w:val="00E51A75"/>
    <w:rsid w:val="00E56FCA"/>
    <w:rsid w:val="00E619E0"/>
    <w:rsid w:val="00E73CAC"/>
    <w:rsid w:val="00E83D40"/>
    <w:rsid w:val="00E8542E"/>
    <w:rsid w:val="00E868DB"/>
    <w:rsid w:val="00E92B25"/>
    <w:rsid w:val="00E92F3F"/>
    <w:rsid w:val="00E963D7"/>
    <w:rsid w:val="00EA2556"/>
    <w:rsid w:val="00EA4E40"/>
    <w:rsid w:val="00EA6823"/>
    <w:rsid w:val="00EB6D4B"/>
    <w:rsid w:val="00EB7DA1"/>
    <w:rsid w:val="00EC351B"/>
    <w:rsid w:val="00EC7D96"/>
    <w:rsid w:val="00ED27E2"/>
    <w:rsid w:val="00EE0DBD"/>
    <w:rsid w:val="00EE6D08"/>
    <w:rsid w:val="00EF0D24"/>
    <w:rsid w:val="00F10C2A"/>
    <w:rsid w:val="00F152A5"/>
    <w:rsid w:val="00F2032D"/>
    <w:rsid w:val="00F31A7B"/>
    <w:rsid w:val="00F43E08"/>
    <w:rsid w:val="00F47A23"/>
    <w:rsid w:val="00F51B59"/>
    <w:rsid w:val="00F53C51"/>
    <w:rsid w:val="00F55B2C"/>
    <w:rsid w:val="00F64795"/>
    <w:rsid w:val="00F67CED"/>
    <w:rsid w:val="00F70A2D"/>
    <w:rsid w:val="00F7300E"/>
    <w:rsid w:val="00F82491"/>
    <w:rsid w:val="00FA21E2"/>
    <w:rsid w:val="00FA3B2E"/>
    <w:rsid w:val="00FB11F7"/>
    <w:rsid w:val="00FB5ACC"/>
    <w:rsid w:val="00FB5C1A"/>
    <w:rsid w:val="00FC0DD5"/>
    <w:rsid w:val="00FC1B74"/>
    <w:rsid w:val="00FC681D"/>
    <w:rsid w:val="00FD1E29"/>
    <w:rsid w:val="00FD6E55"/>
    <w:rsid w:val="00FE3466"/>
    <w:rsid w:val="00FE3DA0"/>
    <w:rsid w:val="00FE63BA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FE093E"/>
  <w15:docId w15:val="{5F64DA3B-0810-447C-AE7A-116EBCAE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219"/>
    <w:rPr>
      <w:rFonts w:ascii="Calibri" w:eastAsia="Calibri" w:hAnsi="Calibri" w:cs="Arial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8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D62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621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5D6219"/>
  </w:style>
  <w:style w:type="paragraph" w:styleId="ListParagraph">
    <w:name w:val="List Paragraph"/>
    <w:aliases w:val="Normal 1,List Paragraph1"/>
    <w:basedOn w:val="Normal"/>
    <w:link w:val="ListParagraphChar"/>
    <w:uiPriority w:val="34"/>
    <w:qFormat/>
    <w:rsid w:val="005D6219"/>
    <w:pPr>
      <w:ind w:left="720"/>
      <w:contextualSpacing/>
    </w:pPr>
    <w:rPr>
      <w:noProof w:val="0"/>
    </w:rPr>
  </w:style>
  <w:style w:type="character" w:styleId="Strong">
    <w:name w:val="Strong"/>
    <w:uiPriority w:val="22"/>
    <w:qFormat/>
    <w:rsid w:val="005D6219"/>
    <w:rPr>
      <w:b/>
      <w:bCs/>
    </w:rPr>
  </w:style>
  <w:style w:type="paragraph" w:styleId="BodyText">
    <w:name w:val="Body Text"/>
    <w:basedOn w:val="Normal"/>
    <w:link w:val="BodyTextChar"/>
    <w:rsid w:val="005D621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sq-AL" w:eastAsia="x-none"/>
    </w:rPr>
  </w:style>
  <w:style w:type="character" w:customStyle="1" w:styleId="BodyTextChar">
    <w:name w:val="Body Text Char"/>
    <w:basedOn w:val="DefaultParagraphFont"/>
    <w:link w:val="BodyText"/>
    <w:rsid w:val="005D6219"/>
    <w:rPr>
      <w:rFonts w:ascii="Times New Roman" w:eastAsia="Times New Roman" w:hAnsi="Times New Roman" w:cs="Times New Roman"/>
      <w:b/>
      <w:sz w:val="28"/>
      <w:szCs w:val="20"/>
      <w:u w:val="single"/>
      <w:lang w:val="sq-AL" w:eastAsia="x-none"/>
    </w:rPr>
  </w:style>
  <w:style w:type="character" w:customStyle="1" w:styleId="ListParagraphChar">
    <w:name w:val="List Paragraph Char"/>
    <w:aliases w:val="Normal 1 Char,List Paragraph1 Char"/>
    <w:link w:val="ListParagraph"/>
    <w:uiPriority w:val="34"/>
    <w:locked/>
    <w:rsid w:val="005D6219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5D6219"/>
    <w:pPr>
      <w:tabs>
        <w:tab w:val="center" w:pos="4680"/>
        <w:tab w:val="right" w:pos="9360"/>
      </w:tabs>
      <w:spacing w:after="0" w:line="240" w:lineRule="auto"/>
    </w:pPr>
    <w:rPr>
      <w:noProof w:val="0"/>
    </w:rPr>
  </w:style>
  <w:style w:type="character" w:customStyle="1" w:styleId="HeaderChar">
    <w:name w:val="Header Char"/>
    <w:basedOn w:val="DefaultParagraphFont"/>
    <w:link w:val="Header"/>
    <w:uiPriority w:val="99"/>
    <w:rsid w:val="005D621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D6219"/>
    <w:pPr>
      <w:tabs>
        <w:tab w:val="center" w:pos="4680"/>
        <w:tab w:val="right" w:pos="9360"/>
      </w:tabs>
      <w:spacing w:after="0" w:line="240" w:lineRule="auto"/>
    </w:pPr>
    <w:rPr>
      <w:noProof w:val="0"/>
    </w:rPr>
  </w:style>
  <w:style w:type="character" w:customStyle="1" w:styleId="FooterChar">
    <w:name w:val="Footer Char"/>
    <w:basedOn w:val="DefaultParagraphFont"/>
    <w:link w:val="Footer"/>
    <w:uiPriority w:val="99"/>
    <w:rsid w:val="005D6219"/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5D6219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219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219"/>
    <w:rPr>
      <w:rFonts w:ascii="Segoe UI" w:eastAsia="Calibri" w:hAnsi="Segoe UI" w:cs="Times New Roman"/>
      <w:noProof/>
      <w:sz w:val="18"/>
      <w:szCs w:val="18"/>
      <w:lang w:val="x-none" w:eastAsia="x-none"/>
    </w:rPr>
  </w:style>
  <w:style w:type="paragraph" w:styleId="NormalWeb">
    <w:name w:val="Normal (Web)"/>
    <w:basedOn w:val="Normal"/>
    <w:uiPriority w:val="99"/>
    <w:unhideWhenUsed/>
    <w:rsid w:val="005D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table" w:customStyle="1" w:styleId="ListTable4-Accent51">
    <w:name w:val="List Table 4 - Accent 51"/>
    <w:basedOn w:val="TableNormal"/>
    <w:uiPriority w:val="49"/>
    <w:rsid w:val="005D621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5D6219"/>
    <w:pPr>
      <w:spacing w:after="200" w:line="240" w:lineRule="auto"/>
    </w:pPr>
    <w:rPr>
      <w:rFonts w:ascii="Times New Roman" w:eastAsia="Times New Roman" w:hAnsi="Times New Roman" w:cs="Times New Roman"/>
      <w:i/>
      <w:iCs/>
      <w:noProof w:val="0"/>
      <w:color w:val="44546A"/>
      <w:sz w:val="18"/>
      <w:szCs w:val="18"/>
      <w:lang w:val="sq-AL"/>
    </w:rPr>
  </w:style>
  <w:style w:type="table" w:customStyle="1" w:styleId="TableGridLight1">
    <w:name w:val="Table Grid Light1"/>
    <w:basedOn w:val="TableNormal"/>
    <w:next w:val="TableGridLight2"/>
    <w:uiPriority w:val="40"/>
    <w:rsid w:val="005D621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2">
    <w:name w:val="Table Grid Light2"/>
    <w:basedOn w:val="TableNormal"/>
    <w:uiPriority w:val="40"/>
    <w:rsid w:val="005D621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PageNumber">
    <w:name w:val="page number"/>
    <w:rsid w:val="005D6219"/>
  </w:style>
  <w:style w:type="table" w:styleId="TableGrid">
    <w:name w:val="Table Grid"/>
    <w:basedOn w:val="TableNormal"/>
    <w:uiPriority w:val="39"/>
    <w:rsid w:val="00750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50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kons11">
    <w:name w:val="Abkons 1.1"/>
    <w:basedOn w:val="Heading1"/>
    <w:link w:val="Abkons11Char"/>
    <w:qFormat/>
    <w:rsid w:val="00AC4868"/>
    <w:pPr>
      <w:spacing w:before="240" w:after="120"/>
    </w:pPr>
    <w:rPr>
      <w:rFonts w:ascii="Arial" w:hAnsi="Arial" w:cs="Arial"/>
      <w:bCs w:val="0"/>
      <w:noProof w:val="0"/>
      <w:color w:val="00ADBC"/>
      <w:sz w:val="26"/>
      <w:szCs w:val="26"/>
    </w:rPr>
  </w:style>
  <w:style w:type="character" w:customStyle="1" w:styleId="Abkons11Char">
    <w:name w:val="Abkons 1.1 Char"/>
    <w:basedOn w:val="DefaultParagraphFont"/>
    <w:link w:val="Abkons11"/>
    <w:rsid w:val="00AC4868"/>
    <w:rPr>
      <w:rFonts w:ascii="Arial" w:eastAsiaTheme="majorEastAsia" w:hAnsi="Arial" w:cs="Arial"/>
      <w:b/>
      <w:color w:val="00ADBC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C4868"/>
    <w:rPr>
      <w:rFonts w:asciiTheme="majorHAnsi" w:eastAsiaTheme="majorEastAsia" w:hAnsiTheme="majorHAnsi" w:cstheme="majorBidi"/>
      <w:b/>
      <w:bCs/>
      <w:noProof/>
      <w:color w:val="2D4F8E" w:themeColor="accent1" w:themeShade="B5"/>
      <w:sz w:val="32"/>
      <w:szCs w:val="32"/>
    </w:rPr>
  </w:style>
  <w:style w:type="table" w:styleId="LightShading-Accent1">
    <w:name w:val="Light Shading Accent 1"/>
    <w:basedOn w:val="TableNormal"/>
    <w:uiPriority w:val="60"/>
    <w:rsid w:val="00AC3DBD"/>
    <w:pPr>
      <w:spacing w:after="0" w:line="240" w:lineRule="auto"/>
    </w:pPr>
    <w:rPr>
      <w:rFonts w:eastAsiaTheme="minorEastAsia"/>
      <w:color w:val="2F5496" w:themeColor="accent1" w:themeShade="BF"/>
      <w:lang w:eastAsia="zh-TW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C3DBD"/>
  </w:style>
  <w:style w:type="paragraph" w:styleId="EndnoteText">
    <w:name w:val="endnote text"/>
    <w:basedOn w:val="Normal"/>
    <w:link w:val="EndnoteTextChar"/>
    <w:uiPriority w:val="99"/>
    <w:semiHidden/>
    <w:unhideWhenUsed/>
    <w:rsid w:val="00C20D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0DA6"/>
    <w:rPr>
      <w:rFonts w:ascii="Calibri" w:eastAsia="Calibri" w:hAnsi="Calibri" w:cs="Arial"/>
      <w:noProof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20DA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7C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C41"/>
    <w:rPr>
      <w:color w:val="605E5C"/>
      <w:shd w:val="clear" w:color="auto" w:fill="E1DFDD"/>
    </w:rPr>
  </w:style>
  <w:style w:type="paragraph" w:customStyle="1" w:styleId="xgmail-msobodytext">
    <w:name w:val="x_gmail-msobodytext"/>
    <w:basedOn w:val="Normal"/>
    <w:rsid w:val="00DF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GB" w:eastAsia="en-GB"/>
    </w:rPr>
  </w:style>
  <w:style w:type="paragraph" w:customStyle="1" w:styleId="xgmail-compact">
    <w:name w:val="x_gmail-compact"/>
    <w:basedOn w:val="Normal"/>
    <w:rsid w:val="00DF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271264-812E-4807-B80A-133E0F19AD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Balliu</dc:creator>
  <cp:keywords/>
  <dc:description/>
  <cp:lastModifiedBy>Alma Kondakciu</cp:lastModifiedBy>
  <cp:revision>8</cp:revision>
  <cp:lastPrinted>2025-12-15T12:21:00Z</cp:lastPrinted>
  <dcterms:created xsi:type="dcterms:W3CDTF">2025-11-25T14:21:00Z</dcterms:created>
  <dcterms:modified xsi:type="dcterms:W3CDTF">2025-12-15T14:01:00Z</dcterms:modified>
</cp:coreProperties>
</file>