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DD41" w14:textId="77777777" w:rsidR="00135A59" w:rsidRDefault="00135A59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</w:p>
    <w:p w14:paraId="6DD4C6AD" w14:textId="77777777" w:rsidR="00135A59" w:rsidRDefault="00135A59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</w:p>
    <w:p w14:paraId="5EB7F736" w14:textId="5A82FA9A" w:rsidR="000718FB" w:rsidRPr="00A8130D" w:rsidRDefault="000718FB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293B512" w14:textId="2E454D9A" w:rsidR="000718FB" w:rsidRPr="00A8130D" w:rsidRDefault="000718FB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MBI RAPORTIN E MONITORIMIT </w:t>
      </w:r>
      <w:r w:rsidR="00A8130D" w:rsidRPr="00A8130D">
        <w:rPr>
          <w:rFonts w:asciiTheme="majorBidi" w:hAnsiTheme="majorBidi" w:cstheme="majorBidi"/>
          <w:b/>
          <w:lang w:val="sq-AL"/>
        </w:rPr>
        <w:t>P</w:t>
      </w:r>
      <w:r w:rsidR="00207D58">
        <w:rPr>
          <w:rFonts w:asciiTheme="majorBidi" w:hAnsiTheme="majorBidi" w:cstheme="majorBidi"/>
          <w:b/>
          <w:lang w:val="sq-AL"/>
        </w:rPr>
        <w:t>Ë</w:t>
      </w:r>
      <w:r w:rsidR="00A8130D" w:rsidRPr="00A8130D">
        <w:rPr>
          <w:rFonts w:asciiTheme="majorBidi" w:hAnsiTheme="majorBidi" w:cstheme="majorBidi"/>
          <w:b/>
          <w:lang w:val="sq-AL"/>
        </w:rPr>
        <w:t>R</w:t>
      </w:r>
      <w:r w:rsidR="00BF3680">
        <w:rPr>
          <w:rFonts w:asciiTheme="majorBidi" w:hAnsiTheme="majorBidi" w:cstheme="majorBidi"/>
          <w:b/>
          <w:lang w:val="sq-AL"/>
        </w:rPr>
        <w:t xml:space="preserve"> </w:t>
      </w:r>
      <w:r w:rsidR="001E5C94">
        <w:rPr>
          <w:rFonts w:asciiTheme="majorBidi" w:hAnsiTheme="majorBidi" w:cstheme="majorBidi"/>
          <w:b/>
          <w:lang w:val="sq-AL"/>
        </w:rPr>
        <w:t xml:space="preserve">4 </w:t>
      </w:r>
      <w:r w:rsidR="00BF3680">
        <w:rPr>
          <w:rFonts w:asciiTheme="majorBidi" w:hAnsiTheme="majorBidi" w:cstheme="majorBidi"/>
          <w:b/>
          <w:lang w:val="sq-AL"/>
        </w:rPr>
        <w:t xml:space="preserve">MUJORIN E </w:t>
      </w:r>
      <w:r w:rsidR="001E5C94">
        <w:rPr>
          <w:rFonts w:asciiTheme="majorBidi" w:hAnsiTheme="majorBidi" w:cstheme="majorBidi"/>
          <w:b/>
          <w:lang w:val="sq-AL"/>
        </w:rPr>
        <w:t>PARË TË</w:t>
      </w:r>
      <w:r w:rsidR="00BF3680">
        <w:rPr>
          <w:rFonts w:asciiTheme="majorBidi" w:hAnsiTheme="majorBidi" w:cstheme="majorBidi"/>
          <w:b/>
          <w:lang w:val="sq-AL"/>
        </w:rPr>
        <w:t xml:space="preserve"> </w:t>
      </w:r>
      <w:r w:rsidRPr="00A8130D">
        <w:rPr>
          <w:rFonts w:asciiTheme="majorBidi" w:hAnsiTheme="majorBidi" w:cstheme="majorBidi"/>
          <w:b/>
          <w:caps/>
          <w:lang w:val="sq-AL"/>
        </w:rPr>
        <w:t>viti</w:t>
      </w:r>
      <w:r w:rsidR="00BF3680">
        <w:rPr>
          <w:rFonts w:asciiTheme="majorBidi" w:hAnsiTheme="majorBidi" w:cstheme="majorBidi"/>
          <w:b/>
          <w:caps/>
          <w:lang w:val="sq-AL"/>
        </w:rPr>
        <w:t>T</w:t>
      </w:r>
      <w:r w:rsidRPr="00A8130D">
        <w:rPr>
          <w:rFonts w:asciiTheme="majorBidi" w:hAnsiTheme="majorBidi" w:cstheme="majorBidi"/>
          <w:b/>
          <w:caps/>
          <w:lang w:val="sq-AL"/>
        </w:rPr>
        <w:t xml:space="preserve"> </w:t>
      </w:r>
      <w:r w:rsidR="00906AE0">
        <w:rPr>
          <w:rFonts w:asciiTheme="majorBidi" w:hAnsiTheme="majorBidi" w:cstheme="majorBidi"/>
          <w:b/>
          <w:caps/>
          <w:lang w:val="sq-AL"/>
        </w:rPr>
        <w:t>202</w:t>
      </w:r>
      <w:r w:rsidR="00BF3680">
        <w:rPr>
          <w:rFonts w:asciiTheme="majorBidi" w:hAnsiTheme="majorBidi" w:cstheme="majorBidi"/>
          <w:b/>
          <w:caps/>
          <w:lang w:val="sq-AL"/>
        </w:rPr>
        <w:t>4</w:t>
      </w:r>
      <w:r w:rsidRPr="00A8130D">
        <w:rPr>
          <w:rFonts w:asciiTheme="majorBidi" w:hAnsiTheme="majorBidi" w:cstheme="majorBidi"/>
          <w:b/>
          <w:lang w:val="sq-AL"/>
        </w:rPr>
        <w:t xml:space="preserve"> </w:t>
      </w:r>
    </w:p>
    <w:p w14:paraId="0796674F" w14:textId="77777777" w:rsidR="000718FB" w:rsidRPr="00A8130D" w:rsidRDefault="000718FB" w:rsidP="000718FB">
      <w:pPr>
        <w:spacing w:line="276" w:lineRule="auto"/>
        <w:jc w:val="center"/>
        <w:rPr>
          <w:bCs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PËR </w:t>
      </w:r>
      <w:r w:rsidRPr="00A8130D">
        <w:rPr>
          <w:rFonts w:asciiTheme="majorBidi" w:hAnsiTheme="majorBidi" w:cstheme="majorBidi"/>
          <w:b/>
          <w:caps/>
          <w:lang w:val="sq-AL"/>
        </w:rPr>
        <w:t>Shkollën e Magjistraturës</w:t>
      </w:r>
    </w:p>
    <w:p w14:paraId="3005E72A" w14:textId="77777777" w:rsidR="000718FB" w:rsidRPr="00A8130D" w:rsidRDefault="000718FB" w:rsidP="000718FB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6D820933" w14:textId="77777777" w:rsidR="000718FB" w:rsidRPr="00A8130D" w:rsidRDefault="000718FB" w:rsidP="000718FB">
      <w:pPr>
        <w:numPr>
          <w:ilvl w:val="0"/>
          <w:numId w:val="1"/>
        </w:numPr>
        <w:tabs>
          <w:tab w:val="left" w:pos="216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30A7ECA7" w14:textId="0307BF76" w:rsidR="000718FB" w:rsidRDefault="000718FB" w:rsidP="000718FB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>Shkolla e Magjistraturës</w:t>
      </w:r>
      <w:r w:rsidRPr="00A8130D">
        <w:rPr>
          <w:bCs/>
          <w:lang w:val="sq-AL"/>
        </w:rPr>
        <w:t xml:space="preserve"> administroi dhe menaxhoi fondet </w:t>
      </w:r>
      <w:r w:rsidR="00A8130D" w:rsidRPr="00A8130D">
        <w:rPr>
          <w:bCs/>
          <w:lang w:val="sq-AL"/>
        </w:rPr>
        <w:t>publike sipas program</w:t>
      </w:r>
      <w:r w:rsidR="00A8130D">
        <w:rPr>
          <w:bCs/>
          <w:lang w:val="sq-AL"/>
        </w:rPr>
        <w:t>it “Veprimtaria Arsimore”, p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r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realizuar q</w:t>
      </w:r>
      <w:r w:rsidR="00207D58">
        <w:rPr>
          <w:bCs/>
          <w:lang w:val="sq-AL"/>
        </w:rPr>
        <w:t>ë</w:t>
      </w:r>
      <w:r w:rsidR="00AA096A">
        <w:rPr>
          <w:bCs/>
          <w:lang w:val="sq-AL"/>
        </w:rPr>
        <w:t xml:space="preserve">llimin e </w:t>
      </w:r>
      <w:r w:rsidR="00A8130D">
        <w:rPr>
          <w:bCs/>
          <w:lang w:val="sq-AL"/>
        </w:rPr>
        <w:t>t</w:t>
      </w:r>
      <w:r w:rsidR="00AA096A">
        <w:rPr>
          <w:bCs/>
          <w:lang w:val="sq-AL"/>
        </w:rPr>
        <w:t>i</w:t>
      </w:r>
      <w:r w:rsidR="00A8130D">
        <w:rPr>
          <w:bCs/>
          <w:lang w:val="sq-AL"/>
        </w:rPr>
        <w:t xml:space="preserve">j i cili 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sht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“</w:t>
      </w:r>
      <w:r w:rsidR="00906AE0">
        <w:rPr>
          <w:bCs/>
          <w:lang w:val="sq-AL"/>
        </w:rPr>
        <w:t>Funksionimi si nj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institucion i pavaruar me kapacitete menaxhuese t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plota me q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llim rritjen e qendrueshm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ris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financiare dhe konsolidimin e m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tejsh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m t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veprimtaris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saj. </w:t>
      </w:r>
      <w:r w:rsidR="00A8130D">
        <w:rPr>
          <w:bCs/>
          <w:lang w:val="sq-AL"/>
        </w:rPr>
        <w:t>Rritja e profesionalizmit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aktor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ve kryesor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sistemit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drejt</w:t>
      </w:r>
      <w:r w:rsidR="00207D58">
        <w:rPr>
          <w:bCs/>
          <w:lang w:val="sq-AL"/>
        </w:rPr>
        <w:t>ë</w:t>
      </w:r>
      <w:r w:rsidR="001B6080">
        <w:rPr>
          <w:bCs/>
          <w:lang w:val="sq-AL"/>
        </w:rPr>
        <w:t>s</w:t>
      </w:r>
      <w:r w:rsidR="00A8130D">
        <w:rPr>
          <w:bCs/>
          <w:lang w:val="sq-AL"/>
        </w:rPr>
        <w:t>is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</w:t>
      </w:r>
      <w:r w:rsidR="00AA096A">
        <w:rPr>
          <w:bCs/>
          <w:lang w:val="sq-AL"/>
        </w:rPr>
        <w:t>p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rmes zhvillimit dhe konsolidimit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programeve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trajnimit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niveleve bashk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kohore dhe standarteve evropiane”.</w:t>
      </w:r>
    </w:p>
    <w:p w14:paraId="607EDF8A" w14:textId="46708751" w:rsidR="001F06A0" w:rsidRPr="001F06A0" w:rsidRDefault="001F06A0" w:rsidP="001F06A0">
      <w:pPr>
        <w:spacing w:after="200" w:line="276" w:lineRule="auto"/>
        <w:jc w:val="both"/>
        <w:rPr>
          <w:rFonts w:eastAsia="Calibri"/>
          <w:lang w:val="sq-AL"/>
        </w:rPr>
      </w:pPr>
      <w:proofErr w:type="spellStart"/>
      <w:r w:rsidRPr="001F06A0">
        <w:rPr>
          <w:rFonts w:eastAsia="Calibri"/>
          <w:color w:val="000000"/>
        </w:rPr>
        <w:t>Programi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për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të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cilin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ky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institucion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administron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fondet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për</w:t>
      </w:r>
      <w:proofErr w:type="spellEnd"/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vitin</w:t>
      </w:r>
      <w:proofErr w:type="spellEnd"/>
      <w:r w:rsidRPr="001F06A0">
        <w:rPr>
          <w:rFonts w:eastAsia="Calibri"/>
          <w:color w:val="000000"/>
        </w:rPr>
        <w:t xml:space="preserve"> 202</w:t>
      </w:r>
      <w:r w:rsidR="001E5C94">
        <w:rPr>
          <w:rFonts w:eastAsia="Calibri"/>
          <w:color w:val="000000"/>
        </w:rPr>
        <w:t>5</w:t>
      </w:r>
      <w:r w:rsidRPr="001F06A0">
        <w:rPr>
          <w:rFonts w:eastAsia="Calibri"/>
          <w:color w:val="000000"/>
        </w:rPr>
        <w:t xml:space="preserve"> </w:t>
      </w:r>
      <w:proofErr w:type="spellStart"/>
      <w:r w:rsidRPr="001F06A0">
        <w:rPr>
          <w:rFonts w:eastAsia="Calibri"/>
          <w:color w:val="000000"/>
        </w:rPr>
        <w:t>është</w:t>
      </w:r>
      <w:proofErr w:type="spellEnd"/>
      <w:r w:rsidRPr="001F06A0">
        <w:rPr>
          <w:rFonts w:eastAsia="Calibri"/>
          <w:color w:val="000000"/>
        </w:rPr>
        <w:t xml:space="preserve">: </w:t>
      </w:r>
    </w:p>
    <w:p w14:paraId="7E528F50" w14:textId="3C9A858E" w:rsidR="001F06A0" w:rsidRPr="0074640E" w:rsidRDefault="001F06A0" w:rsidP="001F06A0">
      <w:pPr>
        <w:widowControl w:val="0"/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val="pt-PT"/>
        </w:rPr>
      </w:pPr>
      <w:r w:rsidRPr="0074640E">
        <w:rPr>
          <w:rFonts w:eastAsia="Calibri"/>
          <w:b/>
          <w:bCs/>
          <w:lang w:val="pt-PT"/>
        </w:rPr>
        <w:t>Programi “Veprimatria Arsimore</w:t>
      </w:r>
      <w:r w:rsidRPr="0074640E">
        <w:rPr>
          <w:rFonts w:eastAsia="Calibri"/>
          <w:lang w:val="pt-PT"/>
        </w:rPr>
        <w:t>”</w:t>
      </w:r>
      <w:r w:rsidRPr="0074640E">
        <w:rPr>
          <w:rFonts w:asciiTheme="minorHAnsi" w:eastAsiaTheme="minorHAnsi" w:hAnsiTheme="minorHAnsi" w:cstheme="minorBidi"/>
          <w:sz w:val="22"/>
          <w:szCs w:val="22"/>
          <w:lang w:val="pt-PT"/>
        </w:rPr>
        <w:t xml:space="preserve"> , </w:t>
      </w:r>
      <w:r w:rsidRPr="0074640E">
        <w:rPr>
          <w:rFonts w:eastAsiaTheme="minorHAnsi"/>
          <w:lang w:val="pt-PT"/>
        </w:rPr>
        <w:t xml:space="preserve">i cili </w:t>
      </w:r>
      <w:r w:rsidRPr="0074640E">
        <w:rPr>
          <w:rFonts w:eastAsia="Calibri"/>
          <w:lang w:val="pt-PT"/>
        </w:rPr>
        <w:t xml:space="preserve">ka realizuar fondet për </w:t>
      </w:r>
      <w:r w:rsidR="00BE59F4">
        <w:rPr>
          <w:rFonts w:eastAsia="Calibri"/>
          <w:lang w:val="pt-PT"/>
        </w:rPr>
        <w:t>8</w:t>
      </w:r>
      <w:r w:rsidR="001E5C94" w:rsidRPr="0074640E">
        <w:rPr>
          <w:rFonts w:eastAsia="Calibri"/>
          <w:lang w:val="pt-PT"/>
        </w:rPr>
        <w:t xml:space="preserve">M 2025 </w:t>
      </w:r>
      <w:r w:rsidRPr="0074640E">
        <w:rPr>
          <w:rFonts w:eastAsia="Calibri"/>
          <w:lang w:val="pt-PT"/>
        </w:rPr>
        <w:t xml:space="preserve">në masën </w:t>
      </w:r>
      <w:r w:rsidR="00BE59F4">
        <w:rPr>
          <w:rFonts w:eastAsia="Calibri"/>
          <w:lang w:val="pt-PT"/>
        </w:rPr>
        <w:t>59</w:t>
      </w:r>
      <w:r w:rsidRPr="0074640E">
        <w:rPr>
          <w:rFonts w:eastAsia="Calibri"/>
          <w:lang w:val="pt-PT"/>
        </w:rPr>
        <w:t xml:space="preserve">%. </w:t>
      </w:r>
    </w:p>
    <w:p w14:paraId="5BC868F1" w14:textId="4F384C95" w:rsidR="001F06A0" w:rsidRPr="0074640E" w:rsidRDefault="001F06A0" w:rsidP="001F06A0">
      <w:pPr>
        <w:widowControl w:val="0"/>
        <w:jc w:val="both"/>
        <w:rPr>
          <w:rFonts w:eastAsia="Calibri"/>
          <w:lang w:val="pt-PT"/>
        </w:rPr>
      </w:pPr>
      <w:r w:rsidRPr="0074640E">
        <w:rPr>
          <w:rFonts w:eastAsia="Calibri"/>
          <w:lang w:val="pt-PT"/>
        </w:rPr>
        <w:t>Qëllimi i politikës së programit është “Konsolidimi i for</w:t>
      </w:r>
      <w:r w:rsidR="00567595" w:rsidRPr="0074640E">
        <w:rPr>
          <w:rFonts w:eastAsia="Calibri"/>
          <w:lang w:val="pt-PT"/>
        </w:rPr>
        <w:t>m</w:t>
      </w:r>
      <w:r w:rsidRPr="0074640E">
        <w:rPr>
          <w:rFonts w:eastAsia="Calibri"/>
          <w:lang w:val="pt-PT"/>
        </w:rPr>
        <w:t>imit profesional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magjistrat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ve, n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p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rmjet rritjes profesion</w:t>
      </w:r>
      <w:r w:rsidR="00567595" w:rsidRPr="0074640E">
        <w:rPr>
          <w:rFonts w:eastAsia="Calibri"/>
          <w:lang w:val="pt-PT"/>
        </w:rPr>
        <w:t>ale</w:t>
      </w:r>
      <w:r w:rsidRPr="0074640E">
        <w:rPr>
          <w:rFonts w:eastAsia="Calibri"/>
          <w:lang w:val="pt-PT"/>
        </w:rPr>
        <w:t xml:space="preserve">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personelit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gjykatave dhe prokurorive n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p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rputhje me standartet evropiane</w:t>
      </w:r>
    </w:p>
    <w:p w14:paraId="5FA83A5E" w14:textId="77777777" w:rsidR="001F06A0" w:rsidRPr="0074640E" w:rsidRDefault="001F06A0" w:rsidP="001F06A0">
      <w:pPr>
        <w:widowControl w:val="0"/>
        <w:jc w:val="both"/>
        <w:rPr>
          <w:rFonts w:eastAsia="Calibri"/>
          <w:lang w:val="pt-PT"/>
        </w:rPr>
      </w:pPr>
    </w:p>
    <w:p w14:paraId="7DF87D08" w14:textId="326ECC81" w:rsidR="001F06A0" w:rsidRPr="001F06A0" w:rsidRDefault="001F06A0" w:rsidP="001F06A0">
      <w:pPr>
        <w:widowControl w:val="0"/>
        <w:jc w:val="both"/>
        <w:rPr>
          <w:rFonts w:eastAsia="Calibri"/>
        </w:rPr>
      </w:pPr>
      <w:proofErr w:type="spellStart"/>
      <w:r w:rsidRPr="001F06A0">
        <w:rPr>
          <w:rFonts w:eastAsia="Calibri"/>
        </w:rPr>
        <w:t>Për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realizimin</w:t>
      </w:r>
      <w:proofErr w:type="spellEnd"/>
      <w:r w:rsidRPr="001F06A0">
        <w:rPr>
          <w:rFonts w:eastAsia="Calibri"/>
        </w:rPr>
        <w:t xml:space="preserve"> e </w:t>
      </w:r>
      <w:proofErr w:type="spellStart"/>
      <w:r w:rsidRPr="001F06A0">
        <w:rPr>
          <w:rFonts w:eastAsia="Calibri"/>
        </w:rPr>
        <w:t>qëllimit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kanë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kontribuar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produktet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sa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më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poshtë</w:t>
      </w:r>
      <w:proofErr w:type="spellEnd"/>
      <w:r w:rsidRPr="001F06A0">
        <w:rPr>
          <w:rFonts w:eastAsia="Calibri"/>
        </w:rPr>
        <w:t>:</w:t>
      </w:r>
    </w:p>
    <w:p w14:paraId="40E1A639" w14:textId="77777777" w:rsidR="001F06A0" w:rsidRPr="001F06A0" w:rsidRDefault="001F06A0" w:rsidP="001F06A0">
      <w:pPr>
        <w:widowControl w:val="0"/>
        <w:jc w:val="both"/>
        <w:rPr>
          <w:rFonts w:eastAsia="Calibri"/>
        </w:rPr>
      </w:pPr>
    </w:p>
    <w:p w14:paraId="671FDFEC" w14:textId="68DFD365" w:rsidR="001F06A0" w:rsidRPr="004C12FE" w:rsidRDefault="001E5C94" w:rsidP="001F06A0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18</w:t>
      </w:r>
      <w:r w:rsidR="00BE59F4">
        <w:rPr>
          <w:rFonts w:eastAsia="Times New Roman"/>
          <w:bCs/>
          <w:sz w:val="24"/>
          <w:szCs w:val="24"/>
          <w:lang w:val="sq-AL"/>
        </w:rPr>
        <w:t>8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 xml:space="preserve"> “Studentë që ndjekin ciklin e programit mësimor”</w:t>
      </w:r>
      <w:r w:rsidR="001F06A0">
        <w:rPr>
          <w:rFonts w:eastAsia="Times New Roman"/>
          <w:bCs/>
          <w:sz w:val="24"/>
          <w:szCs w:val="24"/>
          <w:lang w:val="sq-AL"/>
        </w:rPr>
        <w:t>,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 ose </w:t>
      </w:r>
      <w:r>
        <w:rPr>
          <w:rFonts w:eastAsia="Times New Roman"/>
          <w:bCs/>
          <w:sz w:val="24"/>
          <w:szCs w:val="24"/>
          <w:lang w:val="sq-AL"/>
        </w:rPr>
        <w:t>6</w:t>
      </w:r>
      <w:r w:rsidR="00BE59F4">
        <w:rPr>
          <w:rFonts w:eastAsia="Times New Roman"/>
          <w:bCs/>
          <w:sz w:val="24"/>
          <w:szCs w:val="24"/>
          <w:lang w:val="sq-AL"/>
        </w:rPr>
        <w:t>4</w:t>
      </w:r>
      <w:r w:rsidR="006E0821">
        <w:rPr>
          <w:rFonts w:eastAsia="Times New Roman"/>
          <w:bCs/>
          <w:sz w:val="24"/>
          <w:szCs w:val="24"/>
          <w:lang w:val="sq-AL"/>
        </w:rPr>
        <w:t>% e sasisë së planifikuar,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me kosto faktike </w:t>
      </w:r>
      <w:r w:rsidR="00BE59F4">
        <w:rPr>
          <w:rFonts w:eastAsia="Times New Roman"/>
          <w:bCs/>
          <w:sz w:val="24"/>
          <w:szCs w:val="24"/>
          <w:lang w:val="sq-AL"/>
        </w:rPr>
        <w:t xml:space="preserve">279 </w:t>
      </w:r>
      <w:r w:rsidR="001F06A0">
        <w:rPr>
          <w:rFonts w:eastAsia="Times New Roman"/>
          <w:bCs/>
          <w:sz w:val="24"/>
          <w:szCs w:val="24"/>
          <w:lang w:val="sq-AL"/>
        </w:rPr>
        <w:t>milionë lekë</w:t>
      </w:r>
      <w:r w:rsidR="00567595">
        <w:rPr>
          <w:rFonts w:eastAsia="Times New Roman"/>
          <w:bCs/>
          <w:sz w:val="24"/>
          <w:szCs w:val="24"/>
          <w:lang w:val="sq-AL"/>
        </w:rPr>
        <w:t>.</w:t>
      </w:r>
    </w:p>
    <w:p w14:paraId="4CDE4BE2" w14:textId="4F5B2784" w:rsidR="001F06A0" w:rsidRPr="004C12FE" w:rsidRDefault="00567595" w:rsidP="001F06A0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J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anë realizuar </w:t>
      </w:r>
      <w:r w:rsidR="00BE59F4">
        <w:rPr>
          <w:rFonts w:eastAsia="Times New Roman"/>
          <w:bCs/>
          <w:sz w:val="24"/>
          <w:szCs w:val="24"/>
          <w:lang w:val="sq-AL"/>
        </w:rPr>
        <w:t>96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 xml:space="preserve">“Sesione trajnuese për magjistratë, avokatë shteti, ndihmësa ligjorë dhe kancelarë në detyrë”, 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ose </w:t>
      </w:r>
      <w:r w:rsidR="00BE59F4">
        <w:rPr>
          <w:rFonts w:eastAsia="Times New Roman"/>
          <w:bCs/>
          <w:sz w:val="24"/>
          <w:szCs w:val="24"/>
          <w:lang w:val="sq-AL"/>
        </w:rPr>
        <w:t>60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% e sasisë së planifikuar, 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me kosto faktike </w:t>
      </w:r>
      <w:r w:rsidR="00BE59F4">
        <w:rPr>
          <w:rFonts w:eastAsia="Times New Roman"/>
          <w:bCs/>
          <w:sz w:val="24"/>
          <w:szCs w:val="24"/>
          <w:lang w:val="sq-AL"/>
        </w:rPr>
        <w:t>9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milionë lekë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>.</w:t>
      </w:r>
    </w:p>
    <w:p w14:paraId="0711ED34" w14:textId="11458CD2" w:rsidR="001F06A0" w:rsidRPr="004C12FE" w:rsidRDefault="00BE59F4" w:rsidP="001F06A0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Jan</w:t>
      </w:r>
      <w:r w:rsidR="005D5469">
        <w:rPr>
          <w:rFonts w:eastAsia="Times New Roman"/>
          <w:bCs/>
          <w:sz w:val="24"/>
          <w:szCs w:val="24"/>
          <w:lang w:val="sq-AL"/>
        </w:rPr>
        <w:t>ë</w:t>
      </w:r>
      <w:r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realizuar </w:t>
      </w:r>
      <w:r>
        <w:rPr>
          <w:rFonts w:eastAsia="Times New Roman"/>
          <w:bCs/>
          <w:sz w:val="24"/>
          <w:szCs w:val="24"/>
          <w:lang w:val="sq-AL"/>
        </w:rPr>
        <w:t>2</w:t>
      </w:r>
      <w:r w:rsidR="001E5C94">
        <w:rPr>
          <w:rFonts w:eastAsia="Times New Roman"/>
          <w:bCs/>
          <w:sz w:val="24"/>
          <w:szCs w:val="24"/>
          <w:lang w:val="sq-AL"/>
        </w:rPr>
        <w:t xml:space="preserve"> b</w:t>
      </w:r>
      <w:r w:rsidR="001F06A0">
        <w:rPr>
          <w:rFonts w:eastAsia="Times New Roman"/>
          <w:bCs/>
          <w:sz w:val="24"/>
          <w:szCs w:val="24"/>
          <w:lang w:val="sq-AL"/>
        </w:rPr>
        <w:t>otim</w:t>
      </w:r>
      <w:r>
        <w:rPr>
          <w:rFonts w:eastAsia="Times New Roman"/>
          <w:bCs/>
          <w:sz w:val="24"/>
          <w:szCs w:val="24"/>
          <w:lang w:val="sq-AL"/>
        </w:rPr>
        <w:t>e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>“Botimi i periodikeve “Magjistrati &amp; Jeta Juridike/Botime të tjera</w:t>
      </w:r>
      <w:r w:rsidR="001F06A0">
        <w:rPr>
          <w:rFonts w:eastAsia="Times New Roman"/>
          <w:bCs/>
          <w:sz w:val="24"/>
          <w:szCs w:val="24"/>
          <w:lang w:val="sq-AL"/>
        </w:rPr>
        <w:t>”,</w:t>
      </w:r>
      <w:r w:rsidR="006E0821" w:rsidRPr="006E0821">
        <w:rPr>
          <w:rFonts w:eastAsia="Times New Roman"/>
          <w:bCs/>
          <w:sz w:val="24"/>
          <w:szCs w:val="24"/>
          <w:lang w:val="sq-AL"/>
        </w:rPr>
        <w:t xml:space="preserve"> 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ose </w:t>
      </w:r>
      <w:r>
        <w:rPr>
          <w:rFonts w:eastAsia="Times New Roman"/>
          <w:bCs/>
          <w:sz w:val="24"/>
          <w:szCs w:val="24"/>
          <w:lang w:val="sq-AL"/>
        </w:rPr>
        <w:t>67</w:t>
      </w:r>
      <w:r w:rsidR="006E0821">
        <w:rPr>
          <w:rFonts w:eastAsia="Times New Roman"/>
          <w:bCs/>
          <w:sz w:val="24"/>
          <w:szCs w:val="24"/>
          <w:lang w:val="sq-AL"/>
        </w:rPr>
        <w:t>% e sasisë së planifikuar,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me kosto faktike </w:t>
      </w:r>
      <w:r w:rsidR="001E5C94">
        <w:rPr>
          <w:rFonts w:eastAsia="Times New Roman"/>
          <w:bCs/>
          <w:sz w:val="24"/>
          <w:szCs w:val="24"/>
          <w:lang w:val="sq-AL"/>
        </w:rPr>
        <w:t>0</w:t>
      </w:r>
      <w:r>
        <w:rPr>
          <w:rFonts w:eastAsia="Times New Roman"/>
          <w:bCs/>
          <w:sz w:val="24"/>
          <w:szCs w:val="24"/>
          <w:lang w:val="sq-AL"/>
        </w:rPr>
        <w:t>.65</w:t>
      </w:r>
      <w:r w:rsidR="001E5C94"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>
        <w:rPr>
          <w:rFonts w:eastAsia="Times New Roman"/>
          <w:bCs/>
          <w:sz w:val="24"/>
          <w:szCs w:val="24"/>
          <w:lang w:val="sq-AL"/>
        </w:rPr>
        <w:t>milionë lekë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>.</w:t>
      </w:r>
    </w:p>
    <w:p w14:paraId="55C59E09" w14:textId="77777777" w:rsidR="001F06A0" w:rsidRDefault="001F06A0" w:rsidP="001F06A0">
      <w:pPr>
        <w:pStyle w:val="ListParagraph"/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</w:p>
    <w:p w14:paraId="2BB2BE89" w14:textId="434883A9" w:rsidR="001F06A0" w:rsidRPr="0074640E" w:rsidRDefault="001F06A0" w:rsidP="001F06A0">
      <w:pPr>
        <w:widowControl w:val="0"/>
        <w:spacing w:after="200" w:line="276" w:lineRule="auto"/>
        <w:contextualSpacing/>
        <w:jc w:val="both"/>
        <w:rPr>
          <w:rFonts w:eastAsia="Calibri"/>
          <w:lang w:val="sq-AL"/>
        </w:rPr>
      </w:pPr>
    </w:p>
    <w:p w14:paraId="352E97B6" w14:textId="77777777" w:rsidR="000718FB" w:rsidRPr="00A8130D" w:rsidRDefault="000718FB" w:rsidP="000718FB">
      <w:pPr>
        <w:numPr>
          <w:ilvl w:val="0"/>
          <w:numId w:val="1"/>
        </w:numPr>
        <w:tabs>
          <w:tab w:val="left" w:pos="216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577F012D" w14:textId="11B195A6" w:rsidR="000718FB" w:rsidRPr="00A8130D" w:rsidRDefault="000718FB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A8130D">
        <w:rPr>
          <w:rFonts w:asciiTheme="majorBidi" w:hAnsiTheme="majorBidi" w:cstheme="majorBidi"/>
          <w:bCs/>
          <w:lang w:val="sq-AL"/>
        </w:rPr>
        <w:t>Në fund të</w:t>
      </w:r>
      <w:r w:rsidR="001E5C94">
        <w:rPr>
          <w:rFonts w:asciiTheme="majorBidi" w:hAnsiTheme="majorBidi" w:cstheme="majorBidi"/>
          <w:bCs/>
          <w:lang w:val="sq-AL"/>
        </w:rPr>
        <w:t xml:space="preserve"> </w:t>
      </w:r>
      <w:r w:rsidR="00BE59F4">
        <w:rPr>
          <w:rFonts w:asciiTheme="majorBidi" w:hAnsiTheme="majorBidi" w:cstheme="majorBidi"/>
          <w:bCs/>
          <w:lang w:val="sq-AL"/>
        </w:rPr>
        <w:t>8</w:t>
      </w:r>
      <w:r w:rsidR="001E5C94">
        <w:rPr>
          <w:rFonts w:asciiTheme="majorBidi" w:hAnsiTheme="majorBidi" w:cstheme="majorBidi"/>
          <w:bCs/>
          <w:lang w:val="sq-AL"/>
        </w:rPr>
        <w:t>M 2025</w:t>
      </w:r>
      <w:r w:rsidRPr="00A8130D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</w:t>
      </w:r>
      <w:r w:rsidR="00A317C4" w:rsidRPr="00A8130D">
        <w:rPr>
          <w:rFonts w:asciiTheme="majorBidi" w:hAnsiTheme="majorBidi" w:cstheme="majorBidi"/>
          <w:bCs/>
          <w:lang w:val="sq-AL"/>
        </w:rPr>
        <w:t xml:space="preserve">krahasuar me planin </w:t>
      </w:r>
      <w:r w:rsidR="00FB4D38">
        <w:rPr>
          <w:rFonts w:asciiTheme="majorBidi" w:hAnsiTheme="majorBidi" w:cstheme="majorBidi"/>
          <w:bCs/>
          <w:lang w:val="sq-AL"/>
        </w:rPr>
        <w:t>fillestar dhe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ndryshuar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buxhetit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A317C4" w:rsidRPr="00A8130D">
        <w:rPr>
          <w:rFonts w:asciiTheme="majorBidi" w:hAnsiTheme="majorBidi" w:cstheme="majorBidi"/>
          <w:bCs/>
          <w:lang w:val="sq-AL"/>
        </w:rPr>
        <w:t xml:space="preserve"> vitit</w:t>
      </w:r>
      <w:r w:rsidR="008221F4" w:rsidRPr="00A8130D">
        <w:rPr>
          <w:rFonts w:asciiTheme="majorBidi" w:hAnsiTheme="majorBidi" w:cstheme="majorBidi"/>
          <w:bCs/>
          <w:lang w:val="sq-AL"/>
        </w:rPr>
        <w:t xml:space="preserve"> 202</w:t>
      </w:r>
      <w:r w:rsidR="001E5C94">
        <w:rPr>
          <w:rFonts w:asciiTheme="majorBidi" w:hAnsiTheme="majorBidi" w:cstheme="majorBidi"/>
          <w:bCs/>
          <w:lang w:val="sq-AL"/>
        </w:rPr>
        <w:t>5</w:t>
      </w:r>
      <w:r w:rsidRPr="00A8130D">
        <w:rPr>
          <w:rFonts w:asciiTheme="majorBidi" w:hAnsiTheme="majorBidi" w:cstheme="majorBidi"/>
          <w:bCs/>
          <w:lang w:val="sq-AL"/>
        </w:rPr>
        <w:t xml:space="preserve">, </w:t>
      </w:r>
      <w:r w:rsidR="00FB4D38">
        <w:rPr>
          <w:rFonts w:asciiTheme="majorBidi" w:hAnsiTheme="majorBidi" w:cstheme="majorBidi"/>
          <w:bCs/>
          <w:lang w:val="sq-AL"/>
        </w:rPr>
        <w:t>n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nivel programi dhe sipas klasifikimit ekonomik, referuar </w:t>
      </w:r>
      <w:r w:rsidRPr="00A8130D">
        <w:rPr>
          <w:rFonts w:asciiTheme="majorBidi" w:hAnsiTheme="majorBidi" w:cstheme="majorBidi"/>
          <w:bCs/>
          <w:lang w:val="sq-AL"/>
        </w:rPr>
        <w:t>raportit të monitorimit të paraqitur nga ana e institucionit</w:t>
      </w:r>
      <w:r w:rsidRPr="00A8130D">
        <w:rPr>
          <w:bCs/>
          <w:lang w:val="sq-AL"/>
        </w:rPr>
        <w:t xml:space="preserve"> dhe sipas të dhënave të Sistemit Financiar Informatik të Qeverisë</w:t>
      </w:r>
      <w:r w:rsidR="00BF3680">
        <w:rPr>
          <w:bCs/>
          <w:lang w:val="sq-AL"/>
        </w:rPr>
        <w:t xml:space="preserve"> dhe AFMIS</w:t>
      </w:r>
      <w:r w:rsidRPr="00A8130D">
        <w:rPr>
          <w:rFonts w:asciiTheme="majorBidi" w:hAnsiTheme="majorBidi" w:cstheme="majorBidi"/>
          <w:bCs/>
          <w:lang w:val="sq-AL"/>
        </w:rPr>
        <w:t xml:space="preserve">, paraqitet si më poshtë, </w:t>
      </w:r>
      <w:r w:rsidRPr="00A8130D">
        <w:rPr>
          <w:bCs/>
          <w:i/>
          <w:iCs/>
          <w:lang w:val="sq-AL"/>
        </w:rPr>
        <w:t xml:space="preserve">në mijë lekë: </w:t>
      </w:r>
    </w:p>
    <w:p w14:paraId="3E5CEFF1" w14:textId="77777777" w:rsidR="000718FB" w:rsidRDefault="000718FB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E921C18" w14:textId="77777777" w:rsidR="00A43512" w:rsidRDefault="00A43512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319AE49D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4986C690" w14:textId="77777777" w:rsidR="001E5C94" w:rsidRDefault="001E5C94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031E9B56" w14:textId="77777777" w:rsidR="00E722E9" w:rsidRDefault="00E722E9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70A75015" w14:textId="77777777" w:rsidR="00E722E9" w:rsidRDefault="00E722E9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0596EB12" w14:textId="77777777" w:rsidR="00E722E9" w:rsidRDefault="00E722E9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73ED9856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20FEC18B" w14:textId="5BEE1F3B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FB4D38">
        <w:rPr>
          <w:bCs/>
          <w:i/>
          <w:iCs/>
          <w:lang w:val="sq-AL"/>
        </w:rPr>
        <w:t>Tabela Realizimi i shpenzimeve sipas programeve dhe klasifikimit ekonomik (në mijë lekë)</w:t>
      </w:r>
    </w:p>
    <w:p w14:paraId="46309EC9" w14:textId="1A64C8F8" w:rsidR="0074640E" w:rsidRDefault="0074640E" w:rsidP="006E7FB0">
      <w:pPr>
        <w:tabs>
          <w:tab w:val="left" w:pos="2160"/>
        </w:tabs>
        <w:spacing w:line="276" w:lineRule="auto"/>
        <w:ind w:left="-432" w:right="-432"/>
        <w:jc w:val="both"/>
        <w:rPr>
          <w:bCs/>
          <w:i/>
          <w:iCs/>
          <w:noProof/>
          <w:lang w:val="sq-AL"/>
        </w:rPr>
      </w:pPr>
      <w:r w:rsidRPr="0074640E">
        <w:rPr>
          <w:bCs/>
          <w:i/>
          <w:iCs/>
          <w:noProof/>
          <w:lang w:val="sq-AL"/>
        </w:rPr>
        <w:drawing>
          <wp:inline distT="0" distB="0" distL="0" distR="0" wp14:anchorId="277E9DFF" wp14:editId="652236D2">
            <wp:extent cx="6696075" cy="4410075"/>
            <wp:effectExtent l="0" t="0" r="9525" b="9525"/>
            <wp:docPr id="1391924569" name="Picture 1" descr="A table with numbers and a number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24569" name="Picture 1" descr="A table with numbers and a number of tex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7843E" w14:textId="77777777" w:rsidR="0074640E" w:rsidRDefault="0074640E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noProof/>
          <w:lang w:val="sq-AL"/>
        </w:rPr>
      </w:pPr>
    </w:p>
    <w:p w14:paraId="020B090E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5F48EABB" w14:textId="4D133385" w:rsidR="00D474D1" w:rsidRDefault="000718FB" w:rsidP="00D474D1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4537BB">
        <w:rPr>
          <w:rFonts w:asciiTheme="majorBidi" w:hAnsiTheme="majorBidi" w:cstheme="majorBidi"/>
          <w:bCs/>
          <w:lang w:val="sq-AL"/>
        </w:rPr>
        <w:t>Siç sh</w:t>
      </w:r>
      <w:r w:rsidR="00FB4D38">
        <w:rPr>
          <w:rFonts w:asciiTheme="majorBidi" w:hAnsiTheme="majorBidi" w:cstheme="majorBidi"/>
          <w:bCs/>
          <w:lang w:val="sq-AL"/>
        </w:rPr>
        <w:t xml:space="preserve">ihet </w:t>
      </w:r>
      <w:r w:rsidRPr="004537BB">
        <w:rPr>
          <w:rFonts w:asciiTheme="majorBidi" w:hAnsiTheme="majorBidi" w:cstheme="majorBidi"/>
          <w:bCs/>
          <w:lang w:val="sq-AL"/>
        </w:rPr>
        <w:t>nga tabelat e mësipërme, shpenzimet</w:t>
      </w:r>
      <w:r w:rsidR="00510625">
        <w:rPr>
          <w:rFonts w:asciiTheme="majorBidi" w:hAnsiTheme="majorBidi" w:cstheme="majorBidi"/>
          <w:bCs/>
          <w:lang w:val="sq-AL"/>
        </w:rPr>
        <w:t xml:space="preserve"> totale</w:t>
      </w:r>
      <w:r w:rsidRPr="004537BB">
        <w:rPr>
          <w:rFonts w:asciiTheme="majorBidi" w:hAnsiTheme="majorBidi" w:cstheme="majorBidi"/>
          <w:bCs/>
          <w:lang w:val="sq-AL"/>
        </w:rPr>
        <w:t xml:space="preserve"> për SHM janë realizuar në</w:t>
      </w:r>
      <w:r w:rsidR="00510625">
        <w:rPr>
          <w:rFonts w:asciiTheme="majorBidi" w:hAnsiTheme="majorBidi" w:cstheme="majorBidi"/>
          <w:bCs/>
          <w:lang w:val="sq-AL"/>
        </w:rPr>
        <w:t xml:space="preserve"> mas</w:t>
      </w:r>
      <w:r w:rsidR="002C6D4D">
        <w:rPr>
          <w:rFonts w:asciiTheme="majorBidi" w:hAnsiTheme="majorBidi" w:cstheme="majorBidi"/>
          <w:bCs/>
          <w:lang w:val="sq-AL"/>
        </w:rPr>
        <w:t>ë</w:t>
      </w:r>
      <w:r w:rsidR="00510625">
        <w:rPr>
          <w:rFonts w:asciiTheme="majorBidi" w:hAnsiTheme="majorBidi" w:cstheme="majorBidi"/>
          <w:bCs/>
          <w:lang w:val="sq-AL"/>
        </w:rPr>
        <w:t xml:space="preserve">n </w:t>
      </w:r>
      <w:r w:rsidRPr="004537BB">
        <w:rPr>
          <w:rFonts w:asciiTheme="majorBidi" w:hAnsiTheme="majorBidi" w:cstheme="majorBidi"/>
          <w:bCs/>
          <w:lang w:val="sq-AL"/>
        </w:rPr>
        <w:t xml:space="preserve">rreth </w:t>
      </w:r>
      <w:r w:rsidR="00BE59F4">
        <w:rPr>
          <w:rFonts w:asciiTheme="majorBidi" w:hAnsiTheme="majorBidi" w:cstheme="majorBidi"/>
          <w:bCs/>
          <w:lang w:val="sq-AL"/>
        </w:rPr>
        <w:t>59</w:t>
      </w:r>
      <w:r w:rsidR="00A52059" w:rsidRPr="004537BB">
        <w:rPr>
          <w:rFonts w:asciiTheme="majorBidi" w:hAnsiTheme="majorBidi" w:cstheme="majorBidi"/>
          <w:bCs/>
          <w:lang w:val="sq-AL"/>
        </w:rPr>
        <w:t>%</w:t>
      </w:r>
      <w:r w:rsidRPr="004537BB">
        <w:rPr>
          <w:rFonts w:asciiTheme="majorBidi" w:hAnsiTheme="majorBidi" w:cstheme="majorBidi"/>
          <w:bCs/>
          <w:lang w:val="sq-AL"/>
        </w:rPr>
        <w:t xml:space="preserve"> të planit </w:t>
      </w:r>
      <w:r w:rsidR="00A317C4" w:rsidRPr="004537BB">
        <w:rPr>
          <w:rFonts w:asciiTheme="majorBidi" w:hAnsiTheme="majorBidi" w:cstheme="majorBidi"/>
          <w:bCs/>
          <w:lang w:val="sq-AL"/>
        </w:rPr>
        <w:t>vjetor</w:t>
      </w:r>
      <w:r w:rsidRPr="004537BB">
        <w:rPr>
          <w:rFonts w:asciiTheme="majorBidi" w:hAnsiTheme="majorBidi" w:cstheme="majorBidi"/>
          <w:bCs/>
          <w:lang w:val="sq-AL"/>
        </w:rPr>
        <w:t xml:space="preserve"> </w:t>
      </w:r>
      <w:r w:rsidR="00FB4D38">
        <w:rPr>
          <w:rFonts w:asciiTheme="majorBidi" w:hAnsiTheme="majorBidi" w:cstheme="majorBidi"/>
          <w:bCs/>
          <w:lang w:val="sq-AL"/>
        </w:rPr>
        <w:t>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rishikuar </w:t>
      </w:r>
      <w:r w:rsidR="00BE59F4">
        <w:rPr>
          <w:rFonts w:asciiTheme="majorBidi" w:hAnsiTheme="majorBidi" w:cstheme="majorBidi"/>
          <w:bCs/>
          <w:lang w:val="sq-AL"/>
        </w:rPr>
        <w:t>dhe</w:t>
      </w:r>
      <w:r w:rsidR="00FB4D38">
        <w:rPr>
          <w:rFonts w:asciiTheme="majorBidi" w:hAnsiTheme="majorBidi" w:cstheme="majorBidi"/>
          <w:bCs/>
          <w:lang w:val="sq-AL"/>
        </w:rPr>
        <w:t xml:space="preserve"> planit fillestar. Shpenzimet korrente realizuar n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mas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n </w:t>
      </w:r>
      <w:r w:rsidR="00F91C02">
        <w:rPr>
          <w:rFonts w:asciiTheme="majorBidi" w:hAnsiTheme="majorBidi" w:cstheme="majorBidi"/>
          <w:bCs/>
          <w:lang w:val="sq-AL"/>
        </w:rPr>
        <w:t>59</w:t>
      </w:r>
      <w:r w:rsidR="00FB4D38">
        <w:rPr>
          <w:rFonts w:asciiTheme="majorBidi" w:hAnsiTheme="majorBidi" w:cstheme="majorBidi"/>
          <w:bCs/>
          <w:lang w:val="sq-AL"/>
        </w:rPr>
        <w:t>%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buxhetit </w:t>
      </w:r>
      <w:r w:rsidR="00F91C02">
        <w:rPr>
          <w:rFonts w:asciiTheme="majorBidi" w:hAnsiTheme="majorBidi" w:cstheme="majorBidi"/>
          <w:bCs/>
          <w:lang w:val="sq-AL"/>
        </w:rPr>
        <w:t xml:space="preserve"> te rishikuar dhe 58% t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planit fillestar. N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t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>r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>si n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shp</w:t>
      </w:r>
      <w:r w:rsidR="00D738F3">
        <w:rPr>
          <w:rFonts w:asciiTheme="majorBidi" w:hAnsiTheme="majorBidi" w:cstheme="majorBidi"/>
          <w:bCs/>
          <w:lang w:val="sq-AL"/>
        </w:rPr>
        <w:t>e</w:t>
      </w:r>
      <w:r w:rsidR="00F91C02">
        <w:rPr>
          <w:rFonts w:asciiTheme="majorBidi" w:hAnsiTheme="majorBidi" w:cstheme="majorBidi"/>
          <w:bCs/>
          <w:lang w:val="sq-AL"/>
        </w:rPr>
        <w:t xml:space="preserve">nzimet korrente ministria ka realizuar </w:t>
      </w:r>
      <w:r w:rsidR="00D474D1">
        <w:rPr>
          <w:rFonts w:asciiTheme="majorBidi" w:hAnsiTheme="majorBidi" w:cstheme="majorBidi"/>
          <w:bCs/>
          <w:lang w:val="sq-AL"/>
        </w:rPr>
        <w:t>performanc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relativisht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mir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financiare</w:t>
      </w:r>
      <w:r w:rsidR="00F91C02">
        <w:rPr>
          <w:rFonts w:asciiTheme="majorBidi" w:hAnsiTheme="majorBidi" w:cstheme="majorBidi"/>
          <w:bCs/>
          <w:lang w:val="sq-AL"/>
        </w:rPr>
        <w:t>.</w:t>
      </w:r>
      <w:r w:rsidR="00D474D1">
        <w:rPr>
          <w:rFonts w:asciiTheme="majorBidi" w:hAnsiTheme="majorBidi" w:cstheme="majorBidi"/>
          <w:bCs/>
          <w:lang w:val="sq-AL"/>
        </w:rPr>
        <w:t xml:space="preserve"> </w:t>
      </w:r>
    </w:p>
    <w:p w14:paraId="4975D56C" w14:textId="74AC5346" w:rsidR="003B4912" w:rsidRPr="00DA553C" w:rsidRDefault="003B4912" w:rsidP="003B4912">
      <w:pPr>
        <w:jc w:val="both"/>
        <w:rPr>
          <w:lang w:val="sq-AL"/>
        </w:rPr>
      </w:pPr>
      <w:r w:rsidRPr="00DA553C">
        <w:rPr>
          <w:lang w:val="sq-AL"/>
        </w:rPr>
        <w:t>Sikurse evidentohet edhe n</w:t>
      </w:r>
      <w:r>
        <w:rPr>
          <w:lang w:val="sq-AL"/>
        </w:rPr>
        <w:t>ë</w:t>
      </w:r>
      <w:r w:rsidRPr="00DA553C">
        <w:rPr>
          <w:lang w:val="sq-AL"/>
        </w:rPr>
        <w:t xml:space="preserve"> tabelën e mësipërme </w:t>
      </w:r>
      <w:r>
        <w:rPr>
          <w:lang w:val="sq-AL"/>
        </w:rPr>
        <w:t>100</w:t>
      </w:r>
      <w:r w:rsidRPr="00DA553C">
        <w:rPr>
          <w:lang w:val="sq-AL"/>
        </w:rPr>
        <w:t>% e shpenzimeve faktike t</w:t>
      </w:r>
      <w:r>
        <w:rPr>
          <w:lang w:val="sq-AL"/>
        </w:rPr>
        <w:t>ë</w:t>
      </w:r>
      <w:r w:rsidRPr="00DA553C">
        <w:rPr>
          <w:lang w:val="sq-AL"/>
        </w:rPr>
        <w:t xml:space="preserve"> </w:t>
      </w:r>
      <w:r>
        <w:rPr>
          <w:lang w:val="sq-AL"/>
        </w:rPr>
        <w:t xml:space="preserve">institucionet </w:t>
      </w:r>
      <w:r w:rsidRPr="00DA553C">
        <w:rPr>
          <w:lang w:val="sq-AL"/>
        </w:rPr>
        <w:t>janë për shpenzimet ko</w:t>
      </w:r>
      <w:r w:rsidR="00F91C02">
        <w:rPr>
          <w:lang w:val="sq-AL"/>
        </w:rPr>
        <w:t>r</w:t>
      </w:r>
      <w:r w:rsidRPr="00DA553C">
        <w:rPr>
          <w:lang w:val="sq-AL"/>
        </w:rPr>
        <w:t xml:space="preserve">rente </w:t>
      </w:r>
      <w:r>
        <w:rPr>
          <w:lang w:val="sq-AL"/>
        </w:rPr>
        <w:t>(2</w:t>
      </w:r>
      <w:r w:rsidR="001C2759">
        <w:rPr>
          <w:lang w:val="sq-AL"/>
        </w:rPr>
        <w:t>7</w:t>
      </w:r>
      <w:r w:rsidRPr="00DA553C">
        <w:rPr>
          <w:lang w:val="sq-AL"/>
        </w:rPr>
        <w:t xml:space="preserve">% janë </w:t>
      </w:r>
      <w:r>
        <w:rPr>
          <w:lang w:val="sq-AL"/>
        </w:rPr>
        <w:t>për</w:t>
      </w:r>
      <w:r w:rsidRPr="00DA553C">
        <w:rPr>
          <w:lang w:val="sq-AL"/>
        </w:rPr>
        <w:t xml:space="preserve"> </w:t>
      </w:r>
      <w:r>
        <w:rPr>
          <w:lang w:val="sq-AL"/>
        </w:rPr>
        <w:t xml:space="preserve">shpenzimet e personelit dhe </w:t>
      </w:r>
      <w:r w:rsidR="00E6197D">
        <w:rPr>
          <w:lang w:val="sq-AL"/>
        </w:rPr>
        <w:t>7</w:t>
      </w:r>
      <w:r w:rsidR="001C2759">
        <w:rPr>
          <w:lang w:val="sq-AL"/>
        </w:rPr>
        <w:t>3</w:t>
      </w:r>
      <w:r>
        <w:rPr>
          <w:lang w:val="sq-AL"/>
        </w:rPr>
        <w:t>% për shpenzime të tjera operative</w:t>
      </w:r>
      <w:r w:rsidRPr="00DA553C">
        <w:rPr>
          <w:lang w:val="sq-AL"/>
        </w:rPr>
        <w:t>)</w:t>
      </w:r>
      <w:r w:rsidR="00E6197D">
        <w:rPr>
          <w:lang w:val="sq-AL"/>
        </w:rPr>
        <w:t>. Në zërat e shpen</w:t>
      </w:r>
      <w:r w:rsidR="001C2759">
        <w:rPr>
          <w:lang w:val="sq-AL"/>
        </w:rPr>
        <w:t>z</w:t>
      </w:r>
      <w:r w:rsidR="00E6197D">
        <w:rPr>
          <w:lang w:val="sq-AL"/>
        </w:rPr>
        <w:t>imeve operative 6</w:t>
      </w:r>
      <w:r w:rsidR="001C2759">
        <w:rPr>
          <w:lang w:val="sq-AL"/>
        </w:rPr>
        <w:t>1</w:t>
      </w:r>
      <w:r w:rsidR="00E6197D">
        <w:rPr>
          <w:lang w:val="sq-AL"/>
        </w:rPr>
        <w:t>% të faktik e zë artikulli 606, i cili lidhet me shpenzimet për pages</w:t>
      </w:r>
      <w:r w:rsidR="00F91C02">
        <w:rPr>
          <w:lang w:val="sq-AL"/>
        </w:rPr>
        <w:t>a</w:t>
      </w:r>
      <w:r w:rsidR="00E6197D">
        <w:rPr>
          <w:lang w:val="sq-AL"/>
        </w:rPr>
        <w:t>t e bursave për kandidatët për magjistratë.</w:t>
      </w:r>
    </w:p>
    <w:p w14:paraId="47BDE404" w14:textId="41EFB0B0" w:rsidR="003B4912" w:rsidRDefault="003B4912" w:rsidP="00D474D1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4537BB">
        <w:rPr>
          <w:rFonts w:asciiTheme="majorBidi" w:hAnsiTheme="majorBidi" w:cstheme="majorBidi"/>
          <w:bCs/>
          <w:lang w:val="sq-AL"/>
        </w:rPr>
        <w:t>Ndërkohë në shpenzimet kapitale</w:t>
      </w:r>
      <w:r>
        <w:rPr>
          <w:rFonts w:asciiTheme="majorBidi" w:hAnsiTheme="majorBidi" w:cstheme="majorBidi"/>
          <w:bCs/>
          <w:lang w:val="sq-AL"/>
        </w:rPr>
        <w:t xml:space="preserve"> nuk paraqesin realizim, pasi procedurat pritet t</w:t>
      </w:r>
      <w:r w:rsidR="00E6197D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realizohen n</w:t>
      </w:r>
      <w:r w:rsidR="00E6197D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vijim.</w:t>
      </w:r>
    </w:p>
    <w:p w14:paraId="002165C5" w14:textId="2EE4A9C1" w:rsidR="00F41A47" w:rsidRPr="00D474D1" w:rsidRDefault="00D474D1" w:rsidP="00956E5D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>
        <w:rPr>
          <w:rFonts w:asciiTheme="majorBidi" w:hAnsiTheme="majorBidi" w:cstheme="majorBidi"/>
          <w:bCs/>
          <w:lang w:val="sq-AL"/>
        </w:rPr>
        <w:t xml:space="preserve">Lidhur </w:t>
      </w:r>
      <w:r w:rsidRPr="00D474D1">
        <w:rPr>
          <w:rFonts w:asciiTheme="majorBidi" w:hAnsiTheme="majorBidi" w:cstheme="majorBidi"/>
          <w:bCs/>
          <w:lang w:val="sq-AL"/>
        </w:rPr>
        <w:t>me i</w:t>
      </w:r>
      <w:r w:rsidR="000718FB" w:rsidRPr="00D474D1">
        <w:rPr>
          <w:rFonts w:asciiTheme="majorBidi" w:hAnsiTheme="majorBidi" w:cstheme="majorBidi"/>
          <w:bCs/>
          <w:lang w:val="sq-AL"/>
        </w:rPr>
        <w:t>nformacion</w:t>
      </w:r>
      <w:r w:rsidRPr="00D474D1">
        <w:rPr>
          <w:rFonts w:asciiTheme="majorBidi" w:hAnsiTheme="majorBidi" w:cstheme="majorBidi"/>
          <w:bCs/>
          <w:lang w:val="sq-AL"/>
        </w:rPr>
        <w:t>in</w:t>
      </w:r>
      <w:r w:rsidR="000718FB" w:rsidRPr="00D474D1">
        <w:rPr>
          <w:rFonts w:asciiTheme="majorBidi" w:hAnsiTheme="majorBidi" w:cstheme="majorBidi"/>
          <w:bCs/>
          <w:lang w:val="sq-AL"/>
        </w:rPr>
        <w:t xml:space="preserve"> mbi volumin dhe madhësinë e ndryshimit të buxhetit</w:t>
      </w:r>
      <w:r>
        <w:rPr>
          <w:rFonts w:asciiTheme="majorBidi" w:hAnsiTheme="majorBidi" w:cstheme="majorBidi"/>
          <w:bCs/>
          <w:lang w:val="sq-AL"/>
        </w:rPr>
        <w:t>, konstatojm</w:t>
      </w:r>
      <w:r w:rsidR="00223589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se</w:t>
      </w:r>
      <w:r w:rsidR="009F5BE8" w:rsidRPr="009F5BE8">
        <w:rPr>
          <w:lang w:val="sq-AL"/>
        </w:rPr>
        <w:t xml:space="preserve"> ndryshimet në planifikim, </w:t>
      </w:r>
      <w:r>
        <w:rPr>
          <w:lang w:val="sq-AL"/>
        </w:rPr>
        <w:t>re</w:t>
      </w:r>
      <w:r w:rsidR="00F41A47">
        <w:rPr>
          <w:lang w:val="sq-AL"/>
        </w:rPr>
        <w:t>zultojn</w:t>
      </w:r>
      <w:r w:rsidR="004537BB">
        <w:rPr>
          <w:lang w:val="sq-AL"/>
        </w:rPr>
        <w:t>ë</w:t>
      </w:r>
      <w:r w:rsidR="00F41A47">
        <w:rPr>
          <w:lang w:val="sq-AL"/>
        </w:rPr>
        <w:t xml:space="preserve"> </w:t>
      </w:r>
      <w:r w:rsidR="00755E3A">
        <w:rPr>
          <w:lang w:val="sq-AL"/>
        </w:rPr>
        <w:t>nga akordimi i fondit t</w:t>
      </w:r>
      <w:r w:rsidR="00E6197D">
        <w:rPr>
          <w:lang w:val="sq-AL"/>
        </w:rPr>
        <w:t>ë</w:t>
      </w:r>
      <w:r w:rsidR="00755E3A">
        <w:rPr>
          <w:lang w:val="sq-AL"/>
        </w:rPr>
        <w:t xml:space="preserve"> veçant</w:t>
      </w:r>
      <w:r w:rsidR="00E6197D">
        <w:rPr>
          <w:lang w:val="sq-AL"/>
        </w:rPr>
        <w:t>ë</w:t>
      </w:r>
      <w:r w:rsidR="00755E3A">
        <w:rPr>
          <w:lang w:val="sq-AL"/>
        </w:rPr>
        <w:t xml:space="preserve"> p</w:t>
      </w:r>
      <w:r w:rsidR="00E6197D">
        <w:rPr>
          <w:lang w:val="sq-AL"/>
        </w:rPr>
        <w:t>ë</w:t>
      </w:r>
      <w:r w:rsidR="00755E3A">
        <w:rPr>
          <w:lang w:val="sq-AL"/>
        </w:rPr>
        <w:t>r vitin 2025.</w:t>
      </w:r>
    </w:p>
    <w:p w14:paraId="32DF3F3A" w14:textId="77777777" w:rsidR="000718FB" w:rsidRPr="00A8130D" w:rsidRDefault="000718FB" w:rsidP="000718FB">
      <w:pPr>
        <w:numPr>
          <w:ilvl w:val="0"/>
          <w:numId w:val="1"/>
        </w:numPr>
        <w:tabs>
          <w:tab w:val="left" w:pos="216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9895CFA" w14:textId="2613F497" w:rsidR="000718FB" w:rsidRPr="00A8130D" w:rsidRDefault="000718FB" w:rsidP="000718FB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A8130D">
        <w:rPr>
          <w:bCs/>
          <w:sz w:val="24"/>
          <w:szCs w:val="24"/>
          <w:lang w:val="sq-AL"/>
        </w:rPr>
        <w:lastRenderedPageBreak/>
        <w:t>Theksojmë se paraqitja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A8130D">
        <w:rPr>
          <w:bCs/>
          <w:sz w:val="24"/>
          <w:szCs w:val="24"/>
          <w:lang w:val="sq-AL"/>
        </w:rPr>
        <w:t>informacionit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Pr="00A8130D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6C4DB6">
        <w:rPr>
          <w:rFonts w:asciiTheme="majorBidi" w:hAnsiTheme="majorBidi" w:cstheme="majorBidi"/>
          <w:bCs/>
          <w:sz w:val="24"/>
          <w:szCs w:val="24"/>
          <w:lang w:val="sq-AL"/>
        </w:rPr>
        <w:t xml:space="preserve">janë 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në përputhje me përcaktimet e bëra në Udhëzimin </w:t>
      </w:r>
      <w:r w:rsidR="004C12FE" w:rsidRPr="000E67C3">
        <w:rPr>
          <w:sz w:val="24"/>
          <w:szCs w:val="24"/>
          <w:lang w:val="sq-AL"/>
        </w:rPr>
        <w:t xml:space="preserve">nr. </w:t>
      </w:r>
      <w:r w:rsidR="004C12FE" w:rsidRPr="008A5E80">
        <w:rPr>
          <w:sz w:val="24"/>
          <w:szCs w:val="24"/>
          <w:lang w:val="sq-AL"/>
        </w:rPr>
        <w:t>14, datë 30.05.2023 “Për procedurat standarde të monitorimit të buxhetit në njësitë e Qeverisjes Qendrore</w:t>
      </w:r>
      <w:r w:rsidR="006C4DB6">
        <w:rPr>
          <w:sz w:val="24"/>
          <w:szCs w:val="24"/>
          <w:lang w:val="sq-AL"/>
        </w:rPr>
        <w:t>”,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sipas formateve të përcaktuara në këtë udhëzim në anekset përkatëse</w:t>
      </w:r>
      <w:r w:rsidR="004C12FE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2C8E6287" w14:textId="114DA325" w:rsidR="004C12FE" w:rsidRDefault="004C12FE" w:rsidP="004C12FE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AF4F1D">
        <w:rPr>
          <w:sz w:val="24"/>
          <w:szCs w:val="24"/>
          <w:lang w:val="sq-AL"/>
        </w:rPr>
        <w:t xml:space="preserve">Raporti i monitorimit është paraqitur në </w:t>
      </w:r>
      <w:r w:rsidR="003B4912">
        <w:rPr>
          <w:sz w:val="24"/>
          <w:szCs w:val="24"/>
          <w:lang w:val="sq-AL"/>
        </w:rPr>
        <w:t xml:space="preserve">protokollin e </w:t>
      </w:r>
      <w:r w:rsidRPr="00AF4F1D">
        <w:rPr>
          <w:sz w:val="24"/>
          <w:szCs w:val="24"/>
          <w:lang w:val="sq-AL"/>
        </w:rPr>
        <w:t>Ministri</w:t>
      </w:r>
      <w:r w:rsidR="003B4912">
        <w:rPr>
          <w:sz w:val="24"/>
          <w:szCs w:val="24"/>
          <w:lang w:val="sq-AL"/>
        </w:rPr>
        <w:t>s</w:t>
      </w:r>
      <w:r w:rsidRPr="00AF4F1D">
        <w:rPr>
          <w:sz w:val="24"/>
          <w:szCs w:val="24"/>
          <w:lang w:val="sq-AL"/>
        </w:rPr>
        <w:t xml:space="preserve">ë </w:t>
      </w:r>
      <w:r w:rsidR="003B4912">
        <w:rPr>
          <w:sz w:val="24"/>
          <w:szCs w:val="24"/>
          <w:lang w:val="sq-AL"/>
        </w:rPr>
        <w:t>s</w:t>
      </w:r>
      <w:r w:rsidR="00E6197D">
        <w:rPr>
          <w:sz w:val="24"/>
          <w:szCs w:val="24"/>
          <w:lang w:val="sq-AL"/>
        </w:rPr>
        <w:t>ë</w:t>
      </w:r>
      <w:r w:rsidRPr="00AF4F1D">
        <w:rPr>
          <w:sz w:val="24"/>
          <w:szCs w:val="24"/>
          <w:lang w:val="sq-AL"/>
        </w:rPr>
        <w:t xml:space="preserve"> Financave brenda afatit të përcaktuar</w:t>
      </w:r>
      <w:r w:rsidR="003B4912">
        <w:rPr>
          <w:sz w:val="24"/>
          <w:szCs w:val="24"/>
          <w:lang w:val="sq-AL"/>
        </w:rPr>
        <w:t xml:space="preserve"> n</w:t>
      </w:r>
      <w:r w:rsidR="00E6197D">
        <w:rPr>
          <w:sz w:val="24"/>
          <w:szCs w:val="24"/>
          <w:lang w:val="sq-AL"/>
        </w:rPr>
        <w:t>ë</w:t>
      </w:r>
      <w:r w:rsidR="003B4912">
        <w:rPr>
          <w:sz w:val="24"/>
          <w:szCs w:val="24"/>
          <w:lang w:val="sq-AL"/>
        </w:rPr>
        <w:t xml:space="preserve"> udh</w:t>
      </w:r>
      <w:r w:rsidR="00E6197D">
        <w:rPr>
          <w:sz w:val="24"/>
          <w:szCs w:val="24"/>
          <w:lang w:val="sq-AL"/>
        </w:rPr>
        <w:t>ë</w:t>
      </w:r>
      <w:r w:rsidR="003B4912">
        <w:rPr>
          <w:sz w:val="24"/>
          <w:szCs w:val="24"/>
          <w:lang w:val="sq-AL"/>
        </w:rPr>
        <w:t>zim.</w:t>
      </w:r>
    </w:p>
    <w:p w14:paraId="36321BAF" w14:textId="77777777" w:rsidR="006234C6" w:rsidRPr="00DA553C" w:rsidRDefault="00A136E5" w:rsidP="006234C6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A136E5">
        <w:rPr>
          <w:sz w:val="24"/>
          <w:szCs w:val="24"/>
          <w:lang w:val="sq-AL"/>
        </w:rPr>
        <w:t xml:space="preserve">Eshtë paraqitur informacionit lidhur me numrin e punonjësve buxhetore të miratuar në Ligjin e Buxhetit </w:t>
      </w:r>
      <w:r w:rsidR="006234C6" w:rsidRPr="00DA553C">
        <w:rPr>
          <w:sz w:val="24"/>
          <w:szCs w:val="24"/>
          <w:lang w:val="sq-AL"/>
        </w:rPr>
        <w:t>në Ligjin vjetor të Buxhetit si edhe detajimi sipas strukturave të miratuara si edhe numrit faktik të punonjësve për periudhën 202</w:t>
      </w:r>
      <w:r w:rsidR="006234C6">
        <w:rPr>
          <w:sz w:val="24"/>
          <w:szCs w:val="24"/>
          <w:lang w:val="sq-AL"/>
        </w:rPr>
        <w:t>5</w:t>
      </w:r>
      <w:r w:rsidR="006234C6" w:rsidRPr="00DA553C">
        <w:rPr>
          <w:sz w:val="24"/>
          <w:szCs w:val="24"/>
          <w:lang w:val="sq-AL"/>
        </w:rPr>
        <w:t>.</w:t>
      </w:r>
    </w:p>
    <w:p w14:paraId="09A03BF9" w14:textId="733D6E49" w:rsidR="00A136E5" w:rsidRPr="00135A59" w:rsidRDefault="00135A59" w:rsidP="00135A59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DA553C">
        <w:rPr>
          <w:sz w:val="24"/>
          <w:szCs w:val="24"/>
          <w:lang w:val="sq-AL"/>
        </w:rPr>
        <w:t>Është evidentuar realizim në vlerë për të ardhurat dytësore dhe evidentohet edhe përdorimi i këtyre të ardhurave dytësore për periudhën raportuese vetëm në formë tabelare.</w:t>
      </w:r>
    </w:p>
    <w:p w14:paraId="7FAC3D2A" w14:textId="77777777" w:rsidR="000956A7" w:rsidRDefault="004537BB" w:rsidP="002C6D4D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Janë parqitur të dh</w:t>
      </w:r>
      <w:r w:rsidR="00720DC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nat mbi treguesit  e performancës mbi bazë gjinore</w:t>
      </w:r>
      <w:r w:rsidR="002C6D4D">
        <w:rPr>
          <w:sz w:val="24"/>
          <w:szCs w:val="24"/>
          <w:lang w:val="sq-AL"/>
        </w:rPr>
        <w:t>.</w:t>
      </w:r>
    </w:p>
    <w:p w14:paraId="466A0F9D" w14:textId="68994500" w:rsidR="00E722E9" w:rsidRDefault="00E722E9" w:rsidP="002C6D4D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E722E9">
        <w:rPr>
          <w:sz w:val="24"/>
          <w:szCs w:val="24"/>
          <w:lang w:val="sq-AL"/>
        </w:rPr>
        <w:t xml:space="preserve">Në relacionin shoqërues të raportit të monitorimit të paraqitur nga SHM, </w:t>
      </w:r>
      <w:r w:rsidR="009349B3">
        <w:rPr>
          <w:sz w:val="24"/>
          <w:szCs w:val="24"/>
          <w:lang w:val="sq-AL"/>
        </w:rPr>
        <w:t xml:space="preserve"> </w:t>
      </w:r>
      <w:r w:rsidR="00E6197D">
        <w:rPr>
          <w:sz w:val="24"/>
          <w:szCs w:val="24"/>
          <w:lang w:val="sq-AL"/>
        </w:rPr>
        <w:t>ë</w:t>
      </w:r>
      <w:r w:rsidR="009349B3">
        <w:rPr>
          <w:sz w:val="24"/>
          <w:szCs w:val="24"/>
          <w:lang w:val="sq-AL"/>
        </w:rPr>
        <w:t>sht</w:t>
      </w:r>
      <w:r w:rsidR="00E6197D">
        <w:rPr>
          <w:sz w:val="24"/>
          <w:szCs w:val="24"/>
          <w:lang w:val="sq-AL"/>
        </w:rPr>
        <w:t>ë</w:t>
      </w:r>
      <w:r w:rsidR="009349B3">
        <w:rPr>
          <w:sz w:val="24"/>
          <w:szCs w:val="24"/>
          <w:lang w:val="sq-AL"/>
        </w:rPr>
        <w:t xml:space="preserve"> paraqitur analiz</w:t>
      </w:r>
      <w:r w:rsidR="00E6197D">
        <w:rPr>
          <w:sz w:val="24"/>
          <w:szCs w:val="24"/>
          <w:lang w:val="sq-AL"/>
        </w:rPr>
        <w:t>ë</w:t>
      </w:r>
      <w:r w:rsidRPr="00E722E9">
        <w:rPr>
          <w:sz w:val="24"/>
          <w:szCs w:val="24"/>
          <w:lang w:val="sq-AL"/>
        </w:rPr>
        <w:t xml:space="preserve"> mbi lidhjen e realizimit të qëllimit dhe objektivave të politikës së programit nëpërmjet realizimit të produkteve nga përdorimi i fondeve të planifikuara për këtë program.</w:t>
      </w:r>
    </w:p>
    <w:p w14:paraId="1B3EFB55" w14:textId="2951617F" w:rsidR="00AD1AAB" w:rsidRPr="000956A7" w:rsidRDefault="002C6D4D" w:rsidP="000956A7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</w:t>
      </w:r>
      <w:r w:rsidR="00AD1AAB" w:rsidRPr="000956A7">
        <w:rPr>
          <w:sz w:val="24"/>
          <w:szCs w:val="24"/>
          <w:lang w:val="sq-AL"/>
        </w:rPr>
        <w:t xml:space="preserve">Raporti i monitorimit hartuar nga SHM për </w:t>
      </w:r>
      <w:r w:rsidR="005D5469">
        <w:rPr>
          <w:sz w:val="24"/>
          <w:szCs w:val="24"/>
          <w:lang w:val="sq-AL"/>
        </w:rPr>
        <w:t>8</w:t>
      </w:r>
      <w:r w:rsidR="001E5C94" w:rsidRPr="000956A7">
        <w:rPr>
          <w:sz w:val="24"/>
          <w:szCs w:val="24"/>
          <w:lang w:val="sq-AL"/>
        </w:rPr>
        <w:t>M  2025</w:t>
      </w:r>
      <w:r w:rsidR="00AD1AAB" w:rsidRPr="000956A7">
        <w:rPr>
          <w:sz w:val="24"/>
          <w:szCs w:val="24"/>
          <w:lang w:val="sq-AL"/>
        </w:rPr>
        <w:t>, është publikuar në faqen zyrtare të këtij institucioni në linkun:</w:t>
      </w:r>
    </w:p>
    <w:p w14:paraId="5A3CA3C7" w14:textId="77777777" w:rsidR="00AD1AAB" w:rsidRPr="00AD1AAB" w:rsidRDefault="00AD1AAB" w:rsidP="00AD1AAB">
      <w:pPr>
        <w:pStyle w:val="ListParagraph"/>
        <w:spacing w:before="240"/>
        <w:jc w:val="both"/>
        <w:rPr>
          <w:bCs/>
          <w:lang w:val="sq-AL"/>
        </w:rPr>
      </w:pPr>
    </w:p>
    <w:p w14:paraId="6654A296" w14:textId="639E3DCA" w:rsidR="006C4DB6" w:rsidRPr="00B87698" w:rsidRDefault="00AD1AAB" w:rsidP="00B87698">
      <w:pPr>
        <w:pStyle w:val="ListParagraph"/>
        <w:numPr>
          <w:ilvl w:val="0"/>
          <w:numId w:val="10"/>
        </w:numPr>
        <w:spacing w:before="240"/>
        <w:jc w:val="both"/>
        <w:rPr>
          <w:bCs/>
          <w:color w:val="548DD4" w:themeColor="text2" w:themeTint="99"/>
          <w:sz w:val="24"/>
          <w:szCs w:val="24"/>
          <w:u w:val="single"/>
          <w:lang w:val="sq-AL"/>
        </w:rPr>
      </w:pPr>
      <w:r w:rsidRPr="00AD1AAB">
        <w:rPr>
          <w:bCs/>
          <w:color w:val="548DD4" w:themeColor="text2" w:themeTint="99"/>
          <w:sz w:val="24"/>
          <w:szCs w:val="24"/>
          <w:u w:val="single"/>
          <w:lang w:val="sq-AL"/>
        </w:rPr>
        <w:t>https://</w:t>
      </w:r>
      <w:r w:rsidR="005D5469">
        <w:rPr>
          <w:bCs/>
          <w:color w:val="548DD4" w:themeColor="text2" w:themeTint="99"/>
          <w:sz w:val="24"/>
          <w:szCs w:val="24"/>
          <w:u w:val="single"/>
          <w:lang w:val="sq-AL"/>
        </w:rPr>
        <w:t>www</w:t>
      </w:r>
      <w:r w:rsidRPr="00AD1AAB">
        <w:rPr>
          <w:bCs/>
          <w:color w:val="548DD4" w:themeColor="text2" w:themeTint="99"/>
          <w:sz w:val="24"/>
          <w:szCs w:val="24"/>
          <w:u w:val="single"/>
          <w:lang w:val="sq-AL"/>
        </w:rPr>
        <w:t>.magjistratura.edu.al/sq/informacion-mbi-buxhetin</w:t>
      </w:r>
    </w:p>
    <w:p w14:paraId="72126D38" w14:textId="18A13504" w:rsidR="00AD1AAB" w:rsidRDefault="00AD1AAB" w:rsidP="001E5C94">
      <w:pPr>
        <w:spacing w:before="240"/>
        <w:ind w:left="720"/>
        <w:jc w:val="both"/>
        <w:rPr>
          <w:bCs/>
          <w:lang w:val="sq-AL"/>
        </w:rPr>
      </w:pPr>
    </w:p>
    <w:p w14:paraId="09153554" w14:textId="77777777" w:rsidR="00926DD2" w:rsidRPr="0074640E" w:rsidRDefault="00926DD2">
      <w:pPr>
        <w:rPr>
          <w:lang w:val="sq-AL"/>
        </w:rPr>
      </w:pPr>
    </w:p>
    <w:sectPr w:rsidR="00926DD2" w:rsidRPr="0074640E" w:rsidSect="00070084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453"/>
    <w:multiLevelType w:val="hybridMultilevel"/>
    <w:tmpl w:val="0E3EE148"/>
    <w:lvl w:ilvl="0" w:tplc="58F4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2411A1"/>
    <w:multiLevelType w:val="hybridMultilevel"/>
    <w:tmpl w:val="0D0C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8D4"/>
    <w:multiLevelType w:val="hybridMultilevel"/>
    <w:tmpl w:val="021070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698"/>
    <w:multiLevelType w:val="hybridMultilevel"/>
    <w:tmpl w:val="6C32405A"/>
    <w:lvl w:ilvl="0" w:tplc="0BEA86F2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FF7"/>
    <w:multiLevelType w:val="hybridMultilevel"/>
    <w:tmpl w:val="C0866FF6"/>
    <w:lvl w:ilvl="0" w:tplc="BE985AC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0117EA"/>
    <w:multiLevelType w:val="hybridMultilevel"/>
    <w:tmpl w:val="2E027EAA"/>
    <w:lvl w:ilvl="0" w:tplc="8E32B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7980">
    <w:abstractNumId w:val="9"/>
  </w:num>
  <w:num w:numId="2" w16cid:durableId="4287765">
    <w:abstractNumId w:val="1"/>
  </w:num>
  <w:num w:numId="3" w16cid:durableId="1636566019">
    <w:abstractNumId w:val="10"/>
  </w:num>
  <w:num w:numId="4" w16cid:durableId="1822958832">
    <w:abstractNumId w:val="3"/>
  </w:num>
  <w:num w:numId="5" w16cid:durableId="626084630">
    <w:abstractNumId w:val="6"/>
  </w:num>
  <w:num w:numId="6" w16cid:durableId="1943032041">
    <w:abstractNumId w:val="8"/>
  </w:num>
  <w:num w:numId="7" w16cid:durableId="497117871">
    <w:abstractNumId w:val="4"/>
  </w:num>
  <w:num w:numId="8" w16cid:durableId="1658654096">
    <w:abstractNumId w:val="7"/>
  </w:num>
  <w:num w:numId="9" w16cid:durableId="1874808318">
    <w:abstractNumId w:val="5"/>
  </w:num>
  <w:num w:numId="10" w16cid:durableId="649754375">
    <w:abstractNumId w:val="0"/>
  </w:num>
  <w:num w:numId="11" w16cid:durableId="151888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C6"/>
    <w:rsid w:val="00051727"/>
    <w:rsid w:val="00052BC9"/>
    <w:rsid w:val="000718FB"/>
    <w:rsid w:val="00094F30"/>
    <w:rsid w:val="000956A7"/>
    <w:rsid w:val="000C0558"/>
    <w:rsid w:val="000C54E4"/>
    <w:rsid w:val="000E20F0"/>
    <w:rsid w:val="001035F1"/>
    <w:rsid w:val="00106B79"/>
    <w:rsid w:val="00135A59"/>
    <w:rsid w:val="00152EC8"/>
    <w:rsid w:val="001548C3"/>
    <w:rsid w:val="001650F5"/>
    <w:rsid w:val="00165F09"/>
    <w:rsid w:val="00172604"/>
    <w:rsid w:val="001B6080"/>
    <w:rsid w:val="001C0E8E"/>
    <w:rsid w:val="001C2759"/>
    <w:rsid w:val="001E5C94"/>
    <w:rsid w:val="001F06A0"/>
    <w:rsid w:val="001F7711"/>
    <w:rsid w:val="00207D58"/>
    <w:rsid w:val="00223589"/>
    <w:rsid w:val="00234C9D"/>
    <w:rsid w:val="00241271"/>
    <w:rsid w:val="00246216"/>
    <w:rsid w:val="00261D86"/>
    <w:rsid w:val="0026440B"/>
    <w:rsid w:val="002C6D4D"/>
    <w:rsid w:val="002D37E0"/>
    <w:rsid w:val="002E58DA"/>
    <w:rsid w:val="003054C0"/>
    <w:rsid w:val="00353370"/>
    <w:rsid w:val="0035736C"/>
    <w:rsid w:val="003B4912"/>
    <w:rsid w:val="003B67BB"/>
    <w:rsid w:val="003F0F93"/>
    <w:rsid w:val="003F5F5E"/>
    <w:rsid w:val="00411F30"/>
    <w:rsid w:val="004537BB"/>
    <w:rsid w:val="004857EC"/>
    <w:rsid w:val="004A7A0F"/>
    <w:rsid w:val="004B3172"/>
    <w:rsid w:val="004C04E6"/>
    <w:rsid w:val="004C12FE"/>
    <w:rsid w:val="004C2F4F"/>
    <w:rsid w:val="004C700E"/>
    <w:rsid w:val="00510625"/>
    <w:rsid w:val="005145F7"/>
    <w:rsid w:val="005254AA"/>
    <w:rsid w:val="00567595"/>
    <w:rsid w:val="00571A76"/>
    <w:rsid w:val="0057608B"/>
    <w:rsid w:val="005819B4"/>
    <w:rsid w:val="005A19DC"/>
    <w:rsid w:val="005D109D"/>
    <w:rsid w:val="005D5469"/>
    <w:rsid w:val="006234C6"/>
    <w:rsid w:val="00625D1B"/>
    <w:rsid w:val="00634584"/>
    <w:rsid w:val="0064246A"/>
    <w:rsid w:val="00652C85"/>
    <w:rsid w:val="006A4429"/>
    <w:rsid w:val="006C4DB6"/>
    <w:rsid w:val="006E0821"/>
    <w:rsid w:val="006E7FB0"/>
    <w:rsid w:val="00720DCB"/>
    <w:rsid w:val="007272F5"/>
    <w:rsid w:val="0074640E"/>
    <w:rsid w:val="007474E0"/>
    <w:rsid w:val="00755E3A"/>
    <w:rsid w:val="007712E9"/>
    <w:rsid w:val="007A6CD1"/>
    <w:rsid w:val="007D0E08"/>
    <w:rsid w:val="007D73AB"/>
    <w:rsid w:val="007F6FC6"/>
    <w:rsid w:val="00817236"/>
    <w:rsid w:val="008221F4"/>
    <w:rsid w:val="00826BB6"/>
    <w:rsid w:val="00847CD9"/>
    <w:rsid w:val="008754ED"/>
    <w:rsid w:val="0088300B"/>
    <w:rsid w:val="008951EA"/>
    <w:rsid w:val="008E3C0C"/>
    <w:rsid w:val="00906AE0"/>
    <w:rsid w:val="00926DD2"/>
    <w:rsid w:val="009301C7"/>
    <w:rsid w:val="009349B3"/>
    <w:rsid w:val="00956E5D"/>
    <w:rsid w:val="009862FF"/>
    <w:rsid w:val="009F5BE8"/>
    <w:rsid w:val="00A127FC"/>
    <w:rsid w:val="00A136E5"/>
    <w:rsid w:val="00A15B6F"/>
    <w:rsid w:val="00A2395A"/>
    <w:rsid w:val="00A317C4"/>
    <w:rsid w:val="00A43512"/>
    <w:rsid w:val="00A52059"/>
    <w:rsid w:val="00A524DB"/>
    <w:rsid w:val="00A640FE"/>
    <w:rsid w:val="00A8130D"/>
    <w:rsid w:val="00A82AD8"/>
    <w:rsid w:val="00A9434B"/>
    <w:rsid w:val="00AA096A"/>
    <w:rsid w:val="00AD01FF"/>
    <w:rsid w:val="00AD132E"/>
    <w:rsid w:val="00AD1AAB"/>
    <w:rsid w:val="00B33940"/>
    <w:rsid w:val="00B40677"/>
    <w:rsid w:val="00B661F6"/>
    <w:rsid w:val="00B87698"/>
    <w:rsid w:val="00B90D08"/>
    <w:rsid w:val="00B91359"/>
    <w:rsid w:val="00BD6954"/>
    <w:rsid w:val="00BE59F4"/>
    <w:rsid w:val="00BE7000"/>
    <w:rsid w:val="00BF3680"/>
    <w:rsid w:val="00C14C2A"/>
    <w:rsid w:val="00C549B6"/>
    <w:rsid w:val="00C6363F"/>
    <w:rsid w:val="00C84FDC"/>
    <w:rsid w:val="00CA7EB9"/>
    <w:rsid w:val="00CB228C"/>
    <w:rsid w:val="00CC74D5"/>
    <w:rsid w:val="00CD5E9B"/>
    <w:rsid w:val="00D14727"/>
    <w:rsid w:val="00D474D1"/>
    <w:rsid w:val="00D5575B"/>
    <w:rsid w:val="00D738F3"/>
    <w:rsid w:val="00DC7507"/>
    <w:rsid w:val="00DD0426"/>
    <w:rsid w:val="00E13132"/>
    <w:rsid w:val="00E50EF0"/>
    <w:rsid w:val="00E6197D"/>
    <w:rsid w:val="00E722E9"/>
    <w:rsid w:val="00E7709C"/>
    <w:rsid w:val="00EC712B"/>
    <w:rsid w:val="00F23CF5"/>
    <w:rsid w:val="00F41A47"/>
    <w:rsid w:val="00F45A23"/>
    <w:rsid w:val="00F47C28"/>
    <w:rsid w:val="00F57C80"/>
    <w:rsid w:val="00F91C02"/>
    <w:rsid w:val="00FB09C8"/>
    <w:rsid w:val="00FB4D38"/>
    <w:rsid w:val="00FC0429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A9D9"/>
  <w15:docId w15:val="{47F8EEBE-60A7-403E-9A9A-CA990D25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0718FB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0718FB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18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2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5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Shpresa Karanxha</cp:lastModifiedBy>
  <cp:revision>169</cp:revision>
  <dcterms:created xsi:type="dcterms:W3CDTF">2024-10-11T10:05:00Z</dcterms:created>
  <dcterms:modified xsi:type="dcterms:W3CDTF">2025-11-27T14:54:00Z</dcterms:modified>
</cp:coreProperties>
</file>