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B28" w14:textId="53710656" w:rsidR="00564FC9" w:rsidRPr="009E6902" w:rsidRDefault="00564FC9" w:rsidP="00564FC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</w:t>
      </w:r>
      <w:r w:rsidR="001E2204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DIME MBI RAPORTIN E MONITORIMIT</w:t>
      </w:r>
      <w:r w:rsidR="009D32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  <w:r w:rsidR="0099086C">
        <w:rPr>
          <w:rFonts w:ascii="Times New Roman" w:eastAsia="Calibri" w:hAnsi="Times New Roman" w:cs="Times New Roman"/>
          <w:b/>
          <w:sz w:val="24"/>
          <w:szCs w:val="24"/>
          <w:lang w:val="sq-AL"/>
        </w:rPr>
        <w:t>8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MUJORIN E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T</w:t>
      </w:r>
      <w:r w:rsidR="003D604D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PËR INSTITUCIONIN E PRESIDENCËS</w:t>
      </w:r>
    </w:p>
    <w:p w14:paraId="264F170A" w14:textId="4D9C34E5" w:rsidR="00564FC9" w:rsidRPr="009E6902" w:rsidRDefault="00564FC9" w:rsidP="00564FC9">
      <w:pPr>
        <w:numPr>
          <w:ilvl w:val="0"/>
          <w:numId w:val="2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</w:p>
    <w:p w14:paraId="43339560" w14:textId="4DE7E205" w:rsidR="00564FC9" w:rsidRPr="009E6902" w:rsidRDefault="00564FC9" w:rsidP="00564FC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Institucioni i Presidentit, për zbatimin dhe respektimin nga të gjitha palët të Kushtetutës së Republikës së Shqipërisë, me fondet buxhet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ore të miratuara, për vitin 202</w:t>
      </w:r>
      <w:r w:rsidR="00326AE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ka hartuar, programuar dhe zhvilluar politikat, në funksion të përmbushjes së objektivit kushtetues dhe ligjor të sigurimit të veprimtarisë së Presidentit të Republikës. </w:t>
      </w:r>
    </w:p>
    <w:p w14:paraId="2CF66D4D" w14:textId="6FBF79CD" w:rsidR="00564FC9" w:rsidRPr="009E6902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ministron fondet për vitin 202</w:t>
      </w:r>
      <w:r w:rsidR="00326AE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është: </w:t>
      </w:r>
    </w:p>
    <w:p w14:paraId="04CBEC42" w14:textId="77777777" w:rsidR="00564FC9" w:rsidRPr="009E6902" w:rsidRDefault="00564FC9" w:rsidP="00564FC9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1. Programi “Veprimtaria e Presidentit”</w:t>
      </w:r>
    </w:p>
    <w:p w14:paraId="1E3345D1" w14:textId="77777777" w:rsidR="00564FC9" w:rsidRPr="009E6902" w:rsidRDefault="00564FC9" w:rsidP="00564FC9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300A325A" w14:textId="3427BBDD" w:rsidR="009D3296" w:rsidRPr="009E6902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>Për programin “Veprimtaria e Presidentit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nga p</w:t>
      </w:r>
      <w:r w:rsidR="0060669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rdorimi i fondeve për</w:t>
      </w:r>
      <w:r w:rsidR="0060669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gjatë </w:t>
      </w:r>
      <w:r w:rsidR="0099086C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7141E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mujorit të </w:t>
      </w:r>
      <w:r w:rsidR="00BB563E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viti</w:t>
      </w:r>
      <w:r w:rsidR="00F15A23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7141E2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objektivat:</w:t>
      </w:r>
    </w:p>
    <w:p w14:paraId="123A6EDB" w14:textId="77777777" w:rsidR="009D3296" w:rsidRPr="009E6902" w:rsidRDefault="009D3296" w:rsidP="009D3296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Ushtrimi i funksioneve kushtetuese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Presidentit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Republik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s, n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rmjet dekretimeve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ndryshme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shpallje ligjesh,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rfititm dhe l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nie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shtet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sis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shqiptare, si dhe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dekorata e tituj nderi. </w:t>
      </w:r>
    </w:p>
    <w:p w14:paraId="66BB77F6" w14:textId="451BC172" w:rsidR="009D3296" w:rsidRPr="009E6902" w:rsidRDefault="009D3296" w:rsidP="009D329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P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rgjat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="00DC5B4C">
        <w:rPr>
          <w:rFonts w:ascii="Times New Roman" w:eastAsia="Calibri" w:hAnsi="Times New Roman" w:cs="Times New Roman"/>
          <w:i/>
          <w:sz w:val="24"/>
          <w:szCs w:val="24"/>
          <w:lang w:val="sq-AL"/>
        </w:rPr>
        <w:t>8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M</w:t>
      </w:r>
      <w:r w:rsidR="00DD1F96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202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u realizuan </w:t>
      </w:r>
      <w:r w:rsidR="00DC5B4C">
        <w:rPr>
          <w:rFonts w:ascii="Times New Roman" w:eastAsia="Calibri" w:hAnsi="Times New Roman" w:cs="Times New Roman"/>
          <w:i/>
          <w:sz w:val="24"/>
          <w:szCs w:val="24"/>
          <w:lang w:val="sq-AL"/>
        </w:rPr>
        <w:t>321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dekrete p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r shpallje ligjesh,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nënshtetësi dhe dekorata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151585">
        <w:rPr>
          <w:rFonts w:ascii="Times New Roman" w:eastAsia="Calibri" w:hAnsi="Times New Roman" w:cs="Times New Roman"/>
          <w:i/>
          <w:sz w:val="24"/>
          <w:szCs w:val="24"/>
          <w:lang w:val="sq-AL"/>
        </w:rPr>
        <w:t>126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</w:p>
    <w:p w14:paraId="40F5FF3E" w14:textId="77777777" w:rsidR="002A2A92" w:rsidRPr="009E6902" w:rsidRDefault="002A2A92" w:rsidP="002A2A92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Synimet e politikës së jashtme të vendit, promovimi i shqipërisë në arenen ndërkombëtare, si dhe njohja, nxitja dhe mbështetja e vlerave kombëtare në vend.</w:t>
      </w:r>
    </w:p>
    <w:p w14:paraId="01040E2B" w14:textId="566F64B4" w:rsidR="00BA20F3" w:rsidRDefault="002A2A92" w:rsidP="00EF2810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Përgjatë </w:t>
      </w:r>
      <w:r w:rsidR="00DD1F96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="00DC5B4C">
        <w:rPr>
          <w:rFonts w:ascii="Times New Roman" w:eastAsia="Calibri" w:hAnsi="Times New Roman" w:cs="Times New Roman"/>
          <w:i/>
          <w:sz w:val="24"/>
          <w:szCs w:val="24"/>
          <w:lang w:val="sq-AL"/>
        </w:rPr>
        <w:t>8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M</w:t>
      </w:r>
      <w:r w:rsidR="000F49EA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202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5</w:t>
      </w:r>
      <w:r w:rsidR="000F49EA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u realizuan </w:t>
      </w:r>
      <w:r w:rsidR="00DC5B4C">
        <w:rPr>
          <w:rFonts w:ascii="Times New Roman" w:eastAsia="Calibri" w:hAnsi="Times New Roman" w:cs="Times New Roman"/>
          <w:i/>
          <w:sz w:val="24"/>
          <w:szCs w:val="24"/>
          <w:lang w:val="sq-AL"/>
        </w:rPr>
        <w:t>17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aktivitete ndërko</w:t>
      </w:r>
      <w:r w:rsidR="00EF2810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mbëtare për promovimin e vendit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151585">
        <w:rPr>
          <w:rFonts w:ascii="Times New Roman" w:eastAsia="Calibri" w:hAnsi="Times New Roman" w:cs="Times New Roman"/>
          <w:i/>
          <w:sz w:val="24"/>
          <w:szCs w:val="24"/>
          <w:lang w:val="sq-AL"/>
        </w:rPr>
        <w:t>23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</w:p>
    <w:p w14:paraId="384DD66D" w14:textId="0BF30F9F" w:rsidR="00EF2810" w:rsidRPr="009E6902" w:rsidRDefault="00BA20F3" w:rsidP="00EF2810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U Realizuan </w:t>
      </w:r>
      <w:r w:rsidR="00DC5B4C">
        <w:rPr>
          <w:rFonts w:ascii="Times New Roman" w:eastAsia="Calibri" w:hAnsi="Times New Roman" w:cs="Times New Roman"/>
          <w:i/>
          <w:sz w:val="24"/>
          <w:szCs w:val="24"/>
          <w:lang w:val="sq-AL"/>
        </w:rPr>
        <w:t>180</w:t>
      </w:r>
      <w:r w:rsidR="00EF2810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veprimtari protokollare brenda vendit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151585">
        <w:rPr>
          <w:rFonts w:ascii="Times New Roman" w:eastAsia="Calibri" w:hAnsi="Times New Roman" w:cs="Times New Roman"/>
          <w:i/>
          <w:sz w:val="24"/>
          <w:szCs w:val="24"/>
          <w:lang w:val="sq-AL"/>
        </w:rPr>
        <w:t>22.5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</w:p>
    <w:p w14:paraId="1BC1E1EB" w14:textId="77777777" w:rsidR="00564FC9" w:rsidRPr="009E6902" w:rsidRDefault="00564FC9" w:rsidP="00564FC9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7804C12B" w14:textId="77777777" w:rsidR="00564FC9" w:rsidRPr="009E6902" w:rsidRDefault="00564FC9" w:rsidP="00564FC9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97395CA" w14:textId="4C3B818E" w:rsidR="00564FC9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</w:t>
      </w:r>
      <w:r w:rsidR="00B1387D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137320">
        <w:rPr>
          <w:rFonts w:ascii="Times New Roman" w:eastAsia="Calibri" w:hAnsi="Times New Roman" w:cs="Times New Roman"/>
          <w:sz w:val="24"/>
          <w:szCs w:val="24"/>
          <w:lang w:val="sq-AL"/>
        </w:rPr>
        <w:t>M 2025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krahasuar me planin</w:t>
      </w:r>
      <w:r w:rsidR="00CA6881"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 xml:space="preserve"> </w:t>
      </w:r>
      <w:r w:rsidR="00082F87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vjetor</w:t>
      </w:r>
      <w:r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 </w:t>
      </w:r>
      <w:r w:rsidR="00B2044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dhënave të gjeneruara nga SIFQ/AFMIS dhe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raportit të monitorimit të paraqitur nga ana e institucionit, paraqitet si më poshtë:</w:t>
      </w:r>
    </w:p>
    <w:p w14:paraId="6C4A5C8D" w14:textId="21E60519" w:rsidR="00B2044E" w:rsidRDefault="00771179" w:rsidP="00771179">
      <w:pPr>
        <w:spacing w:after="0"/>
        <w:ind w:left="-1260"/>
        <w:jc w:val="both"/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99086C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</w:t>
      </w:r>
      <w:r w:rsidRPr="00F36B6F">
        <w:rPr>
          <w:rFonts w:ascii="Times New Roman" w:hAnsi="Times New Roman" w:cs="Times New Roman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Pr="00067897">
        <w:rPr>
          <w:rFonts w:ascii="Times New Roman" w:hAnsi="Times New Roman" w:cs="Times New Roman"/>
          <w:i/>
          <w:iCs/>
          <w:sz w:val="20"/>
          <w:szCs w:val="20"/>
          <w:lang w:val="sq-AL"/>
        </w:rPr>
        <w:t>:</w:t>
      </w:r>
    </w:p>
    <w:p w14:paraId="0B0D99BA" w14:textId="6385B21A" w:rsidR="00B1387D" w:rsidRDefault="00B1387D" w:rsidP="00771179">
      <w:pPr>
        <w:spacing w:after="0"/>
        <w:ind w:left="-1260"/>
        <w:jc w:val="both"/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B1387D">
        <w:rPr>
          <w:noProof/>
        </w:rPr>
        <w:drawing>
          <wp:inline distT="0" distB="0" distL="0" distR="0" wp14:anchorId="669FDF1C" wp14:editId="6DE4228E">
            <wp:extent cx="7582997" cy="1343660"/>
            <wp:effectExtent l="0" t="0" r="0" b="8890"/>
            <wp:docPr id="1758752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752" cy="135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F78B" w14:textId="5451977B" w:rsidR="00855579" w:rsidRDefault="00564FC9" w:rsidP="001C507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Pra siç shikohet nga të dhënat e tabelës së mësipërme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duke gjykuar vetem mbi realizimin n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planifikuara p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</w:t>
      </w:r>
      <w:r w:rsidR="00552690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962BE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mujorin e parë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p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k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k</w:t>
      </w:r>
      <w:r w:rsidR="00AD274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ij institucioni, evidentohet nj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performance 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EF281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 mesataren e periudh</w:t>
      </w:r>
      <w:r w:rsidR="00EF281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</w:t>
      </w:r>
      <w:r w:rsidR="0085557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1904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Ky nivel realizimi</w:t>
      </w:r>
      <w:r w:rsidR="00BF1B61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DC40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lidhet kryesisht me </w:t>
      </w:r>
      <w:r w:rsidR="001904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mos</w:t>
      </w:r>
      <w:r w:rsidR="00AD274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realizimin e shpenzimeve </w:t>
      </w:r>
      <w:r w:rsidR="00552690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personelit </w:t>
      </w:r>
      <w:r w:rsidR="00AD274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dhe </w:t>
      </w:r>
      <w:r w:rsidR="00190425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projektet e investimeve.</w:t>
      </w:r>
    </w:p>
    <w:p w14:paraId="4511DA0C" w14:textId="77777777" w:rsidR="001C5079" w:rsidRPr="001C5079" w:rsidRDefault="001C5079" w:rsidP="001C5079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4"/>
          <w:lang w:val="sq-AL"/>
        </w:rPr>
      </w:pPr>
    </w:p>
    <w:p w14:paraId="2E085EC6" w14:textId="09809282" w:rsidR="00584E95" w:rsidRPr="008F06BB" w:rsidRDefault="00564FC9" w:rsidP="001C507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Sipas zërave përb</w:t>
      </w:r>
      <w:r w:rsidR="00067897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rës të shpenzimeve, sipas raportit të monitorimit të paraqitur nga ana e institucionit 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 dhe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nave n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Sistemin Informatit Financiar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situata në fund të </w:t>
      </w:r>
      <w:r w:rsidR="00551A5D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962BE0">
        <w:rPr>
          <w:rFonts w:ascii="Times New Roman" w:eastAsia="Calibri" w:hAnsi="Times New Roman" w:cs="Times New Roman"/>
          <w:sz w:val="24"/>
          <w:szCs w:val="24"/>
          <w:lang w:val="sq-AL"/>
        </w:rPr>
        <w:t>M 2025</w:t>
      </w:r>
      <w:r w:rsidRPr="008F06B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paraqitet e tillë:</w:t>
      </w:r>
    </w:p>
    <w:p w14:paraId="133A5F4D" w14:textId="5B80BBD6" w:rsidR="00771179" w:rsidRPr="008F06BB" w:rsidRDefault="00552690" w:rsidP="00771179">
      <w:pPr>
        <w:ind w:left="-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551A5D">
        <w:rPr>
          <w:noProof/>
        </w:rPr>
        <w:drawing>
          <wp:anchor distT="0" distB="0" distL="114300" distR="114300" simplePos="0" relativeHeight="251659776" behindDoc="0" locked="0" layoutInCell="1" allowOverlap="1" wp14:anchorId="0D779735" wp14:editId="213A639B">
            <wp:simplePos x="0" y="0"/>
            <wp:positionH relativeFrom="margin">
              <wp:posOffset>-707693</wp:posOffset>
            </wp:positionH>
            <wp:positionV relativeFrom="margin">
              <wp:posOffset>2043071</wp:posOffset>
            </wp:positionV>
            <wp:extent cx="7295515" cy="2886075"/>
            <wp:effectExtent l="0" t="0" r="635" b="9525"/>
            <wp:wrapSquare wrapText="bothSides"/>
            <wp:docPr id="450773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1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79" w:rsidRPr="008F06BB">
        <w:rPr>
          <w:rFonts w:ascii="Times New Roman" w:hAnsi="Times New Roman"/>
          <w:i/>
          <w:iCs/>
          <w:sz w:val="20"/>
          <w:szCs w:val="20"/>
          <w:u w:val="single"/>
          <w:lang w:val="sq-AL"/>
        </w:rPr>
        <w:t>Tabela: Realizimi i shpenzimet sipas klasifikimit ekonomik (në mijë lekë)</w:t>
      </w:r>
      <w:r w:rsidR="00771179" w:rsidRPr="00F36B6F">
        <w:rPr>
          <w:rFonts w:ascii="Times New Roman" w:hAnsi="Times New Roman"/>
          <w:i/>
          <w:iCs/>
          <w:sz w:val="20"/>
          <w:szCs w:val="20"/>
          <w:lang w:val="sq-AL"/>
        </w:rPr>
        <w:t>:</w:t>
      </w:r>
    </w:p>
    <w:p w14:paraId="5D76EC1E" w14:textId="77777777" w:rsidR="00C13B1E" w:rsidRDefault="00C13B1E" w:rsidP="001C5079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12288C27" w14:textId="580BF305" w:rsidR="00564FC9" w:rsidRPr="009E6902" w:rsidRDefault="00697956" w:rsidP="001C507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D42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</w:t>
      </w:r>
      <w:r w:rsidR="00564FC9" w:rsidRPr="00CD42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hpenzimet korente</w:t>
      </w:r>
      <w:r w:rsidR="00564FC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total për këtë institucion, janë realizuar në rreth</w:t>
      </w:r>
      <w:r w:rsidR="004F39E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552690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D86083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1</w:t>
      </w:r>
      <w:r w:rsidR="00564FC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% të planit vjetor, ndërsa </w:t>
      </w:r>
      <w:r w:rsidR="00564FC9" w:rsidRPr="00CD428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shpenzimet për investime</w:t>
      </w:r>
      <w:r w:rsidR="00BD270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nuk kanë pasur realizim gjatë periudhës</w:t>
      </w:r>
      <w:r w:rsidR="00BD2707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Ky nivel realizimi në shpenzime korente lidhet kryesisht me mosplotësimin e vendeve vakante sipas strukturës organike të institucionit, si dhe me realizimin e ulët në shpenzime operative </w:t>
      </w:r>
      <w:r w:rsidR="00CD428F" w:rsidRPr="00E64856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(mallra dhe shërbime).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Ndërkohë, projektet e investimeve janë në proces prokurimi dhe priten të realizohen në vijim.</w:t>
      </w:r>
    </w:p>
    <w:p w14:paraId="38956CD1" w14:textId="77777777" w:rsidR="00564FC9" w:rsidRPr="009E6902" w:rsidRDefault="00564FC9" w:rsidP="00564FC9">
      <w:pPr>
        <w:spacing w:line="240" w:lineRule="auto"/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4F3B9AAC" w14:textId="69CC05D0" w:rsidR="00697956" w:rsidRDefault="00230E9E" w:rsidP="00C32F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Ndryshimet e planit të buxhetit, si për shpenzimet kapitale dhe për shpenzimet korente gjatë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duke u nisur nga buxheti fillestar sipas ligjit nr. Nr.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115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/202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4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“Për buxhetin e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”, kanë ndodhur nga akordimi i fondit të veçantë për vitin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5. </w:t>
      </w:r>
    </w:p>
    <w:p w14:paraId="33961EE8" w14:textId="77777777" w:rsidR="00552690" w:rsidRDefault="00552690" w:rsidP="008F1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FADDAC9" w14:textId="77777777" w:rsidR="00552690" w:rsidRDefault="00552690" w:rsidP="008F1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8851D2E" w14:textId="77777777" w:rsidR="00552690" w:rsidRDefault="00552690" w:rsidP="008F1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06244BAE" w14:textId="77777777" w:rsidR="00907260" w:rsidRPr="008F116E" w:rsidRDefault="00907260" w:rsidP="008F1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205E447" w14:textId="3977FE1F" w:rsidR="00564FC9" w:rsidRPr="009E6902" w:rsidRDefault="00564FC9" w:rsidP="00564FC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>Komente dhe rekomandime</w:t>
      </w:r>
      <w:r w:rsidR="00907260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</w:p>
    <w:p w14:paraId="4713512F" w14:textId="77777777" w:rsidR="00564FC9" w:rsidRPr="009E6902" w:rsidRDefault="00564FC9" w:rsidP="00564FC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896CFA" w14:textId="05729903" w:rsidR="009F2AC7" w:rsidRPr="009E6902" w:rsidRDefault="009F2AC7" w:rsidP="009F2A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</w:t>
      </w:r>
      <w:r w:rsidR="00D566F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këtij udhëzimi. Vërejmë që </w:t>
      </w:r>
      <w:r w:rsidR="00077BF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paraqitja e informacionit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raportin e monitorimit, </w:t>
      </w:r>
      <w:r w:rsidR="00263D3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77BF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shtë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63D3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plotësisht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sipas formateve të përcaktuara në këtë udhëzim.</w:t>
      </w:r>
    </w:p>
    <w:p w14:paraId="7E1D0F98" w14:textId="46F51971" w:rsidR="00F1463B" w:rsidRDefault="009F2AC7" w:rsidP="00F215C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Nga ana juaj paraqitja e raportit të monitorimit për periudhën</w:t>
      </w:r>
      <w:r w:rsidR="008C596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664D67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M të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bërë në përputhje me afatin e përcaktuar në udhëzimin nr. 14, datë 30.05.2023. </w:t>
      </w:r>
    </w:p>
    <w:p w14:paraId="45D70C89" w14:textId="55BC5996" w:rsidR="00664D67" w:rsidRPr="00D62872" w:rsidRDefault="00664D67" w:rsidP="00664D67">
      <w:pPr>
        <w:pStyle w:val="ListParagraph"/>
        <w:numPr>
          <w:ilvl w:val="0"/>
          <w:numId w:val="9"/>
        </w:numPr>
        <w:tabs>
          <w:tab w:val="left" w:pos="360"/>
        </w:tabs>
        <w:spacing w:before="240"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Është paraqitur 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inforacion mbi numrin e punonjësve buxhetorë </w:t>
      </w:r>
      <w:r>
        <w:rPr>
          <w:rFonts w:ascii="Times New Roman" w:hAnsi="Times New Roman"/>
          <w:bCs/>
          <w:sz w:val="24"/>
          <w:szCs w:val="24"/>
          <w:lang w:val="sq-AL"/>
        </w:rPr>
        <w:t>t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MingLiU-ExtB" w:eastAsia="MingLiU-ExtB" w:hAnsi="MingLiU-ExtB" w:cs="MingLiU-ExtB"/>
          <w:bCs/>
          <w:sz w:val="24"/>
          <w:szCs w:val="24"/>
          <w:lang w:val="sq-AL"/>
        </w:rPr>
        <w:t xml:space="preserve"> 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miratuar me ligjin vjetor dhe numri</w:t>
      </w:r>
      <w:r>
        <w:rPr>
          <w:rFonts w:ascii="Times New Roman" w:hAnsi="Times New Roman"/>
          <w:bCs/>
          <w:sz w:val="24"/>
          <w:szCs w:val="24"/>
          <w:lang w:val="sq-AL"/>
        </w:rPr>
        <w:t>n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faktik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për periudhën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21A2241A" w14:textId="77777777" w:rsidR="00D4113E" w:rsidRPr="009E6902" w:rsidRDefault="00D4113E" w:rsidP="00D4113E">
      <w:pPr>
        <w:pStyle w:val="ListParagrap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FDDA555" w14:textId="15691F0A" w:rsidR="002E12C6" w:rsidRPr="00C32FA8" w:rsidRDefault="00D4113E" w:rsidP="00C32FA8">
      <w:pPr>
        <w:spacing w:after="12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  <w:r w:rsidRPr="00E74999">
        <w:rPr>
          <w:rFonts w:ascii="Times New Roman" w:hAnsi="Times New Roman"/>
          <w:bCs/>
          <w:sz w:val="24"/>
          <w:szCs w:val="24"/>
          <w:u w:val="single"/>
          <w:lang w:val="sq-AL"/>
        </w:rPr>
        <w:t>Duke ju referuar konstatimeve të mësipërme, për përmirësimin e cilësisë së përmbajtjes së raportit të monitorimit rekomandojmë:</w:t>
      </w:r>
    </w:p>
    <w:p w14:paraId="7C1D831A" w14:textId="788084A3" w:rsidR="002E12C6" w:rsidRPr="002E12C6" w:rsidRDefault="00280FC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280FCB">
        <w:rPr>
          <w:rFonts w:ascii="Times New Roman" w:hAnsi="Times New Roman"/>
          <w:bCs/>
          <w:sz w:val="24"/>
          <w:szCs w:val="24"/>
          <w:lang w:val="sq-AL"/>
        </w:rPr>
        <w:t xml:space="preserve">Në realcionin shpjegues duhet të paraqitet një analizë e detajuar mbi deviacionet më të theksuara nga plani për </w:t>
      </w:r>
      <w:r w:rsidR="00BC323B">
        <w:rPr>
          <w:rFonts w:ascii="Times New Roman" w:hAnsi="Times New Roman"/>
          <w:bCs/>
          <w:sz w:val="24"/>
          <w:szCs w:val="24"/>
          <w:lang w:val="sq-AL"/>
        </w:rPr>
        <w:t>periudhën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>, dhe të bëhet krahas</w:t>
      </w:r>
      <w:r w:rsidR="00D003F9">
        <w:rPr>
          <w:rFonts w:ascii="Times New Roman" w:hAnsi="Times New Roman"/>
          <w:bCs/>
          <w:sz w:val="24"/>
          <w:szCs w:val="24"/>
          <w:lang w:val="sq-AL"/>
        </w:rPr>
        <w:t>i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>mi me performancën me periudhën e mëparshme të raportimit. Në veçanti, të theksoni nëse ekzistojnë tendenca të vazhdueshme për performancën nën nivelin e parashikuar.</w:t>
      </w:r>
    </w:p>
    <w:p w14:paraId="0948C837" w14:textId="02F2A824" w:rsidR="002E12C6" w:rsidRPr="002E12C6" w:rsidRDefault="00280FC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280FCB">
        <w:rPr>
          <w:rFonts w:ascii="Times New Roman" w:hAnsi="Times New Roman"/>
          <w:bCs/>
          <w:sz w:val="24"/>
          <w:szCs w:val="24"/>
          <w:lang w:val="sq-AL"/>
        </w:rPr>
        <w:t>Duhen shpjeguar në mënyrë të detajuar arësyet kryesore që kanë ndikuar në performancen e realizimit nën nivelin e duhur të shpenzimeve kundrejt planit për vitin 202</w:t>
      </w:r>
      <w:r w:rsidR="00BC323B">
        <w:rPr>
          <w:rFonts w:ascii="Times New Roman" w:hAnsi="Times New Roman"/>
          <w:bCs/>
          <w:sz w:val="24"/>
          <w:szCs w:val="24"/>
          <w:lang w:val="sq-AL"/>
        </w:rPr>
        <w:t>5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14:paraId="059C88F4" w14:textId="3225C93B" w:rsidR="00D62872" w:rsidRPr="00D62872" w:rsidRDefault="00D62872" w:rsidP="00D62872">
      <w:pPr>
        <w:pStyle w:val="ListParagraph"/>
        <w:numPr>
          <w:ilvl w:val="0"/>
          <w:numId w:val="9"/>
        </w:numPr>
        <w:tabs>
          <w:tab w:val="left" w:pos="360"/>
        </w:tabs>
        <w:spacing w:before="240"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Rekomandojmë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paraqit</w:t>
      </w:r>
      <w:r>
        <w:rPr>
          <w:rFonts w:ascii="Times New Roman" w:hAnsi="Times New Roman"/>
          <w:bCs/>
          <w:sz w:val="24"/>
          <w:szCs w:val="24"/>
          <w:lang w:val="sq-AL"/>
        </w:rPr>
        <w:t>jen e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inforacion</w:t>
      </w:r>
      <w:r>
        <w:rPr>
          <w:rFonts w:ascii="Times New Roman" w:hAnsi="Times New Roman"/>
          <w:bCs/>
          <w:sz w:val="24"/>
          <w:szCs w:val="24"/>
          <w:lang w:val="sq-AL"/>
        </w:rPr>
        <w:t>it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mbi numrin e punonjësve buxhetorë </w:t>
      </w:r>
      <w:r>
        <w:rPr>
          <w:rFonts w:ascii="Times New Roman" w:hAnsi="Times New Roman"/>
          <w:bCs/>
          <w:sz w:val="24"/>
          <w:szCs w:val="24"/>
          <w:lang w:val="sq-AL"/>
        </w:rPr>
        <w:t>t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MingLiU-ExtB" w:eastAsia="MingLiU-ExtB" w:hAnsi="MingLiU-ExtB" w:cs="MingLiU-ExtB"/>
          <w:bCs/>
          <w:sz w:val="24"/>
          <w:szCs w:val="24"/>
          <w:lang w:val="sq-AL"/>
        </w:rPr>
        <w:t xml:space="preserve"> 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miratuar me ligjin vjetor si dhe nëse numri faktik</w:t>
      </w:r>
      <w:r w:rsidR="00A8241F">
        <w:rPr>
          <w:rFonts w:ascii="Times New Roman" w:hAnsi="Times New Roman"/>
          <w:bCs/>
          <w:sz w:val="24"/>
          <w:szCs w:val="24"/>
          <w:lang w:val="sq-AL"/>
        </w:rPr>
        <w:t xml:space="preserve"> për periudhën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ka devijim nga ai i planifikuar.</w:t>
      </w:r>
    </w:p>
    <w:p w14:paraId="2745BE45" w14:textId="25E7680B" w:rsidR="00564FC9" w:rsidRPr="009E6902" w:rsidRDefault="00564FC9" w:rsidP="00564FC9">
      <w:pPr>
        <w:spacing w:after="0" w:line="240" w:lineRule="auto"/>
        <w:ind w:left="120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A11ABC" w14:textId="77777777" w:rsidR="00564FC9" w:rsidRPr="009E6902" w:rsidRDefault="00564FC9" w:rsidP="00564FC9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VI. Publikimi </w:t>
      </w:r>
    </w:p>
    <w:p w14:paraId="748B6494" w14:textId="3A7DB4B6" w:rsidR="000D3C41" w:rsidRPr="009E6902" w:rsidRDefault="00564FC9" w:rsidP="0049503A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</w:t>
      </w:r>
      <w:r w:rsidR="00A20E39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</w:t>
      </w:r>
      <w:r w:rsidR="00604A1C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8C596A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mujorin e 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viti</w:t>
      </w:r>
      <w:r w:rsidR="008C596A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BC323B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është publikuar në faqen zyrtare të Institucionit të Presidentit.</w:t>
      </w:r>
    </w:p>
    <w:p w14:paraId="7B87BCB5" w14:textId="14E57749" w:rsidR="003B5C9B" w:rsidRPr="009E6902" w:rsidRDefault="003B5C9B" w:rsidP="0049503A">
      <w:pPr>
        <w:jc w:val="both"/>
        <w:rPr>
          <w:rFonts w:eastAsia="Times New Roman"/>
          <w:color w:val="000000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Linku: </w:t>
      </w:r>
      <w:hyperlink r:id="rId8" w:history="1">
        <w:r w:rsidRPr="004A4F1B">
          <w:rPr>
            <w:rStyle w:val="Hyperlink"/>
            <w:rFonts w:ascii="Times New Roman" w:eastAsia="Times New Roman" w:hAnsi="Times New Roman" w:cs="Times New Roman"/>
            <w:lang w:val="sq-AL"/>
          </w:rPr>
          <w:t>https://president.al/programi-i-transparences/</w:t>
        </w:r>
      </w:hyperlink>
    </w:p>
    <w:sectPr w:rsidR="003B5C9B" w:rsidRPr="009E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B87C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7C755A5"/>
    <w:multiLevelType w:val="hybridMultilevel"/>
    <w:tmpl w:val="BBF4073C"/>
    <w:lvl w:ilvl="0" w:tplc="CF6024AA">
      <w:start w:val="1"/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2E18B962"/>
    <w:lvl w:ilvl="0" w:tplc="554CCB1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76A83"/>
    <w:multiLevelType w:val="hybridMultilevel"/>
    <w:tmpl w:val="56020B34"/>
    <w:lvl w:ilvl="0" w:tplc="57FE389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4285B"/>
    <w:multiLevelType w:val="hybridMultilevel"/>
    <w:tmpl w:val="EE8C382C"/>
    <w:lvl w:ilvl="0" w:tplc="37C634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1340459"/>
    <w:multiLevelType w:val="hybridMultilevel"/>
    <w:tmpl w:val="D01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1FF7"/>
    <w:multiLevelType w:val="hybridMultilevel"/>
    <w:tmpl w:val="F71C71E8"/>
    <w:lvl w:ilvl="0" w:tplc="74A8C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40BD"/>
    <w:multiLevelType w:val="hybridMultilevel"/>
    <w:tmpl w:val="FE82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E3913"/>
    <w:multiLevelType w:val="hybridMultilevel"/>
    <w:tmpl w:val="A07C2916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7FE26257"/>
    <w:multiLevelType w:val="hybridMultilevel"/>
    <w:tmpl w:val="FD36876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803384410">
    <w:abstractNumId w:val="1"/>
  </w:num>
  <w:num w:numId="2" w16cid:durableId="1661734480">
    <w:abstractNumId w:val="11"/>
  </w:num>
  <w:num w:numId="3" w16cid:durableId="879777951">
    <w:abstractNumId w:val="4"/>
  </w:num>
  <w:num w:numId="4" w16cid:durableId="144904906">
    <w:abstractNumId w:val="8"/>
  </w:num>
  <w:num w:numId="5" w16cid:durableId="776490666">
    <w:abstractNumId w:val="12"/>
  </w:num>
  <w:num w:numId="6" w16cid:durableId="857424709">
    <w:abstractNumId w:val="5"/>
  </w:num>
  <w:num w:numId="7" w16cid:durableId="1644893762">
    <w:abstractNumId w:val="10"/>
  </w:num>
  <w:num w:numId="8" w16cid:durableId="167333216">
    <w:abstractNumId w:val="13"/>
  </w:num>
  <w:num w:numId="9" w16cid:durableId="1696270007">
    <w:abstractNumId w:val="7"/>
  </w:num>
  <w:num w:numId="10" w16cid:durableId="1452481869">
    <w:abstractNumId w:val="2"/>
  </w:num>
  <w:num w:numId="11" w16cid:durableId="330841535">
    <w:abstractNumId w:val="6"/>
  </w:num>
  <w:num w:numId="12" w16cid:durableId="705909020">
    <w:abstractNumId w:val="3"/>
  </w:num>
  <w:num w:numId="13" w16cid:durableId="1433822701">
    <w:abstractNumId w:val="14"/>
  </w:num>
  <w:num w:numId="14" w16cid:durableId="2103796939">
    <w:abstractNumId w:val="9"/>
  </w:num>
  <w:num w:numId="15" w16cid:durableId="173141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1F3"/>
    <w:rsid w:val="00006B50"/>
    <w:rsid w:val="00033FEA"/>
    <w:rsid w:val="00067897"/>
    <w:rsid w:val="00073930"/>
    <w:rsid w:val="00077BF9"/>
    <w:rsid w:val="00082F87"/>
    <w:rsid w:val="000A315D"/>
    <w:rsid w:val="000B2478"/>
    <w:rsid w:val="000C2453"/>
    <w:rsid w:val="000D10E3"/>
    <w:rsid w:val="000D3C41"/>
    <w:rsid w:val="000F49EA"/>
    <w:rsid w:val="00102946"/>
    <w:rsid w:val="001075D0"/>
    <w:rsid w:val="00137320"/>
    <w:rsid w:val="00151585"/>
    <w:rsid w:val="00170C23"/>
    <w:rsid w:val="00190425"/>
    <w:rsid w:val="001B4142"/>
    <w:rsid w:val="001C5079"/>
    <w:rsid w:val="001E2204"/>
    <w:rsid w:val="002060EB"/>
    <w:rsid w:val="00224C01"/>
    <w:rsid w:val="00230E9E"/>
    <w:rsid w:val="00242B92"/>
    <w:rsid w:val="0025438B"/>
    <w:rsid w:val="00256019"/>
    <w:rsid w:val="00263D32"/>
    <w:rsid w:val="00280FCB"/>
    <w:rsid w:val="002A2A92"/>
    <w:rsid w:val="002A72CC"/>
    <w:rsid w:val="002E12C6"/>
    <w:rsid w:val="00314BCF"/>
    <w:rsid w:val="00316565"/>
    <w:rsid w:val="00326AEB"/>
    <w:rsid w:val="003513A4"/>
    <w:rsid w:val="00374D5A"/>
    <w:rsid w:val="003B5C9B"/>
    <w:rsid w:val="003C1F14"/>
    <w:rsid w:val="003C6551"/>
    <w:rsid w:val="003D604D"/>
    <w:rsid w:val="0041345A"/>
    <w:rsid w:val="00434A7D"/>
    <w:rsid w:val="00443AD7"/>
    <w:rsid w:val="00443E34"/>
    <w:rsid w:val="00444F24"/>
    <w:rsid w:val="00476895"/>
    <w:rsid w:val="0049503A"/>
    <w:rsid w:val="004A4F1B"/>
    <w:rsid w:val="004A5E28"/>
    <w:rsid w:val="004E3DAC"/>
    <w:rsid w:val="004F39E0"/>
    <w:rsid w:val="00551A5D"/>
    <w:rsid w:val="00552690"/>
    <w:rsid w:val="00564FC9"/>
    <w:rsid w:val="005712E0"/>
    <w:rsid w:val="00584E95"/>
    <w:rsid w:val="005C0945"/>
    <w:rsid w:val="005C3F1C"/>
    <w:rsid w:val="00604A1C"/>
    <w:rsid w:val="00606699"/>
    <w:rsid w:val="00626314"/>
    <w:rsid w:val="00664D67"/>
    <w:rsid w:val="00673680"/>
    <w:rsid w:val="00697956"/>
    <w:rsid w:val="006C5CCC"/>
    <w:rsid w:val="006F67C7"/>
    <w:rsid w:val="007141E2"/>
    <w:rsid w:val="00734D79"/>
    <w:rsid w:val="00771179"/>
    <w:rsid w:val="00782B14"/>
    <w:rsid w:val="007D22DF"/>
    <w:rsid w:val="007E71F3"/>
    <w:rsid w:val="00855579"/>
    <w:rsid w:val="008C596A"/>
    <w:rsid w:val="008D4F54"/>
    <w:rsid w:val="008F06BB"/>
    <w:rsid w:val="008F116E"/>
    <w:rsid w:val="00907260"/>
    <w:rsid w:val="00914625"/>
    <w:rsid w:val="00920A73"/>
    <w:rsid w:val="00960C74"/>
    <w:rsid w:val="00962BE0"/>
    <w:rsid w:val="0099086C"/>
    <w:rsid w:val="009A794C"/>
    <w:rsid w:val="009D3296"/>
    <w:rsid w:val="009D659B"/>
    <w:rsid w:val="009E457F"/>
    <w:rsid w:val="009E6902"/>
    <w:rsid w:val="009F2AC7"/>
    <w:rsid w:val="009F367C"/>
    <w:rsid w:val="00A148E1"/>
    <w:rsid w:val="00A20E39"/>
    <w:rsid w:val="00A21905"/>
    <w:rsid w:val="00A27A8E"/>
    <w:rsid w:val="00A536DA"/>
    <w:rsid w:val="00A8241F"/>
    <w:rsid w:val="00AA64AA"/>
    <w:rsid w:val="00AC2385"/>
    <w:rsid w:val="00AD2747"/>
    <w:rsid w:val="00B1387D"/>
    <w:rsid w:val="00B2044E"/>
    <w:rsid w:val="00B52E4D"/>
    <w:rsid w:val="00B642DF"/>
    <w:rsid w:val="00B72F14"/>
    <w:rsid w:val="00B75F87"/>
    <w:rsid w:val="00B95C5D"/>
    <w:rsid w:val="00BA20F3"/>
    <w:rsid w:val="00BB563E"/>
    <w:rsid w:val="00BC323B"/>
    <w:rsid w:val="00BC684E"/>
    <w:rsid w:val="00BD2707"/>
    <w:rsid w:val="00BD4B01"/>
    <w:rsid w:val="00BF1B61"/>
    <w:rsid w:val="00C13B1E"/>
    <w:rsid w:val="00C26453"/>
    <w:rsid w:val="00C32FA8"/>
    <w:rsid w:val="00C41178"/>
    <w:rsid w:val="00C975F6"/>
    <w:rsid w:val="00CA6881"/>
    <w:rsid w:val="00CC2721"/>
    <w:rsid w:val="00CD428F"/>
    <w:rsid w:val="00CE19B4"/>
    <w:rsid w:val="00D003F9"/>
    <w:rsid w:val="00D36DBF"/>
    <w:rsid w:val="00D4113E"/>
    <w:rsid w:val="00D566F0"/>
    <w:rsid w:val="00D61893"/>
    <w:rsid w:val="00D62872"/>
    <w:rsid w:val="00D70DB9"/>
    <w:rsid w:val="00D86083"/>
    <w:rsid w:val="00D94349"/>
    <w:rsid w:val="00DB0681"/>
    <w:rsid w:val="00DB2277"/>
    <w:rsid w:val="00DC4025"/>
    <w:rsid w:val="00DC5B4C"/>
    <w:rsid w:val="00DD1F96"/>
    <w:rsid w:val="00DD2E1E"/>
    <w:rsid w:val="00DD49D8"/>
    <w:rsid w:val="00E209E9"/>
    <w:rsid w:val="00E64856"/>
    <w:rsid w:val="00E74999"/>
    <w:rsid w:val="00E80DC6"/>
    <w:rsid w:val="00EE1261"/>
    <w:rsid w:val="00EF2810"/>
    <w:rsid w:val="00F12062"/>
    <w:rsid w:val="00F1463B"/>
    <w:rsid w:val="00F15A23"/>
    <w:rsid w:val="00F215CD"/>
    <w:rsid w:val="00F36B6F"/>
    <w:rsid w:val="00F85FD4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4EDA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584E95"/>
    <w:pPr>
      <w:ind w:left="720"/>
      <w:contextualSpacing/>
    </w:pPr>
  </w:style>
  <w:style w:type="table" w:styleId="TableGrid">
    <w:name w:val="Table Grid"/>
    <w:basedOn w:val="TableNormal"/>
    <w:uiPriority w:val="59"/>
    <w:rsid w:val="0058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5C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6A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D6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al/programi-i-transparenc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4445-0D90-4231-883A-78A1A4E6AD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114</cp:revision>
  <dcterms:created xsi:type="dcterms:W3CDTF">2021-05-21T09:25:00Z</dcterms:created>
  <dcterms:modified xsi:type="dcterms:W3CDTF">2025-11-19T15:06:00Z</dcterms:modified>
</cp:coreProperties>
</file>