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50DF" w14:textId="5EDD3C77" w:rsidR="007E7ACD" w:rsidRPr="00E24ECC" w:rsidRDefault="00E2561F" w:rsidP="005B66E4">
      <w:pPr>
        <w:spacing w:line="276" w:lineRule="auto"/>
        <w:jc w:val="both"/>
        <w:rPr>
          <w:rFonts w:ascii="Cambria" w:hAnsi="Cambria"/>
          <w:sz w:val="24"/>
          <w:szCs w:val="24"/>
          <w:lang w:val="sq-AL"/>
        </w:rPr>
      </w:pPr>
      <w:bookmarkStart w:id="0" w:name="_Hlk200702155"/>
      <w:bookmarkEnd w:id="0"/>
      <w:r w:rsidRPr="00E24ECC">
        <w:rPr>
          <w:rFonts w:ascii="Cambria" w:hAnsi="Cambria" w:cs="Times New Roman"/>
          <w:b/>
          <w:noProof/>
          <w:lang w:val="sq-AL"/>
        </w:rPr>
        <w:drawing>
          <wp:inline distT="0" distB="0" distL="0" distR="0" wp14:anchorId="3865C238" wp14:editId="68659CEF">
            <wp:extent cx="5732145" cy="6840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684095"/>
                    </a:xfrm>
                    <a:prstGeom prst="rect">
                      <a:avLst/>
                    </a:prstGeom>
                    <a:noFill/>
                  </pic:spPr>
                </pic:pic>
              </a:graphicData>
            </a:graphic>
          </wp:inline>
        </w:drawing>
      </w:r>
    </w:p>
    <w:p w14:paraId="348440D9" w14:textId="77777777" w:rsidR="00BE5DC8" w:rsidRPr="00E24ECC" w:rsidRDefault="00E2561F" w:rsidP="00E2561F">
      <w:pPr>
        <w:spacing w:line="276" w:lineRule="auto"/>
        <w:jc w:val="center"/>
        <w:rPr>
          <w:rFonts w:ascii="Cambria" w:hAnsi="Cambria"/>
          <w:sz w:val="24"/>
          <w:szCs w:val="24"/>
          <w:lang w:val="sq-AL"/>
        </w:rPr>
      </w:pPr>
      <w:bookmarkStart w:id="1" w:name="_Hlk136948067"/>
      <w:bookmarkEnd w:id="1"/>
      <w:r w:rsidRPr="00E24ECC">
        <w:rPr>
          <w:rFonts w:ascii="Cambria" w:hAnsi="Cambria"/>
          <w:b/>
          <w:sz w:val="24"/>
          <w:szCs w:val="24"/>
          <w:lang w:val="sq-AL"/>
        </w:rPr>
        <w:t>MINISTRIA E FINANCAVE</w:t>
      </w:r>
    </w:p>
    <w:p w14:paraId="50B88365" w14:textId="77777777" w:rsidR="004D4245" w:rsidRPr="00E24ECC" w:rsidRDefault="004D4245" w:rsidP="005B66E4">
      <w:pPr>
        <w:pStyle w:val="Default"/>
        <w:spacing w:line="276" w:lineRule="auto"/>
        <w:jc w:val="both"/>
        <w:rPr>
          <w:rFonts w:ascii="Cambria" w:hAnsi="Cambria" w:cs="Times New Roman"/>
          <w:b/>
          <w:color w:val="auto"/>
          <w:lang w:val="sq-AL"/>
        </w:rPr>
      </w:pPr>
    </w:p>
    <w:p w14:paraId="5195AD3B" w14:textId="77777777" w:rsidR="00BE5DC8" w:rsidRPr="00E24ECC" w:rsidRDefault="00BE5DC8" w:rsidP="005B66E4">
      <w:pPr>
        <w:pStyle w:val="Default"/>
        <w:spacing w:line="276" w:lineRule="auto"/>
        <w:jc w:val="both"/>
        <w:rPr>
          <w:rFonts w:ascii="Cambria" w:hAnsi="Cambria" w:cs="Times New Roman"/>
          <w:b/>
          <w:color w:val="auto"/>
          <w:lang w:val="sq-AL"/>
        </w:rPr>
      </w:pPr>
    </w:p>
    <w:p w14:paraId="76238DB7" w14:textId="77777777" w:rsidR="00BE5DC8" w:rsidRPr="00E24ECC" w:rsidRDefault="00BE5DC8" w:rsidP="005B66E4">
      <w:pPr>
        <w:pStyle w:val="Default"/>
        <w:spacing w:line="276" w:lineRule="auto"/>
        <w:jc w:val="both"/>
        <w:rPr>
          <w:rFonts w:ascii="Cambria" w:hAnsi="Cambria" w:cs="Times New Roman"/>
          <w:b/>
          <w:color w:val="auto"/>
          <w:lang w:val="sq-AL"/>
        </w:rPr>
      </w:pPr>
    </w:p>
    <w:p w14:paraId="4D00AB27" w14:textId="77777777" w:rsidR="00642AF5" w:rsidRPr="00E24ECC" w:rsidRDefault="00642AF5" w:rsidP="005B66E4">
      <w:pPr>
        <w:pStyle w:val="Default"/>
        <w:spacing w:line="276" w:lineRule="auto"/>
        <w:jc w:val="both"/>
        <w:rPr>
          <w:rFonts w:ascii="Cambria" w:hAnsi="Cambria" w:cs="Times New Roman"/>
          <w:b/>
          <w:color w:val="auto"/>
          <w:lang w:val="sq-AL"/>
        </w:rPr>
      </w:pPr>
    </w:p>
    <w:p w14:paraId="2DB2D2CF" w14:textId="77777777" w:rsidR="00642AF5" w:rsidRPr="00E24ECC" w:rsidRDefault="00642AF5" w:rsidP="005B66E4">
      <w:pPr>
        <w:pStyle w:val="Default"/>
        <w:spacing w:line="276" w:lineRule="auto"/>
        <w:jc w:val="both"/>
        <w:rPr>
          <w:rFonts w:ascii="Cambria" w:hAnsi="Cambria" w:cs="Times New Roman"/>
          <w:b/>
          <w:color w:val="auto"/>
          <w:lang w:val="sq-AL"/>
        </w:rPr>
      </w:pPr>
    </w:p>
    <w:p w14:paraId="404E084B" w14:textId="77777777" w:rsidR="00642AF5" w:rsidRPr="00E24ECC" w:rsidRDefault="00642AF5" w:rsidP="005B66E4">
      <w:pPr>
        <w:pStyle w:val="Default"/>
        <w:spacing w:line="276" w:lineRule="auto"/>
        <w:jc w:val="both"/>
        <w:rPr>
          <w:rFonts w:ascii="Cambria" w:hAnsi="Cambria" w:cs="Times New Roman"/>
          <w:b/>
          <w:color w:val="auto"/>
          <w:lang w:val="sq-AL"/>
        </w:rPr>
      </w:pPr>
    </w:p>
    <w:p w14:paraId="0CA10ED3" w14:textId="77777777" w:rsidR="00BE5DC8" w:rsidRPr="00E24ECC" w:rsidRDefault="00BE5DC8" w:rsidP="005B66E4">
      <w:pPr>
        <w:pStyle w:val="Default"/>
        <w:spacing w:line="276" w:lineRule="auto"/>
        <w:jc w:val="both"/>
        <w:rPr>
          <w:rFonts w:ascii="Cambria" w:hAnsi="Cambria" w:cs="Times New Roman"/>
          <w:b/>
          <w:color w:val="auto"/>
          <w:lang w:val="sq-AL"/>
        </w:rPr>
      </w:pPr>
    </w:p>
    <w:p w14:paraId="19C26582" w14:textId="77777777" w:rsidR="004D4245" w:rsidRPr="00E24ECC" w:rsidRDefault="004D4245" w:rsidP="005B66E4">
      <w:pPr>
        <w:pStyle w:val="Default"/>
        <w:spacing w:line="276" w:lineRule="auto"/>
        <w:jc w:val="both"/>
        <w:rPr>
          <w:rFonts w:ascii="Cambria" w:hAnsi="Cambria" w:cs="Times New Roman"/>
          <w:b/>
          <w:color w:val="auto"/>
          <w:lang w:val="sq-AL"/>
        </w:rPr>
      </w:pPr>
    </w:p>
    <w:p w14:paraId="51BCF030" w14:textId="77777777" w:rsidR="00EC6830" w:rsidRPr="00E24ECC" w:rsidRDefault="00EC6830" w:rsidP="005B66E4">
      <w:pPr>
        <w:pStyle w:val="Default"/>
        <w:spacing w:line="276" w:lineRule="auto"/>
        <w:jc w:val="center"/>
        <w:rPr>
          <w:rFonts w:ascii="Cambria" w:hAnsi="Cambria"/>
          <w:b/>
          <w:color w:val="auto"/>
          <w:lang w:val="sq-AL"/>
        </w:rPr>
      </w:pPr>
    </w:p>
    <w:p w14:paraId="5857319C" w14:textId="77777777" w:rsidR="00EC6830" w:rsidRPr="00E24ECC" w:rsidRDefault="00EC6830" w:rsidP="005B66E4">
      <w:pPr>
        <w:pStyle w:val="Default"/>
        <w:spacing w:line="276" w:lineRule="auto"/>
        <w:jc w:val="center"/>
        <w:rPr>
          <w:rFonts w:ascii="Cambria" w:hAnsi="Cambria"/>
          <w:b/>
          <w:color w:val="auto"/>
          <w:lang w:val="sq-AL"/>
        </w:rPr>
      </w:pPr>
    </w:p>
    <w:p w14:paraId="24171526" w14:textId="77777777" w:rsidR="00EC6830" w:rsidRPr="00E24ECC" w:rsidRDefault="00EC6830" w:rsidP="005B66E4">
      <w:pPr>
        <w:pStyle w:val="Default"/>
        <w:spacing w:line="276" w:lineRule="auto"/>
        <w:jc w:val="center"/>
        <w:rPr>
          <w:rFonts w:ascii="Cambria" w:hAnsi="Cambria"/>
          <w:b/>
          <w:color w:val="auto"/>
          <w:lang w:val="sq-AL"/>
        </w:rPr>
      </w:pPr>
    </w:p>
    <w:p w14:paraId="249326BA" w14:textId="77777777" w:rsidR="00EC6830" w:rsidRPr="00E24ECC" w:rsidRDefault="00EC6830" w:rsidP="005B66E4">
      <w:pPr>
        <w:pStyle w:val="Default"/>
        <w:spacing w:line="276" w:lineRule="auto"/>
        <w:jc w:val="center"/>
        <w:rPr>
          <w:rFonts w:ascii="Cambria" w:hAnsi="Cambria"/>
          <w:b/>
          <w:color w:val="auto"/>
          <w:lang w:val="sq-AL"/>
        </w:rPr>
      </w:pPr>
    </w:p>
    <w:p w14:paraId="3C4171D5" w14:textId="77777777" w:rsidR="003E4C9B" w:rsidRPr="00E24ECC" w:rsidRDefault="003E4C9B" w:rsidP="005B66E4">
      <w:pPr>
        <w:pStyle w:val="Default"/>
        <w:spacing w:line="276" w:lineRule="auto"/>
        <w:jc w:val="center"/>
        <w:rPr>
          <w:rFonts w:ascii="Cambria" w:hAnsi="Cambria"/>
          <w:b/>
          <w:color w:val="auto"/>
          <w:lang w:val="sq-AL"/>
        </w:rPr>
      </w:pPr>
    </w:p>
    <w:p w14:paraId="35B8BE10" w14:textId="77777777" w:rsidR="003E4C9B" w:rsidRPr="00E24ECC" w:rsidRDefault="003E4C9B" w:rsidP="005B66E4">
      <w:pPr>
        <w:pStyle w:val="Default"/>
        <w:spacing w:line="276" w:lineRule="auto"/>
        <w:jc w:val="center"/>
        <w:rPr>
          <w:rFonts w:ascii="Cambria" w:hAnsi="Cambria"/>
          <w:b/>
          <w:color w:val="auto"/>
          <w:lang w:val="sq-AL"/>
        </w:rPr>
      </w:pPr>
    </w:p>
    <w:p w14:paraId="0B6042CF" w14:textId="77777777" w:rsidR="003E4C9B" w:rsidRPr="00E24ECC" w:rsidRDefault="003E4C9B" w:rsidP="005B66E4">
      <w:pPr>
        <w:pStyle w:val="Default"/>
        <w:spacing w:line="276" w:lineRule="auto"/>
        <w:jc w:val="center"/>
        <w:rPr>
          <w:rFonts w:ascii="Cambria" w:hAnsi="Cambria"/>
          <w:b/>
          <w:color w:val="auto"/>
          <w:lang w:val="sq-AL"/>
        </w:rPr>
      </w:pPr>
    </w:p>
    <w:p w14:paraId="06EFAE42" w14:textId="77777777" w:rsidR="00EC6830" w:rsidRPr="00E24ECC" w:rsidRDefault="00EC6830" w:rsidP="005B66E4">
      <w:pPr>
        <w:pStyle w:val="Default"/>
        <w:spacing w:line="276" w:lineRule="auto"/>
        <w:jc w:val="center"/>
        <w:rPr>
          <w:rFonts w:ascii="Cambria" w:hAnsi="Cambria"/>
          <w:b/>
          <w:color w:val="auto"/>
          <w:lang w:val="sq-AL"/>
        </w:rPr>
      </w:pPr>
    </w:p>
    <w:p w14:paraId="33FCD027" w14:textId="77777777" w:rsidR="00EC6830" w:rsidRPr="00E24ECC" w:rsidRDefault="00EC6830" w:rsidP="005B66E4">
      <w:pPr>
        <w:pStyle w:val="Default"/>
        <w:spacing w:line="276" w:lineRule="auto"/>
        <w:jc w:val="center"/>
        <w:rPr>
          <w:rFonts w:ascii="Cambria" w:hAnsi="Cambria"/>
          <w:b/>
          <w:color w:val="auto"/>
          <w:sz w:val="36"/>
          <w:lang w:val="sq-AL"/>
        </w:rPr>
      </w:pPr>
    </w:p>
    <w:p w14:paraId="04CA2829" w14:textId="77777777" w:rsidR="00EC6830" w:rsidRPr="00E24ECC" w:rsidRDefault="00C25C51" w:rsidP="005B66E4">
      <w:pPr>
        <w:pStyle w:val="Default"/>
        <w:spacing w:line="276" w:lineRule="auto"/>
        <w:jc w:val="center"/>
        <w:rPr>
          <w:rFonts w:ascii="Cambria" w:hAnsi="Cambria"/>
          <w:b/>
          <w:color w:val="auto"/>
          <w:sz w:val="44"/>
          <w:lang w:val="sq-AL"/>
        </w:rPr>
      </w:pPr>
      <w:r w:rsidRPr="00E24ECC">
        <w:rPr>
          <w:rFonts w:ascii="Cambria" w:hAnsi="Cambria"/>
          <w:b/>
          <w:color w:val="auto"/>
          <w:sz w:val="44"/>
          <w:lang w:val="sq-AL"/>
        </w:rPr>
        <w:t>PROGRAMI BUXHETOR AFATMES</w:t>
      </w:r>
      <w:r w:rsidR="00642AF5" w:rsidRPr="00E24ECC">
        <w:rPr>
          <w:rFonts w:ascii="Cambria" w:hAnsi="Cambria"/>
          <w:b/>
          <w:color w:val="auto"/>
          <w:sz w:val="44"/>
          <w:lang w:val="sq-AL"/>
        </w:rPr>
        <w:t>Ë</w:t>
      </w:r>
      <w:r w:rsidR="00ED1B9F" w:rsidRPr="00E24ECC">
        <w:rPr>
          <w:rFonts w:ascii="Cambria" w:hAnsi="Cambria"/>
          <w:b/>
          <w:color w:val="auto"/>
          <w:sz w:val="44"/>
          <w:lang w:val="sq-AL"/>
        </w:rPr>
        <w:t xml:space="preserve">M </w:t>
      </w:r>
    </w:p>
    <w:p w14:paraId="5A736504" w14:textId="7EEE492D" w:rsidR="004D4245" w:rsidRPr="00E24ECC" w:rsidRDefault="00201111" w:rsidP="005B66E4">
      <w:pPr>
        <w:pStyle w:val="Default"/>
        <w:spacing w:line="276" w:lineRule="auto"/>
        <w:jc w:val="center"/>
        <w:rPr>
          <w:rFonts w:ascii="Cambria" w:hAnsi="Cambria" w:cs="Times New Roman"/>
          <w:b/>
          <w:color w:val="auto"/>
          <w:sz w:val="44"/>
          <w:lang w:val="sq-AL"/>
        </w:rPr>
      </w:pPr>
      <w:r w:rsidRPr="00E24ECC">
        <w:rPr>
          <w:rFonts w:ascii="Cambria" w:hAnsi="Cambria"/>
          <w:b/>
          <w:color w:val="auto"/>
          <w:sz w:val="44"/>
          <w:lang w:val="sq-AL"/>
        </w:rPr>
        <w:t>202</w:t>
      </w:r>
      <w:r w:rsidR="0048243F" w:rsidRPr="00E24ECC">
        <w:rPr>
          <w:rFonts w:ascii="Cambria" w:hAnsi="Cambria"/>
          <w:b/>
          <w:color w:val="auto"/>
          <w:sz w:val="44"/>
          <w:lang w:val="sq-AL"/>
        </w:rPr>
        <w:t>6</w:t>
      </w:r>
      <w:r w:rsidRPr="00E24ECC">
        <w:rPr>
          <w:rFonts w:ascii="Cambria" w:hAnsi="Cambria"/>
          <w:b/>
          <w:color w:val="auto"/>
          <w:sz w:val="44"/>
          <w:lang w:val="sq-AL"/>
        </w:rPr>
        <w:t>-202</w:t>
      </w:r>
      <w:r w:rsidR="0048243F" w:rsidRPr="00E24ECC">
        <w:rPr>
          <w:rFonts w:ascii="Cambria" w:hAnsi="Cambria"/>
          <w:b/>
          <w:color w:val="auto"/>
          <w:sz w:val="44"/>
          <w:lang w:val="sq-AL"/>
        </w:rPr>
        <w:t>8</w:t>
      </w:r>
    </w:p>
    <w:p w14:paraId="17F7262B" w14:textId="77777777" w:rsidR="003E1FC0" w:rsidRPr="00E24ECC" w:rsidRDefault="003E1FC0" w:rsidP="005B66E4">
      <w:pPr>
        <w:pStyle w:val="Default"/>
        <w:spacing w:line="276" w:lineRule="auto"/>
        <w:jc w:val="both"/>
        <w:rPr>
          <w:rFonts w:ascii="Cambria" w:hAnsi="Cambria" w:cs="Times New Roman"/>
          <w:b/>
          <w:color w:val="auto"/>
          <w:sz w:val="32"/>
          <w:lang w:val="sq-AL"/>
        </w:rPr>
      </w:pPr>
    </w:p>
    <w:p w14:paraId="7F7FFFAE" w14:textId="77777777" w:rsidR="003E1FC0" w:rsidRPr="00E24ECC" w:rsidRDefault="003E1FC0" w:rsidP="005B66E4">
      <w:pPr>
        <w:pStyle w:val="Default"/>
        <w:spacing w:line="276" w:lineRule="auto"/>
        <w:jc w:val="both"/>
        <w:rPr>
          <w:rFonts w:ascii="Cambria" w:hAnsi="Cambria" w:cs="Times New Roman"/>
          <w:b/>
          <w:color w:val="auto"/>
          <w:lang w:val="sq-AL"/>
        </w:rPr>
      </w:pPr>
    </w:p>
    <w:p w14:paraId="6C80C206" w14:textId="77777777" w:rsidR="00642AF5" w:rsidRPr="00E24ECC" w:rsidRDefault="00642AF5" w:rsidP="005B66E4">
      <w:pPr>
        <w:pStyle w:val="Default"/>
        <w:spacing w:line="276" w:lineRule="auto"/>
        <w:jc w:val="both"/>
        <w:rPr>
          <w:rFonts w:ascii="Cambria" w:hAnsi="Cambria" w:cs="Times New Roman"/>
          <w:b/>
          <w:color w:val="auto"/>
          <w:lang w:val="sq-AL"/>
        </w:rPr>
      </w:pPr>
    </w:p>
    <w:p w14:paraId="22A05E49" w14:textId="77777777" w:rsidR="00642AF5" w:rsidRPr="00E24ECC" w:rsidRDefault="00642AF5" w:rsidP="005B66E4">
      <w:pPr>
        <w:pStyle w:val="Default"/>
        <w:spacing w:line="276" w:lineRule="auto"/>
        <w:jc w:val="both"/>
        <w:rPr>
          <w:rFonts w:ascii="Cambria" w:hAnsi="Cambria" w:cs="Times New Roman"/>
          <w:b/>
          <w:color w:val="auto"/>
          <w:lang w:val="sq-AL"/>
        </w:rPr>
      </w:pPr>
    </w:p>
    <w:p w14:paraId="7D4DE4F7" w14:textId="77777777" w:rsidR="00642AF5" w:rsidRPr="00E24ECC" w:rsidRDefault="00642AF5" w:rsidP="005B66E4">
      <w:pPr>
        <w:pStyle w:val="Default"/>
        <w:spacing w:line="276" w:lineRule="auto"/>
        <w:jc w:val="both"/>
        <w:rPr>
          <w:rFonts w:ascii="Cambria" w:hAnsi="Cambria" w:cs="Times New Roman"/>
          <w:b/>
          <w:color w:val="auto"/>
          <w:lang w:val="sq-AL"/>
        </w:rPr>
      </w:pPr>
    </w:p>
    <w:p w14:paraId="3055DEC1" w14:textId="77777777" w:rsidR="00642AF5" w:rsidRPr="00E24ECC" w:rsidRDefault="00642AF5" w:rsidP="005B66E4">
      <w:pPr>
        <w:pStyle w:val="Default"/>
        <w:spacing w:line="276" w:lineRule="auto"/>
        <w:jc w:val="both"/>
        <w:rPr>
          <w:rFonts w:ascii="Cambria" w:hAnsi="Cambria" w:cs="Times New Roman"/>
          <w:b/>
          <w:color w:val="auto"/>
          <w:lang w:val="sq-AL"/>
        </w:rPr>
      </w:pPr>
    </w:p>
    <w:p w14:paraId="694F51E0" w14:textId="77777777" w:rsidR="00642AF5" w:rsidRPr="00E24ECC" w:rsidRDefault="00642AF5" w:rsidP="005B66E4">
      <w:pPr>
        <w:pStyle w:val="Default"/>
        <w:spacing w:line="276" w:lineRule="auto"/>
        <w:jc w:val="both"/>
        <w:rPr>
          <w:rFonts w:ascii="Cambria" w:hAnsi="Cambria" w:cs="Times New Roman"/>
          <w:b/>
          <w:color w:val="auto"/>
          <w:lang w:val="sq-AL"/>
        </w:rPr>
      </w:pPr>
    </w:p>
    <w:p w14:paraId="2304EE52" w14:textId="77777777" w:rsidR="00642AF5" w:rsidRPr="00E24ECC" w:rsidRDefault="00642AF5" w:rsidP="005B66E4">
      <w:pPr>
        <w:pStyle w:val="Default"/>
        <w:spacing w:line="276" w:lineRule="auto"/>
        <w:jc w:val="both"/>
        <w:rPr>
          <w:rFonts w:ascii="Cambria" w:hAnsi="Cambria" w:cs="Times New Roman"/>
          <w:b/>
          <w:color w:val="auto"/>
          <w:lang w:val="sq-AL"/>
        </w:rPr>
      </w:pPr>
    </w:p>
    <w:p w14:paraId="0F378181" w14:textId="77777777" w:rsidR="000440F2" w:rsidRPr="00E24ECC" w:rsidRDefault="000440F2" w:rsidP="005B66E4">
      <w:pPr>
        <w:pStyle w:val="Default"/>
        <w:spacing w:line="276" w:lineRule="auto"/>
        <w:jc w:val="both"/>
        <w:rPr>
          <w:rFonts w:ascii="Cambria" w:hAnsi="Cambria" w:cs="Times New Roman"/>
          <w:b/>
          <w:color w:val="auto"/>
          <w:lang w:val="sq-AL"/>
        </w:rPr>
      </w:pPr>
    </w:p>
    <w:p w14:paraId="5F6FF0CD" w14:textId="77777777" w:rsidR="000440F2" w:rsidRPr="00E24ECC" w:rsidRDefault="000440F2" w:rsidP="005B66E4">
      <w:pPr>
        <w:pStyle w:val="Default"/>
        <w:spacing w:line="276" w:lineRule="auto"/>
        <w:jc w:val="both"/>
        <w:rPr>
          <w:rFonts w:ascii="Cambria" w:hAnsi="Cambria" w:cs="Times New Roman"/>
          <w:b/>
          <w:color w:val="auto"/>
          <w:lang w:val="sq-AL"/>
        </w:rPr>
      </w:pPr>
    </w:p>
    <w:p w14:paraId="6475D87D" w14:textId="77777777" w:rsidR="000440F2" w:rsidRPr="00E24ECC" w:rsidRDefault="000440F2" w:rsidP="005B66E4">
      <w:pPr>
        <w:pStyle w:val="Default"/>
        <w:spacing w:line="276" w:lineRule="auto"/>
        <w:jc w:val="both"/>
        <w:rPr>
          <w:rFonts w:ascii="Cambria" w:hAnsi="Cambria" w:cs="Times New Roman"/>
          <w:b/>
          <w:color w:val="auto"/>
          <w:lang w:val="sq-AL"/>
        </w:rPr>
      </w:pPr>
    </w:p>
    <w:p w14:paraId="17FF2275" w14:textId="77777777" w:rsidR="00EC6830" w:rsidRPr="00E24ECC" w:rsidRDefault="00EC6830" w:rsidP="005B66E4">
      <w:pPr>
        <w:pStyle w:val="Default"/>
        <w:spacing w:line="276" w:lineRule="auto"/>
        <w:jc w:val="both"/>
        <w:rPr>
          <w:rFonts w:ascii="Cambria" w:hAnsi="Cambria" w:cs="Times New Roman"/>
          <w:b/>
          <w:color w:val="auto"/>
          <w:lang w:val="sq-AL"/>
        </w:rPr>
      </w:pPr>
    </w:p>
    <w:p w14:paraId="31D99D53" w14:textId="77777777" w:rsidR="00EC6830" w:rsidRPr="00E24ECC" w:rsidRDefault="00EC6830" w:rsidP="005B66E4">
      <w:pPr>
        <w:pStyle w:val="Default"/>
        <w:spacing w:line="276" w:lineRule="auto"/>
        <w:jc w:val="both"/>
        <w:rPr>
          <w:rFonts w:ascii="Cambria" w:hAnsi="Cambria" w:cs="Times New Roman"/>
          <w:b/>
          <w:color w:val="auto"/>
          <w:lang w:val="sq-AL"/>
        </w:rPr>
      </w:pPr>
    </w:p>
    <w:p w14:paraId="0475432F" w14:textId="77777777" w:rsidR="00EC6830" w:rsidRPr="00E24ECC" w:rsidRDefault="00EC6830" w:rsidP="005B66E4">
      <w:pPr>
        <w:pStyle w:val="Default"/>
        <w:spacing w:line="276" w:lineRule="auto"/>
        <w:jc w:val="both"/>
        <w:rPr>
          <w:rFonts w:ascii="Cambria" w:hAnsi="Cambria" w:cs="Times New Roman"/>
          <w:b/>
          <w:color w:val="auto"/>
          <w:lang w:val="sq-AL"/>
        </w:rPr>
      </w:pPr>
    </w:p>
    <w:p w14:paraId="219F273C" w14:textId="77777777" w:rsidR="00EC6830" w:rsidRPr="00E24ECC" w:rsidRDefault="00EC6830" w:rsidP="005B66E4">
      <w:pPr>
        <w:pStyle w:val="Default"/>
        <w:spacing w:line="276" w:lineRule="auto"/>
        <w:jc w:val="both"/>
        <w:rPr>
          <w:rFonts w:ascii="Cambria" w:hAnsi="Cambria" w:cs="Times New Roman"/>
          <w:b/>
          <w:color w:val="auto"/>
          <w:lang w:val="sq-AL"/>
        </w:rPr>
      </w:pPr>
    </w:p>
    <w:p w14:paraId="71B0F55F" w14:textId="77777777" w:rsidR="003E4C9B" w:rsidRPr="00E24ECC" w:rsidRDefault="003E4C9B" w:rsidP="005B66E4">
      <w:pPr>
        <w:pStyle w:val="Default"/>
        <w:spacing w:line="276" w:lineRule="auto"/>
        <w:jc w:val="both"/>
        <w:rPr>
          <w:rFonts w:ascii="Cambria" w:hAnsi="Cambria" w:cs="Times New Roman"/>
          <w:b/>
          <w:color w:val="auto"/>
          <w:lang w:val="sq-AL"/>
        </w:rPr>
      </w:pPr>
    </w:p>
    <w:p w14:paraId="2CC22FC7" w14:textId="77777777" w:rsidR="00642AF5" w:rsidRPr="00E24ECC" w:rsidRDefault="00642AF5" w:rsidP="005B66E4">
      <w:pPr>
        <w:pStyle w:val="Default"/>
        <w:spacing w:line="276" w:lineRule="auto"/>
        <w:jc w:val="both"/>
        <w:rPr>
          <w:rFonts w:ascii="Cambria" w:hAnsi="Cambria" w:cs="Times New Roman"/>
          <w:b/>
          <w:color w:val="auto"/>
          <w:lang w:val="sq-AL"/>
        </w:rPr>
      </w:pPr>
    </w:p>
    <w:sdt>
      <w:sdtPr>
        <w:rPr>
          <w:rFonts w:asciiTheme="minorHAnsi" w:eastAsiaTheme="minorHAnsi" w:hAnsiTheme="minorHAnsi" w:cstheme="minorBidi"/>
          <w:color w:val="auto"/>
          <w:sz w:val="24"/>
          <w:szCs w:val="24"/>
          <w:lang w:val="sq-AL"/>
        </w:rPr>
        <w:id w:val="-1796203193"/>
        <w:docPartObj>
          <w:docPartGallery w:val="Table of Contents"/>
          <w:docPartUnique/>
        </w:docPartObj>
      </w:sdtPr>
      <w:sdtEndPr>
        <w:rPr>
          <w:rFonts w:eastAsiaTheme="minorEastAsia"/>
          <w:b/>
          <w:bCs/>
          <w:noProof/>
        </w:rPr>
      </w:sdtEndPr>
      <w:sdtContent>
        <w:p w14:paraId="30AFBF48" w14:textId="77777777" w:rsidR="009B79CF" w:rsidRPr="00E24ECC" w:rsidRDefault="00B515B7" w:rsidP="005B66E4">
          <w:pPr>
            <w:pStyle w:val="TOCHeading"/>
            <w:spacing w:line="276" w:lineRule="auto"/>
            <w:jc w:val="center"/>
            <w:rPr>
              <w:rFonts w:ascii="Cambria" w:hAnsi="Cambria"/>
              <w:b/>
              <w:color w:val="auto"/>
              <w:sz w:val="24"/>
              <w:szCs w:val="24"/>
              <w:lang w:val="sq-AL"/>
            </w:rPr>
          </w:pPr>
          <w:r w:rsidRPr="00E24ECC">
            <w:rPr>
              <w:rFonts w:ascii="Cambria" w:hAnsi="Cambria"/>
              <w:b/>
              <w:color w:val="auto"/>
              <w:sz w:val="24"/>
              <w:szCs w:val="24"/>
              <w:lang w:val="sq-AL"/>
            </w:rPr>
            <w:t>PËRMBAJTJA</w:t>
          </w:r>
        </w:p>
        <w:p w14:paraId="614A0CC3" w14:textId="77777777" w:rsidR="001B61E7" w:rsidRPr="00E24ECC" w:rsidRDefault="001B61E7" w:rsidP="005B66E4">
          <w:pPr>
            <w:spacing w:line="276" w:lineRule="auto"/>
            <w:rPr>
              <w:sz w:val="24"/>
              <w:szCs w:val="24"/>
              <w:lang w:val="sq-AL"/>
            </w:rPr>
          </w:pPr>
        </w:p>
        <w:p w14:paraId="70D88C59" w14:textId="77777777" w:rsidR="00B515B7" w:rsidRPr="00E24ECC" w:rsidRDefault="00B515B7" w:rsidP="005B66E4">
          <w:pPr>
            <w:spacing w:line="276" w:lineRule="auto"/>
            <w:rPr>
              <w:sz w:val="24"/>
              <w:szCs w:val="24"/>
              <w:lang w:val="sq-AL"/>
            </w:rPr>
          </w:pPr>
        </w:p>
        <w:p w14:paraId="737F8397" w14:textId="770E83B3" w:rsidR="00A64C71" w:rsidRDefault="009B79CF">
          <w:pPr>
            <w:pStyle w:val="TOC1"/>
            <w:rPr>
              <w:noProof/>
              <w:kern w:val="2"/>
              <w:sz w:val="24"/>
              <w:szCs w:val="24"/>
              <w14:ligatures w14:val="standardContextual"/>
            </w:rPr>
          </w:pPr>
          <w:r w:rsidRPr="00E24ECC">
            <w:rPr>
              <w:sz w:val="24"/>
              <w:szCs w:val="24"/>
              <w:lang w:val="sq-AL"/>
            </w:rPr>
            <w:fldChar w:fldCharType="begin"/>
          </w:r>
          <w:r w:rsidRPr="00E24ECC">
            <w:rPr>
              <w:sz w:val="24"/>
              <w:szCs w:val="24"/>
              <w:lang w:val="sq-AL"/>
            </w:rPr>
            <w:instrText xml:space="preserve"> TOC \o "1-2" \h \z \u </w:instrText>
          </w:r>
          <w:r w:rsidRPr="00E24ECC">
            <w:rPr>
              <w:sz w:val="24"/>
              <w:szCs w:val="24"/>
              <w:lang w:val="sq-AL"/>
            </w:rPr>
            <w:fldChar w:fldCharType="separate"/>
          </w:r>
          <w:hyperlink w:anchor="_Toc200704908" w:history="1">
            <w:r w:rsidR="00A64C71" w:rsidRPr="005F764F">
              <w:rPr>
                <w:rStyle w:val="Hyperlink"/>
                <w:rFonts w:ascii="Cambria" w:hAnsi="Cambria"/>
                <w:b/>
                <w:noProof/>
                <w:lang w:val="sq-AL"/>
              </w:rPr>
              <w:t>1</w:t>
            </w:r>
            <w:r w:rsidR="00A64C71">
              <w:rPr>
                <w:noProof/>
                <w:kern w:val="2"/>
                <w:sz w:val="24"/>
                <w:szCs w:val="24"/>
                <w14:ligatures w14:val="standardContextual"/>
              </w:rPr>
              <w:tab/>
            </w:r>
            <w:r w:rsidR="00A64C71" w:rsidRPr="005F764F">
              <w:rPr>
                <w:rStyle w:val="Hyperlink"/>
                <w:rFonts w:ascii="Cambria" w:hAnsi="Cambria"/>
                <w:b/>
                <w:noProof/>
                <w:lang w:val="sq-AL"/>
              </w:rPr>
              <w:t>PRIORITETET AFATMESME NË PBA 2026-2028</w:t>
            </w:r>
            <w:r w:rsidR="00A64C71">
              <w:rPr>
                <w:noProof/>
                <w:webHidden/>
              </w:rPr>
              <w:tab/>
            </w:r>
            <w:r w:rsidR="00A64C71">
              <w:rPr>
                <w:noProof/>
                <w:webHidden/>
              </w:rPr>
              <w:fldChar w:fldCharType="begin"/>
            </w:r>
            <w:r w:rsidR="00A64C71">
              <w:rPr>
                <w:noProof/>
                <w:webHidden/>
              </w:rPr>
              <w:instrText xml:space="preserve"> PAGEREF _Toc200704908 \h </w:instrText>
            </w:r>
            <w:r w:rsidR="00A64C71">
              <w:rPr>
                <w:noProof/>
                <w:webHidden/>
              </w:rPr>
            </w:r>
            <w:r w:rsidR="00A64C71">
              <w:rPr>
                <w:noProof/>
                <w:webHidden/>
              </w:rPr>
              <w:fldChar w:fldCharType="separate"/>
            </w:r>
            <w:r w:rsidR="00A64C71">
              <w:rPr>
                <w:noProof/>
                <w:webHidden/>
              </w:rPr>
              <w:t>3</w:t>
            </w:r>
            <w:r w:rsidR="00A64C71">
              <w:rPr>
                <w:noProof/>
                <w:webHidden/>
              </w:rPr>
              <w:fldChar w:fldCharType="end"/>
            </w:r>
          </w:hyperlink>
        </w:p>
        <w:p w14:paraId="7DE83AFA" w14:textId="5159DB67"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09" w:history="1">
            <w:r w:rsidRPr="005F764F">
              <w:rPr>
                <w:rStyle w:val="Hyperlink"/>
                <w:rFonts w:cs="Times New Roman"/>
              </w:rPr>
              <w:t>1.1</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Përmbledhje e trendeve afatmesme të zhvillimit makroekonomik</w:t>
            </w:r>
            <w:r>
              <w:rPr>
                <w:webHidden/>
              </w:rPr>
              <w:tab/>
            </w:r>
            <w:r>
              <w:rPr>
                <w:webHidden/>
              </w:rPr>
              <w:fldChar w:fldCharType="begin"/>
            </w:r>
            <w:r>
              <w:rPr>
                <w:webHidden/>
              </w:rPr>
              <w:instrText xml:space="preserve"> PAGEREF _Toc200704909 \h </w:instrText>
            </w:r>
            <w:r>
              <w:rPr>
                <w:webHidden/>
              </w:rPr>
            </w:r>
            <w:r>
              <w:rPr>
                <w:webHidden/>
              </w:rPr>
              <w:fldChar w:fldCharType="separate"/>
            </w:r>
            <w:r>
              <w:rPr>
                <w:webHidden/>
              </w:rPr>
              <w:t>3</w:t>
            </w:r>
            <w:r>
              <w:rPr>
                <w:webHidden/>
              </w:rPr>
              <w:fldChar w:fldCharType="end"/>
            </w:r>
          </w:hyperlink>
        </w:p>
        <w:p w14:paraId="512B843A" w14:textId="42CE2062"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0" w:history="1">
            <w:r w:rsidRPr="00A64C71">
              <w:rPr>
                <w:rStyle w:val="Hyperlink"/>
              </w:rPr>
              <w:t>1.2</w:t>
            </w:r>
            <w:r w:rsidRPr="00A64C71">
              <w:rPr>
                <w:rFonts w:asciiTheme="minorHAnsi" w:eastAsiaTheme="minorEastAsia" w:hAnsiTheme="minorHAnsi" w:cstheme="minorBidi"/>
                <w:b w:val="0"/>
                <w:bCs w:val="0"/>
                <w:iCs w:val="0"/>
                <w:kern w:val="2"/>
                <w:sz w:val="24"/>
                <w:szCs w:val="24"/>
                <w:lang w:val="en-US" w:eastAsia="en-US"/>
                <w14:ligatures w14:val="standardContextual"/>
              </w:rPr>
              <w:tab/>
            </w:r>
            <w:r w:rsidRPr="00A64C71">
              <w:rPr>
                <w:rStyle w:val="Hyperlink"/>
              </w:rPr>
              <w:t>Prioritetet buxhetore afatmesme 2026-2028</w:t>
            </w:r>
            <w:r w:rsidRPr="00A64C71">
              <w:rPr>
                <w:webHidden/>
              </w:rPr>
              <w:tab/>
            </w:r>
            <w:r w:rsidRPr="00A64C71">
              <w:rPr>
                <w:webHidden/>
              </w:rPr>
              <w:fldChar w:fldCharType="begin"/>
            </w:r>
            <w:r w:rsidRPr="00A64C71">
              <w:rPr>
                <w:webHidden/>
              </w:rPr>
              <w:instrText xml:space="preserve"> PAGEREF _Toc200704910 \h </w:instrText>
            </w:r>
            <w:r w:rsidRPr="00A64C71">
              <w:rPr>
                <w:webHidden/>
              </w:rPr>
            </w:r>
            <w:r w:rsidRPr="00A64C71">
              <w:rPr>
                <w:webHidden/>
              </w:rPr>
              <w:fldChar w:fldCharType="separate"/>
            </w:r>
            <w:r w:rsidRPr="00A64C71">
              <w:rPr>
                <w:webHidden/>
              </w:rPr>
              <w:t>6</w:t>
            </w:r>
            <w:r w:rsidRPr="00A64C71">
              <w:rPr>
                <w:webHidden/>
              </w:rPr>
              <w:fldChar w:fldCharType="end"/>
            </w:r>
          </w:hyperlink>
        </w:p>
        <w:p w14:paraId="0D7C8535" w14:textId="0D2217C2" w:rsidR="00A64C71" w:rsidRDefault="00A64C71">
          <w:pPr>
            <w:pStyle w:val="TOC1"/>
            <w:rPr>
              <w:noProof/>
              <w:kern w:val="2"/>
              <w:sz w:val="24"/>
              <w:szCs w:val="24"/>
              <w14:ligatures w14:val="standardContextual"/>
            </w:rPr>
          </w:pPr>
          <w:hyperlink w:anchor="_Toc200704911" w:history="1">
            <w:r w:rsidRPr="005F764F">
              <w:rPr>
                <w:rStyle w:val="Hyperlink"/>
                <w:rFonts w:ascii="Cambria" w:hAnsi="Cambria"/>
                <w:b/>
                <w:noProof/>
                <w:lang w:val="sq-AL"/>
              </w:rPr>
              <w:t>2</w:t>
            </w:r>
            <w:r>
              <w:rPr>
                <w:noProof/>
                <w:kern w:val="2"/>
                <w:sz w:val="24"/>
                <w:szCs w:val="24"/>
                <w14:ligatures w14:val="standardContextual"/>
              </w:rPr>
              <w:tab/>
            </w:r>
            <w:r w:rsidRPr="005F764F">
              <w:rPr>
                <w:rStyle w:val="Hyperlink"/>
                <w:rFonts w:ascii="Cambria" w:hAnsi="Cambria"/>
                <w:b/>
                <w:noProof/>
                <w:lang w:val="sq-AL"/>
              </w:rPr>
              <w:t>KUADRI MAKROEKONOMIK DHE FISKAL 2026-2028</w:t>
            </w:r>
            <w:r>
              <w:rPr>
                <w:noProof/>
                <w:webHidden/>
              </w:rPr>
              <w:tab/>
            </w:r>
            <w:r>
              <w:rPr>
                <w:noProof/>
                <w:webHidden/>
              </w:rPr>
              <w:fldChar w:fldCharType="begin"/>
            </w:r>
            <w:r>
              <w:rPr>
                <w:noProof/>
                <w:webHidden/>
              </w:rPr>
              <w:instrText xml:space="preserve"> PAGEREF _Toc200704911 \h </w:instrText>
            </w:r>
            <w:r>
              <w:rPr>
                <w:noProof/>
                <w:webHidden/>
              </w:rPr>
            </w:r>
            <w:r>
              <w:rPr>
                <w:noProof/>
                <w:webHidden/>
              </w:rPr>
              <w:fldChar w:fldCharType="separate"/>
            </w:r>
            <w:r>
              <w:rPr>
                <w:noProof/>
                <w:webHidden/>
              </w:rPr>
              <w:t>9</w:t>
            </w:r>
            <w:r>
              <w:rPr>
                <w:noProof/>
                <w:webHidden/>
              </w:rPr>
              <w:fldChar w:fldCharType="end"/>
            </w:r>
          </w:hyperlink>
        </w:p>
        <w:p w14:paraId="7D0EF773" w14:textId="5299E872"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2" w:history="1">
            <w:r w:rsidRPr="005F764F">
              <w:rPr>
                <w:rStyle w:val="Hyperlink"/>
                <w:rFonts w:cstheme="minorHAnsi"/>
              </w:rPr>
              <w:t>2.1 Zhvillimet Makroekonomike</w:t>
            </w:r>
            <w:r>
              <w:rPr>
                <w:webHidden/>
              </w:rPr>
              <w:tab/>
            </w:r>
            <w:r>
              <w:rPr>
                <w:webHidden/>
              </w:rPr>
              <w:fldChar w:fldCharType="begin"/>
            </w:r>
            <w:r>
              <w:rPr>
                <w:webHidden/>
              </w:rPr>
              <w:instrText xml:space="preserve"> PAGEREF _Toc200704912 \h </w:instrText>
            </w:r>
            <w:r>
              <w:rPr>
                <w:webHidden/>
              </w:rPr>
            </w:r>
            <w:r>
              <w:rPr>
                <w:webHidden/>
              </w:rPr>
              <w:fldChar w:fldCharType="separate"/>
            </w:r>
            <w:r>
              <w:rPr>
                <w:webHidden/>
              </w:rPr>
              <w:t>10</w:t>
            </w:r>
            <w:r>
              <w:rPr>
                <w:webHidden/>
              </w:rPr>
              <w:fldChar w:fldCharType="end"/>
            </w:r>
          </w:hyperlink>
        </w:p>
        <w:p w14:paraId="4237F5A2" w14:textId="7C7AE8A8" w:rsidR="00A64C71" w:rsidRDefault="00A64C71">
          <w:pPr>
            <w:pStyle w:val="TOC1"/>
            <w:rPr>
              <w:noProof/>
              <w:kern w:val="2"/>
              <w:sz w:val="24"/>
              <w:szCs w:val="24"/>
              <w14:ligatures w14:val="standardContextual"/>
            </w:rPr>
          </w:pPr>
          <w:hyperlink w:anchor="_Toc200704913" w:history="1">
            <w:r w:rsidRPr="005F764F">
              <w:rPr>
                <w:rStyle w:val="Hyperlink"/>
                <w:rFonts w:ascii="Cambria" w:hAnsi="Cambria" w:cs="Times New Roman"/>
                <w:b/>
                <w:noProof/>
                <w:lang w:val="sq-AL"/>
              </w:rPr>
              <w:t>3</w:t>
            </w:r>
            <w:r>
              <w:rPr>
                <w:noProof/>
                <w:kern w:val="2"/>
                <w:sz w:val="24"/>
                <w:szCs w:val="24"/>
                <w14:ligatures w14:val="standardContextual"/>
              </w:rPr>
              <w:tab/>
            </w:r>
            <w:r w:rsidRPr="005F764F">
              <w:rPr>
                <w:rStyle w:val="Hyperlink"/>
                <w:rFonts w:ascii="Cambria" w:hAnsi="Cambria" w:cs="Times New Roman"/>
                <w:b/>
                <w:noProof/>
                <w:lang w:val="sq-AL"/>
              </w:rPr>
              <w:t>PROGRAMI BUXHETOR AFATMESËM 2026-2028</w:t>
            </w:r>
            <w:r>
              <w:rPr>
                <w:noProof/>
                <w:webHidden/>
              </w:rPr>
              <w:tab/>
            </w:r>
            <w:r>
              <w:rPr>
                <w:noProof/>
                <w:webHidden/>
              </w:rPr>
              <w:fldChar w:fldCharType="begin"/>
            </w:r>
            <w:r>
              <w:rPr>
                <w:noProof/>
                <w:webHidden/>
              </w:rPr>
              <w:instrText xml:space="preserve"> PAGEREF _Toc200704913 \h </w:instrText>
            </w:r>
            <w:r>
              <w:rPr>
                <w:noProof/>
                <w:webHidden/>
              </w:rPr>
            </w:r>
            <w:r>
              <w:rPr>
                <w:noProof/>
                <w:webHidden/>
              </w:rPr>
              <w:fldChar w:fldCharType="separate"/>
            </w:r>
            <w:r>
              <w:rPr>
                <w:noProof/>
                <w:webHidden/>
              </w:rPr>
              <w:t>21</w:t>
            </w:r>
            <w:r>
              <w:rPr>
                <w:noProof/>
                <w:webHidden/>
              </w:rPr>
              <w:fldChar w:fldCharType="end"/>
            </w:r>
          </w:hyperlink>
        </w:p>
        <w:p w14:paraId="77D70F41" w14:textId="34C64C68"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4" w:history="1">
            <w:r w:rsidRPr="005F764F">
              <w:rPr>
                <w:rStyle w:val="Hyperlink"/>
              </w:rPr>
              <w:t>3.1</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SHËNDETËSISË DHE MBROJTJES SOCIALE</w:t>
            </w:r>
            <w:r>
              <w:rPr>
                <w:webHidden/>
              </w:rPr>
              <w:tab/>
            </w:r>
            <w:r>
              <w:rPr>
                <w:webHidden/>
              </w:rPr>
              <w:fldChar w:fldCharType="begin"/>
            </w:r>
            <w:r>
              <w:rPr>
                <w:webHidden/>
              </w:rPr>
              <w:instrText xml:space="preserve"> PAGEREF _Toc200704914 \h </w:instrText>
            </w:r>
            <w:r>
              <w:rPr>
                <w:webHidden/>
              </w:rPr>
            </w:r>
            <w:r>
              <w:rPr>
                <w:webHidden/>
              </w:rPr>
              <w:fldChar w:fldCharType="separate"/>
            </w:r>
            <w:r>
              <w:rPr>
                <w:webHidden/>
              </w:rPr>
              <w:t>21</w:t>
            </w:r>
            <w:r>
              <w:rPr>
                <w:webHidden/>
              </w:rPr>
              <w:fldChar w:fldCharType="end"/>
            </w:r>
          </w:hyperlink>
        </w:p>
        <w:p w14:paraId="107134CA" w14:textId="3536D627"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5" w:history="1">
            <w:r w:rsidRPr="005F764F">
              <w:rPr>
                <w:rStyle w:val="Hyperlink"/>
              </w:rPr>
              <w:t>3.2</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ARSIMIT, SPORTIT DHE RINISË</w:t>
            </w:r>
            <w:r>
              <w:rPr>
                <w:webHidden/>
              </w:rPr>
              <w:tab/>
            </w:r>
            <w:r>
              <w:rPr>
                <w:webHidden/>
              </w:rPr>
              <w:fldChar w:fldCharType="begin"/>
            </w:r>
            <w:r>
              <w:rPr>
                <w:webHidden/>
              </w:rPr>
              <w:instrText xml:space="preserve"> PAGEREF _Toc200704915 \h </w:instrText>
            </w:r>
            <w:r>
              <w:rPr>
                <w:webHidden/>
              </w:rPr>
            </w:r>
            <w:r>
              <w:rPr>
                <w:webHidden/>
              </w:rPr>
              <w:fldChar w:fldCharType="separate"/>
            </w:r>
            <w:r>
              <w:rPr>
                <w:webHidden/>
              </w:rPr>
              <w:t>26</w:t>
            </w:r>
            <w:r>
              <w:rPr>
                <w:webHidden/>
              </w:rPr>
              <w:fldChar w:fldCharType="end"/>
            </w:r>
          </w:hyperlink>
        </w:p>
        <w:p w14:paraId="6202ECBE" w14:textId="239DC1EE"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6" w:history="1">
            <w:r w:rsidRPr="005F764F">
              <w:rPr>
                <w:rStyle w:val="Hyperlink"/>
              </w:rPr>
              <w:t>3.3</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BUJQËSISË DHE ZHVILLIMIT RURAL</w:t>
            </w:r>
            <w:r>
              <w:rPr>
                <w:webHidden/>
              </w:rPr>
              <w:tab/>
            </w:r>
            <w:r>
              <w:rPr>
                <w:webHidden/>
              </w:rPr>
              <w:fldChar w:fldCharType="begin"/>
            </w:r>
            <w:r>
              <w:rPr>
                <w:webHidden/>
              </w:rPr>
              <w:instrText xml:space="preserve"> PAGEREF _Toc200704916 \h </w:instrText>
            </w:r>
            <w:r>
              <w:rPr>
                <w:webHidden/>
              </w:rPr>
            </w:r>
            <w:r>
              <w:rPr>
                <w:webHidden/>
              </w:rPr>
              <w:fldChar w:fldCharType="separate"/>
            </w:r>
            <w:r>
              <w:rPr>
                <w:webHidden/>
              </w:rPr>
              <w:t>30</w:t>
            </w:r>
            <w:r>
              <w:rPr>
                <w:webHidden/>
              </w:rPr>
              <w:fldChar w:fldCharType="end"/>
            </w:r>
          </w:hyperlink>
        </w:p>
        <w:p w14:paraId="25411A2E" w14:textId="181DAD06"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7" w:history="1">
            <w:r w:rsidRPr="005F764F">
              <w:rPr>
                <w:rStyle w:val="Hyperlink"/>
              </w:rPr>
              <w:t>3.4</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DREJTËSISË</w:t>
            </w:r>
            <w:r>
              <w:rPr>
                <w:webHidden/>
              </w:rPr>
              <w:tab/>
            </w:r>
            <w:r>
              <w:rPr>
                <w:webHidden/>
              </w:rPr>
              <w:fldChar w:fldCharType="begin"/>
            </w:r>
            <w:r>
              <w:rPr>
                <w:webHidden/>
              </w:rPr>
              <w:instrText xml:space="preserve"> PAGEREF _Toc200704917 \h </w:instrText>
            </w:r>
            <w:r>
              <w:rPr>
                <w:webHidden/>
              </w:rPr>
            </w:r>
            <w:r>
              <w:rPr>
                <w:webHidden/>
              </w:rPr>
              <w:fldChar w:fldCharType="separate"/>
            </w:r>
            <w:r>
              <w:rPr>
                <w:webHidden/>
              </w:rPr>
              <w:t>34</w:t>
            </w:r>
            <w:r>
              <w:rPr>
                <w:webHidden/>
              </w:rPr>
              <w:fldChar w:fldCharType="end"/>
            </w:r>
          </w:hyperlink>
        </w:p>
        <w:p w14:paraId="4D96126E" w14:textId="61AC87DA"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18" w:history="1">
            <w:r w:rsidRPr="005F764F">
              <w:rPr>
                <w:rStyle w:val="Hyperlink"/>
              </w:rPr>
              <w:t>3.5</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INFRASTRUKTURËS DHE ENERGJISË</w:t>
            </w:r>
            <w:r>
              <w:rPr>
                <w:webHidden/>
              </w:rPr>
              <w:tab/>
            </w:r>
            <w:r>
              <w:rPr>
                <w:webHidden/>
              </w:rPr>
              <w:fldChar w:fldCharType="begin"/>
            </w:r>
            <w:r>
              <w:rPr>
                <w:webHidden/>
              </w:rPr>
              <w:instrText xml:space="preserve"> PAGEREF _Toc200704918 \h </w:instrText>
            </w:r>
            <w:r>
              <w:rPr>
                <w:webHidden/>
              </w:rPr>
            </w:r>
            <w:r>
              <w:rPr>
                <w:webHidden/>
              </w:rPr>
              <w:fldChar w:fldCharType="separate"/>
            </w:r>
            <w:r>
              <w:rPr>
                <w:webHidden/>
              </w:rPr>
              <w:t>38</w:t>
            </w:r>
            <w:r>
              <w:rPr>
                <w:webHidden/>
              </w:rPr>
              <w:fldChar w:fldCharType="end"/>
            </w:r>
          </w:hyperlink>
        </w:p>
        <w:p w14:paraId="114DD6E3" w14:textId="09814C63"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23" w:history="1">
            <w:r w:rsidRPr="005F764F">
              <w:rPr>
                <w:rStyle w:val="Hyperlink"/>
              </w:rPr>
              <w:t>3.6</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BRENDSHME</w:t>
            </w:r>
            <w:r>
              <w:rPr>
                <w:webHidden/>
              </w:rPr>
              <w:tab/>
            </w:r>
            <w:r>
              <w:rPr>
                <w:webHidden/>
              </w:rPr>
              <w:fldChar w:fldCharType="begin"/>
            </w:r>
            <w:r>
              <w:rPr>
                <w:webHidden/>
              </w:rPr>
              <w:instrText xml:space="preserve"> PAGEREF _Toc200704923 \h </w:instrText>
            </w:r>
            <w:r>
              <w:rPr>
                <w:webHidden/>
              </w:rPr>
            </w:r>
            <w:r>
              <w:rPr>
                <w:webHidden/>
              </w:rPr>
              <w:fldChar w:fldCharType="separate"/>
            </w:r>
            <w:r>
              <w:rPr>
                <w:webHidden/>
              </w:rPr>
              <w:t>43</w:t>
            </w:r>
            <w:r>
              <w:rPr>
                <w:webHidden/>
              </w:rPr>
              <w:fldChar w:fldCharType="end"/>
            </w:r>
          </w:hyperlink>
        </w:p>
        <w:p w14:paraId="72397C88" w14:textId="2BE6DCC6"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24" w:history="1">
            <w:r w:rsidRPr="005F764F">
              <w:rPr>
                <w:rStyle w:val="Hyperlink"/>
              </w:rPr>
              <w:t>3.7</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MBROJTJES</w:t>
            </w:r>
            <w:r>
              <w:rPr>
                <w:webHidden/>
              </w:rPr>
              <w:tab/>
            </w:r>
            <w:r>
              <w:rPr>
                <w:webHidden/>
              </w:rPr>
              <w:fldChar w:fldCharType="begin"/>
            </w:r>
            <w:r>
              <w:rPr>
                <w:webHidden/>
              </w:rPr>
              <w:instrText xml:space="preserve"> PAGEREF _Toc200704924 \h </w:instrText>
            </w:r>
            <w:r>
              <w:rPr>
                <w:webHidden/>
              </w:rPr>
            </w:r>
            <w:r>
              <w:rPr>
                <w:webHidden/>
              </w:rPr>
              <w:fldChar w:fldCharType="separate"/>
            </w:r>
            <w:r>
              <w:rPr>
                <w:webHidden/>
              </w:rPr>
              <w:t>46</w:t>
            </w:r>
            <w:r>
              <w:rPr>
                <w:webHidden/>
              </w:rPr>
              <w:fldChar w:fldCharType="end"/>
            </w:r>
          </w:hyperlink>
        </w:p>
        <w:p w14:paraId="226B64D8" w14:textId="53A7FFA8"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25" w:history="1">
            <w:r w:rsidRPr="005F764F">
              <w:rPr>
                <w:rStyle w:val="Hyperlink"/>
              </w:rPr>
              <w:t>3.8</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TURIZMIT DHE MJEDISIT</w:t>
            </w:r>
            <w:r>
              <w:rPr>
                <w:webHidden/>
              </w:rPr>
              <w:tab/>
            </w:r>
            <w:r>
              <w:rPr>
                <w:webHidden/>
              </w:rPr>
              <w:fldChar w:fldCharType="begin"/>
            </w:r>
            <w:r>
              <w:rPr>
                <w:webHidden/>
              </w:rPr>
              <w:instrText xml:space="preserve"> PAGEREF _Toc200704925 \h </w:instrText>
            </w:r>
            <w:r>
              <w:rPr>
                <w:webHidden/>
              </w:rPr>
            </w:r>
            <w:r>
              <w:rPr>
                <w:webHidden/>
              </w:rPr>
              <w:fldChar w:fldCharType="separate"/>
            </w:r>
            <w:r>
              <w:rPr>
                <w:webHidden/>
              </w:rPr>
              <w:t>48</w:t>
            </w:r>
            <w:r>
              <w:rPr>
                <w:webHidden/>
              </w:rPr>
              <w:fldChar w:fldCharType="end"/>
            </w:r>
          </w:hyperlink>
        </w:p>
        <w:p w14:paraId="0D087AA1" w14:textId="12ADF177"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33" w:history="1">
            <w:r w:rsidRPr="005F764F">
              <w:rPr>
                <w:rStyle w:val="Hyperlink"/>
              </w:rPr>
              <w:t>3.9</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PËR EVROPËN DHE PUNËT E JASHTME</w:t>
            </w:r>
            <w:r>
              <w:rPr>
                <w:webHidden/>
              </w:rPr>
              <w:tab/>
            </w:r>
            <w:r>
              <w:rPr>
                <w:webHidden/>
              </w:rPr>
              <w:fldChar w:fldCharType="begin"/>
            </w:r>
            <w:r>
              <w:rPr>
                <w:webHidden/>
              </w:rPr>
              <w:instrText xml:space="preserve"> PAGEREF _Toc200704933 \h </w:instrText>
            </w:r>
            <w:r>
              <w:rPr>
                <w:webHidden/>
              </w:rPr>
            </w:r>
            <w:r>
              <w:rPr>
                <w:webHidden/>
              </w:rPr>
              <w:fldChar w:fldCharType="separate"/>
            </w:r>
            <w:r>
              <w:rPr>
                <w:webHidden/>
              </w:rPr>
              <w:t>51</w:t>
            </w:r>
            <w:r>
              <w:rPr>
                <w:webHidden/>
              </w:rPr>
              <w:fldChar w:fldCharType="end"/>
            </w:r>
          </w:hyperlink>
        </w:p>
        <w:p w14:paraId="195522E5" w14:textId="62788C37"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34" w:history="1">
            <w:r w:rsidRPr="005F764F">
              <w:rPr>
                <w:rStyle w:val="Hyperlink"/>
              </w:rPr>
              <w:t>3.10</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EKONOMISË, KULTURËS DHE INOVACIONIT</w:t>
            </w:r>
            <w:r>
              <w:rPr>
                <w:webHidden/>
              </w:rPr>
              <w:tab/>
            </w:r>
            <w:r>
              <w:rPr>
                <w:webHidden/>
              </w:rPr>
              <w:fldChar w:fldCharType="begin"/>
            </w:r>
            <w:r>
              <w:rPr>
                <w:webHidden/>
              </w:rPr>
              <w:instrText xml:space="preserve"> PAGEREF _Toc200704934 \h </w:instrText>
            </w:r>
            <w:r>
              <w:rPr>
                <w:webHidden/>
              </w:rPr>
            </w:r>
            <w:r>
              <w:rPr>
                <w:webHidden/>
              </w:rPr>
              <w:fldChar w:fldCharType="separate"/>
            </w:r>
            <w:r>
              <w:rPr>
                <w:webHidden/>
              </w:rPr>
              <w:t>54</w:t>
            </w:r>
            <w:r>
              <w:rPr>
                <w:webHidden/>
              </w:rPr>
              <w:fldChar w:fldCharType="end"/>
            </w:r>
          </w:hyperlink>
        </w:p>
        <w:p w14:paraId="72286BB4" w14:textId="5C0A19DE" w:rsidR="00A64C71" w:rsidRDefault="00A64C71">
          <w:pPr>
            <w:pStyle w:val="TOC2"/>
            <w:rPr>
              <w:rFonts w:asciiTheme="minorHAnsi" w:eastAsiaTheme="minorEastAsia" w:hAnsiTheme="minorHAnsi" w:cstheme="minorBidi"/>
              <w:b w:val="0"/>
              <w:bCs w:val="0"/>
              <w:iCs w:val="0"/>
              <w:kern w:val="2"/>
              <w:sz w:val="24"/>
              <w:szCs w:val="24"/>
              <w:lang w:val="en-US" w:eastAsia="en-US"/>
              <w14:ligatures w14:val="standardContextual"/>
            </w:rPr>
          </w:pPr>
          <w:hyperlink w:anchor="_Toc200704935" w:history="1">
            <w:r w:rsidRPr="005F764F">
              <w:rPr>
                <w:rStyle w:val="Hyperlink"/>
              </w:rPr>
              <w:t>3.11</w:t>
            </w:r>
            <w:r>
              <w:rPr>
                <w:rFonts w:asciiTheme="minorHAnsi" w:eastAsiaTheme="minorEastAsia" w:hAnsiTheme="minorHAnsi" w:cstheme="minorBidi"/>
                <w:b w:val="0"/>
                <w:bCs w:val="0"/>
                <w:iCs w:val="0"/>
                <w:kern w:val="2"/>
                <w:sz w:val="24"/>
                <w:szCs w:val="24"/>
                <w:lang w:val="en-US" w:eastAsia="en-US"/>
                <w14:ligatures w14:val="standardContextual"/>
              </w:rPr>
              <w:tab/>
            </w:r>
            <w:r w:rsidRPr="005F764F">
              <w:rPr>
                <w:rStyle w:val="Hyperlink"/>
              </w:rPr>
              <w:t>MINISTRIA E FINANCAVE</w:t>
            </w:r>
            <w:r>
              <w:rPr>
                <w:webHidden/>
              </w:rPr>
              <w:tab/>
            </w:r>
            <w:r>
              <w:rPr>
                <w:webHidden/>
              </w:rPr>
              <w:fldChar w:fldCharType="begin"/>
            </w:r>
            <w:r>
              <w:rPr>
                <w:webHidden/>
              </w:rPr>
              <w:instrText xml:space="preserve"> PAGEREF _Toc200704935 \h </w:instrText>
            </w:r>
            <w:r>
              <w:rPr>
                <w:webHidden/>
              </w:rPr>
            </w:r>
            <w:r>
              <w:rPr>
                <w:webHidden/>
              </w:rPr>
              <w:fldChar w:fldCharType="separate"/>
            </w:r>
            <w:r>
              <w:rPr>
                <w:webHidden/>
              </w:rPr>
              <w:t>58</w:t>
            </w:r>
            <w:r>
              <w:rPr>
                <w:webHidden/>
              </w:rPr>
              <w:fldChar w:fldCharType="end"/>
            </w:r>
          </w:hyperlink>
        </w:p>
        <w:p w14:paraId="13B8C14B" w14:textId="34048515" w:rsidR="00A64C71" w:rsidRDefault="00A64C71">
          <w:pPr>
            <w:pStyle w:val="TOC1"/>
            <w:rPr>
              <w:noProof/>
              <w:kern w:val="2"/>
              <w:sz w:val="24"/>
              <w:szCs w:val="24"/>
              <w14:ligatures w14:val="standardContextual"/>
            </w:rPr>
          </w:pPr>
          <w:hyperlink w:anchor="_Toc200704936" w:history="1">
            <w:r w:rsidRPr="005F764F">
              <w:rPr>
                <w:rStyle w:val="Hyperlink"/>
                <w:rFonts w:ascii="Cambria" w:hAnsi="Cambria"/>
                <w:b/>
                <w:noProof/>
                <w:lang w:val="sq-AL" w:eastAsia="sq-AL"/>
              </w:rPr>
              <w:t>4</w:t>
            </w:r>
            <w:r>
              <w:rPr>
                <w:noProof/>
                <w:kern w:val="2"/>
                <w:sz w:val="24"/>
                <w:szCs w:val="24"/>
                <w14:ligatures w14:val="standardContextual"/>
              </w:rPr>
              <w:tab/>
            </w:r>
            <w:r w:rsidRPr="005F764F">
              <w:rPr>
                <w:rStyle w:val="Hyperlink"/>
                <w:rFonts w:ascii="Cambria" w:hAnsi="Cambria"/>
                <w:b/>
                <w:noProof/>
                <w:lang w:val="sq-AL"/>
              </w:rPr>
              <w:t>Anekse</w:t>
            </w:r>
            <w:r>
              <w:rPr>
                <w:noProof/>
                <w:webHidden/>
              </w:rPr>
              <w:tab/>
            </w:r>
            <w:r>
              <w:rPr>
                <w:noProof/>
                <w:webHidden/>
              </w:rPr>
              <w:fldChar w:fldCharType="begin"/>
            </w:r>
            <w:r>
              <w:rPr>
                <w:noProof/>
                <w:webHidden/>
              </w:rPr>
              <w:instrText xml:space="preserve"> PAGEREF _Toc200704936 \h </w:instrText>
            </w:r>
            <w:r>
              <w:rPr>
                <w:noProof/>
                <w:webHidden/>
              </w:rPr>
            </w:r>
            <w:r>
              <w:rPr>
                <w:noProof/>
                <w:webHidden/>
              </w:rPr>
              <w:fldChar w:fldCharType="separate"/>
            </w:r>
            <w:r>
              <w:rPr>
                <w:noProof/>
                <w:webHidden/>
              </w:rPr>
              <w:t>61</w:t>
            </w:r>
            <w:r>
              <w:rPr>
                <w:noProof/>
                <w:webHidden/>
              </w:rPr>
              <w:fldChar w:fldCharType="end"/>
            </w:r>
          </w:hyperlink>
        </w:p>
        <w:p w14:paraId="7F7EC454" w14:textId="31DC191D" w:rsidR="009B79CF" w:rsidRPr="00E24ECC" w:rsidRDefault="009B79CF" w:rsidP="005B66E4">
          <w:pPr>
            <w:spacing w:line="276" w:lineRule="auto"/>
            <w:rPr>
              <w:sz w:val="24"/>
              <w:szCs w:val="24"/>
              <w:lang w:val="sq-AL"/>
            </w:rPr>
          </w:pPr>
          <w:r w:rsidRPr="00E24ECC">
            <w:rPr>
              <w:sz w:val="24"/>
              <w:szCs w:val="24"/>
              <w:lang w:val="sq-AL"/>
            </w:rPr>
            <w:fldChar w:fldCharType="end"/>
          </w:r>
        </w:p>
      </w:sdtContent>
    </w:sdt>
    <w:p w14:paraId="3D3ECD0B" w14:textId="77777777" w:rsidR="009B79CF" w:rsidRPr="00E24ECC" w:rsidRDefault="009B79CF" w:rsidP="005B66E4">
      <w:pPr>
        <w:pStyle w:val="Default"/>
        <w:spacing w:line="276" w:lineRule="auto"/>
        <w:jc w:val="both"/>
        <w:rPr>
          <w:rFonts w:ascii="Cambria" w:hAnsi="Cambria" w:cs="Times New Roman"/>
          <w:b/>
          <w:color w:val="auto"/>
          <w:lang w:val="sq-AL"/>
        </w:rPr>
      </w:pPr>
    </w:p>
    <w:p w14:paraId="2D4CE2A8" w14:textId="77777777" w:rsidR="009B79CF" w:rsidRPr="00E24ECC" w:rsidRDefault="009B79CF" w:rsidP="005B66E4">
      <w:pPr>
        <w:pStyle w:val="Default"/>
        <w:spacing w:line="276" w:lineRule="auto"/>
        <w:jc w:val="both"/>
        <w:rPr>
          <w:rFonts w:ascii="Cambria" w:hAnsi="Cambria" w:cs="Times New Roman"/>
          <w:b/>
          <w:color w:val="auto"/>
          <w:lang w:val="sq-AL"/>
        </w:rPr>
      </w:pPr>
    </w:p>
    <w:p w14:paraId="79A021B1" w14:textId="77777777" w:rsidR="00365B67" w:rsidRPr="00E24ECC" w:rsidRDefault="00365B67" w:rsidP="005B66E4">
      <w:pPr>
        <w:pStyle w:val="Default"/>
        <w:spacing w:line="276" w:lineRule="auto"/>
        <w:jc w:val="both"/>
        <w:rPr>
          <w:rFonts w:ascii="Cambria" w:hAnsi="Cambria" w:cs="Times New Roman"/>
          <w:b/>
          <w:color w:val="auto"/>
          <w:lang w:val="sq-AL"/>
        </w:rPr>
      </w:pPr>
    </w:p>
    <w:p w14:paraId="0F397B44" w14:textId="77777777" w:rsidR="009B79CF" w:rsidRPr="00E24ECC" w:rsidRDefault="009B79CF" w:rsidP="005B66E4">
      <w:pPr>
        <w:pStyle w:val="Default"/>
        <w:spacing w:line="276" w:lineRule="auto"/>
        <w:jc w:val="both"/>
        <w:rPr>
          <w:rFonts w:ascii="Cambria" w:hAnsi="Cambria" w:cs="Times New Roman"/>
          <w:b/>
          <w:color w:val="auto"/>
          <w:lang w:val="sq-AL"/>
        </w:rPr>
      </w:pPr>
    </w:p>
    <w:p w14:paraId="2B3A8BD6" w14:textId="77777777" w:rsidR="00E37C7E" w:rsidRPr="00E24ECC" w:rsidRDefault="00E37C7E" w:rsidP="005B66E4">
      <w:pPr>
        <w:pStyle w:val="Default"/>
        <w:spacing w:line="276" w:lineRule="auto"/>
        <w:jc w:val="both"/>
        <w:rPr>
          <w:rFonts w:ascii="Cambria" w:hAnsi="Cambria" w:cs="Times New Roman"/>
          <w:b/>
          <w:color w:val="auto"/>
          <w:lang w:val="sq-AL"/>
        </w:rPr>
      </w:pPr>
    </w:p>
    <w:p w14:paraId="00136A10" w14:textId="77777777" w:rsidR="00E37C7E" w:rsidRPr="00E24ECC" w:rsidRDefault="00E37C7E" w:rsidP="005B66E4">
      <w:pPr>
        <w:pStyle w:val="Default"/>
        <w:spacing w:line="276" w:lineRule="auto"/>
        <w:jc w:val="both"/>
        <w:rPr>
          <w:rFonts w:ascii="Cambria" w:hAnsi="Cambria" w:cs="Times New Roman"/>
          <w:b/>
          <w:color w:val="auto"/>
          <w:lang w:val="sq-AL"/>
        </w:rPr>
      </w:pPr>
    </w:p>
    <w:p w14:paraId="03D888B6" w14:textId="77777777" w:rsidR="00E37C7E" w:rsidRPr="00E24ECC" w:rsidRDefault="00E37C7E" w:rsidP="005B66E4">
      <w:pPr>
        <w:pStyle w:val="Default"/>
        <w:spacing w:line="276" w:lineRule="auto"/>
        <w:jc w:val="both"/>
        <w:rPr>
          <w:rFonts w:ascii="Cambria" w:hAnsi="Cambria" w:cs="Times New Roman"/>
          <w:b/>
          <w:color w:val="auto"/>
          <w:lang w:val="sq-AL"/>
        </w:rPr>
      </w:pPr>
    </w:p>
    <w:p w14:paraId="250157A1" w14:textId="77777777" w:rsidR="00E37C7E" w:rsidRPr="00E24ECC" w:rsidRDefault="00E37C7E" w:rsidP="005B66E4">
      <w:pPr>
        <w:pStyle w:val="Default"/>
        <w:spacing w:line="276" w:lineRule="auto"/>
        <w:jc w:val="both"/>
        <w:rPr>
          <w:rFonts w:ascii="Cambria" w:hAnsi="Cambria" w:cs="Times New Roman"/>
          <w:b/>
          <w:color w:val="auto"/>
          <w:lang w:val="sq-AL"/>
        </w:rPr>
      </w:pPr>
    </w:p>
    <w:p w14:paraId="3F8B94BF" w14:textId="77777777" w:rsidR="00BF2242" w:rsidRPr="00E24ECC" w:rsidRDefault="00BF2242" w:rsidP="005B66E4">
      <w:pPr>
        <w:pStyle w:val="Default"/>
        <w:spacing w:line="276" w:lineRule="auto"/>
        <w:jc w:val="both"/>
        <w:rPr>
          <w:rFonts w:ascii="Cambria" w:hAnsi="Cambria" w:cs="Times New Roman"/>
          <w:b/>
          <w:color w:val="auto"/>
          <w:lang w:val="sq-AL"/>
        </w:rPr>
      </w:pPr>
    </w:p>
    <w:p w14:paraId="0FABBE33" w14:textId="77777777" w:rsidR="00BF2242" w:rsidRPr="00E24ECC" w:rsidRDefault="00BF2242" w:rsidP="005B66E4">
      <w:pPr>
        <w:pStyle w:val="Default"/>
        <w:spacing w:line="276" w:lineRule="auto"/>
        <w:jc w:val="both"/>
        <w:rPr>
          <w:rFonts w:ascii="Cambria" w:hAnsi="Cambria" w:cs="Times New Roman"/>
          <w:b/>
          <w:color w:val="auto"/>
          <w:lang w:val="sq-AL"/>
        </w:rPr>
      </w:pPr>
    </w:p>
    <w:p w14:paraId="4AAC6B31" w14:textId="77777777" w:rsidR="00EC6830" w:rsidRPr="00E24ECC" w:rsidRDefault="00EC6830" w:rsidP="005B66E4">
      <w:pPr>
        <w:pStyle w:val="Default"/>
        <w:spacing w:line="276" w:lineRule="auto"/>
        <w:jc w:val="both"/>
        <w:rPr>
          <w:rFonts w:ascii="Cambria" w:hAnsi="Cambria" w:cs="Times New Roman"/>
          <w:b/>
          <w:color w:val="auto"/>
          <w:lang w:val="sq-AL"/>
        </w:rPr>
      </w:pPr>
    </w:p>
    <w:p w14:paraId="53990746" w14:textId="77777777" w:rsidR="00EC6830" w:rsidRPr="00E24ECC" w:rsidRDefault="00EC6830" w:rsidP="005B66E4">
      <w:pPr>
        <w:pStyle w:val="Default"/>
        <w:spacing w:line="276" w:lineRule="auto"/>
        <w:jc w:val="both"/>
        <w:rPr>
          <w:rFonts w:ascii="Cambria" w:hAnsi="Cambria" w:cs="Times New Roman"/>
          <w:b/>
          <w:color w:val="auto"/>
          <w:lang w:val="sq-AL"/>
        </w:rPr>
      </w:pPr>
    </w:p>
    <w:p w14:paraId="30B8E56B" w14:textId="0D88EB26" w:rsidR="003E1FC0" w:rsidRPr="00E24ECC" w:rsidRDefault="00C25C51" w:rsidP="005B66E4">
      <w:pPr>
        <w:pStyle w:val="Heading1"/>
        <w:spacing w:line="276" w:lineRule="auto"/>
        <w:rPr>
          <w:rFonts w:ascii="Cambria" w:hAnsi="Cambria"/>
          <w:b/>
          <w:color w:val="auto"/>
          <w:sz w:val="24"/>
          <w:szCs w:val="24"/>
          <w:lang w:val="sq-AL"/>
        </w:rPr>
      </w:pPr>
      <w:bookmarkStart w:id="2" w:name="_Toc200704908"/>
      <w:r w:rsidRPr="00E24ECC">
        <w:rPr>
          <w:rFonts w:ascii="Cambria" w:hAnsi="Cambria"/>
          <w:b/>
          <w:color w:val="auto"/>
          <w:sz w:val="24"/>
          <w:szCs w:val="24"/>
          <w:lang w:val="sq-AL"/>
        </w:rPr>
        <w:t>PRIORITETET AFATMESME N</w:t>
      </w:r>
      <w:r w:rsidR="00642AF5" w:rsidRPr="00E24ECC">
        <w:rPr>
          <w:rFonts w:ascii="Cambria" w:hAnsi="Cambria"/>
          <w:b/>
          <w:color w:val="auto"/>
          <w:sz w:val="24"/>
          <w:szCs w:val="24"/>
          <w:lang w:val="sq-AL"/>
        </w:rPr>
        <w:t>Ë</w:t>
      </w:r>
      <w:r w:rsidRPr="00E24ECC">
        <w:rPr>
          <w:rFonts w:ascii="Cambria" w:hAnsi="Cambria"/>
          <w:b/>
          <w:color w:val="auto"/>
          <w:sz w:val="24"/>
          <w:szCs w:val="24"/>
          <w:lang w:val="sq-AL"/>
        </w:rPr>
        <w:t xml:space="preserve"> PBA </w:t>
      </w:r>
      <w:r w:rsidR="00201111" w:rsidRPr="00E24ECC">
        <w:rPr>
          <w:rFonts w:ascii="Cambria" w:hAnsi="Cambria"/>
          <w:b/>
          <w:color w:val="auto"/>
          <w:sz w:val="24"/>
          <w:szCs w:val="24"/>
          <w:lang w:val="sq-AL"/>
        </w:rPr>
        <w:t>202</w:t>
      </w:r>
      <w:r w:rsidR="0048243F" w:rsidRPr="00E24ECC">
        <w:rPr>
          <w:rFonts w:ascii="Cambria" w:hAnsi="Cambria"/>
          <w:b/>
          <w:color w:val="auto"/>
          <w:sz w:val="24"/>
          <w:szCs w:val="24"/>
          <w:lang w:val="sq-AL"/>
        </w:rPr>
        <w:t>6</w:t>
      </w:r>
      <w:r w:rsidR="00201111" w:rsidRPr="00E24ECC">
        <w:rPr>
          <w:rFonts w:ascii="Cambria" w:hAnsi="Cambria"/>
          <w:b/>
          <w:color w:val="auto"/>
          <w:sz w:val="24"/>
          <w:szCs w:val="24"/>
          <w:lang w:val="sq-AL"/>
        </w:rPr>
        <w:t>-202</w:t>
      </w:r>
      <w:r w:rsidR="0048243F" w:rsidRPr="00E24ECC">
        <w:rPr>
          <w:rFonts w:ascii="Cambria" w:hAnsi="Cambria"/>
          <w:b/>
          <w:color w:val="auto"/>
          <w:sz w:val="24"/>
          <w:szCs w:val="24"/>
          <w:lang w:val="sq-AL"/>
        </w:rPr>
        <w:t>8</w:t>
      </w:r>
      <w:bookmarkEnd w:id="2"/>
    </w:p>
    <w:p w14:paraId="4045FD4F" w14:textId="77777777" w:rsidR="0077356C" w:rsidRPr="00E24ECC" w:rsidRDefault="00642AF5" w:rsidP="0016200E">
      <w:pPr>
        <w:pStyle w:val="Heading2"/>
        <w:spacing w:line="276" w:lineRule="auto"/>
        <w:rPr>
          <w:rFonts w:ascii="Cambria" w:hAnsi="Cambria" w:cs="Times New Roman"/>
          <w:sz w:val="24"/>
          <w:szCs w:val="24"/>
          <w:lang w:val="sq-AL"/>
        </w:rPr>
      </w:pPr>
      <w:bookmarkStart w:id="3" w:name="_Toc200704909"/>
      <w:r w:rsidRPr="00E24ECC">
        <w:rPr>
          <w:rFonts w:ascii="Cambria" w:hAnsi="Cambria"/>
          <w:i w:val="0"/>
          <w:sz w:val="24"/>
          <w:szCs w:val="24"/>
          <w:lang w:val="sq-AL"/>
        </w:rPr>
        <w:t>Përmbledhje e trendeve afatmesme të zhvillimit makroekonomik</w:t>
      </w:r>
      <w:bookmarkEnd w:id="3"/>
    </w:p>
    <w:p w14:paraId="7B21E287" w14:textId="77777777" w:rsidR="000F4CF3" w:rsidRPr="00E24ECC" w:rsidRDefault="000F4CF3" w:rsidP="000F4CF3">
      <w:pPr>
        <w:jc w:val="both"/>
        <w:rPr>
          <w:rFonts w:ascii="Cambria" w:hAnsi="Cambria" w:cs="Times New Roman"/>
          <w:sz w:val="24"/>
          <w:szCs w:val="24"/>
          <w:lang w:val="sq-AL"/>
        </w:rPr>
      </w:pPr>
      <w:bookmarkStart w:id="4" w:name="_Toc84515330"/>
      <w:r w:rsidRPr="00E24ECC">
        <w:rPr>
          <w:rFonts w:ascii="Cambria" w:hAnsi="Cambria" w:cs="Times New Roman"/>
          <w:sz w:val="24"/>
          <w:szCs w:val="24"/>
          <w:lang w:val="sq-AL"/>
        </w:rPr>
        <w:t xml:space="preserve">Ekonomia e vendit ka treguar një qëndrueshmëri dhe elasticitet të konsiderueshëm përballë sfidave të njëpasnjëshme që kanë goditur vendin gjatë viteve të fundit. Performanca ekonomike gjatë kësaj periudhe ka shfaqur një trajektore premtuese, pozitive, relativisht e lartë, dhe pritet të vazhdojë ecurinë pozitive edhe në periudhën afatmesme. </w:t>
      </w:r>
    </w:p>
    <w:p w14:paraId="5DFC4330" w14:textId="759EB4EA"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Përgjatë periudhës 2022-2024, ekonomia e Shqipërisë ka përjetuar një rritje të qëndrueshme dhe pozitive ku norma e rritjes ekonomike arriti në 4.8 përqind në vitin 2022, 3.9 përqind në vitin 2023 dhe 4.0 përqind për vitin 2024.</w:t>
      </w:r>
    </w:p>
    <w:p w14:paraId="31AA6E44"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Rritja ekonomike parashikohet 3.9 përqind për vitin 2025 dhe mesatarisht rreth 4.0 përqind në vit përgjatë periudhës afatmesme në vijim 2026-2028. Më specifikisht, rritja ekonomike parashikohet në rreth 4.0, 3.9 dhe 4.1 përqind respektivisht për vitet 2026, 2027 dhe 2028.</w:t>
      </w:r>
    </w:p>
    <w:p w14:paraId="7254FAC5"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Figura </w:t>
      </w:r>
      <w:r w:rsidRPr="00E24ECC">
        <w:rPr>
          <w:rFonts w:ascii="Cambria" w:hAnsi="Cambria" w:cs="Times New Roman"/>
          <w:sz w:val="24"/>
          <w:szCs w:val="24"/>
          <w:lang w:val="sq-AL"/>
        </w:rPr>
        <w:fldChar w:fldCharType="begin"/>
      </w:r>
      <w:r w:rsidRPr="00E24ECC">
        <w:rPr>
          <w:rFonts w:ascii="Cambria" w:hAnsi="Cambria" w:cs="Times New Roman"/>
          <w:sz w:val="24"/>
          <w:szCs w:val="24"/>
          <w:lang w:val="sq-AL"/>
        </w:rPr>
        <w:instrText xml:space="preserve"> SEQ Figura \* ARABIC </w:instrText>
      </w:r>
      <w:r w:rsidRPr="00E24ECC">
        <w:rPr>
          <w:rFonts w:ascii="Cambria" w:hAnsi="Cambria" w:cs="Times New Roman"/>
          <w:sz w:val="24"/>
          <w:szCs w:val="24"/>
          <w:lang w:val="sq-AL"/>
        </w:rPr>
        <w:fldChar w:fldCharType="separate"/>
      </w:r>
      <w:r w:rsidRPr="00E24ECC">
        <w:rPr>
          <w:rFonts w:ascii="Cambria" w:hAnsi="Cambria" w:cs="Times New Roman"/>
          <w:sz w:val="24"/>
          <w:szCs w:val="24"/>
          <w:lang w:val="sq-AL"/>
        </w:rPr>
        <w:t>1</w:t>
      </w:r>
      <w:r w:rsidRPr="00E24ECC">
        <w:rPr>
          <w:rFonts w:ascii="Cambria" w:hAnsi="Cambria" w:cs="Times New Roman"/>
          <w:sz w:val="24"/>
          <w:szCs w:val="24"/>
          <w:lang w:val="sq-AL"/>
        </w:rPr>
        <w:fldChar w:fldCharType="end"/>
      </w:r>
      <w:r w:rsidRPr="00E24ECC">
        <w:rPr>
          <w:rFonts w:ascii="Cambria" w:hAnsi="Cambria" w:cs="Times New Roman"/>
          <w:sz w:val="24"/>
          <w:szCs w:val="24"/>
          <w:lang w:val="sq-AL"/>
        </w:rPr>
        <w:t xml:space="preserve"> Rritja Reale e PBB-së (në %)</w:t>
      </w:r>
    </w:p>
    <w:p w14:paraId="41255020" w14:textId="77777777" w:rsidR="000F4CF3" w:rsidRPr="00E24ECC" w:rsidRDefault="000F4CF3" w:rsidP="000F4CF3">
      <w:pPr>
        <w:jc w:val="center"/>
        <w:rPr>
          <w:lang w:val="sq-AL"/>
        </w:rPr>
      </w:pPr>
      <w:r w:rsidRPr="00E24ECC">
        <w:rPr>
          <w:noProof/>
          <w:lang w:val="sq-AL"/>
        </w:rPr>
        <w:drawing>
          <wp:inline distT="0" distB="0" distL="0" distR="0" wp14:anchorId="6707F179" wp14:editId="36C78E6B">
            <wp:extent cx="3577133" cy="2304415"/>
            <wp:effectExtent l="0" t="0" r="4445" b="635"/>
            <wp:docPr id="1154574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7422" cy="2304601"/>
                    </a:xfrm>
                    <a:prstGeom prst="rect">
                      <a:avLst/>
                    </a:prstGeom>
                    <a:noFill/>
                    <a:ln>
                      <a:noFill/>
                    </a:ln>
                  </pic:spPr>
                </pic:pic>
              </a:graphicData>
            </a:graphic>
          </wp:inline>
        </w:drawing>
      </w:r>
    </w:p>
    <w:p w14:paraId="4F7FBF81" w14:textId="77777777" w:rsidR="000F4CF3" w:rsidRPr="00E24ECC" w:rsidRDefault="000F4CF3" w:rsidP="000F4CF3">
      <w:pPr>
        <w:jc w:val="both"/>
        <w:rPr>
          <w:rFonts w:ascii="Cambria" w:hAnsi="Cambria" w:cs="Times New Roman"/>
          <w:sz w:val="24"/>
          <w:szCs w:val="24"/>
          <w:lang w:val="sq-AL"/>
        </w:rPr>
      </w:pPr>
      <w:r w:rsidRPr="00E24ECC">
        <w:rPr>
          <w:lang w:val="sq-AL"/>
        </w:rPr>
        <w:t xml:space="preserve">   </w:t>
      </w:r>
      <w:r w:rsidRPr="00E24ECC">
        <w:rPr>
          <w:rFonts w:ascii="Cambria" w:hAnsi="Cambria" w:cs="Times New Roman"/>
          <w:sz w:val="24"/>
          <w:szCs w:val="24"/>
          <w:lang w:val="sq-AL"/>
        </w:rPr>
        <w:t>Burimi: Ministria e Financave, 2025</w:t>
      </w:r>
    </w:p>
    <w:p w14:paraId="72E29692"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Gjatë periudhës afatmesme rritja pritet të gjenerohet kryesisht nga kërkesa e brendshme, konsumi privat, investimet po ashtu nga ecuria mjaft e mirë e eksporteve të shërbimeve, veçanërisht turizmi. Ky dinamizëm është reflektuar në një zgjerim të ndjeshëm të aktivitetit ekonomik në sektorin e shërbimeve dhe atë të ndërtimit. Ndërkohë kërkesa e huaj neto (eksport – import) pritet të ketë një efekt pozitiv. Konsumi privat parashikohet të jetë sërish nxitësi kryesor i rritjes së PBB-së, stimuluar kryesisht nga përmirësimi i besimit të konsumatorit, si dhe nga përmirësimi në tregun e punës. Këto të fundit priten të transmetohen në një rritje graduale të pagave të cilat më tej pritet të stimulojnë të ardhurat reale të disponueshme të individëve, veçanërisht pas rikthimit në nivelet normale të inflacionit gjatë vitit 2024.</w:t>
      </w:r>
    </w:p>
    <w:p w14:paraId="79B74FA7"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lastRenderedPageBreak/>
        <w:t>Ndërsa rritja graduale e investimeve pritet të nxitet nga shfrytëzimi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dhe lehtësimi i standardeve të huadhënies gradualisht përgjatë periudhës afatmesme, priten të jenë faktorë të rëndësishëm incentivues të investimeve private.</w:t>
      </w:r>
    </w:p>
    <w:p w14:paraId="0877BA2C"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Specifikisht, konsumi final total për periudhën afatmesme (2026 – 2028) parashikohet të rritet në terma real me mesatarisht rreth 3.0 përqind në vit, duke kontribuar mesatarisht me rreth 2.5 pikë përqindje në vit në rritjen e PBB. Ndërsa investimet totale në ekonomi parashikohen të rriten në terma real mesatarisht në rreth 4.6 përqind në vitet 2026-2028, me një kontribut mesatar në rritjen totale prej rreth 1.1 pikë përqindje në vit. </w:t>
      </w:r>
    </w:p>
    <w:p w14:paraId="742DF13D"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Kërkesa e huaj neto pritet të ketë një kontribut pozitiv të moderuar në periudhën afatmesme. Eksportet e mallrave të cilat zakonisht kanë pasur performancë të mirë në vite, priten të vazhdojnë këtë trend pozitiv dhe të ruajnë ritmet e kaluara. Eksportet e shërbimeve, veçanërisht shërbimet turistike, priten gjithashtu të kenë performancë pozitive në periudhën afatmesme dhe të jenë elementi kryesor për të kompensuar kontributin negativ të ardhur prej rritjes së importeve.</w:t>
      </w:r>
    </w:p>
    <w:p w14:paraId="218CA766"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Sa i takon më specifikisht komponentëve të kërkesës së huaj neto, eksportet e mallrave dhe shërbimeve për periudhën 2026-2028, parashikohen të rriten mesatarisht me rreth 4.8 përqind në vit në terma real, me një kontribut mesatar pozitiv prej rreth 1.9 pikë përqindje në vit në rritjen e PBB. Ndërsa importet e mallrave dhe shërbimeve për këtë periudhë afatmesme parashikohen të zgjerohen me mesatarisht rreth 3.2 përqind në vit me një kontribut mesatar negativ në rritjen e PBB me rreth 1.5 pikë përqindje në vit. Rrjedhimisht, në terma neto kërkesa e huaj parashikohet të ketë një kontribut të moderuar pozitiv në rritjen totale të PBB me mesatarisht rreth 0.4 pikë përqindje në vit.</w:t>
      </w:r>
    </w:p>
    <w:p w14:paraId="2BFEBFCF"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Megjithëse politika fiskale do të vazhdojë të jetë e orientuar drejt konsolidimit në periudhën afatmesme dhe afatgjatë, objektivi tjetër i kësaj politike fiskale për të ruajtur një nivel relativisht të lartë të investimeve publike në mbi 5 përqind të PBB në vitet 2026-2028, do të stimulojë formimin e kapitalit fiks bruto në ekonomi, esenciale kjo për të mbështetur nivele relativisht të larta e të qëndrueshme të rritjes ekonomike në periudhën afatmesme dhe afatgjatë. </w:t>
      </w:r>
    </w:p>
    <w:p w14:paraId="6711342D"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Konsolidimi fiskal i synuar nga qeveria do të kufizojë kërkesën e përgjithshme të sektorit publik. Si i tillë, nuk pritet të jetë një nxitës i rritjes në periudhën afatmesme. Megjithatë, konsolidimi fiskal do të ulë primin e riskut për financat publike dhe ekonominë në tërësi dhe do të rrisë hapësirat për zgjerimin e aktivitetit në sektorin privat, fondamente mjaft të rëndësishme këto për sigurimin e një rritje të lartë e të qëndrueshme në në periudhën afatmesme dhe afatgjatë.</w:t>
      </w:r>
    </w:p>
    <w:p w14:paraId="1A0B833C"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Nga pikëpamja e ofertës agregate pritet që të gjithë sektorët kryesorë të vazhdojnë të njëjtin trend rritës të mesatares së tyre historike. Specifikisht, Bujqësia pritet të rritet mesatarisht me rreth 0.3 përqind në vit në terma real përgjatë periudhës 2026-2028, duke mos </w:t>
      </w:r>
      <w:r w:rsidRPr="00E24ECC">
        <w:rPr>
          <w:rFonts w:ascii="Cambria" w:hAnsi="Cambria" w:cs="Times New Roman"/>
          <w:sz w:val="24"/>
          <w:szCs w:val="24"/>
          <w:lang w:val="sq-AL"/>
        </w:rPr>
        <w:lastRenderedPageBreak/>
        <w:t>kontribuar pothuajse fare në rritjen ekonomike; Industria me rritje mesatare vjetore prej rreth 5.0 përqind dhe kontribut mesatar vjetor prej rreth 0.5 pikë përqindje; Ndërtimi me rritje mesatare vjetore prej rreth 3.2 përqind dhe kontribut mesatar vjetor prej rreth 0.4 pikë përqindje; Shërbimet me rritje mesatare vjetore prej rreth 5.0 përqind dhe kontribut mesatar vjetor prej rreth 2.5 pikë përqindje.</w:t>
      </w:r>
    </w:p>
    <w:p w14:paraId="46B642F4"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Inflacioni në skenarin bazë parashikohet se do rikthehet drejt targetit të tij prej 3 përqind gjatë vitit 2025 dhe do qëndrojë rreth këtij niveli për periudhën afatmesme 2026-2028. </w:t>
      </w:r>
    </w:p>
    <w:p w14:paraId="59336048"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Në përputhje me parashikimet afatmesme të rritjes, punësimi pritet të rritet me një mesatare prej rreth 0.1 përqind në vit gjatë viteve 2026-2028. Shkalla më e lartë e pjesëmarrjes në forcat e punës do të jetë gjeneruesi kryesor i rritjes së ofertës së punës, ndërkohë që trendet negative demografike të vërejtura prej disa vitesh tashmë, pritet të vijojnë të kenë efekte shtrënguese si në ofertën për punë, ashtu edhe në numrat agregat të punësimit përgjatë periudhës afatmesme në vijim. </w:t>
      </w:r>
    </w:p>
    <w:p w14:paraId="0FBB1693" w14:textId="3E81CE66"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Ndërsa rritja e kërkesës për punë pritet të reflektojë dinamikën e perspektivës afatmesme të sektorëve kryesorë të aktivitetit ekonomik, të përmendur më sipër. Rrjedhimisht, pritet që shërbimet të kontribuojnë më shumë në rritjen e kërkesës për punë në krahasim me sektorët e tjerë të ekonomisë. Ndërkohë pritet që punësimi, në afatin e mesëm, të jetë së paku jo në rritje negative (në nivele mjaft të moderuara, por gjithsesi ende pozitiv), në reflektim të efekteve të kundërta të rritjes së shkallës së pjesëmarrjes në forcat e punës nga njëra anë dhe trendeve negative demografike nga ana tjetër. Në të njëjtën kohë pritet që produktiviteti i përgjithshëm i punës të vijojë një përmirësim të konsiderueshëm gjatë kësaj periudhe dhe të jetë një faktor i rëndësishëm i gjenerimit të rritjes ekonomike në afatin e mesëm. Kjo duke reflektuar si vijimin e lëvizjeve të forcave të punës drejt sektorëve me produktivitet relativ më të lartë se të tjerët, ashtu edhe në reflektim të vijimit të përmirësimeve teknologjike ekonomike, përfshirë këtu patjetër edhe vijimësinë e përmirësimeve infrastrukturore dhe vijimësinë e reformave strukturore.</w:t>
      </w:r>
    </w:p>
    <w:p w14:paraId="175DBEA6"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Ky kuadër fiskal synon një deficit fiskal të përgjithshëm prej 1.9 përqind të PBB-së për 2026, nga 2.6 përqind i programuar për vitin 2025; dhe nivelin prej 1.6 përqind të PBB në 2027 dhe 1.0 përqind 2028.</w:t>
      </w:r>
    </w:p>
    <w:p w14:paraId="0267B775"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Njëkohësisht, balanca primare pasi e targetuar në një nivel neutral prej 0.0 përqind e PBB për vitin 2025 (sipas ligjit të buxhetit 2025) nga një niveli 1.4 përqind që ka rezultuar për vitin 2024, në përiudhën afat-mesme do të targetohet në vijimësi në vlera pozitive, respektivisht 0.7 përqind e PBB për vitin 2026, në 0.9 përqind në vitin 2027 dhe 1.4 përqind në vitin 2028.                          </w:t>
      </w:r>
    </w:p>
    <w:p w14:paraId="6ED8BF9C" w14:textId="14D7FA9F"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Respektimi në mënyrë të përvitshme i objektivit (rregulli fiskal) të parametrit të balancës primare, pritet të çojë në një reduktim të nivelit të borxhit publik bruto rreth nivelit prej 52.1 përqind të PBB deri në vitin 2028 nga rreth 54.8 përqind i programuar për vitin 2025.</w:t>
      </w:r>
    </w:p>
    <w:p w14:paraId="10C3EE07" w14:textId="77777777" w:rsidR="000F4CF3" w:rsidRPr="00E24ECC" w:rsidRDefault="000F4CF3" w:rsidP="000F4CF3">
      <w:pPr>
        <w:jc w:val="both"/>
        <w:rPr>
          <w:rFonts w:ascii="Cambria" w:hAnsi="Cambria" w:cs="Times New Roman"/>
          <w:sz w:val="24"/>
          <w:szCs w:val="24"/>
          <w:lang w:val="sq-AL"/>
        </w:rPr>
      </w:pPr>
      <w:r w:rsidRPr="00E24ECC">
        <w:rPr>
          <w:rFonts w:ascii="Cambria" w:hAnsi="Cambria" w:cs="Times New Roman"/>
          <w:sz w:val="24"/>
          <w:szCs w:val="24"/>
          <w:lang w:val="sq-AL"/>
        </w:rPr>
        <w:t xml:space="preserve">Lidhur me balancën primare, i cili është një parametër shumë i rëndësishëm i qendrueshmërisë afatgjatë të financave publike, i cili bën të detyrueshëm ligjërisht tashmë </w:t>
      </w:r>
      <w:r w:rsidRPr="00E24ECC">
        <w:rPr>
          <w:rFonts w:ascii="Cambria" w:hAnsi="Cambria" w:cs="Times New Roman"/>
          <w:sz w:val="24"/>
          <w:szCs w:val="24"/>
          <w:lang w:val="sq-AL"/>
        </w:rPr>
        <w:lastRenderedPageBreak/>
        <w:t>që duke filluar që prej vitit buxhetor 2024 e në vijim balanca primare faktike nuk mund të rezultojë negative, pra duhet të jetë së paku e balancuar ose pozitive (suficit primar).</w:t>
      </w:r>
      <w:r w:rsidRPr="00E24ECC">
        <w:rPr>
          <w:rFonts w:ascii="Cambria" w:hAnsi="Cambria" w:cs="Times New Roman"/>
          <w:sz w:val="24"/>
          <w:szCs w:val="24"/>
          <w:lang w:val="sq-AL"/>
        </w:rPr>
        <w:footnoteReference w:id="1"/>
      </w:r>
      <w:r w:rsidRPr="00E24ECC">
        <w:rPr>
          <w:rFonts w:ascii="Cambria" w:hAnsi="Cambria" w:cs="Times New Roman"/>
          <w:sz w:val="24"/>
          <w:szCs w:val="24"/>
          <w:lang w:val="sq-AL"/>
        </w:rPr>
        <w:t xml:space="preserve">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qendrueshmërisë së financave publike si një fondament kyç i stabilitetit makroekonomik dhe mbarë-vajtjes së ekonomisë së vendit.</w:t>
      </w:r>
    </w:p>
    <w:p w14:paraId="5E57159F" w14:textId="77777777" w:rsidR="000F4CF3" w:rsidRPr="00E24ECC" w:rsidRDefault="000F4CF3" w:rsidP="000F4CF3">
      <w:pPr>
        <w:jc w:val="both"/>
        <w:rPr>
          <w:rFonts w:ascii="Cambria" w:hAnsi="Cambria" w:cs="Times New Roman"/>
          <w:sz w:val="24"/>
          <w:szCs w:val="24"/>
          <w:lang w:val="sq-AL"/>
        </w:rPr>
      </w:pPr>
    </w:p>
    <w:p w14:paraId="616ED5E3" w14:textId="330AEFC6" w:rsidR="000D6665" w:rsidRPr="00843975" w:rsidRDefault="00C25C51" w:rsidP="005B66E4">
      <w:pPr>
        <w:pStyle w:val="Heading2"/>
        <w:spacing w:line="276" w:lineRule="auto"/>
        <w:rPr>
          <w:rFonts w:ascii="Cambria" w:hAnsi="Cambria"/>
          <w:i w:val="0"/>
          <w:sz w:val="24"/>
          <w:szCs w:val="24"/>
          <w:lang w:val="sq-AL"/>
        </w:rPr>
      </w:pPr>
      <w:bookmarkStart w:id="5" w:name="_Toc200704910"/>
      <w:bookmarkEnd w:id="4"/>
      <w:r w:rsidRPr="00843975">
        <w:rPr>
          <w:rFonts w:ascii="Cambria" w:hAnsi="Cambria"/>
          <w:i w:val="0"/>
          <w:sz w:val="24"/>
          <w:szCs w:val="24"/>
          <w:lang w:val="sq-AL"/>
        </w:rPr>
        <w:t>Prioritetet buxhetore afatmesme</w:t>
      </w:r>
      <w:r w:rsidR="00C56E02" w:rsidRPr="00843975">
        <w:rPr>
          <w:rFonts w:ascii="Cambria" w:hAnsi="Cambria"/>
          <w:i w:val="0"/>
          <w:sz w:val="24"/>
          <w:szCs w:val="24"/>
          <w:lang w:val="sq-AL"/>
        </w:rPr>
        <w:t xml:space="preserve"> </w:t>
      </w:r>
      <w:r w:rsidR="007944B0" w:rsidRPr="00843975">
        <w:rPr>
          <w:rFonts w:ascii="Cambria" w:hAnsi="Cambria"/>
          <w:i w:val="0"/>
          <w:sz w:val="24"/>
          <w:szCs w:val="24"/>
          <w:lang w:val="sq-AL"/>
        </w:rPr>
        <w:t>202</w:t>
      </w:r>
      <w:r w:rsidR="0048243F" w:rsidRPr="00843975">
        <w:rPr>
          <w:rFonts w:ascii="Cambria" w:hAnsi="Cambria"/>
          <w:i w:val="0"/>
          <w:sz w:val="24"/>
          <w:szCs w:val="24"/>
          <w:lang w:val="sq-AL"/>
        </w:rPr>
        <w:t>6</w:t>
      </w:r>
      <w:r w:rsidR="007944B0" w:rsidRPr="00843975">
        <w:rPr>
          <w:rFonts w:ascii="Cambria" w:hAnsi="Cambria"/>
          <w:i w:val="0"/>
          <w:sz w:val="24"/>
          <w:szCs w:val="24"/>
          <w:lang w:val="sq-AL"/>
        </w:rPr>
        <w:t>-202</w:t>
      </w:r>
      <w:r w:rsidR="0048243F" w:rsidRPr="00843975">
        <w:rPr>
          <w:rFonts w:ascii="Cambria" w:hAnsi="Cambria"/>
          <w:i w:val="0"/>
          <w:sz w:val="24"/>
          <w:szCs w:val="24"/>
          <w:lang w:val="sq-AL"/>
        </w:rPr>
        <w:t>8</w:t>
      </w:r>
      <w:bookmarkEnd w:id="5"/>
    </w:p>
    <w:p w14:paraId="74105CF9" w14:textId="77777777" w:rsidR="00BC0573" w:rsidRPr="00E24ECC" w:rsidRDefault="00BC0573" w:rsidP="005B66E4">
      <w:pPr>
        <w:pStyle w:val="Default"/>
        <w:spacing w:line="276" w:lineRule="auto"/>
        <w:jc w:val="both"/>
        <w:rPr>
          <w:rFonts w:ascii="Cambria" w:hAnsi="Cambria" w:cs="Times New Roman"/>
          <w:color w:val="auto"/>
          <w:lang w:val="sq-AL"/>
        </w:rPr>
      </w:pPr>
    </w:p>
    <w:p w14:paraId="32CBB1CC" w14:textId="6E458EA8" w:rsidR="00457718" w:rsidRPr="00E24ECC" w:rsidRDefault="00B562F0" w:rsidP="00406FC7">
      <w:pPr>
        <w:pStyle w:val="Default"/>
        <w:spacing w:after="120" w:line="276" w:lineRule="auto"/>
        <w:jc w:val="both"/>
        <w:rPr>
          <w:rFonts w:ascii="Cambria" w:hAnsi="Cambria" w:cs="Times New Roman"/>
          <w:color w:val="auto"/>
          <w:lang w:val="sq-AL"/>
        </w:rPr>
      </w:pPr>
      <w:r w:rsidRPr="00E24ECC">
        <w:rPr>
          <w:rFonts w:ascii="Cambria" w:hAnsi="Cambria" w:cs="Times New Roman"/>
          <w:color w:val="auto"/>
          <w:lang w:val="sq-AL"/>
        </w:rPr>
        <w:t>G</w:t>
      </w:r>
      <w:r w:rsidR="00457718" w:rsidRPr="00E24ECC">
        <w:rPr>
          <w:rFonts w:ascii="Cambria" w:hAnsi="Cambria" w:cs="Times New Roman"/>
          <w:color w:val="auto"/>
          <w:lang w:val="sq-AL"/>
        </w:rPr>
        <w:t xml:space="preserve">jatë ciklit afatmesëm </w:t>
      </w:r>
      <w:r w:rsidR="00034C18" w:rsidRPr="00E24ECC">
        <w:rPr>
          <w:rFonts w:ascii="Cambria" w:hAnsi="Cambria" w:cs="Times New Roman"/>
          <w:color w:val="auto"/>
          <w:lang w:val="sq-AL"/>
        </w:rPr>
        <w:t>202</w:t>
      </w:r>
      <w:r w:rsidR="00E20FB6">
        <w:rPr>
          <w:rFonts w:ascii="Cambria" w:hAnsi="Cambria" w:cs="Times New Roman"/>
          <w:color w:val="auto"/>
          <w:lang w:val="sq-AL"/>
        </w:rPr>
        <w:t>6</w:t>
      </w:r>
      <w:r w:rsidR="00C543E4" w:rsidRPr="00E24ECC">
        <w:rPr>
          <w:rFonts w:ascii="Cambria" w:hAnsi="Cambria" w:cs="Times New Roman"/>
          <w:color w:val="auto"/>
          <w:lang w:val="sq-AL"/>
        </w:rPr>
        <w:t xml:space="preserve"> – </w:t>
      </w:r>
      <w:r w:rsidR="00034C18" w:rsidRPr="00E24ECC">
        <w:rPr>
          <w:rFonts w:ascii="Cambria" w:hAnsi="Cambria" w:cs="Times New Roman"/>
          <w:color w:val="auto"/>
          <w:lang w:val="sq-AL"/>
        </w:rPr>
        <w:t>202</w:t>
      </w:r>
      <w:r w:rsidR="00E20FB6">
        <w:rPr>
          <w:rFonts w:ascii="Cambria" w:hAnsi="Cambria" w:cs="Times New Roman"/>
          <w:color w:val="auto"/>
          <w:lang w:val="sq-AL"/>
        </w:rPr>
        <w:t>8</w:t>
      </w:r>
      <w:r w:rsidR="00457718" w:rsidRPr="00E24ECC">
        <w:rPr>
          <w:rFonts w:ascii="Cambria" w:hAnsi="Cambria" w:cs="Times New Roman"/>
          <w:color w:val="auto"/>
          <w:lang w:val="sq-AL"/>
        </w:rPr>
        <w:t xml:space="preserve">, </w:t>
      </w:r>
      <w:r w:rsidR="00313EB1" w:rsidRPr="00E24ECC">
        <w:rPr>
          <w:rFonts w:ascii="Cambria" w:hAnsi="Cambria" w:cs="Times New Roman"/>
          <w:color w:val="auto"/>
          <w:lang w:val="sq-AL"/>
        </w:rPr>
        <w:t>parashikohet</w:t>
      </w:r>
      <w:r w:rsidRPr="00E24ECC">
        <w:rPr>
          <w:rFonts w:ascii="Cambria" w:hAnsi="Cambria" w:cs="Times New Roman"/>
          <w:color w:val="auto"/>
          <w:lang w:val="sq-AL"/>
        </w:rPr>
        <w:t xml:space="preserve"> </w:t>
      </w:r>
      <w:r w:rsidR="00B4243A" w:rsidRPr="00E24ECC">
        <w:rPr>
          <w:rFonts w:ascii="Cambria" w:hAnsi="Cambria" w:cs="Times New Roman"/>
          <w:color w:val="auto"/>
          <w:lang w:val="sq-AL"/>
        </w:rPr>
        <w:t>vijimi i ofrimit 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sh</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rbimeve p</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r qytetar</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t n</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arsim, sh</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ndet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si, transport, bujq</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si etj </w:t>
      </w:r>
      <w:r w:rsidR="00EC7E91" w:rsidRPr="00E24ECC">
        <w:rPr>
          <w:rFonts w:ascii="Cambria" w:hAnsi="Cambria" w:cs="Times New Roman"/>
          <w:color w:val="auto"/>
          <w:lang w:val="sq-AL"/>
        </w:rPr>
        <w:t>sipas</w:t>
      </w:r>
      <w:r w:rsidR="00B4243A" w:rsidRPr="00E24ECC">
        <w:rPr>
          <w:rFonts w:ascii="Cambria" w:hAnsi="Cambria" w:cs="Times New Roman"/>
          <w:color w:val="auto"/>
          <w:lang w:val="sq-AL"/>
        </w:rPr>
        <w:t xml:space="preserve"> standarde</w:t>
      </w:r>
      <w:r w:rsidR="00EC7E91" w:rsidRPr="00E24ECC">
        <w:rPr>
          <w:rFonts w:ascii="Cambria" w:hAnsi="Cambria" w:cs="Times New Roman"/>
          <w:color w:val="auto"/>
          <w:lang w:val="sq-AL"/>
        </w:rPr>
        <w:t>ve</w:t>
      </w:r>
      <w:r w:rsidR="00B4243A" w:rsidRPr="00E24ECC">
        <w:rPr>
          <w:rFonts w:ascii="Cambria" w:hAnsi="Cambria" w:cs="Times New Roman"/>
          <w:color w:val="auto"/>
          <w:lang w:val="sq-AL"/>
        </w:rPr>
        <w:t xml:space="preserve"> dhe</w:t>
      </w:r>
      <w:r w:rsidR="00EC7E91" w:rsidRPr="00E24ECC">
        <w:rPr>
          <w:rFonts w:ascii="Cambria" w:hAnsi="Cambria" w:cs="Times New Roman"/>
          <w:color w:val="auto"/>
          <w:lang w:val="sq-AL"/>
        </w:rPr>
        <w:t xml:space="preserve"> me</w:t>
      </w:r>
      <w:r w:rsidR="00B4243A" w:rsidRPr="00E24ECC">
        <w:rPr>
          <w:rFonts w:ascii="Cambria" w:hAnsi="Cambria" w:cs="Times New Roman"/>
          <w:color w:val="auto"/>
          <w:lang w:val="sq-AL"/>
        </w:rPr>
        <w:t xml:space="preserve"> cil</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si </w:t>
      </w:r>
      <w:r w:rsidR="00EC7E91" w:rsidRPr="00E24ECC">
        <w:rPr>
          <w:rFonts w:ascii="Cambria" w:hAnsi="Cambria" w:cs="Times New Roman"/>
          <w:color w:val="auto"/>
          <w:lang w:val="sq-AL"/>
        </w:rPr>
        <w:t>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xml:space="preserve"> lart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nga t</w:t>
      </w:r>
      <w:r w:rsidR="004F7043" w:rsidRPr="00E24ECC">
        <w:rPr>
          <w:rFonts w:ascii="Cambria" w:hAnsi="Cambria" w:cs="Times New Roman"/>
          <w:color w:val="auto"/>
          <w:lang w:val="sq-AL"/>
        </w:rPr>
        <w:t>ë</w:t>
      </w:r>
      <w:r w:rsidR="00EC7E91" w:rsidRPr="00E24ECC">
        <w:rPr>
          <w:rFonts w:ascii="Cambria" w:hAnsi="Cambria" w:cs="Times New Roman"/>
          <w:color w:val="auto"/>
          <w:lang w:val="sq-AL"/>
        </w:rPr>
        <w:t xml:space="preserve"> </w:t>
      </w:r>
      <w:r w:rsidR="00B4243A" w:rsidRPr="00E24ECC">
        <w:rPr>
          <w:rFonts w:ascii="Cambria" w:hAnsi="Cambria" w:cs="Times New Roman"/>
          <w:color w:val="auto"/>
          <w:lang w:val="sq-AL"/>
        </w:rPr>
        <w:t xml:space="preserve">cilat </w:t>
      </w:r>
      <w:r w:rsidR="00EC7E91" w:rsidRPr="00E24ECC">
        <w:rPr>
          <w:rFonts w:ascii="Cambria" w:hAnsi="Cambria" w:cs="Times New Roman"/>
          <w:color w:val="auto"/>
          <w:lang w:val="sq-AL"/>
        </w:rPr>
        <w:t xml:space="preserve">po </w:t>
      </w:r>
      <w:r w:rsidR="00B4243A" w:rsidRPr="00E24ECC">
        <w:rPr>
          <w:rFonts w:ascii="Cambria" w:hAnsi="Cambria" w:cs="Times New Roman"/>
          <w:color w:val="auto"/>
          <w:lang w:val="sq-AL"/>
        </w:rPr>
        <w:t>paraq</w:t>
      </w:r>
      <w:r w:rsidR="00EC7E91" w:rsidRPr="00E24ECC">
        <w:rPr>
          <w:rFonts w:ascii="Cambria" w:hAnsi="Cambria" w:cs="Times New Roman"/>
          <w:color w:val="auto"/>
          <w:lang w:val="sq-AL"/>
        </w:rPr>
        <w:t>isim</w:t>
      </w:r>
      <w:r w:rsidR="00B4243A" w:rsidRPr="00E24ECC">
        <w:rPr>
          <w:rFonts w:ascii="Cambria" w:hAnsi="Cambria" w:cs="Times New Roman"/>
          <w:color w:val="auto"/>
          <w:lang w:val="sq-AL"/>
        </w:rPr>
        <w:t xml:space="preserve"> t</w:t>
      </w:r>
      <w:r w:rsidR="00F16E95" w:rsidRPr="00E24ECC">
        <w:rPr>
          <w:rFonts w:ascii="Cambria" w:hAnsi="Cambria" w:cs="Times New Roman"/>
          <w:color w:val="auto"/>
          <w:lang w:val="sq-AL"/>
        </w:rPr>
        <w:t>ë</w:t>
      </w:r>
      <w:r w:rsidR="00B4243A" w:rsidRPr="00E24ECC">
        <w:rPr>
          <w:rFonts w:ascii="Cambria" w:hAnsi="Cambria" w:cs="Times New Roman"/>
          <w:color w:val="auto"/>
          <w:lang w:val="sq-AL"/>
        </w:rPr>
        <w:t xml:space="preserve"> detajuara</w:t>
      </w:r>
      <w:r w:rsidR="00457718" w:rsidRPr="00E24ECC">
        <w:rPr>
          <w:rFonts w:ascii="Cambria" w:hAnsi="Cambria" w:cs="Times New Roman"/>
          <w:color w:val="auto"/>
          <w:lang w:val="sq-AL"/>
        </w:rPr>
        <w:t xml:space="preserve"> si vijon:</w:t>
      </w:r>
    </w:p>
    <w:p w14:paraId="7FE0DCA8" w14:textId="4A8ED939" w:rsidR="00E20FB6" w:rsidRPr="00DC04EF" w:rsidRDefault="000A4AEB" w:rsidP="00406FC7">
      <w:pPr>
        <w:spacing w:after="200" w:line="276" w:lineRule="auto"/>
        <w:contextualSpacing/>
        <w:jc w:val="both"/>
        <w:rPr>
          <w:rFonts w:ascii="Cambria" w:eastAsiaTheme="minorHAnsi" w:hAnsi="Cambria"/>
          <w:sz w:val="24"/>
          <w:szCs w:val="24"/>
          <w:lang w:val="sq-AL"/>
        </w:rPr>
      </w:pPr>
      <w:r w:rsidRPr="00E24ECC">
        <w:rPr>
          <w:rFonts w:ascii="Cambria" w:hAnsi="Cambria" w:cs="Times New Roman"/>
          <w:b/>
          <w:sz w:val="24"/>
          <w:szCs w:val="24"/>
          <w:lang w:val="sq-AL"/>
        </w:rPr>
        <w:t>P</w:t>
      </w:r>
      <w:r w:rsidR="00F16E95" w:rsidRPr="00E24ECC">
        <w:rPr>
          <w:rFonts w:ascii="Cambria" w:hAnsi="Cambria" w:cs="Times New Roman"/>
          <w:b/>
          <w:sz w:val="24"/>
          <w:szCs w:val="24"/>
          <w:lang w:val="sq-AL"/>
        </w:rPr>
        <w:t>ë</w:t>
      </w:r>
      <w:r w:rsidRPr="00E24ECC">
        <w:rPr>
          <w:rFonts w:ascii="Cambria" w:hAnsi="Cambria" w:cs="Times New Roman"/>
          <w:b/>
          <w:sz w:val="24"/>
          <w:szCs w:val="24"/>
          <w:lang w:val="sq-AL"/>
        </w:rPr>
        <w:t>rgjat</w:t>
      </w:r>
      <w:r w:rsidR="00F16E95" w:rsidRPr="00E24ECC">
        <w:rPr>
          <w:rFonts w:ascii="Cambria" w:hAnsi="Cambria" w:cs="Times New Roman"/>
          <w:b/>
          <w:sz w:val="24"/>
          <w:szCs w:val="24"/>
          <w:lang w:val="sq-AL"/>
        </w:rPr>
        <w:t>ë</w:t>
      </w:r>
      <w:r w:rsidRPr="00E24ECC">
        <w:rPr>
          <w:rFonts w:ascii="Cambria" w:hAnsi="Cambria" w:cs="Times New Roman"/>
          <w:b/>
          <w:sz w:val="24"/>
          <w:szCs w:val="24"/>
          <w:lang w:val="sq-AL"/>
        </w:rPr>
        <w:t xml:space="preserve"> </w:t>
      </w:r>
      <w:r w:rsidR="00201111" w:rsidRPr="00E24ECC">
        <w:rPr>
          <w:rFonts w:ascii="Cambria" w:hAnsi="Cambria" w:cs="Times New Roman"/>
          <w:b/>
          <w:sz w:val="24"/>
          <w:szCs w:val="24"/>
          <w:lang w:val="sq-AL"/>
        </w:rPr>
        <w:t>202</w:t>
      </w:r>
      <w:r w:rsidR="00E20FB6">
        <w:rPr>
          <w:rFonts w:ascii="Cambria" w:hAnsi="Cambria" w:cs="Times New Roman"/>
          <w:b/>
          <w:sz w:val="24"/>
          <w:szCs w:val="24"/>
          <w:lang w:val="sq-AL"/>
        </w:rPr>
        <w:t>6</w:t>
      </w:r>
      <w:r w:rsidR="00201111" w:rsidRPr="00E24ECC">
        <w:rPr>
          <w:rFonts w:ascii="Cambria" w:hAnsi="Cambria" w:cs="Times New Roman"/>
          <w:b/>
          <w:sz w:val="24"/>
          <w:szCs w:val="24"/>
          <w:lang w:val="sq-AL"/>
        </w:rPr>
        <w:t>-202</w:t>
      </w:r>
      <w:r w:rsidR="00E20FB6">
        <w:rPr>
          <w:rFonts w:ascii="Cambria" w:hAnsi="Cambria" w:cs="Times New Roman"/>
          <w:b/>
          <w:sz w:val="24"/>
          <w:szCs w:val="24"/>
          <w:lang w:val="sq-AL"/>
        </w:rPr>
        <w:t>8</w:t>
      </w:r>
      <w:r w:rsidRPr="00E24ECC">
        <w:rPr>
          <w:rFonts w:ascii="Cambria" w:hAnsi="Cambria" w:cs="Times New Roman"/>
          <w:b/>
          <w:sz w:val="24"/>
          <w:szCs w:val="24"/>
          <w:lang w:val="sq-AL"/>
        </w:rPr>
        <w:t xml:space="preserve"> synohet </w:t>
      </w:r>
      <w:r w:rsidR="003E5F16" w:rsidRPr="00E24ECC">
        <w:rPr>
          <w:rFonts w:ascii="Cambria" w:eastAsiaTheme="minorHAnsi" w:hAnsi="Cambria"/>
          <w:sz w:val="24"/>
          <w:szCs w:val="24"/>
          <w:lang w:val="sq-AL"/>
        </w:rPr>
        <w:t>ofrimi i formimit profesional cilësor për të rinjtë dhe të rriturit, në përputhje me kërkesat e tregut të punës, rritja e mundësisë për të nxënit gjatë gjithë jetës si për burrat dhe për gratë dhe përshtatja me mundësitë e punësimit të ofruara nga tregu i punës</w:t>
      </w:r>
      <w:r w:rsidR="00843975">
        <w:rPr>
          <w:rFonts w:ascii="Cambria" w:eastAsiaTheme="minorHAnsi" w:hAnsi="Cambria"/>
          <w:sz w:val="24"/>
          <w:szCs w:val="24"/>
          <w:lang w:val="sq-AL"/>
        </w:rPr>
        <w:t>. Konkretisht:</w:t>
      </w:r>
    </w:p>
    <w:p w14:paraId="1B00FCFA" w14:textId="77777777" w:rsidR="00843975" w:rsidRPr="001F631B" w:rsidRDefault="00843975"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punësohen në total 10500 punëkërkues të rinj (16-29 vjec) në 2026, në vitin 202</w:t>
      </w:r>
      <w:r>
        <w:rPr>
          <w:rFonts w:ascii="Cambria" w:eastAsiaTheme="minorHAnsi" w:hAnsi="Cambria"/>
          <w:sz w:val="24"/>
          <w:szCs w:val="24"/>
          <w:lang w:val="sq-AL"/>
        </w:rPr>
        <w:t>7</w:t>
      </w:r>
      <w:r w:rsidRPr="001F631B">
        <w:rPr>
          <w:rFonts w:ascii="Cambria" w:eastAsiaTheme="minorHAnsi" w:hAnsi="Cambria"/>
          <w:sz w:val="24"/>
          <w:szCs w:val="24"/>
          <w:lang w:val="sq-AL"/>
        </w:rPr>
        <w:t xml:space="preserve"> synohen të punësohen rreth 10700 të rinj dhe në vitin 2028 rreth 11000 punonjës;</w:t>
      </w:r>
    </w:p>
    <w:p w14:paraId="0FF5C0CA" w14:textId="77777777" w:rsidR="00843975" w:rsidRPr="001F631B" w:rsidRDefault="00843975"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rritet punësimi i punëkërkues të papunë nga grupet me aftësi të kufizuar (nga ndërmjetësi dhe nxitja e punësimit) në rreth 340 në vitin 2026, 360 në vitin 2027 dhe 380 në vitin 2028;</w:t>
      </w:r>
    </w:p>
    <w:p w14:paraId="61F1C12D" w14:textId="77777777" w:rsidR="00843975" w:rsidRPr="001F631B" w:rsidRDefault="00843975"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65% e Punëkërkuesve të papuna gra të mbajtura në punë pas përfundimit të programit të nxitjes së punësimit në vitin 2028 nga 63% të planifikuara në vitin 2026;</w:t>
      </w:r>
    </w:p>
    <w:p w14:paraId="128CB33E" w14:textId="77777777" w:rsidR="00843975" w:rsidRPr="001F631B" w:rsidRDefault="00843975"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rritet punësimi i punëkërkuesve të papunë nga pagesa e papunësisë  (nga ndërmjetësi dhe nxitja e punësimit), në rreth 3000 në vitin 2026, 3100 në vitin 2027 dhe 3200 në vitin 2028.</w:t>
      </w:r>
    </w:p>
    <w:p w14:paraId="18AFF793" w14:textId="72DA1972" w:rsidR="00C839F0" w:rsidRPr="00E24ECC" w:rsidRDefault="00C543E4" w:rsidP="00406FC7">
      <w:pPr>
        <w:spacing w:before="120" w:after="120" w:line="276" w:lineRule="auto"/>
        <w:jc w:val="both"/>
        <w:rPr>
          <w:rFonts w:ascii="Cambria" w:hAnsi="Cambria" w:cs="Times New Roman"/>
          <w:sz w:val="24"/>
          <w:szCs w:val="24"/>
          <w:lang w:val="sq-AL"/>
        </w:rPr>
      </w:pPr>
      <w:r w:rsidRPr="00E24ECC">
        <w:rPr>
          <w:rFonts w:ascii="Cambria" w:hAnsi="Cambria" w:cs="Times New Roman"/>
          <w:b/>
          <w:sz w:val="24"/>
          <w:szCs w:val="24"/>
          <w:lang w:val="sq-AL"/>
        </w:rPr>
        <w:t>Mb</w:t>
      </w:r>
      <w:r w:rsidR="00100B6D" w:rsidRPr="00E24ECC">
        <w:rPr>
          <w:rFonts w:ascii="Cambria" w:hAnsi="Cambria" w:cs="Times New Roman"/>
          <w:b/>
          <w:sz w:val="24"/>
          <w:szCs w:val="24"/>
          <w:lang w:val="sq-AL"/>
        </w:rPr>
        <w:t>ë</w:t>
      </w:r>
      <w:r w:rsidRPr="00E24ECC">
        <w:rPr>
          <w:rFonts w:ascii="Cambria" w:hAnsi="Cambria" w:cs="Times New Roman"/>
          <w:b/>
          <w:sz w:val="24"/>
          <w:szCs w:val="24"/>
          <w:lang w:val="sq-AL"/>
        </w:rPr>
        <w:t>shtetja e fermer</w:t>
      </w:r>
      <w:r w:rsidR="00100B6D" w:rsidRPr="00E24ECC">
        <w:rPr>
          <w:rFonts w:ascii="Cambria" w:hAnsi="Cambria" w:cs="Times New Roman"/>
          <w:b/>
          <w:sz w:val="24"/>
          <w:szCs w:val="24"/>
          <w:lang w:val="sq-AL"/>
        </w:rPr>
        <w:t>ë</w:t>
      </w:r>
      <w:r w:rsidRPr="00E24ECC">
        <w:rPr>
          <w:rFonts w:ascii="Cambria" w:hAnsi="Cambria" w:cs="Times New Roman"/>
          <w:b/>
          <w:sz w:val="24"/>
          <w:szCs w:val="24"/>
          <w:lang w:val="sq-AL"/>
        </w:rPr>
        <w:t>ve ku synohet</w:t>
      </w:r>
      <w:r w:rsidRPr="00E24ECC">
        <w:rPr>
          <w:rFonts w:ascii="Cambria" w:eastAsia="Times New Roman" w:hAnsi="Cambria" w:cs="Times New Roman"/>
          <w:noProof/>
          <w:sz w:val="24"/>
          <w:szCs w:val="24"/>
          <w:lang w:val="sq-AL"/>
        </w:rPr>
        <w:t xml:space="preserve"> </w:t>
      </w:r>
      <w:r w:rsidR="00C839F0" w:rsidRPr="00E24ECC">
        <w:rPr>
          <w:rFonts w:ascii="Cambria" w:hAnsi="Cambria" w:cs="Times New Roman"/>
          <w:sz w:val="24"/>
          <w:szCs w:val="24"/>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2E934277" w14:textId="77777777" w:rsidR="00011CC7" w:rsidRPr="00011CC7" w:rsidRDefault="00011CC7" w:rsidP="00954232">
      <w:pPr>
        <w:pStyle w:val="ListParagraph"/>
        <w:numPr>
          <w:ilvl w:val="0"/>
          <w:numId w:val="41"/>
        </w:numPr>
        <w:spacing w:before="120" w:after="120" w:line="276" w:lineRule="auto"/>
        <w:jc w:val="both"/>
        <w:rPr>
          <w:rFonts w:ascii="Cambria" w:eastAsia="Arial" w:hAnsi="Cambria" w:cs="Arial"/>
          <w:sz w:val="24"/>
          <w:szCs w:val="24"/>
          <w:lang w:val="sq-AL" w:eastAsia="en-GB"/>
        </w:rPr>
      </w:pPr>
      <w:r w:rsidRPr="00011CC7">
        <w:rPr>
          <w:rFonts w:ascii="Cambria" w:eastAsia="Arial" w:hAnsi="Cambria" w:cs="Arial"/>
          <w:sz w:val="24"/>
          <w:szCs w:val="24"/>
          <w:lang w:val="sq-AL" w:eastAsia="en-GB"/>
        </w:rPr>
        <w:t>Numrin e të punësuarëve në bujqësi dhe agropërpunim (nga 468 249 të punësuar të parashikuar në vitin 2026 në 495 073 të punësuar në vitin 2026 dhe 498 000 në vitin 2028).</w:t>
      </w:r>
    </w:p>
    <w:p w14:paraId="6269992F" w14:textId="77777777" w:rsidR="00011CC7" w:rsidRPr="00011CC7" w:rsidRDefault="00011CC7" w:rsidP="00954232">
      <w:pPr>
        <w:pStyle w:val="ListParagraph"/>
        <w:numPr>
          <w:ilvl w:val="0"/>
          <w:numId w:val="41"/>
        </w:numPr>
        <w:spacing w:before="120" w:after="120" w:line="276" w:lineRule="auto"/>
        <w:jc w:val="both"/>
        <w:rPr>
          <w:rFonts w:ascii="Cambria" w:eastAsia="Arial" w:hAnsi="Cambria" w:cs="Arial"/>
          <w:sz w:val="24"/>
          <w:szCs w:val="24"/>
          <w:lang w:val="sq-AL" w:eastAsia="en-GB"/>
        </w:rPr>
      </w:pPr>
      <w:r w:rsidRPr="00011CC7">
        <w:rPr>
          <w:rFonts w:ascii="Cambria" w:eastAsia="Arial" w:hAnsi="Cambria" w:cs="Arial"/>
          <w:sz w:val="24"/>
          <w:szCs w:val="24"/>
          <w:lang w:val="sq-AL" w:eastAsia="en-GB"/>
        </w:rPr>
        <w:t>Aktivitetet promovuese të produkteve shqiptare në bujqësi, blegtori dhe agropërpunim.</w:t>
      </w:r>
    </w:p>
    <w:p w14:paraId="0FDBC5DC" w14:textId="4D2C0185" w:rsidR="003E5F16" w:rsidRDefault="00011CC7" w:rsidP="00954232">
      <w:pPr>
        <w:pStyle w:val="ListParagraph"/>
        <w:numPr>
          <w:ilvl w:val="0"/>
          <w:numId w:val="41"/>
        </w:numPr>
        <w:spacing w:before="120" w:after="120" w:line="276" w:lineRule="auto"/>
        <w:jc w:val="both"/>
        <w:rPr>
          <w:rFonts w:ascii="Cambria" w:eastAsia="Arial" w:hAnsi="Cambria" w:cs="Arial"/>
          <w:sz w:val="24"/>
          <w:szCs w:val="24"/>
          <w:lang w:val="sq-AL" w:eastAsia="en-GB"/>
        </w:rPr>
      </w:pPr>
      <w:r w:rsidRPr="00011CC7">
        <w:rPr>
          <w:rFonts w:ascii="Cambria" w:eastAsia="Arial" w:hAnsi="Cambria" w:cs="Arial"/>
          <w:sz w:val="24"/>
          <w:szCs w:val="24"/>
          <w:lang w:val="sq-AL" w:eastAsia="en-GB"/>
        </w:rPr>
        <w:lastRenderedPageBreak/>
        <w:t>Rritja e volumit të eksportit të produkteve bujqësore dhe të agropërpunimit nga 58.59 miliardë lekë në vitin 2026 në 59.76 miliardë lekë në vitin 2027 dhe 62 miliardë lekë në vitin 2028.</w:t>
      </w:r>
    </w:p>
    <w:p w14:paraId="1D3A73B4" w14:textId="6EE99268" w:rsidR="00011CC7" w:rsidRPr="00011CC7" w:rsidRDefault="00062D55" w:rsidP="00954232">
      <w:pPr>
        <w:pStyle w:val="ListParagraph"/>
        <w:numPr>
          <w:ilvl w:val="0"/>
          <w:numId w:val="41"/>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Shtimit të numrit të përfituesëve nga masat mbështetëse në bujqësi. Parashikohen  rreth 45.000 përfitues në vitin 2026, 45.500 përfitues në vitin 2026 dhe 46.000 përfitues në vitin 2027, nga të cilët 15.000 janë përfitues të mbështetur nga Skemat Kombëtare për vitin 2026 dhe 15.500 në vitin 2027 dhe 16.000 përfitues për vitin 2028 dhe 30.000 përfitues janë nga Skema e Subvensionit të naftës për bujqësinë për periudhën 2026-2028.</w:t>
      </w:r>
    </w:p>
    <w:p w14:paraId="7D424636" w14:textId="7C519BB7" w:rsidR="003E4C9B" w:rsidRPr="00E24ECC" w:rsidRDefault="003E4C9B" w:rsidP="00406FC7">
      <w:pPr>
        <w:spacing w:after="0" w:line="276" w:lineRule="auto"/>
        <w:jc w:val="both"/>
        <w:rPr>
          <w:rFonts w:ascii="Cambria" w:eastAsia="Times New Roman" w:hAnsi="Cambria" w:cs="Times New Roman"/>
          <w:color w:val="000000"/>
          <w:sz w:val="24"/>
          <w:szCs w:val="24"/>
          <w:lang w:val="sq-AL" w:eastAsia="sq-AL"/>
        </w:rPr>
      </w:pPr>
      <w:r w:rsidRPr="00E24ECC">
        <w:rPr>
          <w:rFonts w:ascii="Cambria" w:eastAsia="Arial" w:hAnsi="Cambria" w:cs="Arial"/>
          <w:b/>
          <w:sz w:val="24"/>
          <w:szCs w:val="24"/>
          <w:lang w:val="sq-AL" w:eastAsia="en-GB"/>
        </w:rPr>
        <w:t>N</w:t>
      </w:r>
      <w:r w:rsidR="00B237C4"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 xml:space="preserve"> fush</w:t>
      </w:r>
      <w:r w:rsidR="00B237C4"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n e arsimit</w:t>
      </w:r>
      <w:r w:rsidR="00627BAC" w:rsidRPr="00E24ECC">
        <w:rPr>
          <w:rFonts w:ascii="Cambria" w:eastAsia="Times New Roman" w:hAnsi="Cambria" w:cs="Times New Roman"/>
          <w:color w:val="000000"/>
          <w:sz w:val="24"/>
          <w:szCs w:val="24"/>
          <w:lang w:val="sq-AL" w:eastAsia="sq-AL"/>
        </w:rPr>
        <w:t xml:space="preserve"> do të vijojë zhvillimi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 reformave në arsim, mbështetja</w:t>
      </w:r>
      <w:r w:rsidRPr="00E24ECC">
        <w:rPr>
          <w:rFonts w:ascii="Cambria" w:eastAsia="Times New Roman" w:hAnsi="Cambria" w:cs="Times New Roman"/>
          <w:color w:val="000000"/>
          <w:sz w:val="24"/>
          <w:szCs w:val="24"/>
          <w:lang w:val="sq-AL" w:eastAsia="sq-AL"/>
        </w:rPr>
        <w:t xml:space="preserve"> e arsimit baz</w:t>
      </w:r>
      <w:r w:rsidR="00627BAC" w:rsidRPr="00E24ECC">
        <w:rPr>
          <w:rFonts w:ascii="Cambria" w:eastAsia="Times New Roman" w:hAnsi="Cambria" w:cs="Times New Roman"/>
          <w:color w:val="000000"/>
          <w:sz w:val="24"/>
          <w:szCs w:val="24"/>
          <w:lang w:val="sq-AL" w:eastAsia="sq-AL"/>
        </w:rPr>
        <w:t>ë, të mesëm të lartë, orientimi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w:t>
      </w:r>
      <w:r w:rsidRPr="00E24ECC">
        <w:rPr>
          <w:rFonts w:ascii="Cambria" w:eastAsia="Times New Roman" w:hAnsi="Cambria" w:cs="Times New Roman"/>
          <w:color w:val="000000"/>
          <w:sz w:val="24"/>
          <w:szCs w:val="24"/>
          <w:lang w:val="sq-AL" w:eastAsia="sq-AL"/>
        </w:rPr>
        <w:t xml:space="preserve"> kurikulave ndaj nevojave të </w:t>
      </w:r>
      <w:r w:rsidR="00627BAC" w:rsidRPr="00E24ECC">
        <w:rPr>
          <w:rFonts w:ascii="Cambria" w:eastAsia="Times New Roman" w:hAnsi="Cambria" w:cs="Times New Roman"/>
          <w:color w:val="000000"/>
          <w:sz w:val="24"/>
          <w:szCs w:val="24"/>
          <w:lang w:val="sq-AL" w:eastAsia="sq-AL"/>
        </w:rPr>
        <w:t>tregut të punës dhe modernizimi</w:t>
      </w:r>
      <w:r w:rsidRPr="00E24ECC">
        <w:rPr>
          <w:rFonts w:ascii="Cambria" w:eastAsia="Times New Roman" w:hAnsi="Cambria" w:cs="Times New Roman"/>
          <w:color w:val="000000"/>
          <w:sz w:val="24"/>
          <w:szCs w:val="24"/>
          <w:lang w:val="sq-AL" w:eastAsia="sq-AL"/>
        </w:rPr>
        <w:t xml:space="preserve"> </w:t>
      </w:r>
      <w:r w:rsidR="00627BAC" w:rsidRPr="00E24ECC">
        <w:rPr>
          <w:rFonts w:ascii="Cambria" w:eastAsia="Times New Roman" w:hAnsi="Cambria" w:cs="Times New Roman"/>
          <w:color w:val="000000"/>
          <w:sz w:val="24"/>
          <w:szCs w:val="24"/>
          <w:lang w:val="sq-AL" w:eastAsia="sq-AL"/>
        </w:rPr>
        <w:t>i tyre, zhvillimi</w:t>
      </w:r>
      <w:r w:rsidRPr="00E24ECC">
        <w:rPr>
          <w:rFonts w:ascii="Cambria" w:eastAsia="Times New Roman" w:hAnsi="Cambria" w:cs="Times New Roman"/>
          <w:color w:val="000000"/>
          <w:sz w:val="24"/>
          <w:szCs w:val="24"/>
          <w:lang w:val="sq-AL" w:eastAsia="sq-AL"/>
        </w:rPr>
        <w:t xml:space="preserve"> profesional </w:t>
      </w:r>
      <w:r w:rsidR="00627BAC" w:rsidRPr="00E24ECC">
        <w:rPr>
          <w:rFonts w:ascii="Cambria" w:eastAsia="Times New Roman" w:hAnsi="Cambria" w:cs="Times New Roman"/>
          <w:color w:val="000000"/>
          <w:sz w:val="24"/>
          <w:szCs w:val="24"/>
          <w:lang w:val="sq-AL" w:eastAsia="sq-AL"/>
        </w:rPr>
        <w:t>i</w:t>
      </w:r>
      <w:r w:rsidRPr="00E24ECC">
        <w:rPr>
          <w:rFonts w:ascii="Cambria" w:eastAsia="Times New Roman" w:hAnsi="Cambria" w:cs="Times New Roman"/>
          <w:color w:val="000000"/>
          <w:sz w:val="24"/>
          <w:szCs w:val="24"/>
          <w:lang w:val="sq-AL" w:eastAsia="sq-AL"/>
        </w:rPr>
        <w:t xml:space="preserve"> mësuesve nëpërmjet trajnimit, promovimi dhe zgjerimi i teknologjisë së informacionit dhe komunikimit në edukim.</w:t>
      </w:r>
      <w:r w:rsidR="00627BAC" w:rsidRPr="00E24ECC">
        <w:rPr>
          <w:rFonts w:ascii="Cambria" w:eastAsia="Times New Roman" w:hAnsi="Cambria" w:cs="Times New Roman"/>
          <w:color w:val="000000"/>
          <w:sz w:val="24"/>
          <w:szCs w:val="24"/>
          <w:lang w:val="sq-AL" w:eastAsia="sq-AL"/>
        </w:rPr>
        <w:t xml:space="preserve"> </w:t>
      </w:r>
      <w:r w:rsidRPr="00E24ECC">
        <w:rPr>
          <w:rFonts w:ascii="Cambria" w:eastAsia="Times New Roman" w:hAnsi="Cambria" w:cs="Times New Roman"/>
          <w:color w:val="000000"/>
          <w:sz w:val="24"/>
          <w:szCs w:val="24"/>
          <w:lang w:val="sq-AL" w:eastAsia="sq-AL"/>
        </w:rPr>
        <w:t xml:space="preserve">Për periudhën </w:t>
      </w:r>
      <w:r w:rsidR="00201111" w:rsidRPr="00E24ECC">
        <w:rPr>
          <w:rFonts w:ascii="Cambria" w:eastAsia="Times New Roman" w:hAnsi="Cambria" w:cs="Times New Roman"/>
          <w:color w:val="000000"/>
          <w:sz w:val="24"/>
          <w:szCs w:val="24"/>
          <w:lang w:val="sq-AL" w:eastAsia="sq-AL"/>
        </w:rPr>
        <w:t>202</w:t>
      </w:r>
      <w:r w:rsidR="00062D55">
        <w:rPr>
          <w:rFonts w:ascii="Cambria" w:eastAsia="Times New Roman" w:hAnsi="Cambria" w:cs="Times New Roman"/>
          <w:color w:val="000000"/>
          <w:sz w:val="24"/>
          <w:szCs w:val="24"/>
          <w:lang w:val="sq-AL" w:eastAsia="sq-AL"/>
        </w:rPr>
        <w:t>6</w:t>
      </w:r>
      <w:r w:rsidR="00201111" w:rsidRPr="00E24ECC">
        <w:rPr>
          <w:rFonts w:ascii="Cambria" w:eastAsia="Times New Roman" w:hAnsi="Cambria" w:cs="Times New Roman"/>
          <w:color w:val="000000"/>
          <w:sz w:val="24"/>
          <w:szCs w:val="24"/>
          <w:lang w:val="sq-AL" w:eastAsia="sq-AL"/>
        </w:rPr>
        <w:t>-202</w:t>
      </w:r>
      <w:r w:rsidR="00062D55">
        <w:rPr>
          <w:rFonts w:ascii="Cambria" w:eastAsia="Times New Roman" w:hAnsi="Cambria" w:cs="Times New Roman"/>
          <w:color w:val="000000"/>
          <w:sz w:val="24"/>
          <w:szCs w:val="24"/>
          <w:lang w:val="sq-AL" w:eastAsia="sq-AL"/>
        </w:rPr>
        <w:t>8</w:t>
      </w:r>
      <w:r w:rsidRPr="00E24ECC">
        <w:rPr>
          <w:rFonts w:ascii="Cambria" w:eastAsia="Times New Roman" w:hAnsi="Cambria" w:cs="Times New Roman"/>
          <w:color w:val="000000"/>
          <w:sz w:val="24"/>
          <w:szCs w:val="24"/>
          <w:lang w:val="sq-AL" w:eastAsia="sq-AL"/>
        </w:rPr>
        <w:t>, Ministria e Arsimit dhe Sportit do të financojë me prioritet:</w:t>
      </w:r>
    </w:p>
    <w:p w14:paraId="728C75C8" w14:textId="77777777" w:rsidR="00627BAC" w:rsidRPr="00E24ECC" w:rsidRDefault="00627BAC" w:rsidP="00406FC7">
      <w:pPr>
        <w:spacing w:after="0" w:line="276" w:lineRule="auto"/>
        <w:jc w:val="both"/>
        <w:rPr>
          <w:rFonts w:ascii="Cambria" w:eastAsia="Times New Roman" w:hAnsi="Cambria" w:cs="Times New Roman"/>
          <w:color w:val="000000"/>
          <w:sz w:val="24"/>
          <w:szCs w:val="24"/>
          <w:lang w:val="sq-AL" w:eastAsia="sq-AL"/>
        </w:rPr>
      </w:pPr>
    </w:p>
    <w:p w14:paraId="2B205CD7"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Rritjen e numrit të fëmijëve që ndjekin arsimin parashkollor. </w:t>
      </w:r>
    </w:p>
    <w:p w14:paraId="13967614"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Reduktimin e numrit të klasave kolektive, në arsimin parauniversitar;</w:t>
      </w:r>
    </w:p>
    <w:p w14:paraId="0E3CAC2B"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Sigurimin i shërbimit të transportit, si dhe mbulimin e shpenzimeve të transportit për rreth 35 000 fëmijë dhe nxënës që kanë vendbanimin e tyre mbi 2 km nga shkolla, si dhe transportin për rreth 12 000 mësues që punojnë mbi 5 Km nga vendbanimi/qendra e përhershme e punës në shkollë, </w:t>
      </w:r>
    </w:p>
    <w:p w14:paraId="48A5AB5D"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Ofrimi i teksteve shkollore falas për afro 220 mijë nxënës që ndjekin arsimin bazë nga klasa e parë në klasën e nëntë, si dhe ofrimin e teksteve shkollore falas për 14-15 mijë nxënës nga shtresa sociale në nevojë në arsimin e mesëm të lartë;</w:t>
      </w:r>
    </w:p>
    <w:p w14:paraId="16ABDC0A" w14:textId="77777777" w:rsidR="00062D55" w:rsidRPr="00E24ECC" w:rsidRDefault="00062D55" w:rsidP="00954232">
      <w:pPr>
        <w:numPr>
          <w:ilvl w:val="0"/>
          <w:numId w:val="30"/>
        </w:num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Ofrimin e bursave financiare apo kuotë ushqimore/financiare për 3 800-4 000 nxënës me nevoja të veçanta si dhe fëmijëve, me ndikim në uljen e braktisjes shkollore, si dhe të nxënësve nga shtresat sociale në nevojë, në arsimin parauniversitar; </w:t>
      </w:r>
    </w:p>
    <w:p w14:paraId="66E74A03" w14:textId="77777777" w:rsidR="008161DE" w:rsidRPr="00E24ECC" w:rsidRDefault="003E4C9B" w:rsidP="00954232">
      <w:pPr>
        <w:numPr>
          <w:ilvl w:val="0"/>
          <w:numId w:val="30"/>
        </w:numPr>
        <w:spacing w:after="0" w:line="276" w:lineRule="auto"/>
        <w:jc w:val="both"/>
        <w:rPr>
          <w:rFonts w:ascii="Cambria" w:eastAsia="Arial" w:hAnsi="Cambria" w:cs="Arial"/>
          <w:sz w:val="24"/>
          <w:szCs w:val="24"/>
          <w:lang w:val="sq-AL" w:eastAsia="en-GB"/>
        </w:rPr>
      </w:pPr>
      <w:r w:rsidRPr="00E24ECC">
        <w:rPr>
          <w:rFonts w:ascii="Cambria" w:hAnsi="Cambria"/>
          <w:color w:val="000000"/>
          <w:sz w:val="24"/>
          <w:szCs w:val="24"/>
          <w:lang w:val="sq-AL" w:eastAsia="sq-AL"/>
        </w:rPr>
        <w:t xml:space="preserve">Ndërkombëtarizimi i Arsimit të Lartë - </w:t>
      </w:r>
      <w:r w:rsidR="008161DE" w:rsidRPr="00E24ECC">
        <w:rPr>
          <w:rFonts w:ascii="Cambria" w:hAnsi="Cambria"/>
          <w:color w:val="000000"/>
          <w:sz w:val="24"/>
          <w:szCs w:val="24"/>
          <w:lang w:val="sq-AL" w:eastAsia="sq-AL"/>
        </w:rPr>
        <w:t>do të vijojë puna për hapjen e filialeve të Universiteteve më të mira</w:t>
      </w:r>
      <w:r w:rsidR="008161DE" w:rsidRPr="00E24ECC">
        <w:rPr>
          <w:rFonts w:ascii="Cambria" w:eastAsia="Times New Roman" w:hAnsi="Cambria" w:cs="Times New Roman"/>
          <w:color w:val="000000"/>
          <w:sz w:val="24"/>
          <w:szCs w:val="24"/>
          <w:lang w:val="sq-AL" w:eastAsia="sq-AL"/>
        </w:rPr>
        <w:t xml:space="preserve"> ndërkombëtare në Shqipëri, si dhe të programeve të studimit të përbashkëta/të dyfishta. MAS do të mbështesë hapjen e programeve në gjuhën angleze në të gjitha universitetet shqiptare.( Plani i Qeverisë 2021-2025 _Objektivat për arsimin). </w:t>
      </w:r>
    </w:p>
    <w:p w14:paraId="520F32F9" w14:textId="77777777" w:rsidR="008161DE" w:rsidRPr="00E24ECC" w:rsidRDefault="008161DE" w:rsidP="00406FC7">
      <w:pPr>
        <w:spacing w:before="120" w:after="120" w:line="276" w:lineRule="auto"/>
        <w:ind w:left="360"/>
        <w:jc w:val="both"/>
        <w:rPr>
          <w:rFonts w:ascii="Cambria" w:eastAsia="Arial" w:hAnsi="Cambria" w:cs="Arial"/>
          <w:sz w:val="24"/>
          <w:szCs w:val="24"/>
          <w:lang w:val="sq-AL" w:eastAsia="en-GB"/>
        </w:rPr>
      </w:pPr>
    </w:p>
    <w:p w14:paraId="2C236B27" w14:textId="5A1D0D60" w:rsidR="005B66E4" w:rsidRPr="00E24ECC" w:rsidRDefault="005B66E4" w:rsidP="00954232">
      <w:pPr>
        <w:numPr>
          <w:ilvl w:val="0"/>
          <w:numId w:val="30"/>
        </w:numPr>
        <w:spacing w:before="120" w:after="120" w:line="276" w:lineRule="auto"/>
        <w:jc w:val="both"/>
        <w:rPr>
          <w:rFonts w:ascii="Cambria" w:eastAsia="Arial" w:hAnsi="Cambria" w:cs="Arial"/>
          <w:sz w:val="24"/>
          <w:szCs w:val="24"/>
          <w:lang w:val="sq-AL" w:eastAsia="en-GB"/>
        </w:rPr>
      </w:pPr>
      <w:r w:rsidRPr="00E24ECC">
        <w:rPr>
          <w:rFonts w:ascii="Cambria" w:eastAsia="Arial" w:hAnsi="Cambria" w:cs="Arial"/>
          <w:b/>
          <w:sz w:val="24"/>
          <w:szCs w:val="24"/>
          <w:lang w:val="sq-AL" w:eastAsia="en-GB"/>
        </w:rPr>
        <w:t>N</w:t>
      </w:r>
      <w:r w:rsidR="00F16E95"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 xml:space="preserve"> fush</w:t>
      </w:r>
      <w:r w:rsidR="00F16E95" w:rsidRPr="00E24ECC">
        <w:rPr>
          <w:rFonts w:ascii="Cambria" w:eastAsia="Arial" w:hAnsi="Cambria" w:cs="Arial"/>
          <w:b/>
          <w:sz w:val="24"/>
          <w:szCs w:val="24"/>
          <w:lang w:val="sq-AL" w:eastAsia="en-GB"/>
        </w:rPr>
        <w:t>ë</w:t>
      </w:r>
      <w:r w:rsidRPr="00E24ECC">
        <w:rPr>
          <w:rFonts w:ascii="Cambria" w:eastAsia="Arial" w:hAnsi="Cambria" w:cs="Arial"/>
          <w:b/>
          <w:sz w:val="24"/>
          <w:szCs w:val="24"/>
          <w:lang w:val="sq-AL" w:eastAsia="en-GB"/>
        </w:rPr>
        <w:t>n e turizmit</w:t>
      </w:r>
      <w:r w:rsidRPr="00E24ECC">
        <w:rPr>
          <w:rFonts w:ascii="Cambria" w:eastAsia="Arial" w:hAnsi="Cambria" w:cs="Arial"/>
          <w:sz w:val="24"/>
          <w:szCs w:val="24"/>
          <w:lang w:val="sq-AL" w:eastAsia="en-GB"/>
        </w:rPr>
        <w:t xml:space="preserve"> prioritetet </w:t>
      </w:r>
      <w:r w:rsidRPr="00E24ECC">
        <w:rPr>
          <w:rFonts w:ascii="Cambria" w:hAnsi="Cambria" w:cs="Times New Roman"/>
          <w:color w:val="000000" w:themeColor="text1"/>
          <w:sz w:val="24"/>
          <w:szCs w:val="24"/>
          <w:lang w:val="sq-AL"/>
        </w:rPr>
        <w:t xml:space="preserve">për periudhën </w:t>
      </w:r>
      <w:r w:rsidR="00201111" w:rsidRPr="00E24ECC">
        <w:rPr>
          <w:rFonts w:ascii="Cambria" w:hAnsi="Cambria" w:cs="Times New Roman"/>
          <w:color w:val="000000" w:themeColor="text1"/>
          <w:sz w:val="24"/>
          <w:szCs w:val="24"/>
          <w:lang w:val="sq-AL"/>
        </w:rPr>
        <w:t>202</w:t>
      </w:r>
      <w:r w:rsidR="00ED6515">
        <w:rPr>
          <w:rFonts w:ascii="Cambria" w:hAnsi="Cambria" w:cs="Times New Roman"/>
          <w:color w:val="000000" w:themeColor="text1"/>
          <w:sz w:val="24"/>
          <w:szCs w:val="24"/>
          <w:lang w:val="sq-AL"/>
        </w:rPr>
        <w:t>6</w:t>
      </w:r>
      <w:r w:rsidR="00201111" w:rsidRPr="00E24ECC">
        <w:rPr>
          <w:rFonts w:ascii="Cambria" w:hAnsi="Cambria" w:cs="Times New Roman"/>
          <w:color w:val="000000" w:themeColor="text1"/>
          <w:sz w:val="24"/>
          <w:szCs w:val="24"/>
          <w:lang w:val="sq-AL"/>
        </w:rPr>
        <w:t>-202</w:t>
      </w:r>
      <w:r w:rsidR="00ED6515">
        <w:rPr>
          <w:rFonts w:ascii="Cambria" w:hAnsi="Cambria" w:cs="Times New Roman"/>
          <w:color w:val="000000" w:themeColor="text1"/>
          <w:sz w:val="24"/>
          <w:szCs w:val="24"/>
          <w:lang w:val="sq-AL"/>
        </w:rPr>
        <w:t>8</w:t>
      </w:r>
      <w:r w:rsidRPr="00E24ECC">
        <w:rPr>
          <w:rFonts w:ascii="Cambria" w:hAnsi="Cambria" w:cs="Times New Roman"/>
          <w:color w:val="000000" w:themeColor="text1"/>
          <w:sz w:val="24"/>
          <w:szCs w:val="24"/>
          <w:lang w:val="sq-AL"/>
        </w:rPr>
        <w:t xml:space="preserve"> do t</w:t>
      </w:r>
      <w:r w:rsidR="00F16E95" w:rsidRPr="00E24ECC">
        <w:rPr>
          <w:rFonts w:ascii="Cambria" w:hAnsi="Cambria" w:cs="Times New Roman"/>
          <w:color w:val="000000" w:themeColor="text1"/>
          <w:sz w:val="24"/>
          <w:szCs w:val="24"/>
          <w:lang w:val="sq-AL"/>
        </w:rPr>
        <w:t>ë</w:t>
      </w:r>
      <w:r w:rsidRPr="00E24ECC">
        <w:rPr>
          <w:rFonts w:ascii="Cambria" w:hAnsi="Cambria" w:cs="Times New Roman"/>
          <w:color w:val="000000" w:themeColor="text1"/>
          <w:sz w:val="24"/>
          <w:szCs w:val="24"/>
          <w:lang w:val="sq-AL"/>
        </w:rPr>
        <w:t xml:space="preserve"> jen</w:t>
      </w:r>
      <w:r w:rsidR="00F16E95" w:rsidRPr="00E24ECC">
        <w:rPr>
          <w:rFonts w:ascii="Cambria" w:hAnsi="Cambria" w:cs="Times New Roman"/>
          <w:color w:val="000000" w:themeColor="text1"/>
          <w:sz w:val="24"/>
          <w:szCs w:val="24"/>
          <w:lang w:val="sq-AL"/>
        </w:rPr>
        <w:t>ë</w:t>
      </w:r>
      <w:r w:rsidRPr="00E24ECC">
        <w:rPr>
          <w:rFonts w:ascii="Cambria" w:hAnsi="Cambria" w:cs="Times New Roman"/>
          <w:color w:val="000000" w:themeColor="text1"/>
          <w:sz w:val="24"/>
          <w:szCs w:val="24"/>
          <w:lang w:val="sq-AL"/>
        </w:rPr>
        <w:t>:</w:t>
      </w:r>
    </w:p>
    <w:p w14:paraId="65D271D6" w14:textId="77777777" w:rsidR="00623F1A" w:rsidRPr="00E24ECC" w:rsidRDefault="00623F1A" w:rsidP="00954232">
      <w:pPr>
        <w:numPr>
          <w:ilvl w:val="0"/>
          <w:numId w:val="11"/>
        </w:numPr>
        <w:spacing w:after="0" w:line="276" w:lineRule="auto"/>
        <w:contextualSpacing/>
        <w:jc w:val="both"/>
        <w:rPr>
          <w:rFonts w:ascii="Cambria" w:eastAsia="SimSun" w:hAnsi="Cambria" w:cs="Arial"/>
          <w:sz w:val="24"/>
          <w:szCs w:val="24"/>
          <w:lang w:val="sq-AL"/>
        </w:rPr>
      </w:pPr>
      <w:r w:rsidRPr="00E24ECC">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55660132" w14:textId="77777777" w:rsidR="00623F1A" w:rsidRPr="00E24ECC" w:rsidRDefault="00623F1A" w:rsidP="00954232">
      <w:pPr>
        <w:numPr>
          <w:ilvl w:val="0"/>
          <w:numId w:val="11"/>
        </w:numPr>
        <w:spacing w:after="0" w:line="276" w:lineRule="auto"/>
        <w:contextualSpacing/>
        <w:jc w:val="both"/>
        <w:rPr>
          <w:rFonts w:ascii="Cambria" w:eastAsia="SimSun" w:hAnsi="Cambria" w:cs="Arial"/>
          <w:sz w:val="24"/>
          <w:szCs w:val="24"/>
          <w:lang w:val="sq-AL"/>
        </w:rPr>
      </w:pPr>
      <w:r w:rsidRPr="00E24ECC">
        <w:rPr>
          <w:rFonts w:ascii="Cambria" w:eastAsia="SimSun" w:hAnsi="Cambria" w:cs="Arial"/>
          <w:sz w:val="24"/>
          <w:szCs w:val="24"/>
          <w:lang w:val="sq-AL"/>
        </w:rPr>
        <w:t>Sigurimi e zhvillimi i qëndrueshëm i zonës bregdetare, nëpërmjet ofrimit të shërbimit të pastrimit gjatë sezonit turistik, me qëllim rritjen e turistëve të huaj;</w:t>
      </w:r>
    </w:p>
    <w:p w14:paraId="4548CEEE" w14:textId="77777777" w:rsidR="00623F1A" w:rsidRPr="00E24ECC" w:rsidRDefault="00623F1A" w:rsidP="00954232">
      <w:pPr>
        <w:numPr>
          <w:ilvl w:val="0"/>
          <w:numId w:val="11"/>
        </w:numPr>
        <w:spacing w:after="0" w:line="276" w:lineRule="auto"/>
        <w:contextualSpacing/>
        <w:jc w:val="both"/>
        <w:rPr>
          <w:rFonts w:ascii="Cambria" w:eastAsia="SimSun" w:hAnsi="Cambria" w:cs="Arial"/>
          <w:sz w:val="24"/>
          <w:szCs w:val="24"/>
          <w:lang w:val="sq-AL"/>
        </w:rPr>
      </w:pPr>
      <w:r w:rsidRPr="00E24ECC">
        <w:rPr>
          <w:rFonts w:ascii="Cambria" w:eastAsia="SimSun" w:hAnsi="Cambria" w:cs="Arial"/>
          <w:sz w:val="24"/>
          <w:szCs w:val="24"/>
          <w:lang w:val="sq-AL"/>
        </w:rPr>
        <w:lastRenderedPageBreak/>
        <w:t>Zhvillimi i produkteve dhe shërbimeve të reja në turizëm, si dhe përmirësimi i imazhit të vendit duke promovuar produkte lokale;</w:t>
      </w:r>
    </w:p>
    <w:p w14:paraId="15374C4B" w14:textId="77777777" w:rsidR="00623F1A" w:rsidRPr="00E24ECC" w:rsidRDefault="00623F1A" w:rsidP="00954232">
      <w:pPr>
        <w:numPr>
          <w:ilvl w:val="0"/>
          <w:numId w:val="11"/>
        </w:numPr>
        <w:spacing w:after="0" w:line="276" w:lineRule="auto"/>
        <w:contextualSpacing/>
        <w:jc w:val="both"/>
        <w:rPr>
          <w:rFonts w:ascii="Cambria" w:eastAsia="SimSun" w:hAnsi="Cambria" w:cs="Arial"/>
          <w:sz w:val="24"/>
          <w:szCs w:val="24"/>
          <w:lang w:val="sq-AL"/>
        </w:rPr>
      </w:pPr>
      <w:r w:rsidRPr="00E24ECC">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057685D5" w14:textId="77777777" w:rsidR="00623F1A" w:rsidRPr="00E24ECC" w:rsidRDefault="00623F1A" w:rsidP="00954232">
      <w:pPr>
        <w:numPr>
          <w:ilvl w:val="0"/>
          <w:numId w:val="11"/>
        </w:numPr>
        <w:spacing w:after="0" w:line="276" w:lineRule="auto"/>
        <w:contextualSpacing/>
        <w:jc w:val="both"/>
        <w:rPr>
          <w:rFonts w:ascii="Cambria" w:eastAsia="SimSun" w:hAnsi="Cambria" w:cs="Arial"/>
          <w:sz w:val="24"/>
          <w:szCs w:val="24"/>
          <w:lang w:val="sq-AL"/>
        </w:rPr>
      </w:pPr>
      <w:r w:rsidRPr="00E24ECC">
        <w:rPr>
          <w:rFonts w:ascii="Cambria" w:eastAsia="SimSun" w:hAnsi="Cambria" w:cs="Arial"/>
          <w:sz w:val="24"/>
          <w:szCs w:val="24"/>
          <w:lang w:val="sq-AL"/>
        </w:rPr>
        <w:t>Rritja e sipërfaqes se zonave të mbrojtura;</w:t>
      </w:r>
    </w:p>
    <w:p w14:paraId="2EF8F2C7" w14:textId="77777777" w:rsidR="003E5F16" w:rsidRPr="00E24ECC" w:rsidRDefault="003E5F16" w:rsidP="00406FC7">
      <w:pPr>
        <w:spacing w:after="200" w:line="276" w:lineRule="auto"/>
        <w:contextualSpacing/>
        <w:jc w:val="both"/>
        <w:rPr>
          <w:rFonts w:ascii="Cambria" w:eastAsia="Calibri" w:hAnsi="Cambria" w:cs="Times New Roman"/>
          <w:b/>
          <w:sz w:val="24"/>
          <w:szCs w:val="24"/>
          <w:lang w:val="sq-AL"/>
        </w:rPr>
      </w:pPr>
    </w:p>
    <w:p w14:paraId="1F869130" w14:textId="77777777" w:rsidR="001D16DC" w:rsidRPr="00E24ECC" w:rsidRDefault="001D16DC" w:rsidP="00406FC7">
      <w:pPr>
        <w:spacing w:after="20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b/>
          <w:sz w:val="24"/>
          <w:szCs w:val="24"/>
          <w:lang w:val="sq-AL"/>
        </w:rPr>
        <w:t>Në fushën e mbrojtjes sociale</w:t>
      </w:r>
      <w:r w:rsidRPr="00E24ECC">
        <w:rPr>
          <w:rFonts w:ascii="Cambria" w:eastAsia="Calibri" w:hAnsi="Cambria" w:cs="Times New Roman"/>
          <w:sz w:val="24"/>
          <w:szCs w:val="24"/>
          <w:lang w:val="sq-AL"/>
        </w:rPr>
        <w:t>, synohet:</w:t>
      </w:r>
    </w:p>
    <w:p w14:paraId="087CB090" w14:textId="77777777" w:rsidR="005B66E4" w:rsidRPr="00E24ECC" w:rsidRDefault="005B66E4" w:rsidP="00406FC7">
      <w:pPr>
        <w:spacing w:after="200" w:line="276" w:lineRule="auto"/>
        <w:contextualSpacing/>
        <w:jc w:val="both"/>
        <w:rPr>
          <w:rFonts w:ascii="Cambria" w:eastAsia="Calibri" w:hAnsi="Cambria" w:cs="Times New Roman"/>
          <w:sz w:val="24"/>
          <w:szCs w:val="24"/>
          <w:lang w:val="sq-AL"/>
        </w:rPr>
      </w:pPr>
    </w:p>
    <w:p w14:paraId="1DF81174"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Numri i familjeve dhe individëve në nevojë që pritet të përfitojnë nga skema e ndihmës ekonomike parashikohet të ulet n</w:t>
      </w:r>
      <w:r>
        <w:rPr>
          <w:rFonts w:ascii="Cambria" w:hAnsi="Cambria"/>
          <w:sz w:val="24"/>
          <w:szCs w:val="24"/>
          <w:lang w:val="sq-AL"/>
        </w:rPr>
        <w:t>ë</w:t>
      </w:r>
      <w:r w:rsidRPr="002D348C">
        <w:rPr>
          <w:rFonts w:ascii="Cambria" w:hAnsi="Cambria"/>
          <w:sz w:val="24"/>
          <w:szCs w:val="24"/>
          <w:lang w:val="sq-AL"/>
        </w:rPr>
        <w:t xml:space="preserve"> 59 000 përfitues në vit p</w:t>
      </w:r>
      <w:r>
        <w:rPr>
          <w:rFonts w:ascii="Cambria" w:hAnsi="Cambria"/>
          <w:sz w:val="24"/>
          <w:szCs w:val="24"/>
          <w:lang w:val="sq-AL"/>
        </w:rPr>
        <w:t>ë</w:t>
      </w:r>
      <w:r w:rsidRPr="002D348C">
        <w:rPr>
          <w:rFonts w:ascii="Cambria" w:hAnsi="Cambria"/>
          <w:sz w:val="24"/>
          <w:szCs w:val="24"/>
          <w:lang w:val="sq-AL"/>
        </w:rPr>
        <w:t>r vitin 2028, ku për vitet 2026-2027 parashikohet të ulet me 1000 familje, ku synohet punësimi i anëtarëve në moshë pune të familjeve përfituese.   </w:t>
      </w:r>
    </w:p>
    <w:p w14:paraId="50C2428A"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Numri i përfituesve nga PAK dhe kujdestarëve të tyre parashikohet të shkojë në 98 mijë përfitues në vitin 2028 nga 94 mijë përfitues në vitin 2026,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 </w:t>
      </w:r>
    </w:p>
    <w:p w14:paraId="477F9933"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Mbështetja e personave nga grupet e pafavorizuara përmes punësimit në ndërmarrjet sociale synohet të punësohen mesatarisht 150 persona çdo vit, me qëllim integrimin në tregun e punës të kategorive të ndryshme të grupeve të pafavorizuara nga pikëpamja sociale dhe ekonomike me një fond mesatarisht prej 80 milion lekë përgjatë periudhës 2026-2028; </w:t>
      </w:r>
    </w:p>
    <w:p w14:paraId="0525170B"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Rritja e numrit të personave të punësuar në ndërmarrjet sociale në raport me numrin e anëtarëve në moshë pune në skemën e ndihmës ekonomike në 5% në vitin 2028; </w:t>
      </w:r>
    </w:p>
    <w:p w14:paraId="7AF1A87B"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Mbështetjen e fondit social për njësitë e vetqeverisjes vendore për ofrimin e shërbimeve të reja sociale territoriale për grupet në nevojë dhe mbështetjen e familjeve të NE me paketa sociale shëndetësore, duke synuar ofrimin e 95-115 shërbime në bashkitë e vendit, me një fond mesatarisht prej 400-450 milion lekë përgjatë periudhës 2026-2028. Parashikohet të përfitojnë 61 njësi të vetëqeverisjes vendore në vitin 2027 nga 43 NJVQVV që parashikohen të përfitojnë në vitin 2025.  </w:t>
      </w:r>
    </w:p>
    <w:p w14:paraId="23D96C53"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për efekt përfitimi pensioni pleqërie dhe barrëlindjeje, duke synuar të përfitojnë 8 700 gra në vitin 2028 nga 8 300 gra që janë parashikuar në vitin 2025, me një fond mesatarisht rreth 850 milion lekë përgjatë periudhës 2026-2028.  </w:t>
      </w:r>
    </w:p>
    <w:p w14:paraId="671D6685"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lastRenderedPageBreak/>
        <w:t>Rritja e grave dhe vajzave në nevoje të ri-integruara pas trajtimit në institucionet e përkujdesit social në 55 gra dhe vajza në vitin 2028 nga 47 gra/vajza që parashikohen në vitin 2025; </w:t>
      </w:r>
    </w:p>
    <w:p w14:paraId="6DF2E942" w14:textId="77777777" w:rsidR="00F45B33" w:rsidRPr="002D348C" w:rsidRDefault="00F45B33" w:rsidP="00F45B33">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Mbështetja e grave të dhunuara që përfitojnë nga skema e Ndihmës Ekonomike kundrejt totalit të kategorive të veçanta në 51% në vitin 2027 nga 45% që parashikohen në vitin 2024; </w:t>
      </w:r>
    </w:p>
    <w:p w14:paraId="26CE15BC" w14:textId="77777777" w:rsidR="00C543E4" w:rsidRPr="00E24ECC" w:rsidRDefault="00C543E4" w:rsidP="005B66E4">
      <w:pPr>
        <w:spacing w:before="120" w:after="120" w:line="276" w:lineRule="auto"/>
        <w:contextualSpacing/>
        <w:jc w:val="both"/>
        <w:rPr>
          <w:rFonts w:ascii="Cambria" w:eastAsia="Times New Roman" w:hAnsi="Cambria" w:cs="Times New Roman"/>
          <w:noProof/>
          <w:sz w:val="24"/>
          <w:szCs w:val="24"/>
          <w:lang w:val="sq-AL"/>
        </w:rPr>
      </w:pPr>
    </w:p>
    <w:p w14:paraId="4B2481AC" w14:textId="77777777" w:rsidR="00457718" w:rsidRPr="00E24ECC" w:rsidRDefault="005B66E4" w:rsidP="005B66E4">
      <w:pPr>
        <w:spacing w:line="276" w:lineRule="auto"/>
        <w:jc w:val="both"/>
        <w:rPr>
          <w:rFonts w:ascii="Cambria" w:hAnsi="Cambria" w:cs="Times New Roman"/>
          <w:sz w:val="24"/>
          <w:szCs w:val="24"/>
          <w:lang w:val="sq-AL"/>
        </w:rPr>
      </w:pPr>
      <w:r w:rsidRPr="00E24ECC">
        <w:rPr>
          <w:rFonts w:ascii="Cambria" w:hAnsi="Cambria" w:cs="Times New Roman"/>
          <w:b/>
          <w:sz w:val="24"/>
          <w:szCs w:val="24"/>
          <w:lang w:val="sq-AL"/>
        </w:rPr>
        <w:t>In</w:t>
      </w:r>
      <w:r w:rsidR="00457718" w:rsidRPr="00E24ECC">
        <w:rPr>
          <w:rFonts w:ascii="Cambria" w:hAnsi="Cambria" w:cs="Times New Roman"/>
          <w:b/>
          <w:sz w:val="24"/>
          <w:szCs w:val="24"/>
          <w:lang w:val="sq-AL"/>
        </w:rPr>
        <w:t>vestimet Publike</w:t>
      </w:r>
      <w:r w:rsidR="00457718" w:rsidRPr="00E24ECC">
        <w:rPr>
          <w:rFonts w:ascii="Cambria" w:hAnsi="Cambria" w:cs="Times New Roman"/>
          <w:sz w:val="24"/>
          <w:szCs w:val="24"/>
          <w:lang w:val="sq-AL"/>
        </w:rPr>
        <w:t xml:space="preserve"> do të kanalizohen në sektorët kyç për zhvillimin ekonomik dhe social si:</w:t>
      </w:r>
    </w:p>
    <w:p w14:paraId="528F7C0C" w14:textId="77777777" w:rsidR="003E5F16" w:rsidRPr="00E24ECC" w:rsidRDefault="00457718" w:rsidP="003E5F16">
      <w:pPr>
        <w:spacing w:after="120" w:line="276" w:lineRule="auto"/>
        <w:jc w:val="both"/>
        <w:rPr>
          <w:rFonts w:ascii="Cambria" w:hAnsi="Cambria" w:cs="Times New Roman"/>
          <w:sz w:val="24"/>
          <w:szCs w:val="24"/>
          <w:lang w:val="sq-AL"/>
        </w:rPr>
      </w:pPr>
      <w:r w:rsidRPr="00E24ECC">
        <w:rPr>
          <w:rFonts w:ascii="Cambria" w:hAnsi="Cambria" w:cs="Times New Roman"/>
          <w:b/>
          <w:sz w:val="24"/>
          <w:szCs w:val="24"/>
          <w:lang w:val="sq-AL"/>
        </w:rPr>
        <w:t>Infrastruktura rrugore nacionale</w:t>
      </w:r>
      <w:r w:rsidR="003E5F16" w:rsidRPr="00E24ECC">
        <w:rPr>
          <w:rFonts w:ascii="Cambria" w:hAnsi="Cambria" w:cs="Times New Roman"/>
          <w:sz w:val="24"/>
          <w:szCs w:val="24"/>
          <w:lang w:val="sq-AL"/>
        </w:rPr>
        <w:t xml:space="preserve"> </w:t>
      </w:r>
      <w:r w:rsidR="003041CF" w:rsidRPr="00E24ECC">
        <w:rPr>
          <w:rFonts w:ascii="Cambria" w:hAnsi="Cambria" w:cs="Times New Roman"/>
          <w:sz w:val="24"/>
          <w:szCs w:val="24"/>
          <w:lang w:val="sq-AL"/>
        </w:rPr>
        <w:t xml:space="preserve">synon </w:t>
      </w:r>
      <w:r w:rsidR="003E5F16" w:rsidRPr="00E24ECC">
        <w:rPr>
          <w:rFonts w:ascii="Cambria" w:eastAsia="Calibri" w:hAnsi="Cambria" w:cs="Times New Roman"/>
          <w:sz w:val="24"/>
          <w:szCs w:val="24"/>
          <w:lang w:val="sq-AL"/>
        </w:rPr>
        <w:t>vazhdimi</w:t>
      </w:r>
      <w:r w:rsidR="003041CF" w:rsidRPr="00E24ECC">
        <w:rPr>
          <w:rFonts w:ascii="Cambria" w:eastAsia="Calibri" w:hAnsi="Cambria" w:cs="Times New Roman"/>
          <w:sz w:val="24"/>
          <w:szCs w:val="24"/>
          <w:lang w:val="sq-AL"/>
        </w:rPr>
        <w:t>n</w:t>
      </w:r>
      <w:r w:rsidR="003E5F16" w:rsidRPr="00E24ECC">
        <w:rPr>
          <w:rFonts w:ascii="Cambria" w:eastAsia="Calibri" w:hAnsi="Cambria" w:cs="Times New Roman"/>
          <w:sz w:val="24"/>
          <w:szCs w:val="24"/>
          <w:lang w:val="sq-AL"/>
        </w:rPr>
        <w:t xml:space="preserve"> dhe financimi</w:t>
      </w:r>
      <w:r w:rsidR="003041CF" w:rsidRPr="00E24ECC">
        <w:rPr>
          <w:rFonts w:ascii="Cambria" w:eastAsia="Calibri" w:hAnsi="Cambria" w:cs="Times New Roman"/>
          <w:sz w:val="24"/>
          <w:szCs w:val="24"/>
          <w:lang w:val="sq-AL"/>
        </w:rPr>
        <w:t>m</w:t>
      </w:r>
      <w:r w:rsidR="003E5F16" w:rsidRPr="00E24ECC">
        <w:rPr>
          <w:rFonts w:ascii="Cambria" w:eastAsia="Calibri" w:hAnsi="Cambria" w:cs="Times New Roman"/>
          <w:sz w:val="24"/>
          <w:szCs w:val="24"/>
          <w:lang w:val="sq-AL"/>
        </w:rPr>
        <w:t xml:space="preserve"> </w:t>
      </w:r>
      <w:r w:rsidR="003041CF" w:rsidRPr="00E24ECC">
        <w:rPr>
          <w:rFonts w:ascii="Cambria" w:eastAsia="Calibri" w:hAnsi="Cambria" w:cs="Times New Roman"/>
          <w:sz w:val="24"/>
          <w:szCs w:val="24"/>
          <w:lang w:val="sq-AL"/>
        </w:rPr>
        <w:t>e</w:t>
      </w:r>
      <w:r w:rsidR="003E5F16" w:rsidRPr="00E24ECC">
        <w:rPr>
          <w:rFonts w:ascii="Cambria" w:eastAsia="Calibri" w:hAnsi="Cambria" w:cs="Times New Roman"/>
          <w:sz w:val="24"/>
          <w:szCs w:val="24"/>
          <w:lang w:val="sq-AL"/>
        </w:rPr>
        <w:t xml:space="preserve"> projekteve koncesionare, </w:t>
      </w:r>
      <w:r w:rsidR="003041CF" w:rsidRPr="00E24ECC">
        <w:rPr>
          <w:rFonts w:ascii="Cambria" w:eastAsia="Calibri" w:hAnsi="Cambria" w:cs="Times New Roman"/>
          <w:sz w:val="24"/>
          <w:szCs w:val="24"/>
          <w:lang w:val="sq-AL"/>
        </w:rPr>
        <w:t>e</w:t>
      </w:r>
      <w:r w:rsidR="003E5F16" w:rsidRPr="00E24ECC">
        <w:rPr>
          <w:rFonts w:ascii="Cambria" w:eastAsia="Calibri" w:hAnsi="Cambria" w:cs="Times New Roman"/>
          <w:sz w:val="24"/>
          <w:szCs w:val="24"/>
          <w:lang w:val="sq-AL"/>
        </w:rPr>
        <w:t xml:space="preserve"> konkretisht:</w:t>
      </w:r>
    </w:p>
    <w:p w14:paraId="6596CD05" w14:textId="77777777"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Rrugës së Arbrit;</w:t>
      </w:r>
    </w:p>
    <w:p w14:paraId="654431E6" w14:textId="77777777"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Rrugës Milot – Morinë;</w:t>
      </w:r>
    </w:p>
    <w:p w14:paraId="043B32C7" w14:textId="36BFFEDB" w:rsidR="00622201" w:rsidRPr="00E24ECC" w:rsidRDefault="00622201" w:rsidP="006D5B58">
      <w:pPr>
        <w:numPr>
          <w:ilvl w:val="0"/>
          <w:numId w:val="32"/>
        </w:numPr>
        <w:spacing w:after="0" w:line="276" w:lineRule="auto"/>
        <w:contextualSpacing/>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Kontrata e Koncesionit për ndërtimin e Rrug</w:t>
      </w:r>
      <w:r w:rsidR="004F7043" w:rsidRPr="00E24ECC">
        <w:rPr>
          <w:rFonts w:ascii="Cambria" w:eastAsia="Calibri" w:hAnsi="Cambria" w:cs="Times New Roman"/>
          <w:sz w:val="24"/>
          <w:szCs w:val="24"/>
          <w:lang w:val="sq-AL"/>
        </w:rPr>
        <w:t>ë</w:t>
      </w:r>
      <w:r w:rsidRPr="00E24ECC">
        <w:rPr>
          <w:rFonts w:ascii="Cambria" w:eastAsia="Calibri" w:hAnsi="Cambria" w:cs="Times New Roman"/>
          <w:sz w:val="24"/>
          <w:szCs w:val="24"/>
          <w:lang w:val="sq-AL"/>
        </w:rPr>
        <w:t>s Orikum – Dukat, By Pass-Porti i Jahteve;</w:t>
      </w:r>
    </w:p>
    <w:p w14:paraId="6D90CEC8" w14:textId="3875CB83" w:rsidR="00616ACB" w:rsidRPr="00980F58" w:rsidRDefault="00616ACB"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zgjerimit t</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superstrad</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s Tiran</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 xml:space="preserve"> </w:t>
      </w:r>
      <w:r w:rsidR="00F403FA" w:rsidRPr="00980F58">
        <w:rPr>
          <w:rFonts w:ascii="Cambria" w:eastAsia="Calibri" w:hAnsi="Cambria" w:cs="Times New Roman"/>
          <w:sz w:val="24"/>
          <w:szCs w:val="24"/>
          <w:lang w:val="sq-AL"/>
        </w:rPr>
        <w:t>–</w:t>
      </w:r>
      <w:r w:rsidRPr="00980F58">
        <w:rPr>
          <w:rFonts w:ascii="Cambria" w:eastAsia="Calibri" w:hAnsi="Cambria" w:cs="Times New Roman"/>
          <w:sz w:val="24"/>
          <w:szCs w:val="24"/>
          <w:lang w:val="sq-AL"/>
        </w:rPr>
        <w:t xml:space="preserve"> Durr</w:t>
      </w:r>
      <w:r w:rsidR="004F7043" w:rsidRPr="00980F58">
        <w:rPr>
          <w:rFonts w:ascii="Cambria" w:eastAsia="Calibri" w:hAnsi="Cambria" w:cs="Times New Roman"/>
          <w:sz w:val="24"/>
          <w:szCs w:val="24"/>
          <w:lang w:val="sq-AL"/>
        </w:rPr>
        <w:t>ë</w:t>
      </w:r>
      <w:r w:rsidRPr="00980F58">
        <w:rPr>
          <w:rFonts w:ascii="Cambria" w:eastAsia="Calibri" w:hAnsi="Cambria" w:cs="Times New Roman"/>
          <w:sz w:val="24"/>
          <w:szCs w:val="24"/>
          <w:lang w:val="sq-AL"/>
        </w:rPr>
        <w:t>s</w:t>
      </w:r>
      <w:r w:rsidR="00F403FA" w:rsidRPr="00980F58">
        <w:rPr>
          <w:rFonts w:ascii="Cambria" w:eastAsia="Calibri" w:hAnsi="Cambria" w:cs="Times New Roman"/>
          <w:sz w:val="24"/>
          <w:szCs w:val="24"/>
          <w:lang w:val="sq-AL"/>
        </w:rPr>
        <w:t>;</w:t>
      </w:r>
    </w:p>
    <w:p w14:paraId="299D4C86" w14:textId="77777777" w:rsidR="00980F58" w:rsidRPr="00980F58"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të Rrugës Elbasan – Lekaj;</w:t>
      </w:r>
    </w:p>
    <w:p w14:paraId="128D8B0C" w14:textId="77777777" w:rsidR="00980F58" w:rsidRPr="00980F58"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të Rrugës Elbasan – Qafë Thanë;</w:t>
      </w:r>
    </w:p>
    <w:p w14:paraId="5B1C0115" w14:textId="77777777" w:rsidR="00980F58" w:rsidRPr="00980F58"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të Rrugës Tiranë – Ndroq- Plepa;</w:t>
      </w:r>
    </w:p>
    <w:p w14:paraId="5C626588" w14:textId="77777777" w:rsidR="00980F58" w:rsidRPr="00980F58"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të Rrugës Berat – Ballaban;</w:t>
      </w:r>
    </w:p>
    <w:p w14:paraId="45DE099E" w14:textId="6D404E53" w:rsidR="00980F58" w:rsidRPr="00980F58" w:rsidRDefault="00980F58" w:rsidP="006D5B58">
      <w:pPr>
        <w:numPr>
          <w:ilvl w:val="0"/>
          <w:numId w:val="32"/>
        </w:numPr>
        <w:spacing w:after="0" w:line="276" w:lineRule="auto"/>
        <w:contextualSpacing/>
        <w:jc w:val="both"/>
        <w:rPr>
          <w:rFonts w:ascii="Cambria" w:eastAsia="Calibri" w:hAnsi="Cambria" w:cs="Times New Roman"/>
          <w:sz w:val="24"/>
          <w:szCs w:val="24"/>
          <w:lang w:val="sq-AL"/>
        </w:rPr>
      </w:pPr>
      <w:r w:rsidRPr="00980F58">
        <w:rPr>
          <w:rFonts w:ascii="Cambria" w:eastAsia="Calibri" w:hAnsi="Cambria" w:cs="Times New Roman"/>
          <w:sz w:val="24"/>
          <w:szCs w:val="24"/>
          <w:lang w:val="sq-AL"/>
        </w:rPr>
        <w:t>Vijon financimi i projektit të Bypasit të Sarandës;</w:t>
      </w:r>
    </w:p>
    <w:p w14:paraId="1EDB7D70" w14:textId="77777777" w:rsidR="003041CF" w:rsidRPr="00E24ECC" w:rsidRDefault="003041CF" w:rsidP="005B66E4">
      <w:pPr>
        <w:spacing w:line="276" w:lineRule="auto"/>
        <w:jc w:val="both"/>
        <w:rPr>
          <w:rFonts w:ascii="Cambria" w:hAnsi="Cambria" w:cs="Times New Roman"/>
          <w:b/>
          <w:sz w:val="24"/>
          <w:szCs w:val="24"/>
          <w:lang w:val="sq-AL"/>
        </w:rPr>
      </w:pPr>
    </w:p>
    <w:p w14:paraId="6567F2CC" w14:textId="77777777" w:rsidR="00636D9A" w:rsidRPr="00E24ECC" w:rsidRDefault="005A3FFC" w:rsidP="00622201">
      <w:pPr>
        <w:spacing w:line="276" w:lineRule="auto"/>
        <w:jc w:val="both"/>
        <w:rPr>
          <w:rFonts w:ascii="Cambria" w:hAnsi="Cambria" w:cs="Times New Roman"/>
          <w:b/>
          <w:sz w:val="24"/>
          <w:szCs w:val="24"/>
          <w:lang w:val="sq-AL"/>
        </w:rPr>
      </w:pPr>
      <w:r w:rsidRPr="00E24ECC">
        <w:rPr>
          <w:rFonts w:ascii="Cambria" w:hAnsi="Cambria" w:cs="Times New Roman"/>
          <w:b/>
          <w:sz w:val="24"/>
          <w:szCs w:val="24"/>
          <w:lang w:val="sq-AL"/>
        </w:rPr>
        <w:t>Sh</w:t>
      </w:r>
      <w:r w:rsidR="00100B6D" w:rsidRPr="00E24ECC">
        <w:rPr>
          <w:rFonts w:ascii="Cambria" w:hAnsi="Cambria" w:cs="Times New Roman"/>
          <w:b/>
          <w:sz w:val="24"/>
          <w:szCs w:val="24"/>
          <w:lang w:val="sq-AL"/>
        </w:rPr>
        <w:t>ë</w:t>
      </w:r>
      <w:r w:rsidRPr="00E24ECC">
        <w:rPr>
          <w:rFonts w:ascii="Cambria" w:hAnsi="Cambria" w:cs="Times New Roman"/>
          <w:b/>
          <w:sz w:val="24"/>
          <w:szCs w:val="24"/>
          <w:lang w:val="sq-AL"/>
        </w:rPr>
        <w:t>ndet</w:t>
      </w:r>
      <w:r w:rsidR="00100B6D" w:rsidRPr="00E24ECC">
        <w:rPr>
          <w:rFonts w:ascii="Cambria" w:hAnsi="Cambria" w:cs="Times New Roman"/>
          <w:b/>
          <w:sz w:val="24"/>
          <w:szCs w:val="24"/>
          <w:lang w:val="sq-AL"/>
        </w:rPr>
        <w:t>ë</w:t>
      </w:r>
      <w:r w:rsidRPr="00E24ECC">
        <w:rPr>
          <w:rFonts w:ascii="Cambria" w:hAnsi="Cambria" w:cs="Times New Roman"/>
          <w:b/>
          <w:sz w:val="24"/>
          <w:szCs w:val="24"/>
          <w:lang w:val="sq-AL"/>
        </w:rPr>
        <w:t>sia:</w:t>
      </w:r>
    </w:p>
    <w:p w14:paraId="0FCC790F" w14:textId="77777777" w:rsidR="00F403FA" w:rsidRPr="00F403FA" w:rsidRDefault="00F403FA" w:rsidP="00954232">
      <w:pPr>
        <w:numPr>
          <w:ilvl w:val="0"/>
          <w:numId w:val="1"/>
        </w:numPr>
        <w:autoSpaceDE w:val="0"/>
        <w:autoSpaceDN w:val="0"/>
        <w:adjustRightInd w:val="0"/>
        <w:spacing w:after="0" w:line="276" w:lineRule="auto"/>
        <w:contextualSpacing/>
        <w:jc w:val="both"/>
        <w:rPr>
          <w:rFonts w:ascii="Cambria" w:eastAsia="Calibri" w:hAnsi="Cambria" w:cs="Times New Roman"/>
          <w:color w:val="000000"/>
          <w:sz w:val="24"/>
          <w:szCs w:val="24"/>
          <w:lang w:val="sq-AL" w:eastAsia="x-none"/>
        </w:rPr>
      </w:pPr>
      <w:r w:rsidRPr="002D348C">
        <w:rPr>
          <w:rFonts w:ascii="Cambria" w:hAnsi="Cambria"/>
          <w:sz w:val="24"/>
          <w:szCs w:val="24"/>
          <w:lang w:val="sq-AL"/>
        </w:rPr>
        <w:t>Rikonstruksion në Maternitetin nr. 1 Tiranë, faza e II-të, me vlerë 274 milion lekë. Vlera e parashikuar për vitin 2026 brenda tavanit është 96,951 mije lekë. Vijohet me investimin në pajisje mjekësore për këtë maternitet në vlerën 110,000 mijë lekë</w:t>
      </w:r>
      <w:r>
        <w:rPr>
          <w:rFonts w:ascii="Cambria" w:hAnsi="Cambria"/>
          <w:sz w:val="24"/>
          <w:szCs w:val="24"/>
          <w:lang w:val="sq-AL"/>
        </w:rPr>
        <w:t>;</w:t>
      </w:r>
    </w:p>
    <w:p w14:paraId="4C0D32DF" w14:textId="77777777" w:rsidR="00F403FA" w:rsidRDefault="00F403FA" w:rsidP="00F403FA">
      <w:pPr>
        <w:pStyle w:val="ListParagraph"/>
        <w:numPr>
          <w:ilvl w:val="0"/>
          <w:numId w:val="1"/>
        </w:numPr>
        <w:spacing w:line="276" w:lineRule="auto"/>
        <w:jc w:val="both"/>
        <w:rPr>
          <w:rFonts w:ascii="Cambria" w:hAnsi="Cambria"/>
          <w:sz w:val="24"/>
          <w:szCs w:val="24"/>
          <w:lang w:val="sq-AL"/>
        </w:rPr>
      </w:pPr>
      <w:r w:rsidRPr="002D348C">
        <w:rPr>
          <w:rFonts w:ascii="Cambria" w:hAnsi="Cambria"/>
          <w:sz w:val="24"/>
          <w:szCs w:val="24"/>
          <w:lang w:val="sq-AL"/>
        </w:rPr>
        <w:t>Vijon financimi për rehabilitimin e 100 objekteve të tjera të Qendrave Shëndetësore dhe ambulanca, për vitet 2025-2028 me nj</w:t>
      </w:r>
      <w:r>
        <w:rPr>
          <w:rFonts w:ascii="Cambria" w:hAnsi="Cambria"/>
          <w:sz w:val="24"/>
          <w:szCs w:val="24"/>
          <w:lang w:val="sq-AL"/>
        </w:rPr>
        <w:t>ë</w:t>
      </w:r>
      <w:r w:rsidRPr="002D348C">
        <w:rPr>
          <w:rFonts w:ascii="Cambria" w:hAnsi="Cambria"/>
          <w:sz w:val="24"/>
          <w:szCs w:val="24"/>
          <w:lang w:val="sq-AL"/>
        </w:rPr>
        <w:t xml:space="preserve"> fond total prej 296.6 milion</w:t>
      </w:r>
      <w:r>
        <w:rPr>
          <w:rFonts w:ascii="Cambria" w:hAnsi="Cambria"/>
          <w:sz w:val="24"/>
          <w:szCs w:val="24"/>
          <w:lang w:val="sq-AL"/>
        </w:rPr>
        <w:t>ë</w:t>
      </w:r>
      <w:r w:rsidRPr="002D348C">
        <w:rPr>
          <w:rFonts w:ascii="Cambria" w:hAnsi="Cambria"/>
          <w:sz w:val="24"/>
          <w:szCs w:val="24"/>
          <w:lang w:val="sq-AL"/>
        </w:rPr>
        <w:t xml:space="preserve"> lek</w:t>
      </w:r>
      <w:r>
        <w:rPr>
          <w:rFonts w:ascii="Cambria" w:hAnsi="Cambria"/>
          <w:sz w:val="24"/>
          <w:szCs w:val="24"/>
          <w:lang w:val="sq-AL"/>
        </w:rPr>
        <w:t>ë</w:t>
      </w:r>
      <w:r w:rsidRPr="002D348C">
        <w:rPr>
          <w:rFonts w:ascii="Cambria" w:hAnsi="Cambria"/>
          <w:sz w:val="24"/>
          <w:szCs w:val="24"/>
          <w:lang w:val="sq-AL"/>
        </w:rPr>
        <w:t>; </w:t>
      </w:r>
    </w:p>
    <w:p w14:paraId="5BF1730E" w14:textId="77777777" w:rsidR="006D5B58" w:rsidRPr="006D5B58" w:rsidRDefault="006D5B58" w:rsidP="006D5B58">
      <w:pPr>
        <w:pStyle w:val="ListParagraph"/>
        <w:numPr>
          <w:ilvl w:val="0"/>
          <w:numId w:val="1"/>
        </w:numPr>
        <w:spacing w:line="276" w:lineRule="auto"/>
        <w:jc w:val="both"/>
        <w:rPr>
          <w:rFonts w:ascii="Cambria" w:hAnsi="Cambria"/>
          <w:sz w:val="24"/>
          <w:szCs w:val="24"/>
          <w:lang w:val="sq-AL"/>
        </w:rPr>
      </w:pPr>
      <w:r w:rsidRPr="006D5B58">
        <w:rPr>
          <w:rFonts w:ascii="Cambria" w:hAnsi="Cambria"/>
          <w:sz w:val="24"/>
          <w:szCs w:val="24"/>
          <w:lang w:val="sq-AL"/>
        </w:rPr>
        <w:t>Financimi i Projektit të Spitalit Rajonal Korçë me vlerë 1.4 miliardë lekë;</w:t>
      </w:r>
    </w:p>
    <w:p w14:paraId="58D7B43B" w14:textId="77777777" w:rsidR="006D5B58" w:rsidRPr="006D5B58" w:rsidRDefault="006D5B58" w:rsidP="006D5B58">
      <w:pPr>
        <w:pStyle w:val="ListParagraph"/>
        <w:numPr>
          <w:ilvl w:val="0"/>
          <w:numId w:val="1"/>
        </w:numPr>
        <w:spacing w:line="276" w:lineRule="auto"/>
        <w:jc w:val="both"/>
        <w:rPr>
          <w:rFonts w:ascii="Cambria" w:hAnsi="Cambria"/>
          <w:sz w:val="24"/>
          <w:szCs w:val="24"/>
          <w:lang w:val="sq-AL"/>
        </w:rPr>
      </w:pPr>
      <w:r w:rsidRPr="006D5B58">
        <w:rPr>
          <w:rFonts w:ascii="Cambria" w:hAnsi="Cambria"/>
          <w:sz w:val="24"/>
          <w:szCs w:val="24"/>
          <w:lang w:val="sq-AL"/>
        </w:rPr>
        <w:t>Vijon financimi i dy Materniteteve në Shkodër dhe në Fier.</w:t>
      </w:r>
    </w:p>
    <w:p w14:paraId="662A1499" w14:textId="77777777" w:rsidR="006D5B58" w:rsidRPr="006D5B58" w:rsidRDefault="006D5B58" w:rsidP="006D5B58">
      <w:pPr>
        <w:pStyle w:val="ListParagraph"/>
        <w:numPr>
          <w:ilvl w:val="0"/>
          <w:numId w:val="1"/>
        </w:numPr>
        <w:spacing w:line="276" w:lineRule="auto"/>
        <w:jc w:val="both"/>
        <w:rPr>
          <w:rFonts w:ascii="Cambria" w:hAnsi="Cambria"/>
          <w:sz w:val="24"/>
          <w:szCs w:val="24"/>
          <w:lang w:val="sq-AL"/>
        </w:rPr>
      </w:pPr>
      <w:r w:rsidRPr="006D5B58">
        <w:rPr>
          <w:rFonts w:ascii="Cambria" w:hAnsi="Cambria"/>
          <w:sz w:val="24"/>
          <w:szCs w:val="24"/>
          <w:lang w:val="sq-AL"/>
        </w:rPr>
        <w:t>Vijon financimi për Spitalin Psikiatrik të Elbasanit;</w:t>
      </w:r>
    </w:p>
    <w:p w14:paraId="77651143" w14:textId="77777777" w:rsidR="006D5B58" w:rsidRPr="006D5B58" w:rsidRDefault="006D5B58" w:rsidP="006D5B58">
      <w:pPr>
        <w:pStyle w:val="ListParagraph"/>
        <w:numPr>
          <w:ilvl w:val="0"/>
          <w:numId w:val="1"/>
        </w:numPr>
        <w:spacing w:line="276" w:lineRule="auto"/>
        <w:jc w:val="both"/>
        <w:rPr>
          <w:rFonts w:ascii="Cambria" w:hAnsi="Cambria"/>
          <w:sz w:val="24"/>
          <w:szCs w:val="24"/>
          <w:lang w:val="sq-AL"/>
        </w:rPr>
      </w:pPr>
      <w:r w:rsidRPr="006D5B58">
        <w:rPr>
          <w:rFonts w:ascii="Cambria" w:hAnsi="Cambria"/>
          <w:sz w:val="24"/>
          <w:szCs w:val="24"/>
          <w:lang w:val="sq-AL"/>
        </w:rPr>
        <w:t>Etj.</w:t>
      </w:r>
    </w:p>
    <w:p w14:paraId="79CA2B70" w14:textId="77777777" w:rsidR="006D5B58" w:rsidRPr="002D348C" w:rsidRDefault="006D5B58" w:rsidP="006D5B58">
      <w:pPr>
        <w:pStyle w:val="ListParagraph"/>
        <w:spacing w:line="276" w:lineRule="auto"/>
        <w:jc w:val="both"/>
        <w:rPr>
          <w:rFonts w:ascii="Cambria" w:hAnsi="Cambria"/>
          <w:sz w:val="24"/>
          <w:szCs w:val="24"/>
          <w:lang w:val="sq-AL"/>
        </w:rPr>
      </w:pPr>
    </w:p>
    <w:p w14:paraId="50E203FE" w14:textId="77777777" w:rsidR="006D4104" w:rsidRPr="00E24ECC" w:rsidRDefault="006D4104" w:rsidP="002F721B">
      <w:pPr>
        <w:spacing w:after="200" w:line="276" w:lineRule="auto"/>
        <w:contextualSpacing/>
        <w:jc w:val="both"/>
        <w:rPr>
          <w:rFonts w:ascii="Cambria" w:eastAsia="Calibri" w:hAnsi="Cambria" w:cs="Times New Roman"/>
          <w:sz w:val="24"/>
          <w:szCs w:val="24"/>
          <w:lang w:val="sq-AL"/>
        </w:rPr>
      </w:pPr>
    </w:p>
    <w:p w14:paraId="2E1C8A53" w14:textId="00B6C689" w:rsidR="005A3FFC" w:rsidRPr="00E24ECC" w:rsidRDefault="006D4104" w:rsidP="006D4104">
      <w:pPr>
        <w:spacing w:line="276" w:lineRule="auto"/>
        <w:jc w:val="both"/>
        <w:rPr>
          <w:rFonts w:ascii="Cambria" w:hAnsi="Cambria" w:cs="Times New Roman"/>
          <w:b/>
          <w:sz w:val="24"/>
          <w:szCs w:val="24"/>
          <w:lang w:val="sq-AL"/>
        </w:rPr>
      </w:pPr>
      <w:r w:rsidRPr="00E24ECC">
        <w:rPr>
          <w:rFonts w:ascii="Cambria" w:hAnsi="Cambria" w:cs="Times New Roman"/>
          <w:b/>
          <w:sz w:val="24"/>
          <w:szCs w:val="24"/>
          <w:lang w:val="sq-AL"/>
        </w:rPr>
        <w:t>Arsimi:</w:t>
      </w:r>
    </w:p>
    <w:p w14:paraId="69EB6B0B" w14:textId="77777777" w:rsidR="006D5B58" w:rsidRPr="006D5B58" w:rsidRDefault="006D5B58" w:rsidP="006D5B58">
      <w:pPr>
        <w:pStyle w:val="ListParagraph"/>
        <w:numPr>
          <w:ilvl w:val="0"/>
          <w:numId w:val="1"/>
        </w:numPr>
        <w:spacing w:after="0" w:line="276" w:lineRule="auto"/>
        <w:jc w:val="both"/>
        <w:rPr>
          <w:rFonts w:ascii="Cambria" w:hAnsi="Cambria"/>
          <w:color w:val="000000"/>
          <w:sz w:val="24"/>
          <w:szCs w:val="24"/>
          <w:lang w:val="sq-AL"/>
        </w:rPr>
      </w:pPr>
      <w:r w:rsidRPr="006D5B58">
        <w:rPr>
          <w:rFonts w:ascii="Cambria" w:hAnsi="Cambria"/>
          <w:color w:val="000000"/>
          <w:sz w:val="24"/>
          <w:szCs w:val="24"/>
          <w:lang w:val="sq-AL"/>
        </w:rPr>
        <w:t xml:space="preserve">Financimi i projekteve të rëndësishme për rindërtimin/ndërtimin e godinave të Fakultetit të Inxhinierisë së Ndërtimit, Fakultetit Gjeologji-Miniera, Tiranë, Fakulteti </w:t>
      </w:r>
      <w:r w:rsidRPr="006D5B58">
        <w:rPr>
          <w:rFonts w:ascii="Cambria" w:hAnsi="Cambria"/>
          <w:color w:val="000000"/>
          <w:sz w:val="24"/>
          <w:szCs w:val="24"/>
          <w:lang w:val="sq-AL"/>
        </w:rPr>
        <w:lastRenderedPageBreak/>
        <w:t>i Shkencave Mjekësore dhe Teknike në Universitetin e Elbasanit, Investime në shkolla të ndryshme të vendit në Arsimin Bazë dhe të Mesëm, si dhe financimi i 80-100 projekteve me donatorë të huaj në kuadër të mbështetjes së kërkuesve të rinj.</w:t>
      </w:r>
    </w:p>
    <w:p w14:paraId="7EEB2C64" w14:textId="77777777" w:rsidR="006D4104" w:rsidRPr="00E24ECC" w:rsidRDefault="006D4104" w:rsidP="006D4104">
      <w:pPr>
        <w:spacing w:line="276" w:lineRule="auto"/>
        <w:jc w:val="both"/>
        <w:rPr>
          <w:rFonts w:ascii="Cambria" w:hAnsi="Cambria" w:cs="Times New Roman"/>
          <w:b/>
          <w:sz w:val="24"/>
          <w:szCs w:val="24"/>
          <w:lang w:val="sq-AL"/>
        </w:rPr>
      </w:pPr>
    </w:p>
    <w:p w14:paraId="17F36926" w14:textId="2C776ABB" w:rsidR="00C11C89" w:rsidRPr="00E24ECC" w:rsidRDefault="00EA54EE" w:rsidP="00C11C89">
      <w:pPr>
        <w:pStyle w:val="Heading1"/>
        <w:spacing w:after="120" w:line="276" w:lineRule="auto"/>
        <w:contextualSpacing/>
        <w:rPr>
          <w:rFonts w:ascii="Cambria" w:hAnsi="Cambria"/>
          <w:b/>
          <w:color w:val="auto"/>
          <w:sz w:val="24"/>
          <w:szCs w:val="24"/>
          <w:lang w:val="sq-AL"/>
        </w:rPr>
      </w:pPr>
      <w:bookmarkStart w:id="6" w:name="_Toc200704911"/>
      <w:r w:rsidRPr="00E24ECC">
        <w:rPr>
          <w:rFonts w:ascii="Cambria" w:hAnsi="Cambria"/>
          <w:b/>
          <w:color w:val="auto"/>
          <w:sz w:val="24"/>
          <w:szCs w:val="24"/>
          <w:lang w:val="sq-AL"/>
        </w:rPr>
        <w:t>K</w:t>
      </w:r>
      <w:r w:rsidR="00D9146A" w:rsidRPr="00E24ECC">
        <w:rPr>
          <w:rFonts w:ascii="Cambria" w:hAnsi="Cambria"/>
          <w:b/>
          <w:color w:val="auto"/>
          <w:sz w:val="24"/>
          <w:szCs w:val="24"/>
          <w:lang w:val="sq-AL"/>
        </w:rPr>
        <w:t>UADRI MAKROEKONOMIK DHE FISKAL</w:t>
      </w:r>
      <w:r w:rsidR="00C56E02" w:rsidRPr="00E24ECC">
        <w:rPr>
          <w:rFonts w:ascii="Cambria" w:hAnsi="Cambria"/>
          <w:b/>
          <w:color w:val="auto"/>
          <w:sz w:val="24"/>
          <w:szCs w:val="24"/>
          <w:lang w:val="sq-AL"/>
        </w:rPr>
        <w:t xml:space="preserve"> </w:t>
      </w:r>
      <w:r w:rsidR="007944B0" w:rsidRPr="00E24ECC">
        <w:rPr>
          <w:rFonts w:ascii="Cambria" w:hAnsi="Cambria"/>
          <w:b/>
          <w:color w:val="auto"/>
          <w:sz w:val="24"/>
          <w:szCs w:val="24"/>
          <w:lang w:val="sq-AL"/>
        </w:rPr>
        <w:t>202</w:t>
      </w:r>
      <w:r w:rsidR="0048243F" w:rsidRPr="00E24ECC">
        <w:rPr>
          <w:rFonts w:ascii="Cambria" w:hAnsi="Cambria"/>
          <w:b/>
          <w:color w:val="auto"/>
          <w:sz w:val="24"/>
          <w:szCs w:val="24"/>
          <w:lang w:val="sq-AL"/>
        </w:rPr>
        <w:t>6</w:t>
      </w:r>
      <w:r w:rsidR="007944B0" w:rsidRPr="00E24ECC">
        <w:rPr>
          <w:rFonts w:ascii="Cambria" w:hAnsi="Cambria"/>
          <w:b/>
          <w:color w:val="auto"/>
          <w:sz w:val="24"/>
          <w:szCs w:val="24"/>
          <w:lang w:val="sq-AL"/>
        </w:rPr>
        <w:t>-202</w:t>
      </w:r>
      <w:r w:rsidR="0048243F" w:rsidRPr="00E24ECC">
        <w:rPr>
          <w:rFonts w:ascii="Cambria" w:hAnsi="Cambria"/>
          <w:b/>
          <w:color w:val="auto"/>
          <w:sz w:val="24"/>
          <w:szCs w:val="24"/>
          <w:lang w:val="sq-AL"/>
        </w:rPr>
        <w:t>8</w:t>
      </w:r>
      <w:bookmarkEnd w:id="6"/>
    </w:p>
    <w:p w14:paraId="701585DB" w14:textId="77777777" w:rsidR="00656466" w:rsidRPr="00E24ECC" w:rsidRDefault="0087496B" w:rsidP="00C11C89">
      <w:pPr>
        <w:pStyle w:val="Heading1"/>
        <w:numPr>
          <w:ilvl w:val="0"/>
          <w:numId w:val="0"/>
        </w:numPr>
        <w:spacing w:after="120" w:line="276" w:lineRule="auto"/>
        <w:ind w:left="432"/>
        <w:rPr>
          <w:rFonts w:ascii="Cambria" w:hAnsi="Cambria"/>
          <w:b/>
          <w:color w:val="auto"/>
          <w:sz w:val="24"/>
          <w:szCs w:val="24"/>
          <w:lang w:val="sq-AL"/>
        </w:rPr>
      </w:pPr>
      <w:r w:rsidRPr="00E24ECC">
        <w:rPr>
          <w:rFonts w:ascii="Cambria" w:hAnsi="Cambria"/>
          <w:b/>
          <w:color w:val="auto"/>
          <w:sz w:val="24"/>
          <w:szCs w:val="24"/>
          <w:lang w:val="sq-AL"/>
        </w:rPr>
        <w:t xml:space="preserve">   </w:t>
      </w:r>
    </w:p>
    <w:p w14:paraId="78F38120"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color w:val="000000" w:themeColor="text1"/>
          <w:sz w:val="24"/>
          <w:szCs w:val="24"/>
          <w:lang w:val="sq-AL"/>
        </w:rPr>
      </w:pPr>
      <w:bookmarkStart w:id="7" w:name="_Toc31801833"/>
      <w:bookmarkStart w:id="8" w:name="_Toc51666025"/>
      <w:bookmarkStart w:id="9" w:name="_Toc61961939"/>
      <w:bookmarkStart w:id="10" w:name="_Toc65680630"/>
      <w:bookmarkStart w:id="11" w:name="_Toc76644129"/>
      <w:bookmarkStart w:id="12" w:name="_Toc84515332"/>
      <w:bookmarkStart w:id="13" w:name="_Toc136427473"/>
      <w:r w:rsidRPr="00E24ECC">
        <w:rPr>
          <w:rFonts w:ascii="Cambria" w:hAnsi="Cambria"/>
          <w:color w:val="000000"/>
          <w:sz w:val="24"/>
          <w:szCs w:val="24"/>
          <w:lang w:val="sq-AL"/>
        </w:rPr>
        <w:t>Kuadri Makroekonomik e Fiskal (KMF) për periudhën 2026-2028 është pjesë e Sistemit të Planifikimit të Integruar dhe përgatitet nga Ministria e Financave.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2026 – 2028 në nivel ministrie</w:t>
      </w:r>
      <w:r w:rsidRPr="00E24ECC">
        <w:rPr>
          <w:rFonts w:ascii="Cambria" w:eastAsia="Calibri" w:hAnsi="Cambria" w:cs="Calibri"/>
          <w:color w:val="000000" w:themeColor="text1"/>
          <w:sz w:val="24"/>
          <w:szCs w:val="24"/>
          <w:lang w:val="sq-AL"/>
        </w:rPr>
        <w:t xml:space="preserve">. </w:t>
      </w:r>
    </w:p>
    <w:p w14:paraId="30ADACF3"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color w:val="000000" w:themeColor="text1"/>
          <w:sz w:val="24"/>
          <w:szCs w:val="24"/>
          <w:lang w:val="sq-AL"/>
        </w:rPr>
      </w:pPr>
      <w:r w:rsidRPr="00E24ECC">
        <w:rPr>
          <w:rFonts w:ascii="Cambria" w:eastAsia="Calibri" w:hAnsi="Cambria" w:cs="Calibri"/>
          <w:color w:val="000000" w:themeColor="text1"/>
          <w:sz w:val="24"/>
          <w:szCs w:val="24"/>
          <w:lang w:val="sq-AL"/>
        </w:rPr>
        <w:t>KMF miratohet nga Këshilli i Ministrave në muajin janar të çdo viti, dhe mund të jetë sërish subjekt rishikimi dhe përditësimi përgjatë vitit, përpara finalizimit të PBA dhe të tavaneve për shpenzimet.</w:t>
      </w:r>
    </w:p>
    <w:p w14:paraId="11D0B7BA"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color w:val="000000" w:themeColor="text1"/>
          <w:sz w:val="24"/>
          <w:szCs w:val="24"/>
          <w:lang w:val="sq-AL"/>
        </w:rPr>
      </w:pPr>
      <w:r w:rsidRPr="00E24ECC">
        <w:rPr>
          <w:rFonts w:ascii="Cambria" w:eastAsia="Calibri" w:hAnsi="Cambria" w:cs="Calibri"/>
          <w:color w:val="000000" w:themeColor="text1"/>
          <w:sz w:val="24"/>
          <w:szCs w:val="24"/>
          <w:lang w:val="sq-AL"/>
        </w:rPr>
        <w:t xml:space="preserve">KMF përmban dy komponentë kryesore: (i) parashikimet për treguesit kryesorë makroekonomikë të cilët paraqesin pritshmërinë ekonomike për vitin aktual dhe tre vitet e ardhshme dhe (ii) parashikimet dhe objektivat për treguesit fiskal të cilët paraqesin burimet e pritshme në dispozicion të qeverisë për vitet 2026–2028 dhe shpërndarjen e tyre për këtë periudhë sipas buxhetit të konsoliduar. </w:t>
      </w:r>
    </w:p>
    <w:p w14:paraId="0F251F0F" w14:textId="77777777" w:rsidR="000F4CF3" w:rsidRPr="00E24ECC" w:rsidRDefault="000F4CF3" w:rsidP="000F4CF3">
      <w:pPr>
        <w:keepNext/>
        <w:shd w:val="clear" w:color="auto" w:fill="FFFFFF" w:themeFill="background1"/>
        <w:spacing w:before="240" w:after="120" w:line="276" w:lineRule="auto"/>
        <w:jc w:val="both"/>
        <w:outlineLvl w:val="1"/>
        <w:rPr>
          <w:rFonts w:ascii="Cambria" w:eastAsia="Calibri" w:hAnsi="Cambria" w:cstheme="minorHAnsi"/>
          <w:b/>
          <w:bCs/>
          <w:i/>
          <w:color w:val="244061"/>
          <w:sz w:val="24"/>
          <w:szCs w:val="24"/>
          <w:lang w:val="sq-AL"/>
        </w:rPr>
      </w:pPr>
      <w:bookmarkStart w:id="14" w:name="_Toc200704912"/>
      <w:r w:rsidRPr="00E24ECC">
        <w:rPr>
          <w:rFonts w:ascii="Cambria" w:eastAsia="Calibri" w:hAnsi="Cambria" w:cstheme="minorHAnsi"/>
          <w:b/>
          <w:bCs/>
          <w:iCs/>
          <w:noProof/>
          <w:sz w:val="24"/>
          <w:szCs w:val="24"/>
          <w:lang w:val="sq-AL" w:eastAsia="sq-AL"/>
        </w:rPr>
        <w:t>2.1 Zhvillimet Makroekonomike</w:t>
      </w:r>
      <w:bookmarkEnd w:id="7"/>
      <w:bookmarkEnd w:id="8"/>
      <w:bookmarkEnd w:id="9"/>
      <w:bookmarkEnd w:id="10"/>
      <w:bookmarkEnd w:id="11"/>
      <w:bookmarkEnd w:id="12"/>
      <w:bookmarkEnd w:id="13"/>
      <w:bookmarkEnd w:id="14"/>
      <w:r w:rsidRPr="00E24ECC">
        <w:rPr>
          <w:rFonts w:ascii="Cambria" w:eastAsia="Calibri" w:hAnsi="Cambria" w:cstheme="minorHAnsi"/>
          <w:b/>
          <w:bCs/>
          <w:iCs/>
          <w:noProof/>
          <w:sz w:val="24"/>
          <w:szCs w:val="24"/>
          <w:lang w:val="sq-AL" w:eastAsia="sq-AL"/>
        </w:rPr>
        <w:t xml:space="preserve"> </w:t>
      </w:r>
      <w:r w:rsidRPr="00E24ECC">
        <w:rPr>
          <w:rFonts w:ascii="Cambria" w:eastAsia="Calibri" w:hAnsi="Cambria" w:cstheme="minorHAnsi"/>
          <w:b/>
          <w:bCs/>
          <w:iCs/>
          <w:noProof/>
          <w:sz w:val="24"/>
          <w:szCs w:val="24"/>
          <w:lang w:val="sq-AL" w:eastAsia="sq-AL"/>
        </w:rPr>
        <w:tab/>
      </w:r>
      <w:r w:rsidRPr="00E24ECC">
        <w:rPr>
          <w:rFonts w:ascii="Cambria" w:eastAsia="Calibri" w:hAnsi="Cambria" w:cstheme="minorHAnsi"/>
          <w:b/>
          <w:bCs/>
          <w:iCs/>
          <w:noProof/>
          <w:sz w:val="24"/>
          <w:szCs w:val="24"/>
          <w:lang w:val="sq-AL" w:eastAsia="sq-AL"/>
        </w:rPr>
        <w:tab/>
      </w:r>
    </w:p>
    <w:p w14:paraId="1E2536AD"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theme="minorHAnsi"/>
          <w:b/>
          <w:bCs/>
          <w:i/>
          <w:color w:val="244061"/>
          <w:sz w:val="24"/>
          <w:szCs w:val="24"/>
          <w:lang w:val="sq-AL"/>
        </w:rPr>
      </w:pPr>
      <w:r w:rsidRPr="00E24ECC">
        <w:rPr>
          <w:rFonts w:ascii="Cambria" w:eastAsia="Calibri" w:hAnsi="Cambria" w:cstheme="minorHAnsi"/>
          <w:b/>
          <w:bCs/>
          <w:i/>
          <w:color w:val="244061"/>
          <w:sz w:val="24"/>
          <w:szCs w:val="24"/>
          <w:lang w:val="sq-AL"/>
        </w:rPr>
        <w:t xml:space="preserve">Zhvillimet në ekonomitë e huaja  </w:t>
      </w:r>
    </w:p>
    <w:p w14:paraId="14AF557B"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hAnsi="Cambria" w:cs="Times New Roman"/>
          <w:iCs/>
          <w:sz w:val="24"/>
          <w:szCs w:val="24"/>
          <w:lang w:val="sq-AL"/>
        </w:rPr>
      </w:pPr>
      <w:r w:rsidRPr="00E24ECC">
        <w:rPr>
          <w:rFonts w:ascii="Cambria" w:eastAsia="Calibri" w:hAnsi="Cambria" w:cs="Calibri"/>
          <w:sz w:val="24"/>
          <w:szCs w:val="24"/>
          <w:lang w:val="sq-AL"/>
        </w:rPr>
        <w:t>Sipas vlerësimeve të fundit të publikuara nga Eurostat, në tremujorin e parë të vitit 2025</w:t>
      </w:r>
      <w:r w:rsidRPr="00E24ECC">
        <w:rPr>
          <w:rFonts w:ascii="Cambria" w:eastAsia="Calibri" w:hAnsi="Cambria" w:cs="Calibri"/>
          <w:sz w:val="24"/>
          <w:szCs w:val="24"/>
          <w:vertAlign w:val="superscript"/>
          <w:lang w:val="sq-AL"/>
        </w:rPr>
        <w:footnoteReference w:id="2"/>
      </w:r>
      <w:r w:rsidRPr="00E24ECC">
        <w:rPr>
          <w:rFonts w:ascii="Cambria" w:eastAsia="Calibri" w:hAnsi="Cambria" w:cs="Calibri"/>
          <w:sz w:val="24"/>
          <w:szCs w:val="24"/>
          <w:lang w:val="sq-AL"/>
        </w:rPr>
        <w:t xml:space="preserve">, </w:t>
      </w:r>
      <w:r w:rsidRPr="00E24ECC">
        <w:rPr>
          <w:rFonts w:ascii="Cambria" w:hAnsi="Cambria"/>
          <w:iCs/>
          <w:sz w:val="24"/>
          <w:szCs w:val="24"/>
          <w:lang w:val="sq-AL"/>
        </w:rPr>
        <w:t>PBB-ja</w:t>
      </w:r>
      <w:r w:rsidRPr="00E24ECC">
        <w:rPr>
          <w:rFonts w:ascii="Cambria" w:hAnsi="Cambria" w:cs="Times New Roman"/>
          <w:iCs/>
          <w:sz w:val="24"/>
          <w:szCs w:val="24"/>
          <w:lang w:val="sq-AL"/>
        </w:rPr>
        <w:t> e rregulluar sezonalisht u rrit me 0.4% në Eurozonë dhe me 0.3% në BE krahasuar me tremujorin e mëparshëm. Në tremujorin e katër</w:t>
      </w:r>
      <w:r w:rsidRPr="00E24ECC">
        <w:rPr>
          <w:rFonts w:ascii="Cambria" w:hAnsi="Cambria"/>
          <w:iCs/>
          <w:sz w:val="24"/>
          <w:szCs w:val="24"/>
          <w:lang w:val="sq-AL"/>
        </w:rPr>
        <w:t>t të 2024, PBB-ja u rrit me 0.2</w:t>
      </w:r>
      <w:r w:rsidRPr="00E24ECC">
        <w:rPr>
          <w:rFonts w:ascii="Cambria" w:hAnsi="Cambria" w:cs="Times New Roman"/>
          <w:iCs/>
          <w:sz w:val="24"/>
          <w:szCs w:val="24"/>
          <w:lang w:val="sq-AL"/>
        </w:rPr>
        <w:t>% në Eurozonë dhe me 0.4% në BE.  Krahasuar me të njëjtin tremujor të një viti më parë, PBB-ja e rreg</w:t>
      </w:r>
      <w:r w:rsidRPr="00E24ECC">
        <w:rPr>
          <w:rFonts w:ascii="Cambria" w:hAnsi="Cambria"/>
          <w:iCs/>
          <w:sz w:val="24"/>
          <w:szCs w:val="24"/>
          <w:lang w:val="sq-AL"/>
        </w:rPr>
        <w:t xml:space="preserve">ulluar sezonalisht u rrit me 1.2% në eurozonë dhe </w:t>
      </w:r>
      <w:r w:rsidRPr="00E24ECC">
        <w:rPr>
          <w:rFonts w:ascii="Cambria" w:hAnsi="Cambria" w:cs="Times New Roman"/>
          <w:iCs/>
          <w:sz w:val="24"/>
          <w:szCs w:val="24"/>
          <w:lang w:val="sq-AL"/>
        </w:rPr>
        <w:t>me 1.4% në BE në tremujorin e parë të 2024, pas rritjes prej +1.2% në Eurozonë dhe +1.4% në BE në tremujorin e mëparshëm.</w:t>
      </w:r>
    </w:p>
    <w:p w14:paraId="256EFFDD" w14:textId="77777777" w:rsidR="000F4CF3" w:rsidRPr="00E24ECC" w:rsidRDefault="000F4CF3" w:rsidP="000F4CF3">
      <w:pPr>
        <w:shd w:val="clear" w:color="auto" w:fill="FFFFFF" w:themeFill="background1"/>
        <w:spacing w:before="90" w:after="90" w:line="276" w:lineRule="auto"/>
        <w:jc w:val="both"/>
        <w:rPr>
          <w:rFonts w:ascii="Cambria" w:eastAsia="Times New Roman" w:hAnsi="Cambria" w:cs="Times New Roman"/>
          <w:iCs/>
          <w:sz w:val="24"/>
          <w:szCs w:val="24"/>
          <w:lang w:val="sq-AL"/>
        </w:rPr>
      </w:pPr>
      <w:r w:rsidRPr="00E24ECC">
        <w:rPr>
          <w:rFonts w:ascii="Cambria" w:eastAsia="Times New Roman" w:hAnsi="Cambria" w:cs="Times New Roman"/>
          <w:iCs/>
          <w:sz w:val="24"/>
          <w:szCs w:val="24"/>
          <w:lang w:val="sq-AL"/>
        </w:rPr>
        <w:t xml:space="preserve">Në tremujorin e parë të vitit 2025, aktiviteti ekonomik në eurozonë pësoi rritje të lehtë me 0.4 pikë përqindje krahasuar me tremujorin e katërt të vitit 2024. Në përgjithësi, situata ekonomike në BE dhe eurozonë është lehtësuar krahasuar me të njëjtën periudhë të një viti më parë. Megjithatë, bizneset kanë shfaqur hezitim për kryerjen e investimeve, si pasojë e </w:t>
      </w:r>
      <w:r w:rsidRPr="00E24ECC">
        <w:rPr>
          <w:rFonts w:ascii="Cambria" w:eastAsia="Times New Roman" w:hAnsi="Cambria" w:cs="Times New Roman"/>
          <w:iCs/>
          <w:sz w:val="24"/>
          <w:szCs w:val="24"/>
          <w:lang w:val="sq-AL"/>
        </w:rPr>
        <w:lastRenderedPageBreak/>
        <w:t>pasigurive të lidhura me tensionet gjeopolitike dhe mbi të gjitha me politikat e paqarta tarifore nga SHBA-të; një pasiguri që pritet të shtohet në vijim.</w:t>
      </w:r>
    </w:p>
    <w:p w14:paraId="2E5A9342" w14:textId="77777777" w:rsidR="000F4CF3" w:rsidRPr="00E24ECC" w:rsidRDefault="000F4CF3" w:rsidP="000F4CF3">
      <w:pPr>
        <w:shd w:val="clear" w:color="auto" w:fill="FFFFFF" w:themeFill="background1"/>
        <w:spacing w:before="90" w:after="90" w:line="276" w:lineRule="auto"/>
        <w:jc w:val="both"/>
        <w:rPr>
          <w:rFonts w:ascii="Cambria" w:eastAsia="Times New Roman" w:hAnsi="Cambria" w:cs="Times New Roman"/>
          <w:iCs/>
          <w:sz w:val="24"/>
          <w:szCs w:val="24"/>
          <w:lang w:val="sq-AL"/>
        </w:rPr>
      </w:pPr>
      <w:r w:rsidRPr="00E24ECC">
        <w:rPr>
          <w:rFonts w:ascii="Cambria" w:eastAsia="Times New Roman" w:hAnsi="Cambria" w:cs="Times New Roman"/>
          <w:iCs/>
          <w:sz w:val="24"/>
          <w:szCs w:val="24"/>
          <w:lang w:val="sq-AL"/>
        </w:rPr>
        <w:t xml:space="preserve">Në të gjitha vendet anëtare të BE-së për të cilat disponohen të dhëna, në tremujorin e parë të vitit 2025, Irlanda (+3.2%) shënoi rritjen më të lartë të PBB-së krahasuar me tremujorin e mëparshëm, e ndjekur nga Spanja dhe Lituania (të dyja me +0.6%). Hungaria (-0.2%), ishte i vetmi vënd anëtar që shënoi rënie krahasuar me tremujorin e mëparshëm. </w:t>
      </w:r>
    </w:p>
    <w:p w14:paraId="63D019E0" w14:textId="77777777" w:rsidR="000F4CF3" w:rsidRPr="00E24ECC" w:rsidRDefault="000F4CF3" w:rsidP="000F4CF3">
      <w:pPr>
        <w:shd w:val="clear" w:color="auto" w:fill="FFFFFF" w:themeFill="background1"/>
        <w:spacing w:before="90" w:after="90" w:line="276" w:lineRule="auto"/>
        <w:jc w:val="both"/>
        <w:rPr>
          <w:rFonts w:ascii="Cambria" w:eastAsia="Times New Roman" w:hAnsi="Cambria" w:cs="Times New Roman"/>
          <w:sz w:val="24"/>
          <w:szCs w:val="24"/>
          <w:lang w:val="sq-AL"/>
        </w:rPr>
      </w:pPr>
      <w:r w:rsidRPr="00E24ECC">
        <w:rPr>
          <w:rFonts w:ascii="Cambria" w:eastAsia="Times New Roman" w:hAnsi="Cambria" w:cs="Times New Roman"/>
          <w:iCs/>
          <w:sz w:val="24"/>
          <w:szCs w:val="24"/>
          <w:lang w:val="sq-AL"/>
        </w:rPr>
        <w:t>Normat e rritjes nga viti në vit ishin pozitive për njëmbëdhjetë vende dhe negative për tre vënde të tjera antare.</w:t>
      </w:r>
    </w:p>
    <w:p w14:paraId="417D8A7B" w14:textId="77777777" w:rsidR="000F4CF3" w:rsidRPr="00E24ECC" w:rsidRDefault="000F4CF3" w:rsidP="000F4CF3">
      <w:pPr>
        <w:shd w:val="clear" w:color="auto" w:fill="FFFFFF" w:themeFill="background1"/>
        <w:spacing w:before="90" w:after="9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Aktiviteti ekonomik në Shqipëri është i ndikuar drejtpërsëdrejti nga ecuria ekonomike në mjedisin ndërkombëtar, veçanërisht nga partnerët e saj kryesorë tregtarë, kryesisht nëpërmjet eksporteve drejt tyre, remitancave, si dhe Investimeve të Huaja Direkte (IHD-të).</w:t>
      </w:r>
    </w:p>
    <w:p w14:paraId="08365DF0" w14:textId="77777777" w:rsidR="000F4CF3" w:rsidRPr="00E24ECC" w:rsidRDefault="000F4CF3" w:rsidP="000F4CF3">
      <w:pPr>
        <w:shd w:val="clear" w:color="auto" w:fill="FFFFFF" w:themeFill="background1"/>
        <w:spacing w:before="90" w:after="9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Partnerёt kryesorё tregtar pёr ekonominё shqiptare si Italia dhe Gjermania shënuan ndryshim të PBB-së nё nivelet respektivisht prej +0.6% dhe -0.2% gjatë tremujorit të parë të vitit 2025, krahasuar me të njëjtin tremujor të një viti më parë.</w:t>
      </w:r>
    </w:p>
    <w:p w14:paraId="28BE7E14" w14:textId="77777777" w:rsidR="000F4CF3" w:rsidRPr="00E24ECC" w:rsidRDefault="000F4CF3" w:rsidP="000F4CF3">
      <w:pPr>
        <w:shd w:val="clear" w:color="auto" w:fill="FFFFFF" w:themeFill="background1"/>
        <w:spacing w:after="0" w:line="276" w:lineRule="auto"/>
        <w:jc w:val="both"/>
        <w:rPr>
          <w:rFonts w:ascii="Cambria" w:eastAsia="Times New Roman" w:hAnsi="Cambria" w:cs="Times New Roman"/>
          <w:iCs/>
          <w:sz w:val="24"/>
          <w:szCs w:val="24"/>
          <w:lang w:val="sq-AL"/>
        </w:rPr>
      </w:pPr>
      <w:r w:rsidRPr="00E24ECC">
        <w:rPr>
          <w:rFonts w:ascii="Cambria" w:eastAsia="Calibri" w:hAnsi="Cambria" w:cs="Calibri"/>
          <w:sz w:val="24"/>
          <w:szCs w:val="24"/>
          <w:lang w:val="sq-AL"/>
        </w:rPr>
        <w:t>Në prill 2025, norma e papunësisë e rregulluar sezonalisht në eurozonë ishte 6.2%, nga 6.3%</w:t>
      </w:r>
      <w:r w:rsidRPr="00E24ECC">
        <w:rPr>
          <w:rFonts w:ascii="Cambria" w:eastAsia="Times New Roman" w:hAnsi="Cambria" w:cs="Times New Roman"/>
          <w:iCs/>
          <w:sz w:val="24"/>
          <w:szCs w:val="24"/>
          <w:lang w:val="sq-AL"/>
        </w:rPr>
        <w:t xml:space="preserve"> në muajin mars 2025 dhe 6.4% në muajin prill 2024. Shkalla e papunësisë në BE ishte 5.9% në muajin prill 2025, e qëndrueshme krahasuar me muajin marsin 2025 dhe më e ulët nga muaji prill i vitit 2024 që ishte 6%. Ndërkohë, numri i të punësuarve u rrit me 0.3% në eurozonë dhe me 0.2% në BE në tremujorin e parë të 2025, krahasuar me tremujorin e mëparshëm. Ndërkohë, në tremujorin e katërt të vitit 2024 norma e punësimit u rrit me 0.1% në Eurozonë dhe me 0.2% në BE.</w:t>
      </w:r>
    </w:p>
    <w:p w14:paraId="2EF7A074" w14:textId="77777777" w:rsidR="000F4CF3" w:rsidRPr="00E24ECC" w:rsidRDefault="000F4CF3" w:rsidP="000F4CF3">
      <w:pPr>
        <w:shd w:val="clear" w:color="auto" w:fill="FFFFFF" w:themeFill="background1"/>
        <w:spacing w:after="0" w:line="276" w:lineRule="auto"/>
        <w:jc w:val="both"/>
        <w:rPr>
          <w:rFonts w:ascii="Cambria" w:eastAsia="Times New Roman" w:hAnsi="Cambria" w:cs="Times New Roman"/>
          <w:iCs/>
          <w:sz w:val="24"/>
          <w:szCs w:val="24"/>
          <w:lang w:val="sq-AL"/>
        </w:rPr>
      </w:pPr>
      <w:r w:rsidRPr="00E24ECC">
        <w:rPr>
          <w:rFonts w:ascii="Cambria" w:eastAsia="Calibri" w:hAnsi="Cambria" w:cs="Calibri"/>
          <w:sz w:val="24"/>
          <w:szCs w:val="24"/>
          <w:lang w:val="sq-AL"/>
        </w:rPr>
        <w:t>Norma vjetore e inflacionit në eurozonë</w:t>
      </w:r>
      <w:r w:rsidRPr="00E24ECC">
        <w:rPr>
          <w:rFonts w:ascii="Cambria" w:eastAsia="Calibri" w:hAnsi="Cambria" w:cs="Calibri"/>
          <w:sz w:val="24"/>
          <w:szCs w:val="24"/>
          <w:vertAlign w:val="superscript"/>
          <w:lang w:val="sq-AL"/>
        </w:rPr>
        <w:footnoteReference w:id="3"/>
      </w:r>
      <w:r w:rsidRPr="00E24ECC">
        <w:rPr>
          <w:rFonts w:ascii="Cambria" w:eastAsia="Calibri" w:hAnsi="Cambria" w:cs="Calibri"/>
          <w:sz w:val="24"/>
          <w:szCs w:val="24"/>
          <w:lang w:val="sq-AL"/>
        </w:rPr>
        <w:t xml:space="preserve">, </w:t>
      </w:r>
      <w:r w:rsidRPr="00E24ECC">
        <w:rPr>
          <w:rFonts w:ascii="Cambria" w:eastAsia="Times New Roman" w:hAnsi="Cambria" w:cs="Times New Roman"/>
          <w:iCs/>
          <w:sz w:val="24"/>
          <w:szCs w:val="24"/>
          <w:lang w:val="sq-AL"/>
        </w:rPr>
        <w:t>ishte 2.2% në muajin prill 2025, e qëndrueshme në krahasim me marsin 2025. Një vit më parë, norma vjetore e inflacionit ishte 2.4%. Ndërsa në BE, inflacioni vjetor ishte 2.4% në muajin prill 2025, nga 2.5% që rezultonte në muajin mars 2025. Një vit më parë, norma  ishte 2.6%. Në muajin prill 2025, rritja në normën vjetore të inflacionit të eurozonës u nxit nga shërbimet (+1.80 pikë përqindje, pp), e ndjekur nga ushqimi, alkooli dhe duhani (+0.57 pp), mallrat industriale joenergjetike (+0.15 pp) dhe energjia (-0,35 pp).</w:t>
      </w:r>
    </w:p>
    <w:p w14:paraId="6CD35E26"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 xml:space="preserve">Çmimet e shërbimeve dhe ushqimeve vazhduan të jenë nxitësi më i madh për inflacionin total në eurozonë dhe në BE. </w:t>
      </w:r>
    </w:p>
    <w:p w14:paraId="03CFDA1C" w14:textId="77777777" w:rsidR="000F4CF3" w:rsidRPr="00E24ECC" w:rsidRDefault="000F4CF3" w:rsidP="000F4CF3">
      <w:pPr>
        <w:shd w:val="clear" w:color="auto" w:fill="FFFFFF" w:themeFill="background1"/>
        <w:spacing w:before="90" w:after="18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Banka Qendrore Evropiane</w:t>
      </w:r>
      <w:r w:rsidRPr="00E24ECC">
        <w:rPr>
          <w:rFonts w:ascii="Cambria" w:eastAsia="Calibri" w:hAnsi="Cambria" w:cs="Calibri"/>
          <w:sz w:val="24"/>
          <w:szCs w:val="24"/>
          <w:vertAlign w:val="superscript"/>
          <w:lang w:val="sq-AL"/>
        </w:rPr>
        <w:footnoteReference w:id="4"/>
      </w:r>
      <w:r w:rsidRPr="00E24ECC">
        <w:rPr>
          <w:rFonts w:ascii="Cambria" w:eastAsia="Calibri" w:hAnsi="Cambria" w:cs="Calibri"/>
          <w:sz w:val="24"/>
          <w:szCs w:val="24"/>
          <w:lang w:val="sq-AL"/>
        </w:rPr>
        <w:t xml:space="preserve">  (BQE) parashikon që inflacioni në eurozonë të moderohet lehtë gjatë vitit 2025 dhe të luhatet rreth objektivit të inflacionit të BQE-së prej 2.0% duke filluar nga tremujori i parë i vitit 2026. Rënia e inflacionit pritet të nxitet kryesisht nga një rënie e inflacionit të shërbimeve - e cila deri më tani ka qenë relativisht kostante. Në përgjithësi, inflacioni parashikohet të moderohet nga 2.2% në vitin 2025, në 1.9% në vitin 2027.</w:t>
      </w:r>
    </w:p>
    <w:p w14:paraId="57EF12DA" w14:textId="77777777" w:rsidR="000F4CF3" w:rsidRPr="00E24ECC" w:rsidRDefault="000F4CF3" w:rsidP="000F4CF3">
      <w:pPr>
        <w:shd w:val="clear" w:color="auto" w:fill="FFFFFF" w:themeFill="background1"/>
        <w:spacing w:before="90" w:after="180" w:line="276" w:lineRule="auto"/>
        <w:jc w:val="both"/>
        <w:rPr>
          <w:rFonts w:ascii="Cambria" w:eastAsia="Calibri" w:hAnsi="Cambria" w:cs="Calibri"/>
          <w:sz w:val="24"/>
          <w:szCs w:val="24"/>
          <w:lang w:val="sq-AL"/>
        </w:rPr>
      </w:pPr>
    </w:p>
    <w:p w14:paraId="09B31542" w14:textId="77777777" w:rsidR="000F4CF3" w:rsidRPr="00E24ECC" w:rsidRDefault="000F4CF3" w:rsidP="000F4CF3">
      <w:pPr>
        <w:shd w:val="clear" w:color="auto" w:fill="FFFFFF" w:themeFill="background1"/>
        <w:spacing w:before="90" w:after="180" w:line="276" w:lineRule="auto"/>
        <w:jc w:val="both"/>
        <w:rPr>
          <w:rFonts w:ascii="Cambria" w:eastAsia="Calibri" w:hAnsi="Cambria" w:cs="Calibri"/>
          <w:sz w:val="24"/>
          <w:szCs w:val="24"/>
          <w:lang w:val="sq-AL"/>
        </w:rPr>
      </w:pPr>
    </w:p>
    <w:p w14:paraId="36433335" w14:textId="77777777" w:rsidR="000F4CF3" w:rsidRPr="00E24ECC" w:rsidRDefault="000F4CF3" w:rsidP="000F4CF3">
      <w:pPr>
        <w:shd w:val="clear" w:color="auto" w:fill="FFFFFF" w:themeFill="background1"/>
        <w:spacing w:before="90" w:after="180" w:line="276" w:lineRule="auto"/>
        <w:jc w:val="both"/>
        <w:rPr>
          <w:rFonts w:ascii="Cambria" w:eastAsia="Calibri" w:hAnsi="Cambria" w:cs="Calibri"/>
          <w:sz w:val="24"/>
          <w:szCs w:val="24"/>
          <w:lang w:val="sq-AL"/>
        </w:rPr>
      </w:pPr>
    </w:p>
    <w:p w14:paraId="4B1054DD" w14:textId="77777777" w:rsidR="000F4CF3" w:rsidRPr="00E24ECC" w:rsidRDefault="000F4CF3" w:rsidP="000F4CF3">
      <w:pPr>
        <w:shd w:val="clear" w:color="auto" w:fill="FFFFFF" w:themeFill="background1"/>
        <w:spacing w:before="120" w:after="240" w:line="276" w:lineRule="auto"/>
        <w:jc w:val="both"/>
        <w:rPr>
          <w:rFonts w:ascii="Cambria" w:eastAsia="Calibri" w:hAnsi="Cambria" w:cs="Calibri"/>
          <w:b/>
          <w:bCs/>
          <w:i/>
          <w:color w:val="244061"/>
          <w:sz w:val="24"/>
          <w:szCs w:val="24"/>
          <w:lang w:val="sq-AL"/>
        </w:rPr>
      </w:pPr>
      <w:r w:rsidRPr="00E24ECC">
        <w:rPr>
          <w:rFonts w:ascii="Cambria" w:eastAsia="Calibri" w:hAnsi="Cambria" w:cs="Calibri"/>
          <w:b/>
          <w:bCs/>
          <w:i/>
          <w:color w:val="244061"/>
          <w:sz w:val="24"/>
          <w:szCs w:val="24"/>
          <w:lang w:val="sq-AL"/>
        </w:rPr>
        <w:t xml:space="preserve">Zhvillimet në Shqipëri </w:t>
      </w:r>
    </w:p>
    <w:p w14:paraId="4C948F9B" w14:textId="77777777" w:rsidR="000F4CF3" w:rsidRPr="00E24ECC" w:rsidRDefault="000F4CF3" w:rsidP="000F4CF3">
      <w:pPr>
        <w:shd w:val="clear" w:color="auto" w:fill="FFFFFF" w:themeFill="background1"/>
        <w:autoSpaceDE w:val="0"/>
        <w:autoSpaceDN w:val="0"/>
        <w:adjustRightInd w:val="0"/>
        <w:spacing w:before="240" w:after="120" w:line="276" w:lineRule="auto"/>
        <w:jc w:val="both"/>
        <w:rPr>
          <w:rFonts w:ascii="Cambria" w:eastAsia="Calibri" w:hAnsi="Cambria" w:cs="Calibri"/>
          <w:b/>
          <w:bCs/>
          <w:color w:val="244061"/>
          <w:sz w:val="24"/>
          <w:szCs w:val="24"/>
          <w:lang w:val="sq-AL"/>
        </w:rPr>
      </w:pPr>
      <w:r w:rsidRPr="00E24ECC">
        <w:rPr>
          <w:rFonts w:ascii="Cambria" w:eastAsia="Calibri" w:hAnsi="Cambria" w:cs="Calibri"/>
          <w:bCs/>
          <w:color w:val="244061"/>
          <w:sz w:val="24"/>
          <w:szCs w:val="24"/>
          <w:lang w:val="sq-AL"/>
        </w:rPr>
        <w:t xml:space="preserve">Sektori real </w:t>
      </w:r>
      <w:r w:rsidRPr="00E24ECC">
        <w:rPr>
          <w:rFonts w:ascii="Cambria" w:eastAsia="Calibri" w:hAnsi="Cambria" w:cs="Calibri"/>
          <w:bCs/>
          <w:color w:val="244061"/>
          <w:sz w:val="24"/>
          <w:szCs w:val="24"/>
          <w:lang w:val="sq-AL"/>
        </w:rPr>
        <w:tab/>
      </w:r>
    </w:p>
    <w:p w14:paraId="7A5607AB"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 xml:space="preserve">Ekonomia e vendit ka treguar qëndrueshmëri dhe elasticitet të konsiderueshëm përballë sfidave të njëpasnjëshme që kanë goditur vendin gjatë viteve të fundit. Kjo qëndrueshmëri është vënë në provë nga tri kriza madhore që ndodhën në mënyrë të njëpasnjëshme, si: tërmeti, pandemia globale dhe ndërprerjet në furnizimin e mallrave bazë si pasojë e luftës në Ukrainë. Pavarësisht këtyre sfidave, politikat e kujdesshme makroekonomike kanë mbështetur një rikthim të fortë ekonomik, dhe si rezultat fondamentet kryesore ekonomike dhe financiare, si dhe stabiliteti i përgjithshëm makroekonomik i vendit kanë mbetur solide. Përballë një mjedisi ekonomik sfidues, të karakterizuar nga çmime relativisht të larta, pasiguri dhe kosto të larta financimi, ekonomia ka ruajtur një normë të qëndrueshme rritjeje, duke tejkaluar pritshmëritë fillestare. </w:t>
      </w:r>
    </w:p>
    <w:p w14:paraId="51712D92"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Gjatë vitit 2024, ekonomia vazhdoi rritjen duke treguar një stabilizim të aktivitetit ekonomik. Sipas vlerësimeve të fundit, PBB-ja në terma realë për vitin 2024 ka shënuar rritje prej rreth 4.0 përqind krahasuar me vitin 2023, duke qëndruar shumë pranë projeksioneve të llogaritura më parë në programin ekonomik dhe fiskal për vitin 2024 në nivelin prej 3.9 përqind të PBB-së. Kjo rritje u gjenerua kryesisht nga kërkesa e brendshme, si nga konsumi privat po ashtu edhe investimet si dhe veçanërisht nga performanca mjaft pozitive e sektorit të turizmit. Ndërkohë, kërkesa e huaj neto vlerësohet të ketë pasur efekt lehtësisht negativ (-0.1 përqind) krahasuar me vitin 2023, ndikuar nga rritja më e shpejtë e importeve të mallrave dhe shërbimeve dhe rënia e eksporteve të mallrave.</w:t>
      </w:r>
    </w:p>
    <w:p w14:paraId="7DEE1D04" w14:textId="77777777" w:rsidR="000F4CF3" w:rsidRPr="00E24ECC" w:rsidRDefault="000F4CF3" w:rsidP="000F4CF3">
      <w:pPr>
        <w:shd w:val="clear" w:color="auto" w:fill="FFFFFF" w:themeFill="background1"/>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Grafiku i mëposhtëm pasqyron ecurinë ekonomike në vend që nga viti 2012-2024 (sipas vlerësimeve më të fundit nga INSTAT).</w:t>
      </w:r>
      <w:r w:rsidRPr="00E24ECC">
        <w:rPr>
          <w:rFonts w:ascii="Cambria" w:eastAsia="Calibri" w:hAnsi="Cambria" w:cs="Calibri"/>
          <w:sz w:val="24"/>
          <w:szCs w:val="24"/>
          <w:vertAlign w:val="superscript"/>
          <w:lang w:val="sq-AL"/>
        </w:rPr>
        <w:footnoteReference w:id="5"/>
      </w:r>
      <w:r w:rsidRPr="00E24ECC">
        <w:rPr>
          <w:rFonts w:ascii="Cambria" w:eastAsia="Calibri" w:hAnsi="Cambria" w:cs="Calibri"/>
          <w:i/>
          <w:sz w:val="24"/>
          <w:szCs w:val="24"/>
          <w:lang w:val="sq-AL"/>
        </w:rPr>
        <w:t xml:space="preserve">    </w:t>
      </w:r>
    </w:p>
    <w:p w14:paraId="32DC20A2" w14:textId="77777777" w:rsidR="000F4CF3" w:rsidRPr="00E24ECC" w:rsidRDefault="000F4CF3" w:rsidP="000F4CF3">
      <w:pPr>
        <w:pStyle w:val="Caption"/>
        <w:shd w:val="clear" w:color="auto" w:fill="FFFFFF" w:themeFill="background1"/>
        <w:rPr>
          <w:rFonts w:ascii="Cambria" w:hAnsi="Cambria"/>
          <w:color w:val="auto"/>
          <w:sz w:val="24"/>
          <w:szCs w:val="24"/>
          <w:lang w:val="sq-AL"/>
        </w:rPr>
      </w:pPr>
      <w:r w:rsidRPr="00E24ECC">
        <w:rPr>
          <w:color w:val="auto"/>
          <w:sz w:val="24"/>
          <w:szCs w:val="24"/>
          <w:lang w:val="sq-AL"/>
        </w:rPr>
        <w:t xml:space="preserve">Figura </w:t>
      </w:r>
      <w:r w:rsidRPr="00E24ECC">
        <w:rPr>
          <w:color w:val="auto"/>
          <w:sz w:val="24"/>
          <w:szCs w:val="24"/>
          <w:lang w:val="sq-AL"/>
        </w:rPr>
        <w:fldChar w:fldCharType="begin"/>
      </w:r>
      <w:r w:rsidRPr="00E24ECC">
        <w:rPr>
          <w:color w:val="auto"/>
          <w:sz w:val="24"/>
          <w:szCs w:val="24"/>
          <w:lang w:val="sq-AL"/>
        </w:rPr>
        <w:instrText xml:space="preserve"> SEQ Figura \* ARABIC </w:instrText>
      </w:r>
      <w:r w:rsidRPr="00E24ECC">
        <w:rPr>
          <w:color w:val="auto"/>
          <w:sz w:val="24"/>
          <w:szCs w:val="24"/>
          <w:lang w:val="sq-AL"/>
        </w:rPr>
        <w:fldChar w:fldCharType="separate"/>
      </w:r>
      <w:r w:rsidRPr="00E24ECC">
        <w:rPr>
          <w:noProof/>
          <w:color w:val="auto"/>
          <w:sz w:val="24"/>
          <w:szCs w:val="24"/>
          <w:lang w:val="sq-AL"/>
        </w:rPr>
        <w:t>2</w:t>
      </w:r>
      <w:r w:rsidRPr="00E24ECC">
        <w:rPr>
          <w:color w:val="auto"/>
          <w:sz w:val="24"/>
          <w:szCs w:val="24"/>
          <w:lang w:val="sq-AL"/>
        </w:rPr>
        <w:fldChar w:fldCharType="end"/>
      </w:r>
      <w:r w:rsidRPr="00E24ECC">
        <w:rPr>
          <w:rFonts w:ascii="Cambria" w:eastAsia="Calibri" w:hAnsi="Cambria" w:cs="Calibri"/>
          <w:color w:val="auto"/>
          <w:sz w:val="24"/>
          <w:szCs w:val="24"/>
          <w:lang w:val="sq-AL"/>
        </w:rPr>
        <w:t xml:space="preserve">: </w:t>
      </w:r>
      <w:r w:rsidRPr="00E24ECC">
        <w:rPr>
          <w:color w:val="auto"/>
          <w:sz w:val="24"/>
          <w:szCs w:val="24"/>
          <w:lang w:val="sq-AL"/>
        </w:rPr>
        <w:t>Ecuria vjetore e PBB-së në vitet 2019 - 2024</w:t>
      </w:r>
    </w:p>
    <w:p w14:paraId="41DCBC32" w14:textId="77777777" w:rsidR="000F4CF3" w:rsidRPr="00E24ECC" w:rsidRDefault="000F4CF3" w:rsidP="000F4CF3">
      <w:pPr>
        <w:shd w:val="clear" w:color="auto" w:fill="FFFFFF" w:themeFill="background1"/>
        <w:spacing w:before="120" w:after="120" w:line="276" w:lineRule="auto"/>
        <w:jc w:val="center"/>
        <w:rPr>
          <w:rFonts w:ascii="Cambria" w:hAnsi="Cambria"/>
          <w:sz w:val="24"/>
          <w:szCs w:val="24"/>
          <w:lang w:val="sq-AL"/>
        </w:rPr>
      </w:pPr>
      <w:r w:rsidRPr="00E24ECC">
        <w:rPr>
          <w:noProof/>
          <w:lang w:val="sq-AL"/>
        </w:rPr>
        <w:lastRenderedPageBreak/>
        <w:drawing>
          <wp:inline distT="0" distB="0" distL="0" distR="0" wp14:anchorId="35B2FB72" wp14:editId="2E650CB9">
            <wp:extent cx="4348717" cy="1988057"/>
            <wp:effectExtent l="0" t="0" r="0" b="0"/>
            <wp:docPr id="440443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1592" cy="1998515"/>
                    </a:xfrm>
                    <a:prstGeom prst="rect">
                      <a:avLst/>
                    </a:prstGeom>
                    <a:noFill/>
                    <a:ln>
                      <a:noFill/>
                    </a:ln>
                  </pic:spPr>
                </pic:pic>
              </a:graphicData>
            </a:graphic>
          </wp:inline>
        </w:drawing>
      </w:r>
    </w:p>
    <w:p w14:paraId="4C2C9FBB"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Burimi: INSTAT, Mars 2025</w:t>
      </w:r>
    </w:p>
    <w:p w14:paraId="66F8B368" w14:textId="77777777" w:rsidR="000F4CF3" w:rsidRPr="00E24ECC" w:rsidRDefault="000F4CF3" w:rsidP="000F4CF3">
      <w:pPr>
        <w:shd w:val="clear" w:color="auto" w:fill="FFFFFF" w:themeFill="background1"/>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Nga pikëpamja e ofertës agregate, sektorët të cilët kanë shënuar rritjen më të fortë përgjatë vitit 2024, krahasuar me një vit më parë janë:  “Administrim publik, Arsimi, Shëndetsia” me rritje prej 9.67 përqind dhe kontribut prej 1.17 pikë përqindje; “Aktivitete profesionale dhe administrative” me rritje prej 7.47 përqind dhe kontribut prej 0.52 pikë përqindje; “Ndërtimi” me rritje prej 5.86 përqind dhe kontribut prej 0.81 pikë përqindje, “Tregtia, Transporti, Akomodimi dhe shërbimi ushqimor” me rritje prej 5.69 përqind dhe kontribut prej 1.02 pikë përqindje etj. Ndër sektorët që kanë pësuar rënie janë : “Industria nxjerrëse, përpunuese; Energjia elektrike, ujë” me rënie prej -6.78 përqind dhe “Informacioni dhe telekomunikacioni” me rënie prej -2.52 përqind.</w:t>
      </w:r>
    </w:p>
    <w:p w14:paraId="6E077AE4" w14:textId="77777777" w:rsidR="000F4CF3" w:rsidRPr="00E24ECC" w:rsidRDefault="000F4CF3" w:rsidP="000F4CF3">
      <w:pPr>
        <w:shd w:val="clear" w:color="auto" w:fill="FFFFFF" w:themeFill="background1"/>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Në tabelën dhe grafikun më poshtë paraqiten rritjet reale dhe kontributet sipas sektorëve të prodhimit në tremujorin e katërt të vitit 2024 krahasuar me po të njëjtin tremujor të një viti më parë (T4-2023), si dhe rritja reale dhe kontributi krahasuar me një vit më parë (2023).</w:t>
      </w:r>
    </w:p>
    <w:p w14:paraId="30025C10" w14:textId="77777777" w:rsidR="000F4CF3" w:rsidRPr="00E24ECC" w:rsidRDefault="000F4CF3" w:rsidP="000F4CF3">
      <w:pPr>
        <w:shd w:val="clear" w:color="auto" w:fill="FFFFFF" w:themeFill="background1"/>
        <w:spacing w:before="120" w:after="120" w:line="276" w:lineRule="auto"/>
        <w:jc w:val="both"/>
        <w:rPr>
          <w:rFonts w:ascii="Cambria" w:eastAsia="Calibri" w:hAnsi="Cambria" w:cs="Calibri"/>
          <w:sz w:val="24"/>
          <w:szCs w:val="24"/>
          <w:lang w:val="sq-AL"/>
        </w:rPr>
      </w:pPr>
    </w:p>
    <w:p w14:paraId="6592A68E" w14:textId="7FB499DB" w:rsidR="000F4CF3" w:rsidRPr="00E24ECC" w:rsidRDefault="000F4CF3" w:rsidP="000F4CF3">
      <w:pPr>
        <w:pStyle w:val="Caption"/>
        <w:shd w:val="clear" w:color="auto" w:fill="FFFFFF" w:themeFill="background1"/>
        <w:rPr>
          <w:rFonts w:ascii="Cambria" w:hAnsi="Cambria"/>
          <w:sz w:val="24"/>
          <w:szCs w:val="24"/>
          <w:lang w:val="sq-AL"/>
        </w:rPr>
      </w:pPr>
      <w:r w:rsidRPr="00E24ECC">
        <w:rPr>
          <w:color w:val="auto"/>
          <w:sz w:val="24"/>
          <w:szCs w:val="24"/>
          <w:lang w:val="sq-AL"/>
        </w:rPr>
        <w:t xml:space="preserve">Tabela </w:t>
      </w:r>
      <w:r w:rsidRPr="00E24ECC">
        <w:rPr>
          <w:color w:val="auto"/>
          <w:sz w:val="24"/>
          <w:szCs w:val="24"/>
          <w:lang w:val="sq-AL"/>
        </w:rPr>
        <w:fldChar w:fldCharType="begin"/>
      </w:r>
      <w:r w:rsidRPr="00E24ECC">
        <w:rPr>
          <w:color w:val="auto"/>
          <w:sz w:val="24"/>
          <w:szCs w:val="24"/>
          <w:lang w:val="sq-AL"/>
        </w:rPr>
        <w:instrText xml:space="preserve"> SEQ Tabela \* ARABIC </w:instrText>
      </w:r>
      <w:r w:rsidRPr="00E24ECC">
        <w:rPr>
          <w:color w:val="auto"/>
          <w:sz w:val="24"/>
          <w:szCs w:val="24"/>
          <w:lang w:val="sq-AL"/>
        </w:rPr>
        <w:fldChar w:fldCharType="separate"/>
      </w:r>
      <w:r w:rsidR="009113BE">
        <w:rPr>
          <w:noProof/>
          <w:color w:val="auto"/>
          <w:sz w:val="24"/>
          <w:szCs w:val="24"/>
          <w:lang w:val="sq-AL"/>
        </w:rPr>
        <w:t>1</w:t>
      </w:r>
      <w:r w:rsidRPr="00E24ECC">
        <w:rPr>
          <w:color w:val="auto"/>
          <w:sz w:val="24"/>
          <w:szCs w:val="24"/>
          <w:lang w:val="sq-AL"/>
        </w:rPr>
        <w:fldChar w:fldCharType="end"/>
      </w:r>
      <w:r w:rsidRPr="00E24ECC">
        <w:rPr>
          <w:rFonts w:ascii="Cambria" w:eastAsia="Calibri" w:hAnsi="Cambria" w:cs="Calibri"/>
          <w:b w:val="0"/>
          <w:i/>
          <w:color w:val="auto"/>
          <w:sz w:val="24"/>
          <w:szCs w:val="24"/>
          <w:lang w:val="sq-AL"/>
        </w:rPr>
        <w:t>:</w:t>
      </w:r>
      <w:r w:rsidRPr="00E24ECC">
        <w:rPr>
          <w:rFonts w:ascii="Cambria" w:eastAsia="Calibri" w:hAnsi="Cambria" w:cs="Calibri"/>
          <w:i/>
          <w:color w:val="auto"/>
          <w:sz w:val="24"/>
          <w:szCs w:val="24"/>
          <w:lang w:val="sq-AL"/>
        </w:rPr>
        <w:t xml:space="preserve"> </w:t>
      </w:r>
      <w:r w:rsidRPr="00E24ECC">
        <w:rPr>
          <w:color w:val="auto"/>
          <w:sz w:val="24"/>
          <w:szCs w:val="24"/>
          <w:lang w:val="sq-AL"/>
        </w:rPr>
        <w:t>Rritja dhe kontributi sipas sektorëve të prodhimit në rritjen ekonomike</w:t>
      </w:r>
      <w:r w:rsidRPr="00E24ECC">
        <w:rPr>
          <w:b w:val="0"/>
          <w:bCs w:val="0"/>
          <w:sz w:val="22"/>
          <w:szCs w:val="22"/>
          <w:lang w:val="sq-AL"/>
        </w:rPr>
        <w:t xml:space="preserve"> </w:t>
      </w:r>
      <w:r w:rsidRPr="00E24ECC">
        <w:rPr>
          <w:noProof/>
          <w:lang w:val="sq-AL"/>
        </w:rPr>
        <w:drawing>
          <wp:inline distT="0" distB="0" distL="0" distR="0" wp14:anchorId="75A5D38B" wp14:editId="75B1807E">
            <wp:extent cx="5943600" cy="2096135"/>
            <wp:effectExtent l="0" t="0" r="0" b="0"/>
            <wp:docPr id="1657741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96135"/>
                    </a:xfrm>
                    <a:prstGeom prst="rect">
                      <a:avLst/>
                    </a:prstGeom>
                    <a:noFill/>
                    <a:ln>
                      <a:noFill/>
                    </a:ln>
                  </pic:spPr>
                </pic:pic>
              </a:graphicData>
            </a:graphic>
          </wp:inline>
        </w:drawing>
      </w:r>
    </w:p>
    <w:p w14:paraId="460C8022" w14:textId="77777777" w:rsidR="000F4CF3" w:rsidRPr="00E24ECC" w:rsidRDefault="000F4CF3" w:rsidP="000F4CF3">
      <w:pPr>
        <w:shd w:val="clear" w:color="auto" w:fill="FFFFFF" w:themeFill="background1"/>
        <w:spacing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 xml:space="preserve">Përsa i përket kërkesës agregate,  konsumi final total për vitin 2024 ka shënuar rritje 3.5 përqind krahasuar me vitin 2023, ndërsa konsumi final i popullatës u rrit me rreth 3.52 përqind. Ndërkohë, vetëm për tremujorin e katërt konsumi final total dhe ai i popullatës </w:t>
      </w:r>
      <w:r w:rsidRPr="00E24ECC">
        <w:rPr>
          <w:rFonts w:ascii="Cambria" w:eastAsia="Calibri" w:hAnsi="Cambria" w:cs="Calibri"/>
          <w:sz w:val="24"/>
          <w:szCs w:val="24"/>
          <w:lang w:val="sq-AL"/>
        </w:rPr>
        <w:lastRenderedPageBreak/>
        <w:t>shënuan një normë rritje në respektivisht 3.05 përqind dhe 3.26 përqind. Kërkesa e brendshme rezultoi në 2.63 përqind, në rritje nga 2.18 përqind në tremujorin e mëparshëm. Kjo rritje erdhi si rezultat i zgjerimit të “Konsumit final” i cili u rrit në 3.05 përqind nga 0.88 përqind nga një tremujor më parë dhe “Investimeve” që shënuan rritje 2.01 përqind krahasuar me tremujorin e katërt të 2023.</w:t>
      </w:r>
    </w:p>
    <w:p w14:paraId="689C7D6D" w14:textId="77777777" w:rsidR="000F4CF3" w:rsidRPr="00E24ECC" w:rsidRDefault="000F4CF3" w:rsidP="000F4CF3">
      <w:pPr>
        <w:shd w:val="clear" w:color="auto" w:fill="FFFFFF" w:themeFill="background1"/>
        <w:spacing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Në tabelën dhe grafikun më poshtë paraqiten rritjet reale dhe kontributet sipas zërave të kërkesës agregate në T4-2024 krahasuar me po të njëjtin tremujor të një viti më parë (T4-2023), si dhe rritja reale dhe kontributi krahasuar një vit më parë (2023).</w:t>
      </w:r>
    </w:p>
    <w:p w14:paraId="5684C013" w14:textId="1FEF04D5" w:rsidR="000F4CF3" w:rsidRPr="00E24ECC" w:rsidRDefault="000F4CF3" w:rsidP="000F4CF3">
      <w:pPr>
        <w:pStyle w:val="Caption"/>
        <w:shd w:val="clear" w:color="auto" w:fill="FFFFFF" w:themeFill="background1"/>
        <w:rPr>
          <w:rFonts w:ascii="Cambria" w:hAnsi="Cambria"/>
          <w:sz w:val="24"/>
          <w:szCs w:val="24"/>
          <w:lang w:val="sq-AL"/>
        </w:rPr>
      </w:pPr>
      <w:r w:rsidRPr="00E24ECC">
        <w:rPr>
          <w:color w:val="auto"/>
          <w:sz w:val="24"/>
          <w:szCs w:val="24"/>
          <w:lang w:val="sq-AL"/>
        </w:rPr>
        <w:t xml:space="preserve">Tabela </w:t>
      </w:r>
      <w:r w:rsidRPr="00E24ECC">
        <w:rPr>
          <w:color w:val="auto"/>
          <w:sz w:val="24"/>
          <w:szCs w:val="24"/>
          <w:lang w:val="sq-AL"/>
        </w:rPr>
        <w:fldChar w:fldCharType="begin"/>
      </w:r>
      <w:r w:rsidRPr="00E24ECC">
        <w:rPr>
          <w:color w:val="auto"/>
          <w:sz w:val="24"/>
          <w:szCs w:val="24"/>
          <w:lang w:val="sq-AL"/>
        </w:rPr>
        <w:instrText xml:space="preserve"> SEQ Tabela \* ARABIC </w:instrText>
      </w:r>
      <w:r w:rsidRPr="00E24ECC">
        <w:rPr>
          <w:color w:val="auto"/>
          <w:sz w:val="24"/>
          <w:szCs w:val="24"/>
          <w:lang w:val="sq-AL"/>
        </w:rPr>
        <w:fldChar w:fldCharType="separate"/>
      </w:r>
      <w:r w:rsidR="009113BE">
        <w:rPr>
          <w:noProof/>
          <w:color w:val="auto"/>
          <w:sz w:val="24"/>
          <w:szCs w:val="24"/>
          <w:lang w:val="sq-AL"/>
        </w:rPr>
        <w:t>2</w:t>
      </w:r>
      <w:r w:rsidRPr="00E24ECC">
        <w:rPr>
          <w:color w:val="auto"/>
          <w:sz w:val="24"/>
          <w:szCs w:val="24"/>
          <w:lang w:val="sq-AL"/>
        </w:rPr>
        <w:fldChar w:fldCharType="end"/>
      </w:r>
      <w:r w:rsidRPr="00E24ECC">
        <w:rPr>
          <w:rFonts w:ascii="Cambria" w:eastAsia="Calibri" w:hAnsi="Cambria" w:cs="Calibri"/>
          <w:b w:val="0"/>
          <w:color w:val="auto"/>
          <w:sz w:val="24"/>
          <w:szCs w:val="24"/>
          <w:lang w:val="sq-AL"/>
        </w:rPr>
        <w:t>:</w:t>
      </w:r>
      <w:r w:rsidRPr="00E24ECC">
        <w:rPr>
          <w:rFonts w:ascii="Cambria" w:eastAsia="Calibri" w:hAnsi="Cambria" w:cs="Calibri"/>
          <w:color w:val="auto"/>
          <w:sz w:val="24"/>
          <w:szCs w:val="24"/>
          <w:lang w:val="sq-AL"/>
        </w:rPr>
        <w:t xml:space="preserve"> </w:t>
      </w:r>
      <w:r w:rsidRPr="00E24ECC">
        <w:rPr>
          <w:color w:val="auto"/>
          <w:sz w:val="24"/>
          <w:szCs w:val="24"/>
          <w:lang w:val="sq-AL"/>
        </w:rPr>
        <w:t>Rritja e çdo komponenti të kërkesës agregate dhe kontributi sipas metodës së shpenzimeve</w:t>
      </w:r>
      <w:r w:rsidRPr="00E24ECC">
        <w:rPr>
          <w:rFonts w:ascii="Cambria" w:hAnsi="Cambria"/>
          <w:color w:val="auto"/>
          <w:sz w:val="24"/>
          <w:szCs w:val="24"/>
          <w:lang w:val="sq-AL"/>
        </w:rPr>
        <w:t xml:space="preserve"> </w:t>
      </w:r>
      <w:r w:rsidRPr="00E24ECC">
        <w:rPr>
          <w:noProof/>
          <w:lang w:val="sq-AL"/>
        </w:rPr>
        <w:drawing>
          <wp:inline distT="0" distB="0" distL="0" distR="0" wp14:anchorId="359B4B80" wp14:editId="21AC2C5E">
            <wp:extent cx="5943600" cy="1692275"/>
            <wp:effectExtent l="0" t="0" r="0" b="3175"/>
            <wp:docPr id="346854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692275"/>
                    </a:xfrm>
                    <a:prstGeom prst="rect">
                      <a:avLst/>
                    </a:prstGeom>
                    <a:noFill/>
                    <a:ln>
                      <a:noFill/>
                    </a:ln>
                  </pic:spPr>
                </pic:pic>
              </a:graphicData>
            </a:graphic>
          </wp:inline>
        </w:drawing>
      </w:r>
    </w:p>
    <w:p w14:paraId="3DC96DF2" w14:textId="77777777" w:rsidR="000F4CF3" w:rsidRPr="00E24ECC" w:rsidRDefault="000F4CF3" w:rsidP="000F4CF3">
      <w:pPr>
        <w:shd w:val="clear" w:color="auto" w:fill="FFFFFF" w:themeFill="background1"/>
        <w:spacing w:before="120" w:after="120" w:line="276" w:lineRule="auto"/>
        <w:contextualSpacing/>
        <w:jc w:val="both"/>
        <w:rPr>
          <w:rFonts w:ascii="Cambria" w:eastAsia="Calibri" w:hAnsi="Cambria" w:cs="Calibri"/>
          <w:b/>
          <w:sz w:val="24"/>
          <w:szCs w:val="24"/>
          <w:lang w:val="sq-AL"/>
        </w:rPr>
      </w:pPr>
      <w:r w:rsidRPr="00E24ECC">
        <w:rPr>
          <w:rFonts w:ascii="Cambria" w:hAnsi="Cambria"/>
          <w:sz w:val="24"/>
          <w:szCs w:val="24"/>
          <w:lang w:val="sq-AL"/>
        </w:rPr>
        <w:t>Zhvillimet në tregun e punës kanë qenë pozitive dhe në rikuperim të vijueshëm gjatë vitit 2024. Në mars 2025, u publikuan rezultatet e Anketës së Forcës së Punës T4-2024, të cilat u përshtatën sipas popullsisë rezidente të Censusit të Popullsisë dhe Banesave 2023 dhe u rivlerësuan nga tremujori i parë i vitit 2023 deri në tremujorin e katërt të 2024. Nga pikëpamja e ofertës, rritja e punësimit mund t'i atribuohet kryesisht rritjes së qëndrueshme të shkallës së pjesëmarrjes së fuqisë punëtore dhe shkallës së punësimit, duke arritur përkatësisht 75.7 përqind në vitin 2024 (krahasuar me 75.4 përqind në vitin 2023) dhe 68.6 përqind (krahasuar në 67.7 përqind në vitin 2023), për grupmoshën 15-64 vjeç. Evidencat tregojnë se ka një interes të përgjithshëm në rritje për pjesëmarrje në tregun e punës, të nxitur nga trendi rritës i pagave, duke intensifikuar kështu tendencat pozitive në ofertën e punës. Në të njëjtën kohë, shkalla e papunësisë shënoi shifrën më të ulët të regjistruar ndonjëherë, duke vazhduar trendin rënës të viteve të fundit, në 8.5 përqind në vitin 2024, nga 9.5 përqind në fund të vitit 2023 (për moshën 15 vjeç e lart).</w:t>
      </w:r>
    </w:p>
    <w:p w14:paraId="738BBCF8" w14:textId="77777777" w:rsidR="000F4CF3" w:rsidRPr="00E24ECC" w:rsidRDefault="000F4CF3" w:rsidP="000F4CF3">
      <w:pPr>
        <w:pStyle w:val="Caption"/>
        <w:shd w:val="clear" w:color="auto" w:fill="FFFFFF" w:themeFill="background1"/>
        <w:rPr>
          <w:rFonts w:ascii="Cambria" w:eastAsia="Calibri" w:hAnsi="Cambria" w:cs="Calibri"/>
          <w:sz w:val="24"/>
          <w:szCs w:val="24"/>
          <w:lang w:val="sq-AL"/>
        </w:rPr>
      </w:pPr>
      <w:r w:rsidRPr="00E24ECC">
        <w:rPr>
          <w:color w:val="auto"/>
          <w:sz w:val="24"/>
          <w:szCs w:val="24"/>
          <w:lang w:val="sq-AL"/>
        </w:rPr>
        <w:t xml:space="preserve">Figura </w:t>
      </w:r>
      <w:r w:rsidRPr="00E24ECC">
        <w:rPr>
          <w:color w:val="auto"/>
          <w:sz w:val="24"/>
          <w:szCs w:val="24"/>
          <w:lang w:val="sq-AL"/>
        </w:rPr>
        <w:fldChar w:fldCharType="begin"/>
      </w:r>
      <w:r w:rsidRPr="00E24ECC">
        <w:rPr>
          <w:color w:val="auto"/>
          <w:sz w:val="24"/>
          <w:szCs w:val="24"/>
          <w:lang w:val="sq-AL"/>
        </w:rPr>
        <w:instrText xml:space="preserve"> SEQ Figura \* ARABIC </w:instrText>
      </w:r>
      <w:r w:rsidRPr="00E24ECC">
        <w:rPr>
          <w:color w:val="auto"/>
          <w:sz w:val="24"/>
          <w:szCs w:val="24"/>
          <w:lang w:val="sq-AL"/>
        </w:rPr>
        <w:fldChar w:fldCharType="separate"/>
      </w:r>
      <w:r w:rsidRPr="00E24ECC">
        <w:rPr>
          <w:noProof/>
          <w:color w:val="auto"/>
          <w:sz w:val="24"/>
          <w:szCs w:val="24"/>
          <w:lang w:val="sq-AL"/>
        </w:rPr>
        <w:t>3</w:t>
      </w:r>
      <w:r w:rsidRPr="00E24ECC">
        <w:rPr>
          <w:color w:val="auto"/>
          <w:sz w:val="24"/>
          <w:szCs w:val="24"/>
          <w:lang w:val="sq-AL"/>
        </w:rPr>
        <w:fldChar w:fldCharType="end"/>
      </w:r>
      <w:r w:rsidRPr="00E24ECC">
        <w:rPr>
          <w:rFonts w:ascii="Cambria" w:eastAsia="Calibri" w:hAnsi="Cambria" w:cs="Calibri"/>
          <w:b w:val="0"/>
          <w:color w:val="auto"/>
          <w:sz w:val="24"/>
          <w:szCs w:val="24"/>
          <w:lang w:val="sq-AL"/>
        </w:rPr>
        <w:t>:</w:t>
      </w:r>
      <w:r w:rsidRPr="00E24ECC">
        <w:rPr>
          <w:rFonts w:ascii="Cambria" w:eastAsia="Calibri" w:hAnsi="Cambria" w:cs="Calibri"/>
          <w:color w:val="auto"/>
          <w:sz w:val="24"/>
          <w:szCs w:val="24"/>
          <w:lang w:val="sq-AL"/>
        </w:rPr>
        <w:t xml:space="preserve"> </w:t>
      </w:r>
      <w:r w:rsidRPr="00E24ECC">
        <w:rPr>
          <w:color w:val="auto"/>
          <w:sz w:val="24"/>
          <w:szCs w:val="24"/>
          <w:lang w:val="sq-AL"/>
        </w:rPr>
        <w:t>Shkalla e papunёsisё; Shkalla e punёsimit; Shkalla e pjesëmarrjes në forcat e punës</w:t>
      </w:r>
    </w:p>
    <w:p w14:paraId="52DD710D" w14:textId="77777777" w:rsidR="000F4CF3" w:rsidRPr="00E24ECC" w:rsidRDefault="000F4CF3" w:rsidP="000F4CF3">
      <w:pPr>
        <w:shd w:val="clear" w:color="auto" w:fill="FFFFFF" w:themeFill="background1"/>
        <w:spacing w:before="120" w:after="120" w:line="276" w:lineRule="auto"/>
        <w:contextualSpacing/>
        <w:jc w:val="center"/>
        <w:rPr>
          <w:rFonts w:ascii="Cambria" w:eastAsia="Calibri" w:hAnsi="Cambria" w:cs="Calibri"/>
          <w:i/>
          <w:sz w:val="24"/>
          <w:szCs w:val="24"/>
          <w:lang w:val="sq-AL"/>
        </w:rPr>
      </w:pPr>
      <w:r w:rsidRPr="00E24ECC">
        <w:rPr>
          <w:noProof/>
          <w:lang w:val="sq-AL"/>
        </w:rPr>
        <w:lastRenderedPageBreak/>
        <w:drawing>
          <wp:inline distT="0" distB="0" distL="0" distR="0" wp14:anchorId="652ED4D5" wp14:editId="50A7E28B">
            <wp:extent cx="4676425" cy="2940685"/>
            <wp:effectExtent l="0" t="0" r="0" b="0"/>
            <wp:docPr id="1848645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7140" cy="2953711"/>
                    </a:xfrm>
                    <a:prstGeom prst="rect">
                      <a:avLst/>
                    </a:prstGeom>
                    <a:noFill/>
                    <a:ln>
                      <a:noFill/>
                    </a:ln>
                  </pic:spPr>
                </pic:pic>
              </a:graphicData>
            </a:graphic>
          </wp:inline>
        </w:drawing>
      </w:r>
    </w:p>
    <w:p w14:paraId="1446DC69" w14:textId="77777777" w:rsidR="000F4CF3" w:rsidRPr="00E24ECC" w:rsidRDefault="000F4CF3" w:rsidP="000F4CF3">
      <w:pPr>
        <w:shd w:val="clear" w:color="auto" w:fill="FFFFFF" w:themeFill="background1"/>
        <w:spacing w:line="276" w:lineRule="auto"/>
        <w:contextualSpacing/>
        <w:jc w:val="both"/>
        <w:rPr>
          <w:rFonts w:ascii="Cambria" w:hAnsi="Cambria" w:cs="Times New Roman"/>
          <w:i/>
          <w:sz w:val="18"/>
          <w:szCs w:val="18"/>
          <w:lang w:val="sq-AL"/>
        </w:rPr>
      </w:pPr>
      <w:r w:rsidRPr="00E24ECC">
        <w:rPr>
          <w:rFonts w:ascii="Cambria" w:hAnsi="Cambria" w:cs="Times New Roman"/>
          <w:i/>
          <w:sz w:val="18"/>
          <w:szCs w:val="18"/>
          <w:lang w:val="sq-AL"/>
        </w:rPr>
        <w:t>Burimi: INSTAT, Mars 2025</w:t>
      </w:r>
    </w:p>
    <w:p w14:paraId="7D827611" w14:textId="77777777" w:rsidR="000F4CF3" w:rsidRPr="00E24ECC" w:rsidRDefault="000F4CF3" w:rsidP="000F4CF3">
      <w:pPr>
        <w:shd w:val="clear" w:color="auto" w:fill="FFFFFF" w:themeFill="background1"/>
        <w:spacing w:line="276" w:lineRule="auto"/>
        <w:contextualSpacing/>
        <w:jc w:val="both"/>
        <w:rPr>
          <w:rFonts w:ascii="Cambria" w:hAnsi="Cambria" w:cs="Times New Roman"/>
          <w:i/>
          <w:sz w:val="24"/>
          <w:szCs w:val="24"/>
          <w:lang w:val="sq-AL"/>
        </w:rPr>
      </w:pPr>
    </w:p>
    <w:p w14:paraId="10F866C9" w14:textId="77777777" w:rsidR="000F4CF3" w:rsidRPr="00E24ECC" w:rsidRDefault="000F4CF3" w:rsidP="000F4CF3">
      <w:pPr>
        <w:shd w:val="clear" w:color="auto" w:fill="FFFFFF" w:themeFill="background1"/>
        <w:spacing w:line="276" w:lineRule="auto"/>
        <w:contextualSpacing/>
        <w:jc w:val="both"/>
        <w:rPr>
          <w:rFonts w:ascii="Cambria" w:eastAsia="Calibri" w:hAnsi="Cambria" w:cs="Calibri"/>
          <w:bCs/>
          <w:color w:val="1F4E79" w:themeColor="accent1" w:themeShade="80"/>
          <w:sz w:val="24"/>
          <w:szCs w:val="24"/>
          <w:lang w:val="sq-AL"/>
        </w:rPr>
      </w:pPr>
      <w:r w:rsidRPr="00E24ECC">
        <w:rPr>
          <w:rFonts w:ascii="Cambria" w:eastAsia="Calibri" w:hAnsi="Cambria" w:cs="Calibri"/>
          <w:bCs/>
          <w:color w:val="1F4E79" w:themeColor="accent1" w:themeShade="80"/>
          <w:sz w:val="24"/>
          <w:szCs w:val="24"/>
          <w:lang w:val="sq-AL"/>
        </w:rPr>
        <w:t xml:space="preserve">Sektori monetar     </w:t>
      </w:r>
    </w:p>
    <w:p w14:paraId="248BE332" w14:textId="77777777" w:rsidR="000F4CF3" w:rsidRPr="00E24ECC" w:rsidRDefault="000F4CF3" w:rsidP="000F4CF3">
      <w:pPr>
        <w:shd w:val="clear" w:color="auto" w:fill="FFFFFF" w:themeFill="background1"/>
        <w:spacing w:line="276" w:lineRule="auto"/>
        <w:contextualSpacing/>
        <w:jc w:val="both"/>
        <w:rPr>
          <w:rFonts w:ascii="Cambria" w:hAnsi="Cambria" w:cs="Times New Roman"/>
          <w:i/>
          <w:sz w:val="24"/>
          <w:szCs w:val="24"/>
          <w:lang w:val="sq-AL"/>
        </w:rPr>
      </w:pPr>
    </w:p>
    <w:p w14:paraId="2597B528"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Times New Roman" w:hAnsi="Cambria" w:cs="Times New Roman"/>
          <w:sz w:val="24"/>
          <w:szCs w:val="24"/>
          <w:lang w:val="sq-AL"/>
        </w:rPr>
      </w:pPr>
      <w:bookmarkStart w:id="15" w:name="_Toc84515333"/>
      <w:r w:rsidRPr="00E24ECC">
        <w:rPr>
          <w:rFonts w:ascii="Cambria" w:eastAsia="Times New Roman" w:hAnsi="Cambria" w:cs="Times New Roman"/>
          <w:sz w:val="24"/>
          <w:szCs w:val="24"/>
          <w:lang w:val="sq-AL"/>
        </w:rPr>
        <w:t>Inflacioni mesatar pёr periudhёn janar–prill 2025 është +2.1%. Në muajin prill 2025 ndryshimi vjetor i indeksit të çmimeve të konsumit është +2.3%. Nё grafikun më poshtë paraqitet ecuria e çmimeve për tre vitet e fundit:</w:t>
      </w:r>
    </w:p>
    <w:p w14:paraId="480D77A7" w14:textId="77777777" w:rsidR="000F4CF3" w:rsidRPr="00E24ECC" w:rsidRDefault="000F4CF3" w:rsidP="000F4CF3">
      <w:pPr>
        <w:pStyle w:val="Caption"/>
        <w:shd w:val="clear" w:color="auto" w:fill="FFFFFF" w:themeFill="background1"/>
        <w:spacing w:after="0"/>
        <w:rPr>
          <w:rFonts w:ascii="Cambria" w:hAnsi="Cambria"/>
          <w:color w:val="auto"/>
          <w:sz w:val="24"/>
          <w:szCs w:val="24"/>
          <w:lang w:val="sq-AL"/>
        </w:rPr>
      </w:pPr>
      <w:r w:rsidRPr="00E24ECC">
        <w:rPr>
          <w:rFonts w:ascii="Cambria" w:hAnsi="Cambria"/>
          <w:color w:val="auto"/>
          <w:sz w:val="24"/>
          <w:szCs w:val="24"/>
          <w:lang w:val="sq-AL"/>
        </w:rPr>
        <w:t xml:space="preserve">Figura </w:t>
      </w:r>
      <w:r w:rsidRPr="00E24ECC">
        <w:rPr>
          <w:rFonts w:ascii="Cambria" w:hAnsi="Cambria"/>
          <w:color w:val="auto"/>
          <w:sz w:val="24"/>
          <w:szCs w:val="24"/>
          <w:lang w:val="sq-AL"/>
        </w:rPr>
        <w:fldChar w:fldCharType="begin"/>
      </w:r>
      <w:r w:rsidRPr="00E24ECC">
        <w:rPr>
          <w:rFonts w:ascii="Cambria" w:hAnsi="Cambria"/>
          <w:color w:val="auto"/>
          <w:sz w:val="24"/>
          <w:szCs w:val="24"/>
          <w:lang w:val="sq-AL"/>
        </w:rPr>
        <w:instrText xml:space="preserve"> SEQ Figura \* ARABIC </w:instrText>
      </w:r>
      <w:r w:rsidRPr="00E24ECC">
        <w:rPr>
          <w:rFonts w:ascii="Cambria" w:hAnsi="Cambria"/>
          <w:color w:val="auto"/>
          <w:sz w:val="24"/>
          <w:szCs w:val="24"/>
          <w:lang w:val="sq-AL"/>
        </w:rPr>
        <w:fldChar w:fldCharType="separate"/>
      </w:r>
      <w:r w:rsidRPr="00E24ECC">
        <w:rPr>
          <w:rFonts w:ascii="Cambria" w:hAnsi="Cambria"/>
          <w:noProof/>
          <w:color w:val="auto"/>
          <w:sz w:val="24"/>
          <w:szCs w:val="24"/>
          <w:lang w:val="sq-AL"/>
        </w:rPr>
        <w:t>4</w:t>
      </w:r>
      <w:r w:rsidRPr="00E24ECC">
        <w:rPr>
          <w:rFonts w:ascii="Cambria" w:hAnsi="Cambria"/>
          <w:color w:val="auto"/>
          <w:sz w:val="24"/>
          <w:szCs w:val="24"/>
          <w:lang w:val="sq-AL"/>
        </w:rPr>
        <w:fldChar w:fldCharType="end"/>
      </w:r>
      <w:r w:rsidRPr="00E24ECC">
        <w:rPr>
          <w:rFonts w:ascii="Cambria" w:hAnsi="Cambria"/>
          <w:color w:val="auto"/>
          <w:sz w:val="24"/>
          <w:szCs w:val="24"/>
          <w:lang w:val="sq-AL"/>
        </w:rPr>
        <w:t>: Ndryshimi vjetor i inflacionit 2022-2025 (në përqindje)</w:t>
      </w:r>
    </w:p>
    <w:p w14:paraId="47B41D61"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rPr>
          <w:rFonts w:ascii="Cambria" w:eastAsia="Times New Roman" w:hAnsi="Cambria" w:cs="Times New Roman"/>
          <w:i/>
          <w:sz w:val="24"/>
          <w:szCs w:val="24"/>
          <w:lang w:val="sq-AL"/>
        </w:rPr>
      </w:pPr>
      <w:r w:rsidRPr="00E24ECC">
        <w:rPr>
          <w:rFonts w:ascii="Cambria" w:eastAsia="Times New Roman" w:hAnsi="Cambria" w:cs="Times New Roman"/>
          <w:i/>
          <w:noProof/>
          <w:sz w:val="24"/>
          <w:szCs w:val="24"/>
          <w:lang w:val="sq-AL"/>
        </w:rPr>
        <w:drawing>
          <wp:inline distT="0" distB="0" distL="0" distR="0" wp14:anchorId="53AACF4D" wp14:editId="5ADFB0E3">
            <wp:extent cx="5349594" cy="2242268"/>
            <wp:effectExtent l="0" t="0" r="3810" b="5715"/>
            <wp:docPr id="640443644" name="Picture 5" descr="A graph with blu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3644" name="Picture 5" descr="A graph with blue lines and numbers&#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l="2789" b="7374"/>
                    <a:stretch/>
                  </pic:blipFill>
                  <pic:spPr bwMode="auto">
                    <a:xfrm>
                      <a:off x="0" y="0"/>
                      <a:ext cx="5386833" cy="2257877"/>
                    </a:xfrm>
                    <a:prstGeom prst="rect">
                      <a:avLst/>
                    </a:prstGeom>
                    <a:noFill/>
                    <a:ln>
                      <a:noFill/>
                    </a:ln>
                    <a:extLst>
                      <a:ext uri="{53640926-AAD7-44D8-BBD7-CCE9431645EC}">
                        <a14:shadowObscured xmlns:a14="http://schemas.microsoft.com/office/drawing/2010/main"/>
                      </a:ext>
                    </a:extLst>
                  </pic:spPr>
                </pic:pic>
              </a:graphicData>
            </a:graphic>
          </wp:inline>
        </w:drawing>
      </w:r>
    </w:p>
    <w:p w14:paraId="63D7F8AA" w14:textId="77777777" w:rsidR="000F4CF3" w:rsidRPr="00E24ECC" w:rsidRDefault="000F4CF3" w:rsidP="000F4CF3">
      <w:pPr>
        <w:shd w:val="clear" w:color="auto" w:fill="FFFFFF" w:themeFill="background1"/>
        <w:autoSpaceDE w:val="0"/>
        <w:autoSpaceDN w:val="0"/>
        <w:adjustRightInd w:val="0"/>
        <w:spacing w:before="360" w:after="120" w:line="276" w:lineRule="auto"/>
        <w:contextualSpacing/>
        <w:jc w:val="both"/>
        <w:rPr>
          <w:rFonts w:ascii="Cambria" w:eastAsia="Times New Roman" w:hAnsi="Cambria" w:cs="Times New Roman"/>
          <w:i/>
          <w:sz w:val="18"/>
          <w:szCs w:val="20"/>
          <w:lang w:val="sq-AL"/>
        </w:rPr>
      </w:pPr>
      <w:r w:rsidRPr="00E24ECC">
        <w:rPr>
          <w:rFonts w:ascii="Cambria" w:eastAsia="Times New Roman" w:hAnsi="Cambria" w:cs="Times New Roman"/>
          <w:i/>
          <w:sz w:val="18"/>
          <w:szCs w:val="20"/>
          <w:lang w:val="sq-AL"/>
        </w:rPr>
        <w:t>Burimi: INSTAT, Maj 2025</w:t>
      </w:r>
    </w:p>
    <w:p w14:paraId="6F6B7735"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jc w:val="both"/>
        <w:rPr>
          <w:rFonts w:ascii="Cambria" w:eastAsia="Times New Roman" w:hAnsi="Cambria" w:cs="Times New Roman"/>
          <w:color w:val="FF0000"/>
          <w:sz w:val="24"/>
          <w:szCs w:val="24"/>
          <w:lang w:val="sq-AL"/>
        </w:rPr>
      </w:pPr>
    </w:p>
    <w:p w14:paraId="08C92A36" w14:textId="77777777" w:rsidR="000F4CF3" w:rsidRPr="00E24ECC" w:rsidRDefault="000F4CF3" w:rsidP="000F4CF3">
      <w:pPr>
        <w:shd w:val="clear" w:color="auto" w:fill="FFFFFF" w:themeFill="background1"/>
        <w:autoSpaceDE w:val="0"/>
        <w:autoSpaceDN w:val="0"/>
        <w:adjustRightInd w:val="0"/>
        <w:spacing w:after="100" w:afterAutospacing="1" w:line="276" w:lineRule="auto"/>
        <w:jc w:val="both"/>
        <w:rPr>
          <w:rFonts w:ascii="Cambria" w:eastAsia="Times New Roman" w:hAnsi="Cambria" w:cs="Times New Roman"/>
          <w:sz w:val="24"/>
          <w:szCs w:val="24"/>
          <w:lang w:val="sq-AL"/>
        </w:rPr>
      </w:pPr>
      <w:r w:rsidRPr="00E24ECC">
        <w:rPr>
          <w:rFonts w:ascii="Cambria" w:eastAsia="Times New Roman" w:hAnsi="Cambria" w:cs="Times New Roman"/>
          <w:sz w:val="24"/>
          <w:szCs w:val="24"/>
          <w:lang w:val="sq-AL"/>
        </w:rPr>
        <w:t>Pёrgjatё kёsaj periudhe, nga tërësia e mallrave dhe shërbimeve që përbëjnë shportën e konsumit, kontributin mё tё lartё nё inflacionin e pёrgjithshёm e ka patur zёri i “</w:t>
      </w:r>
      <w:r w:rsidRPr="00E24ECC">
        <w:rPr>
          <w:rFonts w:ascii="Cambria" w:eastAsia="Times New Roman" w:hAnsi="Cambria" w:cs="Times New Roman"/>
          <w:i/>
          <w:sz w:val="24"/>
          <w:szCs w:val="24"/>
          <w:lang w:val="sq-AL"/>
        </w:rPr>
        <w:t>Ushqime dhe pije joalkoolike</w:t>
      </w:r>
      <w:r w:rsidRPr="00E24ECC">
        <w:rPr>
          <w:rFonts w:ascii="Cambria" w:eastAsia="Times New Roman" w:hAnsi="Cambria" w:cs="Times New Roman"/>
          <w:sz w:val="24"/>
          <w:szCs w:val="24"/>
          <w:lang w:val="sq-AL"/>
        </w:rPr>
        <w:t>”.</w:t>
      </w:r>
    </w:p>
    <w:p w14:paraId="28651A22" w14:textId="77777777" w:rsidR="000F4CF3" w:rsidRPr="00E24ECC" w:rsidRDefault="000F4CF3" w:rsidP="000F4CF3">
      <w:pPr>
        <w:shd w:val="clear" w:color="auto" w:fill="FFFFFF" w:themeFill="background1"/>
        <w:autoSpaceDE w:val="0"/>
        <w:autoSpaceDN w:val="0"/>
        <w:adjustRightInd w:val="0"/>
        <w:spacing w:before="100" w:beforeAutospacing="1" w:after="100" w:afterAutospacing="1" w:line="276" w:lineRule="auto"/>
        <w:jc w:val="both"/>
        <w:rPr>
          <w:rFonts w:ascii="Cambria" w:eastAsia="Times New Roman" w:hAnsi="Cambria" w:cs="Times New Roman"/>
          <w:sz w:val="24"/>
          <w:szCs w:val="24"/>
          <w:lang w:val="sq-AL"/>
        </w:rPr>
      </w:pPr>
      <w:r w:rsidRPr="00E24ECC">
        <w:rPr>
          <w:rFonts w:ascii="Cambria" w:eastAsia="Times New Roman" w:hAnsi="Cambria" w:cs="Times New Roman"/>
          <w:sz w:val="24"/>
          <w:szCs w:val="24"/>
          <w:lang w:val="sq-AL"/>
        </w:rPr>
        <w:lastRenderedPageBreak/>
        <w:t xml:space="preserve">Në tabelën e mëposhtme mund të vihen re kontributet dhe rritjet respektive në çmime për çdo grup mallrash pёr muajin prill 2025. </w:t>
      </w:r>
    </w:p>
    <w:p w14:paraId="49A84CE3" w14:textId="39E442E4" w:rsidR="000F4CF3" w:rsidRPr="00E24ECC" w:rsidRDefault="000F4CF3" w:rsidP="000F4CF3">
      <w:pPr>
        <w:pStyle w:val="Caption"/>
        <w:shd w:val="clear" w:color="auto" w:fill="FFFFFF" w:themeFill="background1"/>
        <w:spacing w:after="120"/>
        <w:rPr>
          <w:noProof/>
          <w:lang w:val="sq-AL"/>
        </w:rPr>
      </w:pPr>
      <w:r w:rsidRPr="00E24ECC">
        <w:rPr>
          <w:rFonts w:ascii="Cambria" w:hAnsi="Cambria"/>
          <w:color w:val="auto"/>
          <w:sz w:val="20"/>
          <w:szCs w:val="20"/>
          <w:lang w:val="sq-AL"/>
        </w:rPr>
        <w:t xml:space="preserve">Tabela </w:t>
      </w:r>
      <w:r w:rsidRPr="00E24ECC">
        <w:rPr>
          <w:rFonts w:ascii="Cambria" w:hAnsi="Cambria"/>
          <w:color w:val="auto"/>
          <w:sz w:val="20"/>
          <w:szCs w:val="20"/>
          <w:lang w:val="sq-AL"/>
        </w:rPr>
        <w:fldChar w:fldCharType="begin"/>
      </w:r>
      <w:r w:rsidRPr="00E24ECC">
        <w:rPr>
          <w:rFonts w:ascii="Cambria" w:hAnsi="Cambria"/>
          <w:color w:val="auto"/>
          <w:sz w:val="20"/>
          <w:szCs w:val="20"/>
          <w:lang w:val="sq-AL"/>
        </w:rPr>
        <w:instrText xml:space="preserve"> SEQ Tabela \* ARABIC </w:instrText>
      </w:r>
      <w:r w:rsidRPr="00E24ECC">
        <w:rPr>
          <w:rFonts w:ascii="Cambria" w:hAnsi="Cambria"/>
          <w:color w:val="auto"/>
          <w:sz w:val="20"/>
          <w:szCs w:val="20"/>
          <w:lang w:val="sq-AL"/>
        </w:rPr>
        <w:fldChar w:fldCharType="separate"/>
      </w:r>
      <w:r w:rsidR="009113BE">
        <w:rPr>
          <w:rFonts w:ascii="Cambria" w:hAnsi="Cambria"/>
          <w:noProof/>
          <w:color w:val="auto"/>
          <w:sz w:val="20"/>
          <w:szCs w:val="20"/>
          <w:lang w:val="sq-AL"/>
        </w:rPr>
        <w:t>3</w:t>
      </w:r>
      <w:r w:rsidRPr="00E24ECC">
        <w:rPr>
          <w:rFonts w:ascii="Cambria" w:hAnsi="Cambria"/>
          <w:color w:val="auto"/>
          <w:sz w:val="20"/>
          <w:szCs w:val="20"/>
          <w:lang w:val="sq-AL"/>
        </w:rPr>
        <w:fldChar w:fldCharType="end"/>
      </w:r>
      <w:r w:rsidRPr="00E24ECC">
        <w:rPr>
          <w:rFonts w:ascii="Cambria" w:eastAsia="Times New Roman" w:hAnsi="Cambria" w:cs="Times New Roman"/>
          <w:b w:val="0"/>
          <w:color w:val="auto"/>
          <w:sz w:val="20"/>
          <w:szCs w:val="20"/>
          <w:lang w:val="sq-AL"/>
        </w:rPr>
        <w:t>:</w:t>
      </w:r>
      <w:r w:rsidRPr="00E24ECC">
        <w:rPr>
          <w:rFonts w:ascii="Cambria" w:eastAsia="Times New Roman" w:hAnsi="Cambria" w:cs="Times New Roman"/>
          <w:color w:val="auto"/>
          <w:sz w:val="20"/>
          <w:szCs w:val="20"/>
          <w:lang w:val="sq-AL"/>
        </w:rPr>
        <w:t xml:space="preserve"> </w:t>
      </w:r>
      <w:r w:rsidRPr="00E24ECC">
        <w:rPr>
          <w:rFonts w:ascii="Cambria" w:hAnsi="Cambria"/>
          <w:color w:val="auto"/>
          <w:sz w:val="20"/>
          <w:szCs w:val="20"/>
          <w:lang w:val="sq-AL"/>
        </w:rPr>
        <w:t>Rritja vjetore e çmimeve (Prill’25/Prill’24) dhe kontributi në inflacionin e përgjithshëm</w:t>
      </w:r>
      <w:r w:rsidRPr="00E24ECC">
        <w:rPr>
          <w:rFonts w:ascii="Cambria" w:eastAsia="Times New Roman" w:hAnsi="Cambria" w:cs="Times New Roman"/>
          <w:color w:val="auto"/>
          <w:sz w:val="20"/>
          <w:szCs w:val="20"/>
          <w:lang w:val="sq-AL"/>
        </w:rPr>
        <w:t xml:space="preserve"> </w:t>
      </w:r>
      <w:r w:rsidRPr="00E24ECC">
        <w:rPr>
          <w:noProof/>
          <w:lang w:val="sq-AL"/>
        </w:rPr>
        <w:drawing>
          <wp:inline distT="0" distB="0" distL="0" distR="0" wp14:anchorId="5291CE3A" wp14:editId="3EA17823">
            <wp:extent cx="5943600" cy="2573020"/>
            <wp:effectExtent l="0" t="0" r="0" b="0"/>
            <wp:docPr id="17764611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573020"/>
                    </a:xfrm>
                    <a:prstGeom prst="rect">
                      <a:avLst/>
                    </a:prstGeom>
                    <a:noFill/>
                    <a:ln>
                      <a:noFill/>
                    </a:ln>
                  </pic:spPr>
                </pic:pic>
              </a:graphicData>
            </a:graphic>
          </wp:inline>
        </w:drawing>
      </w:r>
    </w:p>
    <w:p w14:paraId="589A85B1" w14:textId="77777777" w:rsidR="000F4CF3" w:rsidRPr="00E24ECC" w:rsidRDefault="000F4CF3" w:rsidP="000F4CF3">
      <w:pPr>
        <w:pStyle w:val="Caption"/>
        <w:shd w:val="clear" w:color="auto" w:fill="FFFFFF" w:themeFill="background1"/>
        <w:rPr>
          <w:rFonts w:ascii="Cambria" w:eastAsia="Times New Roman" w:hAnsi="Cambria" w:cs="Times New Roman"/>
          <w:sz w:val="22"/>
          <w:szCs w:val="22"/>
          <w:lang w:val="sq-AL"/>
        </w:rPr>
      </w:pPr>
      <w:r w:rsidRPr="00E24ECC">
        <w:rPr>
          <w:rFonts w:ascii="Cambria" w:eastAsia="Times New Roman" w:hAnsi="Cambria" w:cs="Times New Roman"/>
          <w:b w:val="0"/>
          <w:i/>
          <w:color w:val="auto"/>
          <w:szCs w:val="22"/>
          <w:lang w:val="sq-AL"/>
        </w:rPr>
        <w:t>Burimi: INSTAT, Maj 2025</w:t>
      </w:r>
    </w:p>
    <w:p w14:paraId="3B07C05A"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Standardet e kreditimit për bizneset mbetën thuajse të pandryshuara në tremujorin e parë të vitit 2025. Krahasuar me një tremujor më parë, standardet dhe termat e kreditimit në tërësi u cilësuan të ngjashme si në kreditë akorduar biznesit të madh për financimin e investimeve, ashtu dhe në ato për mbulimin e nevojave afatshkurtra për likuiditet. Ndërkohë, u vërejt lehtësim i standardeve në kreditë për biznesin e vogël e të mesëm.</w:t>
      </w:r>
    </w:p>
    <w:p w14:paraId="336B097F"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Në kahun lehtësues të standardeve të kreditimit u raportuan kostot dhe kufizimet më të ulëta nga bilanci. Në kahun shtrëngues ndikuan perceptimi i bankave mbi rrezikun për aftësinë paguese të kredimarrësit dhe mbi kolateralin e kërkuar, si edhe toleranca më e ulët e bankave kundrejt rrezikut. Ndërsa faktorët e tjerë patën ndikim neutral.</w:t>
      </w:r>
    </w:p>
    <w:p w14:paraId="2C582DF2"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Standardet, kushtet dhe termat e kreditimit për kreditë akorduar individëve, ngjashëm me bizneset, u raportuan pothuajse të pandryshuara në tremujorin e parë të vitit 2025, si në kreditë konsumatore, ashtu edhe në ato për blerjen e banesave. Në kreditë për blerjen e banesave, politikat e kreditimit të bankave rezultuan lehtësuese në nivelin 1.0%, ndërkohë që në kreditë dhënë për konsum u lehtësuan me 1.2%.</w:t>
      </w:r>
    </w:p>
    <w:p w14:paraId="4DE76A77" w14:textId="77777777" w:rsidR="000F4CF3" w:rsidRPr="00E24ECC" w:rsidRDefault="000F4CF3" w:rsidP="000F4CF3">
      <w:pPr>
        <w:shd w:val="clear" w:color="auto" w:fill="FFFFFF" w:themeFill="background1"/>
        <w:spacing w:before="120" w:after="120" w:line="276" w:lineRule="auto"/>
        <w:jc w:val="both"/>
        <w:rPr>
          <w:rFonts w:ascii="Cambria" w:hAnsi="Cambria"/>
          <w:sz w:val="24"/>
          <w:szCs w:val="24"/>
          <w:lang w:val="sq-AL"/>
        </w:rPr>
      </w:pPr>
      <w:r w:rsidRPr="00E24ECC">
        <w:rPr>
          <w:rFonts w:ascii="Cambria" w:hAnsi="Cambria"/>
          <w:sz w:val="24"/>
          <w:szCs w:val="24"/>
          <w:lang w:val="sq-AL"/>
        </w:rPr>
        <w:t xml:space="preserve">Gjithashtu, bankat raportuan se të gjithë segmentet e madhësisë së biznesit shfaqën kërkesë të lartë për kredi përgjatë tremujorit të parë 2025, përkatësisht duke u rritur me 6.1% për biznesin e vogël dhe të mesëm (SME) dhe me 5.9% për biznesin e madh. Nga ana tjetër, kërkesa për kredi për financimin e nevojave për likuditet u zvogëlua me 3.1%, ndërkohë që u rrit me 13.3% për financimin e investimeve. Kërkesa e individëve për kredi u perceptua më e lartë në tremujorin e parë të vitit, si në blerjen e banesave (+27.5%), ashtu edhe në financimin e konsumit (+10.9%). Krahas nevojave të shtuara për financim, zhvillimet aktuale </w:t>
      </w:r>
      <w:r w:rsidRPr="00E24ECC">
        <w:rPr>
          <w:rFonts w:ascii="Cambria" w:hAnsi="Cambria"/>
          <w:sz w:val="24"/>
          <w:szCs w:val="24"/>
          <w:lang w:val="sq-AL"/>
        </w:rPr>
        <w:lastRenderedPageBreak/>
        <w:t>e të pritura në tregun e banesave, si edhe niveli i përgjithshëm i normave të interesit, u raportuan si nxitës të kërkesës për kredi të individëve.</w:t>
      </w:r>
    </w:p>
    <w:p w14:paraId="41EC30FF" w14:textId="77777777" w:rsidR="000F4CF3" w:rsidRPr="00E24ECC" w:rsidRDefault="000F4CF3" w:rsidP="000F4CF3">
      <w:pPr>
        <w:shd w:val="clear" w:color="auto" w:fill="FFFFFF" w:themeFill="background1"/>
        <w:spacing w:before="120" w:after="120" w:line="276" w:lineRule="auto"/>
        <w:jc w:val="both"/>
        <w:rPr>
          <w:rFonts w:ascii="Cambria" w:eastAsia="MS Mincho" w:hAnsi="Cambria" w:cs="Times New Roman"/>
          <w:sz w:val="24"/>
          <w:szCs w:val="24"/>
          <w:lang w:val="sq-AL"/>
        </w:rPr>
      </w:pPr>
      <w:r w:rsidRPr="00E24ECC">
        <w:rPr>
          <w:rFonts w:ascii="Cambria" w:eastAsia="MS Mincho" w:hAnsi="Cambria" w:cs="Times New Roman"/>
          <w:sz w:val="24"/>
          <w:szCs w:val="24"/>
          <w:lang w:val="sq-AL"/>
        </w:rPr>
        <w:t>Gjatë muajit prill të vitit 2025, stoku total i depozitave bankare ka arritur në vlerën 1.38 trilionë lekë, duke shënuar një rritje prej 6.73% krahasuar me muajin prill të vitit 2024. Ndërkohë, kundrejt muajit mars 2025, stoku total i depozitave shënoi rënie me 4.8 miliardë lekë ose 0.35%. Rritja e depozitave u nxit kryesisht nga rritja e depozitave të individëve me 8.0%, ndërsa depozitat e bizneseve ngadalësuan normat rritëse duke filluar prej tremujorit të dytë të vitit 2024, duke rënë me 2.2% në muajin prill 2025.</w:t>
      </w:r>
    </w:p>
    <w:p w14:paraId="1D207158" w14:textId="77777777" w:rsidR="000F4CF3" w:rsidRPr="00E24ECC" w:rsidRDefault="000F4CF3" w:rsidP="000F4CF3">
      <w:pPr>
        <w:shd w:val="clear" w:color="auto" w:fill="FFFFFF" w:themeFill="background1"/>
        <w:spacing w:before="120" w:after="120" w:line="276" w:lineRule="auto"/>
        <w:jc w:val="both"/>
        <w:rPr>
          <w:rFonts w:ascii="Cambria" w:eastAsia="MS Mincho" w:hAnsi="Cambria" w:cs="Times New Roman"/>
          <w:sz w:val="24"/>
          <w:szCs w:val="24"/>
          <w:lang w:val="sq-AL"/>
        </w:rPr>
      </w:pPr>
      <w:r w:rsidRPr="00E24ECC">
        <w:rPr>
          <w:rFonts w:ascii="Cambria" w:eastAsia="MS Mincho" w:hAnsi="Cambria" w:cs="Times New Roman"/>
          <w:sz w:val="24"/>
          <w:szCs w:val="24"/>
          <w:lang w:val="sq-AL"/>
        </w:rPr>
        <w:t>Në muajin prill 2025 rezulton se rreth 46.5% e totalit të stokut të depozitave përbëhet nga depozitat në lekë, ndërsa pjesa tjetër prej 53.5% përbëhet nga depozitimet në valutë të huaj. Stoku total i depozitave në lekë shënoi rritje me 10.3%, ndërsa depozitat në valutë janë rritur me 3.8% krahasuar me muajin prill të vitit 2024.</w:t>
      </w:r>
    </w:p>
    <w:p w14:paraId="00A8F41F" w14:textId="77777777" w:rsidR="000F4CF3" w:rsidRPr="00E24ECC" w:rsidRDefault="000F4CF3" w:rsidP="000F4CF3">
      <w:pPr>
        <w:pStyle w:val="Caption"/>
        <w:shd w:val="clear" w:color="auto" w:fill="FFFFFF" w:themeFill="background1"/>
        <w:spacing w:after="0"/>
        <w:jc w:val="center"/>
        <w:rPr>
          <w:rFonts w:ascii="Cambria" w:hAnsi="Cambria"/>
          <w:color w:val="auto"/>
          <w:lang w:val="sq-AL"/>
        </w:rPr>
      </w:pPr>
      <w:r w:rsidRPr="00E24ECC">
        <w:rPr>
          <w:rFonts w:ascii="Cambria" w:hAnsi="Cambria"/>
          <w:color w:val="auto"/>
          <w:lang w:val="sq-AL"/>
        </w:rPr>
        <w:t xml:space="preserve">Figura </w:t>
      </w:r>
      <w:r w:rsidRPr="00E24ECC">
        <w:rPr>
          <w:rFonts w:ascii="Cambria" w:hAnsi="Cambria"/>
          <w:color w:val="auto"/>
          <w:lang w:val="sq-AL"/>
        </w:rPr>
        <w:fldChar w:fldCharType="begin"/>
      </w:r>
      <w:r w:rsidRPr="00E24ECC">
        <w:rPr>
          <w:rFonts w:ascii="Cambria" w:hAnsi="Cambria"/>
          <w:color w:val="auto"/>
          <w:lang w:val="sq-AL"/>
        </w:rPr>
        <w:instrText xml:space="preserve"> SEQ Figura \* ARABIC </w:instrText>
      </w:r>
      <w:r w:rsidRPr="00E24ECC">
        <w:rPr>
          <w:rFonts w:ascii="Cambria" w:hAnsi="Cambria"/>
          <w:color w:val="auto"/>
          <w:lang w:val="sq-AL"/>
        </w:rPr>
        <w:fldChar w:fldCharType="separate"/>
      </w:r>
      <w:r w:rsidRPr="00E24ECC">
        <w:rPr>
          <w:rFonts w:ascii="Cambria" w:hAnsi="Cambria"/>
          <w:noProof/>
          <w:color w:val="auto"/>
          <w:lang w:val="sq-AL"/>
        </w:rPr>
        <w:t>5</w:t>
      </w:r>
      <w:r w:rsidRPr="00E24ECC">
        <w:rPr>
          <w:rFonts w:ascii="Cambria" w:hAnsi="Cambria"/>
          <w:color w:val="auto"/>
          <w:lang w:val="sq-AL"/>
        </w:rPr>
        <w:fldChar w:fldCharType="end"/>
      </w:r>
      <w:r w:rsidRPr="00E24ECC">
        <w:rPr>
          <w:rFonts w:ascii="Cambria" w:eastAsia="Times New Roman" w:hAnsi="Cambria" w:cs="Times New Roman"/>
          <w:b w:val="0"/>
          <w:bCs w:val="0"/>
          <w:color w:val="auto"/>
          <w:sz w:val="24"/>
          <w:szCs w:val="24"/>
          <w:lang w:val="sq-AL"/>
        </w:rPr>
        <w:t>:</w:t>
      </w:r>
      <w:r w:rsidRPr="00E24ECC">
        <w:rPr>
          <w:rFonts w:ascii="Cambria" w:eastAsia="Times New Roman" w:hAnsi="Cambria" w:cs="Times New Roman"/>
          <w:bCs w:val="0"/>
          <w:color w:val="auto"/>
          <w:sz w:val="24"/>
          <w:szCs w:val="24"/>
          <w:lang w:val="sq-AL"/>
        </w:rPr>
        <w:t xml:space="preserve"> </w:t>
      </w:r>
      <w:r w:rsidRPr="00E24ECC">
        <w:rPr>
          <w:rFonts w:ascii="Cambria" w:hAnsi="Cambria"/>
          <w:color w:val="auto"/>
          <w:lang w:val="sq-AL"/>
        </w:rPr>
        <w:t>Ecuria e stokut të depozitave 2024-2025, në përqindje</w:t>
      </w:r>
      <w:r w:rsidRPr="00E24ECC">
        <w:rPr>
          <w:rFonts w:ascii="Cambria" w:eastAsia="Times New Roman" w:hAnsi="Cambria" w:cs="Times New Roman"/>
          <w:bCs w:val="0"/>
          <w:i/>
          <w:noProof/>
          <w:sz w:val="24"/>
          <w:szCs w:val="24"/>
          <w:lang w:val="sq-AL"/>
        </w:rPr>
        <w:drawing>
          <wp:inline distT="0" distB="0" distL="0" distR="0" wp14:anchorId="538AB439" wp14:editId="0B30E2ED">
            <wp:extent cx="3820795" cy="2242268"/>
            <wp:effectExtent l="0" t="0" r="8255" b="5715"/>
            <wp:docPr id="1211165424" name="Picture 1"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65424" name="Picture 1" descr="A graph of numbers and a number of peopl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9646" cy="2247462"/>
                    </a:xfrm>
                    <a:prstGeom prst="rect">
                      <a:avLst/>
                    </a:prstGeom>
                    <a:noFill/>
                  </pic:spPr>
                </pic:pic>
              </a:graphicData>
            </a:graphic>
          </wp:inline>
        </w:drawing>
      </w:r>
    </w:p>
    <w:p w14:paraId="6CA9F0BF"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rPr>
          <w:rFonts w:ascii="Cambria" w:eastAsia="Times New Roman" w:hAnsi="Cambria" w:cs="Times New Roman"/>
          <w:bCs/>
          <w:i/>
          <w:sz w:val="20"/>
          <w:szCs w:val="24"/>
          <w:lang w:val="sq-AL"/>
        </w:rPr>
      </w:pPr>
      <w:r w:rsidRPr="00E24ECC">
        <w:rPr>
          <w:rFonts w:ascii="Cambria" w:eastAsia="Times New Roman" w:hAnsi="Cambria" w:cs="Times New Roman"/>
          <w:bCs/>
          <w:i/>
          <w:sz w:val="20"/>
          <w:szCs w:val="24"/>
          <w:lang w:val="sq-AL"/>
        </w:rPr>
        <w:t xml:space="preserve">                                                 Burimi: Banka e Shqipërisë, Maj 2025</w:t>
      </w:r>
    </w:p>
    <w:p w14:paraId="4E85C506"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jc w:val="both"/>
        <w:rPr>
          <w:rFonts w:ascii="Cambria" w:eastAsia="Times New Roman" w:hAnsi="Cambria" w:cs="Times New Roman"/>
          <w:bCs/>
          <w:i/>
          <w:sz w:val="24"/>
          <w:szCs w:val="24"/>
          <w:lang w:val="sq-AL"/>
        </w:rPr>
      </w:pPr>
    </w:p>
    <w:p w14:paraId="7CE4634C"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E24ECC">
        <w:rPr>
          <w:rFonts w:ascii="Cambria" w:eastAsia="Times New Roman" w:hAnsi="Cambria" w:cs="Times New Roman"/>
          <w:sz w:val="24"/>
          <w:szCs w:val="24"/>
          <w:lang w:val="sq-AL"/>
        </w:rPr>
        <w:t>Gjatë muajit prill të vitit 2025, stoku total i kredive bankare pati një rritje me 13.1% krahasuar me muajin prill të vitit 2024. Krahasuar me një vit më parë, stoku i kredive në lekë shënoi një rritje prej 12.1%, ndërsa ai në valutë rritje prej 14.5%.</w:t>
      </w:r>
    </w:p>
    <w:p w14:paraId="60C25EEE" w14:textId="761EAEFC" w:rsidR="000F4CF3" w:rsidRPr="00E24ECC" w:rsidRDefault="000F4CF3" w:rsidP="000F4CF3">
      <w:pPr>
        <w:pStyle w:val="Caption"/>
        <w:keepNext/>
        <w:shd w:val="clear" w:color="auto" w:fill="FFFFFF" w:themeFill="background1"/>
        <w:spacing w:after="0"/>
        <w:jc w:val="both"/>
        <w:rPr>
          <w:rFonts w:ascii="Cambria" w:hAnsi="Cambria" w:cs="Times New Roman"/>
          <w:color w:val="auto"/>
          <w:sz w:val="20"/>
          <w:szCs w:val="20"/>
          <w:lang w:val="sq-AL"/>
        </w:rPr>
      </w:pPr>
      <w:r w:rsidRPr="00E24ECC">
        <w:rPr>
          <w:rFonts w:ascii="Cambria" w:hAnsi="Cambria" w:cs="Times New Roman"/>
          <w:color w:val="auto"/>
          <w:sz w:val="20"/>
          <w:szCs w:val="20"/>
          <w:lang w:val="sq-AL"/>
        </w:rPr>
        <w:t xml:space="preserve">Tabela </w:t>
      </w:r>
      <w:r w:rsidRPr="00E24ECC">
        <w:rPr>
          <w:rFonts w:ascii="Cambria" w:hAnsi="Cambria" w:cs="Times New Roman"/>
          <w:color w:val="auto"/>
          <w:sz w:val="20"/>
          <w:szCs w:val="20"/>
          <w:lang w:val="sq-AL"/>
        </w:rPr>
        <w:fldChar w:fldCharType="begin"/>
      </w:r>
      <w:r w:rsidRPr="00E24ECC">
        <w:rPr>
          <w:rFonts w:ascii="Cambria" w:hAnsi="Cambria" w:cs="Times New Roman"/>
          <w:color w:val="auto"/>
          <w:sz w:val="20"/>
          <w:szCs w:val="20"/>
          <w:lang w:val="sq-AL"/>
        </w:rPr>
        <w:instrText xml:space="preserve"> SEQ Tabela \* ARABIC </w:instrText>
      </w:r>
      <w:r w:rsidRPr="00E24ECC">
        <w:rPr>
          <w:rFonts w:ascii="Cambria" w:hAnsi="Cambria" w:cs="Times New Roman"/>
          <w:color w:val="auto"/>
          <w:sz w:val="20"/>
          <w:szCs w:val="20"/>
          <w:lang w:val="sq-AL"/>
        </w:rPr>
        <w:fldChar w:fldCharType="separate"/>
      </w:r>
      <w:r w:rsidR="009113BE">
        <w:rPr>
          <w:rFonts w:ascii="Cambria" w:hAnsi="Cambria" w:cs="Times New Roman"/>
          <w:noProof/>
          <w:color w:val="auto"/>
          <w:sz w:val="20"/>
          <w:szCs w:val="20"/>
          <w:lang w:val="sq-AL"/>
        </w:rPr>
        <w:t>4</w:t>
      </w:r>
      <w:r w:rsidRPr="00E24ECC">
        <w:rPr>
          <w:rFonts w:ascii="Cambria" w:hAnsi="Cambria" w:cs="Times New Roman"/>
          <w:color w:val="auto"/>
          <w:sz w:val="20"/>
          <w:szCs w:val="20"/>
          <w:lang w:val="sq-AL"/>
        </w:rPr>
        <w:fldChar w:fldCharType="end"/>
      </w:r>
      <w:r w:rsidRPr="00E24ECC">
        <w:rPr>
          <w:rFonts w:ascii="Cambria" w:eastAsia="Times New Roman" w:hAnsi="Cambria" w:cs="Times New Roman"/>
          <w:b w:val="0"/>
          <w:color w:val="auto"/>
          <w:sz w:val="20"/>
          <w:szCs w:val="20"/>
          <w:lang w:val="sq-AL"/>
        </w:rPr>
        <w:t>:</w:t>
      </w:r>
      <w:r w:rsidRPr="00E24ECC">
        <w:rPr>
          <w:rFonts w:ascii="Cambria" w:eastAsia="Times New Roman" w:hAnsi="Cambria" w:cs="Times New Roman"/>
          <w:i/>
          <w:color w:val="auto"/>
          <w:sz w:val="20"/>
          <w:szCs w:val="20"/>
          <w:lang w:val="sq-AL"/>
        </w:rPr>
        <w:t xml:space="preserve"> </w:t>
      </w:r>
      <w:r w:rsidRPr="00E24ECC">
        <w:rPr>
          <w:rFonts w:ascii="Cambria" w:eastAsia="Times New Roman" w:hAnsi="Cambria" w:cs="Times New Roman"/>
          <w:color w:val="auto"/>
          <w:sz w:val="20"/>
          <w:szCs w:val="20"/>
          <w:lang w:val="sq-AL"/>
        </w:rPr>
        <w:t>Ecuria e kredisë për bizneset dhe individët, në përqindje</w:t>
      </w:r>
    </w:p>
    <w:p w14:paraId="1BC0C846"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Times New Roman" w:hAnsi="Cambria" w:cs="Times New Roman"/>
          <w:sz w:val="24"/>
          <w:szCs w:val="24"/>
          <w:lang w:val="sq-AL"/>
        </w:rPr>
      </w:pPr>
      <w:r w:rsidRPr="00E24ECC">
        <w:rPr>
          <w:noProof/>
          <w:lang w:val="sq-AL"/>
        </w:rPr>
        <w:drawing>
          <wp:inline distT="0" distB="0" distL="0" distR="0" wp14:anchorId="6D7E4702" wp14:editId="2076F850">
            <wp:extent cx="5943600" cy="844550"/>
            <wp:effectExtent l="0" t="0" r="0" b="0"/>
            <wp:docPr id="30509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844550"/>
                    </a:xfrm>
                    <a:prstGeom prst="rect">
                      <a:avLst/>
                    </a:prstGeom>
                    <a:noFill/>
                    <a:ln>
                      <a:noFill/>
                    </a:ln>
                  </pic:spPr>
                </pic:pic>
              </a:graphicData>
            </a:graphic>
          </wp:inline>
        </w:drawing>
      </w:r>
    </w:p>
    <w:p w14:paraId="4DCFE9EA"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jc w:val="both"/>
        <w:rPr>
          <w:rFonts w:ascii="Cambria" w:eastAsia="Times New Roman" w:hAnsi="Cambria" w:cs="Times New Roman"/>
          <w:bCs/>
          <w:i/>
          <w:sz w:val="20"/>
          <w:szCs w:val="20"/>
          <w:lang w:val="sq-AL"/>
        </w:rPr>
      </w:pPr>
      <w:r w:rsidRPr="00E24ECC">
        <w:rPr>
          <w:rFonts w:ascii="Cambria" w:eastAsia="Times New Roman" w:hAnsi="Cambria" w:cs="Times New Roman"/>
          <w:bCs/>
          <w:i/>
          <w:sz w:val="20"/>
          <w:szCs w:val="20"/>
          <w:lang w:val="sq-AL"/>
        </w:rPr>
        <w:t xml:space="preserve">Burimi: Banka e Shqipërisë, Maj 2025 </w:t>
      </w:r>
    </w:p>
    <w:p w14:paraId="3C4D9099"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contextualSpacing/>
        <w:jc w:val="both"/>
        <w:rPr>
          <w:rFonts w:ascii="Cambria" w:eastAsia="Times New Roman" w:hAnsi="Cambria" w:cs="Times New Roman"/>
          <w:bCs/>
          <w:i/>
          <w:sz w:val="16"/>
          <w:szCs w:val="16"/>
          <w:lang w:val="sq-AL"/>
        </w:rPr>
      </w:pPr>
    </w:p>
    <w:p w14:paraId="06B10837"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jc w:val="both"/>
        <w:rPr>
          <w:rFonts w:ascii="Cambria" w:hAnsi="Cambria"/>
          <w:noProof/>
          <w:sz w:val="24"/>
          <w:szCs w:val="24"/>
          <w:lang w:val="sq-AL"/>
        </w:rPr>
      </w:pPr>
      <w:r w:rsidRPr="00E24ECC">
        <w:rPr>
          <w:rFonts w:ascii="Cambria" w:hAnsi="Cambria"/>
          <w:noProof/>
          <w:sz w:val="24"/>
          <w:szCs w:val="24"/>
          <w:lang w:val="sq-AL"/>
        </w:rPr>
        <w:t xml:space="preserve">Stoku i kredive akorduar individëve deri në muajin prill të vitit 2025, ka shënuar rritje prej 15.4%, ndërkohë që stoku i kredive akorduar bizneset jo-financiare (private dhe publike) shënoi një rritje me 12.4%. Kredia vetëm për bizneset private jo-financiare u rrit me 12.4%, </w:t>
      </w:r>
      <w:r w:rsidRPr="00E24ECC">
        <w:rPr>
          <w:rFonts w:ascii="Cambria" w:hAnsi="Cambria"/>
          <w:noProof/>
          <w:sz w:val="24"/>
          <w:szCs w:val="24"/>
          <w:lang w:val="sq-AL"/>
        </w:rPr>
        <w:lastRenderedPageBreak/>
        <w:t xml:space="preserve">duke kontribuar pozitivisht me 7.0 pikë përqindje në ndryshimin e stokut total të kredisë. Ndërsa stoku i kredive akorduar bizneseve publike jo-financiare, për muajin prill 2025, ka shënuar rritje me 9.0% krahasuar me muajin prill 2024, duke kontribuar pozitivisht me 0.2 pikë përqindje në ndryshimin e stokut total të kredisë. </w:t>
      </w:r>
      <w:r w:rsidRPr="00E24ECC">
        <w:rPr>
          <w:rFonts w:ascii="Cambria" w:eastAsia="Times New Roman" w:hAnsi="Cambria" w:cs="Times New Roman"/>
          <w:sz w:val="24"/>
          <w:szCs w:val="24"/>
          <w:lang w:val="sq-AL"/>
        </w:rPr>
        <w:t>Niveli i kredive me probleme ndaj totalit të kredive në fund të muajit mars 2025 arriti në 4.02%.</w:t>
      </w:r>
    </w:p>
    <w:p w14:paraId="5094D629" w14:textId="5A6CF497" w:rsidR="000F4CF3" w:rsidRPr="00E24ECC" w:rsidRDefault="000F4CF3" w:rsidP="000F4CF3">
      <w:pPr>
        <w:pStyle w:val="Caption"/>
        <w:shd w:val="clear" w:color="auto" w:fill="FFFFFF" w:themeFill="background1"/>
        <w:spacing w:after="0"/>
        <w:rPr>
          <w:rFonts w:ascii="Cambria" w:eastAsia="Times New Roman" w:hAnsi="Cambria" w:cs="Times New Roman"/>
          <w:color w:val="auto"/>
          <w:sz w:val="24"/>
          <w:szCs w:val="24"/>
          <w:lang w:val="sq-AL"/>
        </w:rPr>
      </w:pPr>
      <w:r w:rsidRPr="00E24ECC">
        <w:rPr>
          <w:rFonts w:ascii="Cambria" w:hAnsi="Cambria" w:cs="Times New Roman"/>
          <w:color w:val="auto"/>
          <w:sz w:val="24"/>
          <w:szCs w:val="24"/>
          <w:lang w:val="sq-AL"/>
        </w:rPr>
        <w:t xml:space="preserve">Tabela </w:t>
      </w:r>
      <w:r w:rsidRPr="00E24ECC">
        <w:rPr>
          <w:rFonts w:ascii="Cambria" w:hAnsi="Cambria" w:cs="Times New Roman"/>
          <w:color w:val="auto"/>
          <w:sz w:val="24"/>
          <w:szCs w:val="24"/>
          <w:lang w:val="sq-AL"/>
        </w:rPr>
        <w:fldChar w:fldCharType="begin"/>
      </w:r>
      <w:r w:rsidRPr="00E24ECC">
        <w:rPr>
          <w:rFonts w:ascii="Cambria" w:hAnsi="Cambria" w:cs="Times New Roman"/>
          <w:color w:val="auto"/>
          <w:sz w:val="24"/>
          <w:szCs w:val="24"/>
          <w:lang w:val="sq-AL"/>
        </w:rPr>
        <w:instrText xml:space="preserve"> SEQ Tabela \* ARABIC </w:instrText>
      </w:r>
      <w:r w:rsidRPr="00E24ECC">
        <w:rPr>
          <w:rFonts w:ascii="Cambria" w:hAnsi="Cambria" w:cs="Times New Roman"/>
          <w:color w:val="auto"/>
          <w:sz w:val="24"/>
          <w:szCs w:val="24"/>
          <w:lang w:val="sq-AL"/>
        </w:rPr>
        <w:fldChar w:fldCharType="separate"/>
      </w:r>
      <w:r w:rsidR="009113BE">
        <w:rPr>
          <w:rFonts w:ascii="Cambria" w:hAnsi="Cambria" w:cs="Times New Roman"/>
          <w:noProof/>
          <w:color w:val="auto"/>
          <w:sz w:val="24"/>
          <w:szCs w:val="24"/>
          <w:lang w:val="sq-AL"/>
        </w:rPr>
        <w:t>5</w:t>
      </w:r>
      <w:r w:rsidRPr="00E24ECC">
        <w:rPr>
          <w:rFonts w:ascii="Cambria" w:hAnsi="Cambria" w:cs="Times New Roman"/>
          <w:color w:val="auto"/>
          <w:sz w:val="24"/>
          <w:szCs w:val="24"/>
          <w:lang w:val="sq-AL"/>
        </w:rPr>
        <w:fldChar w:fldCharType="end"/>
      </w:r>
      <w:r w:rsidRPr="00E24ECC">
        <w:rPr>
          <w:rFonts w:ascii="Cambria" w:eastAsia="Times New Roman" w:hAnsi="Cambria" w:cs="Times New Roman"/>
          <w:b w:val="0"/>
          <w:color w:val="auto"/>
          <w:sz w:val="24"/>
          <w:szCs w:val="24"/>
          <w:lang w:val="sq-AL"/>
        </w:rPr>
        <w:t>:</w:t>
      </w:r>
      <w:r w:rsidRPr="00E24ECC">
        <w:rPr>
          <w:rFonts w:ascii="Cambria" w:eastAsia="Times New Roman" w:hAnsi="Cambria" w:cs="Times New Roman"/>
          <w:color w:val="auto"/>
          <w:sz w:val="24"/>
          <w:szCs w:val="24"/>
          <w:lang w:val="sq-AL"/>
        </w:rPr>
        <w:t xml:space="preserve"> Ecuria e kredive të këqija, në përqindje</w:t>
      </w:r>
    </w:p>
    <w:p w14:paraId="78E8B4DD"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hAnsi="Cambria"/>
          <w:noProof/>
          <w:sz w:val="24"/>
          <w:szCs w:val="24"/>
          <w:lang w:val="sq-AL"/>
        </w:rPr>
      </w:pPr>
      <w:r w:rsidRPr="00E24ECC">
        <w:rPr>
          <w:noProof/>
          <w:lang w:val="sq-AL"/>
        </w:rPr>
        <w:drawing>
          <wp:inline distT="0" distB="0" distL="0" distR="0" wp14:anchorId="0F20CDC9" wp14:editId="78835EC0">
            <wp:extent cx="5943600" cy="485030"/>
            <wp:effectExtent l="0" t="0" r="0" b="0"/>
            <wp:docPr id="379729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2948" cy="485793"/>
                    </a:xfrm>
                    <a:prstGeom prst="rect">
                      <a:avLst/>
                    </a:prstGeom>
                    <a:noFill/>
                    <a:ln>
                      <a:noFill/>
                    </a:ln>
                  </pic:spPr>
                </pic:pic>
              </a:graphicData>
            </a:graphic>
          </wp:inline>
        </w:drawing>
      </w:r>
    </w:p>
    <w:p w14:paraId="126F778D"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Times New Roman" w:hAnsi="Cambria" w:cs="Times New Roman"/>
          <w:i/>
          <w:sz w:val="20"/>
          <w:szCs w:val="20"/>
          <w:lang w:val="sq-AL"/>
        </w:rPr>
      </w:pPr>
      <w:r w:rsidRPr="00E24ECC">
        <w:rPr>
          <w:rFonts w:ascii="Cambria" w:eastAsia="Times New Roman" w:hAnsi="Cambria" w:cs="Times New Roman"/>
          <w:i/>
          <w:sz w:val="20"/>
          <w:szCs w:val="20"/>
          <w:lang w:val="sq-AL"/>
        </w:rPr>
        <w:t>Burimi: Banka e Shqipërisë, Maj 2025</w:t>
      </w:r>
    </w:p>
    <w:p w14:paraId="594A1A0A"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Times New Roman" w:hAnsi="Cambria" w:cs="Times New Roman"/>
          <w:i/>
          <w:sz w:val="20"/>
          <w:szCs w:val="20"/>
          <w:lang w:val="sq-AL"/>
        </w:rPr>
      </w:pPr>
    </w:p>
    <w:p w14:paraId="0AD5C5DB"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Times New Roman" w:hAnsi="Cambria" w:cs="Times New Roman"/>
          <w:b/>
          <w:sz w:val="24"/>
          <w:szCs w:val="24"/>
          <w:lang w:val="sq-AL"/>
        </w:rPr>
      </w:pPr>
      <w:r w:rsidRPr="00E24ECC">
        <w:rPr>
          <w:rFonts w:ascii="Cambria" w:eastAsia="Times New Roman" w:hAnsi="Cambria" w:cs="Times New Roman"/>
          <w:sz w:val="24"/>
          <w:szCs w:val="24"/>
          <w:lang w:val="sq-AL"/>
        </w:rPr>
        <w:t xml:space="preserve">Sa i takon ecurisë së normave të interesit vihet re: </w:t>
      </w:r>
      <w:r w:rsidRPr="00E24ECC">
        <w:rPr>
          <w:rFonts w:ascii="Cambria" w:eastAsia="Times New Roman" w:hAnsi="Cambria" w:cs="Times New Roman"/>
          <w:sz w:val="24"/>
          <w:szCs w:val="24"/>
          <w:lang w:val="sq-AL"/>
        </w:rPr>
        <w:tab/>
      </w:r>
    </w:p>
    <w:p w14:paraId="46141C54"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t>Depozitat në Lek -</w:t>
      </w:r>
      <w:r w:rsidRPr="00E24ECC">
        <w:rPr>
          <w:rFonts w:ascii="Cambria" w:hAnsi="Cambria"/>
          <w:noProof/>
          <w:sz w:val="24"/>
          <w:szCs w:val="24"/>
          <w:lang w:val="sq-AL"/>
        </w:rPr>
        <w:t xml:space="preserve"> Norma mesatare e interesit për totalin e depozitave me afat (sasitë e reja) në muajin prill 2025 shënoi 1.79%, duke u ulur me 0.50 p.p krahasuar me të njëjtin muaj të vitit të kaluar dhe 0.10 p.p më shumë krahasuar me muajin paraardhës. Ndërkohë, interesi mesatar për Individët shënoi 1.57%, ose 0.47 p.p më pak krahasuar me një vit më parë, ndërsa norma mesatare për Korporatat jo-financiare (bizneset) shënoi 2.76%, 0.61 p.p më pak krahasuar me muajin prill 2024.</w:t>
      </w:r>
    </w:p>
    <w:p w14:paraId="0C8F9E15"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Për periudhën janar-prill 2025, norma mesatare e interesit për depozitat në lekë rezultoi 1.80%, nga mesatarisht 2.09% në të njëjtën periudhë të një viti më parë, duke u ulur me 0.29 p.p.</w:t>
      </w:r>
    </w:p>
    <w:p w14:paraId="7CB03DC1"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t>Depozitat në Euro</w:t>
      </w:r>
      <w:r w:rsidRPr="00E24ECC">
        <w:rPr>
          <w:rFonts w:ascii="Cambria" w:hAnsi="Cambria"/>
          <w:b/>
          <w:bCs/>
          <w:i/>
          <w:iCs/>
          <w:noProof/>
          <w:sz w:val="24"/>
          <w:szCs w:val="24"/>
          <w:lang w:val="sq-AL"/>
        </w:rPr>
        <w:t xml:space="preserve"> - </w:t>
      </w:r>
      <w:r w:rsidRPr="00E24ECC">
        <w:rPr>
          <w:rFonts w:ascii="Cambria" w:hAnsi="Cambria"/>
          <w:noProof/>
          <w:sz w:val="24"/>
          <w:szCs w:val="24"/>
          <w:lang w:val="sq-AL"/>
        </w:rPr>
        <w:t>Në muajin prill 2025, norma mesatare e interesit shënoi normën 1.10%, duke u ulur me 0.30 p.p krahasuar me një vit më parë dhe 0.09 p.p më shumë krahasuar me një muaj më parë. Ndërkohë, norma e interesit për Individë shënoi 1.14%, duke u ulur me 0.09 p.p krahasuar me një vit më parë, ndërsa për Korporata jo-financiare shënoi 0.90%, 1.02 p.p më pak krahasuar me muajin prill 2024.</w:t>
      </w:r>
    </w:p>
    <w:p w14:paraId="103E02D0"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Për periudhën janar-prill 2025, norma mesatare e interesit për depozitat në euro rezultoi 1.15%, nga mesatarisht 1.27% në të njëjtën periudhë të një viti më parë, duke u ulur me 0.12 p.p.</w:t>
      </w:r>
    </w:p>
    <w:p w14:paraId="35FE960B"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t>Depozitat në Dollarë</w:t>
      </w:r>
      <w:r w:rsidRPr="00E24ECC">
        <w:rPr>
          <w:rFonts w:ascii="Cambria" w:hAnsi="Cambria"/>
          <w:b/>
          <w:bCs/>
          <w:i/>
          <w:iCs/>
          <w:noProof/>
          <w:sz w:val="24"/>
          <w:szCs w:val="24"/>
          <w:lang w:val="sq-AL"/>
        </w:rPr>
        <w:t xml:space="preserve"> – </w:t>
      </w:r>
      <w:r w:rsidRPr="00E24ECC">
        <w:rPr>
          <w:rFonts w:ascii="Cambria" w:hAnsi="Cambria"/>
          <w:noProof/>
          <w:sz w:val="24"/>
          <w:szCs w:val="24"/>
          <w:lang w:val="sq-AL"/>
        </w:rPr>
        <w:t>Norma mesatare e interesit shënoi normën 1.75%, ose 0.64 p.p. më shumë krahasuar me një vit më parë dhe 0.39 p.p më shumë krahasuar me një muaj më parë. Ndërkohë, norma e interesit për Individë shënoi 1.69%, duke u rritur me 0.66 p.p krahasuar me një vit më parë, ndërsa për Korporata jo-financiare shënoi 1.95%, duke u ulur me 0.27 p.p krahasuar me një vit më parë.</w:t>
      </w:r>
    </w:p>
    <w:p w14:paraId="02CEEB7B"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Për periudhën janar-prill 2025, norma mesatare e interesit për depozitat në dollarë rezultoi 1.61%, nga mesatarisht 1.33% në të njëjtën periudhë të një viti më parë, duke u rritur me 0.28 p.p.</w:t>
      </w:r>
    </w:p>
    <w:p w14:paraId="572C8C19"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lastRenderedPageBreak/>
        <w:t>Kreditë në Lek</w:t>
      </w:r>
      <w:r w:rsidRPr="00E24ECC">
        <w:rPr>
          <w:rFonts w:ascii="Cambria" w:hAnsi="Cambria"/>
          <w:noProof/>
          <w:sz w:val="24"/>
          <w:szCs w:val="24"/>
          <w:lang w:val="sq-AL"/>
        </w:rPr>
        <w:t xml:space="preserve"> - </w:t>
      </w:r>
      <w:bookmarkStart w:id="16" w:name="_Hlk150760719"/>
      <w:r w:rsidRPr="00E24ECC">
        <w:rPr>
          <w:rFonts w:ascii="Cambria" w:hAnsi="Cambria"/>
          <w:noProof/>
          <w:sz w:val="24"/>
          <w:szCs w:val="24"/>
          <w:lang w:val="sq-AL"/>
        </w:rPr>
        <w:t>Norma mesatare e interesit për totalin e kredive (sasitë e reja) në muajin prill 2025 shënoi normën 6.49%, ose 0.25 p.p më pak se i njëjti muaj në vitin e kaluar dhe 0.48 p.p më shumë krahasuar me muajin paraardhës.</w:t>
      </w:r>
    </w:p>
    <w:p w14:paraId="630780AF"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Interesi mesatar i kredive për Individë ka shënuar 6.29%, ose 0.58 p.p më pak se e njëjta periudhë e vitit të kaluar dhe duke u rritur me 0.29 p.p krahasuar me muajin paraardhës. Interesi mesatar i kredive për blerje banesash dhe i kredive konsumatore kanë arritur përkatësisht nivelin 3.82% dhe 8.83%. Ndërsa, interesi mesatar i kredive për bizneset rezultoi 6.90% në muajin prill 2025, duke u rritur me 0.36 p.p krahasuar me të njëjtin muaj të vitit të kaluar dhe 0.88 p.p më shumë krahasuar me muajin paraardhës.</w:t>
      </w:r>
    </w:p>
    <w:p w14:paraId="31E0B61B"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Për periudhën janar-prill 2025, norma mesatare e interesit për kreditë në lekë rezultoi 6.17%, nga mesatarisht 6.62% në të njëjtën periudhë të një viti më parë, duke u ulur me 0.45 p.p.</w:t>
      </w:r>
    </w:p>
    <w:p w14:paraId="14B6FF4E"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t>Kreditë në Euro</w:t>
      </w:r>
      <w:r w:rsidRPr="00E24ECC">
        <w:rPr>
          <w:rFonts w:ascii="Cambria" w:hAnsi="Cambria"/>
          <w:b/>
          <w:bCs/>
          <w:i/>
          <w:iCs/>
          <w:noProof/>
          <w:sz w:val="24"/>
          <w:szCs w:val="24"/>
          <w:lang w:val="sq-AL"/>
        </w:rPr>
        <w:t xml:space="preserve"> </w:t>
      </w:r>
      <w:r w:rsidRPr="00E24ECC">
        <w:rPr>
          <w:rFonts w:ascii="Cambria" w:hAnsi="Cambria"/>
          <w:noProof/>
          <w:sz w:val="24"/>
          <w:szCs w:val="24"/>
          <w:lang w:val="sq-AL"/>
        </w:rPr>
        <w:t xml:space="preserve">- </w:t>
      </w:r>
      <w:bookmarkEnd w:id="16"/>
      <w:r w:rsidRPr="00E24ECC">
        <w:rPr>
          <w:rFonts w:ascii="Cambria" w:hAnsi="Cambria"/>
          <w:noProof/>
          <w:sz w:val="24"/>
          <w:szCs w:val="24"/>
          <w:lang w:val="sq-AL"/>
        </w:rPr>
        <w:t>Norma mesatare e interesit për totalin e kredive (sasitë e reja) në muajin prill 2025 shënoi normën 6.08%, ose 0.66 p.p më pak se i njëjti muaj vitin e kaluar dhe 0.27 p.p më shumë krahasuar me një muaj më parë. Interesi mesatar i kredive për Individë ka shënuar 6.28%, ose 0.42 p.p më shumë se e njëjta periudhë e vitit të kaluar. Interesi mesatar i kredive për blerje banesash ka arritur në 6.31%, ndërsa niveli i kredive konsumatore ka arritur 6.11%. Ndërkohë, interesi mesatar i kredive për bizneset rezultoi 5.97% në muajin prill, duke u ulur me 0.97 p.p krahasuar me muajin prill 2024.</w:t>
      </w:r>
    </w:p>
    <w:p w14:paraId="4B6D107A"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noProof/>
          <w:sz w:val="24"/>
          <w:szCs w:val="24"/>
          <w:lang w:val="sq-AL"/>
        </w:rPr>
        <w:t>Për periudhën janar-prill 2025, norma mesatare e interesit për kreditë në euro rezultoi 5.65%, nga mesatarisht 6.57% në të njëjtën periudhë të një viti më parë, duke u ulur me 0.92 p.p.</w:t>
      </w:r>
    </w:p>
    <w:p w14:paraId="321DFA8D" w14:textId="77777777" w:rsidR="000F4CF3" w:rsidRPr="00E24ECC" w:rsidRDefault="000F4CF3" w:rsidP="000F4CF3">
      <w:pPr>
        <w:shd w:val="clear" w:color="auto" w:fill="FFFFFF" w:themeFill="background1"/>
        <w:spacing w:before="120" w:after="120" w:line="276" w:lineRule="auto"/>
        <w:jc w:val="both"/>
        <w:rPr>
          <w:rFonts w:ascii="Cambria" w:hAnsi="Cambria"/>
          <w:noProof/>
          <w:sz w:val="24"/>
          <w:szCs w:val="24"/>
          <w:lang w:val="sq-AL"/>
        </w:rPr>
      </w:pPr>
      <w:r w:rsidRPr="00E24ECC">
        <w:rPr>
          <w:rFonts w:ascii="Cambria" w:hAnsi="Cambria"/>
          <w:i/>
          <w:iCs/>
          <w:noProof/>
          <w:sz w:val="24"/>
          <w:szCs w:val="24"/>
          <w:lang w:val="sq-AL"/>
        </w:rPr>
        <w:t>Kreditë në Dollarë</w:t>
      </w:r>
      <w:r w:rsidRPr="00E24ECC">
        <w:rPr>
          <w:rFonts w:ascii="Cambria" w:hAnsi="Cambria"/>
          <w:noProof/>
          <w:sz w:val="24"/>
          <w:szCs w:val="24"/>
          <w:lang w:val="sq-AL"/>
        </w:rPr>
        <w:t xml:space="preserve"> - Norma mesatare e interesit për totalin e kredive (sasitë e reja) në muajin prill 2025 shënoi normën 5.00%, ose 0.09 p.p më pak se i njëjti muaj vitin e kaluar dhe 0.50 p.p më pak krahasuar me muajin paraardhës.</w:t>
      </w:r>
    </w:p>
    <w:p w14:paraId="4321D215"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Times New Roman" w:hAnsi="Cambria" w:cs="Times New Roman"/>
          <w:sz w:val="24"/>
          <w:szCs w:val="24"/>
          <w:lang w:val="sq-AL"/>
        </w:rPr>
      </w:pPr>
      <w:r w:rsidRPr="00E24ECC">
        <w:rPr>
          <w:rFonts w:ascii="Cambria" w:eastAsia="Times New Roman" w:hAnsi="Cambria" w:cs="Times New Roman"/>
          <w:sz w:val="24"/>
          <w:szCs w:val="24"/>
          <w:lang w:val="sq-AL"/>
        </w:rPr>
        <w:t xml:space="preserve">Gjatë muajit maj të vitit 2025, kursi mesatar i këmbimit të lekut kundrejt euros arriti 98.2 lekë/euro, duke pësuar rënie në vlerë me 2.3% krahasuar me një vit më parë. </w:t>
      </w:r>
    </w:p>
    <w:p w14:paraId="038547D3" w14:textId="77777777" w:rsidR="000F4CF3" w:rsidRPr="00E24ECC" w:rsidRDefault="000F4CF3" w:rsidP="000F4CF3">
      <w:pPr>
        <w:shd w:val="clear" w:color="auto" w:fill="FFFFFF" w:themeFill="background1"/>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E24ECC">
        <w:rPr>
          <w:rFonts w:ascii="Cambria" w:eastAsia="Times New Roman" w:hAnsi="Cambria" w:cs="Times New Roman"/>
          <w:sz w:val="24"/>
          <w:szCs w:val="24"/>
          <w:lang w:val="sq-AL"/>
        </w:rPr>
        <w:t>Kursi mesatar i këmbimit të lekut kundrejt dollarit amerikan për muajin maj të vitit 2025 arriti në 87.0 lekë/dollar amerikan, duke pësuar rë</w:t>
      </w:r>
      <w:r w:rsidRPr="00E24ECC">
        <w:rPr>
          <w:rFonts w:ascii="Cambria" w:eastAsia="Times New Roman" w:hAnsi="Cambria" w:cs="Times New Roman"/>
          <w:sz w:val="24"/>
          <w:szCs w:val="24"/>
          <w:lang w:val="sq-AL" w:eastAsia="ja-JP"/>
        </w:rPr>
        <w:t>nie</w:t>
      </w:r>
      <w:r w:rsidRPr="00E24ECC">
        <w:rPr>
          <w:rFonts w:ascii="Cambria" w:eastAsia="Times New Roman" w:hAnsi="Cambria" w:cs="Times New Roman"/>
          <w:sz w:val="24"/>
          <w:szCs w:val="24"/>
          <w:lang w:val="sq-AL"/>
        </w:rPr>
        <w:t xml:space="preserve"> me 6.5% krahasuar me një vit më parë.</w:t>
      </w:r>
    </w:p>
    <w:p w14:paraId="2B21151D" w14:textId="67C7284D" w:rsidR="000F4CF3" w:rsidRPr="00E24ECC" w:rsidRDefault="000F4CF3" w:rsidP="000F4CF3">
      <w:pPr>
        <w:pStyle w:val="Caption"/>
        <w:keepNext/>
        <w:shd w:val="clear" w:color="auto" w:fill="FFFFFF" w:themeFill="background1"/>
        <w:spacing w:after="0"/>
        <w:jc w:val="both"/>
        <w:rPr>
          <w:rFonts w:ascii="Times New Roman" w:hAnsi="Times New Roman" w:cs="Times New Roman"/>
          <w:color w:val="auto"/>
          <w:sz w:val="24"/>
          <w:szCs w:val="24"/>
          <w:lang w:val="sq-AL"/>
        </w:rPr>
      </w:pPr>
      <w:r w:rsidRPr="00E24ECC">
        <w:rPr>
          <w:rFonts w:ascii="Times New Roman" w:hAnsi="Times New Roman" w:cs="Times New Roman"/>
          <w:color w:val="auto"/>
          <w:sz w:val="24"/>
          <w:szCs w:val="24"/>
          <w:lang w:val="sq-AL"/>
        </w:rPr>
        <w:t xml:space="preserve">Tabela </w:t>
      </w:r>
      <w:r w:rsidRPr="00E24ECC">
        <w:rPr>
          <w:rFonts w:ascii="Times New Roman" w:hAnsi="Times New Roman" w:cs="Times New Roman"/>
          <w:color w:val="auto"/>
          <w:sz w:val="24"/>
          <w:szCs w:val="24"/>
          <w:lang w:val="sq-AL"/>
        </w:rPr>
        <w:fldChar w:fldCharType="begin"/>
      </w:r>
      <w:r w:rsidRPr="00E24ECC">
        <w:rPr>
          <w:rFonts w:ascii="Times New Roman" w:hAnsi="Times New Roman" w:cs="Times New Roman"/>
          <w:color w:val="auto"/>
          <w:sz w:val="24"/>
          <w:szCs w:val="24"/>
          <w:lang w:val="sq-AL"/>
        </w:rPr>
        <w:instrText xml:space="preserve"> SEQ Tabela \* ARABIC </w:instrText>
      </w:r>
      <w:r w:rsidRPr="00E24ECC">
        <w:rPr>
          <w:rFonts w:ascii="Times New Roman" w:hAnsi="Times New Roman" w:cs="Times New Roman"/>
          <w:color w:val="auto"/>
          <w:sz w:val="24"/>
          <w:szCs w:val="24"/>
          <w:lang w:val="sq-AL"/>
        </w:rPr>
        <w:fldChar w:fldCharType="separate"/>
      </w:r>
      <w:r w:rsidR="009113BE">
        <w:rPr>
          <w:rFonts w:ascii="Times New Roman" w:hAnsi="Times New Roman" w:cs="Times New Roman"/>
          <w:noProof/>
          <w:color w:val="auto"/>
          <w:sz w:val="24"/>
          <w:szCs w:val="24"/>
          <w:lang w:val="sq-AL"/>
        </w:rPr>
        <w:t>6</w:t>
      </w:r>
      <w:r w:rsidRPr="00E24ECC">
        <w:rPr>
          <w:rFonts w:ascii="Times New Roman" w:hAnsi="Times New Roman" w:cs="Times New Roman"/>
          <w:color w:val="auto"/>
          <w:sz w:val="24"/>
          <w:szCs w:val="24"/>
          <w:lang w:val="sq-AL"/>
        </w:rPr>
        <w:fldChar w:fldCharType="end"/>
      </w:r>
      <w:r w:rsidRPr="00E24ECC">
        <w:rPr>
          <w:rFonts w:ascii="Times New Roman" w:eastAsia="Times New Roman" w:hAnsi="Times New Roman" w:cs="Times New Roman"/>
          <w:b w:val="0"/>
          <w:color w:val="auto"/>
          <w:sz w:val="24"/>
          <w:szCs w:val="24"/>
          <w:lang w:val="sq-AL"/>
        </w:rPr>
        <w:t>:</w:t>
      </w:r>
      <w:r w:rsidRPr="00E24ECC">
        <w:rPr>
          <w:rFonts w:ascii="Times New Roman" w:eastAsia="Times New Roman" w:hAnsi="Times New Roman" w:cs="Times New Roman"/>
          <w:color w:val="auto"/>
          <w:sz w:val="24"/>
          <w:szCs w:val="24"/>
          <w:lang w:val="sq-AL"/>
        </w:rPr>
        <w:t xml:space="preserve"> Ecuria e kursit të këmbimit 2016- Maj 2025</w:t>
      </w:r>
    </w:p>
    <w:p w14:paraId="2F33BA80"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E24ECC">
        <w:rPr>
          <w:noProof/>
          <w:lang w:val="sq-AL"/>
        </w:rPr>
        <w:drawing>
          <wp:inline distT="0" distB="0" distL="0" distR="0" wp14:anchorId="62D6D792" wp14:editId="6718E490">
            <wp:extent cx="5943600" cy="733425"/>
            <wp:effectExtent l="0" t="0" r="0" b="9525"/>
            <wp:docPr id="1026875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33425"/>
                    </a:xfrm>
                    <a:prstGeom prst="rect">
                      <a:avLst/>
                    </a:prstGeom>
                    <a:noFill/>
                    <a:ln>
                      <a:noFill/>
                    </a:ln>
                  </pic:spPr>
                </pic:pic>
              </a:graphicData>
            </a:graphic>
          </wp:inline>
        </w:drawing>
      </w:r>
    </w:p>
    <w:p w14:paraId="6E86867B" w14:textId="77777777" w:rsidR="000F4CF3" w:rsidRPr="00E24ECC" w:rsidRDefault="000F4CF3" w:rsidP="000F4CF3">
      <w:pPr>
        <w:shd w:val="clear" w:color="auto" w:fill="FFFFFF" w:themeFill="background1"/>
        <w:autoSpaceDE w:val="0"/>
        <w:autoSpaceDN w:val="0"/>
        <w:adjustRightInd w:val="0"/>
        <w:spacing w:before="100" w:beforeAutospacing="1" w:after="100" w:afterAutospacing="1" w:line="276" w:lineRule="auto"/>
        <w:contextualSpacing/>
        <w:jc w:val="both"/>
        <w:rPr>
          <w:rFonts w:ascii="Cambria" w:eastAsia="Times New Roman" w:hAnsi="Cambria" w:cs="Times New Roman"/>
          <w:i/>
          <w:sz w:val="20"/>
          <w:szCs w:val="20"/>
          <w:lang w:val="sq-AL"/>
        </w:rPr>
      </w:pPr>
      <w:r w:rsidRPr="00E24ECC">
        <w:rPr>
          <w:rFonts w:ascii="Cambria" w:eastAsia="Times New Roman" w:hAnsi="Cambria" w:cs="Times New Roman"/>
          <w:i/>
          <w:sz w:val="20"/>
          <w:szCs w:val="20"/>
          <w:lang w:val="sq-AL"/>
        </w:rPr>
        <w:t>Burimi: Banka e Shqipërisë, Qershor 2025</w:t>
      </w:r>
    </w:p>
    <w:p w14:paraId="39E20F8D" w14:textId="77777777" w:rsidR="000F4CF3" w:rsidRPr="00E24ECC" w:rsidRDefault="000F4CF3" w:rsidP="000F4CF3">
      <w:pPr>
        <w:shd w:val="clear" w:color="auto" w:fill="FFFFFF" w:themeFill="background1"/>
        <w:autoSpaceDE w:val="0"/>
        <w:autoSpaceDN w:val="0"/>
        <w:adjustRightInd w:val="0"/>
        <w:spacing w:before="100" w:beforeAutospacing="1" w:after="100" w:afterAutospacing="1" w:line="276" w:lineRule="auto"/>
        <w:contextualSpacing/>
        <w:jc w:val="both"/>
        <w:rPr>
          <w:rFonts w:ascii="Cambria" w:eastAsia="Times New Roman" w:hAnsi="Cambria" w:cs="Times New Roman"/>
          <w:i/>
          <w:sz w:val="24"/>
          <w:szCs w:val="24"/>
          <w:lang w:val="sq-AL"/>
        </w:rPr>
      </w:pPr>
    </w:p>
    <w:p w14:paraId="307B593C" w14:textId="77777777" w:rsidR="000F4CF3" w:rsidRPr="00E24ECC" w:rsidRDefault="000F4CF3" w:rsidP="000F4CF3">
      <w:pPr>
        <w:shd w:val="clear" w:color="auto" w:fill="FFFFFF" w:themeFill="background1"/>
        <w:autoSpaceDE w:val="0"/>
        <w:autoSpaceDN w:val="0"/>
        <w:adjustRightInd w:val="0"/>
        <w:spacing w:beforeAutospacing="1" w:after="100" w:afterAutospacing="1" w:line="276" w:lineRule="auto"/>
        <w:jc w:val="both"/>
        <w:rPr>
          <w:rFonts w:ascii="Cambria" w:eastAsia="Calibri" w:hAnsi="Cambria" w:cs="Calibri"/>
          <w:b/>
          <w:bCs/>
          <w:color w:val="1F4E79" w:themeColor="accent1" w:themeShade="80"/>
          <w:sz w:val="24"/>
          <w:szCs w:val="24"/>
          <w:lang w:val="sq-AL"/>
        </w:rPr>
      </w:pPr>
      <w:r w:rsidRPr="00E24ECC">
        <w:rPr>
          <w:rFonts w:ascii="Cambria" w:eastAsia="Calibri" w:hAnsi="Cambria" w:cs="Calibri"/>
          <w:bCs/>
          <w:color w:val="1F4E79" w:themeColor="accent1" w:themeShade="80"/>
          <w:sz w:val="24"/>
          <w:szCs w:val="24"/>
          <w:lang w:val="sq-AL"/>
        </w:rPr>
        <w:lastRenderedPageBreak/>
        <w:t xml:space="preserve">Sektori i jashtëm </w:t>
      </w:r>
    </w:p>
    <w:bookmarkEnd w:id="15"/>
    <w:p w14:paraId="071B1171" w14:textId="77777777" w:rsidR="000F4CF3" w:rsidRPr="00E24ECC" w:rsidRDefault="000F4CF3" w:rsidP="000F4CF3">
      <w:pPr>
        <w:shd w:val="clear" w:color="auto" w:fill="FFFFFF" w:themeFill="background1"/>
        <w:spacing w:before="120" w:line="276" w:lineRule="auto"/>
        <w:jc w:val="both"/>
        <w:rPr>
          <w:rFonts w:ascii="Cambria" w:hAnsi="Cambria"/>
          <w:noProof/>
          <w:sz w:val="24"/>
          <w:szCs w:val="24"/>
          <w:lang w:val="sq-AL"/>
        </w:rPr>
      </w:pPr>
      <w:r w:rsidRPr="00E24ECC">
        <w:rPr>
          <w:rFonts w:ascii="Cambria" w:eastAsia="Calibri" w:hAnsi="Cambria" w:cs="Calibri"/>
          <w:sz w:val="24"/>
          <w:szCs w:val="24"/>
          <w:lang w:val="sq-AL"/>
        </w:rPr>
        <w:t>Referuar statistikave të tregtisë së jashtme nga INSTAT, e</w:t>
      </w:r>
      <w:r w:rsidRPr="00E24ECC">
        <w:rPr>
          <w:rFonts w:ascii="Cambria" w:hAnsi="Cambria"/>
          <w:noProof/>
          <w:sz w:val="24"/>
          <w:szCs w:val="24"/>
          <w:lang w:val="sq-AL"/>
        </w:rPr>
        <w:t xml:space="preserve">ksportet e mallrave për periudhёn janar - prill 2025 shënuan </w:t>
      </w:r>
      <w:r w:rsidRPr="00E24ECC">
        <w:rPr>
          <w:rFonts w:ascii="Cambria" w:hAnsi="Cambria"/>
          <w:sz w:val="24"/>
          <w:szCs w:val="24"/>
          <w:lang w:val="sq-AL"/>
        </w:rPr>
        <w:t>rritje vjetore prej 2.3</w:t>
      </w:r>
      <w:r w:rsidRPr="00E24ECC">
        <w:rPr>
          <w:rFonts w:ascii="Cambria" w:hAnsi="Cambria"/>
          <w:noProof/>
          <w:sz w:val="24"/>
          <w:szCs w:val="24"/>
          <w:lang w:val="sq-AL"/>
        </w:rPr>
        <w:t xml:space="preserve">%, ndёrsa vetёm pёr muajin prill 2025 eksportet shёnuan </w:t>
      </w:r>
      <w:r w:rsidRPr="00E24ECC">
        <w:rPr>
          <w:rFonts w:ascii="Cambria" w:hAnsi="Cambria"/>
          <w:sz w:val="24"/>
          <w:szCs w:val="24"/>
          <w:lang w:val="sq-AL"/>
        </w:rPr>
        <w:t>rënie</w:t>
      </w:r>
      <w:r w:rsidRPr="00E24ECC">
        <w:rPr>
          <w:rFonts w:ascii="Cambria" w:hAnsi="Cambria"/>
          <w:noProof/>
          <w:sz w:val="24"/>
          <w:szCs w:val="24"/>
          <w:lang w:val="sq-AL"/>
        </w:rPr>
        <w:t xml:space="preserve"> vjetore prej 4.1%.</w:t>
      </w:r>
    </w:p>
    <w:p w14:paraId="3478C9D5"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hAnsi="Cambria" w:cs="Times New Roman"/>
          <w:sz w:val="24"/>
          <w:szCs w:val="24"/>
          <w:lang w:val="sq-AL"/>
        </w:rPr>
      </w:pPr>
      <w:r w:rsidRPr="00E24ECC">
        <w:rPr>
          <w:rFonts w:ascii="Cambria" w:hAnsi="Cambria" w:cs="Times New Roman"/>
          <w:sz w:val="24"/>
          <w:szCs w:val="24"/>
          <w:lang w:val="sq-AL"/>
        </w:rPr>
        <w:t>Në muajin Prill 2025, eksportet e mallrave arritën vlerën 33.15 mld lekë, duke rënë me 4.1%, në krahasim me të njëjtën periudhë të një viti më parë dhe duke rënë me 5.0% në krahasim me mars 2025.</w:t>
      </w:r>
    </w:p>
    <w:p w14:paraId="18E3C98C" w14:textId="77777777" w:rsidR="000F4CF3" w:rsidRPr="00E24ECC" w:rsidRDefault="000F4CF3" w:rsidP="000F4CF3">
      <w:pPr>
        <w:pStyle w:val="Default"/>
        <w:shd w:val="clear" w:color="auto" w:fill="FFFFFF" w:themeFill="background1"/>
        <w:spacing w:line="276" w:lineRule="auto"/>
        <w:jc w:val="both"/>
        <w:rPr>
          <w:rFonts w:ascii="Times New Roman" w:hAnsi="Times New Roman" w:cs="Times New Roman"/>
          <w:lang w:val="sq-AL"/>
        </w:rPr>
      </w:pPr>
      <w:r w:rsidRPr="00E24ECC">
        <w:rPr>
          <w:rFonts w:ascii="Cambria" w:hAnsi="Cambria" w:cs="Times New Roman"/>
          <w:lang w:val="sq-AL"/>
        </w:rPr>
        <w:t xml:space="preserve">Për periudhën janar - prill 2025 eksportet e mallrave arritën vlerën 132.8 mld lekë, duke u rritur me 2.3%, krahasuar me një vit më parë.  </w:t>
      </w:r>
      <w:r w:rsidRPr="00E24ECC">
        <w:rPr>
          <w:rFonts w:ascii="Times New Roman" w:hAnsi="Times New Roman" w:cs="Times New Roman"/>
          <w:lang w:val="sq-AL"/>
        </w:rPr>
        <w:t xml:space="preserve">Rënia vjetore e eksporteve prej </w:t>
      </w:r>
      <w:r w:rsidRPr="00E24ECC">
        <w:rPr>
          <w:rFonts w:ascii="Times New Roman" w:hAnsi="Times New Roman" w:cs="Times New Roman"/>
          <w:bCs/>
          <w:lang w:val="sq-AL"/>
        </w:rPr>
        <w:t>4.1%</w:t>
      </w:r>
      <w:r w:rsidRPr="00E24ECC">
        <w:rPr>
          <w:rFonts w:ascii="Times New Roman" w:hAnsi="Times New Roman" w:cs="Times New Roman"/>
          <w:lang w:val="sq-AL"/>
        </w:rPr>
        <w:t xml:space="preserve">, këtë muaj është ndikuar nga grupi: “materiale ndërtimi dhe metale” me kontribut negativ prej </w:t>
      </w:r>
      <w:r w:rsidRPr="00E24ECC">
        <w:rPr>
          <w:rFonts w:ascii="Times New Roman" w:hAnsi="Times New Roman" w:cs="Times New Roman"/>
          <w:bCs/>
          <w:lang w:val="sq-AL"/>
        </w:rPr>
        <w:t>6.1</w:t>
      </w:r>
      <w:r w:rsidRPr="00E24ECC">
        <w:rPr>
          <w:rFonts w:ascii="Times New Roman" w:hAnsi="Times New Roman" w:cs="Times New Roman"/>
          <w:lang w:val="sq-AL"/>
        </w:rPr>
        <w:t xml:space="preserve"> pikë përqindje dhe me një rënie vjetore prej </w:t>
      </w:r>
      <w:r w:rsidRPr="00E24ECC">
        <w:rPr>
          <w:rFonts w:ascii="Times New Roman" w:hAnsi="Times New Roman" w:cs="Times New Roman"/>
          <w:bCs/>
          <w:lang w:val="sq-AL"/>
        </w:rPr>
        <w:t>34.5%</w:t>
      </w:r>
      <w:r w:rsidRPr="00E24ECC">
        <w:rPr>
          <w:rFonts w:ascii="Times New Roman" w:hAnsi="Times New Roman" w:cs="Times New Roman"/>
          <w:lang w:val="sq-AL"/>
        </w:rPr>
        <w:t xml:space="preserve">. </w:t>
      </w:r>
    </w:p>
    <w:p w14:paraId="75B7B92D"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hAnsi="Cambria" w:cs="Times New Roman"/>
          <w:sz w:val="24"/>
          <w:szCs w:val="24"/>
          <w:lang w:val="sq-AL"/>
        </w:rPr>
      </w:pPr>
      <w:r w:rsidRPr="00E24ECC">
        <w:rPr>
          <w:rFonts w:ascii="Cambria" w:hAnsi="Cambria" w:cs="Times New Roman"/>
          <w:sz w:val="24"/>
          <w:szCs w:val="24"/>
          <w:lang w:val="sq-AL"/>
        </w:rPr>
        <w:t>Për periudhën Janar-Prill 2025, eksportet patën rritje vjetore në terma të peshës me 2.4%, ku kontributin pozitiv më të lartë e ka zëri: “Minerale, lëndë djegëse, energji elektrike” me kontribut pozitiv prej +9.7 pikë përqindje dhe me rritje vjetore prej +15.6%.</w:t>
      </w:r>
    </w:p>
    <w:p w14:paraId="2447F1D4"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 xml:space="preserve">Në grafikun e mëposhtëm ilustrohet ecuria mujore e totalit të eksporteve në përqindje, kundrejt të njëjtit muaj të një viti më parë. </w:t>
      </w:r>
    </w:p>
    <w:p w14:paraId="77151CDE" w14:textId="77777777" w:rsidR="000F4CF3" w:rsidRPr="00E24ECC" w:rsidRDefault="000F4CF3" w:rsidP="000F4CF3">
      <w:pPr>
        <w:pStyle w:val="Caption"/>
        <w:shd w:val="clear" w:color="auto" w:fill="FFFFFF" w:themeFill="background1"/>
        <w:rPr>
          <w:rFonts w:ascii="Times New Roman" w:eastAsia="Calibri" w:hAnsi="Times New Roman" w:cs="Times New Roman"/>
          <w:color w:val="auto"/>
          <w:sz w:val="24"/>
          <w:szCs w:val="24"/>
          <w:lang w:val="sq-AL"/>
        </w:rPr>
      </w:pPr>
      <w:r w:rsidRPr="00E24ECC">
        <w:rPr>
          <w:rFonts w:ascii="Times New Roman" w:hAnsi="Times New Roman" w:cs="Times New Roman"/>
          <w:color w:val="auto"/>
          <w:sz w:val="24"/>
          <w:szCs w:val="24"/>
          <w:lang w:val="sq-AL"/>
        </w:rPr>
        <w:t xml:space="preserve">Figura </w:t>
      </w:r>
      <w:r w:rsidRPr="00E24ECC">
        <w:rPr>
          <w:rFonts w:ascii="Times New Roman" w:hAnsi="Times New Roman" w:cs="Times New Roman"/>
          <w:color w:val="auto"/>
          <w:sz w:val="24"/>
          <w:szCs w:val="24"/>
          <w:lang w:val="sq-AL"/>
        </w:rPr>
        <w:fldChar w:fldCharType="begin"/>
      </w:r>
      <w:r w:rsidRPr="00E24ECC">
        <w:rPr>
          <w:rFonts w:ascii="Times New Roman" w:hAnsi="Times New Roman" w:cs="Times New Roman"/>
          <w:color w:val="auto"/>
          <w:sz w:val="24"/>
          <w:szCs w:val="24"/>
          <w:lang w:val="sq-AL"/>
        </w:rPr>
        <w:instrText xml:space="preserve"> SEQ Figura \* ARABIC </w:instrText>
      </w:r>
      <w:r w:rsidRPr="00E24ECC">
        <w:rPr>
          <w:rFonts w:ascii="Times New Roman" w:hAnsi="Times New Roman" w:cs="Times New Roman"/>
          <w:color w:val="auto"/>
          <w:sz w:val="24"/>
          <w:szCs w:val="24"/>
          <w:lang w:val="sq-AL"/>
        </w:rPr>
        <w:fldChar w:fldCharType="separate"/>
      </w:r>
      <w:r w:rsidRPr="00E24ECC">
        <w:rPr>
          <w:rFonts w:ascii="Times New Roman" w:hAnsi="Times New Roman" w:cs="Times New Roman"/>
          <w:noProof/>
          <w:color w:val="auto"/>
          <w:sz w:val="24"/>
          <w:szCs w:val="24"/>
          <w:lang w:val="sq-AL"/>
        </w:rPr>
        <w:t>6</w:t>
      </w:r>
      <w:r w:rsidRPr="00E24ECC">
        <w:rPr>
          <w:rFonts w:ascii="Times New Roman" w:hAnsi="Times New Roman" w:cs="Times New Roman"/>
          <w:color w:val="auto"/>
          <w:sz w:val="24"/>
          <w:szCs w:val="24"/>
          <w:lang w:val="sq-AL"/>
        </w:rPr>
        <w:fldChar w:fldCharType="end"/>
      </w:r>
      <w:r w:rsidRPr="00E24ECC">
        <w:rPr>
          <w:rFonts w:ascii="Times New Roman" w:eastAsia="Calibri" w:hAnsi="Times New Roman" w:cs="Times New Roman"/>
          <w:b w:val="0"/>
          <w:color w:val="auto"/>
          <w:sz w:val="24"/>
          <w:szCs w:val="24"/>
          <w:lang w:val="sq-AL"/>
        </w:rPr>
        <w:t>:</w:t>
      </w:r>
      <w:r w:rsidRPr="00E24ECC">
        <w:rPr>
          <w:rFonts w:ascii="Times New Roman" w:eastAsia="Calibri" w:hAnsi="Times New Roman" w:cs="Times New Roman"/>
          <w:color w:val="auto"/>
          <w:sz w:val="24"/>
          <w:szCs w:val="24"/>
          <w:lang w:val="sq-AL"/>
        </w:rPr>
        <w:t xml:space="preserve"> Rritja mujore e eksporteve (Prill’25/Prill’24), në përqindje.</w:t>
      </w:r>
    </w:p>
    <w:p w14:paraId="00015C1A" w14:textId="77777777" w:rsidR="000F4CF3" w:rsidRPr="00E24ECC" w:rsidRDefault="000F4CF3" w:rsidP="000F4CF3">
      <w:pPr>
        <w:shd w:val="clear" w:color="auto" w:fill="FFFFFF" w:themeFill="background1"/>
        <w:autoSpaceDE w:val="0"/>
        <w:autoSpaceDN w:val="0"/>
        <w:adjustRightInd w:val="0"/>
        <w:spacing w:before="120" w:after="120" w:line="276" w:lineRule="auto"/>
        <w:jc w:val="center"/>
        <w:rPr>
          <w:rFonts w:ascii="Cambria" w:eastAsia="Calibri" w:hAnsi="Cambria" w:cs="Calibri"/>
          <w:sz w:val="24"/>
          <w:szCs w:val="24"/>
          <w:lang w:val="sq-AL"/>
        </w:rPr>
      </w:pPr>
      <w:r w:rsidRPr="00E24ECC">
        <w:rPr>
          <w:noProof/>
          <w:lang w:val="sq-AL"/>
        </w:rPr>
        <w:drawing>
          <wp:inline distT="0" distB="0" distL="0" distR="0" wp14:anchorId="41055110" wp14:editId="0403AA1C">
            <wp:extent cx="4469642" cy="19386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26031" cy="1963113"/>
                    </a:xfrm>
                    <a:prstGeom prst="rect">
                      <a:avLst/>
                    </a:prstGeom>
                    <a:noFill/>
                    <a:ln>
                      <a:noFill/>
                    </a:ln>
                  </pic:spPr>
                </pic:pic>
              </a:graphicData>
            </a:graphic>
          </wp:inline>
        </w:drawing>
      </w:r>
    </w:p>
    <w:p w14:paraId="4F36F0D7"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i/>
          <w:sz w:val="24"/>
          <w:szCs w:val="24"/>
          <w:lang w:val="sq-AL"/>
        </w:rPr>
      </w:pPr>
      <w:r w:rsidRPr="00E24ECC">
        <w:rPr>
          <w:rFonts w:ascii="Cambria" w:eastAsia="Calibri" w:hAnsi="Cambria" w:cs="Calibri"/>
          <w:i/>
          <w:sz w:val="24"/>
          <w:szCs w:val="24"/>
          <w:lang w:val="sq-AL"/>
        </w:rPr>
        <w:t>Burimi: INSTAT, Maj 2025</w:t>
      </w:r>
    </w:p>
    <w:p w14:paraId="09C24612" w14:textId="77777777" w:rsidR="000F4CF3" w:rsidRPr="00E24ECC" w:rsidRDefault="000F4CF3" w:rsidP="000F4CF3">
      <w:pPr>
        <w:shd w:val="clear" w:color="auto" w:fill="FFFFFF" w:themeFill="background1"/>
        <w:spacing w:before="120" w:line="276" w:lineRule="auto"/>
        <w:jc w:val="both"/>
        <w:rPr>
          <w:rFonts w:ascii="Cambria" w:hAnsi="Cambria"/>
          <w:sz w:val="24"/>
          <w:szCs w:val="24"/>
          <w:lang w:val="sq-AL"/>
        </w:rPr>
      </w:pPr>
      <w:r w:rsidRPr="00E24ECC">
        <w:rPr>
          <w:rFonts w:ascii="Cambria" w:hAnsi="Cambria"/>
          <w:noProof/>
          <w:sz w:val="24"/>
          <w:szCs w:val="24"/>
          <w:lang w:val="sq-AL"/>
        </w:rPr>
        <w:t xml:space="preserve">Importet e mallrave për periudhёn janar – prill 2025 shënuan </w:t>
      </w:r>
      <w:r w:rsidRPr="00E24ECC">
        <w:rPr>
          <w:rFonts w:ascii="Cambria" w:hAnsi="Cambria"/>
          <w:sz w:val="24"/>
          <w:szCs w:val="24"/>
          <w:lang w:val="sq-AL"/>
        </w:rPr>
        <w:t xml:space="preserve">rënie vjetore </w:t>
      </w:r>
      <w:r w:rsidRPr="00E24ECC">
        <w:rPr>
          <w:rFonts w:ascii="Cambria" w:hAnsi="Cambria"/>
          <w:noProof/>
          <w:sz w:val="24"/>
          <w:szCs w:val="24"/>
          <w:lang w:val="sq-AL"/>
        </w:rPr>
        <w:t xml:space="preserve">prej 2.5%, ndërsa për muajin prill 2025 importet shënuan </w:t>
      </w:r>
      <w:r w:rsidRPr="00E24ECC">
        <w:rPr>
          <w:rFonts w:ascii="Cambria" w:hAnsi="Cambria"/>
          <w:sz w:val="24"/>
          <w:szCs w:val="24"/>
          <w:lang w:val="sq-AL"/>
        </w:rPr>
        <w:t xml:space="preserve">rritje </w:t>
      </w:r>
      <w:r w:rsidRPr="00E24ECC">
        <w:rPr>
          <w:rFonts w:ascii="Cambria" w:hAnsi="Cambria"/>
          <w:noProof/>
          <w:sz w:val="24"/>
          <w:szCs w:val="24"/>
          <w:lang w:val="sq-AL"/>
        </w:rPr>
        <w:t>vjetore prej +0.5%.</w:t>
      </w:r>
    </w:p>
    <w:p w14:paraId="7D06D955"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hAnsi="Cambria" w:cs="Times New Roman"/>
          <w:sz w:val="24"/>
          <w:szCs w:val="24"/>
          <w:lang w:val="sq-AL"/>
        </w:rPr>
      </w:pPr>
      <w:r w:rsidRPr="00E24ECC">
        <w:rPr>
          <w:rFonts w:ascii="Cambria" w:hAnsi="Cambria" w:cs="Times New Roman"/>
          <w:sz w:val="24"/>
          <w:szCs w:val="24"/>
          <w:lang w:val="sq-AL"/>
        </w:rPr>
        <w:t xml:space="preserve">Në muajin prill 2025 importet e mallrave arritën vlerën 75.66 mld lekë, duke u rritur me 0.5%, në krahasim me një vit më parë dhe me një rritje prej 2.5%, në krahasim me mars 2025. </w:t>
      </w:r>
    </w:p>
    <w:p w14:paraId="0ACC85F2"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Times New Roman" w:hAnsi="Times New Roman" w:cs="Times New Roman"/>
          <w:sz w:val="24"/>
          <w:szCs w:val="24"/>
          <w:lang w:val="sq-AL"/>
        </w:rPr>
      </w:pPr>
      <w:r w:rsidRPr="00E24ECC">
        <w:rPr>
          <w:rFonts w:ascii="Times New Roman" w:hAnsi="Times New Roman" w:cs="Times New Roman"/>
          <w:sz w:val="24"/>
          <w:szCs w:val="24"/>
          <w:lang w:val="sq-AL"/>
        </w:rPr>
        <w:t xml:space="preserve">Për  periudhën janar – prill 2025, importet e mallrave arritën vlerën 277.24 mld lekë, duke rënë me 2.5%, krahasuar me një vit më parë.  Rritja vjetore e importeve prej </w:t>
      </w:r>
      <w:r w:rsidRPr="00E24ECC">
        <w:rPr>
          <w:rFonts w:ascii="Times New Roman" w:hAnsi="Times New Roman" w:cs="Times New Roman"/>
          <w:bCs/>
          <w:sz w:val="24"/>
          <w:szCs w:val="24"/>
          <w:lang w:val="sq-AL"/>
        </w:rPr>
        <w:t>0.5%</w:t>
      </w:r>
      <w:r w:rsidRPr="00E24ECC">
        <w:rPr>
          <w:rFonts w:ascii="Times New Roman" w:hAnsi="Times New Roman" w:cs="Times New Roman"/>
          <w:sz w:val="24"/>
          <w:szCs w:val="24"/>
          <w:lang w:val="sq-AL"/>
        </w:rPr>
        <w:t xml:space="preserve">, këtë muaj është </w:t>
      </w:r>
      <w:r w:rsidRPr="00E24ECC">
        <w:rPr>
          <w:rFonts w:ascii="Times New Roman" w:hAnsi="Times New Roman" w:cs="Times New Roman"/>
          <w:sz w:val="24"/>
          <w:szCs w:val="24"/>
          <w:lang w:val="sq-AL"/>
        </w:rPr>
        <w:lastRenderedPageBreak/>
        <w:t xml:space="preserve">ndikuar kryesisht nga grupi: “Produkte kimike dhe plastike” me kontribut pozitiv prej </w:t>
      </w:r>
      <w:r w:rsidRPr="00E24ECC">
        <w:rPr>
          <w:rFonts w:ascii="Times New Roman" w:hAnsi="Times New Roman" w:cs="Times New Roman"/>
          <w:bCs/>
          <w:sz w:val="24"/>
          <w:szCs w:val="24"/>
          <w:lang w:val="sq-AL"/>
        </w:rPr>
        <w:t>0.5</w:t>
      </w:r>
      <w:r w:rsidRPr="00E24ECC">
        <w:rPr>
          <w:rFonts w:ascii="Times New Roman" w:hAnsi="Times New Roman" w:cs="Times New Roman"/>
          <w:sz w:val="24"/>
          <w:szCs w:val="24"/>
          <w:lang w:val="sq-AL"/>
        </w:rPr>
        <w:t xml:space="preserve"> pikë përqindje dhe rritje vjetore prej </w:t>
      </w:r>
      <w:r w:rsidRPr="00E24ECC">
        <w:rPr>
          <w:rFonts w:ascii="Times New Roman" w:hAnsi="Times New Roman" w:cs="Times New Roman"/>
          <w:bCs/>
          <w:sz w:val="24"/>
          <w:szCs w:val="24"/>
          <w:lang w:val="sq-AL"/>
        </w:rPr>
        <w:t>3.9%.</w:t>
      </w:r>
      <w:r w:rsidRPr="00E24ECC">
        <w:rPr>
          <w:rFonts w:ascii="Times New Roman" w:hAnsi="Times New Roman" w:cs="Times New Roman"/>
          <w:sz w:val="24"/>
          <w:szCs w:val="24"/>
          <w:lang w:val="sq-AL"/>
        </w:rPr>
        <w:t xml:space="preserve">  </w:t>
      </w:r>
    </w:p>
    <w:p w14:paraId="633B5653" w14:textId="77777777" w:rsidR="000F4CF3" w:rsidRPr="00E24ECC" w:rsidRDefault="000F4CF3" w:rsidP="000F4CF3">
      <w:pPr>
        <w:pStyle w:val="Default"/>
        <w:shd w:val="clear" w:color="auto" w:fill="FFFFFF" w:themeFill="background1"/>
        <w:spacing w:line="276" w:lineRule="auto"/>
        <w:jc w:val="both"/>
        <w:rPr>
          <w:rFonts w:ascii="Times New Roman" w:hAnsi="Times New Roman" w:cs="Times New Roman"/>
          <w:bCs/>
          <w:color w:val="auto"/>
          <w:lang w:val="sq-AL"/>
        </w:rPr>
      </w:pPr>
      <w:r w:rsidRPr="00E24ECC">
        <w:rPr>
          <w:rFonts w:ascii="Times New Roman" w:hAnsi="Times New Roman" w:cs="Times New Roman"/>
          <w:lang w:val="sq-AL"/>
        </w:rPr>
        <w:t xml:space="preserve">Për periudhën Janar-Prill 2025, importet patën rritje vjetore në terma të peshës me 1.6%, ku kontributin pozitiv më të lartë e kanë zërat </w:t>
      </w:r>
      <w:r w:rsidRPr="00E24ECC">
        <w:rPr>
          <w:rFonts w:ascii="Times New Roman" w:hAnsi="Times New Roman" w:cs="Times New Roman"/>
          <w:color w:val="auto"/>
          <w:lang w:val="sq-AL"/>
        </w:rPr>
        <w:t>“Minerale, lëndë djegëse, energji elektrike” me kontribut pozitiv prej 2</w:t>
      </w:r>
      <w:r w:rsidRPr="00E24ECC">
        <w:rPr>
          <w:rFonts w:ascii="Times New Roman" w:hAnsi="Times New Roman" w:cs="Times New Roman"/>
          <w:bCs/>
          <w:color w:val="auto"/>
          <w:lang w:val="sq-AL"/>
        </w:rPr>
        <w:t>.8</w:t>
      </w:r>
      <w:r w:rsidRPr="00E24ECC">
        <w:rPr>
          <w:rFonts w:ascii="Times New Roman" w:hAnsi="Times New Roman" w:cs="Times New Roman"/>
          <w:color w:val="auto"/>
          <w:lang w:val="sq-AL"/>
        </w:rPr>
        <w:t xml:space="preserve"> pikë përqindje dhe me një rritje vjetore prej 8</w:t>
      </w:r>
      <w:r w:rsidRPr="00E24ECC">
        <w:rPr>
          <w:rFonts w:ascii="Times New Roman" w:hAnsi="Times New Roman" w:cs="Times New Roman"/>
          <w:bCs/>
          <w:color w:val="auto"/>
          <w:lang w:val="sq-AL"/>
        </w:rPr>
        <w:t>.9%.</w:t>
      </w:r>
    </w:p>
    <w:p w14:paraId="766B9DF1" w14:textId="77777777" w:rsidR="000F4CF3" w:rsidRPr="00E24ECC" w:rsidRDefault="000F4CF3" w:rsidP="000F4CF3">
      <w:pPr>
        <w:pStyle w:val="Default"/>
        <w:shd w:val="clear" w:color="auto" w:fill="FFFFFF" w:themeFill="background1"/>
        <w:spacing w:line="276" w:lineRule="auto"/>
        <w:jc w:val="both"/>
        <w:rPr>
          <w:rFonts w:ascii="Times New Roman" w:hAnsi="Times New Roman" w:cs="Times New Roman"/>
          <w:color w:val="auto"/>
          <w:lang w:val="sq-AL"/>
        </w:rPr>
      </w:pPr>
    </w:p>
    <w:p w14:paraId="1997270E"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r w:rsidRPr="00E24ECC">
        <w:rPr>
          <w:rFonts w:ascii="Cambria" w:eastAsia="Calibri" w:hAnsi="Cambria" w:cs="Calibri"/>
          <w:sz w:val="24"/>
          <w:szCs w:val="24"/>
          <w:lang w:val="sq-AL"/>
        </w:rPr>
        <w:t>Në grafikun e mëposhtëm ilustrohet ecuria mujore e totalit të importeve në përqindje, kundrejt të njëjtit muaj të një viti më parë.</w:t>
      </w:r>
    </w:p>
    <w:p w14:paraId="56C20B57"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p>
    <w:p w14:paraId="6D39FED7"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p>
    <w:p w14:paraId="64F27012"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p>
    <w:p w14:paraId="43C24705" w14:textId="77777777" w:rsidR="000F4CF3" w:rsidRPr="00E24ECC" w:rsidRDefault="000F4CF3" w:rsidP="000F4CF3">
      <w:pPr>
        <w:shd w:val="clear" w:color="auto" w:fill="FFFFFF" w:themeFill="background1"/>
        <w:autoSpaceDE w:val="0"/>
        <w:autoSpaceDN w:val="0"/>
        <w:adjustRightInd w:val="0"/>
        <w:spacing w:before="120" w:after="120" w:line="276" w:lineRule="auto"/>
        <w:jc w:val="both"/>
        <w:rPr>
          <w:rFonts w:ascii="Cambria" w:eastAsia="Calibri" w:hAnsi="Cambria" w:cs="Calibri"/>
          <w:sz w:val="24"/>
          <w:szCs w:val="24"/>
          <w:lang w:val="sq-AL"/>
        </w:rPr>
      </w:pPr>
    </w:p>
    <w:p w14:paraId="0F2B548D" w14:textId="77777777" w:rsidR="000F4CF3" w:rsidRPr="00E24ECC" w:rsidRDefault="000F4CF3" w:rsidP="000F4CF3">
      <w:pPr>
        <w:pStyle w:val="Caption"/>
        <w:shd w:val="clear" w:color="auto" w:fill="FFFFFF" w:themeFill="background1"/>
        <w:rPr>
          <w:rFonts w:ascii="Times New Roman" w:eastAsia="Calibri" w:hAnsi="Times New Roman" w:cs="Times New Roman"/>
          <w:color w:val="auto"/>
          <w:sz w:val="24"/>
          <w:szCs w:val="24"/>
          <w:lang w:val="sq-AL"/>
        </w:rPr>
      </w:pPr>
      <w:r w:rsidRPr="00E24ECC">
        <w:rPr>
          <w:rFonts w:ascii="Times New Roman" w:hAnsi="Times New Roman" w:cs="Times New Roman"/>
          <w:color w:val="auto"/>
          <w:sz w:val="24"/>
          <w:szCs w:val="24"/>
          <w:lang w:val="sq-AL"/>
        </w:rPr>
        <w:t xml:space="preserve">Figura </w:t>
      </w:r>
      <w:r w:rsidRPr="00E24ECC">
        <w:rPr>
          <w:rFonts w:ascii="Times New Roman" w:hAnsi="Times New Roman" w:cs="Times New Roman"/>
          <w:color w:val="auto"/>
          <w:sz w:val="24"/>
          <w:szCs w:val="24"/>
          <w:lang w:val="sq-AL"/>
        </w:rPr>
        <w:fldChar w:fldCharType="begin"/>
      </w:r>
      <w:r w:rsidRPr="00E24ECC">
        <w:rPr>
          <w:rFonts w:ascii="Times New Roman" w:hAnsi="Times New Roman" w:cs="Times New Roman"/>
          <w:color w:val="auto"/>
          <w:sz w:val="24"/>
          <w:szCs w:val="24"/>
          <w:lang w:val="sq-AL"/>
        </w:rPr>
        <w:instrText xml:space="preserve"> SEQ Figura \* ARABIC </w:instrText>
      </w:r>
      <w:r w:rsidRPr="00E24ECC">
        <w:rPr>
          <w:rFonts w:ascii="Times New Roman" w:hAnsi="Times New Roman" w:cs="Times New Roman"/>
          <w:color w:val="auto"/>
          <w:sz w:val="24"/>
          <w:szCs w:val="24"/>
          <w:lang w:val="sq-AL"/>
        </w:rPr>
        <w:fldChar w:fldCharType="separate"/>
      </w:r>
      <w:r w:rsidRPr="00E24ECC">
        <w:rPr>
          <w:rFonts w:ascii="Times New Roman" w:hAnsi="Times New Roman" w:cs="Times New Roman"/>
          <w:noProof/>
          <w:color w:val="auto"/>
          <w:sz w:val="24"/>
          <w:szCs w:val="24"/>
          <w:lang w:val="sq-AL"/>
        </w:rPr>
        <w:t>7</w:t>
      </w:r>
      <w:r w:rsidRPr="00E24ECC">
        <w:rPr>
          <w:rFonts w:ascii="Times New Roman" w:hAnsi="Times New Roman" w:cs="Times New Roman"/>
          <w:color w:val="auto"/>
          <w:sz w:val="24"/>
          <w:szCs w:val="24"/>
          <w:lang w:val="sq-AL"/>
        </w:rPr>
        <w:fldChar w:fldCharType="end"/>
      </w:r>
      <w:r w:rsidRPr="00E24ECC">
        <w:rPr>
          <w:rFonts w:ascii="Times New Roman" w:eastAsia="Calibri" w:hAnsi="Times New Roman" w:cs="Times New Roman"/>
          <w:b w:val="0"/>
          <w:color w:val="auto"/>
          <w:sz w:val="24"/>
          <w:szCs w:val="24"/>
          <w:lang w:val="sq-AL"/>
        </w:rPr>
        <w:t>:</w:t>
      </w:r>
      <w:r w:rsidRPr="00E24ECC">
        <w:rPr>
          <w:rFonts w:ascii="Times New Roman" w:eastAsia="Calibri" w:hAnsi="Times New Roman" w:cs="Times New Roman"/>
          <w:color w:val="auto"/>
          <w:sz w:val="24"/>
          <w:szCs w:val="24"/>
          <w:lang w:val="sq-AL"/>
        </w:rPr>
        <w:t xml:space="preserve"> Rritja mujore e importeve (Prill’25/Prill’24), në përqindje.</w:t>
      </w:r>
    </w:p>
    <w:p w14:paraId="0C574E83"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center"/>
        <w:rPr>
          <w:rFonts w:ascii="Cambria" w:eastAsia="Calibri" w:hAnsi="Cambria" w:cs="Calibri"/>
          <w:sz w:val="24"/>
          <w:szCs w:val="24"/>
          <w:lang w:val="sq-AL"/>
        </w:rPr>
      </w:pPr>
      <w:r w:rsidRPr="00E24ECC">
        <w:rPr>
          <w:noProof/>
          <w:lang w:val="sq-AL"/>
        </w:rPr>
        <w:drawing>
          <wp:inline distT="0" distB="0" distL="0" distR="0" wp14:anchorId="1BA198BD" wp14:editId="216D56B7">
            <wp:extent cx="4394579" cy="18021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4542" cy="1814417"/>
                    </a:xfrm>
                    <a:prstGeom prst="rect">
                      <a:avLst/>
                    </a:prstGeom>
                    <a:noFill/>
                    <a:ln>
                      <a:noFill/>
                    </a:ln>
                  </pic:spPr>
                </pic:pic>
              </a:graphicData>
            </a:graphic>
          </wp:inline>
        </w:drawing>
      </w:r>
    </w:p>
    <w:p w14:paraId="0C6BAE4A"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Calibri" w:hAnsi="Cambria" w:cs="Calibri"/>
          <w:i/>
          <w:sz w:val="24"/>
          <w:szCs w:val="24"/>
          <w:lang w:val="sq-AL"/>
        </w:rPr>
      </w:pPr>
      <w:r w:rsidRPr="00E24ECC">
        <w:rPr>
          <w:rFonts w:ascii="Cambria" w:eastAsia="Calibri" w:hAnsi="Cambria" w:cs="Calibri"/>
          <w:i/>
          <w:sz w:val="24"/>
          <w:szCs w:val="24"/>
          <w:lang w:val="sq-AL"/>
        </w:rPr>
        <w:t>Burimi: INSTAT, Maj 2025</w:t>
      </w:r>
    </w:p>
    <w:p w14:paraId="1A0A174A" w14:textId="77777777" w:rsidR="000F4CF3" w:rsidRPr="00E24ECC" w:rsidRDefault="000F4CF3" w:rsidP="000F4CF3">
      <w:pPr>
        <w:shd w:val="clear" w:color="auto" w:fill="FFFFFF" w:themeFill="background1"/>
        <w:autoSpaceDE w:val="0"/>
        <w:autoSpaceDN w:val="0"/>
        <w:adjustRightInd w:val="0"/>
        <w:spacing w:before="120" w:after="120" w:line="276" w:lineRule="auto"/>
        <w:contextualSpacing/>
        <w:jc w:val="both"/>
        <w:rPr>
          <w:rFonts w:ascii="Cambria" w:eastAsia="Calibri" w:hAnsi="Cambria" w:cs="Calibri"/>
          <w:i/>
          <w:sz w:val="24"/>
          <w:szCs w:val="24"/>
          <w:lang w:val="sq-AL"/>
        </w:rPr>
      </w:pPr>
    </w:p>
    <w:p w14:paraId="102C3386" w14:textId="3C132880" w:rsidR="000F4CF3" w:rsidRPr="00E24ECC" w:rsidRDefault="000F4CF3" w:rsidP="000F4CF3">
      <w:pPr>
        <w:shd w:val="clear" w:color="auto" w:fill="FFFFFF" w:themeFill="background1"/>
        <w:tabs>
          <w:tab w:val="left" w:pos="90"/>
        </w:tabs>
        <w:spacing w:before="120" w:line="276" w:lineRule="auto"/>
        <w:jc w:val="both"/>
        <w:rPr>
          <w:rFonts w:ascii="Cambria" w:hAnsi="Cambria"/>
          <w:noProof/>
          <w:sz w:val="24"/>
          <w:szCs w:val="24"/>
          <w:lang w:val="sq-AL"/>
        </w:rPr>
      </w:pPr>
      <w:r w:rsidRPr="00E24ECC">
        <w:rPr>
          <w:rFonts w:ascii="Cambria" w:hAnsi="Cambria"/>
          <w:noProof/>
          <w:sz w:val="24"/>
          <w:szCs w:val="24"/>
          <w:lang w:val="sq-AL"/>
        </w:rPr>
        <w:t>Gjatë periudhës janar - prill 2025, bilanci tregtar u përmirësua me rreth 6.5%, krahasuar me të njëjtën periudhë të vitit 2024.</w:t>
      </w:r>
    </w:p>
    <w:p w14:paraId="6F49B387" w14:textId="2733B5EE" w:rsidR="0059085B" w:rsidRPr="00E24ECC" w:rsidRDefault="000F4CF3" w:rsidP="000F4CF3">
      <w:pPr>
        <w:spacing w:line="276" w:lineRule="auto"/>
        <w:jc w:val="both"/>
        <w:rPr>
          <w:rFonts w:ascii="Cambria" w:hAnsi="Cambria"/>
          <w:sz w:val="24"/>
          <w:szCs w:val="24"/>
          <w:lang w:val="sq-AL"/>
        </w:rPr>
      </w:pPr>
      <w:r w:rsidRPr="00E24ECC">
        <w:rPr>
          <w:rFonts w:ascii="Cambria" w:hAnsi="Cambria"/>
          <w:sz w:val="24"/>
          <w:szCs w:val="24"/>
          <w:lang w:val="sq-AL"/>
        </w:rPr>
        <w:t>Deficiti tregtar i këtij muaji është 42.5 mld lekë, duke u rritur me 4.4%, krahasuar me Prill 2024, dhe duke u rritur me 9.3%, në krahasim me Mars 2025</w:t>
      </w:r>
      <w:r w:rsidR="007836C4" w:rsidRPr="00E24ECC">
        <w:rPr>
          <w:rFonts w:ascii="Cambria" w:hAnsi="Cambria"/>
          <w:sz w:val="24"/>
          <w:szCs w:val="24"/>
          <w:lang w:val="sq-AL"/>
        </w:rPr>
        <w:t>.</w:t>
      </w:r>
    </w:p>
    <w:p w14:paraId="2965E7E1" w14:textId="77777777" w:rsidR="007836C4" w:rsidRPr="00E24ECC" w:rsidRDefault="007836C4" w:rsidP="000F4CF3">
      <w:pPr>
        <w:spacing w:line="276" w:lineRule="auto"/>
        <w:jc w:val="both"/>
        <w:rPr>
          <w:rFonts w:ascii="Cambria" w:hAnsi="Cambria"/>
          <w:sz w:val="24"/>
          <w:szCs w:val="24"/>
          <w:lang w:val="sq-AL" w:eastAsia="sq-AL"/>
        </w:rPr>
      </w:pPr>
    </w:p>
    <w:p w14:paraId="7979361B" w14:textId="7CEDF636" w:rsidR="00F7609B" w:rsidRPr="00E24ECC" w:rsidRDefault="00C56E02" w:rsidP="005B66E4">
      <w:pPr>
        <w:pStyle w:val="Heading1"/>
        <w:spacing w:line="276" w:lineRule="auto"/>
        <w:rPr>
          <w:rFonts w:ascii="Cambria" w:hAnsi="Cambria" w:cs="Times New Roman"/>
          <w:b/>
          <w:color w:val="000000" w:themeColor="text1"/>
          <w:sz w:val="24"/>
          <w:szCs w:val="24"/>
          <w:lang w:val="sq-AL"/>
        </w:rPr>
      </w:pPr>
      <w:bookmarkStart w:id="17" w:name="_Toc200704913"/>
      <w:r w:rsidRPr="00E24ECC">
        <w:rPr>
          <w:rFonts w:ascii="Cambria" w:hAnsi="Cambria" w:cs="Times New Roman"/>
          <w:b/>
          <w:color w:val="000000" w:themeColor="text1"/>
          <w:sz w:val="24"/>
          <w:szCs w:val="24"/>
          <w:lang w:val="sq-AL"/>
        </w:rPr>
        <w:t xml:space="preserve">PROGRAMI BUXHETOR AFATMESËM </w:t>
      </w:r>
      <w:r w:rsidR="00EE2BFD" w:rsidRPr="00E24ECC">
        <w:rPr>
          <w:rFonts w:ascii="Cambria" w:hAnsi="Cambria" w:cs="Times New Roman"/>
          <w:b/>
          <w:color w:val="000000" w:themeColor="text1"/>
          <w:sz w:val="24"/>
          <w:szCs w:val="24"/>
          <w:lang w:val="sq-AL"/>
        </w:rPr>
        <w:t>202</w:t>
      </w:r>
      <w:r w:rsidR="007836C4" w:rsidRPr="00E24ECC">
        <w:rPr>
          <w:rFonts w:ascii="Cambria" w:hAnsi="Cambria" w:cs="Times New Roman"/>
          <w:b/>
          <w:color w:val="000000" w:themeColor="text1"/>
          <w:sz w:val="24"/>
          <w:szCs w:val="24"/>
          <w:lang w:val="sq-AL"/>
        </w:rPr>
        <w:t>6</w:t>
      </w:r>
      <w:r w:rsidR="00EE2BFD" w:rsidRPr="00E24ECC">
        <w:rPr>
          <w:rFonts w:ascii="Cambria" w:hAnsi="Cambria" w:cs="Times New Roman"/>
          <w:b/>
          <w:color w:val="000000" w:themeColor="text1"/>
          <w:sz w:val="24"/>
          <w:szCs w:val="24"/>
          <w:lang w:val="sq-AL"/>
        </w:rPr>
        <w:t>-202</w:t>
      </w:r>
      <w:r w:rsidR="007836C4" w:rsidRPr="00E24ECC">
        <w:rPr>
          <w:rFonts w:ascii="Cambria" w:hAnsi="Cambria" w:cs="Times New Roman"/>
          <w:b/>
          <w:color w:val="000000" w:themeColor="text1"/>
          <w:sz w:val="24"/>
          <w:szCs w:val="24"/>
          <w:lang w:val="sq-AL"/>
        </w:rPr>
        <w:t>8</w:t>
      </w:r>
      <w:bookmarkEnd w:id="17"/>
    </w:p>
    <w:p w14:paraId="3A1D9196" w14:textId="77777777" w:rsidR="0059085B" w:rsidRPr="00E24ECC" w:rsidRDefault="0059085B" w:rsidP="005B66E4">
      <w:pPr>
        <w:spacing w:line="276" w:lineRule="auto"/>
        <w:rPr>
          <w:sz w:val="24"/>
          <w:szCs w:val="24"/>
          <w:lang w:val="sq-AL"/>
        </w:rPr>
      </w:pPr>
    </w:p>
    <w:p w14:paraId="62B6AAD4" w14:textId="70CC24EC" w:rsidR="007836C4" w:rsidRPr="00E24ECC" w:rsidRDefault="003C74A3" w:rsidP="007836C4">
      <w:pPr>
        <w:pStyle w:val="Heading2"/>
        <w:spacing w:line="276" w:lineRule="auto"/>
        <w:rPr>
          <w:rFonts w:ascii="Cambria" w:eastAsia="Calibri" w:hAnsi="Cambria"/>
          <w:i w:val="0"/>
          <w:sz w:val="24"/>
          <w:szCs w:val="24"/>
          <w:lang w:val="sq-AL"/>
        </w:rPr>
      </w:pPr>
      <w:bookmarkStart w:id="18" w:name="_Toc516534"/>
      <w:bookmarkStart w:id="19" w:name="_Toc200704914"/>
      <w:r w:rsidRPr="00E24ECC">
        <w:rPr>
          <w:rFonts w:ascii="Cambria" w:eastAsia="Calibri" w:hAnsi="Cambria"/>
          <w:i w:val="0"/>
          <w:sz w:val="24"/>
          <w:szCs w:val="24"/>
          <w:lang w:val="sq-AL"/>
        </w:rPr>
        <w:t>MINISTRIA E SHËNDETËSISË DHE MBROJTJES SOCIALE</w:t>
      </w:r>
      <w:bookmarkEnd w:id="18"/>
      <w:bookmarkEnd w:id="19"/>
    </w:p>
    <w:p w14:paraId="205BCCD6" w14:textId="77777777" w:rsidR="00272BD8" w:rsidRPr="00E24ECC" w:rsidRDefault="00272BD8" w:rsidP="00272BD8">
      <w:pPr>
        <w:spacing w:after="200" w:line="276" w:lineRule="auto"/>
        <w:jc w:val="both"/>
        <w:rPr>
          <w:rFonts w:ascii="Cambria" w:eastAsia="Calibri" w:hAnsi="Cambria" w:cs="Times New Roman"/>
          <w:sz w:val="24"/>
          <w:szCs w:val="24"/>
          <w:lang w:val="sq-AL"/>
        </w:rPr>
      </w:pPr>
      <w:bookmarkStart w:id="20" w:name="_Toc516535"/>
    </w:p>
    <w:p w14:paraId="44023276" w14:textId="54677762" w:rsidR="00272BD8" w:rsidRPr="00272BD8" w:rsidRDefault="00272BD8" w:rsidP="00272BD8">
      <w:pPr>
        <w:spacing w:after="200"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lastRenderedPageBreak/>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2356ADEA" w14:textId="77777777" w:rsidR="00272BD8" w:rsidRPr="00272BD8" w:rsidRDefault="00272BD8" w:rsidP="00272BD8">
      <w:pPr>
        <w:spacing w:after="200"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 xml:space="preserve">Për periudhën 2026-2028, sektori i shëndetësisë do të përmbushë objektivat e synuar përmes fondeve buxhetore të alokuara sipas tabelës së mëposhtme. </w:t>
      </w:r>
    </w:p>
    <w:p w14:paraId="4F5AA3B4" w14:textId="09401201" w:rsidR="00272BD8" w:rsidRPr="00272BD8" w:rsidRDefault="00272BD8" w:rsidP="00272BD8">
      <w:pPr>
        <w:spacing w:after="200" w:line="276" w:lineRule="auto"/>
        <w:jc w:val="both"/>
        <w:rPr>
          <w:rFonts w:ascii="Cambria" w:eastAsia="Times New Roman" w:hAnsi="Cambria" w:cs="Times New Roman"/>
          <w:b/>
          <w:bCs/>
          <w:color w:val="156082"/>
          <w:sz w:val="24"/>
          <w:szCs w:val="24"/>
          <w:lang w:val="sq-AL"/>
        </w:rPr>
      </w:pPr>
      <w:r w:rsidRPr="00272BD8">
        <w:rPr>
          <w:rFonts w:ascii="Cambria" w:eastAsia="Times New Roman" w:hAnsi="Cambria" w:cs="Times New Roman"/>
          <w:b/>
          <w:bCs/>
          <w:color w:val="156082"/>
          <w:sz w:val="24"/>
          <w:szCs w:val="24"/>
          <w:lang w:val="sq-AL"/>
        </w:rPr>
        <w:t xml:space="preserve">Tabela </w:t>
      </w:r>
      <w:r w:rsidRPr="00272BD8">
        <w:rPr>
          <w:rFonts w:ascii="Cambria" w:eastAsia="Times New Roman" w:hAnsi="Cambria" w:cs="Times New Roman"/>
          <w:b/>
          <w:bCs/>
          <w:color w:val="156082"/>
          <w:sz w:val="24"/>
          <w:szCs w:val="24"/>
          <w:lang w:val="sq-AL"/>
        </w:rPr>
        <w:fldChar w:fldCharType="begin"/>
      </w:r>
      <w:r w:rsidRPr="00272BD8">
        <w:rPr>
          <w:rFonts w:ascii="Cambria" w:eastAsia="Times New Roman" w:hAnsi="Cambria" w:cs="Times New Roman"/>
          <w:b/>
          <w:bCs/>
          <w:color w:val="156082"/>
          <w:sz w:val="24"/>
          <w:szCs w:val="24"/>
          <w:lang w:val="sq-AL"/>
        </w:rPr>
        <w:instrText xml:space="preserve"> SEQ Tabela \* ARABIC </w:instrText>
      </w:r>
      <w:r w:rsidRPr="00272BD8">
        <w:rPr>
          <w:rFonts w:ascii="Cambria" w:eastAsia="Times New Roman" w:hAnsi="Cambria" w:cs="Times New Roman"/>
          <w:b/>
          <w:bCs/>
          <w:color w:val="156082"/>
          <w:sz w:val="24"/>
          <w:szCs w:val="24"/>
          <w:lang w:val="sq-AL"/>
        </w:rPr>
        <w:fldChar w:fldCharType="separate"/>
      </w:r>
      <w:r w:rsidR="009113BE">
        <w:rPr>
          <w:rFonts w:ascii="Cambria" w:eastAsia="Times New Roman" w:hAnsi="Cambria" w:cs="Times New Roman"/>
          <w:b/>
          <w:bCs/>
          <w:noProof/>
          <w:color w:val="156082"/>
          <w:sz w:val="24"/>
          <w:szCs w:val="24"/>
          <w:lang w:val="sq-AL"/>
        </w:rPr>
        <w:t>7</w:t>
      </w:r>
      <w:r w:rsidRPr="00272BD8">
        <w:rPr>
          <w:rFonts w:ascii="Cambria" w:eastAsia="Times New Roman" w:hAnsi="Cambria" w:cs="Times New Roman"/>
          <w:b/>
          <w:bCs/>
          <w:color w:val="156082"/>
          <w:sz w:val="24"/>
          <w:szCs w:val="24"/>
          <w:lang w:val="sq-AL"/>
        </w:rPr>
        <w:fldChar w:fldCharType="end"/>
      </w:r>
      <w:r w:rsidRPr="00272BD8">
        <w:rPr>
          <w:rFonts w:ascii="Cambria" w:eastAsia="Times New Roman" w:hAnsi="Cambria" w:cs="Times New Roman"/>
          <w:b/>
          <w:bCs/>
          <w:color w:val="156082"/>
          <w:sz w:val="24"/>
          <w:szCs w:val="24"/>
          <w:lang w:val="sq-AL"/>
        </w:rPr>
        <w:t>: Shpenzimet për Ministrinë e Shëndetësisë dhe Mbrojtjes Sociale në vitet 2026-2028</w:t>
      </w:r>
    </w:p>
    <w:p w14:paraId="634704FC" w14:textId="77777777" w:rsidR="00272BD8" w:rsidRPr="00272BD8" w:rsidRDefault="00272BD8" w:rsidP="00272BD8">
      <w:pPr>
        <w:spacing w:line="276" w:lineRule="auto"/>
        <w:contextualSpacing/>
        <w:jc w:val="both"/>
        <w:rPr>
          <w:rFonts w:ascii="Cambria" w:eastAsia="Times New Roman" w:hAnsi="Cambria" w:cs="Times New Roman"/>
          <w:sz w:val="24"/>
          <w:szCs w:val="24"/>
          <w:lang w:val="sq-AL"/>
        </w:rPr>
      </w:pPr>
      <w:r w:rsidRPr="00272BD8">
        <w:rPr>
          <w:rFonts w:ascii="Aptos" w:eastAsia="Times New Roman" w:hAnsi="Aptos" w:cs="Times New Roman"/>
          <w:noProof/>
          <w:lang w:val="sq-AL"/>
        </w:rPr>
        <w:drawing>
          <wp:inline distT="0" distB="0" distL="0" distR="0" wp14:anchorId="5E776015" wp14:editId="24ADE550">
            <wp:extent cx="5943600" cy="1432560"/>
            <wp:effectExtent l="0" t="0" r="0" b="0"/>
            <wp:docPr id="4062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432560"/>
                    </a:xfrm>
                    <a:prstGeom prst="rect">
                      <a:avLst/>
                    </a:prstGeom>
                    <a:noFill/>
                    <a:ln>
                      <a:noFill/>
                    </a:ln>
                  </pic:spPr>
                </pic:pic>
              </a:graphicData>
            </a:graphic>
          </wp:inline>
        </w:drawing>
      </w:r>
    </w:p>
    <w:p w14:paraId="36971429" w14:textId="77777777" w:rsidR="00272BD8" w:rsidRPr="00272BD8" w:rsidRDefault="00272BD8" w:rsidP="00272BD8">
      <w:pPr>
        <w:keepNext/>
        <w:keepLines/>
        <w:spacing w:before="40" w:after="0" w:line="276" w:lineRule="auto"/>
        <w:jc w:val="both"/>
        <w:outlineLvl w:val="2"/>
        <w:rPr>
          <w:rFonts w:ascii="Cambria" w:eastAsia="MS Gothic" w:hAnsi="Cambria" w:cs="Times New Roman"/>
          <w:b/>
          <w:sz w:val="24"/>
          <w:szCs w:val="24"/>
          <w:lang w:val="sq-AL"/>
        </w:rPr>
      </w:pPr>
    </w:p>
    <w:p w14:paraId="5CED2FDA" w14:textId="77777777" w:rsidR="00272BD8" w:rsidRPr="00272BD8" w:rsidRDefault="00272BD8" w:rsidP="00272BD8">
      <w:pPr>
        <w:keepNext/>
        <w:keepLines/>
        <w:numPr>
          <w:ilvl w:val="2"/>
          <w:numId w:val="0"/>
        </w:numPr>
        <w:tabs>
          <w:tab w:val="num" w:pos="360"/>
        </w:tabs>
        <w:spacing w:before="40" w:after="0" w:line="276" w:lineRule="auto"/>
        <w:jc w:val="both"/>
        <w:outlineLvl w:val="2"/>
        <w:rPr>
          <w:rFonts w:ascii="Cambria" w:eastAsia="MS Gothic" w:hAnsi="Cambria" w:cs="Times New Roman"/>
          <w:b/>
          <w:sz w:val="24"/>
          <w:szCs w:val="24"/>
          <w:lang w:val="sq-AL"/>
        </w:rPr>
      </w:pPr>
      <w:r w:rsidRPr="00272BD8">
        <w:rPr>
          <w:rFonts w:ascii="Cambria" w:eastAsia="MS Gothic" w:hAnsi="Cambria" w:cs="Times New Roman"/>
          <w:b/>
          <w:sz w:val="24"/>
          <w:szCs w:val="24"/>
          <w:lang w:val="sq-AL"/>
        </w:rPr>
        <w:t>Prioritetet e sektorit për periudhën 2026-2028</w:t>
      </w:r>
    </w:p>
    <w:p w14:paraId="12519890" w14:textId="77777777" w:rsidR="00272BD8" w:rsidRPr="00272BD8" w:rsidRDefault="00272BD8" w:rsidP="00272BD8">
      <w:pPr>
        <w:spacing w:after="200" w:line="276" w:lineRule="auto"/>
        <w:contextualSpacing/>
        <w:jc w:val="both"/>
        <w:rPr>
          <w:rFonts w:ascii="Cambria" w:eastAsia="Calibri" w:hAnsi="Cambria" w:cs="Times New Roman"/>
          <w:sz w:val="24"/>
          <w:szCs w:val="24"/>
          <w:lang w:val="sq-AL"/>
        </w:rPr>
      </w:pPr>
    </w:p>
    <w:p w14:paraId="5F568209"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Financimi i shërbimeve shëndetësore (parësore e spitalore);</w:t>
      </w:r>
    </w:p>
    <w:p w14:paraId="14C7762E"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Qëndrueshmëria dhe përmirësimi i situatës financiare institucioneve shëndetësore e të mbrojtjes sociale, nëpërmjet përdorimit me efektivitet të burimeve të financimit, forcimit të kontrollit të shpenzimeve;</w:t>
      </w:r>
    </w:p>
    <w:p w14:paraId="430D6D32"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Rritja e kosto-efektivitetit të listës së barnave e pajisjeve të rimbursueshme;</w:t>
      </w:r>
    </w:p>
    <w:p w14:paraId="7522F0A0"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Financimi i paketave të miratuara të shërbimit spitalor në spitalet publike e jopublike;</w:t>
      </w:r>
    </w:p>
    <w:p w14:paraId="587625AE"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Pagesat për kujdes shëndetësor, sipas marrëveshjeve ndërkombëtare të nënshkruara;</w:t>
      </w:r>
    </w:p>
    <w:p w14:paraId="47907248" w14:textId="77777777" w:rsidR="00272BD8" w:rsidRPr="00272BD8"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Intensifikimi i punës për kostimin e shërbimeve të reja shëndetësore, në kujdesin shëndetësor, me synim ndryshimin e mënyrës së financimit të shërbimeve shëndetësore;</w:t>
      </w:r>
    </w:p>
    <w:p w14:paraId="0B7D077B" w14:textId="77777777" w:rsidR="00272BD8" w:rsidRPr="00E24ECC" w:rsidRDefault="00272BD8" w:rsidP="00954232">
      <w:pPr>
        <w:numPr>
          <w:ilvl w:val="0"/>
          <w:numId w:val="18"/>
        </w:numPr>
        <w:tabs>
          <w:tab w:val="left" w:pos="1440"/>
        </w:tabs>
        <w:spacing w:line="276" w:lineRule="auto"/>
        <w:jc w:val="both"/>
        <w:rPr>
          <w:rFonts w:ascii="Cambria" w:eastAsia="Calibri" w:hAnsi="Cambria" w:cs="Times New Roman"/>
          <w:sz w:val="24"/>
          <w:szCs w:val="24"/>
          <w:lang w:val="sq-AL"/>
        </w:rPr>
      </w:pPr>
      <w:r w:rsidRPr="00272BD8">
        <w:rPr>
          <w:rFonts w:ascii="Cambria" w:eastAsia="Calibri" w:hAnsi="Cambria" w:cs="Times New Roman"/>
          <w:sz w:val="24"/>
          <w:szCs w:val="24"/>
          <w:lang w:val="sq-AL"/>
        </w:rPr>
        <w:t>Financimi i shërbimit të kontrollit bazë mjekësor bazë për të paktën 50% të numrit të shtetasve të moshës 35-70 vjeç.</w:t>
      </w:r>
    </w:p>
    <w:p w14:paraId="55802C2A"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61986B9C"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582E1E9E"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100AF474"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2760AEE6"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1CEAD3CD"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6AC64889"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5C4FEE1B"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043FC424"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463A9E8E"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56108B68"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2B331F93" w14:textId="77777777" w:rsidR="00272BD8" w:rsidRPr="00E24ECC" w:rsidRDefault="00272BD8" w:rsidP="00272BD8">
      <w:pPr>
        <w:tabs>
          <w:tab w:val="left" w:pos="1440"/>
        </w:tabs>
        <w:spacing w:line="276" w:lineRule="auto"/>
        <w:jc w:val="both"/>
        <w:rPr>
          <w:rFonts w:ascii="Cambria" w:eastAsia="Calibri" w:hAnsi="Cambria" w:cs="Times New Roman"/>
          <w:sz w:val="24"/>
          <w:szCs w:val="24"/>
          <w:lang w:val="sq-AL"/>
        </w:rPr>
      </w:pPr>
    </w:p>
    <w:p w14:paraId="6AE11637" w14:textId="77777777" w:rsidR="00272BD8" w:rsidRPr="00272BD8" w:rsidRDefault="00272BD8" w:rsidP="00272BD8">
      <w:pPr>
        <w:tabs>
          <w:tab w:val="left" w:pos="1440"/>
        </w:tabs>
        <w:spacing w:line="276" w:lineRule="auto"/>
        <w:jc w:val="both"/>
        <w:rPr>
          <w:rFonts w:ascii="Cambria" w:eastAsia="Calibri" w:hAnsi="Cambria" w:cs="Times New Roman"/>
          <w:sz w:val="24"/>
          <w:szCs w:val="24"/>
          <w:lang w:val="sq-AL"/>
        </w:rPr>
      </w:pPr>
    </w:p>
    <w:p w14:paraId="5694AC8F" w14:textId="0C5C54C6" w:rsidR="00272BD8" w:rsidRPr="00272BD8" w:rsidRDefault="00272BD8" w:rsidP="00272BD8">
      <w:pPr>
        <w:spacing w:after="200" w:line="276" w:lineRule="auto"/>
        <w:jc w:val="both"/>
        <w:rPr>
          <w:rFonts w:ascii="Cambria" w:eastAsia="MS Mincho" w:hAnsi="Cambria" w:cs="Times New Roman"/>
          <w:color w:val="156082"/>
          <w:sz w:val="24"/>
          <w:szCs w:val="24"/>
          <w:lang w:val="sq-AL"/>
        </w:rPr>
      </w:pPr>
      <w:r w:rsidRPr="00272BD8">
        <w:rPr>
          <w:rFonts w:ascii="Cambria" w:eastAsia="Times New Roman" w:hAnsi="Cambria" w:cs="Times New Roman"/>
          <w:b/>
          <w:noProof/>
          <w:color w:val="156082"/>
          <w:sz w:val="24"/>
          <w:szCs w:val="24"/>
          <w:lang w:val="sq-AL"/>
        </w:rPr>
        <w:t xml:space="preserve">Tabela </w:t>
      </w:r>
      <w:r w:rsidRPr="00272BD8">
        <w:rPr>
          <w:rFonts w:ascii="Cambria" w:eastAsia="Times New Roman" w:hAnsi="Cambria" w:cs="Times New Roman"/>
          <w:b/>
          <w:noProof/>
          <w:color w:val="156082"/>
          <w:sz w:val="24"/>
          <w:szCs w:val="24"/>
          <w:lang w:val="sq-AL"/>
        </w:rPr>
        <w:fldChar w:fldCharType="begin"/>
      </w:r>
      <w:r w:rsidRPr="00272BD8">
        <w:rPr>
          <w:rFonts w:ascii="Cambria" w:eastAsia="Times New Roman" w:hAnsi="Cambria" w:cs="Times New Roman"/>
          <w:b/>
          <w:noProof/>
          <w:color w:val="156082"/>
          <w:sz w:val="24"/>
          <w:szCs w:val="24"/>
          <w:lang w:val="sq-AL"/>
        </w:rPr>
        <w:instrText xml:space="preserve"> SEQ Tabela \* ARABIC </w:instrText>
      </w:r>
      <w:r w:rsidRPr="00272BD8">
        <w:rPr>
          <w:rFonts w:ascii="Cambria" w:eastAsia="Times New Roman" w:hAnsi="Cambria" w:cs="Times New Roman"/>
          <w:b/>
          <w:noProof/>
          <w:color w:val="156082"/>
          <w:sz w:val="24"/>
          <w:szCs w:val="24"/>
          <w:lang w:val="sq-AL"/>
        </w:rPr>
        <w:fldChar w:fldCharType="separate"/>
      </w:r>
      <w:r w:rsidR="009113BE">
        <w:rPr>
          <w:rFonts w:ascii="Cambria" w:eastAsia="Times New Roman" w:hAnsi="Cambria" w:cs="Times New Roman"/>
          <w:b/>
          <w:noProof/>
          <w:color w:val="156082"/>
          <w:sz w:val="24"/>
          <w:szCs w:val="24"/>
          <w:lang w:val="sq-AL"/>
        </w:rPr>
        <w:t>8</w:t>
      </w:r>
      <w:r w:rsidRPr="00272BD8">
        <w:rPr>
          <w:rFonts w:ascii="Cambria" w:eastAsia="Times New Roman" w:hAnsi="Cambria" w:cs="Times New Roman"/>
          <w:b/>
          <w:noProof/>
          <w:color w:val="156082"/>
          <w:sz w:val="24"/>
          <w:szCs w:val="24"/>
          <w:lang w:val="sq-AL"/>
        </w:rPr>
        <w:fldChar w:fldCharType="end"/>
      </w:r>
      <w:r w:rsidRPr="00272BD8">
        <w:rPr>
          <w:rFonts w:ascii="Cambria" w:eastAsia="Times New Roman" w:hAnsi="Cambria" w:cs="Times New Roman"/>
          <w:b/>
          <w:noProof/>
          <w:color w:val="156082"/>
          <w:sz w:val="24"/>
          <w:szCs w:val="24"/>
          <w:lang w:val="sq-AL"/>
        </w:rPr>
        <w:t>:</w:t>
      </w:r>
      <w:r w:rsidRPr="00272BD8">
        <w:rPr>
          <w:rFonts w:ascii="Cambria" w:eastAsia="Times New Roman" w:hAnsi="Cambria" w:cs="Times New Roman"/>
          <w:noProof/>
          <w:color w:val="156082"/>
          <w:sz w:val="24"/>
          <w:szCs w:val="24"/>
          <w:lang w:val="sq-AL"/>
        </w:rPr>
        <w:t xml:space="preserve"> </w:t>
      </w:r>
      <w:r w:rsidRPr="00272BD8">
        <w:rPr>
          <w:rFonts w:ascii="Cambria" w:eastAsia="Times New Roman" w:hAnsi="Cambria" w:cs="Times New Roman"/>
          <w:b/>
          <w:noProof/>
          <w:color w:val="156082"/>
          <w:sz w:val="24"/>
          <w:szCs w:val="24"/>
          <w:lang w:val="sq-AL"/>
        </w:rPr>
        <w:t>Shpenzimet e Ministrisë së Shëndetësisë dhe Mbrojtjes Sociale sipas programeve buxhetore dhe sipas artikujve ekonomikë</w:t>
      </w:r>
    </w:p>
    <w:p w14:paraId="20ACD09A" w14:textId="77777777" w:rsidR="00272BD8" w:rsidRPr="00272BD8" w:rsidRDefault="00272BD8" w:rsidP="00272BD8">
      <w:pPr>
        <w:spacing w:after="200" w:line="276" w:lineRule="auto"/>
        <w:jc w:val="center"/>
        <w:rPr>
          <w:rFonts w:ascii="Cambria" w:eastAsia="MS Gothic" w:hAnsi="Cambria" w:cs="Times New Roman"/>
          <w:b/>
          <w:bCs/>
          <w:color w:val="0070C0"/>
          <w:sz w:val="24"/>
          <w:szCs w:val="24"/>
          <w:lang w:val="sq-AL"/>
        </w:rPr>
      </w:pPr>
      <w:r w:rsidRPr="00272BD8">
        <w:rPr>
          <w:rFonts w:ascii="Aptos" w:eastAsia="Times New Roman" w:hAnsi="Aptos" w:cs="Times New Roman"/>
          <w:noProof/>
          <w:lang w:val="sq-AL"/>
        </w:rPr>
        <w:lastRenderedPageBreak/>
        <w:drawing>
          <wp:inline distT="0" distB="0" distL="0" distR="0" wp14:anchorId="3E43062E" wp14:editId="0119C356">
            <wp:extent cx="5939454" cy="4890052"/>
            <wp:effectExtent l="0" t="0" r="4445" b="6350"/>
            <wp:docPr id="2131707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2822" cy="4901058"/>
                    </a:xfrm>
                    <a:prstGeom prst="rect">
                      <a:avLst/>
                    </a:prstGeom>
                    <a:noFill/>
                    <a:ln>
                      <a:noFill/>
                    </a:ln>
                  </pic:spPr>
                </pic:pic>
              </a:graphicData>
            </a:graphic>
          </wp:inline>
        </w:drawing>
      </w:r>
    </w:p>
    <w:p w14:paraId="20CB77F1" w14:textId="77777777" w:rsidR="00272BD8" w:rsidRPr="00272BD8" w:rsidRDefault="00272BD8" w:rsidP="00272BD8">
      <w:pPr>
        <w:spacing w:after="200" w:line="276" w:lineRule="auto"/>
        <w:jc w:val="both"/>
        <w:rPr>
          <w:rFonts w:ascii="Cambria" w:eastAsia="MS Gothic" w:hAnsi="Cambria" w:cs="Times New Roman"/>
          <w:b/>
          <w:bCs/>
          <w:i/>
          <w:sz w:val="24"/>
          <w:szCs w:val="24"/>
          <w:lang w:val="sq-AL"/>
        </w:rPr>
      </w:pPr>
    </w:p>
    <w:p w14:paraId="38C523C8" w14:textId="77777777" w:rsidR="00272BD8" w:rsidRPr="00272BD8" w:rsidRDefault="00272BD8" w:rsidP="00272BD8">
      <w:pPr>
        <w:keepNext/>
        <w:keepLines/>
        <w:numPr>
          <w:ilvl w:val="2"/>
          <w:numId w:val="0"/>
        </w:numPr>
        <w:tabs>
          <w:tab w:val="num" w:pos="360"/>
        </w:tabs>
        <w:spacing w:before="40" w:after="0" w:line="276" w:lineRule="auto"/>
        <w:jc w:val="both"/>
        <w:outlineLvl w:val="2"/>
        <w:rPr>
          <w:rFonts w:ascii="Cambria" w:eastAsia="MS Gothic" w:hAnsi="Cambria" w:cs="Times New Roman"/>
          <w:b/>
          <w:sz w:val="24"/>
          <w:szCs w:val="24"/>
          <w:lang w:val="sq-AL"/>
        </w:rPr>
      </w:pPr>
      <w:r w:rsidRPr="00272BD8">
        <w:rPr>
          <w:rFonts w:ascii="Cambria" w:eastAsia="MS Gothic" w:hAnsi="Cambria" w:cs="Times New Roman"/>
          <w:b/>
          <w:sz w:val="24"/>
          <w:szCs w:val="24"/>
          <w:lang w:val="sq-AL"/>
        </w:rPr>
        <w:t>Përmbledhje e Treguesve Kyç të Performancës</w:t>
      </w:r>
    </w:p>
    <w:p w14:paraId="7DFA7137" w14:textId="77777777" w:rsidR="00272BD8" w:rsidRPr="00272BD8" w:rsidRDefault="00272BD8" w:rsidP="00272BD8">
      <w:pPr>
        <w:spacing w:line="276" w:lineRule="auto"/>
        <w:jc w:val="both"/>
        <w:rPr>
          <w:rFonts w:ascii="Cambria" w:eastAsia="MS Mincho" w:hAnsi="Cambria" w:cs="Times New Roman"/>
          <w:sz w:val="24"/>
          <w:szCs w:val="24"/>
          <w:lang w:val="sq-AL"/>
        </w:rPr>
      </w:pPr>
    </w:p>
    <w:p w14:paraId="0BD648B7" w14:textId="77777777" w:rsidR="00272BD8" w:rsidRPr="00272BD8" w:rsidRDefault="00272BD8" w:rsidP="00272BD8">
      <w:pPr>
        <w:spacing w:after="200" w:line="276" w:lineRule="auto"/>
        <w:jc w:val="both"/>
        <w:rPr>
          <w:rFonts w:ascii="Cambria" w:eastAsia="Calibri" w:hAnsi="Cambria" w:cs="Times New Roman"/>
          <w:b/>
          <w:sz w:val="24"/>
          <w:szCs w:val="24"/>
          <w:lang w:val="sq-AL"/>
        </w:rPr>
      </w:pPr>
      <w:r w:rsidRPr="00272BD8">
        <w:rPr>
          <w:rFonts w:ascii="Cambria" w:eastAsia="Calibri" w:hAnsi="Cambria" w:cs="Times New Roman"/>
          <w:b/>
          <w:sz w:val="24"/>
          <w:szCs w:val="24"/>
          <w:lang w:val="sq-AL"/>
        </w:rPr>
        <w:t xml:space="preserve">Programi “Shërbime të Kujdesit Shëndetësor Parësor” </w:t>
      </w:r>
    </w:p>
    <w:p w14:paraId="5C7CE7B1" w14:textId="77777777" w:rsidR="00954232" w:rsidRPr="002D348C" w:rsidRDefault="00954232" w:rsidP="00954232">
      <w:pPr>
        <w:pStyle w:val="ListParagraph"/>
        <w:numPr>
          <w:ilvl w:val="0"/>
          <w:numId w:val="1"/>
        </w:numPr>
        <w:spacing w:line="276" w:lineRule="auto"/>
        <w:jc w:val="both"/>
        <w:rPr>
          <w:rFonts w:ascii="Cambria" w:hAnsi="Cambria"/>
          <w:sz w:val="24"/>
          <w:szCs w:val="24"/>
          <w:lang w:val="sq-AL"/>
        </w:rPr>
      </w:pPr>
      <w:r w:rsidRPr="002D348C">
        <w:rPr>
          <w:rFonts w:ascii="Cambria" w:hAnsi="Cambria"/>
          <w:sz w:val="24"/>
          <w:szCs w:val="24"/>
          <w:lang w:val="sq-AL"/>
        </w:rPr>
        <w:t>Mbulimi universal i popullsisë me shërbim shëndetësor duke parashikuar mesatarisht 7.7 milionë numër vizitash në periudhën 2026-2028, mbështetur në treguesit e sëmundshmërisë nga 7.6 milion vizita që parashikohen në vitin 2025; </w:t>
      </w:r>
    </w:p>
    <w:p w14:paraId="3ED15555" w14:textId="77777777" w:rsidR="00954232" w:rsidRPr="002D348C" w:rsidRDefault="00954232" w:rsidP="00954232">
      <w:pPr>
        <w:pStyle w:val="ListParagraph"/>
        <w:numPr>
          <w:ilvl w:val="0"/>
          <w:numId w:val="1"/>
        </w:numPr>
        <w:spacing w:line="276" w:lineRule="auto"/>
        <w:jc w:val="both"/>
        <w:rPr>
          <w:rFonts w:ascii="Cambria" w:hAnsi="Cambria"/>
          <w:sz w:val="24"/>
          <w:szCs w:val="24"/>
          <w:lang w:val="sq-AL"/>
        </w:rPr>
      </w:pPr>
      <w:r w:rsidRPr="002D348C">
        <w:rPr>
          <w:rFonts w:ascii="Cambria" w:hAnsi="Cambria"/>
          <w:sz w:val="24"/>
          <w:szCs w:val="24"/>
          <w:lang w:val="sq-AL"/>
        </w:rPr>
        <w:t>Ofrimi i shërbimit të kontrollit bazë (check-up) për mesatarisht 475 mijë pacientë në vit;  </w:t>
      </w:r>
    </w:p>
    <w:p w14:paraId="7FC36428" w14:textId="77777777" w:rsidR="00954232" w:rsidRPr="002D348C" w:rsidRDefault="00954232" w:rsidP="00954232">
      <w:pPr>
        <w:pStyle w:val="ListParagraph"/>
        <w:numPr>
          <w:ilvl w:val="0"/>
          <w:numId w:val="1"/>
        </w:numPr>
        <w:spacing w:line="276" w:lineRule="auto"/>
        <w:jc w:val="both"/>
        <w:rPr>
          <w:rFonts w:ascii="Cambria" w:hAnsi="Cambria"/>
          <w:sz w:val="24"/>
          <w:szCs w:val="24"/>
          <w:lang w:val="sq-AL"/>
        </w:rPr>
      </w:pPr>
      <w:r w:rsidRPr="002D348C">
        <w:rPr>
          <w:rFonts w:ascii="Cambria" w:hAnsi="Cambria"/>
          <w:sz w:val="24"/>
          <w:szCs w:val="24"/>
          <w:lang w:val="sq-AL"/>
        </w:rPr>
        <w:t>Trajtimi me recetë rimbursimi mesatarisht 400 mijë pacientëve në vit, bazuar në treguesit e sëmundshmërisë si dhe politikat e përfitimit nga lista e rimbursimit të barnave, përgjatë periudhës 2026-2028. </w:t>
      </w:r>
    </w:p>
    <w:p w14:paraId="05E66146" w14:textId="12B8BA6B" w:rsidR="00954232" w:rsidRPr="002D348C" w:rsidRDefault="00954232" w:rsidP="00954232">
      <w:pPr>
        <w:pStyle w:val="ListParagraph"/>
        <w:numPr>
          <w:ilvl w:val="0"/>
          <w:numId w:val="1"/>
        </w:numPr>
        <w:spacing w:line="276" w:lineRule="auto"/>
        <w:jc w:val="both"/>
        <w:rPr>
          <w:rFonts w:ascii="Cambria" w:hAnsi="Cambria"/>
          <w:sz w:val="24"/>
          <w:szCs w:val="24"/>
          <w:lang w:val="sq-AL"/>
        </w:rPr>
      </w:pPr>
      <w:r w:rsidRPr="002D348C">
        <w:rPr>
          <w:rFonts w:ascii="Cambria" w:hAnsi="Cambria"/>
          <w:sz w:val="24"/>
          <w:szCs w:val="24"/>
          <w:lang w:val="sq-AL"/>
        </w:rPr>
        <w:lastRenderedPageBreak/>
        <w:t>Mbështetja e politikës së rimbursimit të fishave të diabetit, ku synohet rritja e përfituesve të rimbursimit të fishave të diabetit në 59 000 përfitues në vitin 2028 nga 57 500 përfitues që parashikohen në vitin 2025; </w:t>
      </w:r>
    </w:p>
    <w:p w14:paraId="722E6EF4" w14:textId="77777777" w:rsidR="00954232" w:rsidRPr="002D348C" w:rsidRDefault="00954232" w:rsidP="00954232">
      <w:pPr>
        <w:spacing w:line="276" w:lineRule="auto"/>
        <w:rPr>
          <w:rFonts w:ascii="Cambria" w:hAnsi="Cambria"/>
          <w:sz w:val="24"/>
          <w:szCs w:val="24"/>
          <w:lang w:val="sq-AL"/>
        </w:rPr>
      </w:pPr>
      <w:r w:rsidRPr="002D348C">
        <w:rPr>
          <w:rFonts w:ascii="Cambria" w:hAnsi="Cambria"/>
          <w:sz w:val="24"/>
          <w:szCs w:val="24"/>
          <w:lang w:val="sq-AL"/>
        </w:rPr>
        <w:t> </w:t>
      </w:r>
    </w:p>
    <w:p w14:paraId="7A636D24" w14:textId="77777777" w:rsidR="00954232" w:rsidRPr="002D348C" w:rsidRDefault="00954232" w:rsidP="00954232">
      <w:pPr>
        <w:pStyle w:val="paragraph"/>
        <w:spacing w:before="0" w:beforeAutospacing="0" w:after="0" w:afterAutospacing="0"/>
        <w:jc w:val="both"/>
        <w:textAlignment w:val="baseline"/>
        <w:rPr>
          <w:rFonts w:ascii="Cambria" w:hAnsi="Cambria"/>
          <w:lang w:val="sq-AL"/>
        </w:rPr>
      </w:pPr>
      <w:r w:rsidRPr="002D348C">
        <w:rPr>
          <w:rStyle w:val="normaltextrun"/>
          <w:rFonts w:ascii="Cambria" w:hAnsi="Cambria"/>
          <w:b/>
          <w:bCs/>
          <w:lang w:val="sq-AL"/>
        </w:rPr>
        <w:t>Programi “Shërbime të Kujdesit Shëndetësor Dytësor”</w:t>
      </w:r>
      <w:r w:rsidRPr="002D348C">
        <w:rPr>
          <w:rStyle w:val="eop"/>
          <w:rFonts w:ascii="Cambria" w:hAnsi="Cambria"/>
          <w:lang w:val="sq-AL"/>
        </w:rPr>
        <w:t> </w:t>
      </w:r>
    </w:p>
    <w:p w14:paraId="535EEA80" w14:textId="77777777" w:rsidR="00954232" w:rsidRPr="002D348C" w:rsidRDefault="00954232" w:rsidP="00954232">
      <w:pPr>
        <w:pStyle w:val="paragraph"/>
        <w:spacing w:before="0" w:beforeAutospacing="0" w:after="0" w:afterAutospacing="0"/>
        <w:jc w:val="both"/>
        <w:textAlignment w:val="baseline"/>
        <w:rPr>
          <w:rFonts w:ascii="Cambria" w:hAnsi="Cambria"/>
          <w:lang w:val="sq-AL"/>
        </w:rPr>
      </w:pPr>
      <w:r w:rsidRPr="002D348C">
        <w:rPr>
          <w:rStyle w:val="eop"/>
          <w:rFonts w:ascii="Cambria" w:hAnsi="Cambria"/>
          <w:lang w:val="sq-AL"/>
        </w:rPr>
        <w:t> </w:t>
      </w:r>
    </w:p>
    <w:p w14:paraId="7B57040B"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Numri i pacientëve të trajtuar mesatarisht 322-330 mijë pacientë për periudhën 2026-2028; </w:t>
      </w:r>
    </w:p>
    <w:p w14:paraId="54430824"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Rritja e numrit të pacientëve që përfitojnë nga paketat e kardiokirurgjisë dhe kardiologjisë nga 10 233 pacientë që parashikohen në vitin 2026 në 11 000 pacientë në vitin 2028; </w:t>
      </w:r>
    </w:p>
    <w:p w14:paraId="2A9C2785"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Numri i pacientëve përfitues nga shërbimi i dializës për vitin 2028 parashikohet rreth 1 538 pacientë përfitues. Mesatarisht çdo pacient kryen 13 seanca në muaj. Për periudhën 2026-2028 parashikohet rritje e ndjeshme e numrit seancave për pacientët që përfitojnë nga trajtimi me dializë nga 230 mijë seanca në vitin 2026, në 240 mijë në vitin 2028;  </w:t>
      </w:r>
    </w:p>
    <w:p w14:paraId="43A4D602" w14:textId="4C28E40C"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Shërbimi i kryerjes së analizave për Sindromën Do</w:t>
      </w:r>
      <w:r w:rsidR="0038204E">
        <w:rPr>
          <w:rFonts w:ascii="Cambria" w:hAnsi="Cambria"/>
          <w:sz w:val="24"/>
          <w:szCs w:val="24"/>
          <w:lang w:val="sq-AL"/>
        </w:rPr>
        <w:t>w</w:t>
      </w:r>
      <w:r w:rsidRPr="002D348C">
        <w:rPr>
          <w:rFonts w:ascii="Cambria" w:hAnsi="Cambria"/>
          <w:sz w:val="24"/>
          <w:szCs w:val="24"/>
          <w:lang w:val="sq-AL"/>
        </w:rPr>
        <w:t>n me mesatarisht 1300-1400 pacientë në vit me një fond mesatar prej 6.5 milion lekë për periudhën 2026-2028; </w:t>
      </w:r>
    </w:p>
    <w:p w14:paraId="25B2E983"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Financimi i politikës së paketave të fertilitet për çiftet që kanë nevoje për të bërë ëndrrën e tyre realitet dhe për të pasur një fëmijë, me një fond mesatarisht prej 37.5 milion lekë përgjatë periudhës 2026-2028 duke parashikuar mesatarisht 200 pacientë përfitues. </w:t>
      </w:r>
    </w:p>
    <w:p w14:paraId="5BB517D0" w14:textId="036C1B2F"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Financimi p</w:t>
      </w:r>
      <w:r w:rsidR="002D348C">
        <w:rPr>
          <w:rFonts w:ascii="Cambria" w:hAnsi="Cambria"/>
          <w:sz w:val="24"/>
          <w:szCs w:val="24"/>
          <w:lang w:val="sq-AL"/>
        </w:rPr>
        <w:t>ë</w:t>
      </w:r>
      <w:r w:rsidRPr="002D348C">
        <w:rPr>
          <w:rFonts w:ascii="Cambria" w:hAnsi="Cambria"/>
          <w:sz w:val="24"/>
          <w:szCs w:val="24"/>
          <w:lang w:val="sq-AL"/>
        </w:rPr>
        <w:t>r her</w:t>
      </w:r>
      <w:r w:rsidR="002D348C">
        <w:rPr>
          <w:rFonts w:ascii="Cambria" w:hAnsi="Cambria"/>
          <w:sz w:val="24"/>
          <w:szCs w:val="24"/>
          <w:lang w:val="sq-AL"/>
        </w:rPr>
        <w:t>ë</w:t>
      </w:r>
      <w:r w:rsidRPr="002D348C">
        <w:rPr>
          <w:rFonts w:ascii="Cambria" w:hAnsi="Cambria"/>
          <w:sz w:val="24"/>
          <w:szCs w:val="24"/>
          <w:lang w:val="sq-AL"/>
        </w:rPr>
        <w:t xml:space="preserve"> t</w:t>
      </w:r>
      <w:r w:rsidR="002D348C">
        <w:rPr>
          <w:rFonts w:ascii="Cambria" w:hAnsi="Cambria"/>
          <w:sz w:val="24"/>
          <w:szCs w:val="24"/>
          <w:lang w:val="sq-AL"/>
        </w:rPr>
        <w:t>ë</w:t>
      </w:r>
      <w:r w:rsidRPr="002D348C">
        <w:rPr>
          <w:rFonts w:ascii="Cambria" w:hAnsi="Cambria"/>
          <w:sz w:val="24"/>
          <w:szCs w:val="24"/>
          <w:lang w:val="sq-AL"/>
        </w:rPr>
        <w:t xml:space="preserve"> par</w:t>
      </w:r>
      <w:r w:rsidR="002D348C">
        <w:rPr>
          <w:rFonts w:ascii="Cambria" w:hAnsi="Cambria"/>
          <w:sz w:val="24"/>
          <w:szCs w:val="24"/>
          <w:lang w:val="sq-AL"/>
        </w:rPr>
        <w:t>ë</w:t>
      </w:r>
      <w:r w:rsidRPr="002D348C">
        <w:rPr>
          <w:rFonts w:ascii="Cambria" w:hAnsi="Cambria"/>
          <w:sz w:val="24"/>
          <w:szCs w:val="24"/>
          <w:lang w:val="sq-AL"/>
        </w:rPr>
        <w:t xml:space="preserve"> falas i nd</w:t>
      </w:r>
      <w:r w:rsidR="002D348C">
        <w:rPr>
          <w:rFonts w:ascii="Cambria" w:hAnsi="Cambria"/>
          <w:sz w:val="24"/>
          <w:szCs w:val="24"/>
          <w:lang w:val="sq-AL"/>
        </w:rPr>
        <w:t>ë</w:t>
      </w:r>
      <w:r w:rsidRPr="002D348C">
        <w:rPr>
          <w:rFonts w:ascii="Cambria" w:hAnsi="Cambria"/>
          <w:sz w:val="24"/>
          <w:szCs w:val="24"/>
          <w:lang w:val="sq-AL"/>
        </w:rPr>
        <w:t>rhyrjes kirurgjikale p</w:t>
      </w:r>
      <w:r w:rsidR="002D348C">
        <w:rPr>
          <w:rFonts w:ascii="Cambria" w:hAnsi="Cambria"/>
          <w:sz w:val="24"/>
          <w:szCs w:val="24"/>
          <w:lang w:val="sq-AL"/>
        </w:rPr>
        <w:t>ë</w:t>
      </w:r>
      <w:r w:rsidRPr="002D348C">
        <w:rPr>
          <w:rFonts w:ascii="Cambria" w:hAnsi="Cambria"/>
          <w:sz w:val="24"/>
          <w:szCs w:val="24"/>
          <w:lang w:val="sq-AL"/>
        </w:rPr>
        <w:t>r rikonstruksionin e gjirit (proteza e gjirit) p</w:t>
      </w:r>
      <w:r w:rsidR="002D348C">
        <w:rPr>
          <w:rFonts w:ascii="Cambria" w:hAnsi="Cambria"/>
          <w:sz w:val="24"/>
          <w:szCs w:val="24"/>
          <w:lang w:val="sq-AL"/>
        </w:rPr>
        <w:t>ë</w:t>
      </w:r>
      <w:r w:rsidRPr="002D348C">
        <w:rPr>
          <w:rFonts w:ascii="Cambria" w:hAnsi="Cambria"/>
          <w:sz w:val="24"/>
          <w:szCs w:val="24"/>
          <w:lang w:val="sq-AL"/>
        </w:rPr>
        <w:t>r pacient</w:t>
      </w:r>
      <w:r w:rsidR="002D348C">
        <w:rPr>
          <w:rFonts w:ascii="Cambria" w:hAnsi="Cambria"/>
          <w:sz w:val="24"/>
          <w:szCs w:val="24"/>
          <w:lang w:val="sq-AL"/>
        </w:rPr>
        <w:t>ë</w:t>
      </w:r>
      <w:r w:rsidRPr="002D348C">
        <w:rPr>
          <w:rFonts w:ascii="Cambria" w:hAnsi="Cambria"/>
          <w:sz w:val="24"/>
          <w:szCs w:val="24"/>
          <w:lang w:val="sq-AL"/>
        </w:rPr>
        <w:t>t e s</w:t>
      </w:r>
      <w:r w:rsidR="002D348C">
        <w:rPr>
          <w:rFonts w:ascii="Cambria" w:hAnsi="Cambria"/>
          <w:sz w:val="24"/>
          <w:szCs w:val="24"/>
          <w:lang w:val="sq-AL"/>
        </w:rPr>
        <w:t>ë</w:t>
      </w:r>
      <w:r w:rsidRPr="002D348C">
        <w:rPr>
          <w:rFonts w:ascii="Cambria" w:hAnsi="Cambria"/>
          <w:sz w:val="24"/>
          <w:szCs w:val="24"/>
          <w:lang w:val="sq-AL"/>
        </w:rPr>
        <w:t>mur</w:t>
      </w:r>
      <w:r w:rsidR="002D348C">
        <w:rPr>
          <w:rFonts w:ascii="Cambria" w:hAnsi="Cambria"/>
          <w:sz w:val="24"/>
          <w:szCs w:val="24"/>
          <w:lang w:val="sq-AL"/>
        </w:rPr>
        <w:t>ë</w:t>
      </w:r>
      <w:r w:rsidRPr="002D348C">
        <w:rPr>
          <w:rFonts w:ascii="Cambria" w:hAnsi="Cambria"/>
          <w:sz w:val="24"/>
          <w:szCs w:val="24"/>
          <w:lang w:val="sq-AL"/>
        </w:rPr>
        <w:t xml:space="preserve"> me kancer gjiri nga e cila pritet t</w:t>
      </w:r>
      <w:r w:rsidR="002D348C">
        <w:rPr>
          <w:rFonts w:ascii="Cambria" w:hAnsi="Cambria"/>
          <w:sz w:val="24"/>
          <w:szCs w:val="24"/>
          <w:lang w:val="sq-AL"/>
        </w:rPr>
        <w:t>ë</w:t>
      </w:r>
      <w:r w:rsidRPr="002D348C">
        <w:rPr>
          <w:rFonts w:ascii="Cambria" w:hAnsi="Cambria"/>
          <w:sz w:val="24"/>
          <w:szCs w:val="24"/>
          <w:lang w:val="sq-AL"/>
        </w:rPr>
        <w:t xml:space="preserve"> p</w:t>
      </w:r>
      <w:r w:rsidR="002D348C">
        <w:rPr>
          <w:rFonts w:ascii="Cambria" w:hAnsi="Cambria"/>
          <w:sz w:val="24"/>
          <w:szCs w:val="24"/>
          <w:lang w:val="sq-AL"/>
        </w:rPr>
        <w:t>ë</w:t>
      </w:r>
      <w:r w:rsidRPr="002D348C">
        <w:rPr>
          <w:rFonts w:ascii="Cambria" w:hAnsi="Cambria"/>
          <w:sz w:val="24"/>
          <w:szCs w:val="24"/>
          <w:lang w:val="sq-AL"/>
        </w:rPr>
        <w:t>rfitojn</w:t>
      </w:r>
      <w:r w:rsidR="002D348C">
        <w:rPr>
          <w:rFonts w:ascii="Cambria" w:hAnsi="Cambria"/>
          <w:sz w:val="24"/>
          <w:szCs w:val="24"/>
          <w:lang w:val="sq-AL"/>
        </w:rPr>
        <w:t>ë</w:t>
      </w:r>
      <w:r w:rsidRPr="002D348C">
        <w:rPr>
          <w:rFonts w:ascii="Cambria" w:hAnsi="Cambria"/>
          <w:sz w:val="24"/>
          <w:szCs w:val="24"/>
          <w:lang w:val="sq-AL"/>
        </w:rPr>
        <w:t xml:space="preserve"> rreth 350 gra n</w:t>
      </w:r>
      <w:r w:rsidR="002D348C">
        <w:rPr>
          <w:rFonts w:ascii="Cambria" w:hAnsi="Cambria"/>
          <w:sz w:val="24"/>
          <w:szCs w:val="24"/>
          <w:lang w:val="sq-AL"/>
        </w:rPr>
        <w:t>ë</w:t>
      </w:r>
      <w:r w:rsidRPr="002D348C">
        <w:rPr>
          <w:rFonts w:ascii="Cambria" w:hAnsi="Cambria"/>
          <w:sz w:val="24"/>
          <w:szCs w:val="24"/>
          <w:lang w:val="sq-AL"/>
        </w:rPr>
        <w:t xml:space="preserve"> vit, p</w:t>
      </w:r>
      <w:r w:rsidR="002D348C">
        <w:rPr>
          <w:rFonts w:ascii="Cambria" w:hAnsi="Cambria"/>
          <w:sz w:val="24"/>
          <w:szCs w:val="24"/>
          <w:lang w:val="sq-AL"/>
        </w:rPr>
        <w:t>ë</w:t>
      </w:r>
      <w:r w:rsidRPr="002D348C">
        <w:rPr>
          <w:rFonts w:ascii="Cambria" w:hAnsi="Cambria"/>
          <w:sz w:val="24"/>
          <w:szCs w:val="24"/>
          <w:lang w:val="sq-AL"/>
        </w:rPr>
        <w:t>rgjat</w:t>
      </w:r>
      <w:r w:rsidR="002D348C">
        <w:rPr>
          <w:rFonts w:ascii="Cambria" w:hAnsi="Cambria"/>
          <w:sz w:val="24"/>
          <w:szCs w:val="24"/>
          <w:lang w:val="sq-AL"/>
        </w:rPr>
        <w:t>ë</w:t>
      </w:r>
      <w:r w:rsidRPr="002D348C">
        <w:rPr>
          <w:rFonts w:ascii="Cambria" w:hAnsi="Cambria"/>
          <w:sz w:val="24"/>
          <w:szCs w:val="24"/>
          <w:lang w:val="sq-AL"/>
        </w:rPr>
        <w:t xml:space="preserve"> 2026-2028 me nj</w:t>
      </w:r>
      <w:r w:rsidR="002D348C">
        <w:rPr>
          <w:rFonts w:ascii="Cambria" w:hAnsi="Cambria"/>
          <w:sz w:val="24"/>
          <w:szCs w:val="24"/>
          <w:lang w:val="sq-AL"/>
        </w:rPr>
        <w:t>ë</w:t>
      </w:r>
      <w:r w:rsidRPr="002D348C">
        <w:rPr>
          <w:rFonts w:ascii="Cambria" w:hAnsi="Cambria"/>
          <w:sz w:val="24"/>
          <w:szCs w:val="24"/>
          <w:lang w:val="sq-AL"/>
        </w:rPr>
        <w:t xml:space="preserve"> kosto mesatare vjetore prej 70 milion</w:t>
      </w:r>
      <w:r w:rsidR="002D348C">
        <w:rPr>
          <w:rFonts w:ascii="Cambria" w:hAnsi="Cambria"/>
          <w:sz w:val="24"/>
          <w:szCs w:val="24"/>
          <w:lang w:val="sq-AL"/>
        </w:rPr>
        <w:t>ë</w:t>
      </w:r>
      <w:r w:rsidRPr="002D348C">
        <w:rPr>
          <w:rFonts w:ascii="Cambria" w:hAnsi="Cambria"/>
          <w:sz w:val="24"/>
          <w:szCs w:val="24"/>
          <w:lang w:val="sq-AL"/>
        </w:rPr>
        <w:t xml:space="preserve"> lek</w:t>
      </w:r>
      <w:r w:rsidR="002D348C">
        <w:rPr>
          <w:rFonts w:ascii="Cambria" w:hAnsi="Cambria"/>
          <w:sz w:val="24"/>
          <w:szCs w:val="24"/>
          <w:lang w:val="sq-AL"/>
        </w:rPr>
        <w:t>ë</w:t>
      </w:r>
      <w:r w:rsidRPr="002D348C">
        <w:rPr>
          <w:rFonts w:ascii="Cambria" w:hAnsi="Cambria"/>
          <w:sz w:val="24"/>
          <w:szCs w:val="24"/>
          <w:lang w:val="sq-AL"/>
        </w:rPr>
        <w:t>; </w:t>
      </w:r>
    </w:p>
    <w:p w14:paraId="4D5F5C81" w14:textId="11FFB00D"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Financimi p</w:t>
      </w:r>
      <w:r w:rsidR="002D348C">
        <w:rPr>
          <w:rFonts w:ascii="Cambria" w:hAnsi="Cambria"/>
          <w:sz w:val="24"/>
          <w:szCs w:val="24"/>
          <w:lang w:val="sq-AL"/>
        </w:rPr>
        <w:t>ë</w:t>
      </w:r>
      <w:r w:rsidRPr="002D348C">
        <w:rPr>
          <w:rFonts w:ascii="Cambria" w:hAnsi="Cambria"/>
          <w:sz w:val="24"/>
          <w:szCs w:val="24"/>
          <w:lang w:val="sq-AL"/>
        </w:rPr>
        <w:t>r her</w:t>
      </w:r>
      <w:r w:rsidR="002D348C">
        <w:rPr>
          <w:rFonts w:ascii="Cambria" w:hAnsi="Cambria"/>
          <w:sz w:val="24"/>
          <w:szCs w:val="24"/>
          <w:lang w:val="sq-AL"/>
        </w:rPr>
        <w:t>ë</w:t>
      </w:r>
      <w:r w:rsidRPr="002D348C">
        <w:rPr>
          <w:rFonts w:ascii="Cambria" w:hAnsi="Cambria"/>
          <w:sz w:val="24"/>
          <w:szCs w:val="24"/>
          <w:lang w:val="sq-AL"/>
        </w:rPr>
        <w:t xml:space="preserve"> t</w:t>
      </w:r>
      <w:r w:rsidR="002D348C">
        <w:rPr>
          <w:rFonts w:ascii="Cambria" w:hAnsi="Cambria"/>
          <w:sz w:val="24"/>
          <w:szCs w:val="24"/>
          <w:lang w:val="sq-AL"/>
        </w:rPr>
        <w:t>ë</w:t>
      </w:r>
      <w:r w:rsidRPr="002D348C">
        <w:rPr>
          <w:rFonts w:ascii="Cambria" w:hAnsi="Cambria"/>
          <w:sz w:val="24"/>
          <w:szCs w:val="24"/>
          <w:lang w:val="sq-AL"/>
        </w:rPr>
        <w:t xml:space="preserve"> par</w:t>
      </w:r>
      <w:r w:rsidR="002D348C">
        <w:rPr>
          <w:rFonts w:ascii="Cambria" w:hAnsi="Cambria"/>
          <w:sz w:val="24"/>
          <w:szCs w:val="24"/>
          <w:lang w:val="sq-AL"/>
        </w:rPr>
        <w:t>ë</w:t>
      </w:r>
      <w:r w:rsidRPr="002D348C">
        <w:rPr>
          <w:rFonts w:ascii="Cambria" w:hAnsi="Cambria"/>
          <w:sz w:val="24"/>
          <w:szCs w:val="24"/>
          <w:lang w:val="sq-AL"/>
        </w:rPr>
        <w:t xml:space="preserve"> i procedur</w:t>
      </w:r>
      <w:r w:rsidR="002D348C">
        <w:rPr>
          <w:rFonts w:ascii="Cambria" w:hAnsi="Cambria"/>
          <w:sz w:val="24"/>
          <w:szCs w:val="24"/>
          <w:lang w:val="sq-AL"/>
        </w:rPr>
        <w:t>ë</w:t>
      </w:r>
      <w:r w:rsidRPr="002D348C">
        <w:rPr>
          <w:rFonts w:ascii="Cambria" w:hAnsi="Cambria"/>
          <w:sz w:val="24"/>
          <w:szCs w:val="24"/>
          <w:lang w:val="sq-AL"/>
        </w:rPr>
        <w:t>s s</w:t>
      </w:r>
      <w:r w:rsidR="002D348C">
        <w:rPr>
          <w:rFonts w:ascii="Cambria" w:hAnsi="Cambria"/>
          <w:sz w:val="24"/>
          <w:szCs w:val="24"/>
          <w:lang w:val="sq-AL"/>
        </w:rPr>
        <w:t>ë</w:t>
      </w:r>
      <w:r w:rsidRPr="002D348C">
        <w:rPr>
          <w:rFonts w:ascii="Cambria" w:hAnsi="Cambria"/>
          <w:sz w:val="24"/>
          <w:szCs w:val="24"/>
          <w:lang w:val="sq-AL"/>
        </w:rPr>
        <w:t xml:space="preserve"> transplatit t</w:t>
      </w:r>
      <w:r w:rsidR="002D348C">
        <w:rPr>
          <w:rFonts w:ascii="Cambria" w:hAnsi="Cambria"/>
          <w:sz w:val="24"/>
          <w:szCs w:val="24"/>
          <w:lang w:val="sq-AL"/>
        </w:rPr>
        <w:t>ë</w:t>
      </w:r>
      <w:r w:rsidRPr="002D348C">
        <w:rPr>
          <w:rFonts w:ascii="Cambria" w:hAnsi="Cambria"/>
          <w:sz w:val="24"/>
          <w:szCs w:val="24"/>
          <w:lang w:val="sq-AL"/>
        </w:rPr>
        <w:t xml:space="preserve"> kornesë së syrit, një shërbim ky që do të përmirësojë jetesën duke kthyer shikimin tek pacientët me shikim të dëmtuar. Janë parashikuar fillimisht 50 raste për çdo vit të PBA 2026-2028 me një finacim vjetor 25 milion lekë/çdo vit; </w:t>
      </w:r>
    </w:p>
    <w:p w14:paraId="5E6CA7D0" w14:textId="26D6FC00"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Depistimi p</w:t>
      </w:r>
      <w:r w:rsidR="002D348C">
        <w:rPr>
          <w:rFonts w:ascii="Cambria" w:hAnsi="Cambria"/>
          <w:sz w:val="24"/>
          <w:szCs w:val="24"/>
          <w:lang w:val="sq-AL"/>
        </w:rPr>
        <w:t>ë</w:t>
      </w:r>
      <w:r w:rsidRPr="002D348C">
        <w:rPr>
          <w:rFonts w:ascii="Cambria" w:hAnsi="Cambria"/>
          <w:sz w:val="24"/>
          <w:szCs w:val="24"/>
          <w:lang w:val="sq-AL"/>
        </w:rPr>
        <w:t>r kancerin e gjirit p</w:t>
      </w:r>
      <w:r w:rsidR="002D348C">
        <w:rPr>
          <w:rFonts w:ascii="Cambria" w:hAnsi="Cambria"/>
          <w:sz w:val="24"/>
          <w:szCs w:val="24"/>
          <w:lang w:val="sq-AL"/>
        </w:rPr>
        <w:t>ë</w:t>
      </w:r>
      <w:r w:rsidRPr="002D348C">
        <w:rPr>
          <w:rFonts w:ascii="Cambria" w:hAnsi="Cambria"/>
          <w:sz w:val="24"/>
          <w:szCs w:val="24"/>
          <w:lang w:val="sq-AL"/>
        </w:rPr>
        <w:t>r mesatarisht 5550 gra n</w:t>
      </w:r>
      <w:r w:rsidR="002D348C">
        <w:rPr>
          <w:rFonts w:ascii="Cambria" w:hAnsi="Cambria"/>
          <w:sz w:val="24"/>
          <w:szCs w:val="24"/>
          <w:lang w:val="sq-AL"/>
        </w:rPr>
        <w:t>ë</w:t>
      </w:r>
      <w:r w:rsidRPr="002D348C">
        <w:rPr>
          <w:rFonts w:ascii="Cambria" w:hAnsi="Cambria"/>
          <w:sz w:val="24"/>
          <w:szCs w:val="24"/>
          <w:lang w:val="sq-AL"/>
        </w:rPr>
        <w:t xml:space="preserve"> vit p</w:t>
      </w:r>
      <w:r w:rsidR="002D348C">
        <w:rPr>
          <w:rFonts w:ascii="Cambria" w:hAnsi="Cambria"/>
          <w:sz w:val="24"/>
          <w:szCs w:val="24"/>
          <w:lang w:val="sq-AL"/>
        </w:rPr>
        <w:t>ë</w:t>
      </w:r>
      <w:r w:rsidRPr="002D348C">
        <w:rPr>
          <w:rFonts w:ascii="Cambria" w:hAnsi="Cambria"/>
          <w:sz w:val="24"/>
          <w:szCs w:val="24"/>
          <w:lang w:val="sq-AL"/>
        </w:rPr>
        <w:t>rgjat</w:t>
      </w:r>
      <w:r w:rsidR="002D348C">
        <w:rPr>
          <w:rFonts w:ascii="Cambria" w:hAnsi="Cambria"/>
          <w:sz w:val="24"/>
          <w:szCs w:val="24"/>
          <w:lang w:val="sq-AL"/>
        </w:rPr>
        <w:t>ë</w:t>
      </w:r>
      <w:r w:rsidRPr="002D348C">
        <w:rPr>
          <w:rFonts w:ascii="Cambria" w:hAnsi="Cambria"/>
          <w:sz w:val="24"/>
          <w:szCs w:val="24"/>
          <w:lang w:val="sq-AL"/>
        </w:rPr>
        <w:t xml:space="preserve"> 2026-2028 duke synuar parandalimin e rasteve duke rritur depistimin për kancerin e gjirit t</w:t>
      </w:r>
      <w:r w:rsidR="002D348C">
        <w:rPr>
          <w:rFonts w:ascii="Cambria" w:hAnsi="Cambria"/>
          <w:sz w:val="24"/>
          <w:szCs w:val="24"/>
          <w:lang w:val="sq-AL"/>
        </w:rPr>
        <w:t>ë</w:t>
      </w:r>
      <w:r w:rsidRPr="002D348C">
        <w:rPr>
          <w:rFonts w:ascii="Cambria" w:hAnsi="Cambria"/>
          <w:sz w:val="24"/>
          <w:szCs w:val="24"/>
          <w:lang w:val="sq-AL"/>
        </w:rPr>
        <w:t xml:space="preserve"> grave mbi 35 vjeç nga 38% në vitin 2025 në 41% në vitin 2028; </w:t>
      </w:r>
    </w:p>
    <w:p w14:paraId="096EC66F"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Depistimi për kancerin e qafës së mitrës nga 12 000 gra në në vitin 2026 në 13 000 në vitin 2028  me synim uljen e vdekshmërisë nga kanceri i qafës së mitrës, me një fond mesatarisht prej 28.5 milion lekë përgjatë periudhës 2026-2028.   </w:t>
      </w:r>
    </w:p>
    <w:p w14:paraId="79BF4B11" w14:textId="77777777"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t>Gjatë periudhës 2026-2028 parashikohen të vaksinohen për gripin sezonal rreth 250,000 persona/çdo vit me një fond respektivisht prej 120 milion lekë. </w:t>
      </w:r>
    </w:p>
    <w:p w14:paraId="3AAFB49A" w14:textId="0E1A267E" w:rsidR="00954232" w:rsidRPr="002D348C" w:rsidRDefault="00954232" w:rsidP="002D348C">
      <w:pPr>
        <w:pStyle w:val="ListParagraph"/>
        <w:numPr>
          <w:ilvl w:val="0"/>
          <w:numId w:val="72"/>
        </w:numPr>
        <w:spacing w:line="276" w:lineRule="auto"/>
        <w:jc w:val="both"/>
        <w:rPr>
          <w:rFonts w:ascii="Cambria" w:hAnsi="Cambria"/>
          <w:sz w:val="24"/>
          <w:szCs w:val="24"/>
          <w:lang w:val="sq-AL"/>
        </w:rPr>
      </w:pPr>
      <w:r w:rsidRPr="002D348C">
        <w:rPr>
          <w:rFonts w:ascii="Cambria" w:hAnsi="Cambria"/>
          <w:sz w:val="24"/>
          <w:szCs w:val="24"/>
          <w:lang w:val="sq-AL"/>
        </w:rPr>
        <w:lastRenderedPageBreak/>
        <w:t>Rritja e numrit të thirrjeve për urgjencë mjekësore të adresuara në njësitë e Urgjencës mjekësore nga 400 mijë thirrje në vitin 2025 në 450 mijë thirrje në vitin 2028, duke synuar me një kohë reagimi në 13 minuta për vitin 2028 nga 16 minuta t</w:t>
      </w:r>
      <w:r w:rsidR="002D348C">
        <w:rPr>
          <w:rFonts w:ascii="Cambria" w:hAnsi="Cambria"/>
          <w:sz w:val="24"/>
          <w:szCs w:val="24"/>
          <w:lang w:val="sq-AL"/>
        </w:rPr>
        <w:t>ë</w:t>
      </w:r>
      <w:r w:rsidRPr="002D348C">
        <w:rPr>
          <w:rFonts w:ascii="Cambria" w:hAnsi="Cambria"/>
          <w:sz w:val="24"/>
          <w:szCs w:val="24"/>
          <w:lang w:val="sq-AL"/>
        </w:rPr>
        <w:t xml:space="preserve"> planifikuara në vitin 2025. </w:t>
      </w:r>
    </w:p>
    <w:p w14:paraId="01B0414E" w14:textId="7959A67E" w:rsidR="00954232" w:rsidRPr="002D348C" w:rsidRDefault="00954232" w:rsidP="002D348C">
      <w:pPr>
        <w:spacing w:line="276" w:lineRule="auto"/>
        <w:ind w:firstLine="60"/>
        <w:jc w:val="both"/>
        <w:rPr>
          <w:rFonts w:ascii="Cambria" w:hAnsi="Cambria"/>
          <w:sz w:val="24"/>
          <w:szCs w:val="24"/>
          <w:lang w:val="sq-AL"/>
        </w:rPr>
      </w:pPr>
    </w:p>
    <w:p w14:paraId="61C5FA24" w14:textId="77777777" w:rsidR="00954232" w:rsidRPr="002D348C" w:rsidRDefault="00954232" w:rsidP="002D348C">
      <w:pPr>
        <w:jc w:val="both"/>
        <w:rPr>
          <w:rFonts w:ascii="Cambria" w:hAnsi="Cambria"/>
          <w:sz w:val="24"/>
          <w:szCs w:val="24"/>
          <w:lang w:val="sq-AL"/>
        </w:rPr>
      </w:pPr>
      <w:r w:rsidRPr="002D348C">
        <w:rPr>
          <w:rFonts w:ascii="Cambria" w:hAnsi="Cambria"/>
          <w:b/>
          <w:bCs/>
          <w:sz w:val="24"/>
          <w:szCs w:val="24"/>
          <w:lang w:val="sq-AL"/>
        </w:rPr>
        <w:t>Në fushën e mbrojtjes sociale</w:t>
      </w:r>
      <w:r w:rsidRPr="002D348C">
        <w:rPr>
          <w:rFonts w:ascii="Cambria" w:hAnsi="Cambria"/>
          <w:sz w:val="24"/>
          <w:szCs w:val="24"/>
          <w:lang w:val="sq-AL"/>
        </w:rPr>
        <w:t>, Ministria e Shëndetësisë dhe Mbrojtjes Sociale synon zbatimin me sukses të reformës së programit të përkujdesit social në tre shtyllat kryesore të tij: Ndihma Ekonomike, Aftësia e Kufizuar dhe Shërbimet Sociale. Më konkretisht synohet: </w:t>
      </w:r>
    </w:p>
    <w:p w14:paraId="031A28C0" w14:textId="77777777" w:rsidR="00954232" w:rsidRPr="002D348C" w:rsidRDefault="00954232" w:rsidP="002D348C">
      <w:pPr>
        <w:rPr>
          <w:lang w:val="sq-AL"/>
        </w:rPr>
      </w:pPr>
      <w:r w:rsidRPr="002D348C">
        <w:rPr>
          <w:lang w:val="sq-AL"/>
        </w:rPr>
        <w:t> </w:t>
      </w:r>
    </w:p>
    <w:p w14:paraId="1D9A06EC" w14:textId="4C17CAAC"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Numri i familjeve dhe individëve në nevojë që pritet të përfitojnë nga skema e ndihmës ekonomike parashikohet të ulet n</w:t>
      </w:r>
      <w:r w:rsidR="002D348C">
        <w:rPr>
          <w:rFonts w:ascii="Cambria" w:hAnsi="Cambria"/>
          <w:sz w:val="24"/>
          <w:szCs w:val="24"/>
          <w:lang w:val="sq-AL"/>
        </w:rPr>
        <w:t>ë</w:t>
      </w:r>
      <w:r w:rsidRPr="002D348C">
        <w:rPr>
          <w:rFonts w:ascii="Cambria" w:hAnsi="Cambria"/>
          <w:sz w:val="24"/>
          <w:szCs w:val="24"/>
          <w:lang w:val="sq-AL"/>
        </w:rPr>
        <w:t xml:space="preserve"> 59 000 përfitues në vit p</w:t>
      </w:r>
      <w:r w:rsidR="002D348C">
        <w:rPr>
          <w:rFonts w:ascii="Cambria" w:hAnsi="Cambria"/>
          <w:sz w:val="24"/>
          <w:szCs w:val="24"/>
          <w:lang w:val="sq-AL"/>
        </w:rPr>
        <w:t>ë</w:t>
      </w:r>
      <w:r w:rsidRPr="002D348C">
        <w:rPr>
          <w:rFonts w:ascii="Cambria" w:hAnsi="Cambria"/>
          <w:sz w:val="24"/>
          <w:szCs w:val="24"/>
          <w:lang w:val="sq-AL"/>
        </w:rPr>
        <w:t>r vitin 2028, ku për vitet 2026-2027 parashikohet të ulet me 1000 familje, ku synohet punësimi i anëtarëve në moshë pune të familjeve përfituese.   </w:t>
      </w:r>
    </w:p>
    <w:p w14:paraId="390855EB"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Numri i përfituesve nga PAK dhe kujdestarëve të tyre parashikohet të shkojë në 98 mijë përfitues në vitin 2028 nga 94 mijë përfitues në vitin 2026, në zbatim të skemës së re të vlerësimit të aftësisë së kufizuar pra sipas modelit bio-psiko-social, bazuar në standardet e Organizatës Botërore të Shëndetit, synohet krijimi i një sistemi shërbimesh integruese, të cilat kombinojnë pagesat me shërbimet e përkujdesit social; </w:t>
      </w:r>
    </w:p>
    <w:p w14:paraId="0FD4DC1C"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Mbështetja e personave nga grupet e pafavorizuara përmes punësimit në ndërmarrjet sociale synohet të punësohen mesatarisht 150 persona çdo vit, me qëllim integrimin në tregun e punës të kategorive të ndryshme të grupeve të pafavorizuara nga pikëpamja sociale dhe ekonomike me një fond mesatarisht prej 80 milion lekë përgjatë periudhës 2026-2028; </w:t>
      </w:r>
    </w:p>
    <w:p w14:paraId="740CD970"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Rritja e numrit të personave të punësuar në ndërmarrjet sociale në raport me numrin e anëtarëve në moshë pune në skemën e ndihmës ekonomike në 5% në vitin 2028; </w:t>
      </w:r>
    </w:p>
    <w:p w14:paraId="2BFE9187"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Mbështetjen e fondit social për njësitë e vetqeverisjes vendore për ofrimin e shërbimeve të reja sociale territoriale për grupet në nevojë dhe mbështetjen e familjeve të NE me paketa sociale shëndetësore, duke synuar ofrimin e 95-115 shërbime në bashkitë e vendit, me një fond mesatarisht prej 400-450 milion lekë përgjatë periudhës 2026-2028. Parashikohet të përfitojnë 61 njësi të vetëqeverisjes vendore në vitin 2027 nga 43 NJVQVV që parashikohen të përfitojnë në vitin 2025.  </w:t>
      </w:r>
    </w:p>
    <w:p w14:paraId="6021BAFD"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Financimi i politikës për  mbrojtjen e veçantë nga shteti, për gratë e papuna, me tre apo më shumë fëmijë të moshës deri në 18 vjeç, ku njëri prej fëmijëve është nën moshën 5 vjeç dhe familja ka të ardhura nën 100 000 (njëqind mijë) lekë në muaj, periudha e kujdesit ndaj fëmijës deri në moshën 5-vjeçare njihet si periudhë sigurimi për efekt përfitimi pensioni pleqërie dhe barrëlindjeje, duke synuar të përfitojnë 8 700 gra në vitin 2028 nga 8 300 gra që janë parashikuar në vitin 2025, me një fond mesatarisht rreth 850 milion lekë përgjatë periudhës 2026-2028.  </w:t>
      </w:r>
    </w:p>
    <w:p w14:paraId="090F58AD"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lastRenderedPageBreak/>
        <w:t>Rritja e grave dhe vajzave në nevoje të ri-integruara pas trajtimit në institucionet e përkujdesit social në 55 gra dhe vajza në vitin 2028 nga 47 gra/vajza që parashikohen në vitin 2025; </w:t>
      </w:r>
    </w:p>
    <w:p w14:paraId="2CC99361" w14:textId="77777777" w:rsidR="00954232" w:rsidRPr="002D348C" w:rsidRDefault="00954232" w:rsidP="002D348C">
      <w:pPr>
        <w:pStyle w:val="ListParagraph"/>
        <w:numPr>
          <w:ilvl w:val="0"/>
          <w:numId w:val="73"/>
        </w:numPr>
        <w:spacing w:line="276" w:lineRule="auto"/>
        <w:jc w:val="both"/>
        <w:rPr>
          <w:rFonts w:ascii="Cambria" w:hAnsi="Cambria"/>
          <w:sz w:val="24"/>
          <w:szCs w:val="24"/>
          <w:lang w:val="sq-AL"/>
        </w:rPr>
      </w:pPr>
      <w:r w:rsidRPr="002D348C">
        <w:rPr>
          <w:rFonts w:ascii="Cambria" w:hAnsi="Cambria"/>
          <w:sz w:val="24"/>
          <w:szCs w:val="24"/>
          <w:lang w:val="sq-AL"/>
        </w:rPr>
        <w:t>Mbështetja e grave të dhunuara që përfitojnë nga skema e Ndihmës Ekonomike kundrejt totalit të kategorive të veçanta në 51% në vitin 2027 nga 45% që parashikohen në vitin 2024; </w:t>
      </w:r>
    </w:p>
    <w:p w14:paraId="2C582042" w14:textId="41EC473B" w:rsidR="00954232" w:rsidRPr="002D348C" w:rsidRDefault="00954232" w:rsidP="002D348C">
      <w:pPr>
        <w:spacing w:line="276" w:lineRule="auto"/>
        <w:jc w:val="both"/>
        <w:rPr>
          <w:rFonts w:ascii="Cambria" w:hAnsi="Cambria"/>
          <w:sz w:val="24"/>
          <w:szCs w:val="24"/>
        </w:rPr>
      </w:pPr>
      <w:r w:rsidRPr="002D348C">
        <w:rPr>
          <w:rFonts w:ascii="Cambria" w:hAnsi="Cambria"/>
          <w:sz w:val="24"/>
          <w:szCs w:val="24"/>
        </w:rPr>
        <w:t> </w:t>
      </w:r>
    </w:p>
    <w:p w14:paraId="139B891C" w14:textId="6E0ED1F7" w:rsidR="00954232" w:rsidRPr="002D348C" w:rsidRDefault="00954232" w:rsidP="002D348C">
      <w:pPr>
        <w:spacing w:line="276" w:lineRule="auto"/>
        <w:jc w:val="both"/>
        <w:rPr>
          <w:rFonts w:ascii="Cambria" w:hAnsi="Cambria"/>
          <w:sz w:val="24"/>
          <w:szCs w:val="24"/>
        </w:rPr>
      </w:pPr>
      <w:proofErr w:type="spellStart"/>
      <w:r w:rsidRPr="002D348C">
        <w:rPr>
          <w:rFonts w:ascii="Cambria" w:hAnsi="Cambria"/>
          <w:b/>
          <w:bCs/>
          <w:sz w:val="24"/>
          <w:szCs w:val="24"/>
        </w:rPr>
        <w:t>Investimet</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Publike</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në</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sektorin</w:t>
      </w:r>
      <w:proofErr w:type="spellEnd"/>
      <w:r w:rsidRPr="002D348C">
        <w:rPr>
          <w:rFonts w:ascii="Cambria" w:hAnsi="Cambria"/>
          <w:b/>
          <w:bCs/>
          <w:sz w:val="24"/>
          <w:szCs w:val="24"/>
        </w:rPr>
        <w:t xml:space="preserve"> e </w:t>
      </w:r>
      <w:proofErr w:type="spellStart"/>
      <w:r w:rsidRPr="002D348C">
        <w:rPr>
          <w:rFonts w:ascii="Cambria" w:hAnsi="Cambria"/>
          <w:b/>
          <w:bCs/>
          <w:sz w:val="24"/>
          <w:szCs w:val="24"/>
        </w:rPr>
        <w:t>shëndetësisë</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dhe</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mbrojtjes</w:t>
      </w:r>
      <w:proofErr w:type="spellEnd"/>
      <w:r w:rsidRPr="002D348C">
        <w:rPr>
          <w:rFonts w:ascii="Cambria" w:hAnsi="Cambria"/>
          <w:b/>
          <w:bCs/>
          <w:sz w:val="24"/>
          <w:szCs w:val="24"/>
        </w:rPr>
        <w:t xml:space="preserve"> </w:t>
      </w:r>
      <w:proofErr w:type="spellStart"/>
      <w:r w:rsidRPr="002D348C">
        <w:rPr>
          <w:rFonts w:ascii="Cambria" w:hAnsi="Cambria"/>
          <w:b/>
          <w:bCs/>
          <w:sz w:val="24"/>
          <w:szCs w:val="24"/>
        </w:rPr>
        <w:t>sociale</w:t>
      </w:r>
      <w:proofErr w:type="spellEnd"/>
      <w:r w:rsidRPr="002D348C">
        <w:rPr>
          <w:rFonts w:ascii="Cambria" w:hAnsi="Cambria"/>
          <w:sz w:val="24"/>
          <w:szCs w:val="24"/>
        </w:rPr>
        <w:t xml:space="preserve"> </w:t>
      </w:r>
      <w:proofErr w:type="spellStart"/>
      <w:r w:rsidRPr="002D348C">
        <w:rPr>
          <w:rFonts w:ascii="Cambria" w:hAnsi="Cambria"/>
          <w:sz w:val="24"/>
          <w:szCs w:val="24"/>
        </w:rPr>
        <w:t>për</w:t>
      </w:r>
      <w:proofErr w:type="spellEnd"/>
      <w:r w:rsidRPr="002D348C">
        <w:rPr>
          <w:rFonts w:ascii="Cambria" w:hAnsi="Cambria"/>
          <w:sz w:val="24"/>
          <w:szCs w:val="24"/>
        </w:rPr>
        <w:t xml:space="preserve"> </w:t>
      </w:r>
      <w:proofErr w:type="spellStart"/>
      <w:r w:rsidRPr="002D348C">
        <w:rPr>
          <w:rFonts w:ascii="Cambria" w:hAnsi="Cambria"/>
          <w:sz w:val="24"/>
          <w:szCs w:val="24"/>
        </w:rPr>
        <w:t>vitet</w:t>
      </w:r>
      <w:proofErr w:type="spellEnd"/>
      <w:r w:rsidRPr="002D348C">
        <w:rPr>
          <w:rFonts w:ascii="Cambria" w:hAnsi="Cambria"/>
          <w:sz w:val="24"/>
          <w:szCs w:val="24"/>
        </w:rPr>
        <w:t xml:space="preserve"> 2026-2028: </w:t>
      </w:r>
    </w:p>
    <w:p w14:paraId="50E7AE05"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bookmarkStart w:id="21" w:name="_Hlk200708365"/>
      <w:r w:rsidRPr="002D348C">
        <w:rPr>
          <w:rFonts w:ascii="Cambria" w:hAnsi="Cambria"/>
          <w:sz w:val="24"/>
          <w:szCs w:val="24"/>
          <w:lang w:val="sq-AL"/>
        </w:rPr>
        <w:t>Rikonstruksion në Maternitetin nr. 1 Tiranë, faza e II-të, me vlerë 274 milion lekë. Vlera e parashikuar për vitin 2026 brenda tavanit është 96,951 mije lekë. Vijohet me investimin në pajisje mjekësore për këtë maternitet në vlerën 110,000 mijë lekë</w:t>
      </w:r>
      <w:bookmarkEnd w:id="21"/>
      <w:r w:rsidRPr="002D348C">
        <w:rPr>
          <w:rFonts w:ascii="Cambria" w:hAnsi="Cambria"/>
          <w:sz w:val="24"/>
          <w:szCs w:val="24"/>
          <w:lang w:val="sq-AL"/>
        </w:rPr>
        <w:t>; </w:t>
      </w:r>
    </w:p>
    <w:p w14:paraId="630BCE28"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qendrore të Spitalit Dibër me vlerë 328,415 mijë lekë, ndarë në vite: 99,800 mijë lekë për viti 2026, 128,614 mijë lekë për vitin 2027, dhe 100,000 mijë lekë viti 2028; </w:t>
      </w:r>
    </w:p>
    <w:p w14:paraId="56F0B44A"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qendrore të spitalit Gjirokastër me vlerë 419,477 mijë lekë, ndarë në vite: 138,218 mijë lekë për viti 2025, 196,703 mijë lekë për vitin 2026 dhe 60,316 mijë lekë për viti 2027; </w:t>
      </w:r>
    </w:p>
    <w:p w14:paraId="6B4159F7" w14:textId="36D99109"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Nd</w:t>
      </w:r>
      <w:r w:rsidR="002D348C">
        <w:rPr>
          <w:rFonts w:ascii="Cambria" w:hAnsi="Cambria"/>
          <w:sz w:val="24"/>
          <w:szCs w:val="24"/>
          <w:lang w:val="sq-AL"/>
        </w:rPr>
        <w:t>ë</w:t>
      </w:r>
      <w:r w:rsidRPr="002D348C">
        <w:rPr>
          <w:rFonts w:ascii="Cambria" w:hAnsi="Cambria"/>
          <w:sz w:val="24"/>
          <w:szCs w:val="24"/>
          <w:lang w:val="sq-AL"/>
        </w:rPr>
        <w:t>rtimi i disa godinave të reja për Spitalin Psikiatrik Elbasan, me vlerë 433,211 mijë lekë; </w:t>
      </w:r>
    </w:p>
    <w:p w14:paraId="452545D3"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qendrore të Spitalit Pogradec, me vlerë të plotë 350,451 mijë lekë;  </w:t>
      </w:r>
    </w:p>
    <w:p w14:paraId="41F49B79"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qendrore të Spitalit Lushnje, me vlerë të plotë 404,898 mijë lekë; </w:t>
      </w:r>
    </w:p>
    <w:p w14:paraId="5FFD5968"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së Maternitetit të Spitalin Shkodër, me vlerë totale 225,000 mijë lekë;  </w:t>
      </w:r>
    </w:p>
    <w:p w14:paraId="155BCC91"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së Maternitetit të Spitalin Fier, me vlerë totale 403,241 mijë lekë; </w:t>
      </w:r>
    </w:p>
    <w:p w14:paraId="7DC38BB9" w14:textId="057033D4"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Vijon financimi për rehabilitimin e 100 objekteve të tjera të Qendrave Shëndetësore dhe ambulanca, për vitet 2025-2028 me nj</w:t>
      </w:r>
      <w:r w:rsidR="002D348C">
        <w:rPr>
          <w:rFonts w:ascii="Cambria" w:hAnsi="Cambria"/>
          <w:sz w:val="24"/>
          <w:szCs w:val="24"/>
          <w:lang w:val="sq-AL"/>
        </w:rPr>
        <w:t>ë</w:t>
      </w:r>
      <w:r w:rsidRPr="002D348C">
        <w:rPr>
          <w:rFonts w:ascii="Cambria" w:hAnsi="Cambria"/>
          <w:sz w:val="24"/>
          <w:szCs w:val="24"/>
          <w:lang w:val="sq-AL"/>
        </w:rPr>
        <w:t xml:space="preserve"> fond total prej 296.6 milion</w:t>
      </w:r>
      <w:r w:rsidR="002D348C">
        <w:rPr>
          <w:rFonts w:ascii="Cambria" w:hAnsi="Cambria"/>
          <w:sz w:val="24"/>
          <w:szCs w:val="24"/>
          <w:lang w:val="sq-AL"/>
        </w:rPr>
        <w:t>ë</w:t>
      </w:r>
      <w:r w:rsidRPr="002D348C">
        <w:rPr>
          <w:rFonts w:ascii="Cambria" w:hAnsi="Cambria"/>
          <w:sz w:val="24"/>
          <w:szCs w:val="24"/>
          <w:lang w:val="sq-AL"/>
        </w:rPr>
        <w:t xml:space="preserve"> lek</w:t>
      </w:r>
      <w:r w:rsidR="002D348C">
        <w:rPr>
          <w:rFonts w:ascii="Cambria" w:hAnsi="Cambria"/>
          <w:sz w:val="24"/>
          <w:szCs w:val="24"/>
          <w:lang w:val="sq-AL"/>
        </w:rPr>
        <w:t>ë</w:t>
      </w:r>
      <w:r w:rsidRPr="002D348C">
        <w:rPr>
          <w:rFonts w:ascii="Cambria" w:hAnsi="Cambria"/>
          <w:sz w:val="24"/>
          <w:szCs w:val="24"/>
          <w:lang w:val="sq-AL"/>
        </w:rPr>
        <w:t>; </w:t>
      </w:r>
    </w:p>
    <w:p w14:paraId="51D42920" w14:textId="77777777"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Rikonstruksion i godinës qendrore të ISHP-së Tiranë, me vlerë totale 344,144 mijë lekë; </w:t>
      </w:r>
    </w:p>
    <w:p w14:paraId="533A8046" w14:textId="7086E32A" w:rsidR="00954232" w:rsidRPr="002D348C" w:rsidRDefault="00954232" w:rsidP="002D348C">
      <w:pPr>
        <w:pStyle w:val="ListParagraph"/>
        <w:numPr>
          <w:ilvl w:val="0"/>
          <w:numId w:val="74"/>
        </w:numPr>
        <w:spacing w:line="276" w:lineRule="auto"/>
        <w:jc w:val="both"/>
        <w:rPr>
          <w:rFonts w:ascii="Cambria" w:hAnsi="Cambria"/>
          <w:sz w:val="24"/>
          <w:szCs w:val="24"/>
          <w:lang w:val="sq-AL"/>
        </w:rPr>
      </w:pPr>
      <w:r w:rsidRPr="002D348C">
        <w:rPr>
          <w:rFonts w:ascii="Cambria" w:hAnsi="Cambria"/>
          <w:sz w:val="24"/>
          <w:szCs w:val="24"/>
          <w:lang w:val="sq-AL"/>
        </w:rPr>
        <w:t>Vijon rikonstruksion i godinës Shtëpia e fëmijës "Zyber Hallulli" Tiranë me vler</w:t>
      </w:r>
      <w:r w:rsidR="002D348C">
        <w:rPr>
          <w:rFonts w:ascii="Cambria" w:hAnsi="Cambria"/>
          <w:sz w:val="24"/>
          <w:szCs w:val="24"/>
          <w:lang w:val="sq-AL"/>
        </w:rPr>
        <w:t>ë</w:t>
      </w:r>
      <w:r w:rsidRPr="002D348C">
        <w:rPr>
          <w:rFonts w:ascii="Cambria" w:hAnsi="Cambria"/>
          <w:sz w:val="24"/>
          <w:szCs w:val="24"/>
          <w:lang w:val="sq-AL"/>
        </w:rPr>
        <w:t xml:space="preserve"> t</w:t>
      </w:r>
      <w:r w:rsidR="002D348C">
        <w:rPr>
          <w:rFonts w:ascii="Cambria" w:hAnsi="Cambria"/>
          <w:sz w:val="24"/>
          <w:szCs w:val="24"/>
          <w:lang w:val="sq-AL"/>
        </w:rPr>
        <w:t>ë</w:t>
      </w:r>
      <w:r w:rsidRPr="002D348C">
        <w:rPr>
          <w:rFonts w:ascii="Cambria" w:hAnsi="Cambria"/>
          <w:sz w:val="24"/>
          <w:szCs w:val="24"/>
          <w:lang w:val="sq-AL"/>
        </w:rPr>
        <w:t xml:space="preserve"> plot</w:t>
      </w:r>
      <w:r w:rsidR="002D348C">
        <w:rPr>
          <w:rFonts w:ascii="Cambria" w:hAnsi="Cambria"/>
          <w:sz w:val="24"/>
          <w:szCs w:val="24"/>
          <w:lang w:val="sq-AL"/>
        </w:rPr>
        <w:t>ë</w:t>
      </w:r>
      <w:r w:rsidRPr="002D348C">
        <w:rPr>
          <w:rFonts w:ascii="Cambria" w:hAnsi="Cambria"/>
          <w:sz w:val="24"/>
          <w:szCs w:val="24"/>
          <w:lang w:val="sq-AL"/>
        </w:rPr>
        <w:t xml:space="preserve"> 229.4 milion</w:t>
      </w:r>
      <w:r w:rsidR="002D348C">
        <w:rPr>
          <w:rFonts w:ascii="Cambria" w:hAnsi="Cambria"/>
          <w:sz w:val="24"/>
          <w:szCs w:val="24"/>
          <w:lang w:val="sq-AL"/>
        </w:rPr>
        <w:t>ë</w:t>
      </w:r>
      <w:r w:rsidRPr="002D348C">
        <w:rPr>
          <w:rFonts w:ascii="Cambria" w:hAnsi="Cambria"/>
          <w:sz w:val="24"/>
          <w:szCs w:val="24"/>
          <w:lang w:val="sq-AL"/>
        </w:rPr>
        <w:t xml:space="preserve"> lek</w:t>
      </w:r>
      <w:r w:rsidR="002D348C">
        <w:rPr>
          <w:rFonts w:ascii="Cambria" w:hAnsi="Cambria"/>
          <w:sz w:val="24"/>
          <w:szCs w:val="24"/>
          <w:lang w:val="sq-AL"/>
        </w:rPr>
        <w:t>ë</w:t>
      </w:r>
      <w:r w:rsidRPr="002D348C">
        <w:rPr>
          <w:rFonts w:ascii="Cambria" w:hAnsi="Cambria"/>
          <w:sz w:val="24"/>
          <w:szCs w:val="24"/>
          <w:lang w:val="sq-AL"/>
        </w:rPr>
        <w:t>. </w:t>
      </w:r>
    </w:p>
    <w:p w14:paraId="345AFBA0" w14:textId="77777777" w:rsidR="003869AC" w:rsidRPr="00E24ECC" w:rsidRDefault="003869AC" w:rsidP="003869AC">
      <w:pPr>
        <w:autoSpaceDE w:val="0"/>
        <w:autoSpaceDN w:val="0"/>
        <w:adjustRightInd w:val="0"/>
        <w:spacing w:after="0" w:line="276" w:lineRule="auto"/>
        <w:ind w:left="720"/>
        <w:contextualSpacing/>
        <w:jc w:val="both"/>
        <w:rPr>
          <w:rFonts w:ascii="Cambria" w:eastAsia="Calibri" w:hAnsi="Cambria" w:cs="Times New Roman"/>
          <w:color w:val="000000"/>
          <w:sz w:val="24"/>
          <w:szCs w:val="24"/>
          <w:lang w:val="sq-AL" w:eastAsia="x-none"/>
        </w:rPr>
      </w:pPr>
    </w:p>
    <w:p w14:paraId="2173FBA0" w14:textId="77777777" w:rsidR="00245BFE" w:rsidRPr="00E24ECC" w:rsidRDefault="00245BFE" w:rsidP="005B66E4">
      <w:pPr>
        <w:pStyle w:val="Heading2"/>
        <w:spacing w:line="276" w:lineRule="auto"/>
        <w:rPr>
          <w:rFonts w:ascii="Cambria" w:eastAsia="Calibri" w:hAnsi="Cambria"/>
          <w:i w:val="0"/>
          <w:sz w:val="24"/>
          <w:szCs w:val="24"/>
          <w:lang w:val="sq-AL"/>
        </w:rPr>
      </w:pPr>
      <w:bookmarkStart w:id="22" w:name="_Toc200704915"/>
      <w:r w:rsidRPr="00E24ECC">
        <w:rPr>
          <w:rFonts w:ascii="Cambria" w:eastAsia="Calibri" w:hAnsi="Cambria"/>
          <w:i w:val="0"/>
          <w:sz w:val="24"/>
          <w:szCs w:val="24"/>
          <w:lang w:val="sq-AL"/>
        </w:rPr>
        <w:lastRenderedPageBreak/>
        <w:t>MINISTRIA E ARSIMIT, SPORTIT DHE RINISË</w:t>
      </w:r>
      <w:bookmarkEnd w:id="20"/>
      <w:bookmarkEnd w:id="22"/>
    </w:p>
    <w:p w14:paraId="5C292FAD" w14:textId="77777777" w:rsidR="003A62B0" w:rsidRPr="00E24ECC" w:rsidRDefault="003A62B0" w:rsidP="003A62B0">
      <w:pPr>
        <w:spacing w:after="0" w:line="276" w:lineRule="auto"/>
        <w:jc w:val="both"/>
        <w:rPr>
          <w:rFonts w:ascii="Cambria" w:eastAsia="Times New Roman" w:hAnsi="Cambria" w:cs="Times New Roman"/>
          <w:sz w:val="24"/>
          <w:szCs w:val="24"/>
          <w:lang w:val="sq-AL" w:eastAsia="sq-AL"/>
        </w:rPr>
      </w:pPr>
      <w:bookmarkStart w:id="23" w:name="_Toc391045450"/>
      <w:bookmarkStart w:id="24" w:name="_Toc13653978"/>
      <w:r w:rsidRPr="00E24ECC">
        <w:rPr>
          <w:rFonts w:ascii="Cambria" w:eastAsia="Times New Roman" w:hAnsi="Cambria" w:cs="Times New Roman"/>
          <w:sz w:val="24"/>
          <w:szCs w:val="24"/>
          <w:lang w:val="sq-AL" w:eastAsia="sq-AL"/>
        </w:rPr>
        <w:t>Misioni i Ministrisë së Arsimit dhe Sportit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14:paraId="3316E048" w14:textId="77777777" w:rsidR="003A62B0" w:rsidRPr="00E24ECC" w:rsidRDefault="003A62B0" w:rsidP="003A62B0">
      <w:pPr>
        <w:spacing w:after="200" w:line="276" w:lineRule="auto"/>
        <w:jc w:val="both"/>
        <w:rPr>
          <w:rFonts w:ascii="Cambria" w:eastAsia="Times New Roman" w:hAnsi="Cambria" w:cs="Times New Roman"/>
          <w:b/>
          <w:bCs/>
          <w:color w:val="156082"/>
          <w:sz w:val="24"/>
          <w:szCs w:val="24"/>
          <w:lang w:val="sq-AL"/>
        </w:rPr>
      </w:pPr>
    </w:p>
    <w:p w14:paraId="0FA6FB3B" w14:textId="70F53F52" w:rsidR="003A62B0" w:rsidRPr="00E24ECC" w:rsidRDefault="003A62B0" w:rsidP="003A62B0">
      <w:pPr>
        <w:spacing w:after="200" w:line="276" w:lineRule="auto"/>
        <w:jc w:val="both"/>
        <w:rPr>
          <w:rFonts w:ascii="Cambria" w:eastAsia="Times New Roman" w:hAnsi="Cambria" w:cs="Times New Roman"/>
          <w:b/>
          <w:bCs/>
          <w:color w:val="156082"/>
          <w:sz w:val="24"/>
          <w:szCs w:val="24"/>
          <w:lang w:val="sq-AL"/>
        </w:rPr>
      </w:pPr>
      <w:r w:rsidRPr="00E24ECC">
        <w:rPr>
          <w:rFonts w:ascii="Cambria" w:eastAsia="Times New Roman" w:hAnsi="Cambria" w:cs="Times New Roman"/>
          <w:b/>
          <w:bCs/>
          <w:color w:val="156082"/>
          <w:sz w:val="24"/>
          <w:szCs w:val="24"/>
          <w:lang w:val="sq-AL"/>
        </w:rPr>
        <w:t xml:space="preserve">Tabela </w:t>
      </w:r>
      <w:r w:rsidRPr="00E24ECC">
        <w:rPr>
          <w:rFonts w:ascii="Cambria" w:eastAsia="Times New Roman" w:hAnsi="Cambria" w:cs="Times New Roman"/>
          <w:b/>
          <w:bCs/>
          <w:color w:val="156082"/>
          <w:sz w:val="24"/>
          <w:szCs w:val="24"/>
          <w:lang w:val="sq-AL"/>
        </w:rPr>
        <w:fldChar w:fldCharType="begin"/>
      </w:r>
      <w:r w:rsidRPr="00E24ECC">
        <w:rPr>
          <w:rFonts w:ascii="Cambria" w:eastAsia="Times New Roman" w:hAnsi="Cambria" w:cs="Times New Roman"/>
          <w:b/>
          <w:bCs/>
          <w:color w:val="156082"/>
          <w:sz w:val="24"/>
          <w:szCs w:val="24"/>
          <w:lang w:val="sq-AL"/>
        </w:rPr>
        <w:instrText xml:space="preserve"> SEQ Tabela \* ARABIC </w:instrText>
      </w:r>
      <w:r w:rsidRPr="00E24ECC">
        <w:rPr>
          <w:rFonts w:ascii="Cambria" w:eastAsia="Times New Roman" w:hAnsi="Cambria" w:cs="Times New Roman"/>
          <w:b/>
          <w:bCs/>
          <w:color w:val="156082"/>
          <w:sz w:val="24"/>
          <w:szCs w:val="24"/>
          <w:lang w:val="sq-AL"/>
        </w:rPr>
        <w:fldChar w:fldCharType="separate"/>
      </w:r>
      <w:r w:rsidR="009113BE">
        <w:rPr>
          <w:rFonts w:ascii="Cambria" w:eastAsia="Times New Roman" w:hAnsi="Cambria" w:cs="Times New Roman"/>
          <w:b/>
          <w:bCs/>
          <w:noProof/>
          <w:color w:val="156082"/>
          <w:sz w:val="24"/>
          <w:szCs w:val="24"/>
          <w:lang w:val="sq-AL"/>
        </w:rPr>
        <w:t>9</w:t>
      </w:r>
      <w:r w:rsidRPr="00E24ECC">
        <w:rPr>
          <w:rFonts w:ascii="Cambria" w:eastAsia="Times New Roman" w:hAnsi="Cambria" w:cs="Times New Roman"/>
          <w:b/>
          <w:bCs/>
          <w:color w:val="156082"/>
          <w:sz w:val="24"/>
          <w:szCs w:val="24"/>
          <w:lang w:val="sq-AL"/>
        </w:rPr>
        <w:fldChar w:fldCharType="end"/>
      </w:r>
      <w:r w:rsidRPr="00E24ECC">
        <w:rPr>
          <w:rFonts w:ascii="Cambria" w:eastAsia="Times New Roman" w:hAnsi="Cambria" w:cs="Times New Roman"/>
          <w:b/>
          <w:bCs/>
          <w:color w:val="156082"/>
          <w:sz w:val="24"/>
          <w:szCs w:val="24"/>
          <w:lang w:val="sq-AL"/>
        </w:rPr>
        <w:t>: Shpenzimet për Ministrinë e Arsimit dhe Sportit në vitet 2025-2028</w:t>
      </w:r>
    </w:p>
    <w:p w14:paraId="1400CE71" w14:textId="77777777" w:rsidR="003A62B0" w:rsidRPr="00E24ECC" w:rsidRDefault="003A62B0" w:rsidP="003A62B0">
      <w:pPr>
        <w:spacing w:line="276" w:lineRule="auto"/>
        <w:rPr>
          <w:rFonts w:ascii="Cambria" w:hAnsi="Cambria"/>
          <w:sz w:val="24"/>
          <w:szCs w:val="24"/>
          <w:lang w:val="sq-AL"/>
        </w:rPr>
      </w:pPr>
      <w:r w:rsidRPr="00E24ECC">
        <w:rPr>
          <w:noProof/>
          <w:lang w:val="sq-AL"/>
        </w:rPr>
        <w:drawing>
          <wp:inline distT="0" distB="0" distL="0" distR="0" wp14:anchorId="30430981" wp14:editId="16D0635F">
            <wp:extent cx="6117590" cy="1362075"/>
            <wp:effectExtent l="0" t="0" r="0" b="9525"/>
            <wp:docPr id="30041853" name="Picture 3004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39703" cy="1366998"/>
                    </a:xfrm>
                    <a:prstGeom prst="rect">
                      <a:avLst/>
                    </a:prstGeom>
                    <a:noFill/>
                    <a:ln>
                      <a:noFill/>
                    </a:ln>
                  </pic:spPr>
                </pic:pic>
              </a:graphicData>
            </a:graphic>
          </wp:inline>
        </w:drawing>
      </w:r>
    </w:p>
    <w:p w14:paraId="7DFC8DE1" w14:textId="77777777" w:rsidR="003A62B0" w:rsidRPr="00E24ECC" w:rsidRDefault="003A62B0" w:rsidP="003A62B0">
      <w:pPr>
        <w:spacing w:after="0" w:line="276" w:lineRule="auto"/>
        <w:jc w:val="both"/>
        <w:rPr>
          <w:rFonts w:ascii="Cambria" w:eastAsia="Times New Roman" w:hAnsi="Cambria" w:cs="Times New Roman"/>
          <w:sz w:val="24"/>
          <w:szCs w:val="24"/>
          <w:lang w:val="sq-AL" w:eastAsia="sq-AL"/>
        </w:rPr>
      </w:pPr>
    </w:p>
    <w:p w14:paraId="5CDBDFDB" w14:textId="77777777" w:rsidR="003A62B0" w:rsidRPr="00E24ECC" w:rsidRDefault="003A62B0" w:rsidP="00954232">
      <w:pPr>
        <w:keepNext/>
        <w:keepLines/>
        <w:numPr>
          <w:ilvl w:val="2"/>
          <w:numId w:val="12"/>
        </w:numPr>
        <w:spacing w:before="40" w:after="0" w:line="276" w:lineRule="auto"/>
        <w:outlineLvl w:val="2"/>
        <w:rPr>
          <w:rFonts w:ascii="Cambria" w:eastAsiaTheme="majorEastAsia" w:hAnsi="Cambria" w:cs="Times New Roman"/>
          <w:b/>
          <w:noProof/>
          <w:sz w:val="24"/>
          <w:szCs w:val="24"/>
          <w:lang w:val="sq-AL" w:eastAsia="sq-AL"/>
        </w:rPr>
      </w:pPr>
      <w:r w:rsidRPr="00E24ECC">
        <w:rPr>
          <w:rFonts w:ascii="Cambria" w:eastAsiaTheme="majorEastAsia" w:hAnsi="Cambria" w:cs="Times New Roman"/>
          <w:b/>
          <w:noProof/>
          <w:sz w:val="24"/>
          <w:szCs w:val="24"/>
          <w:lang w:val="sq-AL" w:eastAsia="sq-AL"/>
        </w:rPr>
        <w:t>Prioritetet për periudhën 2025-2028</w:t>
      </w:r>
    </w:p>
    <w:p w14:paraId="7A27BCC8" w14:textId="77777777" w:rsidR="003A62B0" w:rsidRPr="00E24ECC" w:rsidRDefault="003A62B0" w:rsidP="003A62B0">
      <w:pPr>
        <w:keepNext/>
        <w:keepLines/>
        <w:spacing w:before="40" w:after="0" w:line="276" w:lineRule="auto"/>
        <w:ind w:left="720"/>
        <w:outlineLvl w:val="2"/>
        <w:rPr>
          <w:rFonts w:ascii="Cambria" w:eastAsiaTheme="majorEastAsia" w:hAnsi="Cambria" w:cs="Times New Roman"/>
          <w:b/>
          <w:noProof/>
          <w:sz w:val="24"/>
          <w:szCs w:val="24"/>
          <w:lang w:val="sq-AL" w:eastAsia="sq-AL"/>
        </w:rPr>
      </w:pPr>
    </w:p>
    <w:p w14:paraId="618237E5" w14:textId="77777777" w:rsidR="003A62B0" w:rsidRPr="00E24ECC" w:rsidRDefault="003A62B0" w:rsidP="003A62B0">
      <w:pPr>
        <w:spacing w:after="12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Për periudhën 2025-2028, Ministria e Arsimit dhe Sportit do të financojë me prioritet:</w:t>
      </w:r>
    </w:p>
    <w:p w14:paraId="5BA7341E"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r w:rsidRPr="00062D55">
        <w:rPr>
          <w:rFonts w:ascii="Cambria" w:hAnsi="Cambria"/>
          <w:sz w:val="24"/>
          <w:szCs w:val="24"/>
          <w:lang w:val="sq-AL"/>
        </w:rPr>
        <w:t xml:space="preserve">Rritjen e numrit të fëmijëve që ndjekin arsimin parashkollor. </w:t>
      </w:r>
    </w:p>
    <w:p w14:paraId="38873A44"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r w:rsidRPr="00062D55">
        <w:rPr>
          <w:rFonts w:ascii="Cambria" w:hAnsi="Cambria"/>
          <w:sz w:val="24"/>
          <w:szCs w:val="24"/>
          <w:lang w:val="sq-AL"/>
        </w:rPr>
        <w:t>Reduktimin e numrit të klasave kolektive, në arsimin parauniversitar;</w:t>
      </w:r>
    </w:p>
    <w:p w14:paraId="36D3149A"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bookmarkStart w:id="25" w:name="_Hlk168582795"/>
      <w:r w:rsidRPr="00062D55">
        <w:rPr>
          <w:rFonts w:ascii="Cambria" w:hAnsi="Cambria"/>
          <w:sz w:val="24"/>
          <w:szCs w:val="24"/>
          <w:lang w:val="sq-AL"/>
        </w:rPr>
        <w:t xml:space="preserve">Sigurimin i shërbimit të transportit, si dhe mbulimin e shpenzimeve të transportit për rreth 35 000 fëmijë dhe nxënës që kanë vendbanimin e tyre mbi 2 km nga shkolla, si dhe transportin për rreth 12 000 mësues që punojnë mbi 5 Km nga vendbanimi/qendra e përhershme e punës në shkollë, </w:t>
      </w:r>
    </w:p>
    <w:bookmarkEnd w:id="25"/>
    <w:p w14:paraId="5ACA1FE0"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r w:rsidRPr="00062D55">
        <w:rPr>
          <w:rFonts w:ascii="Cambria" w:hAnsi="Cambria"/>
          <w:sz w:val="24"/>
          <w:szCs w:val="24"/>
          <w:lang w:val="sq-AL"/>
        </w:rPr>
        <w:t>Ofrimi i teksteve shkollore falas për afro 220 mijë nxënës që ndjekin arsimin bazë nga klasa e parë në klasën e nëntë, si dhe ofrimin e teksteve shkollore falas për 14-15 mijë nxënës nga shtresa sociale në nevojë në arsimin e mesëm të lartë;</w:t>
      </w:r>
    </w:p>
    <w:p w14:paraId="1735BC9A"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r w:rsidRPr="00062D55">
        <w:rPr>
          <w:rFonts w:ascii="Cambria" w:hAnsi="Cambria"/>
          <w:sz w:val="24"/>
          <w:szCs w:val="24"/>
          <w:lang w:val="sq-AL"/>
        </w:rPr>
        <w:t xml:space="preserve">Ofrimin e bursave financiare apo kuotë ushqimore/financiare për 3 800-4 000 nxënës me nevoja të veçanta si dhe fëmijëve, me ndikim në uljen e braktisjes shkollore, si dhe të nxënësve nga shtresat sociale në nevojë, në arsimin parauniversitar; </w:t>
      </w:r>
    </w:p>
    <w:p w14:paraId="03912CD3" w14:textId="77777777" w:rsidR="003A62B0" w:rsidRPr="00062D55" w:rsidRDefault="003A62B0" w:rsidP="00954232">
      <w:pPr>
        <w:numPr>
          <w:ilvl w:val="0"/>
          <w:numId w:val="29"/>
        </w:numPr>
        <w:spacing w:after="0" w:line="276" w:lineRule="auto"/>
        <w:ind w:left="450" w:hanging="270"/>
        <w:jc w:val="both"/>
        <w:rPr>
          <w:rFonts w:ascii="Cambria" w:hAnsi="Cambria"/>
          <w:sz w:val="24"/>
          <w:szCs w:val="24"/>
          <w:lang w:val="sq-AL"/>
        </w:rPr>
      </w:pPr>
      <w:r w:rsidRPr="00062D55">
        <w:rPr>
          <w:rFonts w:ascii="Cambria" w:hAnsi="Cambria"/>
          <w:sz w:val="24"/>
          <w:szCs w:val="24"/>
          <w:lang w:val="sq-AL"/>
        </w:rPr>
        <w:t xml:space="preserve">Fëmijë rom dhe egjiptian, do të regjistrohet dhe ndjekin arsimin bazë në masën 100% e tyre, do të mbarojnë arsimin e detyruar; </w:t>
      </w:r>
    </w:p>
    <w:p w14:paraId="73715C10"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Hartimin e programeve specifike të veçanta për arsimimin e grupeve të pa favorizuara; </w:t>
      </w:r>
    </w:p>
    <w:p w14:paraId="5EE5C19B" w14:textId="77777777" w:rsidR="003A62B0" w:rsidRPr="00E24ECC" w:rsidRDefault="003A62B0" w:rsidP="00954232">
      <w:pPr>
        <w:pStyle w:val="NoSpacing"/>
        <w:numPr>
          <w:ilvl w:val="0"/>
          <w:numId w:val="29"/>
        </w:numPr>
        <w:spacing w:line="276" w:lineRule="auto"/>
        <w:ind w:left="450" w:hanging="270"/>
        <w:jc w:val="both"/>
        <w:rPr>
          <w:rFonts w:ascii="Cambria" w:hAnsi="Cambria"/>
          <w:color w:val="000000"/>
          <w:sz w:val="24"/>
          <w:szCs w:val="24"/>
          <w:lang w:val="sq-AL" w:eastAsia="sq-AL"/>
        </w:rPr>
      </w:pPr>
      <w:r w:rsidRPr="00E24ECC">
        <w:rPr>
          <w:rFonts w:ascii="Cambria" w:hAnsi="Cambria"/>
          <w:color w:val="000000"/>
          <w:sz w:val="24"/>
          <w:szCs w:val="24"/>
          <w:lang w:val="sq-AL" w:eastAsia="sq-AL"/>
        </w:rPr>
        <w:lastRenderedPageBreak/>
        <w:t xml:space="preserve">Investime në arsim për ndërtimin, rindërtimin e infrastrukturës arsimore, ngritja e dhe fuqizimi i laboratorëve IT, laboratorë didaktikë mësimorë, mjediseve sportive sipas standardeve europiane; </w:t>
      </w:r>
    </w:p>
    <w:p w14:paraId="2F413173"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Zhvilimin dhe zbatimin e kurikulave bazuar në standarde të krahasueshme me vendet e BE-së, nëpërmjet: zbatimit të kurikulës së re në të gjithë sistemin e arsimit parauniversitar si dhe përgatitjes së teksteve specifike për nxënësit e pakicave kombëtare; </w:t>
      </w:r>
    </w:p>
    <w:p w14:paraId="7312CFF5"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14:paraId="33C0D946"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Përfshirja e gjuhës së huaj (gjuhës angleze) që në klasën e parë të arsimit fillor dhe nga klasa e tretë dy gjuhë të huaja, nga të cilat gjuha angleze dhe një gjuhë tjetër e huaj, me zgjedhje;  Të mësuarit e gjuhës angleze që nga klasa e parë e arsimit bazë – Nga viti shkollor 2021-2022 nis mësimi i gjuhës angleze si lëndë e detyruar që nga klasa e parë e arsimit bazë. ( Plani i Qeverisë 2021-2025 _Objektivat për arsimin)</w:t>
      </w:r>
    </w:p>
    <w:p w14:paraId="085C223B"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 Klasat e profilizuara sportive - Do të rritet numri i klasave të profilizuara sportive në mënyrë progresive. në të gjithë vendin, duke filluar që nga viti shkollor 2021-2022 nga 223 në 423, duke shtuar edhe disiplina të reja sportive, si gjimnastikë, atletikë dhe tenis.  ( Plani i Qeverisë 2021-2025 _Objektivat për arsimin)</w:t>
      </w:r>
    </w:p>
    <w:p w14:paraId="5199F611" w14:textId="77777777" w:rsidR="003A62B0" w:rsidRPr="00E24ECC" w:rsidRDefault="003A62B0" w:rsidP="00954232">
      <w:pPr>
        <w:pStyle w:val="ListParagraph"/>
        <w:numPr>
          <w:ilvl w:val="0"/>
          <w:numId w:val="29"/>
        </w:numPr>
        <w:ind w:left="36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 xml:space="preserve"> Garantimin e fondeve grant për mësidhënie si dhe për mbështetjen studentore/bursat e studentëve nga  shtresat sociale në nevojë, studentëve që ndjekin degët në programet prioritare të përcaktuara me VKM si dhe studentëve ekselentë në IAL publike. Mbështetja e IAL-ve publike duke siguruar fondet për kompensimin e efekteve financiare të tarifave të shkollimit për studentët e ciklit të parë  të studimeve që përjashtohen apo reduktohen nga tarifa vjetore e shkollimit. </w:t>
      </w:r>
    </w:p>
    <w:p w14:paraId="1A81D2B4" w14:textId="77777777" w:rsidR="003A62B0" w:rsidRPr="00E24ECC" w:rsidRDefault="003A62B0" w:rsidP="00954232">
      <w:pPr>
        <w:pStyle w:val="ListParagraph"/>
        <w:numPr>
          <w:ilvl w:val="0"/>
          <w:numId w:val="29"/>
        </w:numPr>
        <w:spacing w:after="0"/>
        <w:ind w:left="36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Ndërkombëtarizimi i Arsimit të Lartë – do të vijojë puna për hapjen e filialeve të Universiteteve më të mira ndërkombëtare në Shqipëri, si dhe të programeve të studimit të përbashkëta/të dyfishta. MAS do të mbështesë hapjen e programeve në gjuhën angleze në të gjitha universitetet shqiptare.( Plani i Qeverisë 2021-2025 _Objektivat për arsimin). “Pakti për Universitetet”, do të vijojë zbatimin përmes financimit me përparësi për ngritjen e infrastrukturës  dhe investimeve në kampuset/godinat universitare,</w:t>
      </w:r>
    </w:p>
    <w:p w14:paraId="017D05C8"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Investimet në laboratorë për kërkimin shkencor dhe me sigurimin e integritet akademik dhe shkencor të universiteteve, do të përmirësohet cilësia e produkt universitar, ndërsa diploma e secilit student do të mbartë vlerën që duhet ta ketë. ( Plani i Qeverisë 2021-2025 _Objektivat për arsimin)</w:t>
      </w:r>
    </w:p>
    <w:p w14:paraId="34537A96" w14:textId="77777777" w:rsidR="003A62B0" w:rsidRPr="00E24ECC" w:rsidRDefault="003A62B0" w:rsidP="00954232">
      <w:pPr>
        <w:numPr>
          <w:ilvl w:val="0"/>
          <w:numId w:val="29"/>
        </w:numPr>
        <w:spacing w:after="0" w:line="276" w:lineRule="auto"/>
        <w:ind w:left="450" w:hanging="270"/>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lastRenderedPageBreak/>
        <w:t>Investimet infrastrukturore në kampuset universitare, do të përmirësohet eksperienca studentore dhe do të inkurajohen të rinjtë të ndjekin ëndrrat e tyre në kampuset universitare shqiptare.( Plani i Qeverisë 2021-2025 _Objektivat për arsimin)</w:t>
      </w:r>
    </w:p>
    <w:p w14:paraId="0192976D" w14:textId="77777777" w:rsidR="003A62B0" w:rsidRPr="00E24ECC" w:rsidRDefault="003A62B0" w:rsidP="003A62B0">
      <w:pPr>
        <w:spacing w:after="0" w:line="276" w:lineRule="auto"/>
        <w:ind w:left="360"/>
        <w:jc w:val="both"/>
        <w:rPr>
          <w:rFonts w:ascii="Cambria" w:eastAsia="Times New Roman" w:hAnsi="Cambria" w:cs="Times New Roman"/>
          <w:color w:val="000000"/>
          <w:sz w:val="24"/>
          <w:szCs w:val="24"/>
          <w:lang w:val="sq-AL" w:eastAsia="sq-AL"/>
        </w:rPr>
      </w:pPr>
    </w:p>
    <w:p w14:paraId="6FC7E1C9" w14:textId="77777777" w:rsidR="003A62B0" w:rsidRPr="00E24ECC" w:rsidRDefault="003A62B0" w:rsidP="003A62B0">
      <w:pPr>
        <w:spacing w:after="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Në tabelën e mëposhtme paraqitet buxheti për periudhën 2025-2028 për Ministrinë e Arsimit dhe Sportit, sipas programeve buxhetore dhe sipas klasifikimit ekonomik.</w:t>
      </w:r>
    </w:p>
    <w:p w14:paraId="622DD285" w14:textId="77777777" w:rsidR="003A62B0" w:rsidRPr="00E24ECC" w:rsidRDefault="003A62B0" w:rsidP="003A62B0">
      <w:pPr>
        <w:spacing w:after="0" w:line="276" w:lineRule="auto"/>
        <w:jc w:val="both"/>
        <w:rPr>
          <w:rFonts w:ascii="Cambria" w:eastAsia="Times New Roman" w:hAnsi="Cambria" w:cs="Times New Roman"/>
          <w:b/>
          <w:noProof/>
          <w:sz w:val="24"/>
          <w:szCs w:val="24"/>
          <w:lang w:val="sq-AL"/>
        </w:rPr>
      </w:pPr>
    </w:p>
    <w:p w14:paraId="12F214B5" w14:textId="26F9D629" w:rsidR="003A62B0" w:rsidRPr="00E24ECC" w:rsidRDefault="003A62B0" w:rsidP="003A62B0">
      <w:pPr>
        <w:spacing w:after="200" w:line="276" w:lineRule="auto"/>
        <w:jc w:val="both"/>
        <w:rPr>
          <w:rFonts w:ascii="Cambria" w:eastAsia="Times New Roman" w:hAnsi="Cambria" w:cs="Times New Roman"/>
          <w:b/>
          <w:noProof/>
          <w:color w:val="156082"/>
          <w:sz w:val="24"/>
          <w:szCs w:val="24"/>
          <w:lang w:val="sq-AL"/>
        </w:rPr>
      </w:pPr>
      <w:r w:rsidRPr="00E24ECC">
        <w:rPr>
          <w:rFonts w:ascii="Cambria" w:eastAsia="Times New Roman" w:hAnsi="Cambria" w:cs="Times New Roman"/>
          <w:b/>
          <w:noProof/>
          <w:color w:val="156082"/>
          <w:sz w:val="24"/>
          <w:szCs w:val="24"/>
          <w:lang w:val="sq-AL"/>
        </w:rPr>
        <w:t xml:space="preserve">Tabela </w:t>
      </w:r>
      <w:r w:rsidRPr="00E24ECC">
        <w:rPr>
          <w:rFonts w:ascii="Cambria" w:eastAsia="Times New Roman" w:hAnsi="Cambria" w:cs="Times New Roman"/>
          <w:b/>
          <w:noProof/>
          <w:color w:val="156082"/>
          <w:sz w:val="24"/>
          <w:szCs w:val="24"/>
          <w:lang w:val="sq-AL"/>
        </w:rPr>
        <w:fldChar w:fldCharType="begin"/>
      </w:r>
      <w:r w:rsidRPr="00E24ECC">
        <w:rPr>
          <w:rFonts w:ascii="Cambria" w:eastAsia="Times New Roman" w:hAnsi="Cambria" w:cs="Times New Roman"/>
          <w:b/>
          <w:noProof/>
          <w:color w:val="156082"/>
          <w:sz w:val="24"/>
          <w:szCs w:val="24"/>
          <w:lang w:val="sq-AL"/>
        </w:rPr>
        <w:instrText xml:space="preserve"> SEQ Tabela \* ARABIC </w:instrText>
      </w:r>
      <w:r w:rsidRPr="00E24ECC">
        <w:rPr>
          <w:rFonts w:ascii="Cambria" w:eastAsia="Times New Roman" w:hAnsi="Cambria" w:cs="Times New Roman"/>
          <w:b/>
          <w:noProof/>
          <w:color w:val="156082"/>
          <w:sz w:val="24"/>
          <w:szCs w:val="24"/>
          <w:lang w:val="sq-AL"/>
        </w:rPr>
        <w:fldChar w:fldCharType="separate"/>
      </w:r>
      <w:r w:rsidR="009113BE">
        <w:rPr>
          <w:rFonts w:ascii="Cambria" w:eastAsia="Times New Roman" w:hAnsi="Cambria" w:cs="Times New Roman"/>
          <w:b/>
          <w:noProof/>
          <w:color w:val="156082"/>
          <w:sz w:val="24"/>
          <w:szCs w:val="24"/>
          <w:lang w:val="sq-AL"/>
        </w:rPr>
        <w:t>10</w:t>
      </w:r>
      <w:r w:rsidRPr="00E24ECC">
        <w:rPr>
          <w:rFonts w:ascii="Cambria" w:eastAsia="Times New Roman" w:hAnsi="Cambria" w:cs="Times New Roman"/>
          <w:b/>
          <w:noProof/>
          <w:color w:val="156082"/>
          <w:sz w:val="24"/>
          <w:szCs w:val="24"/>
          <w:lang w:val="sq-AL"/>
        </w:rPr>
        <w:fldChar w:fldCharType="end"/>
      </w:r>
      <w:r w:rsidRPr="00E24ECC">
        <w:rPr>
          <w:rFonts w:ascii="Cambria" w:eastAsia="Times New Roman" w:hAnsi="Cambria" w:cs="Times New Roman"/>
          <w:b/>
          <w:noProof/>
          <w:color w:val="156082"/>
          <w:sz w:val="24"/>
          <w:szCs w:val="24"/>
          <w:lang w:val="sq-AL"/>
        </w:rPr>
        <w:t>: Shpenzimet e Ministrisë së Arsimit dhe Sportit sipas programeve buxhetore dhe sipas artikujve ekonomikë</w:t>
      </w:r>
    </w:p>
    <w:p w14:paraId="6C1115CE" w14:textId="77777777" w:rsidR="003A62B0" w:rsidRPr="00E24ECC" w:rsidRDefault="003A62B0" w:rsidP="003A62B0">
      <w:pPr>
        <w:spacing w:line="276" w:lineRule="auto"/>
        <w:ind w:left="-360"/>
        <w:jc w:val="center"/>
        <w:rPr>
          <w:rFonts w:ascii="Cambria" w:hAnsi="Cambria"/>
          <w:sz w:val="24"/>
          <w:szCs w:val="24"/>
          <w:lang w:val="sq-AL"/>
        </w:rPr>
      </w:pPr>
      <w:r w:rsidRPr="00E24ECC">
        <w:rPr>
          <w:noProof/>
          <w:lang w:val="sq-AL"/>
        </w:rPr>
        <w:drawing>
          <wp:inline distT="0" distB="0" distL="0" distR="0" wp14:anchorId="5380EE41" wp14:editId="5DCE5044">
            <wp:extent cx="5943125" cy="415853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5039" cy="4159871"/>
                    </a:xfrm>
                    <a:prstGeom prst="rect">
                      <a:avLst/>
                    </a:prstGeom>
                    <a:noFill/>
                    <a:ln>
                      <a:noFill/>
                    </a:ln>
                  </pic:spPr>
                </pic:pic>
              </a:graphicData>
            </a:graphic>
          </wp:inline>
        </w:drawing>
      </w:r>
    </w:p>
    <w:p w14:paraId="667E6690" w14:textId="77777777" w:rsidR="003A62B0" w:rsidRPr="00E24ECC" w:rsidRDefault="003A62B0" w:rsidP="003A62B0">
      <w:pPr>
        <w:spacing w:line="276" w:lineRule="auto"/>
        <w:ind w:left="-360"/>
        <w:jc w:val="center"/>
        <w:rPr>
          <w:rFonts w:ascii="Cambria" w:hAnsi="Cambria"/>
          <w:sz w:val="24"/>
          <w:szCs w:val="24"/>
          <w:lang w:val="sq-AL"/>
        </w:rPr>
      </w:pPr>
    </w:p>
    <w:p w14:paraId="1A317D5A" w14:textId="77777777" w:rsidR="003A62B0" w:rsidRPr="00E24ECC" w:rsidRDefault="003A62B0" w:rsidP="00954232">
      <w:pPr>
        <w:keepNext/>
        <w:keepLines/>
        <w:numPr>
          <w:ilvl w:val="2"/>
          <w:numId w:val="12"/>
        </w:numPr>
        <w:spacing w:before="40" w:after="0" w:line="276" w:lineRule="auto"/>
        <w:outlineLvl w:val="2"/>
        <w:rPr>
          <w:rFonts w:ascii="Cambria" w:eastAsiaTheme="majorEastAsia" w:hAnsi="Cambria" w:cs="Times New Roman"/>
          <w:b/>
          <w:noProof/>
          <w:sz w:val="24"/>
          <w:szCs w:val="24"/>
          <w:lang w:val="sq-AL" w:eastAsia="sq-AL"/>
        </w:rPr>
      </w:pPr>
      <w:r w:rsidRPr="00E24ECC">
        <w:rPr>
          <w:rFonts w:ascii="Cambria" w:eastAsiaTheme="majorEastAsia" w:hAnsi="Cambria" w:cs="Times New Roman"/>
          <w:b/>
          <w:noProof/>
          <w:sz w:val="24"/>
          <w:szCs w:val="24"/>
          <w:lang w:val="sq-AL" w:eastAsia="sq-AL"/>
        </w:rPr>
        <w:t>Përmbledhje e Treguesve Kyç të Performancës</w:t>
      </w:r>
    </w:p>
    <w:p w14:paraId="77A2B3C4" w14:textId="77777777" w:rsidR="003A62B0" w:rsidRPr="00E24ECC" w:rsidRDefault="003A62B0" w:rsidP="003A62B0">
      <w:pPr>
        <w:spacing w:before="120" w:after="120" w:line="276" w:lineRule="auto"/>
        <w:jc w:val="both"/>
        <w:rPr>
          <w:rFonts w:ascii="Cambria" w:eastAsia="Times New Roman" w:hAnsi="Cambria" w:cs="Times New Roman"/>
          <w:color w:val="000000"/>
          <w:sz w:val="24"/>
          <w:szCs w:val="24"/>
          <w:lang w:val="sq-AL" w:eastAsia="sq-AL"/>
        </w:rPr>
      </w:pPr>
      <w:r w:rsidRPr="00E24ECC">
        <w:rPr>
          <w:rFonts w:ascii="Cambria" w:eastAsia="Times New Roman" w:hAnsi="Cambria" w:cs="Times New Roman"/>
          <w:color w:val="000000"/>
          <w:sz w:val="24"/>
          <w:szCs w:val="24"/>
          <w:lang w:val="sq-AL" w:eastAsia="sq-AL"/>
        </w:rPr>
        <w:t>Disa nga prioritetet e kësaj Ministrie për 3 vitet në vijim janë:</w:t>
      </w:r>
    </w:p>
    <w:p w14:paraId="37D770BF" w14:textId="77777777" w:rsidR="003A62B0" w:rsidRPr="00E24ECC" w:rsidRDefault="003A62B0" w:rsidP="003A62B0">
      <w:p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b/>
          <w:sz w:val="24"/>
          <w:szCs w:val="24"/>
          <w:lang w:val="sq-AL"/>
        </w:rPr>
        <w:t>Treguesit e performancës për programin Arsimi Bazë (09120), parashikuar për periudhën 2025-2028;</w:t>
      </w:r>
    </w:p>
    <w:p w14:paraId="5F0D23AE" w14:textId="77777777" w:rsidR="003A62B0" w:rsidRPr="00E24ECC" w:rsidRDefault="003A62B0" w:rsidP="00954232">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sz w:val="24"/>
          <w:szCs w:val="24"/>
          <w:lang w:val="sq-AL"/>
        </w:rPr>
        <w:t>Të sigurohet rritja e aksesit të fëmijëve 3-6 vjeçarë në masën 83% në arsimin parashkollor deri në vitin 2028.</w:t>
      </w:r>
    </w:p>
    <w:p w14:paraId="161EB151" w14:textId="77777777" w:rsidR="003A62B0" w:rsidRPr="00E24ECC" w:rsidRDefault="003A62B0" w:rsidP="00954232">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sz w:val="24"/>
          <w:szCs w:val="24"/>
          <w:lang w:val="sq-AL"/>
        </w:rPr>
        <w:t>Të realizohet trajnim çdo vit i mesatarisht 50% i mësuesve në AB dhe rreth 100 mësuesve nga diaspora si dhe mesatarisht 900 mësues ndihmës për fëmijët me AK;</w:t>
      </w:r>
    </w:p>
    <w:p w14:paraId="32852181" w14:textId="77777777" w:rsidR="003A62B0" w:rsidRPr="00E24ECC" w:rsidRDefault="003A62B0" w:rsidP="00954232">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sz w:val="24"/>
          <w:szCs w:val="24"/>
          <w:lang w:val="sq-AL"/>
        </w:rPr>
        <w:lastRenderedPageBreak/>
        <w:t>Të rritet përqindja e nxënësve Romë dhe Egjiptian, që u ofrohen tekste shkollore falas duke arritur 100% për çdo vit;</w:t>
      </w:r>
    </w:p>
    <w:p w14:paraId="38632ABB" w14:textId="77777777" w:rsidR="003A62B0" w:rsidRPr="00E24ECC" w:rsidRDefault="003A62B0" w:rsidP="00954232">
      <w:pPr>
        <w:numPr>
          <w:ilvl w:val="0"/>
          <w:numId w:val="21"/>
        </w:num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sz w:val="24"/>
          <w:szCs w:val="24"/>
          <w:lang w:val="sq-AL"/>
        </w:rPr>
        <w:t>Të rritet numri i psikologëve dhe punonjësve socialë të trajnuar në 450 deri në vitin 2028;</w:t>
      </w:r>
    </w:p>
    <w:p w14:paraId="4F6B0BBE" w14:textId="77777777" w:rsidR="003A62B0" w:rsidRPr="00E24ECC" w:rsidRDefault="003A62B0" w:rsidP="00954232">
      <w:pPr>
        <w:numPr>
          <w:ilvl w:val="0"/>
          <w:numId w:val="21"/>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Të rritet numri i nxënësve Romë e Egjiptian që ndjekin arsimin parashkollor nga 2147 në vitin 2025 në 2300 nxënës në vitin 2028, si dhe atyre që ndjekin arsimin 9-vjeçar nga 9379 në vitin 2025 në 9600 nxënës në vitin 2028;</w:t>
      </w:r>
    </w:p>
    <w:p w14:paraId="58AE609F" w14:textId="77777777" w:rsidR="003A62B0" w:rsidRPr="00E24ECC" w:rsidRDefault="003A62B0" w:rsidP="003A62B0">
      <w:pPr>
        <w:autoSpaceDE w:val="0"/>
        <w:autoSpaceDN w:val="0"/>
        <w:adjustRightInd w:val="0"/>
        <w:spacing w:after="0" w:line="276" w:lineRule="auto"/>
        <w:ind w:left="720"/>
        <w:jc w:val="both"/>
        <w:rPr>
          <w:rFonts w:ascii="Cambria" w:hAnsi="Cambria" w:cs="Times New Roman"/>
          <w:b/>
          <w:sz w:val="24"/>
          <w:szCs w:val="24"/>
          <w:lang w:val="sq-AL"/>
        </w:rPr>
      </w:pPr>
    </w:p>
    <w:p w14:paraId="34BDA37B" w14:textId="77777777" w:rsidR="003A62B0" w:rsidRPr="00E24ECC" w:rsidRDefault="003A62B0" w:rsidP="003A62B0">
      <w:p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b/>
          <w:sz w:val="24"/>
          <w:szCs w:val="24"/>
          <w:lang w:val="sq-AL"/>
        </w:rPr>
        <w:t>Treguesit e performancës për programin Arsimi i Mesëm i Përgjithshëm Gjimnazet (09230).</w:t>
      </w:r>
    </w:p>
    <w:p w14:paraId="6A3578DA" w14:textId="77777777" w:rsidR="003A62B0" w:rsidRPr="00E24ECC" w:rsidRDefault="003A62B0" w:rsidP="00954232">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Deri në vitin 2028, 84% e nxënësve që mbarojnë arsimin bazë të regjistrohen në një nga format/ llojet e arsimit të mesëm;</w:t>
      </w:r>
    </w:p>
    <w:p w14:paraId="206A34DD" w14:textId="2937721A" w:rsidR="003A62B0" w:rsidRPr="00E24ECC" w:rsidRDefault="003A62B0" w:rsidP="00954232">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Rreth 15 mijë Nxënës të Arsimit të mesëm të lartë ju sigurohen tekstet shkollore falas (klasa 10 deri në klasën 12) çdo vit përgjatë 2025-2028.</w:t>
      </w:r>
    </w:p>
    <w:p w14:paraId="257ACAD1" w14:textId="0197A7CD" w:rsidR="003A62B0" w:rsidRPr="00E24ECC" w:rsidRDefault="003A62B0" w:rsidP="00954232">
      <w:pPr>
        <w:numPr>
          <w:ilvl w:val="0"/>
          <w:numId w:val="22"/>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Të rritet përqindja e nxënësve që ndjekin arsimin e mesëm publik nga 95% në 98% në vitin 2028.</w:t>
      </w:r>
    </w:p>
    <w:p w14:paraId="72C3872B" w14:textId="77777777" w:rsidR="003A62B0" w:rsidRPr="00E24ECC" w:rsidRDefault="003A62B0" w:rsidP="003A62B0">
      <w:pPr>
        <w:autoSpaceDE w:val="0"/>
        <w:autoSpaceDN w:val="0"/>
        <w:adjustRightInd w:val="0"/>
        <w:spacing w:after="0" w:line="276" w:lineRule="auto"/>
        <w:jc w:val="both"/>
        <w:rPr>
          <w:rFonts w:ascii="Cambria" w:hAnsi="Cambria" w:cs="Times New Roman"/>
          <w:sz w:val="24"/>
          <w:szCs w:val="24"/>
          <w:lang w:val="sq-AL"/>
        </w:rPr>
      </w:pPr>
    </w:p>
    <w:p w14:paraId="52257541" w14:textId="383F5C18" w:rsidR="003A62B0" w:rsidRPr="00E24ECC" w:rsidRDefault="003A62B0" w:rsidP="003A62B0">
      <w:p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b/>
          <w:sz w:val="24"/>
          <w:szCs w:val="24"/>
          <w:lang w:val="sq-AL"/>
        </w:rPr>
        <w:t>Treguesit e performancës për programin Arsimit të Lartë (09450);</w:t>
      </w:r>
    </w:p>
    <w:p w14:paraId="0210298A" w14:textId="77777777" w:rsidR="003A62B0" w:rsidRPr="00E24ECC" w:rsidRDefault="003A62B0" w:rsidP="00954232">
      <w:pPr>
        <w:numPr>
          <w:ilvl w:val="0"/>
          <w:numId w:val="23"/>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Deri në vitin 2028 rreth 12 000 studentë ekselencë, studentë në nevojë të përfitojnë bursa e studentore;</w:t>
      </w:r>
    </w:p>
    <w:p w14:paraId="41164E54" w14:textId="73AC0D00" w:rsidR="003A62B0" w:rsidRPr="00E24ECC" w:rsidRDefault="003A62B0" w:rsidP="00954232">
      <w:pPr>
        <w:pStyle w:val="ListParagraph"/>
        <w:numPr>
          <w:ilvl w:val="0"/>
          <w:numId w:val="23"/>
        </w:numPr>
        <w:rPr>
          <w:rFonts w:ascii="Cambria" w:hAnsi="Cambria" w:cs="Times New Roman"/>
          <w:sz w:val="24"/>
          <w:szCs w:val="24"/>
          <w:lang w:val="sq-AL"/>
        </w:rPr>
      </w:pPr>
      <w:bookmarkStart w:id="26" w:name="_Hlk168649813"/>
      <w:r w:rsidRPr="00E24ECC">
        <w:rPr>
          <w:rFonts w:ascii="Cambria" w:hAnsi="Cambria" w:cs="Times New Roman"/>
          <w:sz w:val="24"/>
          <w:szCs w:val="24"/>
          <w:lang w:val="sq-AL"/>
        </w:rPr>
        <w:t>Numri i trupës akademike femra, pedagogë të brendshëm efektive në IAL publike për vitin 2025 është 2002 dhe synon të arrijë në 2100 deri në vitin 2028.</w:t>
      </w:r>
    </w:p>
    <w:p w14:paraId="0FC7B307" w14:textId="77777777" w:rsidR="003A62B0" w:rsidRPr="00E24ECC" w:rsidRDefault="003A62B0" w:rsidP="00954232">
      <w:pPr>
        <w:pStyle w:val="ListParagraph"/>
        <w:numPr>
          <w:ilvl w:val="0"/>
          <w:numId w:val="23"/>
        </w:numPr>
        <w:rPr>
          <w:rFonts w:ascii="Cambria" w:hAnsi="Cambria" w:cs="Times New Roman"/>
          <w:sz w:val="24"/>
          <w:szCs w:val="24"/>
          <w:lang w:val="sq-AL"/>
        </w:rPr>
      </w:pPr>
      <w:r w:rsidRPr="00E24ECC">
        <w:rPr>
          <w:rFonts w:ascii="Cambria" w:hAnsi="Cambria" w:cs="Times New Roman"/>
          <w:sz w:val="24"/>
          <w:szCs w:val="24"/>
          <w:lang w:val="sq-AL"/>
        </w:rPr>
        <w:t xml:space="preserve">Raporti student/pedagog të arrijë 1 pegagog për 25 studentë. </w:t>
      </w:r>
    </w:p>
    <w:bookmarkEnd w:id="26"/>
    <w:p w14:paraId="7B2BDB19" w14:textId="77777777" w:rsidR="003A62B0" w:rsidRPr="00E24ECC" w:rsidRDefault="003A62B0" w:rsidP="003A62B0">
      <w:pPr>
        <w:autoSpaceDE w:val="0"/>
        <w:autoSpaceDN w:val="0"/>
        <w:adjustRightInd w:val="0"/>
        <w:spacing w:after="0" w:line="276" w:lineRule="auto"/>
        <w:jc w:val="both"/>
        <w:rPr>
          <w:rFonts w:ascii="Cambria" w:hAnsi="Cambria" w:cs="Times New Roman"/>
          <w:sz w:val="24"/>
          <w:szCs w:val="24"/>
          <w:lang w:val="sq-AL"/>
        </w:rPr>
      </w:pPr>
    </w:p>
    <w:p w14:paraId="5C8139D4" w14:textId="77777777" w:rsidR="003A62B0" w:rsidRPr="00E24ECC" w:rsidRDefault="003A62B0" w:rsidP="003A62B0">
      <w:p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b/>
          <w:sz w:val="24"/>
          <w:szCs w:val="24"/>
          <w:lang w:val="sq-AL"/>
        </w:rPr>
        <w:t>Treguesit e performancës për programin për Fonde për Shkencën (09770);</w:t>
      </w:r>
    </w:p>
    <w:p w14:paraId="64945BA5" w14:textId="77777777" w:rsidR="003A62B0" w:rsidRPr="00E24ECC" w:rsidRDefault="003A62B0" w:rsidP="00954232">
      <w:pPr>
        <w:numPr>
          <w:ilvl w:val="0"/>
          <w:numId w:val="24"/>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bCs/>
          <w:sz w:val="24"/>
          <w:szCs w:val="24"/>
          <w:lang w:val="sq-AL"/>
        </w:rPr>
        <w:t>Numri i  kërkuesve shkencorë për 1000 banorë deri në vitin 2028</w:t>
      </w:r>
      <w:r w:rsidRPr="00E24ECC">
        <w:rPr>
          <w:rFonts w:ascii="Cambria" w:hAnsi="Cambria" w:cs="Times New Roman"/>
          <w:sz w:val="24"/>
          <w:szCs w:val="24"/>
          <w:lang w:val="sq-AL"/>
        </w:rPr>
        <w:t xml:space="preserve"> të arrijë në nivelin e  mesatares së vendeve të OECD;</w:t>
      </w:r>
    </w:p>
    <w:p w14:paraId="2A8CBCC8" w14:textId="77777777" w:rsidR="003A62B0" w:rsidRPr="00E24ECC" w:rsidRDefault="003A62B0" w:rsidP="00954232">
      <w:pPr>
        <w:numPr>
          <w:ilvl w:val="0"/>
          <w:numId w:val="24"/>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Të arrihet standardi 7 kërkues për çdo 1000 të punësuar;</w:t>
      </w:r>
    </w:p>
    <w:p w14:paraId="74331773" w14:textId="77777777" w:rsidR="003A62B0" w:rsidRPr="00E24ECC" w:rsidRDefault="003A62B0" w:rsidP="00954232">
      <w:pPr>
        <w:numPr>
          <w:ilvl w:val="0"/>
          <w:numId w:val="24"/>
        </w:num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sz w:val="24"/>
          <w:szCs w:val="24"/>
          <w:lang w:val="sq-AL"/>
        </w:rPr>
        <w:t>69% e kërkuesve shkencorë janë Vajza/Gra me synim që pas vitit 2021 të sigurohet barazi gjinore në projektet fitues.</w:t>
      </w:r>
    </w:p>
    <w:p w14:paraId="67178BF7" w14:textId="77777777" w:rsidR="003A62B0" w:rsidRPr="00E24ECC" w:rsidRDefault="003A62B0" w:rsidP="003A62B0">
      <w:pPr>
        <w:autoSpaceDE w:val="0"/>
        <w:autoSpaceDN w:val="0"/>
        <w:adjustRightInd w:val="0"/>
        <w:spacing w:after="0" w:line="276" w:lineRule="auto"/>
        <w:jc w:val="both"/>
        <w:rPr>
          <w:rFonts w:ascii="Cambria" w:hAnsi="Cambria" w:cs="Times New Roman"/>
          <w:sz w:val="24"/>
          <w:szCs w:val="24"/>
          <w:lang w:val="sq-AL"/>
        </w:rPr>
      </w:pPr>
    </w:p>
    <w:p w14:paraId="0D615FDF" w14:textId="77777777" w:rsidR="003A62B0" w:rsidRPr="00E24ECC" w:rsidRDefault="003A62B0" w:rsidP="003A62B0">
      <w:pPr>
        <w:autoSpaceDE w:val="0"/>
        <w:autoSpaceDN w:val="0"/>
        <w:adjustRightInd w:val="0"/>
        <w:spacing w:after="0" w:line="276" w:lineRule="auto"/>
        <w:jc w:val="both"/>
        <w:rPr>
          <w:rFonts w:ascii="Cambria" w:hAnsi="Cambria" w:cs="Times New Roman"/>
          <w:b/>
          <w:sz w:val="24"/>
          <w:szCs w:val="24"/>
          <w:lang w:val="sq-AL"/>
        </w:rPr>
      </w:pPr>
      <w:r w:rsidRPr="00E24ECC">
        <w:rPr>
          <w:rFonts w:ascii="Cambria" w:hAnsi="Cambria" w:cs="Times New Roman"/>
          <w:b/>
          <w:sz w:val="24"/>
          <w:szCs w:val="24"/>
          <w:lang w:val="sq-AL"/>
        </w:rPr>
        <w:t>Treguesit e performancës për programin për Zhvillimi i Sportit (08140);</w:t>
      </w:r>
    </w:p>
    <w:p w14:paraId="6BA79905" w14:textId="77777777" w:rsidR="003A62B0" w:rsidRPr="00E24ECC" w:rsidRDefault="003A62B0" w:rsidP="00954232">
      <w:pPr>
        <w:numPr>
          <w:ilvl w:val="0"/>
          <w:numId w:val="25"/>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Mbështetje financiare për rreth 25 federata sportive gjithsej në vit,</w:t>
      </w:r>
    </w:p>
    <w:p w14:paraId="17A638B3" w14:textId="77777777" w:rsidR="003A62B0" w:rsidRPr="00E24ECC" w:rsidRDefault="003A62B0" w:rsidP="00954232">
      <w:pPr>
        <w:numPr>
          <w:ilvl w:val="0"/>
          <w:numId w:val="25"/>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Rritje e numrit të sportistëve të licensuar në federata shqiptare të sportit, në 30 000 deri në vitin 2028, në përputhje me parimet e barazisë gjinore;</w:t>
      </w:r>
    </w:p>
    <w:p w14:paraId="5ED9E372" w14:textId="77777777" w:rsidR="003A62B0" w:rsidRPr="00E24ECC" w:rsidRDefault="003A62B0" w:rsidP="00954232">
      <w:pPr>
        <w:numPr>
          <w:ilvl w:val="0"/>
          <w:numId w:val="25"/>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t>Numri i pjesëmarrjeve në aktivitetet ndërkombëtare, 320 aktivitete ndërkombëtare në vitin 2028 nga 300 të parashikuar në vitin 2025;</w:t>
      </w:r>
    </w:p>
    <w:p w14:paraId="67F783FF" w14:textId="77777777" w:rsidR="003A62B0" w:rsidRPr="00E24ECC" w:rsidRDefault="003A62B0" w:rsidP="00954232">
      <w:pPr>
        <w:numPr>
          <w:ilvl w:val="0"/>
          <w:numId w:val="25"/>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color w:val="000000"/>
          <w:sz w:val="24"/>
          <w:szCs w:val="24"/>
          <w:lang w:val="sq-AL"/>
        </w:rPr>
        <w:t>Numri i medaljeve në aktivitetet ndërkombëtare, mesatarisht 50 medalje përgjatë viteve 2025-2028;</w:t>
      </w:r>
    </w:p>
    <w:p w14:paraId="1D8FC9F2" w14:textId="77777777" w:rsidR="003A62B0" w:rsidRPr="00E24ECC" w:rsidRDefault="003A62B0" w:rsidP="00954232">
      <w:pPr>
        <w:numPr>
          <w:ilvl w:val="0"/>
          <w:numId w:val="25"/>
        </w:numPr>
        <w:autoSpaceDE w:val="0"/>
        <w:autoSpaceDN w:val="0"/>
        <w:adjustRightInd w:val="0"/>
        <w:spacing w:after="0" w:line="276" w:lineRule="auto"/>
        <w:jc w:val="both"/>
        <w:rPr>
          <w:rFonts w:ascii="Cambria" w:hAnsi="Cambria" w:cs="Times New Roman"/>
          <w:sz w:val="24"/>
          <w:szCs w:val="24"/>
          <w:lang w:val="sq-AL"/>
        </w:rPr>
      </w:pPr>
      <w:r w:rsidRPr="00E24ECC">
        <w:rPr>
          <w:rFonts w:ascii="Cambria" w:hAnsi="Cambria" w:cs="Times New Roman"/>
          <w:sz w:val="24"/>
          <w:szCs w:val="24"/>
          <w:lang w:val="sq-AL"/>
        </w:rPr>
        <w:lastRenderedPageBreak/>
        <w:t>Mbështetje financiare me investime në sport për ndërtimin/rindërtimin e objekteve sportive, pajisje me bazë materiale në ekipet sportive kombëtare.</w:t>
      </w:r>
    </w:p>
    <w:p w14:paraId="5CFFC596" w14:textId="77777777" w:rsidR="003840D9" w:rsidRPr="00E24ECC" w:rsidRDefault="003840D9" w:rsidP="003840D9">
      <w:pPr>
        <w:spacing w:after="120" w:line="276" w:lineRule="auto"/>
        <w:jc w:val="center"/>
        <w:rPr>
          <w:rFonts w:ascii="Cambria" w:eastAsiaTheme="minorHAnsi" w:hAnsi="Cambria" w:cs="Times New Roman"/>
          <w:sz w:val="24"/>
          <w:szCs w:val="24"/>
          <w:lang w:val="sq-AL"/>
        </w:rPr>
      </w:pPr>
    </w:p>
    <w:p w14:paraId="5B4BF810" w14:textId="77777777" w:rsidR="0033048E" w:rsidRPr="00E24ECC" w:rsidRDefault="0033048E" w:rsidP="0033048E">
      <w:pPr>
        <w:autoSpaceDE w:val="0"/>
        <w:autoSpaceDN w:val="0"/>
        <w:adjustRightInd w:val="0"/>
        <w:spacing w:after="0" w:line="276" w:lineRule="auto"/>
        <w:jc w:val="both"/>
        <w:rPr>
          <w:rFonts w:ascii="Cambria" w:hAnsi="Cambria" w:cs="Times New Roman"/>
          <w:sz w:val="24"/>
          <w:szCs w:val="24"/>
          <w:lang w:val="sq-AL"/>
        </w:rPr>
      </w:pPr>
    </w:p>
    <w:p w14:paraId="0C785F39" w14:textId="77777777" w:rsidR="00D45E6A" w:rsidRPr="00E24ECC" w:rsidRDefault="00D45E6A" w:rsidP="005B66E4">
      <w:pPr>
        <w:pStyle w:val="Heading2"/>
        <w:spacing w:line="276" w:lineRule="auto"/>
        <w:rPr>
          <w:rFonts w:ascii="Cambria" w:eastAsia="Calibri" w:hAnsi="Cambria"/>
          <w:i w:val="0"/>
          <w:sz w:val="24"/>
          <w:szCs w:val="24"/>
          <w:lang w:val="sq-AL"/>
        </w:rPr>
      </w:pPr>
      <w:bookmarkStart w:id="27" w:name="_Toc200704916"/>
      <w:r w:rsidRPr="00E24ECC">
        <w:rPr>
          <w:rFonts w:ascii="Cambria" w:eastAsia="Calibri" w:hAnsi="Cambria"/>
          <w:i w:val="0"/>
          <w:sz w:val="24"/>
          <w:szCs w:val="24"/>
          <w:lang w:val="sq-AL"/>
        </w:rPr>
        <w:t>M</w:t>
      </w:r>
      <w:bookmarkEnd w:id="23"/>
      <w:r w:rsidRPr="00E24ECC">
        <w:rPr>
          <w:rFonts w:ascii="Cambria" w:eastAsia="Calibri" w:hAnsi="Cambria"/>
          <w:i w:val="0"/>
          <w:sz w:val="24"/>
          <w:szCs w:val="24"/>
          <w:lang w:val="sq-AL"/>
        </w:rPr>
        <w:t>INISTRIA E BUJQËSISË DHE ZHVILLIMIT RURAL</w:t>
      </w:r>
      <w:bookmarkEnd w:id="24"/>
      <w:bookmarkEnd w:id="27"/>
    </w:p>
    <w:p w14:paraId="7FC7BFC9" w14:textId="77777777" w:rsidR="00004FF4" w:rsidRPr="001F631B" w:rsidRDefault="00004FF4" w:rsidP="00004FF4">
      <w:pPr>
        <w:spacing w:before="120" w:after="120" w:line="276" w:lineRule="auto"/>
        <w:jc w:val="both"/>
        <w:rPr>
          <w:rFonts w:ascii="Cambria" w:eastAsia="Times New Roman" w:hAnsi="Cambria" w:cs="Times New Roman"/>
          <w:noProof/>
          <w:sz w:val="24"/>
          <w:lang w:val="sq-AL"/>
        </w:rPr>
      </w:pPr>
      <w:r w:rsidRPr="001F631B">
        <w:rPr>
          <w:rFonts w:ascii="Cambria" w:eastAsia="Times New Roman" w:hAnsi="Cambria" w:cs="Times New Roman"/>
          <w:noProof/>
          <w:sz w:val="24"/>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2D156CF2" w14:textId="77777777" w:rsidR="00004FF4" w:rsidRPr="001F631B" w:rsidRDefault="00004FF4" w:rsidP="00954232">
      <w:pPr>
        <w:numPr>
          <w:ilvl w:val="0"/>
          <w:numId w:val="6"/>
        </w:numPr>
        <w:spacing w:before="120" w:after="120" w:line="276" w:lineRule="auto"/>
        <w:jc w:val="both"/>
        <w:rPr>
          <w:rFonts w:ascii="Cambria" w:eastAsia="Times New Roman" w:hAnsi="Cambria" w:cs="Times New Roman"/>
          <w:noProof/>
          <w:sz w:val="24"/>
          <w:lang w:val="sq-AL"/>
        </w:rPr>
      </w:pPr>
      <w:r w:rsidRPr="001F631B">
        <w:rPr>
          <w:rFonts w:ascii="Cambria" w:eastAsia="Times New Roman" w:hAnsi="Cambria" w:cs="Times New Roman"/>
          <w:noProof/>
          <w:sz w:val="24"/>
          <w:lang w:val="sq-AL"/>
        </w:rPr>
        <w:t xml:space="preserve">uljes së kostos dhe rritjes së konkurueshmërisë, </w:t>
      </w:r>
    </w:p>
    <w:p w14:paraId="2A013B2F" w14:textId="77777777" w:rsidR="00004FF4" w:rsidRPr="001F631B" w:rsidRDefault="00004FF4" w:rsidP="00954232">
      <w:pPr>
        <w:numPr>
          <w:ilvl w:val="0"/>
          <w:numId w:val="6"/>
        </w:numPr>
        <w:spacing w:before="120" w:after="120" w:line="276" w:lineRule="auto"/>
        <w:jc w:val="both"/>
        <w:rPr>
          <w:rFonts w:ascii="Cambria" w:eastAsia="Times New Roman" w:hAnsi="Cambria" w:cs="Times New Roman"/>
          <w:noProof/>
          <w:sz w:val="24"/>
          <w:lang w:val="sq-AL"/>
        </w:rPr>
      </w:pPr>
      <w:r w:rsidRPr="001F631B">
        <w:rPr>
          <w:rFonts w:ascii="Cambria" w:eastAsia="Times New Roman" w:hAnsi="Cambria" w:cs="Times New Roman"/>
          <w:noProof/>
          <w:sz w:val="24"/>
          <w:lang w:val="sq-AL"/>
        </w:rPr>
        <w:t xml:space="preserve">menaxhimit të qëndrueshëm të tokës dhe të ujitjes, </w:t>
      </w:r>
    </w:p>
    <w:p w14:paraId="0C48478E" w14:textId="77777777" w:rsidR="00004FF4" w:rsidRPr="001F631B" w:rsidRDefault="00004FF4" w:rsidP="00954232">
      <w:pPr>
        <w:numPr>
          <w:ilvl w:val="0"/>
          <w:numId w:val="6"/>
        </w:numPr>
        <w:spacing w:before="120" w:after="120" w:line="276" w:lineRule="auto"/>
        <w:jc w:val="both"/>
        <w:rPr>
          <w:rFonts w:ascii="Cambria" w:eastAsia="Times New Roman" w:hAnsi="Cambria" w:cs="Times New Roman"/>
          <w:noProof/>
          <w:sz w:val="24"/>
          <w:lang w:val="sq-AL"/>
        </w:rPr>
      </w:pPr>
      <w:r w:rsidRPr="001F631B">
        <w:rPr>
          <w:rFonts w:ascii="Cambria" w:eastAsia="Times New Roman" w:hAnsi="Cambria" w:cs="Times New Roman"/>
          <w:noProof/>
          <w:sz w:val="24"/>
          <w:lang w:val="sq-AL"/>
        </w:rPr>
        <w:t xml:space="preserve">kullimit e mbrojtjes nga përmbytja, </w:t>
      </w:r>
    </w:p>
    <w:p w14:paraId="4BEDBF05" w14:textId="77777777" w:rsidR="00004FF4" w:rsidRPr="001F631B" w:rsidRDefault="00004FF4" w:rsidP="00954232">
      <w:pPr>
        <w:numPr>
          <w:ilvl w:val="0"/>
          <w:numId w:val="6"/>
        </w:numPr>
        <w:spacing w:before="120" w:after="120" w:line="276" w:lineRule="auto"/>
        <w:jc w:val="both"/>
        <w:rPr>
          <w:rFonts w:ascii="Cambria" w:eastAsia="Times New Roman" w:hAnsi="Cambria" w:cs="Times New Roman"/>
          <w:noProof/>
          <w:sz w:val="24"/>
          <w:lang w:val="sq-AL"/>
        </w:rPr>
      </w:pPr>
      <w:r w:rsidRPr="001F631B">
        <w:rPr>
          <w:rFonts w:ascii="Cambria" w:eastAsia="Times New Roman" w:hAnsi="Cambria" w:cs="Times New Roman"/>
          <w:noProof/>
          <w:sz w:val="24"/>
          <w:lang w:val="sq-AL"/>
        </w:rPr>
        <w:t>përmirësimin e sigurisë ushqimore në funksion të mbrojtjes së konsumatorit.</w:t>
      </w:r>
    </w:p>
    <w:p w14:paraId="7AC5F1A3" w14:textId="77777777" w:rsidR="00004FF4" w:rsidRPr="001F631B" w:rsidRDefault="00004FF4" w:rsidP="00004FF4">
      <w:pPr>
        <w:spacing w:after="0" w:line="276" w:lineRule="auto"/>
        <w:jc w:val="both"/>
        <w:rPr>
          <w:rFonts w:ascii="Cambria" w:eastAsia="Times New Roman" w:hAnsi="Cambria" w:cs="Times New Roman"/>
          <w:sz w:val="24"/>
          <w:lang w:val="sq-AL"/>
        </w:rPr>
      </w:pPr>
      <w:r w:rsidRPr="001F631B">
        <w:rPr>
          <w:rFonts w:ascii="Cambria" w:eastAsia="Times New Roman" w:hAnsi="Cambria" w:cs="Times New Roman"/>
          <w:sz w:val="24"/>
          <w:lang w:val="sq-AL"/>
        </w:rPr>
        <w:t xml:space="preserve">Për periudhën 2026-2028, Ministria e Bujqësisë dhe Zhvillimit Rural do të përmbushë objektivat e synuar përmes fondeve buxhetore të alokuara sipas tabelës së mëposhtme. </w:t>
      </w:r>
    </w:p>
    <w:p w14:paraId="16D3FDB8" w14:textId="77777777" w:rsidR="00004FF4" w:rsidRPr="001F631B" w:rsidRDefault="00004FF4" w:rsidP="00004FF4">
      <w:pPr>
        <w:contextualSpacing/>
        <w:jc w:val="both"/>
        <w:rPr>
          <w:rFonts w:ascii="Cambria" w:eastAsia="Times New Roman" w:hAnsi="Cambria" w:cs="Times New Roman"/>
          <w:sz w:val="24"/>
          <w:szCs w:val="24"/>
          <w:lang w:val="sq-AL"/>
        </w:rPr>
      </w:pPr>
    </w:p>
    <w:p w14:paraId="5DB926ED" w14:textId="0AC79B71" w:rsidR="00004FF4" w:rsidRPr="001F631B" w:rsidRDefault="00004FF4" w:rsidP="00004FF4">
      <w:pPr>
        <w:pStyle w:val="Caption"/>
        <w:jc w:val="both"/>
        <w:rPr>
          <w:rFonts w:ascii="Cambria" w:eastAsia="Times New Roman" w:hAnsi="Cambria" w:cs="Arial"/>
          <w:sz w:val="24"/>
          <w:szCs w:val="24"/>
          <w:lang w:val="sq-AL"/>
        </w:rPr>
      </w:pPr>
      <w:r w:rsidRPr="001F631B">
        <w:rPr>
          <w:sz w:val="24"/>
          <w:szCs w:val="24"/>
          <w:lang w:val="sq-AL"/>
        </w:rPr>
        <w:t xml:space="preserve">Tabela </w:t>
      </w:r>
      <w:r w:rsidRPr="001F631B">
        <w:rPr>
          <w:sz w:val="24"/>
          <w:szCs w:val="24"/>
        </w:rPr>
        <w:fldChar w:fldCharType="begin"/>
      </w:r>
      <w:r w:rsidRPr="001F631B">
        <w:rPr>
          <w:sz w:val="24"/>
          <w:szCs w:val="24"/>
          <w:lang w:val="sq-AL"/>
        </w:rPr>
        <w:instrText xml:space="preserve"> SEQ Tabela \* ARABIC </w:instrText>
      </w:r>
      <w:r w:rsidRPr="001F631B">
        <w:rPr>
          <w:sz w:val="24"/>
          <w:szCs w:val="24"/>
        </w:rPr>
        <w:fldChar w:fldCharType="separate"/>
      </w:r>
      <w:r w:rsidR="009113BE">
        <w:rPr>
          <w:noProof/>
          <w:sz w:val="24"/>
          <w:szCs w:val="24"/>
          <w:lang w:val="sq-AL"/>
        </w:rPr>
        <w:t>11</w:t>
      </w:r>
      <w:r w:rsidRPr="001F631B">
        <w:rPr>
          <w:sz w:val="24"/>
          <w:szCs w:val="24"/>
        </w:rPr>
        <w:fldChar w:fldCharType="end"/>
      </w:r>
      <w:r w:rsidRPr="001F631B">
        <w:rPr>
          <w:rFonts w:ascii="Cambria" w:eastAsia="Times New Roman" w:hAnsi="Cambria" w:cs="Times New Roman"/>
          <w:b w:val="0"/>
          <w:sz w:val="24"/>
          <w:szCs w:val="24"/>
          <w:lang w:val="sq-AL"/>
        </w:rPr>
        <w:t xml:space="preserve">: </w:t>
      </w:r>
      <w:r w:rsidRPr="001F631B">
        <w:rPr>
          <w:rFonts w:ascii="Cambria" w:eastAsia="Times New Roman" w:hAnsi="Cambria" w:cs="Arial"/>
          <w:sz w:val="24"/>
          <w:szCs w:val="24"/>
          <w:lang w:val="sq-AL"/>
        </w:rPr>
        <w:t>Shpenzimet për Ministrinë e Bujqësisë dhe Zhvillimit Rural në vitet 2026-2028</w:t>
      </w:r>
    </w:p>
    <w:p w14:paraId="23173CF3" w14:textId="77777777" w:rsidR="00004FF4" w:rsidRDefault="00004FF4" w:rsidP="00004FF4">
      <w:pPr>
        <w:spacing w:before="120" w:after="120" w:line="240" w:lineRule="auto"/>
        <w:jc w:val="both"/>
        <w:rPr>
          <w:rFonts w:ascii="Cambria" w:eastAsia="Times New Roman" w:hAnsi="Cambria" w:cs="Times New Roman"/>
          <w:noProof/>
          <w:lang w:val="sq-AL"/>
        </w:rPr>
      </w:pPr>
      <w:r w:rsidRPr="001F631B">
        <w:rPr>
          <w:noProof/>
        </w:rPr>
        <w:drawing>
          <wp:inline distT="0" distB="0" distL="0" distR="0" wp14:anchorId="345C5479" wp14:editId="55216F29">
            <wp:extent cx="5979381" cy="1725295"/>
            <wp:effectExtent l="0" t="0" r="2540" b="8255"/>
            <wp:docPr id="1225613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2677" cy="1726246"/>
                    </a:xfrm>
                    <a:prstGeom prst="rect">
                      <a:avLst/>
                    </a:prstGeom>
                    <a:noFill/>
                    <a:ln>
                      <a:noFill/>
                    </a:ln>
                  </pic:spPr>
                </pic:pic>
              </a:graphicData>
            </a:graphic>
          </wp:inline>
        </w:drawing>
      </w:r>
    </w:p>
    <w:p w14:paraId="450AC940" w14:textId="77777777" w:rsidR="00004FF4" w:rsidRPr="001F631B" w:rsidRDefault="00004FF4" w:rsidP="00004FF4">
      <w:pPr>
        <w:spacing w:before="120" w:after="120" w:line="240" w:lineRule="auto"/>
        <w:jc w:val="both"/>
        <w:rPr>
          <w:rFonts w:ascii="Cambria" w:eastAsia="Times New Roman" w:hAnsi="Cambria" w:cs="Times New Roman"/>
          <w:noProof/>
          <w:lang w:val="sq-AL"/>
        </w:rPr>
      </w:pPr>
    </w:p>
    <w:p w14:paraId="4D89EA80" w14:textId="77777777" w:rsidR="00004FF4" w:rsidRPr="00004FF4" w:rsidRDefault="00004FF4" w:rsidP="00004FF4">
      <w:pPr>
        <w:pStyle w:val="Heading3"/>
        <w:rPr>
          <w:rFonts w:ascii="Cambria" w:hAnsi="Cambria"/>
          <w:b/>
          <w:color w:val="auto"/>
          <w:lang w:val="sq-AL"/>
        </w:rPr>
      </w:pPr>
      <w:r w:rsidRPr="00004FF4">
        <w:rPr>
          <w:rFonts w:ascii="Cambria" w:hAnsi="Cambria"/>
          <w:b/>
          <w:color w:val="auto"/>
          <w:lang w:val="sq-AL"/>
        </w:rPr>
        <w:t>Prioritetet e sektorit për periudhën 2026-2028</w:t>
      </w:r>
    </w:p>
    <w:p w14:paraId="3EF6217E" w14:textId="77777777" w:rsidR="00004FF4" w:rsidRPr="001F631B" w:rsidRDefault="00004FF4" w:rsidP="00004FF4">
      <w:pPr>
        <w:spacing w:before="120" w:after="120" w:line="276" w:lineRule="auto"/>
        <w:contextualSpacing/>
        <w:jc w:val="both"/>
        <w:rPr>
          <w:rFonts w:ascii="Cambria" w:eastAsia="Times New Roman" w:hAnsi="Cambria" w:cs="Times New Roman"/>
          <w:sz w:val="24"/>
          <w:szCs w:val="24"/>
          <w:lang w:val="sq-AL"/>
        </w:rPr>
      </w:pPr>
      <w:r w:rsidRPr="001F631B">
        <w:rPr>
          <w:rFonts w:ascii="Cambria" w:eastAsia="Times New Roman" w:hAnsi="Cambria" w:cs="Times New Roman"/>
          <w:sz w:val="24"/>
          <w:szCs w:val="24"/>
          <w:lang w:val="sq-AL"/>
        </w:rPr>
        <w:t xml:space="preserve">Prioritetet e sektorit të bujqësisë, për periudhën afatmesme 2026-2028, janë si më poshtë: </w:t>
      </w:r>
    </w:p>
    <w:p w14:paraId="036FB552"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Garantimi i sigurisë ushqimore, shëndetit dhe mirëqenies së kafshëve, dhe shëndetit të bimëve përmes adoptimit të standardeve përkatëse të BE-së në kuadrin normativ vendas;</w:t>
      </w:r>
    </w:p>
    <w:p w14:paraId="6F8BB665"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Konsolidimi i pronësisë mbi tokën bujqësore, administrimi i qëndrueshëm, ruajtja e saj nga dëmtimi, gërryerja, shpërdorimi dhe faktorë të tjerë;</w:t>
      </w:r>
    </w:p>
    <w:p w14:paraId="5DE135F4"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Nxitja e tregut të tokës dhe konsolidimi i fermës bujqësore duke rritur sipërfaqen dhe nxitur kooperimin;</w:t>
      </w:r>
    </w:p>
    <w:p w14:paraId="23DFB5D2"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lastRenderedPageBreak/>
        <w:t>Mbështjetje për agroindustrinë;</w:t>
      </w:r>
    </w:p>
    <w:p w14:paraId="584F0D82"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Mbështjetje për tregjet dhe marketingun e produkteve bujqësore dhe blegtorale;</w:t>
      </w:r>
    </w:p>
    <w:p w14:paraId="6BC6145B"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Administrimi i sistemit të ujitjes nëpërmjet kujdesit, sigurimit dhe administrimit të qëndrueshëm të sistemit të ujitjes dhe shmangia e përmbytjeve;</w:t>
      </w:r>
    </w:p>
    <w:p w14:paraId="2907E8FC"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Mbështetje financiare dhe asistencë teknike për fermerët.</w:t>
      </w:r>
    </w:p>
    <w:p w14:paraId="2F81E430" w14:textId="77777777" w:rsidR="00004FF4" w:rsidRPr="00133BC0" w:rsidRDefault="00004FF4" w:rsidP="00954232">
      <w:pPr>
        <w:numPr>
          <w:ilvl w:val="0"/>
          <w:numId w:val="6"/>
        </w:numPr>
        <w:spacing w:before="100" w:beforeAutospacing="1" w:after="100" w:afterAutospacing="1" w:line="276" w:lineRule="auto"/>
        <w:jc w:val="both"/>
        <w:rPr>
          <w:rFonts w:ascii="Cambria" w:eastAsia="Times New Roman" w:hAnsi="Cambria" w:cs="Times New Roman"/>
          <w:sz w:val="24"/>
          <w:szCs w:val="24"/>
          <w:lang w:val="sq-AL"/>
        </w:rPr>
      </w:pPr>
      <w:r w:rsidRPr="00133BC0">
        <w:rPr>
          <w:rFonts w:ascii="Cambria" w:eastAsia="Times New Roman" w:hAnsi="Cambria" w:cs="Times New Roman"/>
          <w:sz w:val="24"/>
          <w:szCs w:val="24"/>
          <w:lang w:val="sq-AL"/>
        </w:rPr>
        <w:t>Zhvillimin e qëndrueshëm të sektorit të peshkimit dhe akuakulturës, shfrytëzimin e përgjegjshëm të burimeve peshkore dhe kapaciteteve të flotës së peshkimit si dhe ngritjen e një sistemi kontrolli dhe inspektimi për peshkimin në det, në tokë dhe në të gjithë zinxhirin e tregut.</w:t>
      </w:r>
    </w:p>
    <w:p w14:paraId="251BDAB5" w14:textId="77777777" w:rsidR="00004FF4" w:rsidRPr="001F631B" w:rsidRDefault="00004FF4" w:rsidP="00004FF4">
      <w:pPr>
        <w:spacing w:before="120" w:after="120" w:line="276" w:lineRule="auto"/>
        <w:jc w:val="both"/>
        <w:textAlignment w:val="bottom"/>
        <w:rPr>
          <w:rFonts w:ascii="Cambria" w:eastAsia="Times New Roman" w:hAnsi="Cambria" w:cs="Times New Roman"/>
          <w:noProof/>
          <w:sz w:val="24"/>
          <w:lang w:val="sq-AL"/>
        </w:rPr>
      </w:pPr>
      <w:r w:rsidRPr="001F631B">
        <w:rPr>
          <w:rFonts w:ascii="Cambria" w:eastAsia="Times New Roman" w:hAnsi="Cambria" w:cs="Times New Roman"/>
          <w:noProof/>
          <w:sz w:val="24"/>
          <w:lang w:val="sq-AL"/>
        </w:rPr>
        <w:t>Në tabelën e mëposhtëm paraqitet shpenzimet e Ministrisë së Bujqësisë dhe Zhvillimit Rural sipas programeve buxhetore dhe sipas artikujve ekonomikë:</w:t>
      </w:r>
    </w:p>
    <w:p w14:paraId="38A2205B" w14:textId="77777777" w:rsidR="00004FF4" w:rsidRPr="001F631B" w:rsidRDefault="00004FF4" w:rsidP="00004FF4">
      <w:pPr>
        <w:spacing w:before="120" w:after="120" w:line="240" w:lineRule="auto"/>
        <w:contextualSpacing/>
        <w:jc w:val="both"/>
        <w:textAlignment w:val="bottom"/>
        <w:rPr>
          <w:rFonts w:ascii="Cambria" w:eastAsia="Times New Roman" w:hAnsi="Cambria" w:cs="Times New Roman"/>
          <w:b/>
          <w:noProof/>
          <w:sz w:val="20"/>
          <w:lang w:val="sq-AL"/>
        </w:rPr>
      </w:pPr>
    </w:p>
    <w:p w14:paraId="3EC00B4A" w14:textId="162D9FE7" w:rsidR="00004FF4" w:rsidRPr="001F631B" w:rsidRDefault="00004FF4" w:rsidP="00004FF4">
      <w:pPr>
        <w:pStyle w:val="Caption"/>
        <w:jc w:val="both"/>
        <w:rPr>
          <w:rFonts w:ascii="Cambria" w:eastAsia="Times New Roman" w:hAnsi="Cambria" w:cs="Times New Roman"/>
          <w:noProof/>
          <w:sz w:val="24"/>
          <w:szCs w:val="24"/>
          <w:lang w:val="sq-AL"/>
        </w:rPr>
      </w:pPr>
      <w:r w:rsidRPr="001F631B">
        <w:rPr>
          <w:sz w:val="24"/>
          <w:szCs w:val="24"/>
          <w:lang w:val="sq-AL"/>
        </w:rPr>
        <w:t xml:space="preserve">Tabela </w:t>
      </w:r>
      <w:r w:rsidRPr="001F631B">
        <w:rPr>
          <w:sz w:val="24"/>
          <w:szCs w:val="24"/>
        </w:rPr>
        <w:fldChar w:fldCharType="begin"/>
      </w:r>
      <w:r w:rsidRPr="001F631B">
        <w:rPr>
          <w:sz w:val="24"/>
          <w:szCs w:val="24"/>
          <w:lang w:val="sq-AL"/>
        </w:rPr>
        <w:instrText xml:space="preserve"> SEQ Tabela \* ARABIC </w:instrText>
      </w:r>
      <w:r w:rsidRPr="001F631B">
        <w:rPr>
          <w:sz w:val="24"/>
          <w:szCs w:val="24"/>
        </w:rPr>
        <w:fldChar w:fldCharType="separate"/>
      </w:r>
      <w:r w:rsidR="009113BE">
        <w:rPr>
          <w:noProof/>
          <w:sz w:val="24"/>
          <w:szCs w:val="24"/>
          <w:lang w:val="sq-AL"/>
        </w:rPr>
        <w:t>12</w:t>
      </w:r>
      <w:r w:rsidRPr="001F631B">
        <w:rPr>
          <w:sz w:val="24"/>
          <w:szCs w:val="24"/>
        </w:rPr>
        <w:fldChar w:fldCharType="end"/>
      </w:r>
      <w:r w:rsidRPr="001F631B">
        <w:rPr>
          <w:rFonts w:ascii="Cambria" w:eastAsia="Times New Roman" w:hAnsi="Cambria" w:cs="Times New Roman"/>
          <w:b w:val="0"/>
          <w:noProof/>
          <w:sz w:val="24"/>
          <w:szCs w:val="24"/>
          <w:lang w:val="sq-AL"/>
        </w:rPr>
        <w:t xml:space="preserve">: </w:t>
      </w:r>
      <w:r w:rsidRPr="001F631B">
        <w:rPr>
          <w:rFonts w:ascii="Cambria" w:eastAsia="Times New Roman" w:hAnsi="Cambria" w:cs="Times New Roman"/>
          <w:noProof/>
          <w:sz w:val="24"/>
          <w:szCs w:val="24"/>
          <w:lang w:val="sq-AL"/>
        </w:rPr>
        <w:t>Shpenzimet e Ministrisë së Bujqësisë dhe Zhvillimit Rural sipas programeve buxhetore dhe sipas artikujve ekonomikë</w:t>
      </w:r>
    </w:p>
    <w:p w14:paraId="687DF39E" w14:textId="77777777" w:rsidR="00004FF4" w:rsidRPr="001F631B" w:rsidRDefault="00004FF4" w:rsidP="00106509">
      <w:pPr>
        <w:pStyle w:val="Caption"/>
        <w:jc w:val="center"/>
        <w:rPr>
          <w:rFonts w:ascii="Cambria" w:eastAsia="Times New Roman" w:hAnsi="Cambria" w:cs="Times New Roman"/>
          <w:noProof/>
          <w:sz w:val="24"/>
          <w:szCs w:val="24"/>
          <w:lang w:val="sq-AL"/>
        </w:rPr>
      </w:pPr>
      <w:r w:rsidRPr="001F631B">
        <w:rPr>
          <w:noProof/>
        </w:rPr>
        <w:drawing>
          <wp:inline distT="0" distB="0" distL="0" distR="0" wp14:anchorId="7EB2637D" wp14:editId="1C9FAC52">
            <wp:extent cx="5716905" cy="5048885"/>
            <wp:effectExtent l="0" t="0" r="0" b="0"/>
            <wp:docPr id="1054015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6905" cy="5048885"/>
                    </a:xfrm>
                    <a:prstGeom prst="rect">
                      <a:avLst/>
                    </a:prstGeom>
                    <a:noFill/>
                    <a:ln>
                      <a:noFill/>
                    </a:ln>
                  </pic:spPr>
                </pic:pic>
              </a:graphicData>
            </a:graphic>
          </wp:inline>
        </w:drawing>
      </w:r>
    </w:p>
    <w:p w14:paraId="3905DC71" w14:textId="77777777" w:rsidR="00004FF4" w:rsidRPr="001F631B" w:rsidRDefault="00004FF4" w:rsidP="00004FF4">
      <w:pPr>
        <w:spacing w:before="120" w:after="120" w:line="240" w:lineRule="auto"/>
        <w:jc w:val="both"/>
        <w:textAlignment w:val="bottom"/>
        <w:rPr>
          <w:rFonts w:ascii="Cambria" w:eastAsia="Times New Roman" w:hAnsi="Cambria" w:cs="Times New Roman"/>
          <w:noProof/>
          <w:lang w:val="sq-AL"/>
        </w:rPr>
      </w:pPr>
    </w:p>
    <w:p w14:paraId="30E6BCC2" w14:textId="77777777" w:rsidR="00004FF4" w:rsidRPr="001F631B" w:rsidRDefault="00004FF4" w:rsidP="00004FF4">
      <w:pPr>
        <w:spacing w:before="120" w:after="120" w:line="240" w:lineRule="auto"/>
        <w:jc w:val="both"/>
        <w:textAlignment w:val="bottom"/>
        <w:rPr>
          <w:rFonts w:ascii="Cambria" w:eastAsia="Times New Roman" w:hAnsi="Cambria" w:cs="Times New Roman"/>
          <w:noProof/>
          <w:lang w:val="sq-AL"/>
        </w:rPr>
      </w:pPr>
    </w:p>
    <w:p w14:paraId="1EE432EC" w14:textId="77777777" w:rsidR="00004FF4" w:rsidRPr="00004FF4" w:rsidRDefault="00004FF4" w:rsidP="00004FF4">
      <w:pPr>
        <w:pStyle w:val="Heading3"/>
        <w:rPr>
          <w:rFonts w:ascii="Cambria" w:hAnsi="Cambria"/>
          <w:b/>
          <w:color w:val="auto"/>
          <w:lang w:val="sq-AL"/>
        </w:rPr>
      </w:pPr>
      <w:r w:rsidRPr="00004FF4">
        <w:rPr>
          <w:rFonts w:ascii="Cambria" w:hAnsi="Cambria"/>
          <w:b/>
          <w:color w:val="auto"/>
          <w:lang w:val="sq-AL"/>
        </w:rPr>
        <w:t>Përmbledhje e Treguesve Kyç të Performancës</w:t>
      </w:r>
    </w:p>
    <w:p w14:paraId="33825669" w14:textId="77777777" w:rsidR="00004FF4" w:rsidRPr="001F631B" w:rsidRDefault="00004FF4" w:rsidP="00004FF4">
      <w:p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 xml:space="preserve">Programi </w:t>
      </w:r>
      <w:r w:rsidRPr="001F631B">
        <w:rPr>
          <w:rFonts w:ascii="Cambria" w:eastAsia="Arial" w:hAnsi="Cambria" w:cs="Arial"/>
          <w:i/>
          <w:sz w:val="24"/>
          <w:szCs w:val="24"/>
          <w:u w:val="single"/>
          <w:lang w:val="sq-AL" w:eastAsia="en-GB"/>
        </w:rPr>
        <w:t>“Zhvillimi Rural duke mbështetur Prodhimin Bujqësor, Blegtoral, Agroindustrial dhe Marketingun</w:t>
      </w:r>
      <w:r w:rsidRPr="001F631B">
        <w:rPr>
          <w:rFonts w:ascii="Cambria" w:eastAsia="Arial" w:hAnsi="Cambria" w:cs="Arial"/>
          <w:i/>
          <w:sz w:val="24"/>
          <w:szCs w:val="24"/>
          <w:lang w:val="sq-AL" w:eastAsia="en-GB"/>
        </w:rPr>
        <w:t>”</w:t>
      </w:r>
      <w:r w:rsidRPr="001F631B">
        <w:rPr>
          <w:rFonts w:ascii="Cambria" w:eastAsia="Arial" w:hAnsi="Cambria" w:cs="Arial"/>
          <w:sz w:val="24"/>
          <w:szCs w:val="24"/>
          <w:lang w:val="sq-AL" w:eastAsia="en-GB"/>
        </w:rPr>
        <w:t xml:space="preserve"> synon:</w:t>
      </w:r>
    </w:p>
    <w:p w14:paraId="2A39C958" w14:textId="77777777" w:rsidR="00004FF4" w:rsidRPr="001F631B" w:rsidRDefault="00004FF4" w:rsidP="00954232">
      <w:pPr>
        <w:numPr>
          <w:ilvl w:val="0"/>
          <w:numId w:val="5"/>
        </w:numPr>
        <w:spacing w:before="120" w:after="120" w:line="276" w:lineRule="auto"/>
        <w:jc w:val="both"/>
        <w:rPr>
          <w:rFonts w:ascii="Cambria" w:eastAsia="Arial" w:hAnsi="Cambria" w:cs="Arial"/>
          <w:sz w:val="24"/>
          <w:szCs w:val="24"/>
          <w:lang w:val="sq-AL" w:eastAsia="en-GB"/>
        </w:rPr>
      </w:pPr>
      <w:bookmarkStart w:id="28" w:name="_Hlk159917057"/>
      <w:bookmarkStart w:id="29" w:name="_Hlk147478090"/>
      <w:r w:rsidRPr="001F631B">
        <w:rPr>
          <w:rFonts w:ascii="Cambria" w:eastAsia="Arial" w:hAnsi="Cambria" w:cs="Arial"/>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05EE0E96" w14:textId="77777777" w:rsidR="00004FF4" w:rsidRPr="001F631B" w:rsidRDefault="00004FF4" w:rsidP="00954232">
      <w:pPr>
        <w:numPr>
          <w:ilvl w:val="1"/>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Numrin e të punësuarëve në bujqësi dhe agropërpunim (nga 468 249 të punësuar të parashikuar në vitin 2026 në 495 073 të punësuar në vitin 2026 dhe 498 000 në vitin 2028).</w:t>
      </w:r>
    </w:p>
    <w:p w14:paraId="18B24D43" w14:textId="77777777" w:rsidR="00004FF4" w:rsidRPr="001F631B" w:rsidRDefault="00004FF4" w:rsidP="00954232">
      <w:pPr>
        <w:numPr>
          <w:ilvl w:val="1"/>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Aktivitetet promovuese të produkteve shqiptare në bujqësi, blegtori dhe agropërpunim.</w:t>
      </w:r>
    </w:p>
    <w:p w14:paraId="0B4AC2BC" w14:textId="77777777" w:rsidR="00004FF4" w:rsidRPr="001F631B" w:rsidRDefault="00004FF4" w:rsidP="00954232">
      <w:pPr>
        <w:numPr>
          <w:ilvl w:val="1"/>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Rritja e volumit të eksportit të produkteve bujqësore dhe të agropërpunimit nga 58.59 miliardë lekë në vitin 2026 në 59.76 miliardë lekë në vitin 202</w:t>
      </w:r>
      <w:bookmarkEnd w:id="28"/>
      <w:r w:rsidRPr="001F631B">
        <w:rPr>
          <w:rFonts w:ascii="Cambria" w:eastAsia="Arial" w:hAnsi="Cambria" w:cs="Arial"/>
          <w:sz w:val="24"/>
          <w:szCs w:val="24"/>
          <w:lang w:val="sq-AL" w:eastAsia="en-GB"/>
        </w:rPr>
        <w:t>7 dhe 62 miliardë lekë në vitin 2028.</w:t>
      </w:r>
    </w:p>
    <w:bookmarkEnd w:id="29"/>
    <w:p w14:paraId="4E1D4D09" w14:textId="77777777" w:rsidR="00004FF4" w:rsidRPr="001F631B" w:rsidRDefault="00004FF4" w:rsidP="00954232">
      <w:pPr>
        <w:numPr>
          <w:ilvl w:val="0"/>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 xml:space="preserve">Përmirësimi i konkurrueshmërisë së bujqësisë dhe industrisë agro-ushqimore si dhe përmirësimi i cilësisë së jetës përmes nxitjes së shumëllojshmërisë së veprimtarive ekonomike në zonat rurale, nëpërmjet: </w:t>
      </w:r>
    </w:p>
    <w:p w14:paraId="55212896"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Shtimit të numrit të përfituesëve nga masat mbështetëse në bujqësi. Parashikohen  rreth 45.000 përfitues në vitin 2026, 45.500 përfitues në vitin 2026 dhe 46.000 përfitues në vitin 2027, nga të cilët 15.000 janë përfitues të mbështetur nga Skemat Kombëtare për vitin 2026 dhe 15.500 në vitin 2027 dhe 16.000 përfitues për vitin 2028 dhe 30.000 përfitues janë nga Skema e Subvensionit të naftës për bujqësinë për periudhën 2026-2028.</w:t>
      </w:r>
    </w:p>
    <w:p w14:paraId="606769FF" w14:textId="2BD7B4CE" w:rsidR="00004FF4" w:rsidRPr="00062D55"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Rritjes së numrit të pjesëmarrësve në aktivitetet promovuese të produkteve shqiptare, në bujqesi, blegtori dhe agropërpunim nga 120 pjesëmarrës në vitin 2026, në 140 pjesëmarrës në vitin 2027 dhe 160 pjesëmarrës në vitin 2028.</w:t>
      </w:r>
    </w:p>
    <w:p w14:paraId="7A5A3EC3" w14:textId="77777777" w:rsidR="00004FF4" w:rsidRPr="001F631B" w:rsidRDefault="00004FF4" w:rsidP="00954232">
      <w:pPr>
        <w:numPr>
          <w:ilvl w:val="1"/>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Rritjes së numrit të çertifikimeve dhe testimeve të farave dhe fidanëve që hidhen në treg, për të siguruar inpute cilësore për bujqësinë në tregun shqiptar.</w:t>
      </w:r>
    </w:p>
    <w:p w14:paraId="7326CAF4" w14:textId="77777777" w:rsidR="00004FF4" w:rsidRPr="001F631B" w:rsidRDefault="00004FF4" w:rsidP="00004FF4">
      <w:p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 xml:space="preserve">Nëpërmjet programit </w:t>
      </w:r>
      <w:r w:rsidRPr="001F631B">
        <w:rPr>
          <w:rFonts w:ascii="Cambria" w:eastAsia="Arial" w:hAnsi="Cambria" w:cs="Arial"/>
          <w:i/>
          <w:sz w:val="24"/>
          <w:szCs w:val="24"/>
          <w:u w:val="single"/>
          <w:lang w:val="sq-AL" w:eastAsia="en-GB"/>
        </w:rPr>
        <w:t>“Siguria Ushqimore dhe Mbrojtja e Konsumatorit”</w:t>
      </w:r>
      <w:r w:rsidRPr="001F631B">
        <w:rPr>
          <w:rFonts w:ascii="Cambria" w:eastAsia="Arial" w:hAnsi="Cambria" w:cs="Arial"/>
          <w:sz w:val="24"/>
          <w:szCs w:val="24"/>
          <w:lang w:val="sq-AL" w:eastAsia="en-GB"/>
        </w:rPr>
        <w:t xml:space="preserve"> synohet fuqizimi i sistemit të kontrollit dhe inspektimit, duke përfshirë të gjithë zinxhirin ushqimor nga ferma në tavolinë nëpërmjet:</w:t>
      </w:r>
    </w:p>
    <w:p w14:paraId="3244E642" w14:textId="77777777" w:rsidR="00004FF4" w:rsidRPr="001F631B" w:rsidRDefault="00004FF4" w:rsidP="00954232">
      <w:pPr>
        <w:pStyle w:val="ListParagraph"/>
        <w:numPr>
          <w:ilvl w:val="0"/>
          <w:numId w:val="17"/>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Kontrolleve dhe monitorimeve të sëmundjeve infektive dhe zoonotike në kafshët e gjalla duke ulur në këtë mënyrë numrin e kafshëve të prekura nga Bruceloza, nga plasja, nga tuberkulozi, dhe nga LSD.</w:t>
      </w:r>
    </w:p>
    <w:p w14:paraId="18422FF2" w14:textId="77777777" w:rsidR="00004FF4" w:rsidRPr="001F631B" w:rsidRDefault="00004FF4" w:rsidP="00954232">
      <w:pPr>
        <w:numPr>
          <w:ilvl w:val="1"/>
          <w:numId w:val="5"/>
        </w:numPr>
        <w:spacing w:before="120" w:after="120" w:line="276" w:lineRule="auto"/>
        <w:ind w:left="720" w:hanging="270"/>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lastRenderedPageBreak/>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3E3612B5"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Kryerjes mesatarisht së rreth 317 mijë gjurmimeve dhe kontrolleve tek kafshët përgjatë viteve 2025-2028.</w:t>
      </w:r>
    </w:p>
    <w:p w14:paraId="3B7881A5"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Kryerjes së rreth 460 mijë vaksinimesh tek kafshët në përiudhën 2026-2027 dhe 470 mijë vaksinimesh në vitin 2028.</w:t>
      </w:r>
    </w:p>
    <w:p w14:paraId="19127341" w14:textId="77777777" w:rsidR="00004FF4" w:rsidRPr="001F631B" w:rsidRDefault="00004FF4" w:rsidP="00004FF4">
      <w:pPr>
        <w:spacing w:before="120" w:after="120" w:line="276" w:lineRule="auto"/>
        <w:ind w:left="1440"/>
        <w:contextualSpacing/>
        <w:jc w:val="both"/>
        <w:rPr>
          <w:rFonts w:ascii="Cambria" w:eastAsia="Arial" w:hAnsi="Cambria" w:cs="Arial"/>
          <w:sz w:val="24"/>
          <w:szCs w:val="24"/>
          <w:lang w:val="sq-AL" w:eastAsia="en-GB"/>
        </w:rPr>
      </w:pPr>
    </w:p>
    <w:p w14:paraId="73DC560F" w14:textId="77777777" w:rsidR="00004FF4" w:rsidRPr="001F631B" w:rsidRDefault="00004FF4" w:rsidP="00954232">
      <w:pPr>
        <w:numPr>
          <w:ilvl w:val="0"/>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Rritja e numrit të çertifikatave të unifikuara për eksport nga 65 të parashikuara në vitin 2025 në 70 në vitin 2026 dhe 75 dhe 80 përgjatë viteve 2027-2028.</w:t>
      </w:r>
    </w:p>
    <w:p w14:paraId="66DE684C" w14:textId="77777777" w:rsidR="00004FF4" w:rsidRPr="001F631B" w:rsidRDefault="00004FF4" w:rsidP="00954232">
      <w:pPr>
        <w:numPr>
          <w:ilvl w:val="0"/>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Rritjes së numrit të jokonformiteteve të konstatuara nga 350 në vitin 2025, në 400 në vitin 2026 dhe 450 në vitin 2027 dhe 500 në vitin 2028.</w:t>
      </w:r>
    </w:p>
    <w:p w14:paraId="7D540658" w14:textId="77777777" w:rsidR="00004FF4" w:rsidRPr="001F631B" w:rsidRDefault="00004FF4" w:rsidP="00954232">
      <w:pPr>
        <w:numPr>
          <w:ilvl w:val="0"/>
          <w:numId w:val="5"/>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Uljes së numrit të rasteve të sëmundshmërisë së njerëzve nga kafshët nga 50 raste në vitin 2025 në 40 raste në vitin 2026, 35 raste në vitin 2027 dhe 30 raste në vitin 2028.</w:t>
      </w:r>
    </w:p>
    <w:p w14:paraId="1B845CE6" w14:textId="77777777" w:rsidR="00004FF4" w:rsidRPr="001F631B" w:rsidRDefault="00004FF4" w:rsidP="00004FF4">
      <w:p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 xml:space="preserve">Nëpërmjet programit </w:t>
      </w:r>
      <w:r w:rsidRPr="001F631B">
        <w:rPr>
          <w:rFonts w:ascii="Cambria" w:eastAsia="Arial" w:hAnsi="Cambria" w:cs="Arial"/>
          <w:i/>
          <w:sz w:val="24"/>
          <w:szCs w:val="24"/>
          <w:u w:val="single"/>
          <w:lang w:val="sq-AL" w:eastAsia="en-GB"/>
        </w:rPr>
        <w:t>“Mbështetje për Peshkimin</w:t>
      </w:r>
      <w:r w:rsidRPr="001F631B">
        <w:rPr>
          <w:rFonts w:ascii="Cambria" w:eastAsia="Arial" w:hAnsi="Cambria" w:cs="Arial"/>
          <w:i/>
          <w:sz w:val="24"/>
          <w:szCs w:val="24"/>
          <w:lang w:val="sq-AL" w:eastAsia="en-GB"/>
        </w:rPr>
        <w:t xml:space="preserve">” </w:t>
      </w:r>
      <w:r w:rsidRPr="001F631B">
        <w:rPr>
          <w:rFonts w:ascii="Cambria" w:eastAsia="Arial" w:hAnsi="Cambria" w:cs="Arial"/>
          <w:sz w:val="24"/>
          <w:szCs w:val="24"/>
          <w:lang w:val="sq-AL" w:eastAsia="en-GB"/>
        </w:rPr>
        <w:t>synohet:</w:t>
      </w:r>
    </w:p>
    <w:p w14:paraId="3FECB201" w14:textId="77777777" w:rsidR="00004FF4" w:rsidRPr="001F631B" w:rsidRDefault="00004FF4" w:rsidP="00954232">
      <w:pPr>
        <w:pStyle w:val="ListParagraph"/>
        <w:numPr>
          <w:ilvl w:val="0"/>
          <w:numId w:val="36"/>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Menaxhimi i peshkimit dhe akuakulturës duke mbështetur sektorin me politika strukturore për tregjet, politikat tregtare dhe politikat ndërkombëtare me qëllim  zhvillimin e aktivitetit të peshkimit në përputhje me standardet e BE duke garantuar konkurueshmërinë, mbrojtjen e resurseve, nëpërmjet:</w:t>
      </w:r>
    </w:p>
    <w:p w14:paraId="7675B105" w14:textId="77777777" w:rsidR="00004FF4" w:rsidRPr="001F631B" w:rsidRDefault="00004FF4" w:rsidP="00004FF4">
      <w:pPr>
        <w:pStyle w:val="ListParagraph"/>
        <w:spacing w:before="120" w:after="120" w:line="276" w:lineRule="auto"/>
        <w:ind w:left="765"/>
        <w:jc w:val="both"/>
        <w:rPr>
          <w:rFonts w:ascii="Cambria" w:eastAsia="Arial" w:hAnsi="Cambria" w:cs="Arial"/>
          <w:sz w:val="24"/>
          <w:szCs w:val="24"/>
          <w:lang w:val="sq-AL" w:eastAsia="en-GB"/>
        </w:rPr>
      </w:pPr>
    </w:p>
    <w:p w14:paraId="1C14F2CC"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Rritjes së numrit të kontrollove të inspektoriatit të peshkimit në subjektet e peshkimit nga 2450 në vitin 2025-2026 në 2700 në vitin 2028.</w:t>
      </w:r>
    </w:p>
    <w:p w14:paraId="6AB337D3"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Menaxhimit të 7 porteve dhe ekonomive duke bërë të mundur rritjen e produktivitetit të resurseve nëpërmjet menaxhimit të programeve të ripopullimit me raste.</w:t>
      </w:r>
    </w:p>
    <w:p w14:paraId="787190EF" w14:textId="77777777" w:rsidR="00004FF4" w:rsidRPr="001F631B" w:rsidRDefault="00004FF4" w:rsidP="00954232">
      <w:pPr>
        <w:numPr>
          <w:ilvl w:val="1"/>
          <w:numId w:val="5"/>
        </w:numPr>
        <w:spacing w:before="120" w:after="120" w:line="276" w:lineRule="auto"/>
        <w:contextualSpacing/>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 xml:space="preserve">Kryerjen e raporteve </w:t>
      </w:r>
      <w:r w:rsidRPr="001F631B">
        <w:rPr>
          <w:rFonts w:ascii="Cambria" w:eastAsia="Times New Roman" w:hAnsi="Cambria"/>
          <w:bCs/>
          <w:sz w:val="24"/>
          <w:szCs w:val="24"/>
          <w:lang w:val="sq-AL" w:eastAsia="sq-AL"/>
        </w:rPr>
        <w:t>për një monitorim sa më të saktë të aktiviteteve të lidhur me peshkimin, akuakulturën dhe molusqet.</w:t>
      </w:r>
    </w:p>
    <w:p w14:paraId="37D2279F" w14:textId="77777777" w:rsidR="00004FF4" w:rsidRPr="001F631B" w:rsidRDefault="00004FF4" w:rsidP="00954232">
      <w:pPr>
        <w:pStyle w:val="ListParagraph"/>
        <w:numPr>
          <w:ilvl w:val="0"/>
          <w:numId w:val="36"/>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Rritja e sasisë së prodhimit të molusqeve (në ton) nga 300 ton në vitin 2025 në 500 ton në vitin 2026, 600 ton në vitin 2027 dhe 1000 ton në vitin 2028.</w:t>
      </w:r>
    </w:p>
    <w:p w14:paraId="1446CFE9" w14:textId="77777777" w:rsidR="00004FF4" w:rsidRPr="001F631B" w:rsidRDefault="00004FF4" w:rsidP="00954232">
      <w:pPr>
        <w:pStyle w:val="ListParagraph"/>
        <w:numPr>
          <w:ilvl w:val="0"/>
          <w:numId w:val="36"/>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Ulja e numrit të shkeljeve të vërejtura si rrjedhojë e zbatimit të rekomandimeve nga 150 shkelje në vitin 2025 në 100 shkelje në vitin 2028.</w:t>
      </w:r>
    </w:p>
    <w:p w14:paraId="7BA2EC9E" w14:textId="77777777" w:rsidR="00004FF4" w:rsidRPr="001F631B" w:rsidRDefault="00004FF4" w:rsidP="00954232">
      <w:pPr>
        <w:pStyle w:val="ListParagraph"/>
        <w:numPr>
          <w:ilvl w:val="0"/>
          <w:numId w:val="36"/>
        </w:numPr>
        <w:spacing w:before="120" w:after="120" w:line="276" w:lineRule="auto"/>
        <w:jc w:val="both"/>
        <w:rPr>
          <w:rFonts w:ascii="Cambria" w:eastAsia="Arial" w:hAnsi="Cambria" w:cs="Arial"/>
          <w:sz w:val="24"/>
          <w:szCs w:val="24"/>
          <w:lang w:val="sq-AL" w:eastAsia="en-GB"/>
        </w:rPr>
      </w:pPr>
      <w:r w:rsidRPr="001F631B">
        <w:rPr>
          <w:rFonts w:ascii="Cambria" w:eastAsia="Arial" w:hAnsi="Cambria" w:cs="Arial"/>
          <w:sz w:val="24"/>
          <w:szCs w:val="24"/>
          <w:lang w:val="sq-AL" w:eastAsia="en-GB"/>
        </w:rPr>
        <w:t>Rritja e numri të subjekteve të mbështetura për peshkimin dhe akuakulturën nga 200, në 220 në vitin 2026, 250 në vitin 2027 dhe 300 në vitin 2028.</w:t>
      </w:r>
    </w:p>
    <w:p w14:paraId="2AD71D59" w14:textId="77777777" w:rsidR="00E03BBD" w:rsidRPr="00E24ECC" w:rsidRDefault="00E03BBD" w:rsidP="005B66E4">
      <w:pPr>
        <w:spacing w:line="276" w:lineRule="auto"/>
        <w:rPr>
          <w:sz w:val="24"/>
          <w:szCs w:val="24"/>
          <w:lang w:val="sq-AL" w:eastAsia="sq-AL"/>
        </w:rPr>
      </w:pPr>
    </w:p>
    <w:p w14:paraId="198DAD43" w14:textId="77777777" w:rsidR="005C439F" w:rsidRPr="00E24ECC" w:rsidRDefault="00557B05" w:rsidP="005B66E4">
      <w:pPr>
        <w:pStyle w:val="Heading2"/>
        <w:spacing w:line="276" w:lineRule="auto"/>
        <w:rPr>
          <w:rFonts w:ascii="Cambria" w:eastAsia="Calibri" w:hAnsi="Cambria"/>
          <w:i w:val="0"/>
          <w:sz w:val="24"/>
          <w:szCs w:val="24"/>
          <w:lang w:val="sq-AL"/>
        </w:rPr>
      </w:pPr>
      <w:bookmarkStart w:id="30" w:name="_Toc516537"/>
      <w:bookmarkStart w:id="31" w:name="_Toc200704917"/>
      <w:r w:rsidRPr="00E24ECC">
        <w:rPr>
          <w:rFonts w:ascii="Cambria" w:eastAsia="Calibri" w:hAnsi="Cambria"/>
          <w:i w:val="0"/>
          <w:sz w:val="24"/>
          <w:szCs w:val="24"/>
          <w:lang w:val="sq-AL"/>
        </w:rPr>
        <w:lastRenderedPageBreak/>
        <w:t>MINISTRIA E DREJTËSISË</w:t>
      </w:r>
      <w:bookmarkEnd w:id="30"/>
      <w:bookmarkEnd w:id="31"/>
    </w:p>
    <w:p w14:paraId="5CAB3934" w14:textId="77777777" w:rsidR="00CB123A" w:rsidRPr="00A54BF4" w:rsidRDefault="00CB123A" w:rsidP="00CB123A">
      <w:pPr>
        <w:jc w:val="both"/>
        <w:rPr>
          <w:rFonts w:ascii="Cambria" w:eastAsia="Times New Roman" w:hAnsi="Cambria" w:cs="Times New Roman"/>
          <w:sz w:val="24"/>
          <w:szCs w:val="24"/>
          <w:lang w:val="sq-AL"/>
        </w:rPr>
      </w:pPr>
      <w:r w:rsidRPr="00A54BF4">
        <w:rPr>
          <w:rFonts w:ascii="Cambria" w:eastAsia="Times New Roman" w:hAnsi="Cambria" w:cs="Times New Roman"/>
          <w:sz w:val="24"/>
          <w:szCs w:val="24"/>
          <w:lang w:val="sq-AL"/>
        </w:rPr>
        <w:t>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dhe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2FBE6139" w14:textId="77777777" w:rsidR="00CB123A" w:rsidRPr="00A54BF4" w:rsidRDefault="00CB123A" w:rsidP="00CB123A">
      <w:pPr>
        <w:spacing w:after="200" w:line="276" w:lineRule="auto"/>
        <w:jc w:val="both"/>
        <w:rPr>
          <w:rFonts w:ascii="Cambria" w:eastAsia="Arial" w:hAnsi="Cambria" w:cs="Arial"/>
          <w:sz w:val="24"/>
          <w:szCs w:val="24"/>
          <w:lang w:val="sq-AL" w:eastAsia="en-GB"/>
        </w:rPr>
      </w:pPr>
      <w:r w:rsidRPr="00A54BF4">
        <w:rPr>
          <w:rFonts w:ascii="Cambria" w:eastAsia="Arial" w:hAnsi="Cambria" w:cs="Arial"/>
          <w:sz w:val="24"/>
          <w:szCs w:val="24"/>
          <w:lang w:val="sq-AL" w:eastAsia="en-GB"/>
        </w:rPr>
        <w:t>Për periudhën 202</w:t>
      </w:r>
      <w:r>
        <w:rPr>
          <w:rFonts w:ascii="Cambria" w:eastAsia="Arial" w:hAnsi="Cambria" w:cs="Arial"/>
          <w:sz w:val="24"/>
          <w:szCs w:val="24"/>
          <w:lang w:val="sq-AL" w:eastAsia="en-GB"/>
        </w:rPr>
        <w:t>6</w:t>
      </w:r>
      <w:r w:rsidRPr="00A54BF4">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A54BF4">
        <w:rPr>
          <w:rFonts w:ascii="Cambria" w:eastAsia="Arial" w:hAnsi="Cambria" w:cs="Arial"/>
          <w:sz w:val="24"/>
          <w:szCs w:val="24"/>
          <w:lang w:val="sq-AL" w:eastAsia="en-GB"/>
        </w:rPr>
        <w:t xml:space="preserve">, Ministria e Drejtësisë do të përmbushë objektivat e synuar përmes fondeve buxhetore të alokuara sipas tabelës së mëposhtme: </w:t>
      </w:r>
    </w:p>
    <w:p w14:paraId="35A49FAC" w14:textId="6EC20F94" w:rsidR="00CB123A" w:rsidRPr="00CB123A" w:rsidRDefault="002E7DF3" w:rsidP="002E7DF3">
      <w:pPr>
        <w:pStyle w:val="Caption"/>
        <w:rPr>
          <w:sz w:val="24"/>
          <w:szCs w:val="24"/>
          <w:lang w:val="sq-AL"/>
        </w:rPr>
      </w:pPr>
      <w:r w:rsidRPr="002E7DF3">
        <w:rPr>
          <w:sz w:val="24"/>
          <w:szCs w:val="24"/>
          <w:lang w:val="sq-AL"/>
        </w:rPr>
        <w:t xml:space="preserve">Tabela </w:t>
      </w:r>
      <w:r w:rsidRPr="002E7DF3">
        <w:rPr>
          <w:sz w:val="24"/>
          <w:szCs w:val="24"/>
          <w:lang w:val="sq-AL"/>
        </w:rPr>
        <w:fldChar w:fldCharType="begin"/>
      </w:r>
      <w:r w:rsidRPr="002E7DF3">
        <w:rPr>
          <w:sz w:val="24"/>
          <w:szCs w:val="24"/>
          <w:lang w:val="sq-AL"/>
        </w:rPr>
        <w:instrText xml:space="preserve"> SEQ Tabela \* ARABIC </w:instrText>
      </w:r>
      <w:r w:rsidRPr="002E7DF3">
        <w:rPr>
          <w:sz w:val="24"/>
          <w:szCs w:val="24"/>
          <w:lang w:val="sq-AL"/>
        </w:rPr>
        <w:fldChar w:fldCharType="separate"/>
      </w:r>
      <w:r w:rsidR="009113BE">
        <w:rPr>
          <w:noProof/>
          <w:sz w:val="24"/>
          <w:szCs w:val="24"/>
          <w:lang w:val="sq-AL"/>
        </w:rPr>
        <w:t>13</w:t>
      </w:r>
      <w:r w:rsidRPr="002E7DF3">
        <w:rPr>
          <w:sz w:val="24"/>
          <w:szCs w:val="24"/>
          <w:lang w:val="sq-AL"/>
        </w:rPr>
        <w:fldChar w:fldCharType="end"/>
      </w:r>
      <w:r w:rsidR="00CB123A" w:rsidRPr="002E7DF3">
        <w:rPr>
          <w:sz w:val="24"/>
          <w:szCs w:val="24"/>
          <w:lang w:val="sq-AL"/>
        </w:rPr>
        <w:t>:</w:t>
      </w:r>
      <w:r w:rsidR="00CB123A" w:rsidRPr="002E7DF3">
        <w:rPr>
          <w:sz w:val="32"/>
          <w:szCs w:val="32"/>
          <w:lang w:val="sq-AL"/>
        </w:rPr>
        <w:t xml:space="preserve"> </w:t>
      </w:r>
      <w:r w:rsidR="00CB123A" w:rsidRPr="00CB123A">
        <w:rPr>
          <w:sz w:val="24"/>
          <w:szCs w:val="24"/>
          <w:lang w:val="sq-AL"/>
        </w:rPr>
        <w:t>Shpenzimet për Sektorin e Drejtësisë dhe Ministrinë e Drejtësisë për PBA 2026-2028</w:t>
      </w:r>
    </w:p>
    <w:p w14:paraId="078E6CC5" w14:textId="77777777" w:rsidR="00CB123A" w:rsidRPr="00CF57F4" w:rsidRDefault="00CB123A" w:rsidP="00CB123A">
      <w:pPr>
        <w:spacing w:after="200" w:line="276" w:lineRule="auto"/>
        <w:contextualSpacing/>
        <w:jc w:val="right"/>
        <w:rPr>
          <w:rFonts w:ascii="Cambria" w:eastAsia="Arial" w:hAnsi="Cambria" w:cs="Arial"/>
          <w:bCs/>
          <w:i/>
          <w:iCs/>
          <w:sz w:val="24"/>
          <w:szCs w:val="24"/>
          <w:lang w:val="sq-AL" w:eastAsia="en-GB"/>
        </w:rPr>
      </w:pPr>
      <w:r w:rsidRPr="00CF57F4">
        <w:rPr>
          <w:rFonts w:ascii="Cambria" w:eastAsia="Times New Roman" w:hAnsi="Cambria" w:cs="Arial"/>
          <w:bCs/>
          <w:i/>
          <w:iCs/>
          <w:sz w:val="24"/>
          <w:szCs w:val="24"/>
          <w:lang w:val="sq-AL" w:eastAsia="en-GB"/>
        </w:rPr>
        <w:t>Në milion lekë</w:t>
      </w:r>
    </w:p>
    <w:tbl>
      <w:tblPr>
        <w:tblStyle w:val="GridTable5Dark-Accent1211"/>
        <w:tblW w:w="9789" w:type="dxa"/>
        <w:tblLook w:val="04A0" w:firstRow="1" w:lastRow="0" w:firstColumn="1" w:lastColumn="0" w:noHBand="0" w:noVBand="1"/>
      </w:tblPr>
      <w:tblGrid>
        <w:gridCol w:w="4135"/>
        <w:gridCol w:w="1386"/>
        <w:gridCol w:w="1420"/>
        <w:gridCol w:w="1420"/>
        <w:gridCol w:w="1428"/>
      </w:tblGrid>
      <w:tr w:rsidR="00CB123A" w:rsidRPr="00CB123A" w14:paraId="6489EE43" w14:textId="77777777" w:rsidTr="00503B9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789" w:type="dxa"/>
            <w:gridSpan w:val="5"/>
            <w:hideMark/>
          </w:tcPr>
          <w:p w14:paraId="7DEF6887" w14:textId="77777777" w:rsidR="00CB123A" w:rsidRPr="00CB123A" w:rsidRDefault="00CB123A" w:rsidP="00503B9E">
            <w:pPr>
              <w:jc w:val="center"/>
              <w:rPr>
                <w:rFonts w:ascii="Arial" w:eastAsia="Times New Roman" w:hAnsi="Arial" w:cs="Arial"/>
                <w:sz w:val="20"/>
                <w:szCs w:val="20"/>
                <w:lang w:val="sq-AL"/>
              </w:rPr>
            </w:pPr>
            <w:r w:rsidRPr="00CB123A">
              <w:rPr>
                <w:rFonts w:ascii="Arial" w:eastAsia="Times New Roman" w:hAnsi="Arial" w:cs="Arial"/>
                <w:sz w:val="20"/>
                <w:szCs w:val="20"/>
                <w:lang w:val="sq-AL"/>
              </w:rPr>
              <w:t>Shpenzimet për Sektorin e Drejtësisë dhe Ministrinë e Drejtësisë</w:t>
            </w:r>
          </w:p>
        </w:tc>
      </w:tr>
      <w:tr w:rsidR="00CB123A" w:rsidRPr="00CB123A" w14:paraId="132434F3" w14:textId="77777777" w:rsidTr="00503B9E">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135" w:type="dxa"/>
            <w:vMerge w:val="restart"/>
            <w:hideMark/>
          </w:tcPr>
          <w:p w14:paraId="1A867DD9" w14:textId="77777777" w:rsidR="00CB123A" w:rsidRPr="00CB123A" w:rsidRDefault="00CB123A" w:rsidP="00503B9E">
            <w:pPr>
              <w:jc w:val="center"/>
              <w:rPr>
                <w:rFonts w:ascii="Arial" w:eastAsia="Times New Roman" w:hAnsi="Arial" w:cs="Arial"/>
                <w:color w:val="000080"/>
                <w:sz w:val="20"/>
                <w:szCs w:val="20"/>
                <w:lang w:val="sq-AL"/>
              </w:rPr>
            </w:pPr>
          </w:p>
        </w:tc>
        <w:tc>
          <w:tcPr>
            <w:tcW w:w="5654" w:type="dxa"/>
            <w:gridSpan w:val="4"/>
            <w:noWrap/>
            <w:hideMark/>
          </w:tcPr>
          <w:p w14:paraId="3496AAD3"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q-AL"/>
              </w:rPr>
            </w:pPr>
            <w:r w:rsidRPr="00CB123A">
              <w:rPr>
                <w:rFonts w:ascii="Arial" w:eastAsia="Times New Roman" w:hAnsi="Arial" w:cs="Arial"/>
                <w:b/>
                <w:bCs/>
                <w:sz w:val="20"/>
                <w:szCs w:val="20"/>
                <w:lang w:val="sq-AL"/>
              </w:rPr>
              <w:t>Shpenzimet totale</w:t>
            </w:r>
          </w:p>
        </w:tc>
      </w:tr>
      <w:tr w:rsidR="00CB123A" w:rsidRPr="00CB123A" w14:paraId="34A5E353" w14:textId="77777777" w:rsidTr="00503B9E">
        <w:trPr>
          <w:trHeight w:val="342"/>
        </w:trPr>
        <w:tc>
          <w:tcPr>
            <w:cnfStyle w:val="001000000000" w:firstRow="0" w:lastRow="0" w:firstColumn="1" w:lastColumn="0" w:oddVBand="0" w:evenVBand="0" w:oddHBand="0" w:evenHBand="0" w:firstRowFirstColumn="0" w:firstRowLastColumn="0" w:lastRowFirstColumn="0" w:lastRowLastColumn="0"/>
            <w:tcW w:w="4135" w:type="dxa"/>
            <w:vMerge/>
            <w:hideMark/>
          </w:tcPr>
          <w:p w14:paraId="6F100F03" w14:textId="77777777" w:rsidR="00CB123A" w:rsidRPr="00CB123A" w:rsidRDefault="00CB123A" w:rsidP="00503B9E">
            <w:pPr>
              <w:jc w:val="center"/>
              <w:rPr>
                <w:rFonts w:ascii="Arial" w:eastAsia="Times New Roman" w:hAnsi="Arial" w:cs="Arial"/>
                <w:color w:val="000080"/>
                <w:sz w:val="20"/>
                <w:szCs w:val="20"/>
                <w:lang w:val="sq-AL"/>
              </w:rPr>
            </w:pPr>
          </w:p>
        </w:tc>
        <w:tc>
          <w:tcPr>
            <w:tcW w:w="1386" w:type="dxa"/>
            <w:noWrap/>
            <w:hideMark/>
          </w:tcPr>
          <w:p w14:paraId="561CE3E5"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B123A">
              <w:rPr>
                <w:rFonts w:ascii="Arial" w:eastAsia="Times New Roman" w:hAnsi="Arial" w:cs="Arial"/>
                <w:b/>
                <w:bCs/>
                <w:sz w:val="18"/>
                <w:szCs w:val="18"/>
                <w:lang w:val="sq-AL"/>
              </w:rPr>
              <w:t>Buxheti 2025</w:t>
            </w:r>
          </w:p>
        </w:tc>
        <w:tc>
          <w:tcPr>
            <w:tcW w:w="1420" w:type="dxa"/>
            <w:noWrap/>
            <w:hideMark/>
          </w:tcPr>
          <w:p w14:paraId="2D5FA122"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B123A">
              <w:rPr>
                <w:rFonts w:ascii="Arial" w:eastAsia="Times New Roman" w:hAnsi="Arial" w:cs="Arial"/>
                <w:b/>
                <w:bCs/>
                <w:sz w:val="18"/>
                <w:szCs w:val="18"/>
                <w:lang w:val="sq-AL"/>
              </w:rPr>
              <w:t>PBA 2026</w:t>
            </w:r>
          </w:p>
        </w:tc>
        <w:tc>
          <w:tcPr>
            <w:tcW w:w="1420" w:type="dxa"/>
            <w:noWrap/>
            <w:hideMark/>
          </w:tcPr>
          <w:p w14:paraId="48B56021"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B123A">
              <w:rPr>
                <w:rFonts w:ascii="Arial" w:eastAsia="Times New Roman" w:hAnsi="Arial" w:cs="Arial"/>
                <w:b/>
                <w:bCs/>
                <w:sz w:val="18"/>
                <w:szCs w:val="18"/>
                <w:lang w:val="sq-AL"/>
              </w:rPr>
              <w:t>PBA 2027</w:t>
            </w:r>
          </w:p>
        </w:tc>
        <w:tc>
          <w:tcPr>
            <w:tcW w:w="1428" w:type="dxa"/>
            <w:noWrap/>
            <w:hideMark/>
          </w:tcPr>
          <w:p w14:paraId="7135B677"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B123A">
              <w:rPr>
                <w:rFonts w:ascii="Arial" w:eastAsia="Times New Roman" w:hAnsi="Arial" w:cs="Arial"/>
                <w:b/>
                <w:bCs/>
                <w:sz w:val="18"/>
                <w:szCs w:val="18"/>
                <w:lang w:val="sq-AL"/>
              </w:rPr>
              <w:t>PBA 2028</w:t>
            </w:r>
          </w:p>
        </w:tc>
      </w:tr>
      <w:tr w:rsidR="00CB123A" w:rsidRPr="00CB123A" w14:paraId="340F9CE1" w14:textId="77777777" w:rsidTr="00503B9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135" w:type="dxa"/>
            <w:noWrap/>
            <w:hideMark/>
          </w:tcPr>
          <w:p w14:paraId="5B0EB6CD" w14:textId="77777777" w:rsidR="00CB123A" w:rsidRPr="00CB123A" w:rsidRDefault="00CB123A" w:rsidP="00503B9E">
            <w:pPr>
              <w:jc w:val="center"/>
              <w:rPr>
                <w:rFonts w:ascii="Arial" w:eastAsia="Times New Roman" w:hAnsi="Arial" w:cs="Arial"/>
                <w:sz w:val="18"/>
                <w:szCs w:val="20"/>
                <w:lang w:val="sq-AL"/>
              </w:rPr>
            </w:pPr>
            <w:r w:rsidRPr="00CB123A">
              <w:rPr>
                <w:rFonts w:ascii="Arial" w:eastAsia="Times New Roman" w:hAnsi="Arial" w:cs="Arial"/>
                <w:sz w:val="18"/>
                <w:szCs w:val="20"/>
                <w:lang w:val="sq-AL"/>
              </w:rPr>
              <w:t>Sektori i Drejtësisë   (% ndaj PBB)</w:t>
            </w:r>
          </w:p>
        </w:tc>
        <w:tc>
          <w:tcPr>
            <w:tcW w:w="1386" w:type="dxa"/>
            <w:noWrap/>
            <w:hideMark/>
          </w:tcPr>
          <w:p w14:paraId="5E87B388"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1,06%</w:t>
            </w:r>
          </w:p>
        </w:tc>
        <w:tc>
          <w:tcPr>
            <w:tcW w:w="1420" w:type="dxa"/>
            <w:noWrap/>
            <w:hideMark/>
          </w:tcPr>
          <w:p w14:paraId="16FF592D"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0,97%</w:t>
            </w:r>
          </w:p>
        </w:tc>
        <w:tc>
          <w:tcPr>
            <w:tcW w:w="1420" w:type="dxa"/>
            <w:noWrap/>
            <w:hideMark/>
          </w:tcPr>
          <w:p w14:paraId="5D0CD4FC"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1,01%</w:t>
            </w:r>
          </w:p>
        </w:tc>
        <w:tc>
          <w:tcPr>
            <w:tcW w:w="1428" w:type="dxa"/>
            <w:noWrap/>
            <w:hideMark/>
          </w:tcPr>
          <w:p w14:paraId="5053A5E2"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0,96%</w:t>
            </w:r>
          </w:p>
        </w:tc>
      </w:tr>
      <w:tr w:rsidR="00CB123A" w:rsidRPr="00CB123A" w14:paraId="63C67EFC" w14:textId="77777777" w:rsidTr="00503B9E">
        <w:trPr>
          <w:trHeight w:val="342"/>
        </w:trPr>
        <w:tc>
          <w:tcPr>
            <w:cnfStyle w:val="001000000000" w:firstRow="0" w:lastRow="0" w:firstColumn="1" w:lastColumn="0" w:oddVBand="0" w:evenVBand="0" w:oddHBand="0" w:evenHBand="0" w:firstRowFirstColumn="0" w:firstRowLastColumn="0" w:lastRowFirstColumn="0" w:lastRowLastColumn="0"/>
            <w:tcW w:w="4135" w:type="dxa"/>
            <w:noWrap/>
            <w:hideMark/>
          </w:tcPr>
          <w:p w14:paraId="56022C0B" w14:textId="77777777" w:rsidR="00CB123A" w:rsidRPr="00CB123A" w:rsidRDefault="00CB123A" w:rsidP="00503B9E">
            <w:pPr>
              <w:jc w:val="center"/>
              <w:rPr>
                <w:rFonts w:ascii="Arial" w:eastAsia="Times New Roman" w:hAnsi="Arial" w:cs="Arial"/>
                <w:sz w:val="18"/>
                <w:szCs w:val="20"/>
                <w:lang w:val="sq-AL"/>
              </w:rPr>
            </w:pPr>
            <w:r w:rsidRPr="00CB123A">
              <w:rPr>
                <w:rFonts w:ascii="Arial" w:eastAsia="Times New Roman" w:hAnsi="Arial" w:cs="Arial"/>
                <w:sz w:val="18"/>
                <w:szCs w:val="20"/>
                <w:lang w:val="sq-AL"/>
              </w:rPr>
              <w:t>Sektori i Drejtësisë  (në mln lekë)</w:t>
            </w:r>
          </w:p>
        </w:tc>
        <w:tc>
          <w:tcPr>
            <w:tcW w:w="1386" w:type="dxa"/>
            <w:noWrap/>
            <w:hideMark/>
          </w:tcPr>
          <w:p w14:paraId="2C6086B4"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27,833</w:t>
            </w:r>
          </w:p>
        </w:tc>
        <w:tc>
          <w:tcPr>
            <w:tcW w:w="1420" w:type="dxa"/>
            <w:noWrap/>
            <w:hideMark/>
          </w:tcPr>
          <w:p w14:paraId="0E1C5FAA"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26,638</w:t>
            </w:r>
          </w:p>
        </w:tc>
        <w:tc>
          <w:tcPr>
            <w:tcW w:w="1420" w:type="dxa"/>
            <w:noWrap/>
            <w:hideMark/>
          </w:tcPr>
          <w:p w14:paraId="718EC00A"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29,190</w:t>
            </w:r>
          </w:p>
        </w:tc>
        <w:tc>
          <w:tcPr>
            <w:tcW w:w="1428" w:type="dxa"/>
            <w:noWrap/>
            <w:hideMark/>
          </w:tcPr>
          <w:p w14:paraId="0C6A442F"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29,158</w:t>
            </w:r>
          </w:p>
        </w:tc>
      </w:tr>
      <w:tr w:rsidR="00CB123A" w:rsidRPr="00CB123A" w14:paraId="55FF4186" w14:textId="77777777" w:rsidTr="00503B9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135" w:type="dxa"/>
            <w:noWrap/>
            <w:hideMark/>
          </w:tcPr>
          <w:p w14:paraId="5102876D" w14:textId="77777777" w:rsidR="00CB123A" w:rsidRPr="00CB123A" w:rsidRDefault="00CB123A" w:rsidP="00503B9E">
            <w:pPr>
              <w:jc w:val="center"/>
              <w:rPr>
                <w:rFonts w:ascii="Arial" w:eastAsia="Times New Roman" w:hAnsi="Arial" w:cs="Arial"/>
                <w:sz w:val="18"/>
                <w:szCs w:val="20"/>
                <w:lang w:val="sq-AL"/>
              </w:rPr>
            </w:pPr>
            <w:r w:rsidRPr="00CB123A">
              <w:rPr>
                <w:rFonts w:ascii="Arial" w:eastAsia="Times New Roman" w:hAnsi="Arial" w:cs="Arial"/>
                <w:sz w:val="18"/>
                <w:szCs w:val="20"/>
                <w:lang w:val="sq-AL"/>
              </w:rPr>
              <w:t>Sektori i Drejtësisë (% ndaj buxhetit)</w:t>
            </w:r>
          </w:p>
        </w:tc>
        <w:tc>
          <w:tcPr>
            <w:tcW w:w="1386" w:type="dxa"/>
            <w:noWrap/>
            <w:hideMark/>
          </w:tcPr>
          <w:p w14:paraId="6912406E"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3,37%</w:t>
            </w:r>
          </w:p>
        </w:tc>
        <w:tc>
          <w:tcPr>
            <w:tcW w:w="1420" w:type="dxa"/>
            <w:noWrap/>
            <w:hideMark/>
          </w:tcPr>
          <w:p w14:paraId="7C3EA203"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3,13%</w:t>
            </w:r>
          </w:p>
        </w:tc>
        <w:tc>
          <w:tcPr>
            <w:tcW w:w="1420" w:type="dxa"/>
            <w:noWrap/>
            <w:hideMark/>
          </w:tcPr>
          <w:p w14:paraId="09DA3611"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3,27%</w:t>
            </w:r>
          </w:p>
        </w:tc>
        <w:tc>
          <w:tcPr>
            <w:tcW w:w="1428" w:type="dxa"/>
            <w:noWrap/>
            <w:hideMark/>
          </w:tcPr>
          <w:p w14:paraId="1358F016"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3,19%</w:t>
            </w:r>
          </w:p>
        </w:tc>
      </w:tr>
      <w:tr w:rsidR="00CB123A" w:rsidRPr="00CB123A" w14:paraId="10311031" w14:textId="77777777" w:rsidTr="00503B9E">
        <w:trPr>
          <w:trHeight w:val="306"/>
        </w:trPr>
        <w:tc>
          <w:tcPr>
            <w:cnfStyle w:val="001000000000" w:firstRow="0" w:lastRow="0" w:firstColumn="1" w:lastColumn="0" w:oddVBand="0" w:evenVBand="0" w:oddHBand="0" w:evenHBand="0" w:firstRowFirstColumn="0" w:firstRowLastColumn="0" w:lastRowFirstColumn="0" w:lastRowLastColumn="0"/>
            <w:tcW w:w="4135" w:type="dxa"/>
            <w:noWrap/>
            <w:hideMark/>
          </w:tcPr>
          <w:p w14:paraId="3C81A119" w14:textId="77777777" w:rsidR="00CB123A" w:rsidRPr="00CB123A" w:rsidRDefault="00CB123A" w:rsidP="00503B9E">
            <w:pPr>
              <w:jc w:val="center"/>
              <w:rPr>
                <w:rFonts w:ascii="Arial" w:eastAsia="Times New Roman" w:hAnsi="Arial" w:cs="Arial"/>
                <w:sz w:val="18"/>
                <w:szCs w:val="20"/>
                <w:lang w:val="sq-AL"/>
              </w:rPr>
            </w:pPr>
            <w:r w:rsidRPr="00CB123A">
              <w:rPr>
                <w:rFonts w:ascii="Arial" w:eastAsia="Times New Roman" w:hAnsi="Arial" w:cs="Arial"/>
                <w:sz w:val="18"/>
                <w:szCs w:val="20"/>
                <w:lang w:val="sq-AL"/>
              </w:rPr>
              <w:t>Ministria e Drejtësisë  (% ndaj PBB)</w:t>
            </w:r>
          </w:p>
        </w:tc>
        <w:tc>
          <w:tcPr>
            <w:tcW w:w="1386" w:type="dxa"/>
            <w:noWrap/>
            <w:hideMark/>
          </w:tcPr>
          <w:p w14:paraId="540E19BE"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0,55%</w:t>
            </w:r>
          </w:p>
        </w:tc>
        <w:tc>
          <w:tcPr>
            <w:tcW w:w="1420" w:type="dxa"/>
            <w:noWrap/>
            <w:hideMark/>
          </w:tcPr>
          <w:p w14:paraId="3BFE69D0"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0,51%</w:t>
            </w:r>
          </w:p>
        </w:tc>
        <w:tc>
          <w:tcPr>
            <w:tcW w:w="1420" w:type="dxa"/>
            <w:noWrap/>
            <w:hideMark/>
          </w:tcPr>
          <w:p w14:paraId="2A2E1799"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0,58%</w:t>
            </w:r>
          </w:p>
        </w:tc>
        <w:tc>
          <w:tcPr>
            <w:tcW w:w="1428" w:type="dxa"/>
            <w:noWrap/>
            <w:hideMark/>
          </w:tcPr>
          <w:p w14:paraId="454C038D"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0,55%</w:t>
            </w:r>
          </w:p>
        </w:tc>
      </w:tr>
      <w:tr w:rsidR="00CB123A" w:rsidRPr="00CB123A" w14:paraId="3C9407F2" w14:textId="77777777" w:rsidTr="00503B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35" w:type="dxa"/>
            <w:noWrap/>
            <w:hideMark/>
          </w:tcPr>
          <w:p w14:paraId="4546E4B8" w14:textId="77777777" w:rsidR="00CB123A" w:rsidRPr="00CB123A" w:rsidRDefault="00CB123A" w:rsidP="00503B9E">
            <w:pPr>
              <w:jc w:val="center"/>
              <w:rPr>
                <w:rFonts w:ascii="Arial" w:eastAsia="Times New Roman" w:hAnsi="Arial" w:cs="Arial"/>
                <w:sz w:val="18"/>
                <w:szCs w:val="20"/>
                <w:lang w:val="sq-AL"/>
              </w:rPr>
            </w:pPr>
            <w:r w:rsidRPr="00CB123A">
              <w:rPr>
                <w:rFonts w:ascii="Arial" w:eastAsia="Times New Roman" w:hAnsi="Arial" w:cs="Arial"/>
                <w:sz w:val="18"/>
                <w:szCs w:val="20"/>
                <w:lang w:val="sq-AL"/>
              </w:rPr>
              <w:t>Ministria e Drejtësisë  (në mln lekë)</w:t>
            </w:r>
          </w:p>
        </w:tc>
        <w:tc>
          <w:tcPr>
            <w:tcW w:w="1386" w:type="dxa"/>
            <w:noWrap/>
            <w:hideMark/>
          </w:tcPr>
          <w:p w14:paraId="4BC1342B"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14,372</w:t>
            </w:r>
          </w:p>
        </w:tc>
        <w:tc>
          <w:tcPr>
            <w:tcW w:w="1420" w:type="dxa"/>
            <w:noWrap/>
            <w:hideMark/>
          </w:tcPr>
          <w:p w14:paraId="4DFB40D8"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14,048</w:t>
            </w:r>
          </w:p>
        </w:tc>
        <w:tc>
          <w:tcPr>
            <w:tcW w:w="1420" w:type="dxa"/>
            <w:noWrap/>
            <w:hideMark/>
          </w:tcPr>
          <w:p w14:paraId="3AF37589"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16,675</w:t>
            </w:r>
          </w:p>
        </w:tc>
        <w:tc>
          <w:tcPr>
            <w:tcW w:w="1428" w:type="dxa"/>
            <w:noWrap/>
            <w:hideMark/>
          </w:tcPr>
          <w:p w14:paraId="28F0E528" w14:textId="77777777" w:rsidR="00CB123A" w:rsidRPr="00CB123A" w:rsidRDefault="00CB123A" w:rsidP="00503B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CB123A">
              <w:rPr>
                <w:sz w:val="20"/>
                <w:szCs w:val="20"/>
              </w:rPr>
              <w:t>16,581</w:t>
            </w:r>
          </w:p>
        </w:tc>
      </w:tr>
      <w:tr w:rsidR="00CB123A" w:rsidRPr="00CB123A" w14:paraId="4DB5DF96" w14:textId="77777777" w:rsidTr="00503B9E">
        <w:trPr>
          <w:trHeight w:val="306"/>
        </w:trPr>
        <w:tc>
          <w:tcPr>
            <w:cnfStyle w:val="001000000000" w:firstRow="0" w:lastRow="0" w:firstColumn="1" w:lastColumn="0" w:oddVBand="0" w:evenVBand="0" w:oddHBand="0" w:evenHBand="0" w:firstRowFirstColumn="0" w:firstRowLastColumn="0" w:lastRowFirstColumn="0" w:lastRowLastColumn="0"/>
            <w:tcW w:w="4135" w:type="dxa"/>
            <w:noWrap/>
            <w:hideMark/>
          </w:tcPr>
          <w:p w14:paraId="1601B5A5" w14:textId="77777777" w:rsidR="00CB123A" w:rsidRPr="00CB123A" w:rsidRDefault="00CB123A" w:rsidP="00503B9E">
            <w:pPr>
              <w:jc w:val="center"/>
              <w:rPr>
                <w:sz w:val="18"/>
                <w:szCs w:val="20"/>
                <w:lang w:val="it-IT"/>
              </w:rPr>
            </w:pPr>
            <w:r w:rsidRPr="00CB123A">
              <w:rPr>
                <w:sz w:val="18"/>
                <w:szCs w:val="20"/>
                <w:lang w:val="it-IT"/>
              </w:rPr>
              <w:t>Ministria e Drejtësisë  (% ndaj buxhetit )</w:t>
            </w:r>
          </w:p>
        </w:tc>
        <w:tc>
          <w:tcPr>
            <w:tcW w:w="1386" w:type="dxa"/>
            <w:noWrap/>
            <w:hideMark/>
          </w:tcPr>
          <w:p w14:paraId="5AA22F8A"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1,74%</w:t>
            </w:r>
          </w:p>
        </w:tc>
        <w:tc>
          <w:tcPr>
            <w:tcW w:w="1420" w:type="dxa"/>
            <w:noWrap/>
            <w:hideMark/>
          </w:tcPr>
          <w:p w14:paraId="1B06AE9B"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1,65%</w:t>
            </w:r>
          </w:p>
        </w:tc>
        <w:tc>
          <w:tcPr>
            <w:tcW w:w="1420" w:type="dxa"/>
            <w:noWrap/>
            <w:hideMark/>
          </w:tcPr>
          <w:p w14:paraId="6A65323E"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1,87%</w:t>
            </w:r>
          </w:p>
        </w:tc>
        <w:tc>
          <w:tcPr>
            <w:tcW w:w="1428" w:type="dxa"/>
            <w:noWrap/>
            <w:hideMark/>
          </w:tcPr>
          <w:p w14:paraId="47456EBB" w14:textId="77777777" w:rsidR="00CB123A" w:rsidRPr="00CB123A" w:rsidRDefault="00CB123A" w:rsidP="00503B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CB123A">
              <w:rPr>
                <w:sz w:val="20"/>
                <w:szCs w:val="20"/>
              </w:rPr>
              <w:t>1,81%</w:t>
            </w:r>
          </w:p>
        </w:tc>
      </w:tr>
    </w:tbl>
    <w:p w14:paraId="554F6DA9" w14:textId="77777777" w:rsidR="00CB123A" w:rsidRPr="00CB123A" w:rsidRDefault="00CB123A" w:rsidP="00CB123A">
      <w:pPr>
        <w:spacing w:after="0" w:line="240" w:lineRule="auto"/>
        <w:jc w:val="center"/>
        <w:rPr>
          <w:sz w:val="20"/>
          <w:szCs w:val="20"/>
        </w:rPr>
      </w:pPr>
    </w:p>
    <w:p w14:paraId="632EC303" w14:textId="77777777" w:rsidR="00CB123A" w:rsidRPr="00A54BF4" w:rsidRDefault="00CB123A" w:rsidP="00CB123A">
      <w:pPr>
        <w:jc w:val="both"/>
        <w:rPr>
          <w:rFonts w:ascii="Cambria" w:eastAsia="Times New Roman" w:hAnsi="Cambria" w:cs="Times New Roman"/>
          <w:sz w:val="24"/>
          <w:szCs w:val="24"/>
          <w:lang w:val="sq-AL"/>
        </w:rPr>
      </w:pPr>
      <w:r w:rsidRPr="00A54BF4">
        <w:rPr>
          <w:rFonts w:ascii="Cambria" w:eastAsia="Times New Roman" w:hAnsi="Cambria" w:cs="Times New Roman"/>
          <w:sz w:val="24"/>
          <w:szCs w:val="24"/>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13FC2308" w14:textId="77777777" w:rsidR="00CB123A" w:rsidRPr="00A54BF4" w:rsidRDefault="00CB123A" w:rsidP="00CB123A">
      <w:pPr>
        <w:jc w:val="both"/>
        <w:rPr>
          <w:rFonts w:ascii="Cambria" w:eastAsia="Times New Roman" w:hAnsi="Cambria" w:cs="Times New Roman"/>
          <w:sz w:val="24"/>
          <w:szCs w:val="24"/>
          <w:lang w:val="sq-AL"/>
        </w:rPr>
      </w:pPr>
    </w:p>
    <w:p w14:paraId="4AD8B4AF" w14:textId="77777777" w:rsidR="00CB123A" w:rsidRPr="002E7DF3" w:rsidRDefault="00CB123A" w:rsidP="00CB123A">
      <w:pPr>
        <w:pStyle w:val="Heading3"/>
        <w:jc w:val="both"/>
        <w:rPr>
          <w:rFonts w:ascii="Times New Roman" w:eastAsia="Calibri" w:hAnsi="Times New Roman" w:cs="Times New Roman"/>
          <w:b/>
          <w:color w:val="auto"/>
          <w:lang w:val="sq-AL"/>
        </w:rPr>
      </w:pPr>
      <w:r w:rsidRPr="002E7DF3">
        <w:rPr>
          <w:rFonts w:ascii="Times New Roman" w:eastAsia="Calibri" w:hAnsi="Times New Roman" w:cs="Times New Roman"/>
          <w:b/>
          <w:color w:val="auto"/>
          <w:lang w:val="sq-AL"/>
        </w:rPr>
        <w:t>Prioritetet e sektorit për periudhën 2026-2028</w:t>
      </w:r>
    </w:p>
    <w:p w14:paraId="7698820D" w14:textId="77777777" w:rsidR="00CB123A" w:rsidRPr="00A54BF4" w:rsidRDefault="00CB123A" w:rsidP="00CB123A">
      <w:pPr>
        <w:spacing w:before="240"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Në funksion të përparësive kryesore të Ministrisë së Drejtësisë, janë përcaktuar dhe objektivat për realizimin e tyre, të cilat janë:</w:t>
      </w:r>
    </w:p>
    <w:p w14:paraId="53C21CD1" w14:textId="77777777" w:rsidR="00CB123A" w:rsidRPr="00A54BF4" w:rsidRDefault="00CB123A" w:rsidP="00CB123A">
      <w:pPr>
        <w:spacing w:before="240" w:after="0" w:line="240" w:lineRule="auto"/>
        <w:contextualSpacing/>
        <w:jc w:val="both"/>
        <w:rPr>
          <w:rFonts w:ascii="Cambria" w:eastAsia="SimSun" w:hAnsi="Cambria" w:cs="Arial"/>
          <w:sz w:val="24"/>
          <w:szCs w:val="24"/>
          <w:lang w:val="sq-AL"/>
        </w:rPr>
      </w:pPr>
    </w:p>
    <w:p w14:paraId="58D84D93"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Funksionalizimi i organeve të reja të drejtësisë.</w:t>
      </w:r>
    </w:p>
    <w:p w14:paraId="7D24DD76"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Përmirësimi i kuadrit ligjor dhe miratimi i akteve nënligjore për zbatimin e reformës në drejtësi.</w:t>
      </w:r>
    </w:p>
    <w:p w14:paraId="0A50E8A3"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Zbatimi i reformimit të sistemit të drejtësisë për të miturit në konflikt me ligjin.</w:t>
      </w:r>
    </w:p>
    <w:p w14:paraId="5CF976ED"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Reformimi i shërbimeve publike, rritja e efikasitetit të tyre.</w:t>
      </w:r>
    </w:p>
    <w:p w14:paraId="69544766"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lastRenderedPageBreak/>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61440412" w14:textId="77777777" w:rsidR="00CB123A" w:rsidRPr="00A54BF4" w:rsidRDefault="00CB123A" w:rsidP="00954232">
      <w:pPr>
        <w:pStyle w:val="ListParagraph"/>
        <w:numPr>
          <w:ilvl w:val="0"/>
          <w:numId w:val="20"/>
        </w:numPr>
        <w:spacing w:before="240" w:after="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Përmirësimi i sistemit të ndihmës juridike falas që çdo qytetar në pamundësi financiare dhe grupet në nevojë, të përfitojë nga ky shërbim në mënyrë cilësore.</w:t>
      </w:r>
    </w:p>
    <w:p w14:paraId="095D1596" w14:textId="77777777" w:rsidR="00CB123A" w:rsidRPr="00A54BF4" w:rsidRDefault="00CB123A" w:rsidP="00CB123A">
      <w:pPr>
        <w:spacing w:after="0" w:line="240" w:lineRule="auto"/>
        <w:ind w:left="360"/>
        <w:contextualSpacing/>
        <w:jc w:val="both"/>
        <w:rPr>
          <w:rFonts w:ascii="Cambria" w:eastAsia="SimSun" w:hAnsi="Cambria" w:cs="Arial"/>
          <w:sz w:val="24"/>
          <w:szCs w:val="24"/>
          <w:lang w:val="sq-AL"/>
        </w:rPr>
      </w:pPr>
    </w:p>
    <w:p w14:paraId="5311D64F" w14:textId="77777777" w:rsidR="00CB123A" w:rsidRPr="00A54BF4" w:rsidRDefault="00CB123A" w:rsidP="00CB123A">
      <w:p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Në tabelën e mëposhtëm paraqitet shpenzimet e Ministrisë së Drejtësisë sipas programeve buxhetore dhe sipas artikujve ekonomikë:</w:t>
      </w:r>
    </w:p>
    <w:p w14:paraId="6E578517" w14:textId="77777777" w:rsidR="00CB123A" w:rsidRDefault="00CB123A" w:rsidP="00CB123A">
      <w:pPr>
        <w:spacing w:after="0" w:line="240" w:lineRule="auto"/>
        <w:contextualSpacing/>
        <w:jc w:val="both"/>
        <w:rPr>
          <w:rFonts w:ascii="Cambria" w:eastAsia="SimSun" w:hAnsi="Cambria" w:cs="Arial"/>
          <w:sz w:val="24"/>
          <w:szCs w:val="24"/>
          <w:lang w:val="sq-AL"/>
        </w:rPr>
      </w:pPr>
    </w:p>
    <w:p w14:paraId="4B0AC94F" w14:textId="77777777" w:rsidR="00CB123A" w:rsidRPr="00A54BF4" w:rsidRDefault="00CB123A" w:rsidP="00CB123A">
      <w:pPr>
        <w:spacing w:after="0" w:line="240" w:lineRule="auto"/>
        <w:contextualSpacing/>
        <w:jc w:val="both"/>
        <w:rPr>
          <w:rFonts w:ascii="Cambria" w:eastAsia="SimSun" w:hAnsi="Cambria" w:cs="Arial"/>
          <w:sz w:val="24"/>
          <w:szCs w:val="24"/>
          <w:lang w:val="sq-AL"/>
        </w:rPr>
      </w:pPr>
    </w:p>
    <w:p w14:paraId="2E99AEE1" w14:textId="464F0BF5" w:rsidR="00CB123A" w:rsidRPr="00A54BF4" w:rsidRDefault="002E7DF3" w:rsidP="002E7DF3">
      <w:pPr>
        <w:pStyle w:val="Caption"/>
        <w:rPr>
          <w:rFonts w:ascii="Cambria" w:eastAsia="Times New Roman" w:hAnsi="Cambria" w:cs="Arial"/>
          <w:sz w:val="24"/>
          <w:szCs w:val="24"/>
          <w:lang w:val="sq-AL"/>
        </w:rPr>
      </w:pPr>
      <w:r w:rsidRPr="002E7DF3">
        <w:rPr>
          <w:rFonts w:ascii="Cambria" w:eastAsia="Times New Roman" w:hAnsi="Cambria" w:cs="Arial"/>
          <w:sz w:val="24"/>
          <w:szCs w:val="24"/>
          <w:lang w:val="sq-AL"/>
        </w:rPr>
        <w:t xml:space="preserve">Tabela </w:t>
      </w:r>
      <w:r w:rsidRPr="002E7DF3">
        <w:rPr>
          <w:rFonts w:ascii="Cambria" w:eastAsia="Times New Roman" w:hAnsi="Cambria" w:cs="Arial"/>
          <w:sz w:val="24"/>
          <w:szCs w:val="24"/>
          <w:lang w:val="sq-AL"/>
        </w:rPr>
        <w:fldChar w:fldCharType="begin"/>
      </w:r>
      <w:r w:rsidRPr="002E7DF3">
        <w:rPr>
          <w:rFonts w:ascii="Cambria" w:eastAsia="Times New Roman" w:hAnsi="Cambria" w:cs="Arial"/>
          <w:sz w:val="24"/>
          <w:szCs w:val="24"/>
          <w:lang w:val="sq-AL"/>
        </w:rPr>
        <w:instrText xml:space="preserve"> SEQ Tabela \* ARABIC </w:instrText>
      </w:r>
      <w:r w:rsidRPr="002E7DF3">
        <w:rPr>
          <w:rFonts w:ascii="Cambria" w:eastAsia="Times New Roman" w:hAnsi="Cambria" w:cs="Arial"/>
          <w:sz w:val="24"/>
          <w:szCs w:val="24"/>
          <w:lang w:val="sq-AL"/>
        </w:rPr>
        <w:fldChar w:fldCharType="separate"/>
      </w:r>
      <w:r w:rsidR="009113BE">
        <w:rPr>
          <w:rFonts w:ascii="Cambria" w:eastAsia="Times New Roman" w:hAnsi="Cambria" w:cs="Arial"/>
          <w:noProof/>
          <w:sz w:val="24"/>
          <w:szCs w:val="24"/>
          <w:lang w:val="sq-AL"/>
        </w:rPr>
        <w:t>14</w:t>
      </w:r>
      <w:r w:rsidRPr="002E7DF3">
        <w:rPr>
          <w:rFonts w:ascii="Cambria" w:eastAsia="Times New Roman" w:hAnsi="Cambria" w:cs="Arial"/>
          <w:sz w:val="24"/>
          <w:szCs w:val="24"/>
          <w:lang w:val="sq-AL"/>
        </w:rPr>
        <w:fldChar w:fldCharType="end"/>
      </w:r>
      <w:r w:rsidRPr="002E7DF3">
        <w:rPr>
          <w:rFonts w:ascii="Cambria" w:eastAsia="Times New Roman" w:hAnsi="Cambria" w:cs="Arial"/>
          <w:sz w:val="24"/>
          <w:szCs w:val="24"/>
          <w:lang w:val="sq-AL"/>
        </w:rPr>
        <w:t>:</w:t>
      </w:r>
      <w:r>
        <w:t xml:space="preserve"> </w:t>
      </w:r>
      <w:r w:rsidR="00CB123A" w:rsidRPr="00A54BF4">
        <w:rPr>
          <w:rFonts w:ascii="Cambria" w:eastAsia="Times New Roman" w:hAnsi="Cambria" w:cs="Arial"/>
          <w:sz w:val="24"/>
          <w:szCs w:val="24"/>
          <w:lang w:val="sq-AL"/>
        </w:rPr>
        <w:t>Shpenzimet për Ministrinë e Drejtësisë sipas programeve buxhetore dhe sipas artikujve ekonomikë</w:t>
      </w:r>
    </w:p>
    <w:p w14:paraId="58D6BA64" w14:textId="77777777" w:rsidR="00CB123A" w:rsidRPr="00B561F1" w:rsidRDefault="00CB123A" w:rsidP="00CB123A">
      <w:pPr>
        <w:spacing w:after="0" w:line="240" w:lineRule="auto"/>
        <w:ind w:left="-270"/>
        <w:contextualSpacing/>
        <w:jc w:val="both"/>
        <w:rPr>
          <w:rFonts w:ascii="Cambria" w:hAnsi="Cambria"/>
          <w:i/>
          <w:iCs/>
          <w:sz w:val="24"/>
          <w:szCs w:val="24"/>
          <w:lang w:val="sq-AL"/>
        </w:rPr>
      </w:pPr>
      <w:r w:rsidRPr="00B561F1">
        <w:rPr>
          <w:i/>
          <w:iCs/>
          <w:sz w:val="24"/>
          <w:szCs w:val="24"/>
          <w:lang w:val="sq-AL"/>
        </w:rPr>
        <w:t xml:space="preserve">                                                                                                                                                     </w:t>
      </w:r>
      <w:r>
        <w:rPr>
          <w:i/>
          <w:iCs/>
          <w:sz w:val="24"/>
          <w:szCs w:val="24"/>
          <w:lang w:val="sq-AL"/>
        </w:rPr>
        <w:t xml:space="preserve">    </w:t>
      </w:r>
      <w:r w:rsidRPr="00B561F1">
        <w:rPr>
          <w:i/>
          <w:iCs/>
          <w:sz w:val="24"/>
          <w:szCs w:val="24"/>
          <w:lang w:val="sq-AL"/>
        </w:rPr>
        <w:t xml:space="preserve">   N</w:t>
      </w:r>
      <w:r>
        <w:rPr>
          <w:i/>
          <w:iCs/>
          <w:sz w:val="24"/>
          <w:szCs w:val="24"/>
          <w:lang w:val="sq-AL"/>
        </w:rPr>
        <w:t>ë</w:t>
      </w:r>
      <w:r w:rsidRPr="00B561F1">
        <w:rPr>
          <w:i/>
          <w:iCs/>
          <w:sz w:val="24"/>
          <w:szCs w:val="24"/>
          <w:lang w:val="sq-AL"/>
        </w:rPr>
        <w:t xml:space="preserve"> mij</w:t>
      </w:r>
      <w:r>
        <w:rPr>
          <w:i/>
          <w:iCs/>
          <w:sz w:val="24"/>
          <w:szCs w:val="24"/>
          <w:lang w:val="sq-AL"/>
        </w:rPr>
        <w:t>ë</w:t>
      </w:r>
      <w:r w:rsidRPr="00B561F1">
        <w:rPr>
          <w:i/>
          <w:iCs/>
          <w:sz w:val="24"/>
          <w:szCs w:val="24"/>
          <w:lang w:val="sq-AL"/>
        </w:rPr>
        <w:t xml:space="preserve"> lek</w:t>
      </w:r>
      <w:r>
        <w:rPr>
          <w:i/>
          <w:iCs/>
          <w:sz w:val="24"/>
          <w:szCs w:val="24"/>
          <w:lang w:val="sq-AL"/>
        </w:rPr>
        <w:t>ë</w:t>
      </w:r>
    </w:p>
    <w:p w14:paraId="40B96133" w14:textId="77777777" w:rsidR="00CB123A" w:rsidRPr="00A54BF4" w:rsidRDefault="00CB123A" w:rsidP="00CB123A">
      <w:pPr>
        <w:spacing w:after="0" w:line="240" w:lineRule="auto"/>
        <w:contextualSpacing/>
        <w:jc w:val="both"/>
        <w:rPr>
          <w:rFonts w:ascii="Cambria" w:eastAsia="SimSun" w:hAnsi="Cambria" w:cs="Arial"/>
          <w:sz w:val="24"/>
          <w:szCs w:val="24"/>
          <w:lang w:val="sq-AL"/>
        </w:rPr>
      </w:pPr>
      <w:r w:rsidRPr="00C90EE2">
        <w:rPr>
          <w:noProof/>
        </w:rPr>
        <w:drawing>
          <wp:inline distT="0" distB="0" distL="0" distR="0" wp14:anchorId="4F718F32" wp14:editId="04F9DA56">
            <wp:extent cx="6072832" cy="4977516"/>
            <wp:effectExtent l="0" t="0" r="4445" b="0"/>
            <wp:docPr id="167465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0586" cy="4983871"/>
                    </a:xfrm>
                    <a:prstGeom prst="rect">
                      <a:avLst/>
                    </a:prstGeom>
                    <a:noFill/>
                    <a:ln>
                      <a:noFill/>
                    </a:ln>
                  </pic:spPr>
                </pic:pic>
              </a:graphicData>
            </a:graphic>
          </wp:inline>
        </w:drawing>
      </w:r>
    </w:p>
    <w:p w14:paraId="22D2B753" w14:textId="77777777" w:rsidR="00CB123A" w:rsidRPr="00A54BF4" w:rsidRDefault="00CB123A" w:rsidP="00CB123A">
      <w:pPr>
        <w:spacing w:after="0" w:line="240" w:lineRule="auto"/>
        <w:contextualSpacing/>
        <w:jc w:val="both"/>
        <w:rPr>
          <w:rFonts w:ascii="Cambria" w:eastAsia="SimSun" w:hAnsi="Cambria" w:cs="Arial"/>
          <w:sz w:val="24"/>
          <w:szCs w:val="24"/>
          <w:lang w:val="sq-AL"/>
        </w:rPr>
      </w:pPr>
    </w:p>
    <w:p w14:paraId="08CF9DCF" w14:textId="77777777" w:rsidR="00CB123A" w:rsidRDefault="00CB123A" w:rsidP="00CB123A">
      <w:pPr>
        <w:spacing w:after="0" w:line="240" w:lineRule="auto"/>
        <w:jc w:val="both"/>
        <w:rPr>
          <w:rFonts w:ascii="Cambria" w:eastAsia="SimSun" w:hAnsi="Cambria" w:cs="Arial"/>
          <w:sz w:val="24"/>
          <w:szCs w:val="24"/>
          <w:lang w:val="sq-AL"/>
        </w:rPr>
      </w:pPr>
    </w:p>
    <w:p w14:paraId="4B0D697D" w14:textId="77777777" w:rsidR="00CB123A" w:rsidRPr="00A54BF4" w:rsidRDefault="00CB123A" w:rsidP="00CB123A">
      <w:pPr>
        <w:spacing w:after="0" w:line="240" w:lineRule="auto"/>
        <w:jc w:val="both"/>
        <w:rPr>
          <w:rFonts w:ascii="Cambria" w:eastAsia="SimSun" w:hAnsi="Cambria" w:cs="Arial"/>
          <w:sz w:val="24"/>
          <w:szCs w:val="24"/>
          <w:lang w:val="sq-AL"/>
        </w:rPr>
      </w:pPr>
    </w:p>
    <w:p w14:paraId="5C94AA83" w14:textId="77777777" w:rsidR="00CB123A" w:rsidRPr="00A54BF4" w:rsidRDefault="00CB123A" w:rsidP="00CB123A">
      <w:pPr>
        <w:pStyle w:val="Heading3"/>
        <w:jc w:val="both"/>
        <w:rPr>
          <w:rFonts w:ascii="Times New Roman" w:eastAsia="Calibri" w:hAnsi="Times New Roman" w:cs="Times New Roman"/>
          <w:b/>
          <w:lang w:val="sq-AL"/>
        </w:rPr>
      </w:pPr>
      <w:r w:rsidRPr="00A54BF4">
        <w:rPr>
          <w:rFonts w:ascii="Times New Roman" w:eastAsia="Calibri" w:hAnsi="Times New Roman" w:cs="Times New Roman"/>
          <w:b/>
          <w:lang w:val="sq-AL"/>
        </w:rPr>
        <w:lastRenderedPageBreak/>
        <w:t>Përmbledhje e Treguesve Kyç të Performancës</w:t>
      </w:r>
    </w:p>
    <w:p w14:paraId="4E5E5614"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14192C16"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“Planifikim, Menaxhim dhe Administrim”,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24BD1445" w14:textId="77777777" w:rsidR="00CB123A" w:rsidRPr="00A54BF4" w:rsidRDefault="00CB123A" w:rsidP="00954232">
      <w:pPr>
        <w:pStyle w:val="ListParagraph"/>
        <w:numPr>
          <w:ilvl w:val="0"/>
          <w:numId w:val="27"/>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Të hartojë dhe vlerësojë rreth 1,</w:t>
      </w:r>
      <w:r>
        <w:rPr>
          <w:rFonts w:ascii="Cambria" w:eastAsia="SimSun" w:hAnsi="Cambria" w:cs="Arial"/>
          <w:sz w:val="24"/>
          <w:szCs w:val="24"/>
          <w:lang w:val="sq-AL"/>
        </w:rPr>
        <w:t>50</w:t>
      </w:r>
      <w:r w:rsidRPr="00A54BF4">
        <w:rPr>
          <w:rFonts w:ascii="Cambria" w:eastAsia="SimSun" w:hAnsi="Cambria" w:cs="Arial"/>
          <w:sz w:val="24"/>
          <w:szCs w:val="24"/>
          <w:lang w:val="sq-AL"/>
        </w:rPr>
        <w:t>0</w:t>
      </w:r>
      <w:r>
        <w:rPr>
          <w:rFonts w:ascii="Cambria" w:eastAsia="SimSun" w:hAnsi="Cambria" w:cs="Arial"/>
          <w:sz w:val="24"/>
          <w:szCs w:val="24"/>
          <w:lang w:val="sq-AL"/>
        </w:rPr>
        <w:t>-1,550</w:t>
      </w:r>
      <w:r w:rsidRPr="00A54BF4">
        <w:rPr>
          <w:rFonts w:ascii="Cambria" w:eastAsia="SimSun" w:hAnsi="Cambria" w:cs="Arial"/>
          <w:sz w:val="24"/>
          <w:szCs w:val="24"/>
          <w:lang w:val="sq-AL"/>
        </w:rPr>
        <w:t xml:space="preserve"> akte ligjore dhe nënligjore në kuadër të Strategjisë Ndërsektoriale të Drejtësisë.</w:t>
      </w:r>
    </w:p>
    <w:p w14:paraId="04BF7176" w14:textId="77777777" w:rsidR="00CB123A" w:rsidRPr="00A54BF4" w:rsidRDefault="00CB123A" w:rsidP="00954232">
      <w:pPr>
        <w:pStyle w:val="ListParagraph"/>
        <w:numPr>
          <w:ilvl w:val="0"/>
          <w:numId w:val="27"/>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Të kryejë rreth 50 inspektime nga sektori i monitorimit të profesioneve të lira.</w:t>
      </w:r>
    </w:p>
    <w:p w14:paraId="3F707FE7" w14:textId="77777777" w:rsidR="00CB123A" w:rsidRPr="00A54BF4" w:rsidRDefault="00CB123A" w:rsidP="00954232">
      <w:pPr>
        <w:pStyle w:val="ListParagraph"/>
        <w:numPr>
          <w:ilvl w:val="0"/>
          <w:numId w:val="27"/>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w:t>
      </w:r>
      <w:r>
        <w:rPr>
          <w:rFonts w:ascii="Cambria" w:eastAsia="SimSun" w:hAnsi="Cambria" w:cs="Arial"/>
          <w:sz w:val="24"/>
          <w:szCs w:val="24"/>
          <w:lang w:val="sq-AL"/>
        </w:rPr>
        <w:t>mbikqyrë rreth 180 të mitur  në bashkëpunim me organet kompetente.</w:t>
      </w:r>
    </w:p>
    <w:p w14:paraId="59E7980F" w14:textId="77777777" w:rsidR="00CB123A" w:rsidRPr="00A54BF4" w:rsidRDefault="00CB123A" w:rsidP="00CB123A">
      <w:pPr>
        <w:spacing w:after="120" w:line="240" w:lineRule="auto"/>
        <w:jc w:val="both"/>
        <w:rPr>
          <w:rFonts w:ascii="Cambria" w:eastAsia="SimSun" w:hAnsi="Cambria" w:cs="Arial"/>
          <w:sz w:val="24"/>
          <w:szCs w:val="24"/>
          <w:lang w:val="sq-AL"/>
        </w:rPr>
      </w:pPr>
    </w:p>
    <w:p w14:paraId="24C15ACE" w14:textId="77777777" w:rsidR="00CB123A" w:rsidRPr="00A54BF4" w:rsidRDefault="00CB123A" w:rsidP="00CB123A">
      <w:p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Programi “Publikimet Zyrtare”,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28C56522" w14:textId="77777777" w:rsidR="00CB123A" w:rsidRPr="00A54BF4" w:rsidRDefault="00CB123A" w:rsidP="00954232">
      <w:pPr>
        <w:pStyle w:val="ListParagraph"/>
        <w:numPr>
          <w:ilvl w:val="0"/>
          <w:numId w:val="28"/>
        </w:numPr>
        <w:spacing w:after="120" w:line="240" w:lineRule="auto"/>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botojë rreth 190 akte ligjore dhe nënligjore, 10 kode dhe përmbledhëse legjislacioni, 48 buletine si dhe 248 tituj me botim elektronik të fletores zyrtare. </w:t>
      </w:r>
    </w:p>
    <w:p w14:paraId="37C58A17"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304F6BCC"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“Ndihma Juridike”,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71E749F9"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510DBFA1" w14:textId="77777777" w:rsidR="00CB123A" w:rsidRPr="00A54BF4" w:rsidRDefault="00CB123A" w:rsidP="00954232">
      <w:pPr>
        <w:numPr>
          <w:ilvl w:val="0"/>
          <w:numId w:val="3"/>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ofrojë këshillim dhe përfaqësim ligjor në gjykatë për individët që plotësojnë kushtet në zbatim të ligjit për ndihmën juridike falas, rreth 2,000 akte në total.</w:t>
      </w:r>
    </w:p>
    <w:p w14:paraId="177D6C2A" w14:textId="77777777" w:rsidR="00CB123A" w:rsidRPr="00A54BF4" w:rsidRDefault="00CB123A" w:rsidP="00954232">
      <w:pPr>
        <w:numPr>
          <w:ilvl w:val="0"/>
          <w:numId w:val="3"/>
        </w:numPr>
        <w:spacing w:after="120" w:line="276" w:lineRule="auto"/>
        <w:contextualSpacing/>
        <w:jc w:val="both"/>
        <w:rPr>
          <w:rFonts w:ascii="Cambria" w:eastAsia="Arial" w:hAnsi="Cambria" w:cs="Arial"/>
          <w:sz w:val="24"/>
          <w:szCs w:val="24"/>
          <w:lang w:val="sq-AL" w:eastAsia="en-GB"/>
        </w:rPr>
      </w:pPr>
      <w:r w:rsidRPr="00A54BF4">
        <w:rPr>
          <w:rFonts w:ascii="Cambria" w:eastAsia="SimSun" w:hAnsi="Cambria" w:cs="Arial"/>
          <w:sz w:val="24"/>
          <w:szCs w:val="24"/>
          <w:lang w:val="sq-AL"/>
        </w:rPr>
        <w:t xml:space="preserve">Të ofrojë ndihmë juridike për rreth 3,000 gra e vajza në nevojë të cilat plotësojnë kushtet.  </w:t>
      </w:r>
    </w:p>
    <w:p w14:paraId="41AB5795" w14:textId="77777777" w:rsidR="00CB123A" w:rsidRPr="00A54BF4" w:rsidRDefault="00CB123A" w:rsidP="00CB123A">
      <w:pPr>
        <w:spacing w:after="120" w:line="276" w:lineRule="auto"/>
        <w:ind w:left="720"/>
        <w:contextualSpacing/>
        <w:jc w:val="both"/>
        <w:rPr>
          <w:rFonts w:ascii="Cambria" w:eastAsia="Arial" w:hAnsi="Cambria" w:cs="Arial"/>
          <w:sz w:val="24"/>
          <w:szCs w:val="24"/>
          <w:lang w:val="sq-AL" w:eastAsia="en-GB"/>
        </w:rPr>
      </w:pPr>
    </w:p>
    <w:p w14:paraId="654BBE2D"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“Mjekësia Ligjore”,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25CBB664"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1320DF57" w14:textId="77777777" w:rsidR="00CB123A" w:rsidRPr="00A54BF4" w:rsidRDefault="00CB123A" w:rsidP="00954232">
      <w:pPr>
        <w:numPr>
          <w:ilvl w:val="0"/>
          <w:numId w:val="3"/>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realizojë rreth 1</w:t>
      </w:r>
      <w:r>
        <w:rPr>
          <w:rFonts w:ascii="Cambria" w:eastAsia="SimSun" w:hAnsi="Cambria" w:cs="Arial"/>
          <w:sz w:val="24"/>
          <w:szCs w:val="24"/>
          <w:lang w:val="sq-AL"/>
        </w:rPr>
        <w:t>9,0</w:t>
      </w:r>
      <w:r w:rsidRPr="00A54BF4">
        <w:rPr>
          <w:rFonts w:ascii="Cambria" w:eastAsia="SimSun" w:hAnsi="Cambria" w:cs="Arial"/>
          <w:sz w:val="24"/>
          <w:szCs w:val="24"/>
          <w:lang w:val="sq-AL"/>
        </w:rPr>
        <w:t>00</w:t>
      </w:r>
      <w:r>
        <w:rPr>
          <w:rFonts w:ascii="Cambria" w:eastAsia="SimSun" w:hAnsi="Cambria" w:cs="Arial"/>
          <w:sz w:val="24"/>
          <w:szCs w:val="24"/>
          <w:lang w:val="sq-AL"/>
        </w:rPr>
        <w:t xml:space="preserve"> </w:t>
      </w:r>
      <w:r w:rsidRPr="00A54BF4">
        <w:rPr>
          <w:rFonts w:ascii="Cambria" w:eastAsia="SimSun" w:hAnsi="Cambria" w:cs="Arial"/>
          <w:sz w:val="24"/>
          <w:szCs w:val="24"/>
          <w:lang w:val="sq-AL"/>
        </w:rPr>
        <w:t>akte ekspertimi të klasifikuara si; mjeko-ligjore, toksikologjiko-ligjore, biologjiko-ligjore dhe psikiatriko-ligjore, në përputhje me standartet europiane</w:t>
      </w:r>
      <w:r>
        <w:rPr>
          <w:rFonts w:ascii="Cambria" w:eastAsia="SimSun" w:hAnsi="Cambria" w:cs="Arial"/>
          <w:sz w:val="24"/>
          <w:szCs w:val="24"/>
          <w:lang w:val="sq-AL"/>
        </w:rPr>
        <w:t xml:space="preserve"> për vitin 2026, 19,200 për vitin 2027 si dhe 19,300 për vitin 2028</w:t>
      </w:r>
      <w:r w:rsidRPr="00A54BF4">
        <w:rPr>
          <w:rFonts w:ascii="Cambria" w:eastAsia="SimSun" w:hAnsi="Cambria" w:cs="Arial"/>
          <w:sz w:val="24"/>
          <w:szCs w:val="24"/>
          <w:lang w:val="sq-AL"/>
        </w:rPr>
        <w:t xml:space="preserve">. </w:t>
      </w:r>
    </w:p>
    <w:p w14:paraId="6F24CB3E" w14:textId="77777777" w:rsidR="00CB123A" w:rsidRPr="00A54BF4" w:rsidRDefault="00CB123A" w:rsidP="00954232">
      <w:pPr>
        <w:numPr>
          <w:ilvl w:val="0"/>
          <w:numId w:val="3"/>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kryejë rreth 1</w:t>
      </w:r>
      <w:r>
        <w:rPr>
          <w:rFonts w:ascii="Cambria" w:eastAsia="SimSun" w:hAnsi="Cambria" w:cs="Arial"/>
          <w:sz w:val="24"/>
          <w:szCs w:val="24"/>
          <w:lang w:val="sq-AL"/>
        </w:rPr>
        <w:t>50</w:t>
      </w:r>
      <w:r w:rsidRPr="00A54BF4">
        <w:rPr>
          <w:rFonts w:ascii="Cambria" w:eastAsia="SimSun" w:hAnsi="Cambria" w:cs="Arial"/>
          <w:sz w:val="24"/>
          <w:szCs w:val="24"/>
          <w:lang w:val="sq-AL"/>
        </w:rPr>
        <w:t xml:space="preserve"> akte ekspertimi për rastet e dhunës seksuale</w:t>
      </w:r>
      <w:r>
        <w:rPr>
          <w:rFonts w:ascii="Cambria" w:eastAsia="SimSun" w:hAnsi="Cambria" w:cs="Arial"/>
          <w:sz w:val="24"/>
          <w:szCs w:val="24"/>
          <w:lang w:val="sq-AL"/>
        </w:rPr>
        <w:t xml:space="preserve"> për vitin 2026, 152 për vitin 2027 si dhe 153 për vitin 2028</w:t>
      </w:r>
      <w:r w:rsidRPr="00A54BF4">
        <w:rPr>
          <w:rFonts w:ascii="Cambria" w:eastAsia="SimSun" w:hAnsi="Cambria" w:cs="Arial"/>
          <w:sz w:val="24"/>
          <w:szCs w:val="24"/>
          <w:lang w:val="sq-AL"/>
        </w:rPr>
        <w:t>.</w:t>
      </w:r>
    </w:p>
    <w:p w14:paraId="71960407" w14:textId="77777777" w:rsidR="00CB123A" w:rsidRPr="00A54BF4" w:rsidRDefault="00CB123A" w:rsidP="00CB123A">
      <w:pPr>
        <w:spacing w:after="120" w:line="240" w:lineRule="auto"/>
        <w:ind w:left="720"/>
        <w:contextualSpacing/>
        <w:jc w:val="both"/>
        <w:rPr>
          <w:rFonts w:ascii="Cambria" w:eastAsia="SimSun" w:hAnsi="Cambria" w:cs="Arial"/>
          <w:sz w:val="24"/>
          <w:szCs w:val="24"/>
          <w:lang w:val="sq-AL"/>
        </w:rPr>
      </w:pPr>
    </w:p>
    <w:p w14:paraId="23258026" w14:textId="77777777" w:rsidR="00CB123A" w:rsidRPr="00A54BF4" w:rsidRDefault="00CB123A" w:rsidP="00CB123A">
      <w:pPr>
        <w:spacing w:after="120" w:line="276" w:lineRule="auto"/>
        <w:jc w:val="both"/>
        <w:rPr>
          <w:rFonts w:ascii="Cambria" w:eastAsia="Arial" w:hAnsi="Cambria" w:cs="Arial"/>
          <w:sz w:val="24"/>
          <w:szCs w:val="24"/>
          <w:lang w:val="sq-AL" w:eastAsia="en-GB"/>
        </w:rPr>
      </w:pPr>
      <w:r w:rsidRPr="00A54BF4">
        <w:rPr>
          <w:rFonts w:ascii="Cambria" w:eastAsia="Arial" w:hAnsi="Cambria" w:cs="Arial"/>
          <w:sz w:val="24"/>
          <w:szCs w:val="24"/>
          <w:lang w:val="sq-AL" w:eastAsia="en-GB"/>
        </w:rPr>
        <w:t>Programi “Sistemi i Burgjeve” gjatë periudhës 202</w:t>
      </w:r>
      <w:r>
        <w:rPr>
          <w:rFonts w:ascii="Cambria" w:eastAsia="Arial" w:hAnsi="Cambria" w:cs="Arial"/>
          <w:sz w:val="24"/>
          <w:szCs w:val="24"/>
          <w:lang w:val="sq-AL" w:eastAsia="en-GB"/>
        </w:rPr>
        <w:t>6</w:t>
      </w:r>
      <w:r w:rsidRPr="00A54BF4">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A54BF4">
        <w:rPr>
          <w:rFonts w:ascii="Cambria" w:eastAsia="Arial" w:hAnsi="Cambria" w:cs="Arial"/>
          <w:sz w:val="24"/>
          <w:szCs w:val="24"/>
          <w:lang w:val="sq-AL" w:eastAsia="en-GB"/>
        </w:rPr>
        <w:t>,</w:t>
      </w:r>
      <w:r w:rsidRPr="00A54BF4">
        <w:rPr>
          <w:rFonts w:ascii="Cambria" w:eastAsia="Times New Roman" w:hAnsi="Cambria" w:cs="Arial"/>
          <w:sz w:val="24"/>
          <w:szCs w:val="24"/>
          <w:lang w:val="sq-AL"/>
        </w:rPr>
        <w:t xml:space="preserve"> synon q</w:t>
      </w:r>
      <w:r w:rsidRPr="00A54BF4">
        <w:rPr>
          <w:rFonts w:ascii="Cambria" w:eastAsia="Arial" w:hAnsi="Cambria" w:cs="Arial"/>
          <w:sz w:val="24"/>
          <w:szCs w:val="24"/>
          <w:lang w:val="sq-AL" w:eastAsia="en-GB"/>
        </w:rPr>
        <w:t>ë:</w:t>
      </w:r>
    </w:p>
    <w:p w14:paraId="70B1F22A"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mbahen në kushte të përshtatshme rreth 5,500 të dënuar burra, 86 të dënuara gra dhe 36 të dënuar të mitur, si dhe të trajtohen me shërbim shëndetësor </w:t>
      </w:r>
      <w:r>
        <w:rPr>
          <w:rFonts w:ascii="Cambria" w:eastAsia="SimSun" w:hAnsi="Cambria" w:cs="Arial"/>
          <w:sz w:val="24"/>
          <w:szCs w:val="24"/>
          <w:lang w:val="sq-AL"/>
        </w:rPr>
        <w:t>438</w:t>
      </w:r>
      <w:r w:rsidRPr="00A54BF4">
        <w:rPr>
          <w:rFonts w:ascii="Cambria" w:eastAsia="SimSun" w:hAnsi="Cambria" w:cs="Arial"/>
          <w:sz w:val="24"/>
          <w:szCs w:val="24"/>
          <w:lang w:val="sq-AL"/>
        </w:rPr>
        <w:t xml:space="preserve"> të dënuar të sëmurë;</w:t>
      </w:r>
    </w:p>
    <w:p w14:paraId="75A43695"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37CEDFC0"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(burra) të ketë një trend konstant 18% ndër vite;</w:t>
      </w:r>
    </w:p>
    <w:p w14:paraId="166A98B4"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(gra) të ketë një trend konstant 1% ndër vite;</w:t>
      </w:r>
    </w:p>
    <w:p w14:paraId="1270DD9A"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Norma e recidivitetit (të mitur) të ketë një trend konstant 1% ndër vite;</w:t>
      </w:r>
    </w:p>
    <w:p w14:paraId="0EF216DE"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Përqindja e të dënuarve të cilët punësohen pasi fitojnë lirinë, të ketë trend konstant përgjatë viteve, kontretisht në  11%;.</w:t>
      </w:r>
    </w:p>
    <w:p w14:paraId="786405C8" w14:textId="77777777" w:rsidR="00CB123A" w:rsidRPr="00A54BF4" w:rsidRDefault="00CB123A" w:rsidP="00954232">
      <w:pPr>
        <w:numPr>
          <w:ilvl w:val="0"/>
          <w:numId w:val="2"/>
        </w:numPr>
        <w:spacing w:after="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Të përmirësojë kushtet në sistemin penitenciar dhe të ulë mbipopullimin në burgje. Përqindja e IEVP-ve që garantojnë kushtet e sigurisë, trajtimit dhe rehabilitimit të të dënuarve parashikohet të ruajë trendin 50% në fund të vitit 202</w:t>
      </w:r>
      <w:r>
        <w:rPr>
          <w:rFonts w:ascii="Cambria" w:eastAsia="SimSun" w:hAnsi="Cambria" w:cs="Arial"/>
          <w:sz w:val="24"/>
          <w:szCs w:val="24"/>
          <w:lang w:val="sq-AL"/>
        </w:rPr>
        <w:t>8</w:t>
      </w:r>
      <w:r w:rsidRPr="00A54BF4">
        <w:rPr>
          <w:rFonts w:ascii="Cambria" w:eastAsia="SimSun" w:hAnsi="Cambria" w:cs="Arial"/>
          <w:sz w:val="24"/>
          <w:szCs w:val="24"/>
          <w:lang w:val="sq-AL"/>
        </w:rPr>
        <w:t xml:space="preserve">.  </w:t>
      </w:r>
    </w:p>
    <w:p w14:paraId="303EC045" w14:textId="77777777" w:rsidR="00CB123A" w:rsidRPr="00A54BF4" w:rsidRDefault="00CB123A" w:rsidP="00CB123A">
      <w:pPr>
        <w:spacing w:after="0" w:line="240" w:lineRule="auto"/>
        <w:ind w:left="774"/>
        <w:contextualSpacing/>
        <w:jc w:val="both"/>
        <w:rPr>
          <w:rFonts w:ascii="Cambria" w:eastAsia="SimSun" w:hAnsi="Cambria" w:cs="Arial"/>
          <w:sz w:val="24"/>
          <w:szCs w:val="24"/>
          <w:lang w:val="sq-AL"/>
        </w:rPr>
      </w:pPr>
    </w:p>
    <w:p w14:paraId="7262DF38"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i Përmbarimit Gjyqësor”,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561A6479" w14:textId="77777777" w:rsidR="00CB123A" w:rsidRPr="00A54BF4" w:rsidRDefault="00CB123A" w:rsidP="00CB123A">
      <w:pPr>
        <w:spacing w:after="120" w:line="240" w:lineRule="auto"/>
        <w:ind w:left="360"/>
        <w:contextualSpacing/>
        <w:jc w:val="both"/>
        <w:rPr>
          <w:rFonts w:ascii="Cambria" w:eastAsia="SimSun" w:hAnsi="Cambria" w:cs="Arial"/>
          <w:sz w:val="24"/>
          <w:szCs w:val="24"/>
          <w:lang w:val="sq-AL"/>
        </w:rPr>
      </w:pPr>
    </w:p>
    <w:p w14:paraId="4D8D5CFC" w14:textId="77777777" w:rsidR="00CB123A" w:rsidRPr="00A54BF4" w:rsidRDefault="00CB123A" w:rsidP="00954232">
      <w:pPr>
        <w:numPr>
          <w:ilvl w:val="0"/>
          <w:numId w:val="3"/>
        </w:numPr>
        <w:spacing w:after="120" w:line="240" w:lineRule="auto"/>
        <w:ind w:left="360"/>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Rritjen e numri të titujve të ekzekutuara brenda afateve ligjore nga 11,</w:t>
      </w:r>
      <w:r>
        <w:rPr>
          <w:rFonts w:ascii="Cambria" w:eastAsia="SimSun" w:hAnsi="Cambria" w:cs="Arial"/>
          <w:sz w:val="24"/>
          <w:szCs w:val="24"/>
          <w:lang w:val="sq-AL"/>
        </w:rPr>
        <w:t>708</w:t>
      </w:r>
      <w:r w:rsidRPr="00A54BF4">
        <w:rPr>
          <w:rFonts w:ascii="Cambria" w:eastAsia="SimSun" w:hAnsi="Cambria" w:cs="Arial"/>
          <w:sz w:val="24"/>
          <w:szCs w:val="24"/>
          <w:lang w:val="sq-AL"/>
        </w:rPr>
        <w:t xml:space="preserve"> në 202</w:t>
      </w:r>
      <w:r>
        <w:rPr>
          <w:rFonts w:ascii="Cambria" w:eastAsia="SimSun" w:hAnsi="Cambria" w:cs="Arial"/>
          <w:sz w:val="24"/>
          <w:szCs w:val="24"/>
          <w:lang w:val="sq-AL"/>
        </w:rPr>
        <w:t>6</w:t>
      </w:r>
      <w:r w:rsidRPr="00A54BF4">
        <w:rPr>
          <w:rFonts w:ascii="Cambria" w:eastAsia="SimSun" w:hAnsi="Cambria" w:cs="Arial"/>
          <w:sz w:val="24"/>
          <w:szCs w:val="24"/>
          <w:lang w:val="sq-AL"/>
        </w:rPr>
        <w:t>, në 12,</w:t>
      </w:r>
      <w:r>
        <w:rPr>
          <w:rFonts w:ascii="Cambria" w:eastAsia="SimSun" w:hAnsi="Cambria" w:cs="Arial"/>
          <w:sz w:val="24"/>
          <w:szCs w:val="24"/>
          <w:lang w:val="sq-AL"/>
        </w:rPr>
        <w:t>953</w:t>
      </w:r>
      <w:r w:rsidRPr="00A54BF4">
        <w:rPr>
          <w:rFonts w:ascii="Cambria" w:eastAsia="SimSun" w:hAnsi="Cambria" w:cs="Arial"/>
          <w:sz w:val="24"/>
          <w:szCs w:val="24"/>
          <w:lang w:val="sq-AL"/>
        </w:rPr>
        <w:t xml:space="preserve"> në vitin 202</w:t>
      </w:r>
      <w:r>
        <w:rPr>
          <w:rFonts w:ascii="Cambria" w:eastAsia="SimSun" w:hAnsi="Cambria" w:cs="Arial"/>
          <w:sz w:val="24"/>
          <w:szCs w:val="24"/>
          <w:lang w:val="sq-AL"/>
        </w:rPr>
        <w:t>8</w:t>
      </w:r>
      <w:r w:rsidRPr="00A54BF4">
        <w:rPr>
          <w:rFonts w:ascii="Cambria" w:eastAsia="SimSun" w:hAnsi="Cambria" w:cs="Arial"/>
          <w:sz w:val="24"/>
          <w:szCs w:val="24"/>
          <w:lang w:val="sq-AL"/>
        </w:rPr>
        <w:t>.</w:t>
      </w:r>
    </w:p>
    <w:p w14:paraId="43350005" w14:textId="77777777" w:rsidR="00CB123A" w:rsidRPr="00A54BF4" w:rsidRDefault="00CB123A" w:rsidP="00CB123A">
      <w:pPr>
        <w:spacing w:after="120" w:line="240" w:lineRule="auto"/>
        <w:ind w:left="360"/>
        <w:contextualSpacing/>
        <w:jc w:val="both"/>
        <w:rPr>
          <w:rFonts w:ascii="Cambria" w:eastAsia="SimSun" w:hAnsi="Cambria" w:cs="Arial"/>
          <w:sz w:val="24"/>
          <w:szCs w:val="24"/>
          <w:lang w:val="sq-AL"/>
        </w:rPr>
      </w:pPr>
    </w:p>
    <w:p w14:paraId="634E9CCD"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59E24E45"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për Çështjet e Birësimeve”,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59E19930" w14:textId="77777777" w:rsidR="00CB123A" w:rsidRPr="00A54BF4" w:rsidRDefault="00CB123A" w:rsidP="00CB123A">
      <w:pPr>
        <w:spacing w:after="120" w:line="240" w:lineRule="auto"/>
        <w:contextualSpacing/>
        <w:jc w:val="both"/>
        <w:rPr>
          <w:rFonts w:ascii="Cambria" w:eastAsia="SimSun" w:hAnsi="Cambria" w:cs="Arial"/>
          <w:sz w:val="24"/>
          <w:szCs w:val="24"/>
          <w:lang w:val="sq-AL"/>
        </w:rPr>
      </w:pPr>
    </w:p>
    <w:p w14:paraId="3EBEA466" w14:textId="77777777" w:rsidR="00CB123A" w:rsidRPr="00A54BF4" w:rsidRDefault="00CB123A" w:rsidP="00954232">
      <w:pPr>
        <w:numPr>
          <w:ilvl w:val="0"/>
          <w:numId w:val="3"/>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32B5AE5A" w14:textId="77777777" w:rsidR="00CB123A" w:rsidRPr="00A54BF4" w:rsidRDefault="00CB123A" w:rsidP="00CB123A">
      <w:pPr>
        <w:spacing w:after="120" w:line="240" w:lineRule="auto"/>
        <w:ind w:left="720"/>
        <w:contextualSpacing/>
        <w:jc w:val="both"/>
        <w:rPr>
          <w:rFonts w:ascii="Cambria" w:eastAsia="SimSun" w:hAnsi="Cambria" w:cs="Arial"/>
          <w:sz w:val="24"/>
          <w:szCs w:val="24"/>
          <w:lang w:val="sq-AL"/>
        </w:rPr>
      </w:pPr>
    </w:p>
    <w:p w14:paraId="7EEE8F9A" w14:textId="77777777" w:rsidR="00CB123A" w:rsidRPr="00A54BF4" w:rsidRDefault="00CB123A" w:rsidP="00CB123A">
      <w:pPr>
        <w:spacing w:before="120" w:after="120" w:line="276" w:lineRule="auto"/>
        <w:jc w:val="both"/>
        <w:rPr>
          <w:rFonts w:ascii="Cambria" w:eastAsia="Arial" w:hAnsi="Cambria" w:cs="Arial"/>
          <w:sz w:val="24"/>
          <w:szCs w:val="24"/>
          <w:lang w:val="sq-AL" w:eastAsia="en-GB"/>
        </w:rPr>
      </w:pPr>
      <w:r w:rsidRPr="00A54BF4">
        <w:rPr>
          <w:rFonts w:ascii="Cambria" w:eastAsia="SimSun" w:hAnsi="Cambria" w:cs="Arial"/>
          <w:sz w:val="24"/>
          <w:szCs w:val="24"/>
          <w:lang w:val="sq-AL"/>
        </w:rPr>
        <w:t xml:space="preserve">Programi “Shërbimi i Kthimit dhe Kompensimit </w:t>
      </w:r>
      <w:r w:rsidRPr="00A54BF4">
        <w:rPr>
          <w:rFonts w:ascii="Cambria" w:eastAsia="Times New Roman" w:hAnsi="Cambria" w:cs="Arial"/>
          <w:sz w:val="24"/>
          <w:szCs w:val="24"/>
          <w:lang w:val="sq-AL"/>
        </w:rPr>
        <w:t>të Pronave</w:t>
      </w:r>
      <w:r w:rsidRPr="00A54BF4">
        <w:rPr>
          <w:rFonts w:ascii="Cambria" w:eastAsia="Arial" w:hAnsi="Cambria" w:cs="Arial"/>
          <w:sz w:val="24"/>
          <w:szCs w:val="24"/>
          <w:lang w:val="sq-AL" w:eastAsia="en-GB"/>
        </w:rPr>
        <w:t>”, për periudhën 202</w:t>
      </w:r>
      <w:r>
        <w:rPr>
          <w:rFonts w:ascii="Cambria" w:eastAsia="Arial" w:hAnsi="Cambria" w:cs="Arial"/>
          <w:sz w:val="24"/>
          <w:szCs w:val="24"/>
          <w:lang w:val="sq-AL" w:eastAsia="en-GB"/>
        </w:rPr>
        <w:t>6</w:t>
      </w:r>
      <w:r w:rsidRPr="00A54BF4">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A54BF4">
        <w:rPr>
          <w:rFonts w:ascii="Cambria" w:eastAsia="Arial" w:hAnsi="Cambria" w:cs="Arial"/>
          <w:sz w:val="24"/>
          <w:szCs w:val="24"/>
          <w:lang w:val="sq-AL" w:eastAsia="en-GB"/>
        </w:rPr>
        <w:t xml:space="preserve">, </w:t>
      </w:r>
      <w:r w:rsidRPr="00A54BF4">
        <w:rPr>
          <w:rFonts w:ascii="Cambria" w:eastAsia="Times New Roman" w:hAnsi="Cambria" w:cs="Arial"/>
          <w:sz w:val="24"/>
          <w:szCs w:val="24"/>
          <w:lang w:val="sq-AL"/>
        </w:rPr>
        <w:t>synon</w:t>
      </w:r>
      <w:r w:rsidRPr="00A54BF4">
        <w:rPr>
          <w:rFonts w:ascii="Cambria" w:eastAsia="Arial" w:hAnsi="Cambria" w:cs="Arial"/>
          <w:sz w:val="24"/>
          <w:szCs w:val="24"/>
          <w:lang w:val="sq-AL" w:eastAsia="en-GB"/>
        </w:rPr>
        <w:t>:</w:t>
      </w:r>
    </w:p>
    <w:p w14:paraId="21081024" w14:textId="77777777" w:rsidR="00CB123A" w:rsidRPr="00A54BF4" w:rsidRDefault="00CB123A" w:rsidP="00954232">
      <w:pPr>
        <w:numPr>
          <w:ilvl w:val="0"/>
          <w:numId w:val="3"/>
        </w:numPr>
        <w:spacing w:after="120" w:line="240" w:lineRule="auto"/>
        <w:contextualSpacing/>
        <w:jc w:val="both"/>
        <w:rPr>
          <w:rFonts w:ascii="Cambria" w:eastAsia="SimSun" w:hAnsi="Cambria" w:cs="Arial"/>
          <w:sz w:val="24"/>
          <w:szCs w:val="24"/>
          <w:lang w:val="sq-AL"/>
        </w:rPr>
      </w:pPr>
      <w:r w:rsidRPr="00A54BF4">
        <w:rPr>
          <w:rFonts w:ascii="Cambria" w:eastAsia="SimSun" w:hAnsi="Cambria" w:cs="Arial"/>
          <w:sz w:val="24"/>
          <w:szCs w:val="24"/>
          <w:lang w:val="sq-AL"/>
        </w:rPr>
        <w:t xml:space="preserve">Realizimin e skemës së shpërndarjes së Fondit Special të Kompensimit nga </w:t>
      </w:r>
      <w:r>
        <w:rPr>
          <w:rFonts w:ascii="Cambria" w:eastAsia="SimSun" w:hAnsi="Cambria" w:cs="Arial"/>
          <w:sz w:val="24"/>
          <w:szCs w:val="24"/>
          <w:lang w:val="sq-AL"/>
        </w:rPr>
        <w:t>842</w:t>
      </w:r>
      <w:r w:rsidRPr="00A54BF4">
        <w:rPr>
          <w:rFonts w:ascii="Cambria" w:eastAsia="SimSun" w:hAnsi="Cambria" w:cs="Arial"/>
          <w:sz w:val="24"/>
          <w:szCs w:val="24"/>
          <w:lang w:val="sq-AL"/>
        </w:rPr>
        <w:t xml:space="preserve"> vendime të trajtuara me kompensim kundrejt totalit të vendimeve të Regjistrit elektronik të ATP-së të parashikuar për vitin 202</w:t>
      </w:r>
      <w:r>
        <w:rPr>
          <w:rFonts w:ascii="Cambria" w:eastAsia="SimSun" w:hAnsi="Cambria" w:cs="Arial"/>
          <w:sz w:val="24"/>
          <w:szCs w:val="24"/>
          <w:lang w:val="sq-AL"/>
        </w:rPr>
        <w:t>6</w:t>
      </w:r>
      <w:r w:rsidRPr="00A54BF4">
        <w:rPr>
          <w:rFonts w:ascii="Cambria" w:eastAsia="SimSun" w:hAnsi="Cambria" w:cs="Arial"/>
          <w:sz w:val="24"/>
          <w:szCs w:val="24"/>
          <w:lang w:val="sq-AL"/>
        </w:rPr>
        <w:t>, në 2,</w:t>
      </w:r>
      <w:r>
        <w:rPr>
          <w:rFonts w:ascii="Cambria" w:eastAsia="SimSun" w:hAnsi="Cambria" w:cs="Arial"/>
          <w:sz w:val="24"/>
          <w:szCs w:val="24"/>
          <w:lang w:val="sq-AL"/>
        </w:rPr>
        <w:t>343</w:t>
      </w:r>
      <w:r w:rsidRPr="00A54BF4">
        <w:rPr>
          <w:rFonts w:ascii="Cambria" w:eastAsia="SimSun" w:hAnsi="Cambria" w:cs="Arial"/>
          <w:sz w:val="24"/>
          <w:szCs w:val="24"/>
          <w:lang w:val="sq-AL"/>
        </w:rPr>
        <w:t xml:space="preserve"> për vitin 202</w:t>
      </w:r>
      <w:r>
        <w:rPr>
          <w:rFonts w:ascii="Cambria" w:eastAsia="SimSun" w:hAnsi="Cambria" w:cs="Arial"/>
          <w:sz w:val="24"/>
          <w:szCs w:val="24"/>
          <w:lang w:val="sq-AL"/>
        </w:rPr>
        <w:t>8</w:t>
      </w:r>
      <w:r w:rsidRPr="00A54BF4">
        <w:rPr>
          <w:rFonts w:ascii="Cambria" w:eastAsia="SimSun" w:hAnsi="Cambria" w:cs="Arial"/>
          <w:sz w:val="24"/>
          <w:szCs w:val="24"/>
          <w:lang w:val="sq-AL"/>
        </w:rPr>
        <w:t xml:space="preserve">. </w:t>
      </w:r>
    </w:p>
    <w:p w14:paraId="4D5FFF08" w14:textId="77777777" w:rsidR="00CB123A" w:rsidRPr="00A54BF4" w:rsidRDefault="00CB123A" w:rsidP="00CB123A">
      <w:pPr>
        <w:spacing w:after="120" w:line="240" w:lineRule="auto"/>
        <w:ind w:left="720"/>
        <w:contextualSpacing/>
        <w:jc w:val="both"/>
        <w:rPr>
          <w:rFonts w:ascii="Cambria" w:eastAsia="SimSun" w:hAnsi="Cambria" w:cs="Arial"/>
          <w:sz w:val="24"/>
          <w:szCs w:val="24"/>
          <w:lang w:val="sq-AL"/>
        </w:rPr>
      </w:pPr>
    </w:p>
    <w:p w14:paraId="76C7BA75" w14:textId="77777777" w:rsidR="00CB123A" w:rsidRPr="00A54BF4" w:rsidRDefault="00CB123A" w:rsidP="00CB123A">
      <w:pPr>
        <w:spacing w:before="120" w:after="120" w:line="276" w:lineRule="auto"/>
        <w:jc w:val="both"/>
        <w:rPr>
          <w:rFonts w:ascii="Cambria" w:eastAsia="SimSun" w:hAnsi="Cambria" w:cs="Arial"/>
          <w:sz w:val="24"/>
          <w:szCs w:val="24"/>
          <w:lang w:val="sq-AL"/>
        </w:rPr>
      </w:pPr>
      <w:r w:rsidRPr="00A54BF4">
        <w:rPr>
          <w:rFonts w:ascii="Cambria" w:eastAsia="SimSun" w:hAnsi="Cambria" w:cs="Arial"/>
          <w:sz w:val="24"/>
          <w:szCs w:val="24"/>
          <w:lang w:val="sq-AL"/>
        </w:rPr>
        <w:t>Programi “Shërbimi i Provës”, për periudhën 202</w:t>
      </w:r>
      <w:r>
        <w:rPr>
          <w:rFonts w:ascii="Cambria" w:eastAsia="SimSun" w:hAnsi="Cambria" w:cs="Arial"/>
          <w:sz w:val="24"/>
          <w:szCs w:val="24"/>
          <w:lang w:val="sq-AL"/>
        </w:rPr>
        <w:t>6</w:t>
      </w:r>
      <w:r w:rsidRPr="00A54BF4">
        <w:rPr>
          <w:rFonts w:ascii="Cambria" w:eastAsia="SimSun" w:hAnsi="Cambria" w:cs="Arial"/>
          <w:sz w:val="24"/>
          <w:szCs w:val="24"/>
          <w:lang w:val="sq-AL"/>
        </w:rPr>
        <w:t>-202</w:t>
      </w:r>
      <w:r>
        <w:rPr>
          <w:rFonts w:ascii="Cambria" w:eastAsia="SimSun" w:hAnsi="Cambria" w:cs="Arial"/>
          <w:sz w:val="24"/>
          <w:szCs w:val="24"/>
          <w:lang w:val="sq-AL"/>
        </w:rPr>
        <w:t>8</w:t>
      </w:r>
      <w:r w:rsidRPr="00A54BF4">
        <w:rPr>
          <w:rFonts w:ascii="Cambria" w:eastAsia="SimSun" w:hAnsi="Cambria" w:cs="Arial"/>
          <w:sz w:val="24"/>
          <w:szCs w:val="24"/>
          <w:lang w:val="sq-AL"/>
        </w:rPr>
        <w:t>, synon:</w:t>
      </w:r>
    </w:p>
    <w:p w14:paraId="67491190" w14:textId="77777777" w:rsidR="00CB123A" w:rsidRPr="00A54BF4" w:rsidRDefault="00CB123A" w:rsidP="00954232">
      <w:pPr>
        <w:pStyle w:val="ListParagraph"/>
        <w:numPr>
          <w:ilvl w:val="0"/>
          <w:numId w:val="26"/>
        </w:numPr>
        <w:spacing w:before="120" w:after="120" w:line="276" w:lineRule="auto"/>
        <w:jc w:val="both"/>
        <w:rPr>
          <w:rFonts w:ascii="Cambria" w:eastAsia="SimSun" w:hAnsi="Cambria" w:cs="Arial"/>
          <w:sz w:val="24"/>
          <w:szCs w:val="24"/>
          <w:lang w:val="sq-AL"/>
        </w:rPr>
      </w:pPr>
      <w:r w:rsidRPr="00A54BF4">
        <w:rPr>
          <w:rFonts w:ascii="Cambria" w:eastAsia="SimSun" w:hAnsi="Cambria" w:cs="Arial"/>
          <w:sz w:val="24"/>
          <w:szCs w:val="24"/>
          <w:lang w:val="sq-AL"/>
        </w:rPr>
        <w:t>Të mbikqyrë në mënyrë efektive</w:t>
      </w:r>
      <w:r>
        <w:rPr>
          <w:rFonts w:ascii="Cambria" w:eastAsia="SimSun" w:hAnsi="Cambria" w:cs="Arial"/>
          <w:sz w:val="24"/>
          <w:szCs w:val="24"/>
          <w:lang w:val="sq-AL"/>
        </w:rPr>
        <w:t xml:space="preserve"> nga</w:t>
      </w:r>
      <w:r w:rsidRPr="00A54BF4">
        <w:rPr>
          <w:rFonts w:ascii="Cambria" w:eastAsia="SimSun" w:hAnsi="Cambria" w:cs="Arial"/>
          <w:sz w:val="24"/>
          <w:szCs w:val="24"/>
          <w:lang w:val="sq-AL"/>
        </w:rPr>
        <w:t xml:space="preserve"> </w:t>
      </w:r>
      <w:r>
        <w:rPr>
          <w:rFonts w:ascii="Cambria" w:eastAsia="SimSun" w:hAnsi="Cambria" w:cs="Arial"/>
          <w:sz w:val="24"/>
          <w:szCs w:val="24"/>
          <w:lang w:val="sq-AL"/>
        </w:rPr>
        <w:t>8,000-9,000</w:t>
      </w:r>
      <w:r w:rsidRPr="00A54BF4">
        <w:rPr>
          <w:rFonts w:ascii="Cambria" w:eastAsia="SimSun" w:hAnsi="Cambria" w:cs="Arial"/>
          <w:sz w:val="24"/>
          <w:szCs w:val="24"/>
          <w:lang w:val="sq-AL"/>
        </w:rPr>
        <w:t xml:space="preserve"> burra, </w:t>
      </w:r>
      <w:r>
        <w:rPr>
          <w:rFonts w:ascii="Cambria" w:eastAsia="SimSun" w:hAnsi="Cambria" w:cs="Arial"/>
          <w:sz w:val="24"/>
          <w:szCs w:val="24"/>
          <w:lang w:val="sq-AL"/>
        </w:rPr>
        <w:t>nga 80</w:t>
      </w:r>
      <w:r w:rsidRPr="00A54BF4">
        <w:rPr>
          <w:rFonts w:ascii="Cambria" w:eastAsia="SimSun" w:hAnsi="Cambria" w:cs="Arial"/>
          <w:sz w:val="24"/>
          <w:szCs w:val="24"/>
          <w:lang w:val="sq-AL"/>
        </w:rPr>
        <w:t>0</w:t>
      </w:r>
      <w:r>
        <w:rPr>
          <w:rFonts w:ascii="Cambria" w:eastAsia="SimSun" w:hAnsi="Cambria" w:cs="Arial"/>
          <w:sz w:val="24"/>
          <w:szCs w:val="24"/>
          <w:lang w:val="sq-AL"/>
        </w:rPr>
        <w:t>-850</w:t>
      </w:r>
      <w:r w:rsidRPr="00A54BF4">
        <w:rPr>
          <w:rFonts w:ascii="Cambria" w:eastAsia="SimSun" w:hAnsi="Cambria" w:cs="Arial"/>
          <w:sz w:val="24"/>
          <w:szCs w:val="24"/>
          <w:lang w:val="sq-AL"/>
        </w:rPr>
        <w:t xml:space="preserve"> gra dhe </w:t>
      </w:r>
      <w:r>
        <w:rPr>
          <w:rFonts w:ascii="Cambria" w:eastAsia="SimSun" w:hAnsi="Cambria" w:cs="Arial"/>
          <w:sz w:val="24"/>
          <w:szCs w:val="24"/>
          <w:lang w:val="sq-AL"/>
        </w:rPr>
        <w:t>nga 220-250</w:t>
      </w:r>
      <w:r w:rsidRPr="00A54BF4">
        <w:rPr>
          <w:rFonts w:ascii="Cambria" w:eastAsia="SimSun" w:hAnsi="Cambria" w:cs="Arial"/>
          <w:sz w:val="24"/>
          <w:szCs w:val="24"/>
          <w:lang w:val="sq-AL"/>
        </w:rPr>
        <w:t xml:space="preserve"> të mitur gjatë shërbimit të provës.</w:t>
      </w:r>
    </w:p>
    <w:p w14:paraId="7933B346" w14:textId="77777777" w:rsidR="00CB123A" w:rsidRDefault="00CB123A" w:rsidP="00CB123A">
      <w:pPr>
        <w:pStyle w:val="ListParagraph"/>
        <w:spacing w:before="120" w:after="120" w:line="276" w:lineRule="auto"/>
        <w:jc w:val="both"/>
        <w:rPr>
          <w:rFonts w:ascii="Cambria" w:eastAsia="SimSun" w:hAnsi="Cambria" w:cs="Arial"/>
          <w:sz w:val="24"/>
          <w:szCs w:val="24"/>
          <w:lang w:val="sq-AL"/>
        </w:rPr>
      </w:pPr>
    </w:p>
    <w:p w14:paraId="5D6AFAD9" w14:textId="77777777" w:rsidR="00661148" w:rsidRPr="00E24ECC" w:rsidRDefault="00661148" w:rsidP="00242DA7">
      <w:pPr>
        <w:pStyle w:val="ListParagraph"/>
        <w:spacing w:before="120" w:after="120" w:line="276" w:lineRule="auto"/>
        <w:jc w:val="both"/>
        <w:rPr>
          <w:rFonts w:ascii="Cambria" w:eastAsia="SimSun" w:hAnsi="Cambria" w:cs="Arial"/>
          <w:sz w:val="24"/>
          <w:szCs w:val="24"/>
          <w:lang w:val="sq-AL"/>
        </w:rPr>
      </w:pPr>
    </w:p>
    <w:p w14:paraId="6C26322B" w14:textId="77777777" w:rsidR="00C04AB3" w:rsidRPr="00E24ECC" w:rsidRDefault="00C04AB3" w:rsidP="005B66E4">
      <w:pPr>
        <w:pStyle w:val="Heading2"/>
        <w:spacing w:line="276" w:lineRule="auto"/>
        <w:rPr>
          <w:rFonts w:ascii="Cambria" w:eastAsia="Calibri" w:hAnsi="Cambria"/>
          <w:i w:val="0"/>
          <w:sz w:val="24"/>
          <w:szCs w:val="24"/>
          <w:lang w:val="sq-AL"/>
        </w:rPr>
      </w:pPr>
      <w:bookmarkStart w:id="32" w:name="_Toc200704918"/>
      <w:r w:rsidRPr="00E24ECC">
        <w:rPr>
          <w:rFonts w:ascii="Cambria" w:eastAsia="Calibri" w:hAnsi="Cambria"/>
          <w:i w:val="0"/>
          <w:sz w:val="24"/>
          <w:szCs w:val="24"/>
          <w:lang w:val="sq-AL"/>
        </w:rPr>
        <w:t>MINISTRIA E INFRASTRUKTURËS DHE ENERGJISË</w:t>
      </w:r>
      <w:bookmarkEnd w:id="32"/>
    </w:p>
    <w:p w14:paraId="105F8593" w14:textId="77777777" w:rsidR="00DC669F" w:rsidRPr="00E24ECC" w:rsidRDefault="00DC669F" w:rsidP="005B66E4">
      <w:pPr>
        <w:spacing w:after="0" w:line="276" w:lineRule="auto"/>
        <w:jc w:val="both"/>
        <w:rPr>
          <w:rFonts w:ascii="Cambria" w:eastAsia="Times New Roman" w:hAnsi="Cambria" w:cs="Times New Roman"/>
          <w:color w:val="0070C0"/>
          <w:sz w:val="24"/>
          <w:szCs w:val="24"/>
          <w:u w:val="single"/>
          <w:lang w:val="sq-AL" w:eastAsia="sr-Latn-CS"/>
        </w:rPr>
      </w:pPr>
    </w:p>
    <w:p w14:paraId="12E5DB96" w14:textId="77777777" w:rsidR="00BC2327" w:rsidRPr="00BC2327" w:rsidRDefault="00BC2327" w:rsidP="00BC2327">
      <w:pPr>
        <w:spacing w:line="276" w:lineRule="auto"/>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 krijimin e kushteve për një konkurrencë të drejtë ndërmjet llojeve të transportit dhe sistemit të licencimit, duke përdorur burimet e disponueshme me efiçencë dhe efektivitet.</w:t>
      </w:r>
    </w:p>
    <w:p w14:paraId="1725BA33" w14:textId="77777777" w:rsidR="00BC2327" w:rsidRPr="00BC2327" w:rsidRDefault="00BC2327" w:rsidP="00BC2327">
      <w:pPr>
        <w:spacing w:line="276" w:lineRule="auto"/>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Për periudhën 2026-2028, Ministria e Infrastrukturës dhe Energjisë do të përmbushë objektivat e synuar përmes fondeve buxhetore të alokuara sipas tabelës së mëposhtme:</w:t>
      </w:r>
    </w:p>
    <w:p w14:paraId="1D64EC8E" w14:textId="77777777" w:rsidR="00BC2327" w:rsidRPr="00BC2327" w:rsidRDefault="00BC2327" w:rsidP="00BC2327">
      <w:pPr>
        <w:spacing w:line="276" w:lineRule="auto"/>
        <w:contextualSpacing/>
        <w:jc w:val="both"/>
        <w:rPr>
          <w:rFonts w:ascii="Cambria" w:eastAsia="Calibri" w:hAnsi="Cambria" w:cs="Times New Roman"/>
          <w:b/>
          <w:sz w:val="24"/>
          <w:szCs w:val="24"/>
          <w:lang w:val="sq-AL"/>
        </w:rPr>
      </w:pPr>
    </w:p>
    <w:p w14:paraId="43D3B5A3" w14:textId="1248114B" w:rsidR="00BC2327" w:rsidRPr="00BC2327" w:rsidRDefault="00BC2327" w:rsidP="00BC2327">
      <w:pPr>
        <w:spacing w:after="200" w:line="276" w:lineRule="auto"/>
        <w:jc w:val="both"/>
        <w:rPr>
          <w:rFonts w:ascii="Cambria" w:eastAsia="Times New Roman" w:hAnsi="Cambria" w:cs="Arial"/>
          <w:b/>
          <w:bCs/>
          <w:color w:val="156082"/>
          <w:sz w:val="24"/>
          <w:szCs w:val="24"/>
          <w:lang w:val="sq-AL"/>
        </w:rPr>
      </w:pPr>
      <w:r w:rsidRPr="00BC2327">
        <w:rPr>
          <w:rFonts w:ascii="Cambria" w:eastAsia="Times New Roman" w:hAnsi="Cambria" w:cs="Arial"/>
          <w:b/>
          <w:bCs/>
          <w:color w:val="156082"/>
          <w:sz w:val="24"/>
          <w:szCs w:val="24"/>
          <w:lang w:val="sq-AL"/>
        </w:rPr>
        <w:lastRenderedPageBreak/>
        <w:t xml:space="preserve">Tabela </w:t>
      </w:r>
      <w:r w:rsidRPr="00BC2327">
        <w:rPr>
          <w:rFonts w:ascii="Cambria" w:eastAsia="Times New Roman" w:hAnsi="Cambria" w:cs="Arial"/>
          <w:b/>
          <w:bCs/>
          <w:color w:val="156082"/>
          <w:sz w:val="24"/>
          <w:szCs w:val="24"/>
          <w:lang w:val="sq-AL"/>
        </w:rPr>
        <w:fldChar w:fldCharType="begin"/>
      </w:r>
      <w:r w:rsidRPr="00BC2327">
        <w:rPr>
          <w:rFonts w:ascii="Cambria" w:eastAsia="Times New Roman" w:hAnsi="Cambria" w:cs="Arial"/>
          <w:b/>
          <w:bCs/>
          <w:color w:val="156082"/>
          <w:sz w:val="24"/>
          <w:szCs w:val="24"/>
          <w:lang w:val="sq-AL"/>
        </w:rPr>
        <w:instrText xml:space="preserve"> SEQ Tabela \* ARABIC </w:instrText>
      </w:r>
      <w:r w:rsidRPr="00BC2327">
        <w:rPr>
          <w:rFonts w:ascii="Cambria" w:eastAsia="Times New Roman" w:hAnsi="Cambria" w:cs="Arial"/>
          <w:b/>
          <w:bCs/>
          <w:color w:val="156082"/>
          <w:sz w:val="24"/>
          <w:szCs w:val="24"/>
          <w:lang w:val="sq-AL"/>
        </w:rPr>
        <w:fldChar w:fldCharType="separate"/>
      </w:r>
      <w:r w:rsidR="009113BE">
        <w:rPr>
          <w:rFonts w:ascii="Cambria" w:eastAsia="Times New Roman" w:hAnsi="Cambria" w:cs="Arial"/>
          <w:b/>
          <w:bCs/>
          <w:noProof/>
          <w:color w:val="156082"/>
          <w:sz w:val="24"/>
          <w:szCs w:val="24"/>
          <w:lang w:val="sq-AL"/>
        </w:rPr>
        <w:t>15</w:t>
      </w:r>
      <w:r w:rsidRPr="00BC2327">
        <w:rPr>
          <w:rFonts w:ascii="Cambria" w:eastAsia="Times New Roman" w:hAnsi="Cambria" w:cs="Arial"/>
          <w:b/>
          <w:bCs/>
          <w:color w:val="156082"/>
          <w:sz w:val="24"/>
          <w:szCs w:val="24"/>
          <w:lang w:val="sq-AL"/>
        </w:rPr>
        <w:fldChar w:fldCharType="end"/>
      </w:r>
      <w:r w:rsidRPr="00BC2327">
        <w:rPr>
          <w:rFonts w:ascii="Cambria" w:eastAsia="Times New Roman" w:hAnsi="Cambria" w:cs="Arial"/>
          <w:b/>
          <w:bCs/>
          <w:color w:val="156082"/>
          <w:sz w:val="24"/>
          <w:szCs w:val="24"/>
          <w:lang w:val="sq-AL"/>
        </w:rPr>
        <w:t>: Shpenzimet për Ministrinë e Infrastrukturës dhe Energjisë për PBA 2026-2028</w:t>
      </w:r>
    </w:p>
    <w:p w14:paraId="2BEC14F1" w14:textId="77777777" w:rsidR="00BC2327" w:rsidRPr="00BC2327" w:rsidRDefault="00BC2327" w:rsidP="00BC2327">
      <w:pPr>
        <w:spacing w:line="276" w:lineRule="auto"/>
        <w:contextualSpacing/>
        <w:jc w:val="both"/>
        <w:rPr>
          <w:rFonts w:ascii="Cambria" w:eastAsia="Times New Roman" w:hAnsi="Cambria" w:cs="Arial"/>
          <w:sz w:val="24"/>
          <w:szCs w:val="24"/>
          <w:lang w:val="sq-AL"/>
        </w:rPr>
      </w:pPr>
      <w:r w:rsidRPr="00BC2327">
        <w:rPr>
          <w:rFonts w:ascii="Aptos" w:eastAsia="Times New Roman" w:hAnsi="Aptos" w:cs="Times New Roman"/>
          <w:noProof/>
          <w:lang w:val="sq-AL"/>
        </w:rPr>
        <w:drawing>
          <wp:inline distT="0" distB="0" distL="0" distR="0" wp14:anchorId="33E4733B" wp14:editId="5E2579EB">
            <wp:extent cx="5943600" cy="1558456"/>
            <wp:effectExtent l="0" t="0" r="0" b="3810"/>
            <wp:docPr id="17550488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5980" cy="1559080"/>
                    </a:xfrm>
                    <a:prstGeom prst="rect">
                      <a:avLst/>
                    </a:prstGeom>
                    <a:noFill/>
                    <a:ln>
                      <a:noFill/>
                    </a:ln>
                  </pic:spPr>
                </pic:pic>
              </a:graphicData>
            </a:graphic>
          </wp:inline>
        </w:drawing>
      </w:r>
    </w:p>
    <w:p w14:paraId="1AEC3C84" w14:textId="77777777" w:rsidR="00BC2327" w:rsidRPr="00BC2327" w:rsidRDefault="00BC2327" w:rsidP="00BC2327">
      <w:pPr>
        <w:spacing w:after="0" w:line="276" w:lineRule="auto"/>
        <w:jc w:val="both"/>
        <w:rPr>
          <w:rFonts w:ascii="Cambria" w:eastAsia="Times New Roman" w:hAnsi="Cambria" w:cs="Times New Roman"/>
          <w:sz w:val="24"/>
          <w:szCs w:val="24"/>
          <w:u w:val="single"/>
          <w:lang w:val="sq-AL" w:eastAsia="sr-Latn-CS"/>
        </w:rPr>
      </w:pPr>
    </w:p>
    <w:p w14:paraId="73DA5B0F" w14:textId="77777777" w:rsidR="00BC2327" w:rsidRPr="00BC2327" w:rsidRDefault="00BC2327" w:rsidP="00BC2327">
      <w:pPr>
        <w:tabs>
          <w:tab w:val="left" w:pos="630"/>
        </w:tabs>
        <w:spacing w:after="0" w:line="276" w:lineRule="auto"/>
        <w:jc w:val="both"/>
        <w:rPr>
          <w:rFonts w:ascii="Cambria" w:eastAsia="Calibri" w:hAnsi="Cambria" w:cs="Times New Roman"/>
          <w:b/>
          <w:sz w:val="24"/>
          <w:szCs w:val="24"/>
          <w:lang w:val="sq-AL"/>
        </w:rPr>
      </w:pPr>
    </w:p>
    <w:p w14:paraId="1AE436C1" w14:textId="77777777" w:rsidR="00BC2327" w:rsidRPr="00E24ECC" w:rsidRDefault="00BC2327" w:rsidP="00BC2327">
      <w:pPr>
        <w:pStyle w:val="Heading3"/>
        <w:rPr>
          <w:rFonts w:ascii="Cambria" w:hAnsi="Cambria"/>
          <w:b/>
          <w:bCs/>
          <w:color w:val="auto"/>
          <w:lang w:val="sq-AL"/>
        </w:rPr>
      </w:pPr>
      <w:r w:rsidRPr="00E24ECC">
        <w:rPr>
          <w:rFonts w:ascii="Cambria" w:hAnsi="Cambria"/>
          <w:b/>
          <w:bCs/>
          <w:color w:val="auto"/>
          <w:lang w:val="sq-AL"/>
        </w:rPr>
        <w:t>Prioritetet për periudhën 2026-2028</w:t>
      </w:r>
    </w:p>
    <w:p w14:paraId="40153798" w14:textId="77777777" w:rsidR="00BC2327" w:rsidRPr="00BC2327" w:rsidRDefault="00BC2327" w:rsidP="00BC2327">
      <w:pPr>
        <w:tabs>
          <w:tab w:val="left" w:pos="630"/>
        </w:tabs>
        <w:spacing w:after="0" w:line="276" w:lineRule="auto"/>
        <w:jc w:val="both"/>
        <w:rPr>
          <w:rFonts w:ascii="Cambria" w:eastAsia="Calibri" w:hAnsi="Cambria" w:cs="Times New Roman"/>
          <w:b/>
          <w:sz w:val="24"/>
          <w:szCs w:val="24"/>
          <w:lang w:val="sq-AL"/>
        </w:rPr>
      </w:pPr>
    </w:p>
    <w:p w14:paraId="0902A5E1" w14:textId="77777777" w:rsidR="00BC2327" w:rsidRPr="00BC2327" w:rsidRDefault="00BC2327" w:rsidP="00954232">
      <w:pPr>
        <w:numPr>
          <w:ilvl w:val="0"/>
          <w:numId w:val="7"/>
        </w:numPr>
        <w:spacing w:after="20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Zgjerimi i rrjetit të rrugëve kombëtare  nëpërmjet, ndërtimit, rehabilitimit dhe sistemimit të rrugëve kombëtare dhe përveç kësaj kalimin në praktikat e mirëmbajtjes së rrugëve bazuar në performancë;</w:t>
      </w:r>
    </w:p>
    <w:p w14:paraId="45A24C2E" w14:textId="77777777" w:rsidR="00BC2327" w:rsidRPr="00BC2327" w:rsidRDefault="00BC2327" w:rsidP="00954232">
      <w:pPr>
        <w:numPr>
          <w:ilvl w:val="0"/>
          <w:numId w:val="7"/>
        </w:numPr>
        <w:spacing w:after="20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7E515753" w14:textId="77777777" w:rsidR="00BC2327" w:rsidRPr="00BC2327" w:rsidRDefault="00BC2327" w:rsidP="00954232">
      <w:pPr>
        <w:numPr>
          <w:ilvl w:val="0"/>
          <w:numId w:val="7"/>
        </w:numPr>
        <w:spacing w:after="20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rinovueshme;</w:t>
      </w:r>
    </w:p>
    <w:p w14:paraId="11900A75" w14:textId="77777777" w:rsidR="00BC2327" w:rsidRPr="00BC2327" w:rsidRDefault="00BC2327" w:rsidP="00BC2327">
      <w:pPr>
        <w:spacing w:after="0" w:line="276" w:lineRule="auto"/>
        <w:jc w:val="both"/>
        <w:rPr>
          <w:rFonts w:ascii="Cambria" w:eastAsia="Calibri" w:hAnsi="Cambria" w:cs="Times New Roman"/>
          <w:b/>
          <w:sz w:val="24"/>
          <w:szCs w:val="24"/>
          <w:lang w:val="sq-AL"/>
        </w:rPr>
      </w:pPr>
    </w:p>
    <w:p w14:paraId="5DEDF55B" w14:textId="17479EEB" w:rsidR="00BC2327" w:rsidRPr="00BC2327" w:rsidRDefault="00BC2327" w:rsidP="00BC2327">
      <w:pPr>
        <w:spacing w:after="200" w:line="276" w:lineRule="auto"/>
        <w:jc w:val="both"/>
        <w:rPr>
          <w:rFonts w:ascii="Cambria" w:eastAsia="Calibri" w:hAnsi="Cambria" w:cs="Times New Roman"/>
          <w:bCs/>
          <w:color w:val="156082"/>
          <w:sz w:val="24"/>
          <w:szCs w:val="24"/>
          <w:lang w:val="sq-AL"/>
        </w:rPr>
      </w:pPr>
      <w:r w:rsidRPr="00BC2327">
        <w:rPr>
          <w:rFonts w:ascii="Cambria" w:eastAsia="Times New Roman" w:hAnsi="Cambria" w:cs="Arial"/>
          <w:b/>
          <w:bCs/>
          <w:color w:val="156082"/>
          <w:sz w:val="24"/>
          <w:szCs w:val="24"/>
          <w:lang w:val="sq-AL"/>
        </w:rPr>
        <w:t xml:space="preserve">Tabela </w:t>
      </w:r>
      <w:r w:rsidRPr="00BC2327">
        <w:rPr>
          <w:rFonts w:ascii="Cambria" w:eastAsia="Times New Roman" w:hAnsi="Cambria" w:cs="Arial"/>
          <w:b/>
          <w:bCs/>
          <w:color w:val="156082"/>
          <w:sz w:val="24"/>
          <w:szCs w:val="24"/>
          <w:lang w:val="sq-AL"/>
        </w:rPr>
        <w:fldChar w:fldCharType="begin"/>
      </w:r>
      <w:r w:rsidRPr="00BC2327">
        <w:rPr>
          <w:rFonts w:ascii="Cambria" w:eastAsia="Times New Roman" w:hAnsi="Cambria" w:cs="Arial"/>
          <w:b/>
          <w:bCs/>
          <w:color w:val="156082"/>
          <w:sz w:val="24"/>
          <w:szCs w:val="24"/>
          <w:lang w:val="sq-AL"/>
        </w:rPr>
        <w:instrText xml:space="preserve"> SEQ Tabela \* ARABIC </w:instrText>
      </w:r>
      <w:r w:rsidRPr="00BC2327">
        <w:rPr>
          <w:rFonts w:ascii="Cambria" w:eastAsia="Times New Roman" w:hAnsi="Cambria" w:cs="Arial"/>
          <w:b/>
          <w:bCs/>
          <w:color w:val="156082"/>
          <w:sz w:val="24"/>
          <w:szCs w:val="24"/>
          <w:lang w:val="sq-AL"/>
        </w:rPr>
        <w:fldChar w:fldCharType="separate"/>
      </w:r>
      <w:r w:rsidR="009113BE">
        <w:rPr>
          <w:rFonts w:ascii="Cambria" w:eastAsia="Times New Roman" w:hAnsi="Cambria" w:cs="Arial"/>
          <w:b/>
          <w:bCs/>
          <w:noProof/>
          <w:color w:val="156082"/>
          <w:sz w:val="24"/>
          <w:szCs w:val="24"/>
          <w:lang w:val="sq-AL"/>
        </w:rPr>
        <w:t>16</w:t>
      </w:r>
      <w:r w:rsidRPr="00BC2327">
        <w:rPr>
          <w:rFonts w:ascii="Cambria" w:eastAsia="Times New Roman" w:hAnsi="Cambria" w:cs="Arial"/>
          <w:b/>
          <w:bCs/>
          <w:color w:val="156082"/>
          <w:sz w:val="24"/>
          <w:szCs w:val="24"/>
          <w:lang w:val="sq-AL"/>
        </w:rPr>
        <w:fldChar w:fldCharType="end"/>
      </w:r>
      <w:r w:rsidRPr="00BC2327">
        <w:rPr>
          <w:rFonts w:ascii="Cambria" w:eastAsia="Times New Roman" w:hAnsi="Cambria" w:cs="Arial"/>
          <w:b/>
          <w:bCs/>
          <w:color w:val="156082"/>
          <w:sz w:val="24"/>
          <w:szCs w:val="24"/>
          <w:lang w:val="sq-AL"/>
        </w:rPr>
        <w:t>:</w:t>
      </w:r>
      <w:r w:rsidRPr="00BC2327">
        <w:rPr>
          <w:rFonts w:ascii="Cambria" w:eastAsia="Calibri" w:hAnsi="Cambria" w:cs="Times New Roman"/>
          <w:bCs/>
          <w:color w:val="156082"/>
          <w:sz w:val="24"/>
          <w:szCs w:val="24"/>
          <w:lang w:val="sq-AL"/>
        </w:rPr>
        <w:t xml:space="preserve"> </w:t>
      </w:r>
      <w:r w:rsidRPr="00BC2327">
        <w:rPr>
          <w:rFonts w:ascii="Cambria" w:eastAsia="Times New Roman" w:hAnsi="Cambria" w:cs="Arial"/>
          <w:b/>
          <w:bCs/>
          <w:color w:val="156082"/>
          <w:sz w:val="24"/>
          <w:szCs w:val="24"/>
          <w:lang w:val="sq-AL"/>
        </w:rPr>
        <w:t>Shpenzimet për Ministrinë e Infrastrukturës dhe Energjisë sipas programeve buxhetore dhe sipas artikujve ekonomikë</w:t>
      </w:r>
    </w:p>
    <w:p w14:paraId="0CEA8F82" w14:textId="77777777" w:rsidR="00BC2327" w:rsidRPr="00BC2327" w:rsidRDefault="00BC2327" w:rsidP="00BC2327">
      <w:pPr>
        <w:spacing w:after="0" w:line="276" w:lineRule="auto"/>
        <w:jc w:val="both"/>
        <w:rPr>
          <w:rFonts w:ascii="Cambria" w:eastAsia="Times New Roman" w:hAnsi="Cambria" w:cs="Times New Roman"/>
          <w:b/>
          <w:color w:val="0070C0"/>
          <w:sz w:val="24"/>
          <w:szCs w:val="24"/>
          <w:lang w:val="sq-AL" w:eastAsia="sr-Latn-CS"/>
        </w:rPr>
      </w:pPr>
    </w:p>
    <w:p w14:paraId="1D9033D6" w14:textId="4F701459" w:rsidR="00BC2327" w:rsidRPr="00BC2327" w:rsidRDefault="00BC2327" w:rsidP="00BC2327">
      <w:pPr>
        <w:spacing w:line="276" w:lineRule="auto"/>
        <w:jc w:val="both"/>
        <w:rPr>
          <w:rFonts w:ascii="Cambria" w:eastAsia="MS Gothic" w:hAnsi="Cambria" w:cs="Times New Roman"/>
          <w:b/>
          <w:bCs/>
          <w:color w:val="0070C0"/>
          <w:sz w:val="24"/>
          <w:szCs w:val="24"/>
          <w:lang w:val="sq-AL"/>
        </w:rPr>
      </w:pPr>
      <w:r w:rsidRPr="00BC2327">
        <w:rPr>
          <w:rFonts w:ascii="Aptos" w:eastAsia="Times New Roman" w:hAnsi="Aptos" w:cs="Times New Roman"/>
          <w:noProof/>
          <w:lang w:val="sq-AL"/>
        </w:rPr>
        <w:lastRenderedPageBreak/>
        <w:drawing>
          <wp:inline distT="0" distB="0" distL="0" distR="0" wp14:anchorId="5EC32441" wp14:editId="7F52C36D">
            <wp:extent cx="5943600" cy="7786370"/>
            <wp:effectExtent l="0" t="0" r="0" b="5080"/>
            <wp:docPr id="1440465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7786370"/>
                    </a:xfrm>
                    <a:prstGeom prst="rect">
                      <a:avLst/>
                    </a:prstGeom>
                    <a:noFill/>
                    <a:ln>
                      <a:noFill/>
                    </a:ln>
                  </pic:spPr>
                </pic:pic>
              </a:graphicData>
            </a:graphic>
          </wp:inline>
        </w:drawing>
      </w:r>
      <w:r w:rsidRPr="00BC2327">
        <w:rPr>
          <w:rFonts w:ascii="Cambria" w:eastAsia="MS Gothic" w:hAnsi="Cambria" w:cs="Times New Roman"/>
          <w:b/>
          <w:bCs/>
          <w:i/>
          <w:iCs/>
          <w:sz w:val="20"/>
          <w:szCs w:val="20"/>
          <w:lang w:val="sq-AL"/>
        </w:rPr>
        <w:t>*Diferenca rezulton nga programi “Furnizimi me Uj</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 xml:space="preserve"> dhe Kanalizime” i cili nuk ka p</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rpunuar k</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rkesat buxhetore p</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r faz</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n e par</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 xml:space="preserve"> sipas standardeve t</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 xml:space="preserve"> legjislacionit buxhetor n</w:t>
      </w:r>
      <w:r w:rsidR="00D85300" w:rsidRPr="00E24ECC">
        <w:rPr>
          <w:rFonts w:ascii="Cambria" w:eastAsia="MS Gothic" w:hAnsi="Cambria" w:cs="Times New Roman"/>
          <w:b/>
          <w:bCs/>
          <w:i/>
          <w:iCs/>
          <w:sz w:val="20"/>
          <w:szCs w:val="20"/>
          <w:lang w:val="sq-AL"/>
        </w:rPr>
        <w:t>ë</w:t>
      </w:r>
      <w:r w:rsidRPr="00BC2327">
        <w:rPr>
          <w:rFonts w:ascii="Cambria" w:eastAsia="MS Gothic" w:hAnsi="Cambria" w:cs="Times New Roman"/>
          <w:b/>
          <w:bCs/>
          <w:i/>
          <w:iCs/>
          <w:sz w:val="20"/>
          <w:szCs w:val="20"/>
          <w:lang w:val="sq-AL"/>
        </w:rPr>
        <w:t xml:space="preserve"> fuqi.</w:t>
      </w:r>
    </w:p>
    <w:p w14:paraId="402168C4" w14:textId="77777777" w:rsidR="00BC2327" w:rsidRPr="00BC2327" w:rsidRDefault="00BC2327" w:rsidP="00BC2327">
      <w:pPr>
        <w:keepNext/>
        <w:keepLines/>
        <w:numPr>
          <w:ilvl w:val="2"/>
          <w:numId w:val="0"/>
        </w:numPr>
        <w:spacing w:before="40" w:after="200" w:line="276" w:lineRule="auto"/>
        <w:ind w:left="720" w:hanging="720"/>
        <w:contextualSpacing/>
        <w:jc w:val="both"/>
        <w:outlineLvl w:val="2"/>
        <w:rPr>
          <w:rFonts w:ascii="Cambria" w:eastAsia="Calibri" w:hAnsi="Cambria" w:cs="Times New Roman"/>
          <w:b/>
          <w:sz w:val="24"/>
          <w:szCs w:val="24"/>
          <w:lang w:val="sq-AL"/>
        </w:rPr>
      </w:pPr>
      <w:r w:rsidRPr="00BC2327">
        <w:rPr>
          <w:rFonts w:ascii="Cambria" w:eastAsia="Calibri" w:hAnsi="Cambria" w:cs="Times New Roman"/>
          <w:b/>
          <w:sz w:val="24"/>
          <w:szCs w:val="24"/>
          <w:lang w:val="sq-AL"/>
        </w:rPr>
        <w:lastRenderedPageBreak/>
        <w:t>Përmbledhje e Treguesve Kyç të Performancës</w:t>
      </w:r>
    </w:p>
    <w:p w14:paraId="5CBD00BE" w14:textId="77777777" w:rsidR="00BC2327" w:rsidRPr="00BC2327" w:rsidRDefault="00BC2327" w:rsidP="00BC2327">
      <w:pPr>
        <w:spacing w:line="276" w:lineRule="auto"/>
        <w:jc w:val="both"/>
        <w:rPr>
          <w:rFonts w:ascii="Cambria" w:eastAsia="Calibri" w:hAnsi="Cambria" w:cs="Times New Roman"/>
          <w:b/>
          <w:sz w:val="24"/>
          <w:szCs w:val="24"/>
          <w:lang w:val="sq-AL"/>
        </w:rPr>
      </w:pPr>
    </w:p>
    <w:p w14:paraId="59D2552F" w14:textId="77777777" w:rsidR="00BC2327" w:rsidRPr="00BC2327" w:rsidRDefault="00BC2327" w:rsidP="00BC2327">
      <w:pPr>
        <w:spacing w:line="276" w:lineRule="auto"/>
        <w:jc w:val="both"/>
        <w:rPr>
          <w:rFonts w:ascii="Cambria" w:eastAsia="Calibri" w:hAnsi="Cambria" w:cs="Times New Roman"/>
          <w:b/>
          <w:sz w:val="24"/>
          <w:szCs w:val="24"/>
          <w:lang w:val="sq-AL"/>
        </w:rPr>
      </w:pPr>
      <w:r w:rsidRPr="00BC2327">
        <w:rPr>
          <w:rFonts w:ascii="Cambria" w:eastAsia="Calibri" w:hAnsi="Cambria" w:cs="Times New Roman"/>
          <w:b/>
          <w:sz w:val="24"/>
          <w:szCs w:val="24"/>
          <w:lang w:val="sq-AL"/>
        </w:rPr>
        <w:t xml:space="preserve">Programi “Transporti Rrugor” </w:t>
      </w:r>
    </w:p>
    <w:p w14:paraId="751AD5F2"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3522 km rrugë të mirëmbajtura sipas standardeve në vitet 2026-2028 në të gjithë territorin;</w:t>
      </w:r>
    </w:p>
    <w:p w14:paraId="218E9802"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Numri i kilometrave të ndërtuara reabilituara, sistemuara, asfaltuara dhe të pajisura me sinjalistike rrugore do të arrijë në 407 Km në vitin 2026;</w:t>
      </w:r>
    </w:p>
    <w:p w14:paraId="766A3833"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Në PBA 2026-2028, është mbajtur në konsideratë, vazhdimi dhe financimi i projekteve koncesionare, me autoritet kontraktor Ministrinë e Infrastrukturës dhe Energjisë, ku edhe për tre vitet e ardhshme, këto projekte do të mbështeten me fonde nga buxheti i shtetit, në zbatim të kontratave dhe modeleve financiare të miratuara, konkretisht:</w:t>
      </w:r>
    </w:p>
    <w:p w14:paraId="63FAF490" w14:textId="77777777" w:rsidR="00BC2327" w:rsidRPr="00BC2327" w:rsidRDefault="00BC2327" w:rsidP="00954232">
      <w:pPr>
        <w:numPr>
          <w:ilvl w:val="0"/>
          <w:numId w:val="3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Kontrata e Koncesionit për ndërtimin e Rrugës së Arbrit;</w:t>
      </w:r>
    </w:p>
    <w:p w14:paraId="2D8511DA" w14:textId="77777777" w:rsidR="00BC2327" w:rsidRPr="00BC2327" w:rsidRDefault="00BC2327" w:rsidP="00954232">
      <w:pPr>
        <w:numPr>
          <w:ilvl w:val="0"/>
          <w:numId w:val="3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Kontrata e Koncesionit për ndërtimin e Rrugës Milot – Morinë;</w:t>
      </w:r>
    </w:p>
    <w:p w14:paraId="650AB45B" w14:textId="77777777" w:rsidR="00BC2327" w:rsidRPr="00BC2327" w:rsidRDefault="00BC2327" w:rsidP="00954232">
      <w:pPr>
        <w:numPr>
          <w:ilvl w:val="0"/>
          <w:numId w:val="3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Kontrata e Koncesionit për ndërtimin e Rrugës Orikum – Dukat, By Pass-Porti i Jahteve;</w:t>
      </w:r>
    </w:p>
    <w:p w14:paraId="66B5F0EE" w14:textId="77777777" w:rsidR="00BC2327" w:rsidRPr="00BC2327" w:rsidRDefault="00BC2327" w:rsidP="00BC2327">
      <w:pPr>
        <w:spacing w:line="276" w:lineRule="auto"/>
        <w:jc w:val="both"/>
        <w:rPr>
          <w:rFonts w:ascii="Cambria" w:eastAsia="Calibri" w:hAnsi="Cambria" w:cs="Times New Roman"/>
          <w:b/>
          <w:sz w:val="24"/>
          <w:szCs w:val="24"/>
          <w:lang w:val="sq-AL"/>
        </w:rPr>
      </w:pPr>
    </w:p>
    <w:p w14:paraId="6CE8CD8C" w14:textId="77777777" w:rsidR="00BC2327" w:rsidRPr="00BC2327" w:rsidRDefault="00BC2327" w:rsidP="00BC2327">
      <w:pPr>
        <w:spacing w:line="276" w:lineRule="auto"/>
        <w:jc w:val="both"/>
        <w:rPr>
          <w:rFonts w:ascii="Cambria" w:eastAsia="Calibri" w:hAnsi="Cambria" w:cs="Times New Roman"/>
          <w:b/>
          <w:sz w:val="24"/>
          <w:szCs w:val="24"/>
          <w:lang w:val="sq-AL"/>
        </w:rPr>
      </w:pPr>
      <w:r w:rsidRPr="00BC2327">
        <w:rPr>
          <w:rFonts w:ascii="Cambria" w:eastAsia="Calibri" w:hAnsi="Cambria" w:cs="Times New Roman"/>
          <w:b/>
          <w:sz w:val="24"/>
          <w:szCs w:val="24"/>
          <w:lang w:val="sq-AL"/>
        </w:rPr>
        <w:t>Programi “Mbështetje për Rrjetet e Komunikacionit”</w:t>
      </w:r>
    </w:p>
    <w:p w14:paraId="3A227410" w14:textId="4CB9BD39" w:rsidR="00BC2327" w:rsidRPr="00BC2327" w:rsidRDefault="00BC2327" w:rsidP="00954232">
      <w:pPr>
        <w:numPr>
          <w:ilvl w:val="0"/>
          <w:numId w:val="2"/>
        </w:numPr>
        <w:spacing w:after="0" w:line="276" w:lineRule="auto"/>
        <w:contextualSpacing/>
        <w:jc w:val="both"/>
        <w:rPr>
          <w:rFonts w:ascii="Cambria" w:eastAsia="Calibri" w:hAnsi="Cambria" w:cs="Times New Roman"/>
          <w:b/>
          <w:sz w:val="24"/>
          <w:szCs w:val="24"/>
          <w:lang w:val="sq-AL"/>
        </w:rPr>
      </w:pPr>
      <w:r w:rsidRPr="00BC2327">
        <w:rPr>
          <w:rFonts w:ascii="Cambria" w:eastAsia="Calibri" w:hAnsi="Cambria" w:cs="Times New Roman"/>
          <w:sz w:val="24"/>
          <w:szCs w:val="24"/>
          <w:lang w:val="sq-AL"/>
        </w:rPr>
        <w:t>N</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kuad</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r 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planit 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rritjes parashikohet zhvillimi i infrastruktur</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s s</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q</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ndrueshme dhe 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sigurt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Gigabit ku p</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rfshihen si rrjetet e shpejt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sis</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shum</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lart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dhe zhvillimi dhe zbatimi i 5G Toolbox;</w:t>
      </w:r>
    </w:p>
    <w:p w14:paraId="56CB5B8F"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bCs/>
          <w:sz w:val="24"/>
          <w:szCs w:val="24"/>
          <w:lang w:val="sq-AL"/>
        </w:rPr>
      </w:pPr>
      <w:r w:rsidRPr="00BC2327">
        <w:rPr>
          <w:rFonts w:ascii="Cambria" w:eastAsia="Calibri" w:hAnsi="Cambria" w:cs="Times New Roman"/>
          <w:bCs/>
          <w:sz w:val="24"/>
          <w:szCs w:val="24"/>
          <w:lang w:val="sq-AL"/>
        </w:rPr>
        <w:t xml:space="preserve">Rritja e penetrimit broadband fiks në nivel popullsie </w:t>
      </w:r>
      <w:r w:rsidRPr="00BC2327">
        <w:rPr>
          <w:rFonts w:ascii="Cambria" w:eastAsia="Calibri" w:hAnsi="Cambria" w:cs="Times New Roman"/>
          <w:sz w:val="24"/>
          <w:szCs w:val="24"/>
          <w:lang w:val="sq-AL"/>
        </w:rPr>
        <w:t>në 50% në vitin 2028 nga 40% që parashikohet në vitin 2026;</w:t>
      </w:r>
    </w:p>
    <w:p w14:paraId="52845D4E"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bCs/>
          <w:sz w:val="24"/>
          <w:szCs w:val="24"/>
          <w:lang w:val="sq-AL"/>
        </w:rPr>
      </w:pPr>
      <w:r w:rsidRPr="00BC2327">
        <w:rPr>
          <w:rFonts w:ascii="Cambria" w:eastAsia="Calibri" w:hAnsi="Cambria" w:cs="Times New Roman"/>
          <w:bCs/>
          <w:sz w:val="24"/>
          <w:szCs w:val="24"/>
          <w:lang w:val="sq-AL"/>
        </w:rPr>
        <w:t xml:space="preserve">Rritja e penetrimit broadband fiks në nivel familje </w:t>
      </w:r>
      <w:r w:rsidRPr="00BC2327">
        <w:rPr>
          <w:rFonts w:ascii="Cambria" w:eastAsia="Calibri" w:hAnsi="Cambria" w:cs="Times New Roman"/>
          <w:sz w:val="24"/>
          <w:szCs w:val="24"/>
          <w:lang w:val="sq-AL"/>
        </w:rPr>
        <w:t>në 99% në vitin 2028 nga 90% që parashikohet në vitin 2026;</w:t>
      </w:r>
    </w:p>
    <w:p w14:paraId="3AFC69CE" w14:textId="77777777" w:rsidR="00BC2327" w:rsidRPr="00BC2327" w:rsidRDefault="00BC2327" w:rsidP="00BC2327">
      <w:pPr>
        <w:spacing w:line="276" w:lineRule="auto"/>
        <w:jc w:val="both"/>
        <w:rPr>
          <w:rFonts w:ascii="Cambria" w:eastAsia="Calibri" w:hAnsi="Cambria" w:cs="Times New Roman"/>
          <w:b/>
          <w:sz w:val="24"/>
          <w:szCs w:val="24"/>
          <w:lang w:val="sq-AL"/>
        </w:rPr>
      </w:pPr>
    </w:p>
    <w:p w14:paraId="0073CFF8" w14:textId="77777777" w:rsidR="00BC2327" w:rsidRPr="00BC2327" w:rsidRDefault="00BC2327" w:rsidP="00BC2327">
      <w:pPr>
        <w:spacing w:line="276" w:lineRule="auto"/>
        <w:jc w:val="both"/>
        <w:rPr>
          <w:rFonts w:ascii="Cambria" w:eastAsia="Calibri" w:hAnsi="Cambria" w:cs="Times New Roman"/>
          <w:sz w:val="24"/>
          <w:szCs w:val="24"/>
          <w:lang w:val="sq-AL"/>
        </w:rPr>
      </w:pPr>
      <w:r w:rsidRPr="00BC2327">
        <w:rPr>
          <w:rFonts w:ascii="Cambria" w:eastAsia="Calibri" w:hAnsi="Cambria" w:cs="Times New Roman"/>
          <w:b/>
          <w:sz w:val="24"/>
          <w:szCs w:val="24"/>
          <w:lang w:val="sq-AL"/>
        </w:rPr>
        <w:t>Programi “Transporti Ajror”</w:t>
      </w:r>
    </w:p>
    <w:p w14:paraId="75FDFF2F" w14:textId="77777777" w:rsidR="00BC2327" w:rsidRPr="00BC2327" w:rsidRDefault="00BC2327" w:rsidP="00954232">
      <w:pPr>
        <w:numPr>
          <w:ilvl w:val="0"/>
          <w:numId w:val="38"/>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Zhvillimin dhe ndërtimin e infrastrukturave të reja aeroportuale, me qëllim krijimin e një tregu konkurrues me shërbime ajrore të liberalizuara;</w:t>
      </w:r>
    </w:p>
    <w:p w14:paraId="2C33A0B8" w14:textId="77777777" w:rsidR="00BC2327" w:rsidRPr="00BC2327" w:rsidRDefault="00BC2327" w:rsidP="00954232">
      <w:pPr>
        <w:numPr>
          <w:ilvl w:val="0"/>
          <w:numId w:val="38"/>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Rritjen e standarteve dhe performancës së Autoritetit Kombëtar të Investigimit për Sigurinë e Operimit në Aviacionin Civil nëpërmjet investimeve për forcimin e kapaciteteve;</w:t>
      </w:r>
    </w:p>
    <w:p w14:paraId="53A96E69" w14:textId="77777777" w:rsidR="00BC2327" w:rsidRPr="00BC2327" w:rsidRDefault="00BC2327" w:rsidP="00BC2327">
      <w:pPr>
        <w:spacing w:after="0" w:line="276" w:lineRule="auto"/>
        <w:ind w:left="774"/>
        <w:contextualSpacing/>
        <w:jc w:val="both"/>
        <w:rPr>
          <w:rFonts w:ascii="Cambria" w:eastAsia="Calibri" w:hAnsi="Cambria" w:cs="Times New Roman"/>
          <w:sz w:val="24"/>
          <w:szCs w:val="24"/>
          <w:lang w:val="sq-AL"/>
        </w:rPr>
      </w:pPr>
    </w:p>
    <w:p w14:paraId="25FD9B7F" w14:textId="77777777" w:rsidR="00BC2327" w:rsidRPr="00BC2327" w:rsidRDefault="00BC2327" w:rsidP="00BC2327">
      <w:pPr>
        <w:spacing w:line="276" w:lineRule="auto"/>
        <w:jc w:val="both"/>
        <w:rPr>
          <w:rFonts w:ascii="Cambria" w:eastAsia="Calibri" w:hAnsi="Cambria" w:cs="Times New Roman"/>
          <w:sz w:val="24"/>
          <w:szCs w:val="24"/>
          <w:lang w:val="sq-AL"/>
        </w:rPr>
      </w:pPr>
      <w:r w:rsidRPr="00BC2327">
        <w:rPr>
          <w:rFonts w:ascii="Cambria" w:eastAsia="Calibri" w:hAnsi="Cambria" w:cs="Times New Roman"/>
          <w:b/>
          <w:sz w:val="24"/>
          <w:szCs w:val="24"/>
          <w:lang w:val="sq-AL"/>
        </w:rPr>
        <w:t>Programi “Transporti Detar”</w:t>
      </w:r>
    </w:p>
    <w:p w14:paraId="0D431974"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volumit të përpunimit të mallrave tregtare në porte në 10,689,263 në vitin 2028 nga 8,037,207 që parashikohet në vitin 2025;</w:t>
      </w:r>
    </w:p>
    <w:p w14:paraId="62342119"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lastRenderedPageBreak/>
        <w:t>Rritja e numrit të pasagjereve që udhëtojne në/nga Shqipëria në rruge detare në           1,751,738  pasagjerën në vitin 2028 nga 1,600,011 pasagjerë që parashikohen në vitin 2025;</w:t>
      </w:r>
    </w:p>
    <w:p w14:paraId="04E6B180"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Vijon financimi i projektit “Porti i ri Tregtar i Integruar i Durrësit në Porto Romano Faza I”</w:t>
      </w:r>
    </w:p>
    <w:p w14:paraId="213420D1" w14:textId="77777777" w:rsidR="00BC2327" w:rsidRPr="00BC2327" w:rsidRDefault="00BC2327" w:rsidP="00BC2327">
      <w:pPr>
        <w:spacing w:after="0" w:line="276" w:lineRule="auto"/>
        <w:ind w:left="774"/>
        <w:contextualSpacing/>
        <w:jc w:val="both"/>
        <w:rPr>
          <w:rFonts w:ascii="Cambria" w:eastAsia="Calibri" w:hAnsi="Cambria" w:cs="Times New Roman"/>
          <w:sz w:val="24"/>
          <w:szCs w:val="24"/>
          <w:lang w:val="sq-AL"/>
        </w:rPr>
      </w:pPr>
    </w:p>
    <w:p w14:paraId="67DBB6EF" w14:textId="77777777" w:rsidR="00BC2327" w:rsidRPr="00BC2327" w:rsidRDefault="00BC2327" w:rsidP="00BC2327">
      <w:pPr>
        <w:spacing w:line="276" w:lineRule="auto"/>
        <w:jc w:val="both"/>
        <w:rPr>
          <w:rFonts w:ascii="Cambria" w:eastAsia="Calibri" w:hAnsi="Cambria" w:cs="Times New Roman"/>
          <w:b/>
          <w:sz w:val="24"/>
          <w:szCs w:val="24"/>
          <w:lang w:val="sq-AL"/>
        </w:rPr>
      </w:pPr>
      <w:r w:rsidRPr="00BC2327">
        <w:rPr>
          <w:rFonts w:ascii="Cambria" w:eastAsia="Calibri" w:hAnsi="Cambria" w:cs="Times New Roman"/>
          <w:b/>
          <w:sz w:val="24"/>
          <w:szCs w:val="24"/>
          <w:lang w:val="sq-AL"/>
        </w:rPr>
        <w:t>Programi “Transporti Hekurudhor”</w:t>
      </w:r>
    </w:p>
    <w:p w14:paraId="7305D3D3" w14:textId="77777777" w:rsidR="00BC2327" w:rsidRPr="00BC2327" w:rsidRDefault="00BC2327" w:rsidP="00954232">
      <w:pPr>
        <w:numPr>
          <w:ilvl w:val="0"/>
          <w:numId w:val="2"/>
        </w:numPr>
        <w:spacing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Rehabilitimi i linjës hekurudhore Durrës - Terminali pasagjerëve Tiranë dhe ndërtimi i linjës hekurudhore Tiranë – Rinas;</w:t>
      </w:r>
    </w:p>
    <w:p w14:paraId="419C4029" w14:textId="77777777" w:rsidR="00BC2327" w:rsidRPr="00BC2327" w:rsidRDefault="00BC2327" w:rsidP="00954232">
      <w:pPr>
        <w:numPr>
          <w:ilvl w:val="0"/>
          <w:numId w:val="2"/>
        </w:numPr>
        <w:spacing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Rehabilitimi i linjës hekurudhore Vore - Hani i Hotit;</w:t>
      </w:r>
    </w:p>
    <w:p w14:paraId="22563E23" w14:textId="03761EFF" w:rsidR="00BC2327" w:rsidRPr="00BC2327" w:rsidRDefault="00BC2327" w:rsidP="00954232">
      <w:pPr>
        <w:numPr>
          <w:ilvl w:val="0"/>
          <w:numId w:val="2"/>
        </w:numPr>
        <w:spacing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Rinovim i linjës hekurudhore Durr</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s-Rrogozhinë;</w:t>
      </w:r>
    </w:p>
    <w:p w14:paraId="619A8500" w14:textId="68E631BB" w:rsidR="00BC2327" w:rsidRPr="00BC2327" w:rsidRDefault="00BC2327" w:rsidP="00954232">
      <w:pPr>
        <w:numPr>
          <w:ilvl w:val="0"/>
          <w:numId w:val="2"/>
        </w:numPr>
        <w:spacing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volumit të transportit të mallit eksport-import kundrejt volumit 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realizuar n</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2014 në 45% në vitin 2028;</w:t>
      </w:r>
    </w:p>
    <w:p w14:paraId="7FED4B5B" w14:textId="77777777" w:rsidR="00BC2327" w:rsidRPr="00BC2327" w:rsidRDefault="00BC2327" w:rsidP="00BC2327">
      <w:pPr>
        <w:spacing w:line="276" w:lineRule="auto"/>
        <w:jc w:val="both"/>
        <w:rPr>
          <w:rFonts w:ascii="Cambria" w:eastAsia="Calibri" w:hAnsi="Cambria" w:cs="Times New Roman"/>
          <w:sz w:val="24"/>
          <w:szCs w:val="24"/>
          <w:lang w:val="sq-AL"/>
        </w:rPr>
      </w:pPr>
    </w:p>
    <w:p w14:paraId="4D70D3A6" w14:textId="77777777" w:rsidR="00BC2327" w:rsidRPr="00BC2327" w:rsidRDefault="00BC2327" w:rsidP="00BC2327">
      <w:pPr>
        <w:spacing w:line="276" w:lineRule="auto"/>
        <w:jc w:val="both"/>
        <w:rPr>
          <w:rFonts w:ascii="Cambria" w:eastAsia="Calibri" w:hAnsi="Cambria" w:cs="Times New Roman"/>
          <w:sz w:val="24"/>
          <w:szCs w:val="24"/>
          <w:lang w:val="sq-AL"/>
        </w:rPr>
      </w:pPr>
      <w:r w:rsidRPr="00BC2327">
        <w:rPr>
          <w:rFonts w:ascii="Cambria" w:eastAsia="Calibri" w:hAnsi="Cambria" w:cs="Times New Roman"/>
          <w:b/>
          <w:sz w:val="24"/>
          <w:szCs w:val="24"/>
          <w:lang w:val="sq-AL"/>
        </w:rPr>
        <w:t>Programi “Mbështetje për Burimet Natyrore”</w:t>
      </w:r>
    </w:p>
    <w:p w14:paraId="7C746F3A"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Synohet nxitja e rritjes së sektorit përmes promovimit dhe inkurajimit të zbulimit të burimeve të reja potenciale mineralmbajtëse, nëpërmjet kompanive vendase e të huaja, të vogla dhe të mesme;</w:t>
      </w:r>
    </w:p>
    <w:p w14:paraId="19DC01CD"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lejeve minerare aktive në të cilat zhvillohet aktivitet minerar konform standarteve në 585 leje në vitin 2028 nga 580 leje në vitin 2026;</w:t>
      </w:r>
    </w:p>
    <w:p w14:paraId="283DE785" w14:textId="6C3FC8F9"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Studime për promovimin e burimeve natyrore si dhe studimeve mbi parandalimin e rreziqeve gjeologo-mjedisore dhe hidrologjike, duke parashikuar 23 studime n</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vit përgjatë periudhës 2026-2028;</w:t>
      </w:r>
    </w:p>
    <w:p w14:paraId="69E7AF2F" w14:textId="77777777" w:rsidR="00BC2327" w:rsidRPr="00BC2327" w:rsidRDefault="00BC2327" w:rsidP="00BC2327">
      <w:pPr>
        <w:spacing w:line="276" w:lineRule="auto"/>
        <w:jc w:val="both"/>
        <w:rPr>
          <w:rFonts w:ascii="Cambria" w:eastAsia="Calibri" w:hAnsi="Cambria" w:cs="Times New Roman"/>
          <w:sz w:val="24"/>
          <w:szCs w:val="24"/>
          <w:lang w:val="sq-AL"/>
        </w:rPr>
      </w:pPr>
    </w:p>
    <w:p w14:paraId="78387E0E" w14:textId="77777777" w:rsidR="00BC2327" w:rsidRPr="00BC2327" w:rsidRDefault="00BC2327" w:rsidP="00BC2327">
      <w:pPr>
        <w:spacing w:line="276" w:lineRule="auto"/>
        <w:jc w:val="both"/>
        <w:rPr>
          <w:rFonts w:ascii="Cambria" w:eastAsia="Calibri" w:hAnsi="Cambria" w:cs="Times New Roman"/>
          <w:b/>
          <w:sz w:val="24"/>
          <w:szCs w:val="24"/>
          <w:lang w:val="sq-AL"/>
        </w:rPr>
      </w:pPr>
      <w:r w:rsidRPr="00BC2327">
        <w:rPr>
          <w:rFonts w:ascii="Cambria" w:eastAsia="Calibri" w:hAnsi="Cambria" w:cs="Times New Roman"/>
          <w:b/>
          <w:sz w:val="24"/>
          <w:szCs w:val="24"/>
          <w:lang w:val="sq-AL"/>
        </w:rPr>
        <w:t>Programi “Mbështetje për Industrinë”</w:t>
      </w:r>
    </w:p>
    <w:p w14:paraId="2A48D314" w14:textId="64DFFF05"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sigurise së pajisjeve/instalimeve elektrike dhe eneve nën presion nëpërmjet inspektimeve periodike p</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rgjat</w:t>
      </w:r>
      <w:r w:rsidR="00D85300" w:rsidRPr="00E24ECC">
        <w:rPr>
          <w:rFonts w:ascii="Cambria" w:eastAsia="Calibri" w:hAnsi="Cambria" w:cs="Times New Roman"/>
          <w:sz w:val="24"/>
          <w:szCs w:val="24"/>
          <w:lang w:val="sq-AL"/>
        </w:rPr>
        <w:t>ë</w:t>
      </w:r>
      <w:r w:rsidRPr="00BC2327">
        <w:rPr>
          <w:rFonts w:ascii="Cambria" w:eastAsia="Calibri" w:hAnsi="Cambria" w:cs="Times New Roman"/>
          <w:sz w:val="24"/>
          <w:szCs w:val="24"/>
          <w:lang w:val="sq-AL"/>
        </w:rPr>
        <w:t xml:space="preserve"> 2026-2028;</w:t>
      </w:r>
    </w:p>
    <w:p w14:paraId="46D660A2"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standardeve të produkteve dhe sigurisë së  pajisjeve/instalimeve me 20% për vitet 2026-2028;</w:t>
      </w:r>
    </w:p>
    <w:p w14:paraId="294613CD"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Reduktimi i rrezikut nga kimikatet e rrezikshme me 15% për vitet 2026-2028.</w:t>
      </w:r>
    </w:p>
    <w:p w14:paraId="00725700"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numrit të mostrave të analizuara të naftës dhe nënprodukteve të saj, të prodhuara në vend dhe të importuara në masën 7190 në vitin 2028;</w:t>
      </w:r>
    </w:p>
    <w:p w14:paraId="3D803EF7"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Rritja e standardeve të naftës dhe nënprodukteve të saj nëpërmjet përdorimit të aparaturave specifike testuese;</w:t>
      </w:r>
    </w:p>
    <w:p w14:paraId="7BFC6AC3" w14:textId="77777777" w:rsidR="00BC2327" w:rsidRPr="00BC2327" w:rsidRDefault="00BC2327" w:rsidP="00BC2327">
      <w:pPr>
        <w:spacing w:after="0" w:line="276" w:lineRule="auto"/>
        <w:ind w:left="774"/>
        <w:contextualSpacing/>
        <w:jc w:val="both"/>
        <w:rPr>
          <w:rFonts w:ascii="Cambria" w:eastAsia="Calibri" w:hAnsi="Cambria" w:cs="Times New Roman"/>
          <w:sz w:val="24"/>
          <w:szCs w:val="24"/>
          <w:lang w:val="sq-AL"/>
        </w:rPr>
      </w:pPr>
    </w:p>
    <w:p w14:paraId="1D98A8C3" w14:textId="77777777" w:rsidR="00BC2327" w:rsidRPr="00BC2327" w:rsidRDefault="00BC2327" w:rsidP="00BC2327">
      <w:pPr>
        <w:spacing w:line="276" w:lineRule="auto"/>
        <w:jc w:val="both"/>
        <w:rPr>
          <w:rFonts w:ascii="Cambria" w:eastAsia="Calibri" w:hAnsi="Cambria" w:cs="Times New Roman"/>
          <w:b/>
          <w:sz w:val="24"/>
          <w:szCs w:val="24"/>
          <w:lang w:val="sq-AL"/>
        </w:rPr>
      </w:pPr>
      <w:r w:rsidRPr="00BC2327">
        <w:rPr>
          <w:rFonts w:ascii="Cambria" w:eastAsia="Calibri" w:hAnsi="Cambria" w:cs="Times New Roman"/>
          <w:b/>
          <w:sz w:val="24"/>
          <w:szCs w:val="24"/>
          <w:lang w:val="sq-AL"/>
        </w:rPr>
        <w:t>Programi “Planifikimi Urban”</w:t>
      </w:r>
    </w:p>
    <w:p w14:paraId="048F064D"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lastRenderedPageBreak/>
        <w:t>Zhvillimi i qëndrueshëm dhe i balancuar i territorit, duke zbutur pabarazinë rajonale, për garantimin e ekuilibrit midis interesave publike dhe private, në zhvillimin e territorit;</w:t>
      </w:r>
    </w:p>
    <w:p w14:paraId="7DF17A0E" w14:textId="77777777" w:rsidR="00BC2327" w:rsidRPr="00BC2327" w:rsidRDefault="00BC2327" w:rsidP="00954232">
      <w:pPr>
        <w:numPr>
          <w:ilvl w:val="0"/>
          <w:numId w:val="2"/>
        </w:numPr>
        <w:spacing w:after="0" w:line="276" w:lineRule="auto"/>
        <w:contextualSpacing/>
        <w:jc w:val="both"/>
        <w:rPr>
          <w:rFonts w:ascii="Cambria" w:eastAsia="Calibri" w:hAnsi="Cambria" w:cs="Times New Roman"/>
          <w:sz w:val="24"/>
          <w:szCs w:val="24"/>
          <w:lang w:val="sq-AL"/>
        </w:rPr>
      </w:pPr>
      <w:r w:rsidRPr="00BC2327">
        <w:rPr>
          <w:rFonts w:ascii="Cambria" w:eastAsia="Calibri" w:hAnsi="Cambria" w:cs="Times New Roman"/>
          <w:sz w:val="24"/>
          <w:szCs w:val="24"/>
          <w:lang w:val="sq-AL"/>
        </w:rPr>
        <w:t>Hartimin e rregullave dhe standardeve të projektimit në disa fusha si dhe përafrimit të legjislacionit me standardet e BE-së;</w:t>
      </w:r>
    </w:p>
    <w:p w14:paraId="607A914D" w14:textId="77777777" w:rsidR="00E846A1" w:rsidRPr="00E24ECC" w:rsidRDefault="00E846A1" w:rsidP="00E846A1">
      <w:pPr>
        <w:spacing w:after="0" w:line="240" w:lineRule="auto"/>
        <w:ind w:left="774"/>
        <w:contextualSpacing/>
        <w:jc w:val="both"/>
        <w:rPr>
          <w:rFonts w:ascii="Cambria" w:eastAsia="Calibri" w:hAnsi="Cambria" w:cs="Times New Roman"/>
          <w:sz w:val="24"/>
          <w:szCs w:val="24"/>
          <w:lang w:val="sq-AL"/>
        </w:rPr>
      </w:pPr>
    </w:p>
    <w:p w14:paraId="5925172E" w14:textId="77777777" w:rsidR="00B86AF9" w:rsidRPr="00E24ECC" w:rsidRDefault="00B86AF9" w:rsidP="005B66E4">
      <w:pPr>
        <w:spacing w:after="0" w:line="276" w:lineRule="auto"/>
        <w:ind w:left="414"/>
        <w:contextualSpacing/>
        <w:jc w:val="both"/>
        <w:rPr>
          <w:rFonts w:ascii="Cambria" w:eastAsia="Calibri" w:hAnsi="Cambria" w:cs="Times New Roman"/>
          <w:sz w:val="24"/>
          <w:szCs w:val="24"/>
          <w:lang w:val="sq-AL"/>
        </w:rPr>
      </w:pPr>
    </w:p>
    <w:p w14:paraId="7EF7223D"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33" w:name="_Toc518558893"/>
      <w:bookmarkStart w:id="34" w:name="_Toc518559015"/>
      <w:bookmarkStart w:id="35" w:name="_Toc518559242"/>
      <w:bookmarkStart w:id="36" w:name="_Toc518562257"/>
      <w:bookmarkStart w:id="37" w:name="_Toc527191564"/>
      <w:bookmarkStart w:id="38" w:name="_Toc527191596"/>
      <w:bookmarkStart w:id="39" w:name="_Toc527191722"/>
      <w:bookmarkStart w:id="40" w:name="_Toc527192126"/>
      <w:bookmarkStart w:id="41" w:name="_Toc527192176"/>
      <w:bookmarkStart w:id="42" w:name="_Toc527530921"/>
      <w:bookmarkStart w:id="43" w:name="_Toc354458"/>
      <w:bookmarkStart w:id="44" w:name="_Toc516539"/>
      <w:bookmarkStart w:id="45" w:name="_Toc12009295"/>
      <w:bookmarkStart w:id="46" w:name="_Toc12014083"/>
      <w:bookmarkStart w:id="47" w:name="_Toc12014154"/>
      <w:bookmarkStart w:id="48" w:name="_Toc12014387"/>
      <w:bookmarkStart w:id="49" w:name="_Toc12014417"/>
      <w:bookmarkStart w:id="50" w:name="_Toc12014537"/>
      <w:bookmarkStart w:id="51" w:name="_Toc12016554"/>
      <w:bookmarkStart w:id="52" w:name="_Toc12260716"/>
      <w:bookmarkStart w:id="53" w:name="_Toc12533833"/>
      <w:bookmarkStart w:id="54" w:name="_Toc12534346"/>
      <w:bookmarkStart w:id="55" w:name="_Toc12536771"/>
      <w:bookmarkStart w:id="56" w:name="_Toc12536802"/>
      <w:bookmarkStart w:id="57" w:name="_Toc12541859"/>
      <w:bookmarkStart w:id="58" w:name="_Toc12876748"/>
      <w:bookmarkStart w:id="59" w:name="_Toc12955088"/>
      <w:bookmarkStart w:id="60" w:name="_Toc12963506"/>
      <w:bookmarkStart w:id="61" w:name="_Toc12976982"/>
      <w:bookmarkStart w:id="62" w:name="_Toc13476481"/>
      <w:bookmarkStart w:id="63" w:name="_Toc13478525"/>
      <w:bookmarkStart w:id="64" w:name="_Toc13653937"/>
      <w:bookmarkStart w:id="65" w:name="_Toc13653981"/>
      <w:bookmarkStart w:id="66" w:name="_Toc20906548"/>
      <w:bookmarkStart w:id="67" w:name="_Toc20914557"/>
      <w:bookmarkStart w:id="68" w:name="_Toc20914755"/>
      <w:bookmarkStart w:id="69" w:name="_Toc20914874"/>
      <w:bookmarkStart w:id="70" w:name="_Toc20920371"/>
      <w:bookmarkStart w:id="71" w:name="_Toc21076167"/>
      <w:bookmarkStart w:id="72" w:name="_Toc21076196"/>
      <w:bookmarkStart w:id="73" w:name="_Toc21076406"/>
      <w:bookmarkStart w:id="74" w:name="_Toc21076643"/>
      <w:bookmarkStart w:id="75" w:name="_Toc21076680"/>
      <w:bookmarkStart w:id="76" w:name="_Toc21076845"/>
      <w:bookmarkStart w:id="77" w:name="_Toc21076875"/>
      <w:bookmarkStart w:id="78" w:name="_Toc31801840"/>
      <w:bookmarkStart w:id="79" w:name="_Toc32317788"/>
      <w:bookmarkStart w:id="80" w:name="_Toc32317972"/>
      <w:bookmarkStart w:id="81" w:name="_Toc32329848"/>
      <w:bookmarkStart w:id="82" w:name="_Toc32330007"/>
      <w:bookmarkStart w:id="83" w:name="_Toc32408365"/>
      <w:bookmarkStart w:id="84" w:name="_Toc32414951"/>
      <w:bookmarkStart w:id="85" w:name="_Toc33087733"/>
      <w:bookmarkStart w:id="86" w:name="_Toc33537242"/>
      <w:bookmarkStart w:id="87" w:name="_Toc33537273"/>
      <w:bookmarkStart w:id="88" w:name="_Toc33689409"/>
      <w:bookmarkStart w:id="89" w:name="_Toc33709882"/>
      <w:bookmarkStart w:id="90" w:name="_Toc51663654"/>
      <w:bookmarkStart w:id="91" w:name="_Toc51665212"/>
      <w:bookmarkStart w:id="92" w:name="_Toc51665730"/>
      <w:bookmarkStart w:id="93" w:name="_Toc51665837"/>
      <w:bookmarkStart w:id="94" w:name="_Toc51666032"/>
      <w:bookmarkStart w:id="95" w:name="_Toc51682360"/>
      <w:bookmarkStart w:id="96" w:name="_Toc51682501"/>
      <w:bookmarkStart w:id="97" w:name="_Toc52372748"/>
      <w:bookmarkStart w:id="98" w:name="_Toc52372875"/>
      <w:bookmarkStart w:id="99" w:name="_Toc53495376"/>
      <w:bookmarkStart w:id="100" w:name="_Toc56674436"/>
      <w:bookmarkStart w:id="101" w:name="_Toc56674469"/>
      <w:bookmarkStart w:id="102" w:name="_Toc63755892"/>
      <w:bookmarkStart w:id="103" w:name="_Toc63757086"/>
      <w:bookmarkStart w:id="104" w:name="_Toc65680637"/>
      <w:bookmarkStart w:id="105" w:name="_Toc76386752"/>
      <w:bookmarkStart w:id="106" w:name="_Toc76386801"/>
      <w:bookmarkStart w:id="107" w:name="_Toc76642304"/>
      <w:bookmarkStart w:id="108" w:name="_Toc76644136"/>
      <w:bookmarkStart w:id="109" w:name="_Toc84421979"/>
      <w:bookmarkStart w:id="110" w:name="_Toc84514356"/>
      <w:bookmarkStart w:id="111" w:name="_Toc84514848"/>
      <w:bookmarkStart w:id="112" w:name="_Toc84515081"/>
      <w:bookmarkStart w:id="113" w:name="_Toc84515306"/>
      <w:bookmarkStart w:id="114" w:name="_Toc84515339"/>
      <w:bookmarkStart w:id="115" w:name="_Toc106355909"/>
      <w:bookmarkStart w:id="116" w:name="_Toc106616399"/>
      <w:bookmarkStart w:id="117" w:name="_Toc106706216"/>
      <w:bookmarkStart w:id="118" w:name="_Toc106706245"/>
      <w:bookmarkStart w:id="119" w:name="_Toc106707081"/>
      <w:bookmarkStart w:id="120" w:name="_Toc109648644"/>
      <w:bookmarkStart w:id="121" w:name="_Toc136427480"/>
      <w:bookmarkStart w:id="122" w:name="_Toc168582425"/>
      <w:bookmarkStart w:id="123" w:name="_Toc168649922"/>
      <w:bookmarkStart w:id="124" w:name="_Toc168654269"/>
      <w:bookmarkStart w:id="125" w:name="_Toc168659312"/>
      <w:bookmarkStart w:id="126" w:name="_Toc2007049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9E978E4"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127" w:name="_Toc518559016"/>
      <w:bookmarkStart w:id="128" w:name="_Toc518559243"/>
      <w:bookmarkStart w:id="129" w:name="_Toc518562258"/>
      <w:bookmarkStart w:id="130" w:name="_Toc527191565"/>
      <w:bookmarkStart w:id="131" w:name="_Toc527191597"/>
      <w:bookmarkStart w:id="132" w:name="_Toc527191723"/>
      <w:bookmarkStart w:id="133" w:name="_Toc527192127"/>
      <w:bookmarkStart w:id="134" w:name="_Toc527192177"/>
      <w:bookmarkStart w:id="135" w:name="_Toc527530922"/>
      <w:bookmarkStart w:id="136" w:name="_Toc354459"/>
      <w:bookmarkStart w:id="137" w:name="_Toc516540"/>
      <w:bookmarkStart w:id="138" w:name="_Toc12009296"/>
      <w:bookmarkStart w:id="139" w:name="_Toc12014084"/>
      <w:bookmarkStart w:id="140" w:name="_Toc12014155"/>
      <w:bookmarkStart w:id="141" w:name="_Toc12014388"/>
      <w:bookmarkStart w:id="142" w:name="_Toc12014418"/>
      <w:bookmarkStart w:id="143" w:name="_Toc12014538"/>
      <w:bookmarkStart w:id="144" w:name="_Toc12016555"/>
      <w:bookmarkStart w:id="145" w:name="_Toc12260717"/>
      <w:bookmarkStart w:id="146" w:name="_Toc12533834"/>
      <w:bookmarkStart w:id="147" w:name="_Toc12534347"/>
      <w:bookmarkStart w:id="148" w:name="_Toc12536772"/>
      <w:bookmarkStart w:id="149" w:name="_Toc12536803"/>
      <w:bookmarkStart w:id="150" w:name="_Toc12541860"/>
      <w:bookmarkStart w:id="151" w:name="_Toc12876749"/>
      <w:bookmarkStart w:id="152" w:name="_Toc12955089"/>
      <w:bookmarkStart w:id="153" w:name="_Toc12963507"/>
      <w:bookmarkStart w:id="154" w:name="_Toc12976983"/>
      <w:bookmarkStart w:id="155" w:name="_Toc13476482"/>
      <w:bookmarkStart w:id="156" w:name="_Toc13478526"/>
      <w:bookmarkStart w:id="157" w:name="_Toc13653938"/>
      <w:bookmarkStart w:id="158" w:name="_Toc13653982"/>
      <w:bookmarkStart w:id="159" w:name="_Toc20906549"/>
      <w:bookmarkStart w:id="160" w:name="_Toc20914558"/>
      <w:bookmarkStart w:id="161" w:name="_Toc20914756"/>
      <w:bookmarkStart w:id="162" w:name="_Toc20914875"/>
      <w:bookmarkStart w:id="163" w:name="_Toc20920372"/>
      <w:bookmarkStart w:id="164" w:name="_Toc21076168"/>
      <w:bookmarkStart w:id="165" w:name="_Toc21076197"/>
      <w:bookmarkStart w:id="166" w:name="_Toc21076407"/>
      <w:bookmarkStart w:id="167" w:name="_Toc21076644"/>
      <w:bookmarkStart w:id="168" w:name="_Toc21076681"/>
      <w:bookmarkStart w:id="169" w:name="_Toc21076846"/>
      <w:bookmarkStart w:id="170" w:name="_Toc21076876"/>
      <w:bookmarkStart w:id="171" w:name="_Toc31801841"/>
      <w:bookmarkStart w:id="172" w:name="_Toc32317789"/>
      <w:bookmarkStart w:id="173" w:name="_Toc32317973"/>
      <w:bookmarkStart w:id="174" w:name="_Toc32329849"/>
      <w:bookmarkStart w:id="175" w:name="_Toc32330008"/>
      <w:bookmarkStart w:id="176" w:name="_Toc32408366"/>
      <w:bookmarkStart w:id="177" w:name="_Toc32414952"/>
      <w:bookmarkStart w:id="178" w:name="_Toc33087734"/>
      <w:bookmarkStart w:id="179" w:name="_Toc33537243"/>
      <w:bookmarkStart w:id="180" w:name="_Toc33537274"/>
      <w:bookmarkStart w:id="181" w:name="_Toc33689410"/>
      <w:bookmarkStart w:id="182" w:name="_Toc33709883"/>
      <w:bookmarkStart w:id="183" w:name="_Toc51663655"/>
      <w:bookmarkStart w:id="184" w:name="_Toc51665213"/>
      <w:bookmarkStart w:id="185" w:name="_Toc51665731"/>
      <w:bookmarkStart w:id="186" w:name="_Toc51665838"/>
      <w:bookmarkStart w:id="187" w:name="_Toc51666033"/>
      <w:bookmarkStart w:id="188" w:name="_Toc51682361"/>
      <w:bookmarkStart w:id="189" w:name="_Toc51682502"/>
      <w:bookmarkStart w:id="190" w:name="_Toc52372749"/>
      <w:bookmarkStart w:id="191" w:name="_Toc52372876"/>
      <w:bookmarkStart w:id="192" w:name="_Toc53495377"/>
      <w:bookmarkStart w:id="193" w:name="_Toc56674437"/>
      <w:bookmarkStart w:id="194" w:name="_Toc56674470"/>
      <w:bookmarkStart w:id="195" w:name="_Toc63755893"/>
      <w:bookmarkStart w:id="196" w:name="_Toc63757087"/>
      <w:bookmarkStart w:id="197" w:name="_Toc65680638"/>
      <w:bookmarkStart w:id="198" w:name="_Toc76386753"/>
      <w:bookmarkStart w:id="199" w:name="_Toc76386802"/>
      <w:bookmarkStart w:id="200" w:name="_Toc76642305"/>
      <w:bookmarkStart w:id="201" w:name="_Toc76644137"/>
      <w:bookmarkStart w:id="202" w:name="_Toc84421980"/>
      <w:bookmarkStart w:id="203" w:name="_Toc84514357"/>
      <w:bookmarkStart w:id="204" w:name="_Toc84514849"/>
      <w:bookmarkStart w:id="205" w:name="_Toc84515082"/>
      <w:bookmarkStart w:id="206" w:name="_Toc84515307"/>
      <w:bookmarkStart w:id="207" w:name="_Toc84515340"/>
      <w:bookmarkStart w:id="208" w:name="_Toc106355910"/>
      <w:bookmarkStart w:id="209" w:name="_Toc106616400"/>
      <w:bookmarkStart w:id="210" w:name="_Toc106706217"/>
      <w:bookmarkStart w:id="211" w:name="_Toc106706246"/>
      <w:bookmarkStart w:id="212" w:name="_Toc106707082"/>
      <w:bookmarkStart w:id="213" w:name="_Toc109648645"/>
      <w:bookmarkStart w:id="214" w:name="_Toc136427481"/>
      <w:bookmarkStart w:id="215" w:name="_Toc168582426"/>
      <w:bookmarkStart w:id="216" w:name="_Toc168649923"/>
      <w:bookmarkStart w:id="217" w:name="_Toc168654270"/>
      <w:bookmarkStart w:id="218" w:name="_Toc168659313"/>
      <w:bookmarkStart w:id="219" w:name="_Toc20070492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CCFB10C"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220" w:name="_Toc518559017"/>
      <w:bookmarkStart w:id="221" w:name="_Toc518559244"/>
      <w:bookmarkStart w:id="222" w:name="_Toc518562259"/>
      <w:bookmarkStart w:id="223" w:name="_Toc527191566"/>
      <w:bookmarkStart w:id="224" w:name="_Toc527191598"/>
      <w:bookmarkStart w:id="225" w:name="_Toc527191724"/>
      <w:bookmarkStart w:id="226" w:name="_Toc527192128"/>
      <w:bookmarkStart w:id="227" w:name="_Toc527192178"/>
      <w:bookmarkStart w:id="228" w:name="_Toc527530923"/>
      <w:bookmarkStart w:id="229" w:name="_Toc354460"/>
      <w:bookmarkStart w:id="230" w:name="_Toc516541"/>
      <w:bookmarkStart w:id="231" w:name="_Toc12009297"/>
      <w:bookmarkStart w:id="232" w:name="_Toc12014085"/>
      <w:bookmarkStart w:id="233" w:name="_Toc12014156"/>
      <w:bookmarkStart w:id="234" w:name="_Toc12014389"/>
      <w:bookmarkStart w:id="235" w:name="_Toc12014419"/>
      <w:bookmarkStart w:id="236" w:name="_Toc12014539"/>
      <w:bookmarkStart w:id="237" w:name="_Toc12016556"/>
      <w:bookmarkStart w:id="238" w:name="_Toc12260718"/>
      <w:bookmarkStart w:id="239" w:name="_Toc12533835"/>
      <w:bookmarkStart w:id="240" w:name="_Toc12534348"/>
      <w:bookmarkStart w:id="241" w:name="_Toc12536773"/>
      <w:bookmarkStart w:id="242" w:name="_Toc12536804"/>
      <w:bookmarkStart w:id="243" w:name="_Toc12541861"/>
      <w:bookmarkStart w:id="244" w:name="_Toc12876750"/>
      <w:bookmarkStart w:id="245" w:name="_Toc12955090"/>
      <w:bookmarkStart w:id="246" w:name="_Toc12963508"/>
      <w:bookmarkStart w:id="247" w:name="_Toc12976984"/>
      <w:bookmarkStart w:id="248" w:name="_Toc13476483"/>
      <w:bookmarkStart w:id="249" w:name="_Toc13478527"/>
      <w:bookmarkStart w:id="250" w:name="_Toc13653939"/>
      <w:bookmarkStart w:id="251" w:name="_Toc13653983"/>
      <w:bookmarkStart w:id="252" w:name="_Toc20906550"/>
      <w:bookmarkStart w:id="253" w:name="_Toc20914559"/>
      <w:bookmarkStart w:id="254" w:name="_Toc20914757"/>
      <w:bookmarkStart w:id="255" w:name="_Toc20914876"/>
      <w:bookmarkStart w:id="256" w:name="_Toc20920373"/>
      <w:bookmarkStart w:id="257" w:name="_Toc21076169"/>
      <w:bookmarkStart w:id="258" w:name="_Toc21076198"/>
      <w:bookmarkStart w:id="259" w:name="_Toc21076408"/>
      <w:bookmarkStart w:id="260" w:name="_Toc21076645"/>
      <w:bookmarkStart w:id="261" w:name="_Toc21076682"/>
      <w:bookmarkStart w:id="262" w:name="_Toc21076847"/>
      <w:bookmarkStart w:id="263" w:name="_Toc21076877"/>
      <w:bookmarkStart w:id="264" w:name="_Toc31801842"/>
      <w:bookmarkStart w:id="265" w:name="_Toc32317790"/>
      <w:bookmarkStart w:id="266" w:name="_Toc32317974"/>
      <w:bookmarkStart w:id="267" w:name="_Toc32329850"/>
      <w:bookmarkStart w:id="268" w:name="_Toc32330009"/>
      <w:bookmarkStart w:id="269" w:name="_Toc32408367"/>
      <w:bookmarkStart w:id="270" w:name="_Toc32414953"/>
      <w:bookmarkStart w:id="271" w:name="_Toc33087735"/>
      <w:bookmarkStart w:id="272" w:name="_Toc33537244"/>
      <w:bookmarkStart w:id="273" w:name="_Toc33537275"/>
      <w:bookmarkStart w:id="274" w:name="_Toc33689411"/>
      <w:bookmarkStart w:id="275" w:name="_Toc33709884"/>
      <w:bookmarkStart w:id="276" w:name="_Toc51663656"/>
      <w:bookmarkStart w:id="277" w:name="_Toc51665214"/>
      <w:bookmarkStart w:id="278" w:name="_Toc51665732"/>
      <w:bookmarkStart w:id="279" w:name="_Toc51665839"/>
      <w:bookmarkStart w:id="280" w:name="_Toc51666034"/>
      <w:bookmarkStart w:id="281" w:name="_Toc51682362"/>
      <w:bookmarkStart w:id="282" w:name="_Toc51682503"/>
      <w:bookmarkStart w:id="283" w:name="_Toc52372750"/>
      <w:bookmarkStart w:id="284" w:name="_Toc52372877"/>
      <w:bookmarkStart w:id="285" w:name="_Toc53495378"/>
      <w:bookmarkStart w:id="286" w:name="_Toc56674438"/>
      <w:bookmarkStart w:id="287" w:name="_Toc56674471"/>
      <w:bookmarkStart w:id="288" w:name="_Toc63755894"/>
      <w:bookmarkStart w:id="289" w:name="_Toc63757088"/>
      <w:bookmarkStart w:id="290" w:name="_Toc65680639"/>
      <w:bookmarkStart w:id="291" w:name="_Toc76386754"/>
      <w:bookmarkStart w:id="292" w:name="_Toc76386803"/>
      <w:bookmarkStart w:id="293" w:name="_Toc76642306"/>
      <w:bookmarkStart w:id="294" w:name="_Toc76644138"/>
      <w:bookmarkStart w:id="295" w:name="_Toc84421981"/>
      <w:bookmarkStart w:id="296" w:name="_Toc84514358"/>
      <w:bookmarkStart w:id="297" w:name="_Toc84514850"/>
      <w:bookmarkStart w:id="298" w:name="_Toc84515083"/>
      <w:bookmarkStart w:id="299" w:name="_Toc84515308"/>
      <w:bookmarkStart w:id="300" w:name="_Toc84515341"/>
      <w:bookmarkStart w:id="301" w:name="_Toc106355911"/>
      <w:bookmarkStart w:id="302" w:name="_Toc106616401"/>
      <w:bookmarkStart w:id="303" w:name="_Toc106706218"/>
      <w:bookmarkStart w:id="304" w:name="_Toc106706247"/>
      <w:bookmarkStart w:id="305" w:name="_Toc106707083"/>
      <w:bookmarkStart w:id="306" w:name="_Toc109648646"/>
      <w:bookmarkStart w:id="307" w:name="_Toc136427482"/>
      <w:bookmarkStart w:id="308" w:name="_Toc168582427"/>
      <w:bookmarkStart w:id="309" w:name="_Toc168649924"/>
      <w:bookmarkStart w:id="310" w:name="_Toc168654271"/>
      <w:bookmarkStart w:id="311" w:name="_Toc168659314"/>
      <w:bookmarkStart w:id="312" w:name="_Toc200704921"/>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6C7FA9F" w14:textId="77777777" w:rsidR="00D7139A" w:rsidRPr="00E24ECC" w:rsidRDefault="00D7139A" w:rsidP="00954232">
      <w:pPr>
        <w:pStyle w:val="ListParagraph"/>
        <w:keepNext/>
        <w:numPr>
          <w:ilvl w:val="1"/>
          <w:numId w:val="13"/>
        </w:numPr>
        <w:spacing w:before="240" w:after="60" w:line="276" w:lineRule="auto"/>
        <w:contextualSpacing w:val="0"/>
        <w:outlineLvl w:val="1"/>
        <w:rPr>
          <w:rFonts w:ascii="Arial" w:eastAsia="Calibri" w:hAnsi="Arial" w:cs="Arial"/>
          <w:b/>
          <w:bCs/>
          <w:i/>
          <w:iCs/>
          <w:noProof/>
          <w:vanish/>
          <w:sz w:val="24"/>
          <w:szCs w:val="24"/>
          <w:lang w:val="sq-AL" w:eastAsia="sq-AL"/>
        </w:rPr>
      </w:pPr>
      <w:bookmarkStart w:id="313" w:name="_Toc518559018"/>
      <w:bookmarkStart w:id="314" w:name="_Toc518559245"/>
      <w:bookmarkStart w:id="315" w:name="_Toc518562260"/>
      <w:bookmarkStart w:id="316" w:name="_Toc527191567"/>
      <w:bookmarkStart w:id="317" w:name="_Toc527191599"/>
      <w:bookmarkStart w:id="318" w:name="_Toc527191725"/>
      <w:bookmarkStart w:id="319" w:name="_Toc527192129"/>
      <w:bookmarkStart w:id="320" w:name="_Toc527192179"/>
      <w:bookmarkStart w:id="321" w:name="_Toc527530924"/>
      <w:bookmarkStart w:id="322" w:name="_Toc354461"/>
      <w:bookmarkStart w:id="323" w:name="_Toc516542"/>
      <w:bookmarkStart w:id="324" w:name="_Toc12009298"/>
      <w:bookmarkStart w:id="325" w:name="_Toc12014086"/>
      <w:bookmarkStart w:id="326" w:name="_Toc12014157"/>
      <w:bookmarkStart w:id="327" w:name="_Toc12014390"/>
      <w:bookmarkStart w:id="328" w:name="_Toc12014420"/>
      <w:bookmarkStart w:id="329" w:name="_Toc12014540"/>
      <w:bookmarkStart w:id="330" w:name="_Toc12016557"/>
      <w:bookmarkStart w:id="331" w:name="_Toc12260719"/>
      <w:bookmarkStart w:id="332" w:name="_Toc12533836"/>
      <w:bookmarkStart w:id="333" w:name="_Toc12534349"/>
      <w:bookmarkStart w:id="334" w:name="_Toc12536774"/>
      <w:bookmarkStart w:id="335" w:name="_Toc12536805"/>
      <w:bookmarkStart w:id="336" w:name="_Toc12541862"/>
      <w:bookmarkStart w:id="337" w:name="_Toc12876751"/>
      <w:bookmarkStart w:id="338" w:name="_Toc12955091"/>
      <w:bookmarkStart w:id="339" w:name="_Toc12963509"/>
      <w:bookmarkStart w:id="340" w:name="_Toc12976985"/>
      <w:bookmarkStart w:id="341" w:name="_Toc13476484"/>
      <w:bookmarkStart w:id="342" w:name="_Toc13478528"/>
      <w:bookmarkStart w:id="343" w:name="_Toc13653940"/>
      <w:bookmarkStart w:id="344" w:name="_Toc13653984"/>
      <w:bookmarkStart w:id="345" w:name="_Toc20906551"/>
      <w:bookmarkStart w:id="346" w:name="_Toc20914560"/>
      <w:bookmarkStart w:id="347" w:name="_Toc20914758"/>
      <w:bookmarkStart w:id="348" w:name="_Toc20914877"/>
      <w:bookmarkStart w:id="349" w:name="_Toc20920374"/>
      <w:bookmarkStart w:id="350" w:name="_Toc21076170"/>
      <w:bookmarkStart w:id="351" w:name="_Toc21076199"/>
      <w:bookmarkStart w:id="352" w:name="_Toc21076409"/>
      <w:bookmarkStart w:id="353" w:name="_Toc21076646"/>
      <w:bookmarkStart w:id="354" w:name="_Toc21076683"/>
      <w:bookmarkStart w:id="355" w:name="_Toc21076848"/>
      <w:bookmarkStart w:id="356" w:name="_Toc21076878"/>
      <w:bookmarkStart w:id="357" w:name="_Toc31801843"/>
      <w:bookmarkStart w:id="358" w:name="_Toc32317791"/>
      <w:bookmarkStart w:id="359" w:name="_Toc32317975"/>
      <w:bookmarkStart w:id="360" w:name="_Toc32329851"/>
      <w:bookmarkStart w:id="361" w:name="_Toc32330010"/>
      <w:bookmarkStart w:id="362" w:name="_Toc32408368"/>
      <w:bookmarkStart w:id="363" w:name="_Toc32414954"/>
      <w:bookmarkStart w:id="364" w:name="_Toc33087736"/>
      <w:bookmarkStart w:id="365" w:name="_Toc33537245"/>
      <w:bookmarkStart w:id="366" w:name="_Toc33537276"/>
      <w:bookmarkStart w:id="367" w:name="_Toc33689412"/>
      <w:bookmarkStart w:id="368" w:name="_Toc33709885"/>
      <w:bookmarkStart w:id="369" w:name="_Toc51663657"/>
      <w:bookmarkStart w:id="370" w:name="_Toc51665215"/>
      <w:bookmarkStart w:id="371" w:name="_Toc51665733"/>
      <w:bookmarkStart w:id="372" w:name="_Toc51665840"/>
      <w:bookmarkStart w:id="373" w:name="_Toc51666035"/>
      <w:bookmarkStart w:id="374" w:name="_Toc51682363"/>
      <w:bookmarkStart w:id="375" w:name="_Toc51682504"/>
      <w:bookmarkStart w:id="376" w:name="_Toc52372751"/>
      <w:bookmarkStart w:id="377" w:name="_Toc52372878"/>
      <w:bookmarkStart w:id="378" w:name="_Toc53495379"/>
      <w:bookmarkStart w:id="379" w:name="_Toc56674439"/>
      <w:bookmarkStart w:id="380" w:name="_Toc56674472"/>
      <w:bookmarkStart w:id="381" w:name="_Toc63755895"/>
      <w:bookmarkStart w:id="382" w:name="_Toc63757089"/>
      <w:bookmarkStart w:id="383" w:name="_Toc65680640"/>
      <w:bookmarkStart w:id="384" w:name="_Toc76386755"/>
      <w:bookmarkStart w:id="385" w:name="_Toc76386804"/>
      <w:bookmarkStart w:id="386" w:name="_Toc76642307"/>
      <w:bookmarkStart w:id="387" w:name="_Toc76644139"/>
      <w:bookmarkStart w:id="388" w:name="_Toc84421982"/>
      <w:bookmarkStart w:id="389" w:name="_Toc84514359"/>
      <w:bookmarkStart w:id="390" w:name="_Toc84514851"/>
      <w:bookmarkStart w:id="391" w:name="_Toc84515084"/>
      <w:bookmarkStart w:id="392" w:name="_Toc84515309"/>
      <w:bookmarkStart w:id="393" w:name="_Toc84515342"/>
      <w:bookmarkStart w:id="394" w:name="_Toc106355912"/>
      <w:bookmarkStart w:id="395" w:name="_Toc106616402"/>
      <w:bookmarkStart w:id="396" w:name="_Toc106706219"/>
      <w:bookmarkStart w:id="397" w:name="_Toc106706248"/>
      <w:bookmarkStart w:id="398" w:name="_Toc106707084"/>
      <w:bookmarkStart w:id="399" w:name="_Toc109648647"/>
      <w:bookmarkStart w:id="400" w:name="_Toc136427483"/>
      <w:bookmarkStart w:id="401" w:name="_Toc168582428"/>
      <w:bookmarkStart w:id="402" w:name="_Toc168649925"/>
      <w:bookmarkStart w:id="403" w:name="_Toc168654272"/>
      <w:bookmarkStart w:id="404" w:name="_Toc168659315"/>
      <w:bookmarkStart w:id="405" w:name="_Toc20070492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0E65065" w14:textId="77777777" w:rsidR="00567343" w:rsidRPr="00E24ECC" w:rsidRDefault="00C04AB3" w:rsidP="00954232">
      <w:pPr>
        <w:pStyle w:val="Heading2"/>
        <w:numPr>
          <w:ilvl w:val="1"/>
          <w:numId w:val="15"/>
        </w:numPr>
        <w:spacing w:line="276" w:lineRule="auto"/>
        <w:rPr>
          <w:rFonts w:ascii="Cambria" w:eastAsia="Calibri" w:hAnsi="Cambria"/>
          <w:i w:val="0"/>
          <w:sz w:val="24"/>
          <w:szCs w:val="24"/>
          <w:lang w:val="sq-AL"/>
        </w:rPr>
      </w:pPr>
      <w:bookmarkStart w:id="406" w:name="_Toc200704923"/>
      <w:r w:rsidRPr="00E24ECC">
        <w:rPr>
          <w:rFonts w:ascii="Cambria" w:eastAsia="Calibri" w:hAnsi="Cambria"/>
          <w:i w:val="0"/>
          <w:sz w:val="24"/>
          <w:szCs w:val="24"/>
          <w:lang w:val="sq-AL"/>
        </w:rPr>
        <w:t>MINISTRIA E BRENDSHME</w:t>
      </w:r>
      <w:bookmarkEnd w:id="406"/>
    </w:p>
    <w:p w14:paraId="5EA71A17" w14:textId="77777777" w:rsidR="00ED3242" w:rsidRPr="00E24ECC" w:rsidRDefault="00ED3242" w:rsidP="00ED3242">
      <w:pPr>
        <w:rPr>
          <w:lang w:val="sq-AL" w:eastAsia="sq-AL"/>
        </w:rPr>
      </w:pPr>
    </w:p>
    <w:p w14:paraId="38BD9761" w14:textId="77777777" w:rsidR="00DA0FE5" w:rsidRPr="00DA0FE5" w:rsidRDefault="00DA0FE5" w:rsidP="00DA0FE5">
      <w:pPr>
        <w:spacing w:after="20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14:paraId="5C6542DF" w14:textId="77777777" w:rsidR="00DA0FE5" w:rsidRPr="00DA0FE5" w:rsidRDefault="00DA0FE5" w:rsidP="00DA0FE5">
      <w:pPr>
        <w:spacing w:after="20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Shpenzimet për Ministrinë e Brendshme në vlerë nominale, në përqindje ndaj PBB dhe në përqindje ndaj shpenzimeve të përgjithshme të qeverisë për periudhën 2026-2028, paraqiten në tabelën e mëposhtme</w:t>
      </w:r>
    </w:p>
    <w:p w14:paraId="33C34EA9" w14:textId="6A626CE3" w:rsidR="00DA0FE5" w:rsidRPr="00DA0FE5" w:rsidRDefault="00DA0FE5" w:rsidP="00DA0FE5">
      <w:pPr>
        <w:spacing w:after="200" w:line="276" w:lineRule="auto"/>
        <w:jc w:val="both"/>
        <w:rPr>
          <w:rFonts w:ascii="Cambria" w:eastAsia="Times New Roman" w:hAnsi="Cambria" w:cs="Arial"/>
          <w:b/>
          <w:bCs/>
          <w:color w:val="156082"/>
          <w:sz w:val="24"/>
          <w:szCs w:val="24"/>
          <w:lang w:val="sq-AL"/>
        </w:rPr>
      </w:pPr>
      <w:r w:rsidRPr="00DA0FE5">
        <w:rPr>
          <w:rFonts w:ascii="Cambria" w:eastAsia="Times New Roman" w:hAnsi="Cambria" w:cs="Arial"/>
          <w:b/>
          <w:bCs/>
          <w:color w:val="156082"/>
          <w:sz w:val="24"/>
          <w:szCs w:val="24"/>
          <w:lang w:val="sq-AL"/>
        </w:rPr>
        <w:t xml:space="preserve">Tabela </w:t>
      </w:r>
      <w:r w:rsidRPr="00DA0FE5">
        <w:rPr>
          <w:rFonts w:ascii="Cambria" w:eastAsia="Times New Roman" w:hAnsi="Cambria" w:cs="Arial"/>
          <w:b/>
          <w:bCs/>
          <w:color w:val="156082"/>
          <w:sz w:val="24"/>
          <w:szCs w:val="24"/>
          <w:lang w:val="sq-AL"/>
        </w:rPr>
        <w:fldChar w:fldCharType="begin"/>
      </w:r>
      <w:r w:rsidRPr="00DA0FE5">
        <w:rPr>
          <w:rFonts w:ascii="Cambria" w:eastAsia="Times New Roman" w:hAnsi="Cambria" w:cs="Arial"/>
          <w:b/>
          <w:bCs/>
          <w:color w:val="156082"/>
          <w:sz w:val="24"/>
          <w:szCs w:val="24"/>
          <w:lang w:val="sq-AL"/>
        </w:rPr>
        <w:instrText xml:space="preserve"> SEQ Tabela \* ARABIC </w:instrText>
      </w:r>
      <w:r w:rsidRPr="00DA0FE5">
        <w:rPr>
          <w:rFonts w:ascii="Cambria" w:eastAsia="Times New Roman" w:hAnsi="Cambria" w:cs="Arial"/>
          <w:b/>
          <w:bCs/>
          <w:color w:val="156082"/>
          <w:sz w:val="24"/>
          <w:szCs w:val="24"/>
          <w:lang w:val="sq-AL"/>
        </w:rPr>
        <w:fldChar w:fldCharType="separate"/>
      </w:r>
      <w:r w:rsidR="009113BE">
        <w:rPr>
          <w:rFonts w:ascii="Cambria" w:eastAsia="Times New Roman" w:hAnsi="Cambria" w:cs="Arial"/>
          <w:b/>
          <w:bCs/>
          <w:noProof/>
          <w:color w:val="156082"/>
          <w:sz w:val="24"/>
          <w:szCs w:val="24"/>
          <w:lang w:val="sq-AL"/>
        </w:rPr>
        <w:t>17</w:t>
      </w:r>
      <w:r w:rsidRPr="00DA0FE5">
        <w:rPr>
          <w:rFonts w:ascii="Cambria" w:eastAsia="Times New Roman" w:hAnsi="Cambria" w:cs="Arial"/>
          <w:b/>
          <w:bCs/>
          <w:color w:val="156082"/>
          <w:sz w:val="24"/>
          <w:szCs w:val="24"/>
          <w:lang w:val="sq-AL"/>
        </w:rPr>
        <w:fldChar w:fldCharType="end"/>
      </w:r>
      <w:r w:rsidRPr="00DA0FE5">
        <w:rPr>
          <w:rFonts w:ascii="Cambria" w:eastAsia="Times New Roman" w:hAnsi="Cambria" w:cs="Arial"/>
          <w:b/>
          <w:bCs/>
          <w:color w:val="156082"/>
          <w:sz w:val="24"/>
          <w:szCs w:val="24"/>
          <w:lang w:val="sq-AL"/>
        </w:rPr>
        <w:t>: Shpenzimet për Ministrinë e Brendshme për vitet 2026-2028</w:t>
      </w:r>
    </w:p>
    <w:p w14:paraId="66AD8794" w14:textId="77777777" w:rsidR="00DA0FE5" w:rsidRPr="00DA0FE5" w:rsidRDefault="00DA0FE5" w:rsidP="00DA0FE5">
      <w:pPr>
        <w:spacing w:after="200" w:line="276" w:lineRule="auto"/>
        <w:ind w:hanging="360"/>
        <w:jc w:val="center"/>
        <w:rPr>
          <w:rFonts w:ascii="Cambria" w:eastAsia="Calibri" w:hAnsi="Cambria" w:cs="Times New Roman"/>
          <w:sz w:val="24"/>
          <w:szCs w:val="24"/>
          <w:lang w:val="sq-AL"/>
        </w:rPr>
      </w:pPr>
      <w:r w:rsidRPr="00DA0FE5">
        <w:rPr>
          <w:rFonts w:ascii="Aptos" w:eastAsia="Times New Roman" w:hAnsi="Aptos" w:cs="Times New Roman"/>
          <w:noProof/>
          <w:lang w:val="sq-AL"/>
        </w:rPr>
        <w:drawing>
          <wp:inline distT="0" distB="0" distL="0" distR="0" wp14:anchorId="7A796C3E" wp14:editId="1F3A872D">
            <wp:extent cx="5943600" cy="1503680"/>
            <wp:effectExtent l="0" t="0" r="0" b="1270"/>
            <wp:docPr id="145852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503680"/>
                    </a:xfrm>
                    <a:prstGeom prst="rect">
                      <a:avLst/>
                    </a:prstGeom>
                    <a:noFill/>
                    <a:ln>
                      <a:noFill/>
                    </a:ln>
                  </pic:spPr>
                </pic:pic>
              </a:graphicData>
            </a:graphic>
          </wp:inline>
        </w:drawing>
      </w:r>
    </w:p>
    <w:p w14:paraId="2A371EF8" w14:textId="77777777" w:rsidR="00DA0FE5" w:rsidRPr="00DA0FE5" w:rsidRDefault="00DA0FE5" w:rsidP="00DA0FE5">
      <w:pPr>
        <w:spacing w:after="200" w:line="276" w:lineRule="auto"/>
        <w:jc w:val="both"/>
        <w:rPr>
          <w:rFonts w:ascii="Cambria" w:eastAsia="Calibri" w:hAnsi="Cambria" w:cs="Times New Roman"/>
          <w:sz w:val="24"/>
          <w:szCs w:val="24"/>
          <w:lang w:val="sq-AL"/>
        </w:rPr>
      </w:pPr>
    </w:p>
    <w:p w14:paraId="1FABE0A5" w14:textId="77777777" w:rsidR="00DA0FE5" w:rsidRPr="00E24ECC" w:rsidRDefault="00DA0FE5" w:rsidP="00DA0FE5">
      <w:pPr>
        <w:pStyle w:val="Heading3"/>
        <w:rPr>
          <w:rFonts w:ascii="Cambria" w:hAnsi="Cambria"/>
          <w:b/>
          <w:bCs/>
          <w:color w:val="auto"/>
          <w:lang w:val="sq-AL"/>
        </w:rPr>
      </w:pPr>
      <w:r w:rsidRPr="00E24ECC">
        <w:rPr>
          <w:rFonts w:ascii="Cambria" w:hAnsi="Cambria"/>
          <w:b/>
          <w:bCs/>
          <w:color w:val="auto"/>
          <w:lang w:val="sq-AL"/>
        </w:rPr>
        <w:t>Prioritetet për periudhën 2026-2028</w:t>
      </w:r>
    </w:p>
    <w:p w14:paraId="1FD5D789" w14:textId="77777777" w:rsidR="00DA0FE5" w:rsidRPr="00DA0FE5" w:rsidRDefault="00DA0FE5" w:rsidP="00DA0FE5">
      <w:pPr>
        <w:spacing w:line="276" w:lineRule="auto"/>
        <w:jc w:val="both"/>
        <w:rPr>
          <w:rFonts w:ascii="Cambria" w:eastAsia="Times New Roman" w:hAnsi="Cambria" w:cs="Times New Roman"/>
          <w:sz w:val="24"/>
          <w:szCs w:val="24"/>
          <w:lang w:val="sq-AL"/>
        </w:rPr>
      </w:pPr>
    </w:p>
    <w:p w14:paraId="69BA6215" w14:textId="77777777" w:rsidR="00DA0FE5" w:rsidRPr="00DA0FE5" w:rsidRDefault="00DA0FE5" w:rsidP="00DA0FE5">
      <w:pPr>
        <w:spacing w:after="20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 xml:space="preserve">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w:t>
      </w:r>
      <w:r w:rsidRPr="00DA0FE5">
        <w:rPr>
          <w:rFonts w:ascii="Cambria" w:eastAsia="Calibri" w:hAnsi="Cambria" w:cs="Times New Roman"/>
          <w:sz w:val="24"/>
          <w:szCs w:val="24"/>
          <w:lang w:val="sq-AL"/>
        </w:rPr>
        <w:lastRenderedPageBreak/>
        <w:t xml:space="preserve">efektiv të tij dhe transformimin rrënjësor të marrëdhënieve dhe shërbimit ndaj komunitetit. 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2E51AC20" w14:textId="77777777" w:rsidR="00DA0FE5" w:rsidRPr="00DA0FE5" w:rsidRDefault="00DA0FE5" w:rsidP="00DA0FE5">
      <w:pPr>
        <w:spacing w:after="20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0E452211" w14:textId="35E34C5C" w:rsidR="00DA0FE5" w:rsidRPr="00DA0FE5" w:rsidRDefault="00DA0FE5" w:rsidP="00DA0FE5">
      <w:pPr>
        <w:spacing w:after="200" w:line="276" w:lineRule="auto"/>
        <w:jc w:val="both"/>
        <w:rPr>
          <w:rFonts w:ascii="Cambria" w:eastAsia="Calibri" w:hAnsi="Cambria" w:cs="Times New Roman"/>
          <w:b/>
          <w:bCs/>
          <w:color w:val="156082"/>
          <w:sz w:val="24"/>
          <w:szCs w:val="24"/>
          <w:lang w:val="sq-AL"/>
        </w:rPr>
      </w:pPr>
      <w:r w:rsidRPr="00DA0FE5">
        <w:rPr>
          <w:rFonts w:ascii="Cambria" w:eastAsia="Times New Roman" w:hAnsi="Cambria" w:cs="Arial"/>
          <w:b/>
          <w:bCs/>
          <w:color w:val="156082"/>
          <w:sz w:val="24"/>
          <w:szCs w:val="24"/>
          <w:lang w:val="sq-AL"/>
        </w:rPr>
        <w:t xml:space="preserve">Tabela </w:t>
      </w:r>
      <w:r w:rsidRPr="00DA0FE5">
        <w:rPr>
          <w:rFonts w:ascii="Cambria" w:eastAsia="Times New Roman" w:hAnsi="Cambria" w:cs="Arial"/>
          <w:b/>
          <w:bCs/>
          <w:color w:val="156082"/>
          <w:sz w:val="24"/>
          <w:szCs w:val="24"/>
          <w:lang w:val="sq-AL"/>
        </w:rPr>
        <w:fldChar w:fldCharType="begin"/>
      </w:r>
      <w:r w:rsidRPr="00DA0FE5">
        <w:rPr>
          <w:rFonts w:ascii="Cambria" w:eastAsia="Times New Roman" w:hAnsi="Cambria" w:cs="Arial"/>
          <w:b/>
          <w:bCs/>
          <w:color w:val="156082"/>
          <w:sz w:val="24"/>
          <w:szCs w:val="24"/>
          <w:lang w:val="sq-AL"/>
        </w:rPr>
        <w:instrText xml:space="preserve"> SEQ Tabela \* ARABIC </w:instrText>
      </w:r>
      <w:r w:rsidRPr="00DA0FE5">
        <w:rPr>
          <w:rFonts w:ascii="Cambria" w:eastAsia="Times New Roman" w:hAnsi="Cambria" w:cs="Arial"/>
          <w:b/>
          <w:bCs/>
          <w:color w:val="156082"/>
          <w:sz w:val="24"/>
          <w:szCs w:val="24"/>
          <w:lang w:val="sq-AL"/>
        </w:rPr>
        <w:fldChar w:fldCharType="separate"/>
      </w:r>
      <w:r w:rsidR="009113BE">
        <w:rPr>
          <w:rFonts w:ascii="Cambria" w:eastAsia="Times New Roman" w:hAnsi="Cambria" w:cs="Arial"/>
          <w:b/>
          <w:bCs/>
          <w:noProof/>
          <w:color w:val="156082"/>
          <w:sz w:val="24"/>
          <w:szCs w:val="24"/>
          <w:lang w:val="sq-AL"/>
        </w:rPr>
        <w:t>18</w:t>
      </w:r>
      <w:r w:rsidRPr="00DA0FE5">
        <w:rPr>
          <w:rFonts w:ascii="Cambria" w:eastAsia="Times New Roman" w:hAnsi="Cambria" w:cs="Arial"/>
          <w:b/>
          <w:bCs/>
          <w:color w:val="156082"/>
          <w:sz w:val="24"/>
          <w:szCs w:val="24"/>
          <w:lang w:val="sq-AL"/>
        </w:rPr>
        <w:fldChar w:fldCharType="end"/>
      </w:r>
      <w:r w:rsidRPr="00DA0FE5">
        <w:rPr>
          <w:rFonts w:ascii="Cambria" w:eastAsia="Times New Roman" w:hAnsi="Cambria" w:cs="Arial"/>
          <w:b/>
          <w:bCs/>
          <w:color w:val="156082"/>
          <w:sz w:val="24"/>
          <w:szCs w:val="24"/>
          <w:lang w:val="sq-AL"/>
        </w:rPr>
        <w:t xml:space="preserve">: Shpenzimet për Ministrinë e Brendshme </w:t>
      </w:r>
      <w:bookmarkStart w:id="407" w:name="_Hlk189816590"/>
      <w:r w:rsidRPr="00DA0FE5">
        <w:rPr>
          <w:rFonts w:ascii="Cambria" w:eastAsia="Times New Roman" w:hAnsi="Cambria" w:cs="Arial"/>
          <w:b/>
          <w:bCs/>
          <w:color w:val="156082"/>
          <w:sz w:val="24"/>
          <w:szCs w:val="24"/>
          <w:lang w:val="sq-AL"/>
        </w:rPr>
        <w:t>sipas programeve buxhetore dhe sipas artikujve ekonomikë</w:t>
      </w:r>
    </w:p>
    <w:bookmarkEnd w:id="407"/>
    <w:p w14:paraId="0D38A2DF" w14:textId="77777777" w:rsidR="00DA0FE5" w:rsidRPr="00DA0FE5" w:rsidRDefault="00DA0FE5" w:rsidP="00DA0FE5">
      <w:pPr>
        <w:spacing w:after="200" w:line="276" w:lineRule="auto"/>
        <w:ind w:left="-567" w:firstLine="297"/>
        <w:jc w:val="right"/>
        <w:rPr>
          <w:rFonts w:ascii="Cambria" w:eastAsia="Calibri" w:hAnsi="Cambria" w:cs="Times New Roman"/>
          <w:sz w:val="24"/>
          <w:szCs w:val="24"/>
          <w:lang w:val="sq-AL"/>
        </w:rPr>
      </w:pPr>
      <w:r w:rsidRPr="00DA0FE5">
        <w:rPr>
          <w:rFonts w:ascii="Aptos" w:eastAsia="Times New Roman" w:hAnsi="Aptos" w:cs="Times New Roman"/>
          <w:noProof/>
          <w:lang w:val="sq-AL"/>
        </w:rPr>
        <w:drawing>
          <wp:inline distT="0" distB="0" distL="0" distR="0" wp14:anchorId="23609E8B" wp14:editId="4CAF0221">
            <wp:extent cx="5771515" cy="4977516"/>
            <wp:effectExtent l="0" t="0" r="635" b="0"/>
            <wp:docPr id="1141713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90028" cy="4993482"/>
                    </a:xfrm>
                    <a:prstGeom prst="rect">
                      <a:avLst/>
                    </a:prstGeom>
                    <a:noFill/>
                    <a:ln>
                      <a:noFill/>
                    </a:ln>
                  </pic:spPr>
                </pic:pic>
              </a:graphicData>
            </a:graphic>
          </wp:inline>
        </w:drawing>
      </w:r>
    </w:p>
    <w:p w14:paraId="50CCFD6F" w14:textId="77777777" w:rsidR="00DA0FE5" w:rsidRPr="00E24ECC" w:rsidRDefault="00DA0FE5" w:rsidP="00DA0FE5">
      <w:pPr>
        <w:pStyle w:val="Heading3"/>
        <w:rPr>
          <w:rFonts w:ascii="Cambria" w:hAnsi="Cambria"/>
          <w:b/>
          <w:bCs/>
          <w:color w:val="auto"/>
          <w:lang w:val="sq-AL"/>
        </w:rPr>
      </w:pPr>
      <w:r w:rsidRPr="00E24ECC">
        <w:rPr>
          <w:rFonts w:ascii="Cambria" w:hAnsi="Cambria"/>
          <w:b/>
          <w:bCs/>
          <w:color w:val="auto"/>
          <w:lang w:val="sq-AL"/>
        </w:rPr>
        <w:lastRenderedPageBreak/>
        <w:t>Përmbledhje e Treguesve Kyç të Performancës</w:t>
      </w:r>
    </w:p>
    <w:p w14:paraId="63235C8B" w14:textId="77777777" w:rsidR="00DA0FE5" w:rsidRPr="00DA0FE5" w:rsidRDefault="00DA0FE5" w:rsidP="00DA0FE5">
      <w:pPr>
        <w:spacing w:line="276" w:lineRule="auto"/>
        <w:jc w:val="both"/>
        <w:rPr>
          <w:rFonts w:ascii="Cambria" w:eastAsia="Times New Roman" w:hAnsi="Cambria" w:cs="Times New Roman"/>
          <w:sz w:val="24"/>
          <w:szCs w:val="24"/>
          <w:lang w:val="sq-AL"/>
        </w:rPr>
      </w:pPr>
    </w:p>
    <w:p w14:paraId="5EA23CCD" w14:textId="77777777" w:rsidR="00DA0FE5" w:rsidRPr="00DA0FE5" w:rsidRDefault="00DA0FE5" w:rsidP="00DA0FE5">
      <w:pPr>
        <w:spacing w:after="20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Përgjatë 3 viteve të PBA 2026-2028, Ministria e Brendshme do të përmbushë objektivat e saj përmes:</w:t>
      </w:r>
    </w:p>
    <w:p w14:paraId="11036B6D"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bookmarkStart w:id="408" w:name="_Hlk115098998"/>
      <w:r w:rsidRPr="00DA0FE5">
        <w:rPr>
          <w:rFonts w:ascii="Cambria" w:eastAsia="Calibri" w:hAnsi="Cambria" w:cs="Times New Roman"/>
          <w:sz w:val="24"/>
          <w:szCs w:val="24"/>
          <w:lang w:val="sq-AL"/>
        </w:rPr>
        <w:t>Rritja e sigurisë publike dhe sigurisë rrugore përmes patrullimeve në rrugë dhe forcimi i kontrollit të territorit me policimin në komunitet duke synuar shpejtësinë  e reagimit të shërbimeve policore në 13 minuta për vitet 2026-2028;</w:t>
      </w:r>
    </w:p>
    <w:p w14:paraId="4B3CFE1A"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operacioneve policore të hetuara dhe shërbime të kryera mesatarisht në 40,526 operacione përgjatë periudhës 2026-2028;</w:t>
      </w:r>
    </w:p>
    <w:p w14:paraId="7DED0C8D"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Operacioneve të posacme konvencionale mesatarisht 279 operacione përgjatë periudhës 2026-2028;</w:t>
      </w:r>
    </w:p>
    <w:p w14:paraId="0A0766A6"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sigurisë rrugore përmes patrullimeve në rrugë dhe forcimi i kontrollit të territorit me policimin në komunitet. Synohet ulja e numrit të aksidenteve në rrugë si dhe ulja e numrit të aksidenteve rrugore me pasojë vdekjen;</w:t>
      </w:r>
    </w:p>
    <w:p w14:paraId="58F9B7A9"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Operacioneve të forcave  speciale  për kapjen e autorëve të veprave të rënda kriminale në 265 operacione në vitin 2028 nga 200 operacione që parashikohen në vitin 2025;</w:t>
      </w:r>
    </w:p>
    <w:p w14:paraId="7F07A190"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Reduktimit të kohës së reagimit ndaj krimeve të dhunës në familje 13 minuta për vitet 2026-2028;</w:t>
      </w:r>
    </w:p>
    <w:p w14:paraId="62CE02FA"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hetimeve proaktive në fushën kundër korrupsionit  dhe veprave penale në detyrë nga 421 hetime në vitin 2025 në 440 hetime në vitin 2028;</w:t>
      </w:r>
    </w:p>
    <w:p w14:paraId="14551FCB"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hetimeve proaktive për pastrimin e produkteve (PP) të veprës penale ndaj totalit të hetimeve, nga 253 hetime në vitin 2025 në 280 hetime në vitin 2028;</w:t>
      </w:r>
    </w:p>
    <w:p w14:paraId="20B16299"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Parandalimit i veprave të rënda Kriminale (vrasje), duke synuar uljen e rasteve me 2% krahasuar një vitin paraardhës;</w:t>
      </w:r>
    </w:p>
    <w:p w14:paraId="458BBA2D" w14:textId="77777777" w:rsidR="007B72FA" w:rsidRPr="00E24ECC"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hetimeve proaktive për individe dhe grupe me tendenca terroriste me 8% në vitin 2028;</w:t>
      </w:r>
    </w:p>
    <w:p w14:paraId="0385D216" w14:textId="45992515"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Rritja e numrit të punonjësve të policisë femra n</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strukturat e Policis</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s</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shtetit nga 1805 n</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vitin 2025 n</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2000 punonj</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se n</w:t>
      </w:r>
      <w:r w:rsidR="00E20FB6">
        <w:rPr>
          <w:rFonts w:ascii="Cambria" w:eastAsia="Calibri" w:hAnsi="Cambria" w:cs="Times New Roman"/>
          <w:sz w:val="24"/>
          <w:szCs w:val="24"/>
          <w:lang w:val="sq-AL"/>
        </w:rPr>
        <w:t>ë</w:t>
      </w:r>
      <w:r w:rsidRPr="00DA0FE5">
        <w:rPr>
          <w:rFonts w:ascii="Cambria" w:eastAsia="Calibri" w:hAnsi="Cambria" w:cs="Times New Roman"/>
          <w:sz w:val="24"/>
          <w:szCs w:val="24"/>
          <w:lang w:val="sq-AL"/>
        </w:rPr>
        <w:t xml:space="preserve"> vitin 2028;</w:t>
      </w:r>
    </w:p>
    <w:p w14:paraId="3FD93FBA"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Ulja e rasteve të trafikimit të lëndevë të parregullta në Kufi, duke synuar në 28 raste për vitin 2028;</w:t>
      </w:r>
    </w:p>
    <w:p w14:paraId="0C6EA315"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Të kontribuojë në përmirësimin e vazhdueshëm të Sigurise së Personaliteteve Vendas dhe të Huaj si edhe Sigurisë së Objekteve të Rëndësisë së Veçantë në përputhje me standardet europiane, konkretisht në zbatimin e standardin Gjerman;</w:t>
      </w:r>
    </w:p>
    <w:p w14:paraId="0B730E4F" w14:textId="77777777" w:rsidR="00DA0FE5" w:rsidRPr="00DA0FE5" w:rsidRDefault="00DA0FE5" w:rsidP="00954232">
      <w:pPr>
        <w:numPr>
          <w:ilvl w:val="0"/>
          <w:numId w:val="39"/>
        </w:numPr>
        <w:spacing w:after="0" w:line="276" w:lineRule="auto"/>
        <w:jc w:val="both"/>
        <w:rPr>
          <w:rFonts w:ascii="Cambria" w:eastAsia="Calibri" w:hAnsi="Cambria" w:cs="Times New Roman"/>
          <w:sz w:val="24"/>
          <w:szCs w:val="24"/>
          <w:lang w:val="sq-AL"/>
        </w:rPr>
      </w:pPr>
      <w:r w:rsidRPr="00DA0FE5">
        <w:rPr>
          <w:rFonts w:ascii="Cambria" w:eastAsia="Calibri" w:hAnsi="Cambria" w:cs="Times New Roman"/>
          <w:sz w:val="24"/>
          <w:szCs w:val="24"/>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0.4 orë në vitin 2025 në jo më shumë se 0.35 orë në vitin 2028);</w:t>
      </w:r>
    </w:p>
    <w:p w14:paraId="57F8B095" w14:textId="77777777" w:rsidR="00DA0FE5" w:rsidRPr="00E24ECC" w:rsidRDefault="00DA0FE5" w:rsidP="00954232">
      <w:pPr>
        <w:pStyle w:val="ListParagraph"/>
        <w:numPr>
          <w:ilvl w:val="0"/>
          <w:numId w:val="39"/>
        </w:numPr>
        <w:spacing w:after="0" w:line="276" w:lineRule="auto"/>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lastRenderedPageBreak/>
        <w:t>Rritja e numrit të shërbimeve online të ofruara nga Gjendja Civile në 32 shërbime online në vitin 2028 nga 25 shërbime online që parashikohen në vitin 2025;</w:t>
      </w:r>
    </w:p>
    <w:p w14:paraId="7A9B33B2" w14:textId="77777777" w:rsidR="00DA0FE5" w:rsidRPr="00E24ECC" w:rsidRDefault="00DA0FE5" w:rsidP="00954232">
      <w:pPr>
        <w:pStyle w:val="ListParagraph"/>
        <w:numPr>
          <w:ilvl w:val="0"/>
          <w:numId w:val="39"/>
        </w:numPr>
        <w:spacing w:after="0" w:line="276" w:lineRule="auto"/>
        <w:jc w:val="both"/>
        <w:rPr>
          <w:rFonts w:ascii="Cambria" w:eastAsia="Calibri" w:hAnsi="Cambria" w:cs="Times New Roman"/>
          <w:sz w:val="24"/>
          <w:szCs w:val="24"/>
          <w:lang w:val="sq-AL"/>
        </w:rPr>
      </w:pPr>
      <w:r w:rsidRPr="00E24ECC">
        <w:rPr>
          <w:rFonts w:ascii="Cambria" w:eastAsia="Calibri" w:hAnsi="Cambria" w:cs="Times New Roman"/>
          <w:sz w:val="24"/>
          <w:szCs w:val="24"/>
          <w:lang w:val="sq-AL"/>
        </w:rPr>
        <w:t xml:space="preserve">Rritja e numrit të çështjeve të përfunduara nga institucioni i prefektit kundrejt numrit total të </w:t>
      </w:r>
      <w:r w:rsidRPr="00E24ECC">
        <w:rPr>
          <w:rFonts w:ascii="Cambria" w:eastAsia="Segoe UI Symbol" w:hAnsi="Cambria" w:cs="Times New Roman"/>
          <w:sz w:val="24"/>
          <w:szCs w:val="24"/>
          <w:lang w:val="sq-AL" w:eastAsia="ja-JP"/>
        </w:rPr>
        <w:t>ç</w:t>
      </w:r>
      <w:r w:rsidRPr="00E24ECC">
        <w:rPr>
          <w:rFonts w:ascii="Cambria" w:eastAsia="Calibri" w:hAnsi="Cambria" w:cs="Times New Roman"/>
          <w:sz w:val="24"/>
          <w:szCs w:val="24"/>
          <w:lang w:val="sq-AL"/>
        </w:rPr>
        <w:t>ështjeve të prezantuara nga institucionet/qytetaret në 67% në vitin 2028 nga 65% në vitin 2025.</w:t>
      </w:r>
    </w:p>
    <w:bookmarkEnd w:id="408"/>
    <w:p w14:paraId="743A31D0" w14:textId="77777777" w:rsidR="00F414A1" w:rsidRPr="00E24ECC" w:rsidRDefault="00F414A1" w:rsidP="00842C6A">
      <w:pPr>
        <w:spacing w:after="0" w:line="276" w:lineRule="auto"/>
        <w:jc w:val="both"/>
        <w:rPr>
          <w:rFonts w:ascii="Cambria" w:eastAsia="Calibri" w:hAnsi="Cambria" w:cs="Times New Roman"/>
          <w:sz w:val="24"/>
          <w:szCs w:val="24"/>
          <w:lang w:val="sq-AL"/>
        </w:rPr>
      </w:pPr>
    </w:p>
    <w:p w14:paraId="77960174" w14:textId="77777777" w:rsidR="007C7A91" w:rsidRDefault="00D156ED" w:rsidP="00954232">
      <w:pPr>
        <w:pStyle w:val="Heading2"/>
        <w:numPr>
          <w:ilvl w:val="1"/>
          <w:numId w:val="15"/>
        </w:numPr>
        <w:spacing w:line="276" w:lineRule="auto"/>
        <w:rPr>
          <w:rFonts w:ascii="Cambria" w:eastAsia="Calibri" w:hAnsi="Cambria"/>
          <w:i w:val="0"/>
          <w:sz w:val="24"/>
          <w:szCs w:val="24"/>
          <w:lang w:val="sq-AL"/>
        </w:rPr>
      </w:pPr>
      <w:bookmarkStart w:id="409" w:name="_Toc518562262"/>
      <w:bookmarkStart w:id="410" w:name="_Toc200704924"/>
      <w:r w:rsidRPr="00E24ECC">
        <w:rPr>
          <w:rFonts w:ascii="Cambria" w:eastAsia="Calibri" w:hAnsi="Cambria"/>
          <w:i w:val="0"/>
          <w:sz w:val="24"/>
          <w:szCs w:val="24"/>
          <w:lang w:val="sq-AL"/>
        </w:rPr>
        <w:t>MINISTRIA E MBROJTJES</w:t>
      </w:r>
      <w:bookmarkEnd w:id="409"/>
      <w:bookmarkEnd w:id="410"/>
    </w:p>
    <w:p w14:paraId="3CD27E40" w14:textId="77777777" w:rsidR="00843975" w:rsidRPr="00843975" w:rsidRDefault="00843975" w:rsidP="00843975">
      <w:pPr>
        <w:rPr>
          <w:lang w:val="sq-AL" w:eastAsia="sq-AL"/>
        </w:rPr>
      </w:pPr>
    </w:p>
    <w:p w14:paraId="774168F3" w14:textId="77777777" w:rsidR="00DD2488" w:rsidRPr="001F631B" w:rsidRDefault="00DD2488" w:rsidP="00DD2488">
      <w:pPr>
        <w:spacing w:after="200" w:line="276" w:lineRule="auto"/>
        <w:jc w:val="both"/>
        <w:rPr>
          <w:rFonts w:ascii="Cambria" w:eastAsia="Calibri" w:hAnsi="Cambria" w:cs="Times New Roman"/>
          <w:sz w:val="24"/>
          <w:szCs w:val="24"/>
          <w:lang w:val="sq-AL"/>
        </w:rPr>
      </w:pPr>
      <w:bookmarkStart w:id="411" w:name="_Toc516545"/>
      <w:r w:rsidRPr="001F631B">
        <w:rPr>
          <w:rFonts w:ascii="Cambria" w:eastAsia="Calibri" w:hAnsi="Cambria" w:cs="Times New Roman"/>
          <w:sz w:val="24"/>
          <w:szCs w:val="24"/>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2026-2028 paraqesin një nivel të përmirësuar mbështetjeje me burime financiare duke garantuar arritjen e kapaciteteve operacionale të deklaruara në kuadër të Aleancës së NATO-s në tre vitet e ardhshme. </w:t>
      </w:r>
    </w:p>
    <w:p w14:paraId="23641808" w14:textId="77777777" w:rsidR="00DD2488" w:rsidRPr="001F631B" w:rsidRDefault="00DD2488" w:rsidP="00DD2488">
      <w:p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Në këtë kuadër, nisur nga këto prioritete, janë përpiluar kërkesat buxhetore në përmbushje të treguesve të përformancës si më poshtë specifikuar:</w:t>
      </w:r>
    </w:p>
    <w:p w14:paraId="51FAB828" w14:textId="77777777" w:rsidR="00DD2488" w:rsidRPr="001F631B" w:rsidRDefault="00DD2488" w:rsidP="00954232">
      <w:pPr>
        <w:pStyle w:val="ListParagraph"/>
        <w:numPr>
          <w:ilvl w:val="0"/>
          <w:numId w:val="33"/>
        </w:num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Lartësimi i figurës dhe integritetit të ushtarakut;</w:t>
      </w:r>
    </w:p>
    <w:p w14:paraId="1A77BACA" w14:textId="77777777" w:rsidR="00DD2488" w:rsidRPr="001F631B" w:rsidRDefault="00DD2488" w:rsidP="00954232">
      <w:pPr>
        <w:pStyle w:val="ListParagraph"/>
        <w:numPr>
          <w:ilvl w:val="0"/>
          <w:numId w:val="33"/>
        </w:num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Implementimi në mënyrë cilësore i detyrimeve që rrjedhin nga pjesëmarrja dhe anëtarësia në organizma të niveleve të larta ndërkombëtare si: NATO, EAPC, RACVIAC, etj; i realizuar nëpërmjet nënshkrimit të marrëveshjeve ndërkombëtare në kuadër të partneritetit mes vendeve, rritjes së sigurisë në rajon e më gjerë.</w:t>
      </w:r>
    </w:p>
    <w:p w14:paraId="7E458C34" w14:textId="77777777" w:rsidR="00DD2488" w:rsidRPr="001F631B" w:rsidRDefault="00DD2488" w:rsidP="00954232">
      <w:pPr>
        <w:pStyle w:val="ListParagraph"/>
        <w:numPr>
          <w:ilvl w:val="0"/>
          <w:numId w:val="33"/>
        </w:num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Modernizimi me armatim të lehtë dhe municione për Forcat e Armatosura.</w:t>
      </w:r>
    </w:p>
    <w:p w14:paraId="4D20A944" w14:textId="77777777" w:rsidR="00DD2488" w:rsidRDefault="00DD2488" w:rsidP="00DD2488">
      <w:p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Shpenzimet për Ministrinë e Mbrojtjes në vlerë nominale, në përqindje ndaj PBB dhe në përqindje ndaj shpenzimeve të përgjithshme të qeverisë për periudhën 2026-2028, paraqiten në tabelën e mëposhtme:</w:t>
      </w:r>
    </w:p>
    <w:p w14:paraId="17FD7ED4" w14:textId="77777777" w:rsidR="00DD2488" w:rsidRPr="001F631B" w:rsidRDefault="00DD2488" w:rsidP="00DD2488">
      <w:pPr>
        <w:spacing w:after="200" w:line="276" w:lineRule="auto"/>
        <w:jc w:val="both"/>
        <w:rPr>
          <w:rFonts w:ascii="Cambria" w:eastAsia="Calibri" w:hAnsi="Cambria" w:cs="Times New Roman"/>
          <w:sz w:val="24"/>
          <w:szCs w:val="24"/>
          <w:lang w:val="sq-AL"/>
        </w:rPr>
      </w:pPr>
    </w:p>
    <w:p w14:paraId="790A71A3" w14:textId="3BE66695" w:rsidR="00DD2488" w:rsidRPr="001F631B" w:rsidRDefault="00DD2488" w:rsidP="00DD2488">
      <w:pPr>
        <w:pStyle w:val="Caption"/>
        <w:jc w:val="both"/>
        <w:rPr>
          <w:rFonts w:ascii="Cambria" w:eastAsia="Times New Roman" w:hAnsi="Cambria" w:cs="Times New Roman"/>
          <w:sz w:val="24"/>
          <w:szCs w:val="24"/>
          <w:lang w:val="sq-AL"/>
        </w:rPr>
      </w:pPr>
      <w:r w:rsidRPr="001F631B">
        <w:rPr>
          <w:rFonts w:ascii="Cambria" w:eastAsia="Times New Roman" w:hAnsi="Cambria" w:cs="Times New Roman"/>
          <w:sz w:val="24"/>
          <w:szCs w:val="24"/>
          <w:lang w:val="sq-AL"/>
        </w:rPr>
        <w:t xml:space="preserve">Tabela </w:t>
      </w:r>
      <w:r w:rsidRPr="001F631B">
        <w:rPr>
          <w:rFonts w:ascii="Cambria" w:eastAsia="Times New Roman" w:hAnsi="Cambria" w:cs="Times New Roman"/>
          <w:sz w:val="24"/>
          <w:szCs w:val="24"/>
          <w:lang w:val="sq-AL"/>
        </w:rPr>
        <w:fldChar w:fldCharType="begin"/>
      </w:r>
      <w:r w:rsidRPr="001F631B">
        <w:rPr>
          <w:rFonts w:ascii="Cambria" w:eastAsia="Times New Roman" w:hAnsi="Cambria" w:cs="Times New Roman"/>
          <w:sz w:val="24"/>
          <w:szCs w:val="24"/>
          <w:lang w:val="sq-AL"/>
        </w:rPr>
        <w:instrText xml:space="preserve"> SEQ Tabela \* ARABIC </w:instrText>
      </w:r>
      <w:r w:rsidRPr="001F631B">
        <w:rPr>
          <w:rFonts w:ascii="Cambria" w:eastAsia="Times New Roman" w:hAnsi="Cambria" w:cs="Times New Roman"/>
          <w:sz w:val="24"/>
          <w:szCs w:val="24"/>
          <w:lang w:val="sq-AL"/>
        </w:rPr>
        <w:fldChar w:fldCharType="separate"/>
      </w:r>
      <w:r w:rsidR="009113BE">
        <w:rPr>
          <w:rFonts w:ascii="Cambria" w:eastAsia="Times New Roman" w:hAnsi="Cambria" w:cs="Times New Roman"/>
          <w:noProof/>
          <w:sz w:val="24"/>
          <w:szCs w:val="24"/>
          <w:lang w:val="sq-AL"/>
        </w:rPr>
        <w:t>19</w:t>
      </w:r>
      <w:r w:rsidRPr="001F631B">
        <w:rPr>
          <w:rFonts w:ascii="Cambria" w:eastAsia="Times New Roman" w:hAnsi="Cambria" w:cs="Times New Roman"/>
          <w:sz w:val="24"/>
          <w:szCs w:val="24"/>
          <w:lang w:val="sq-AL"/>
        </w:rPr>
        <w:fldChar w:fldCharType="end"/>
      </w:r>
      <w:r w:rsidRPr="001F631B">
        <w:rPr>
          <w:rFonts w:ascii="Cambria" w:eastAsia="Times New Roman" w:hAnsi="Cambria" w:cs="Times New Roman"/>
          <w:sz w:val="24"/>
          <w:szCs w:val="24"/>
          <w:lang w:val="sq-AL"/>
        </w:rPr>
        <w:t>: Shpenzimet për Ministrinë e Mbrojtjes në vlerë nominale (në mln lekë) dhe në % ndaj PBB 2025-2028</w:t>
      </w:r>
    </w:p>
    <w:p w14:paraId="20B6758D" w14:textId="77777777" w:rsidR="00DD2488" w:rsidRPr="001F631B" w:rsidRDefault="00DD2488" w:rsidP="00DD2488">
      <w:pPr>
        <w:spacing w:after="200" w:line="276" w:lineRule="auto"/>
        <w:contextualSpacing/>
        <w:jc w:val="both"/>
        <w:rPr>
          <w:rFonts w:ascii="Cambria" w:eastAsia="Times New Roman" w:hAnsi="Cambria" w:cs="Times New Roman"/>
          <w:sz w:val="24"/>
          <w:szCs w:val="24"/>
          <w:lang w:val="sq-AL"/>
        </w:rPr>
      </w:pPr>
      <w:r w:rsidRPr="001F631B">
        <w:rPr>
          <w:noProof/>
        </w:rPr>
        <w:lastRenderedPageBreak/>
        <w:drawing>
          <wp:inline distT="0" distB="0" distL="0" distR="0" wp14:anchorId="358AFB5E" wp14:editId="2FDA08F6">
            <wp:extent cx="5923722" cy="1630045"/>
            <wp:effectExtent l="0" t="0" r="1270" b="8255"/>
            <wp:docPr id="1866645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26051" cy="1630686"/>
                    </a:xfrm>
                    <a:prstGeom prst="rect">
                      <a:avLst/>
                    </a:prstGeom>
                    <a:noFill/>
                    <a:ln>
                      <a:noFill/>
                    </a:ln>
                  </pic:spPr>
                </pic:pic>
              </a:graphicData>
            </a:graphic>
          </wp:inline>
        </w:drawing>
      </w:r>
    </w:p>
    <w:p w14:paraId="12C8551A" w14:textId="77777777" w:rsidR="00DD2488" w:rsidRPr="001F631B" w:rsidRDefault="00DD2488" w:rsidP="00DD2488">
      <w:pPr>
        <w:pStyle w:val="Heading3"/>
        <w:spacing w:line="276" w:lineRule="auto"/>
        <w:rPr>
          <w:rFonts w:ascii="Cambria" w:hAnsi="Cambria"/>
          <w:b/>
          <w:color w:val="auto"/>
          <w:lang w:val="sq-AL"/>
        </w:rPr>
      </w:pPr>
      <w:r w:rsidRPr="001F631B">
        <w:rPr>
          <w:rFonts w:ascii="Cambria" w:hAnsi="Cambria"/>
          <w:b/>
          <w:color w:val="auto"/>
          <w:lang w:val="sq-AL"/>
        </w:rPr>
        <w:t>Prioritetet dhe treguesit e performancës për periudhën 2026-2028</w:t>
      </w:r>
    </w:p>
    <w:p w14:paraId="2A7586BC" w14:textId="77777777" w:rsidR="00DD2488" w:rsidRPr="001F631B" w:rsidRDefault="00DD2488" w:rsidP="00DD2488">
      <w:pPr>
        <w:spacing w:after="20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79BEAE4A" w14:textId="77777777" w:rsidR="00DD2488" w:rsidRPr="001F631B" w:rsidRDefault="00DD2488" w:rsidP="00DD2488">
      <w:p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Me këtë buxhet, Ministria e Mbrojtjes synon:</w:t>
      </w:r>
    </w:p>
    <w:p w14:paraId="23313E7A" w14:textId="77777777" w:rsidR="00DD2488" w:rsidRPr="001F631B" w:rsidRDefault="00DD2488" w:rsidP="00954232">
      <w:pPr>
        <w:numPr>
          <w:ilvl w:val="0"/>
          <w:numId w:val="9"/>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Modernizimin e kapaciteteve dhe infrastrukturës së FA duke:</w:t>
      </w:r>
    </w:p>
    <w:p w14:paraId="33368FE2" w14:textId="77777777" w:rsidR="00DD2488" w:rsidRPr="001F631B" w:rsidRDefault="00DD2488" w:rsidP="00954232">
      <w:pPr>
        <w:numPr>
          <w:ilvl w:val="1"/>
          <w:numId w:val="10"/>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zhvilluar kapacitetet e FA në përputhje me Planin Afatgjatë të Zhvillimit;</w:t>
      </w:r>
    </w:p>
    <w:p w14:paraId="4F3AA878" w14:textId="77777777" w:rsidR="00DD2488" w:rsidRPr="001F631B" w:rsidRDefault="00DD2488" w:rsidP="00954232">
      <w:pPr>
        <w:numPr>
          <w:ilvl w:val="1"/>
          <w:numId w:val="10"/>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 xml:space="preserve">vijuar pajisjen e Forcave Tokësore me armatim të ri të ndërveprueshëm me aleatët në NATO; </w:t>
      </w:r>
    </w:p>
    <w:p w14:paraId="185DD57E" w14:textId="77777777" w:rsidR="00DD2488" w:rsidRPr="001F631B" w:rsidRDefault="00DD2488" w:rsidP="00954232">
      <w:pPr>
        <w:numPr>
          <w:ilvl w:val="1"/>
          <w:numId w:val="10"/>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zgjeruar investimet në infrastrukturë për përmirësimin e mjediseve të punës dhe ushtarake;</w:t>
      </w:r>
    </w:p>
    <w:p w14:paraId="62D40AB4" w14:textId="77777777" w:rsidR="00DD2488" w:rsidRPr="001F631B" w:rsidRDefault="00DD2488" w:rsidP="00954232">
      <w:pPr>
        <w:numPr>
          <w:ilvl w:val="1"/>
          <w:numId w:val="10"/>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 xml:space="preserve">modernizuar pajisjet dhe sistemet kompjuterike. </w:t>
      </w:r>
    </w:p>
    <w:p w14:paraId="7BAB839D" w14:textId="77777777" w:rsidR="00DD2488" w:rsidRPr="001F631B" w:rsidRDefault="00DD2488" w:rsidP="00954232">
      <w:pPr>
        <w:numPr>
          <w:ilvl w:val="0"/>
          <w:numId w:val="8"/>
        </w:numPr>
        <w:spacing w:after="120" w:line="276" w:lineRule="auto"/>
        <w:jc w:val="both"/>
        <w:rPr>
          <w:rFonts w:ascii="Cambria" w:eastAsiaTheme="minorHAnsi" w:hAnsi="Cambria" w:cs="Times New Roman"/>
          <w:sz w:val="24"/>
          <w:szCs w:val="24"/>
          <w:lang w:val="sq-AL"/>
        </w:rPr>
      </w:pPr>
      <w:r w:rsidRPr="001F631B">
        <w:rPr>
          <w:rFonts w:ascii="Cambria" w:eastAsiaTheme="minorHAnsi" w:hAnsi="Cambria" w:cs="Times New Roman"/>
          <w:sz w:val="24"/>
          <w:szCs w:val="24"/>
          <w:lang w:val="sq-AL"/>
        </w:rPr>
        <w:t>Vijimin e pjesëmarrjes në operacionet e NATO-s duke rritur nivelin e angazhimit të FA, në operacionet e Aleancës dhe pjesëmarrjen në misionet e iniciativat e reja që NATO mund të ndërmarrë.</w:t>
      </w:r>
    </w:p>
    <w:p w14:paraId="7DE51145" w14:textId="77777777" w:rsidR="00DD2488" w:rsidRPr="001F631B" w:rsidRDefault="00DD2488" w:rsidP="00954232">
      <w:pPr>
        <w:numPr>
          <w:ilvl w:val="0"/>
          <w:numId w:val="10"/>
        </w:numPr>
        <w:spacing w:after="120" w:line="276" w:lineRule="auto"/>
        <w:jc w:val="both"/>
        <w:rPr>
          <w:rFonts w:ascii="Cambria" w:eastAsia="Calibri" w:hAnsi="Cambria" w:cs="Times New Roman"/>
          <w:sz w:val="24"/>
          <w:szCs w:val="24"/>
          <w:lang w:val="sq-AL"/>
        </w:rPr>
      </w:pPr>
      <w:r w:rsidRPr="001F631B">
        <w:rPr>
          <w:rFonts w:ascii="Cambria" w:eastAsia="Calibri" w:hAnsi="Cambria" w:cs="Times New Roman"/>
          <w:sz w:val="24"/>
          <w:szCs w:val="24"/>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57D4925B" w14:textId="77777777" w:rsidR="00DD2488" w:rsidRPr="001F631B" w:rsidRDefault="00DD2488" w:rsidP="00954232">
      <w:pPr>
        <w:numPr>
          <w:ilvl w:val="0"/>
          <w:numId w:val="8"/>
        </w:numPr>
        <w:spacing w:after="120" w:line="276" w:lineRule="auto"/>
        <w:jc w:val="both"/>
        <w:rPr>
          <w:rFonts w:ascii="Cambria" w:eastAsiaTheme="minorHAnsi" w:hAnsi="Cambria" w:cs="Times New Roman"/>
          <w:sz w:val="24"/>
          <w:szCs w:val="24"/>
          <w:lang w:val="sq-AL"/>
        </w:rPr>
      </w:pPr>
      <w:r w:rsidRPr="001F631B">
        <w:rPr>
          <w:rFonts w:ascii="Cambria" w:eastAsiaTheme="minorHAnsi" w:hAnsi="Cambria" w:cs="Times New Roman"/>
          <w:sz w:val="24"/>
          <w:szCs w:val="24"/>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57E5A502" w14:textId="77777777" w:rsidR="00DD2488" w:rsidRDefault="00DD2488" w:rsidP="00DD2488">
      <w:pPr>
        <w:pStyle w:val="Caption"/>
        <w:jc w:val="both"/>
        <w:rPr>
          <w:rFonts w:ascii="Cambria" w:eastAsia="Times New Roman" w:hAnsi="Cambria" w:cs="Times New Roman"/>
          <w:sz w:val="24"/>
          <w:szCs w:val="24"/>
          <w:lang w:val="sq-AL"/>
        </w:rPr>
      </w:pPr>
    </w:p>
    <w:p w14:paraId="768213BD" w14:textId="77777777" w:rsidR="00DD2488" w:rsidRDefault="00DD2488" w:rsidP="00DD2488">
      <w:pPr>
        <w:pStyle w:val="Caption"/>
        <w:jc w:val="both"/>
        <w:rPr>
          <w:rFonts w:ascii="Cambria" w:eastAsia="Times New Roman" w:hAnsi="Cambria" w:cs="Times New Roman"/>
          <w:sz w:val="24"/>
          <w:szCs w:val="24"/>
          <w:lang w:val="sq-AL"/>
        </w:rPr>
      </w:pPr>
    </w:p>
    <w:p w14:paraId="591ACC59" w14:textId="77777777" w:rsidR="00DD2488" w:rsidRDefault="00DD2488" w:rsidP="00DD2488">
      <w:pPr>
        <w:pStyle w:val="Caption"/>
        <w:jc w:val="both"/>
        <w:rPr>
          <w:rFonts w:ascii="Cambria" w:eastAsia="Times New Roman" w:hAnsi="Cambria" w:cs="Times New Roman"/>
          <w:sz w:val="24"/>
          <w:szCs w:val="24"/>
          <w:lang w:val="sq-AL"/>
        </w:rPr>
      </w:pPr>
    </w:p>
    <w:p w14:paraId="48601109" w14:textId="77777777" w:rsidR="00DD2488" w:rsidRDefault="00DD2488" w:rsidP="00DD2488">
      <w:pPr>
        <w:pStyle w:val="Caption"/>
        <w:jc w:val="both"/>
        <w:rPr>
          <w:rFonts w:ascii="Cambria" w:eastAsia="Times New Roman" w:hAnsi="Cambria" w:cs="Times New Roman"/>
          <w:sz w:val="24"/>
          <w:szCs w:val="24"/>
          <w:lang w:val="sq-AL"/>
        </w:rPr>
      </w:pPr>
    </w:p>
    <w:p w14:paraId="7C55465B" w14:textId="77777777" w:rsidR="00DD2488" w:rsidRDefault="00DD2488" w:rsidP="00DD2488">
      <w:pPr>
        <w:pStyle w:val="Caption"/>
        <w:jc w:val="both"/>
        <w:rPr>
          <w:rFonts w:ascii="Cambria" w:eastAsia="Times New Roman" w:hAnsi="Cambria" w:cs="Times New Roman"/>
          <w:sz w:val="24"/>
          <w:szCs w:val="24"/>
          <w:lang w:val="sq-AL"/>
        </w:rPr>
      </w:pPr>
    </w:p>
    <w:p w14:paraId="32B26A74" w14:textId="77777777" w:rsidR="00DD2488" w:rsidRDefault="00DD2488" w:rsidP="00DD2488">
      <w:pPr>
        <w:pStyle w:val="Caption"/>
        <w:jc w:val="both"/>
        <w:rPr>
          <w:rFonts w:ascii="Cambria" w:eastAsia="Times New Roman" w:hAnsi="Cambria" w:cs="Times New Roman"/>
          <w:sz w:val="24"/>
          <w:szCs w:val="24"/>
          <w:lang w:val="sq-AL"/>
        </w:rPr>
      </w:pPr>
    </w:p>
    <w:p w14:paraId="0DA05F5C" w14:textId="77777777" w:rsidR="00DD2488" w:rsidRDefault="00DD2488" w:rsidP="00DD2488">
      <w:pPr>
        <w:pStyle w:val="Caption"/>
        <w:jc w:val="both"/>
        <w:rPr>
          <w:rFonts w:ascii="Cambria" w:eastAsia="Times New Roman" w:hAnsi="Cambria" w:cs="Times New Roman"/>
          <w:sz w:val="24"/>
          <w:szCs w:val="24"/>
          <w:lang w:val="sq-AL"/>
        </w:rPr>
      </w:pPr>
    </w:p>
    <w:p w14:paraId="5D85F4BE" w14:textId="77777777" w:rsidR="00DD2488" w:rsidRDefault="00DD2488" w:rsidP="00DD2488">
      <w:pPr>
        <w:pStyle w:val="Caption"/>
        <w:jc w:val="both"/>
        <w:rPr>
          <w:rFonts w:ascii="Cambria" w:eastAsia="Times New Roman" w:hAnsi="Cambria" w:cs="Times New Roman"/>
          <w:sz w:val="24"/>
          <w:szCs w:val="24"/>
          <w:lang w:val="sq-AL"/>
        </w:rPr>
      </w:pPr>
    </w:p>
    <w:p w14:paraId="7ED1FE3B" w14:textId="77777777" w:rsidR="00DD2488" w:rsidRDefault="00DD2488" w:rsidP="00DD2488">
      <w:pPr>
        <w:pStyle w:val="Caption"/>
        <w:jc w:val="both"/>
        <w:rPr>
          <w:rFonts w:ascii="Cambria" w:eastAsia="Times New Roman" w:hAnsi="Cambria" w:cs="Times New Roman"/>
          <w:sz w:val="24"/>
          <w:szCs w:val="24"/>
          <w:lang w:val="sq-AL"/>
        </w:rPr>
      </w:pPr>
    </w:p>
    <w:p w14:paraId="10FF8481" w14:textId="4342F870" w:rsidR="00DD2488" w:rsidRPr="001F631B" w:rsidRDefault="00DD2488" w:rsidP="00DD2488">
      <w:pPr>
        <w:pStyle w:val="Caption"/>
        <w:jc w:val="both"/>
        <w:rPr>
          <w:rFonts w:ascii="Cambria" w:eastAsia="Times New Roman" w:hAnsi="Cambria" w:cs="Times New Roman"/>
          <w:sz w:val="24"/>
          <w:szCs w:val="24"/>
          <w:lang w:val="sq-AL"/>
        </w:rPr>
      </w:pPr>
      <w:r w:rsidRPr="001F631B">
        <w:rPr>
          <w:rFonts w:ascii="Cambria" w:eastAsia="Times New Roman" w:hAnsi="Cambria" w:cs="Times New Roman"/>
          <w:sz w:val="24"/>
          <w:szCs w:val="24"/>
          <w:lang w:val="sq-AL"/>
        </w:rPr>
        <w:t xml:space="preserve">Tabela </w:t>
      </w:r>
      <w:r w:rsidRPr="001F631B">
        <w:rPr>
          <w:rFonts w:ascii="Cambria" w:eastAsia="Times New Roman" w:hAnsi="Cambria" w:cs="Times New Roman"/>
          <w:sz w:val="24"/>
          <w:szCs w:val="24"/>
          <w:lang w:val="sq-AL"/>
        </w:rPr>
        <w:fldChar w:fldCharType="begin"/>
      </w:r>
      <w:r w:rsidRPr="001F631B">
        <w:rPr>
          <w:rFonts w:ascii="Cambria" w:eastAsia="Times New Roman" w:hAnsi="Cambria" w:cs="Times New Roman"/>
          <w:sz w:val="24"/>
          <w:szCs w:val="24"/>
          <w:lang w:val="sq-AL"/>
        </w:rPr>
        <w:instrText xml:space="preserve"> SEQ Tabela \* ARABIC </w:instrText>
      </w:r>
      <w:r w:rsidRPr="001F631B">
        <w:rPr>
          <w:rFonts w:ascii="Cambria" w:eastAsia="Times New Roman" w:hAnsi="Cambria" w:cs="Times New Roman"/>
          <w:sz w:val="24"/>
          <w:szCs w:val="24"/>
          <w:lang w:val="sq-AL"/>
        </w:rPr>
        <w:fldChar w:fldCharType="separate"/>
      </w:r>
      <w:r w:rsidR="009113BE">
        <w:rPr>
          <w:rFonts w:ascii="Cambria" w:eastAsia="Times New Roman" w:hAnsi="Cambria" w:cs="Times New Roman"/>
          <w:noProof/>
          <w:sz w:val="24"/>
          <w:szCs w:val="24"/>
          <w:lang w:val="sq-AL"/>
        </w:rPr>
        <w:t>20</w:t>
      </w:r>
      <w:r w:rsidRPr="001F631B">
        <w:rPr>
          <w:rFonts w:ascii="Cambria" w:eastAsia="Times New Roman" w:hAnsi="Cambria" w:cs="Times New Roman"/>
          <w:sz w:val="24"/>
          <w:szCs w:val="24"/>
          <w:lang w:val="sq-AL"/>
        </w:rPr>
        <w:fldChar w:fldCharType="end"/>
      </w:r>
      <w:r w:rsidRPr="001F631B">
        <w:rPr>
          <w:rFonts w:ascii="Cambria" w:eastAsia="Times New Roman" w:hAnsi="Cambria" w:cs="Times New Roman"/>
          <w:sz w:val="24"/>
          <w:szCs w:val="24"/>
          <w:lang w:val="sq-AL"/>
        </w:rPr>
        <w:t xml:space="preserve"> : Shpenzimet për Ministrinë e Mbrojtjes për PBA 2026-2028</w:t>
      </w:r>
    </w:p>
    <w:p w14:paraId="21FB53CD" w14:textId="77777777" w:rsidR="002943B4" w:rsidRPr="00E24ECC" w:rsidRDefault="002943B4" w:rsidP="002943B4">
      <w:pPr>
        <w:spacing w:after="120" w:line="276" w:lineRule="auto"/>
        <w:jc w:val="center"/>
        <w:rPr>
          <w:rFonts w:ascii="Cambria" w:eastAsiaTheme="minorHAnsi" w:hAnsi="Cambria" w:cs="Times New Roman"/>
          <w:sz w:val="24"/>
          <w:szCs w:val="24"/>
          <w:lang w:val="sq-AL"/>
        </w:rPr>
      </w:pPr>
      <w:r w:rsidRPr="00E24ECC">
        <w:rPr>
          <w:noProof/>
          <w:lang w:val="sq-AL"/>
        </w:rPr>
        <w:drawing>
          <wp:inline distT="0" distB="0" distL="0" distR="0" wp14:anchorId="3FC64774" wp14:editId="0B1E3079">
            <wp:extent cx="5866085" cy="4691270"/>
            <wp:effectExtent l="0" t="0" r="1905" b="0"/>
            <wp:docPr id="139128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6627" cy="4699701"/>
                    </a:xfrm>
                    <a:prstGeom prst="rect">
                      <a:avLst/>
                    </a:prstGeom>
                    <a:noFill/>
                    <a:ln>
                      <a:noFill/>
                    </a:ln>
                  </pic:spPr>
                </pic:pic>
              </a:graphicData>
            </a:graphic>
          </wp:inline>
        </w:drawing>
      </w:r>
    </w:p>
    <w:p w14:paraId="41CAA0A9" w14:textId="77777777" w:rsidR="002943B4" w:rsidRPr="00E24ECC" w:rsidRDefault="002943B4" w:rsidP="002943B4">
      <w:pPr>
        <w:spacing w:after="120" w:line="276" w:lineRule="auto"/>
        <w:jc w:val="center"/>
        <w:rPr>
          <w:rFonts w:ascii="Cambria" w:eastAsiaTheme="minorHAnsi" w:hAnsi="Cambria" w:cs="Times New Roman"/>
          <w:sz w:val="24"/>
          <w:szCs w:val="24"/>
          <w:lang w:val="sq-AL"/>
        </w:rPr>
      </w:pPr>
    </w:p>
    <w:p w14:paraId="398D5190" w14:textId="5900C1C2" w:rsidR="007C7A91" w:rsidRPr="00E24ECC" w:rsidRDefault="00E07F38" w:rsidP="00954232">
      <w:pPr>
        <w:pStyle w:val="Heading2"/>
        <w:numPr>
          <w:ilvl w:val="1"/>
          <w:numId w:val="15"/>
        </w:numPr>
        <w:spacing w:line="276" w:lineRule="auto"/>
        <w:rPr>
          <w:rFonts w:ascii="Cambria" w:eastAsia="Calibri" w:hAnsi="Cambria"/>
          <w:i w:val="0"/>
          <w:sz w:val="24"/>
          <w:szCs w:val="24"/>
          <w:lang w:val="sq-AL"/>
        </w:rPr>
      </w:pPr>
      <w:bookmarkStart w:id="412" w:name="_Toc200704925"/>
      <w:r w:rsidRPr="00E24ECC">
        <w:rPr>
          <w:rFonts w:ascii="Cambria" w:eastAsia="Calibri" w:hAnsi="Cambria"/>
          <w:i w:val="0"/>
          <w:sz w:val="24"/>
          <w:szCs w:val="24"/>
          <w:lang w:val="sq-AL"/>
        </w:rPr>
        <w:t>MINISTRIA E TURIZMIT DHE MJEDISIT</w:t>
      </w:r>
      <w:bookmarkEnd w:id="411"/>
      <w:bookmarkEnd w:id="412"/>
    </w:p>
    <w:p w14:paraId="3E693EC9" w14:textId="77777777" w:rsidR="00FD5173" w:rsidRPr="00507460" w:rsidRDefault="00FD5173" w:rsidP="00FD5173">
      <w:pPr>
        <w:spacing w:after="20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w:t>
      </w:r>
      <w:r w:rsidRPr="00507460">
        <w:rPr>
          <w:rFonts w:ascii="Cambria" w:eastAsia="Arial" w:hAnsi="Cambria" w:cs="Arial"/>
          <w:sz w:val="24"/>
          <w:szCs w:val="24"/>
          <w:lang w:val="sq-AL" w:eastAsia="en-GB"/>
        </w:rPr>
        <w:lastRenderedPageBreak/>
        <w:t xml:space="preserve">kullotave, monitorimin e cilësisë së ujërave, si dhe hartimin dhe zbatimin e politikave për turizmin. </w:t>
      </w:r>
    </w:p>
    <w:p w14:paraId="669A7617" w14:textId="77777777" w:rsidR="00FD5173" w:rsidRPr="00507460" w:rsidRDefault="00FD5173" w:rsidP="00FD5173">
      <w:pPr>
        <w:spacing w:after="20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Për periudhën 202</w:t>
      </w:r>
      <w:r>
        <w:rPr>
          <w:rFonts w:ascii="Cambria" w:eastAsia="Arial" w:hAnsi="Cambria" w:cs="Arial"/>
          <w:sz w:val="24"/>
          <w:szCs w:val="24"/>
          <w:lang w:val="sq-AL" w:eastAsia="en-GB"/>
        </w:rPr>
        <w:t>5</w:t>
      </w:r>
      <w:r w:rsidRPr="00507460">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507460">
        <w:rPr>
          <w:rFonts w:ascii="Cambria" w:eastAsia="Arial" w:hAnsi="Cambria" w:cs="Arial"/>
          <w:sz w:val="24"/>
          <w:szCs w:val="24"/>
          <w:lang w:val="sq-AL" w:eastAsia="en-GB"/>
        </w:rPr>
        <w:t xml:space="preserve">, Ministria e Turizmit dhe Mjedisit do të përmbushë objektivat e synuar përmes fondeve buxhetore të alokuara sipas tabelës së mëposhtme. </w:t>
      </w:r>
    </w:p>
    <w:p w14:paraId="7877C294" w14:textId="77777777" w:rsidR="00843975" w:rsidRDefault="00843975" w:rsidP="00FD5173">
      <w:pPr>
        <w:pStyle w:val="Caption"/>
        <w:jc w:val="both"/>
        <w:rPr>
          <w:rFonts w:ascii="Times New Roman" w:hAnsi="Times New Roman" w:cs="Times New Roman"/>
          <w:color w:val="auto"/>
          <w:sz w:val="22"/>
          <w:szCs w:val="22"/>
        </w:rPr>
      </w:pPr>
    </w:p>
    <w:p w14:paraId="6BC39F77" w14:textId="77777777" w:rsidR="00843975" w:rsidRDefault="00843975" w:rsidP="00FD5173">
      <w:pPr>
        <w:pStyle w:val="Caption"/>
        <w:jc w:val="both"/>
        <w:rPr>
          <w:rFonts w:ascii="Times New Roman" w:hAnsi="Times New Roman" w:cs="Times New Roman"/>
          <w:color w:val="auto"/>
          <w:sz w:val="22"/>
          <w:szCs w:val="22"/>
        </w:rPr>
      </w:pPr>
    </w:p>
    <w:p w14:paraId="30126CDE" w14:textId="77777777" w:rsidR="00843975" w:rsidRDefault="00843975" w:rsidP="00FD5173">
      <w:pPr>
        <w:pStyle w:val="Caption"/>
        <w:jc w:val="both"/>
        <w:rPr>
          <w:rFonts w:ascii="Times New Roman" w:hAnsi="Times New Roman" w:cs="Times New Roman"/>
          <w:color w:val="auto"/>
          <w:sz w:val="22"/>
          <w:szCs w:val="22"/>
        </w:rPr>
      </w:pPr>
    </w:p>
    <w:p w14:paraId="4EB13EB9" w14:textId="4AC9857A" w:rsidR="00FD5173" w:rsidRPr="00943F9C" w:rsidRDefault="00FD5173" w:rsidP="00FD5173">
      <w:pPr>
        <w:pStyle w:val="Caption"/>
        <w:jc w:val="both"/>
        <w:rPr>
          <w:rFonts w:ascii="Times New Roman" w:eastAsia="Calibri" w:hAnsi="Times New Roman" w:cs="Times New Roman"/>
          <w:bCs w:val="0"/>
          <w:color w:val="auto"/>
          <w:sz w:val="22"/>
          <w:szCs w:val="22"/>
          <w:lang w:val="sq-AL"/>
        </w:rPr>
      </w:pPr>
      <w:proofErr w:type="spellStart"/>
      <w:r w:rsidRPr="00943F9C">
        <w:rPr>
          <w:rFonts w:ascii="Times New Roman" w:hAnsi="Times New Roman" w:cs="Times New Roman"/>
          <w:color w:val="auto"/>
          <w:sz w:val="22"/>
          <w:szCs w:val="22"/>
        </w:rPr>
        <w:t>Tabela</w:t>
      </w:r>
      <w:proofErr w:type="spellEnd"/>
      <w:r w:rsidRPr="00943F9C">
        <w:rPr>
          <w:rFonts w:ascii="Times New Roman" w:hAnsi="Times New Roman" w:cs="Times New Roman"/>
          <w:color w:val="auto"/>
          <w:sz w:val="22"/>
          <w:szCs w:val="22"/>
        </w:rPr>
        <w:t xml:space="preserve"> </w:t>
      </w:r>
      <w:r w:rsidRPr="00943F9C">
        <w:rPr>
          <w:rFonts w:ascii="Times New Roman" w:hAnsi="Times New Roman" w:cs="Times New Roman"/>
          <w:color w:val="auto"/>
          <w:sz w:val="22"/>
          <w:szCs w:val="22"/>
        </w:rPr>
        <w:fldChar w:fldCharType="begin"/>
      </w:r>
      <w:r w:rsidRPr="00943F9C">
        <w:rPr>
          <w:rFonts w:ascii="Times New Roman" w:hAnsi="Times New Roman" w:cs="Times New Roman"/>
          <w:color w:val="auto"/>
          <w:sz w:val="22"/>
          <w:szCs w:val="22"/>
        </w:rPr>
        <w:instrText xml:space="preserve"> SEQ Tabela \* ARABIC </w:instrText>
      </w:r>
      <w:r w:rsidRPr="00943F9C">
        <w:rPr>
          <w:rFonts w:ascii="Times New Roman" w:hAnsi="Times New Roman" w:cs="Times New Roman"/>
          <w:color w:val="auto"/>
          <w:sz w:val="22"/>
          <w:szCs w:val="22"/>
        </w:rPr>
        <w:fldChar w:fldCharType="separate"/>
      </w:r>
      <w:r w:rsidR="009113BE">
        <w:rPr>
          <w:rFonts w:ascii="Times New Roman" w:hAnsi="Times New Roman" w:cs="Times New Roman"/>
          <w:noProof/>
          <w:color w:val="auto"/>
          <w:sz w:val="22"/>
          <w:szCs w:val="22"/>
        </w:rPr>
        <w:t>21</w:t>
      </w:r>
      <w:r w:rsidRPr="00943F9C">
        <w:rPr>
          <w:rFonts w:ascii="Times New Roman" w:hAnsi="Times New Roman" w:cs="Times New Roman"/>
          <w:color w:val="auto"/>
          <w:sz w:val="22"/>
          <w:szCs w:val="22"/>
        </w:rPr>
        <w:fldChar w:fldCharType="end"/>
      </w:r>
      <w:r w:rsidRPr="00943F9C">
        <w:rPr>
          <w:rFonts w:ascii="Times New Roman" w:eastAsia="Calibri" w:hAnsi="Times New Roman" w:cs="Times New Roman"/>
          <w:bCs w:val="0"/>
          <w:color w:val="auto"/>
          <w:sz w:val="22"/>
          <w:szCs w:val="22"/>
          <w:lang w:val="sq-AL"/>
        </w:rPr>
        <w:t>:</w:t>
      </w:r>
      <w:r w:rsidRPr="00943F9C">
        <w:rPr>
          <w:rFonts w:ascii="Times New Roman" w:eastAsia="Arial" w:hAnsi="Times New Roman" w:cs="Times New Roman"/>
          <w:bCs w:val="0"/>
          <w:color w:val="auto"/>
          <w:sz w:val="22"/>
          <w:szCs w:val="22"/>
          <w:lang w:val="sq-AL" w:eastAsia="en-GB"/>
        </w:rPr>
        <w:t xml:space="preserve"> </w:t>
      </w:r>
      <w:r w:rsidRPr="00943F9C">
        <w:rPr>
          <w:rFonts w:ascii="Times New Roman" w:eastAsia="Calibri" w:hAnsi="Times New Roman" w:cs="Times New Roman"/>
          <w:bCs w:val="0"/>
          <w:color w:val="auto"/>
          <w:sz w:val="22"/>
          <w:szCs w:val="22"/>
          <w:lang w:val="sq-AL"/>
        </w:rPr>
        <w:t>Shpenzimet për Ministrinë e Turizmit dhe Mjedisit për PBA 2025-202</w:t>
      </w:r>
      <w:r>
        <w:rPr>
          <w:rFonts w:ascii="Times New Roman" w:eastAsia="Calibri" w:hAnsi="Times New Roman" w:cs="Times New Roman"/>
          <w:bCs w:val="0"/>
          <w:color w:val="auto"/>
          <w:sz w:val="22"/>
          <w:szCs w:val="22"/>
          <w:lang w:val="sq-AL"/>
        </w:rPr>
        <w:t>8</w:t>
      </w:r>
    </w:p>
    <w:p w14:paraId="00C02E68" w14:textId="77777777" w:rsidR="00FD5173" w:rsidRDefault="00FD5173" w:rsidP="00FD5173">
      <w:pPr>
        <w:spacing w:after="0" w:line="276" w:lineRule="auto"/>
        <w:jc w:val="both"/>
        <w:rPr>
          <w:rFonts w:ascii="Cambria" w:eastAsia="Calibri" w:hAnsi="Cambria" w:cs="Arial"/>
          <w:sz w:val="24"/>
          <w:szCs w:val="24"/>
          <w:lang w:val="sq-AL"/>
        </w:rPr>
      </w:pPr>
      <w:r w:rsidRPr="006775BD">
        <w:rPr>
          <w:noProof/>
        </w:rPr>
        <w:drawing>
          <wp:inline distT="0" distB="0" distL="0" distR="0" wp14:anchorId="46CACBD7" wp14:editId="6CFAD18B">
            <wp:extent cx="5943179" cy="1138238"/>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51269" cy="1139787"/>
                    </a:xfrm>
                    <a:prstGeom prst="rect">
                      <a:avLst/>
                    </a:prstGeom>
                    <a:noFill/>
                    <a:ln>
                      <a:noFill/>
                    </a:ln>
                  </pic:spPr>
                </pic:pic>
              </a:graphicData>
            </a:graphic>
          </wp:inline>
        </w:drawing>
      </w:r>
    </w:p>
    <w:p w14:paraId="67C0EE2C" w14:textId="77777777" w:rsidR="00FD5173" w:rsidRPr="00507460" w:rsidRDefault="00FD5173" w:rsidP="00FD5173">
      <w:pPr>
        <w:spacing w:after="0" w:line="276" w:lineRule="auto"/>
        <w:jc w:val="both"/>
        <w:rPr>
          <w:rFonts w:ascii="Cambria" w:eastAsia="Calibri" w:hAnsi="Cambria" w:cs="Arial"/>
          <w:sz w:val="24"/>
          <w:szCs w:val="24"/>
          <w:lang w:val="sq-AL"/>
        </w:rPr>
      </w:pPr>
    </w:p>
    <w:p w14:paraId="6F7DF622" w14:textId="77777777" w:rsidR="00FD5173" w:rsidRPr="00507460" w:rsidRDefault="00FD5173" w:rsidP="00FD5173">
      <w:pPr>
        <w:spacing w:after="0" w:line="276" w:lineRule="auto"/>
        <w:jc w:val="both"/>
        <w:rPr>
          <w:rFonts w:ascii="Cambria" w:eastAsia="Calibri" w:hAnsi="Cambria" w:cs="Arial"/>
          <w:sz w:val="24"/>
          <w:szCs w:val="24"/>
          <w:lang w:val="sq-AL"/>
        </w:rPr>
      </w:pPr>
    </w:p>
    <w:p w14:paraId="4E586E16" w14:textId="36805CC7" w:rsidR="00FD5173" w:rsidRPr="00507460" w:rsidRDefault="00FD5173" w:rsidP="00954232">
      <w:pPr>
        <w:keepNext/>
        <w:keepLines/>
        <w:numPr>
          <w:ilvl w:val="2"/>
          <w:numId w:val="12"/>
        </w:numPr>
        <w:spacing w:before="40" w:after="0" w:line="276" w:lineRule="auto"/>
        <w:outlineLvl w:val="2"/>
        <w:rPr>
          <w:rFonts w:ascii="Cambria" w:eastAsiaTheme="majorEastAsia" w:hAnsi="Cambria" w:cstheme="majorBidi"/>
          <w:b/>
          <w:sz w:val="24"/>
          <w:szCs w:val="24"/>
          <w:lang w:val="sq-AL"/>
        </w:rPr>
      </w:pPr>
      <w:bookmarkStart w:id="413" w:name="_Toc527191571"/>
      <w:bookmarkStart w:id="414" w:name="_Toc527191603"/>
      <w:bookmarkStart w:id="415" w:name="_Toc527191729"/>
      <w:bookmarkEnd w:id="413"/>
      <w:bookmarkEnd w:id="414"/>
      <w:bookmarkEnd w:id="415"/>
      <w:r w:rsidRPr="00507460">
        <w:rPr>
          <w:rFonts w:ascii="Cambria" w:eastAsiaTheme="majorEastAsia" w:hAnsi="Cambria" w:cstheme="majorBidi"/>
          <w:b/>
          <w:sz w:val="24"/>
          <w:szCs w:val="24"/>
          <w:lang w:val="sq-AL"/>
        </w:rPr>
        <w:t>Prioritetet e Ministrisë së Turizmit dhe Mjedisit për periudhën 202</w:t>
      </w:r>
      <w:r>
        <w:rPr>
          <w:rFonts w:ascii="Cambria" w:eastAsiaTheme="majorEastAsia" w:hAnsi="Cambria" w:cstheme="majorBidi"/>
          <w:b/>
          <w:sz w:val="24"/>
          <w:szCs w:val="24"/>
          <w:lang w:val="sq-AL"/>
        </w:rPr>
        <w:t>6</w:t>
      </w:r>
      <w:r w:rsidRPr="00507460">
        <w:rPr>
          <w:rFonts w:ascii="Cambria" w:eastAsiaTheme="majorEastAsia" w:hAnsi="Cambria" w:cstheme="majorBidi"/>
          <w:b/>
          <w:sz w:val="24"/>
          <w:szCs w:val="24"/>
          <w:lang w:val="sq-AL"/>
        </w:rPr>
        <w:t>-202</w:t>
      </w:r>
      <w:r>
        <w:rPr>
          <w:rFonts w:ascii="Cambria" w:eastAsiaTheme="majorEastAsia" w:hAnsi="Cambria" w:cstheme="majorBidi"/>
          <w:b/>
          <w:sz w:val="24"/>
          <w:szCs w:val="24"/>
          <w:lang w:val="sq-AL"/>
        </w:rPr>
        <w:t>8</w:t>
      </w:r>
    </w:p>
    <w:p w14:paraId="31842606" w14:textId="77777777" w:rsidR="00FD5173" w:rsidRDefault="00FD5173" w:rsidP="00FD5173">
      <w:pPr>
        <w:spacing w:before="120" w:after="120" w:line="276" w:lineRule="auto"/>
        <w:jc w:val="both"/>
        <w:rPr>
          <w:rFonts w:ascii="Cambria" w:eastAsia="Arial" w:hAnsi="Cambria" w:cs="Arial"/>
          <w:sz w:val="24"/>
          <w:szCs w:val="24"/>
          <w:lang w:val="sq-AL" w:eastAsia="en-GB"/>
        </w:rPr>
      </w:pPr>
      <w:r w:rsidRPr="00507460">
        <w:rPr>
          <w:rFonts w:ascii="Cambria" w:eastAsia="Arial" w:hAnsi="Cambria" w:cs="Arial"/>
          <w:sz w:val="24"/>
          <w:szCs w:val="24"/>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35B37A77" w14:textId="77777777" w:rsidR="00FD5173" w:rsidRPr="00507460" w:rsidRDefault="00FD5173" w:rsidP="00FD5173">
      <w:pPr>
        <w:spacing w:before="120" w:after="120" w:line="276" w:lineRule="auto"/>
        <w:jc w:val="both"/>
        <w:rPr>
          <w:rFonts w:ascii="Cambria" w:eastAsia="Arial" w:hAnsi="Cambria" w:cs="Arial"/>
          <w:sz w:val="24"/>
          <w:szCs w:val="24"/>
          <w:lang w:val="sq-AL" w:eastAsia="en-GB"/>
        </w:rPr>
      </w:pPr>
    </w:p>
    <w:p w14:paraId="416DE93E" w14:textId="7FA99AB9" w:rsidR="00FD5173" w:rsidRPr="00FD5173" w:rsidRDefault="00FD5173" w:rsidP="00FD5173">
      <w:pPr>
        <w:spacing w:before="120" w:after="120" w:line="276" w:lineRule="auto"/>
        <w:jc w:val="both"/>
        <w:rPr>
          <w:rFonts w:ascii="Cambria" w:eastAsia="Arial" w:hAnsi="Cambria" w:cs="Arial"/>
          <w:b/>
          <w:bCs/>
          <w:sz w:val="24"/>
          <w:szCs w:val="24"/>
          <w:lang w:val="sq-AL" w:eastAsia="en-GB"/>
        </w:rPr>
      </w:pPr>
      <w:r w:rsidRPr="00FD5173">
        <w:rPr>
          <w:rFonts w:ascii="Cambria" w:eastAsia="Arial" w:hAnsi="Cambria" w:cs="Arial"/>
          <w:b/>
          <w:bCs/>
          <w:sz w:val="24"/>
          <w:szCs w:val="24"/>
          <w:lang w:val="sq-AL" w:eastAsia="en-GB"/>
        </w:rPr>
        <w:t xml:space="preserve">Prioritetet </w:t>
      </w:r>
      <w:r w:rsidRPr="00FD5173">
        <w:rPr>
          <w:rFonts w:ascii="Cambria" w:hAnsi="Cambria" w:cs="Times New Roman"/>
          <w:b/>
          <w:bCs/>
          <w:color w:val="000000" w:themeColor="text1"/>
          <w:sz w:val="24"/>
          <w:szCs w:val="24"/>
          <w:lang w:val="sq-AL"/>
        </w:rPr>
        <w:t>për periudhën 202</w:t>
      </w:r>
      <w:r>
        <w:rPr>
          <w:rFonts w:ascii="Cambria" w:hAnsi="Cambria" w:cs="Times New Roman"/>
          <w:b/>
          <w:bCs/>
          <w:color w:val="000000" w:themeColor="text1"/>
          <w:sz w:val="24"/>
          <w:szCs w:val="24"/>
          <w:lang w:val="sq-AL"/>
        </w:rPr>
        <w:t>6</w:t>
      </w:r>
      <w:r w:rsidRPr="00FD5173">
        <w:rPr>
          <w:rFonts w:ascii="Cambria" w:hAnsi="Cambria" w:cs="Times New Roman"/>
          <w:b/>
          <w:bCs/>
          <w:color w:val="000000" w:themeColor="text1"/>
          <w:sz w:val="24"/>
          <w:szCs w:val="24"/>
          <w:lang w:val="sq-AL"/>
        </w:rPr>
        <w:t>-2028:</w:t>
      </w:r>
    </w:p>
    <w:p w14:paraId="3099CA56" w14:textId="77777777" w:rsidR="00FD5173" w:rsidRPr="00507460" w:rsidRDefault="00FD5173" w:rsidP="00954232">
      <w:pPr>
        <w:numPr>
          <w:ilvl w:val="0"/>
          <w:numId w:val="11"/>
        </w:numPr>
        <w:spacing w:after="0" w:line="276" w:lineRule="auto"/>
        <w:contextualSpacing/>
        <w:jc w:val="both"/>
        <w:rPr>
          <w:rFonts w:ascii="Cambria" w:eastAsia="SimSun" w:hAnsi="Cambria" w:cs="Arial"/>
          <w:sz w:val="24"/>
          <w:szCs w:val="24"/>
          <w:lang w:val="sq-AL"/>
        </w:rPr>
      </w:pPr>
      <w:bookmarkStart w:id="416" w:name="_Hlk168582928"/>
      <w:bookmarkStart w:id="417" w:name="_Hlk159917199"/>
      <w:r w:rsidRPr="00507460">
        <w:rPr>
          <w:rFonts w:ascii="Cambria" w:eastAsia="SimSun" w:hAnsi="Cambria" w:cs="Arial"/>
          <w:sz w:val="24"/>
          <w:szCs w:val="24"/>
          <w:lang w:val="sq-AL"/>
        </w:rPr>
        <w:t>Diversifikimi i produktit turistik për të arritur një turizëm gjithëvjetor duke promovuar gjerësisht Shqipërinë në komunitetin ndërkombëtar s i një destinacion i denjë për konkuruar globalisht;</w:t>
      </w:r>
    </w:p>
    <w:p w14:paraId="16F424C7" w14:textId="77777777" w:rsidR="00FD5173" w:rsidRPr="00507460" w:rsidRDefault="00FD5173" w:rsidP="00954232">
      <w:pPr>
        <w:numPr>
          <w:ilvl w:val="0"/>
          <w:numId w:val="11"/>
        </w:numPr>
        <w:spacing w:after="0" w:line="276" w:lineRule="auto"/>
        <w:contextualSpacing/>
        <w:jc w:val="both"/>
        <w:rPr>
          <w:rFonts w:ascii="Cambria" w:eastAsia="SimSun" w:hAnsi="Cambria" w:cs="Arial"/>
          <w:sz w:val="24"/>
          <w:szCs w:val="24"/>
          <w:lang w:val="sq-AL"/>
        </w:rPr>
      </w:pPr>
      <w:proofErr w:type="spellStart"/>
      <w:r w:rsidRPr="00507460">
        <w:rPr>
          <w:rFonts w:ascii="Cambria" w:eastAsia="SimSun" w:hAnsi="Cambria" w:cs="Arial"/>
          <w:sz w:val="24"/>
          <w:szCs w:val="24"/>
        </w:rPr>
        <w:t>Sigurimi</w:t>
      </w:r>
      <w:proofErr w:type="spellEnd"/>
      <w:r w:rsidRPr="00507460">
        <w:rPr>
          <w:rFonts w:ascii="Cambria" w:eastAsia="SimSun" w:hAnsi="Cambria" w:cs="Arial"/>
          <w:sz w:val="24"/>
          <w:szCs w:val="24"/>
        </w:rPr>
        <w:t xml:space="preserve"> e </w:t>
      </w:r>
      <w:proofErr w:type="spellStart"/>
      <w:r w:rsidRPr="00507460">
        <w:rPr>
          <w:rFonts w:ascii="Cambria" w:eastAsia="SimSun" w:hAnsi="Cambria" w:cs="Arial"/>
          <w:sz w:val="24"/>
          <w:szCs w:val="24"/>
        </w:rPr>
        <w:t>zhvillimi</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i</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qëndrueshëm</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i</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zonës</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bregdetare</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nëpërmjet</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ofrimit</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të</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shërbimit</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të</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pastrimit</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gjatë</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sezonit</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turistik</w:t>
      </w:r>
      <w:proofErr w:type="spellEnd"/>
      <w:r w:rsidRPr="00507460">
        <w:rPr>
          <w:rFonts w:ascii="Cambria" w:eastAsia="SimSun" w:hAnsi="Cambria" w:cs="Arial"/>
          <w:sz w:val="24"/>
          <w:szCs w:val="24"/>
        </w:rPr>
        <w:t xml:space="preserve">, me </w:t>
      </w:r>
      <w:proofErr w:type="spellStart"/>
      <w:r w:rsidRPr="00507460">
        <w:rPr>
          <w:rFonts w:ascii="Cambria" w:eastAsia="SimSun" w:hAnsi="Cambria" w:cs="Arial"/>
          <w:sz w:val="24"/>
          <w:szCs w:val="24"/>
        </w:rPr>
        <w:t>qëllim</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rritjen</w:t>
      </w:r>
      <w:proofErr w:type="spellEnd"/>
      <w:r w:rsidRPr="00507460">
        <w:rPr>
          <w:rFonts w:ascii="Cambria" w:eastAsia="SimSun" w:hAnsi="Cambria" w:cs="Arial"/>
          <w:sz w:val="24"/>
          <w:szCs w:val="24"/>
        </w:rPr>
        <w:t xml:space="preserve"> e </w:t>
      </w:r>
      <w:proofErr w:type="spellStart"/>
      <w:r w:rsidRPr="00507460">
        <w:rPr>
          <w:rFonts w:ascii="Cambria" w:eastAsia="SimSun" w:hAnsi="Cambria" w:cs="Arial"/>
          <w:sz w:val="24"/>
          <w:szCs w:val="24"/>
        </w:rPr>
        <w:t>turistëve</w:t>
      </w:r>
      <w:proofErr w:type="spellEnd"/>
      <w:r w:rsidRPr="00507460">
        <w:rPr>
          <w:rFonts w:ascii="Cambria" w:eastAsia="SimSun" w:hAnsi="Cambria" w:cs="Arial"/>
          <w:sz w:val="24"/>
          <w:szCs w:val="24"/>
        </w:rPr>
        <w:t xml:space="preserve"> </w:t>
      </w:r>
      <w:proofErr w:type="spellStart"/>
      <w:r w:rsidRPr="00507460">
        <w:rPr>
          <w:rFonts w:ascii="Cambria" w:eastAsia="SimSun" w:hAnsi="Cambria" w:cs="Arial"/>
          <w:sz w:val="24"/>
          <w:szCs w:val="24"/>
        </w:rPr>
        <w:t>të</w:t>
      </w:r>
      <w:proofErr w:type="spellEnd"/>
      <w:r w:rsidRPr="00507460">
        <w:rPr>
          <w:rFonts w:ascii="Cambria" w:eastAsia="SimSun" w:hAnsi="Cambria" w:cs="Arial"/>
          <w:sz w:val="24"/>
          <w:szCs w:val="24"/>
        </w:rPr>
        <w:t xml:space="preserve"> </w:t>
      </w:r>
      <w:proofErr w:type="spellStart"/>
      <w:proofErr w:type="gramStart"/>
      <w:r w:rsidRPr="00507460">
        <w:rPr>
          <w:rFonts w:ascii="Cambria" w:eastAsia="SimSun" w:hAnsi="Cambria" w:cs="Arial"/>
          <w:sz w:val="24"/>
          <w:szCs w:val="24"/>
        </w:rPr>
        <w:t>huaj</w:t>
      </w:r>
      <w:proofErr w:type="spellEnd"/>
      <w:r w:rsidRPr="00507460">
        <w:rPr>
          <w:rFonts w:ascii="Cambria" w:eastAsia="SimSun" w:hAnsi="Cambria" w:cs="Arial"/>
          <w:sz w:val="24"/>
          <w:szCs w:val="24"/>
        </w:rPr>
        <w:t>;</w:t>
      </w:r>
      <w:proofErr w:type="gramEnd"/>
    </w:p>
    <w:p w14:paraId="2F33B079" w14:textId="77777777" w:rsidR="00FD5173" w:rsidRPr="00507460" w:rsidRDefault="00FD5173" w:rsidP="00954232">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Zhvillimi i produkteve dhe shërbimeve të reja në turizëm, si dhe përmirësimi i imazhit të vendit duke promovuar produkte lokale;</w:t>
      </w:r>
    </w:p>
    <w:p w14:paraId="6D05E50D" w14:textId="77777777" w:rsidR="00FD5173" w:rsidRPr="00507460" w:rsidRDefault="00FD5173" w:rsidP="00954232">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Përdorimin e burimeve pyjore në mënyrë të qëndrueshme duke e kthyer në element qendror në vlerën e paketës turistike në bregdet, mal, historik e kulturor;</w:t>
      </w:r>
    </w:p>
    <w:p w14:paraId="16310E6C" w14:textId="77777777" w:rsidR="00FD5173" w:rsidRDefault="00FD5173" w:rsidP="00954232">
      <w:pPr>
        <w:numPr>
          <w:ilvl w:val="0"/>
          <w:numId w:val="11"/>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sipërfaqes s</w:t>
      </w:r>
      <w:r>
        <w:rPr>
          <w:rFonts w:ascii="Cambria" w:eastAsia="SimSun" w:hAnsi="Cambria" w:cs="Arial"/>
          <w:sz w:val="24"/>
          <w:szCs w:val="24"/>
          <w:lang w:val="sq-AL"/>
        </w:rPr>
        <w:t>ë</w:t>
      </w:r>
      <w:r w:rsidRPr="00507460">
        <w:rPr>
          <w:rFonts w:ascii="Cambria" w:eastAsia="SimSun" w:hAnsi="Cambria" w:cs="Arial"/>
          <w:sz w:val="24"/>
          <w:szCs w:val="24"/>
          <w:lang w:val="sq-AL"/>
        </w:rPr>
        <w:t xml:space="preserve"> zonave të mbrojtura;</w:t>
      </w:r>
    </w:p>
    <w:p w14:paraId="730311E2" w14:textId="77777777" w:rsidR="00FD5173" w:rsidRPr="003C55AD" w:rsidRDefault="00FD5173" w:rsidP="00954232">
      <w:pPr>
        <w:pStyle w:val="ListParagraph"/>
        <w:numPr>
          <w:ilvl w:val="0"/>
          <w:numId w:val="11"/>
        </w:numPr>
        <w:spacing w:before="100" w:beforeAutospacing="1" w:after="100" w:afterAutospacing="1" w:line="276" w:lineRule="auto"/>
        <w:jc w:val="both"/>
        <w:rPr>
          <w:rFonts w:ascii="Cambria" w:eastAsia="SimSun" w:hAnsi="Cambria" w:cs="Arial"/>
          <w:sz w:val="24"/>
          <w:szCs w:val="24"/>
          <w:lang w:val="sq-AL"/>
        </w:rPr>
      </w:pPr>
      <w:r w:rsidRPr="003C55AD">
        <w:rPr>
          <w:rFonts w:ascii="Cambria" w:eastAsia="SimSun" w:hAnsi="Cambria" w:cs="Arial"/>
          <w:sz w:val="24"/>
          <w:szCs w:val="24"/>
          <w:lang w:val="sq-AL"/>
        </w:rPr>
        <w:lastRenderedPageBreak/>
        <w:t>Koordinimin, monitorimin dhe bashkëpunimin me njësitë e qeverisjes vendore (NJQV), institucionet e administratës publike dhe partnerët ndërkombëtarë në menaxhimin e integruar të mbetjeve, me qëllim kalimin e këtij sektori në ekonomi qarkulluese;</w:t>
      </w:r>
    </w:p>
    <w:p w14:paraId="57D20456" w14:textId="77777777" w:rsidR="00FD5173" w:rsidRPr="003C55AD" w:rsidRDefault="00FD5173" w:rsidP="00954232">
      <w:pPr>
        <w:pStyle w:val="ListParagraph"/>
        <w:numPr>
          <w:ilvl w:val="0"/>
          <w:numId w:val="11"/>
        </w:numPr>
        <w:spacing w:before="100" w:beforeAutospacing="1" w:after="100" w:afterAutospacing="1" w:line="276" w:lineRule="auto"/>
        <w:jc w:val="both"/>
        <w:rPr>
          <w:rFonts w:ascii="Cambria" w:eastAsia="SimSun" w:hAnsi="Cambria" w:cs="Arial"/>
          <w:sz w:val="24"/>
          <w:szCs w:val="24"/>
          <w:lang w:val="sq-AL"/>
        </w:rPr>
      </w:pPr>
      <w:r w:rsidRPr="003C55AD">
        <w:rPr>
          <w:rFonts w:ascii="Cambria" w:eastAsia="SimSun" w:hAnsi="Cambria" w:cs="Arial"/>
          <w:sz w:val="24"/>
          <w:szCs w:val="24"/>
          <w:lang w:val="sq-AL"/>
        </w:rPr>
        <w:t>Promovimin dhe nxitjen e zbatimit të hierarkisë së mbetjeve për zhvillimin gradual të grumbullimit përmes ndarjes në burim e riciklimit në shkallë të gjerë dhe monitorimin e implementimit të standardeve dhe edukimin mjedisor, në përputhje me kompetencat e përcaktuara në VKM nr. 132, datë 06.03.2024 dhe dispozitat në ligjin përkatës për menaxhimin e integruar të mbetjeve.</w:t>
      </w:r>
    </w:p>
    <w:p w14:paraId="2EFD2D30" w14:textId="77777777" w:rsidR="00FD5173" w:rsidRDefault="00FD5173" w:rsidP="00FD5173">
      <w:pPr>
        <w:spacing w:after="0" w:line="276" w:lineRule="auto"/>
        <w:contextualSpacing/>
        <w:jc w:val="both"/>
        <w:rPr>
          <w:rFonts w:ascii="Cambria" w:eastAsia="SimSun" w:hAnsi="Cambria" w:cs="Arial"/>
          <w:sz w:val="24"/>
          <w:szCs w:val="24"/>
          <w:lang w:val="sq-AL"/>
        </w:rPr>
      </w:pPr>
    </w:p>
    <w:p w14:paraId="715757D0" w14:textId="77777777" w:rsidR="00FD5173" w:rsidRDefault="00FD5173" w:rsidP="00FD5173">
      <w:pPr>
        <w:spacing w:after="0" w:line="276" w:lineRule="auto"/>
        <w:contextualSpacing/>
        <w:jc w:val="both"/>
        <w:rPr>
          <w:rFonts w:ascii="Cambria" w:eastAsia="SimSun" w:hAnsi="Cambria" w:cs="Arial"/>
          <w:sz w:val="24"/>
          <w:szCs w:val="24"/>
          <w:lang w:val="sq-AL"/>
        </w:rPr>
      </w:pPr>
    </w:p>
    <w:p w14:paraId="28EF9787" w14:textId="77777777" w:rsidR="00FD5173" w:rsidRDefault="00FD5173" w:rsidP="00FD5173">
      <w:pPr>
        <w:spacing w:after="0" w:line="276" w:lineRule="auto"/>
        <w:contextualSpacing/>
        <w:jc w:val="both"/>
        <w:rPr>
          <w:rFonts w:ascii="Cambria" w:eastAsia="SimSun" w:hAnsi="Cambria" w:cs="Arial"/>
          <w:sz w:val="24"/>
          <w:szCs w:val="24"/>
          <w:lang w:val="sq-AL"/>
        </w:rPr>
      </w:pPr>
    </w:p>
    <w:bookmarkEnd w:id="416"/>
    <w:bookmarkEnd w:id="417"/>
    <w:p w14:paraId="493A150C" w14:textId="7B03CE9B" w:rsidR="00FD5173" w:rsidRPr="00943F9C" w:rsidRDefault="00FD5173" w:rsidP="00FD5173">
      <w:pPr>
        <w:pStyle w:val="Caption"/>
        <w:jc w:val="both"/>
        <w:rPr>
          <w:rFonts w:ascii="Times New Roman" w:eastAsia="Calibri" w:hAnsi="Times New Roman" w:cs="Times New Roman"/>
          <w:bCs w:val="0"/>
          <w:color w:val="auto"/>
          <w:sz w:val="22"/>
          <w:szCs w:val="22"/>
          <w:lang w:val="sq-AL"/>
        </w:rPr>
      </w:pPr>
      <w:proofErr w:type="spellStart"/>
      <w:r w:rsidRPr="00943F9C">
        <w:rPr>
          <w:rFonts w:ascii="Times New Roman" w:hAnsi="Times New Roman" w:cs="Times New Roman"/>
          <w:color w:val="auto"/>
          <w:sz w:val="22"/>
          <w:szCs w:val="22"/>
        </w:rPr>
        <w:t>Tabela</w:t>
      </w:r>
      <w:proofErr w:type="spellEnd"/>
      <w:r w:rsidRPr="00943F9C">
        <w:rPr>
          <w:rFonts w:ascii="Times New Roman" w:hAnsi="Times New Roman" w:cs="Times New Roman"/>
          <w:color w:val="auto"/>
          <w:sz w:val="22"/>
          <w:szCs w:val="22"/>
        </w:rPr>
        <w:t xml:space="preserve"> </w:t>
      </w:r>
      <w:r w:rsidRPr="00943F9C">
        <w:rPr>
          <w:rFonts w:ascii="Times New Roman" w:hAnsi="Times New Roman" w:cs="Times New Roman"/>
          <w:color w:val="auto"/>
          <w:sz w:val="22"/>
          <w:szCs w:val="22"/>
        </w:rPr>
        <w:fldChar w:fldCharType="begin"/>
      </w:r>
      <w:r w:rsidRPr="00943F9C">
        <w:rPr>
          <w:rFonts w:ascii="Times New Roman" w:hAnsi="Times New Roman" w:cs="Times New Roman"/>
          <w:color w:val="auto"/>
          <w:sz w:val="22"/>
          <w:szCs w:val="22"/>
        </w:rPr>
        <w:instrText xml:space="preserve"> SEQ Tabela \* ARABIC </w:instrText>
      </w:r>
      <w:r w:rsidRPr="00943F9C">
        <w:rPr>
          <w:rFonts w:ascii="Times New Roman" w:hAnsi="Times New Roman" w:cs="Times New Roman"/>
          <w:color w:val="auto"/>
          <w:sz w:val="22"/>
          <w:szCs w:val="22"/>
        </w:rPr>
        <w:fldChar w:fldCharType="separate"/>
      </w:r>
      <w:r w:rsidR="009113BE">
        <w:rPr>
          <w:rFonts w:ascii="Times New Roman" w:hAnsi="Times New Roman" w:cs="Times New Roman"/>
          <w:noProof/>
          <w:color w:val="auto"/>
          <w:sz w:val="22"/>
          <w:szCs w:val="22"/>
        </w:rPr>
        <w:t>22</w:t>
      </w:r>
      <w:r w:rsidRPr="00943F9C">
        <w:rPr>
          <w:rFonts w:ascii="Times New Roman" w:hAnsi="Times New Roman" w:cs="Times New Roman"/>
          <w:color w:val="auto"/>
          <w:sz w:val="22"/>
          <w:szCs w:val="22"/>
        </w:rPr>
        <w:fldChar w:fldCharType="end"/>
      </w:r>
      <w:r w:rsidRPr="00943F9C">
        <w:rPr>
          <w:rFonts w:ascii="Times New Roman" w:eastAsia="SimSun" w:hAnsi="Times New Roman" w:cs="Times New Roman"/>
          <w:bCs w:val="0"/>
          <w:color w:val="auto"/>
          <w:sz w:val="22"/>
          <w:szCs w:val="22"/>
          <w:lang w:val="sq-AL"/>
        </w:rPr>
        <w:t xml:space="preserve">: Shpenzimet për Ministrinë e </w:t>
      </w:r>
      <w:r w:rsidRPr="00943F9C">
        <w:rPr>
          <w:rFonts w:ascii="Times New Roman" w:eastAsia="Calibri" w:hAnsi="Times New Roman" w:cs="Times New Roman"/>
          <w:bCs w:val="0"/>
          <w:color w:val="auto"/>
          <w:sz w:val="22"/>
          <w:szCs w:val="22"/>
          <w:lang w:val="sq-AL"/>
        </w:rPr>
        <w:t>Turizmit dhe Mjedisit sipas programeve buxhetore dhe sipas artikujve ekonomikë</w:t>
      </w:r>
    </w:p>
    <w:p w14:paraId="54464E77" w14:textId="77777777" w:rsidR="00FD5173" w:rsidRPr="00507460" w:rsidRDefault="00FD5173" w:rsidP="00FD5173">
      <w:pPr>
        <w:spacing w:after="0" w:line="276" w:lineRule="auto"/>
        <w:ind w:left="-450"/>
        <w:contextualSpacing/>
        <w:jc w:val="right"/>
        <w:rPr>
          <w:rFonts w:ascii="Cambria" w:eastAsia="Calibri" w:hAnsi="Cambria" w:cs="Times New Roman"/>
          <w:b/>
          <w:noProof/>
          <w:sz w:val="24"/>
          <w:szCs w:val="24"/>
        </w:rPr>
      </w:pPr>
      <w:r w:rsidRPr="006775BD">
        <w:rPr>
          <w:noProof/>
        </w:rPr>
        <w:drawing>
          <wp:inline distT="0" distB="0" distL="0" distR="0" wp14:anchorId="6D45A48D" wp14:editId="5554538E">
            <wp:extent cx="6186032" cy="452368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92271" cy="4528244"/>
                    </a:xfrm>
                    <a:prstGeom prst="rect">
                      <a:avLst/>
                    </a:prstGeom>
                    <a:noFill/>
                    <a:ln>
                      <a:noFill/>
                    </a:ln>
                  </pic:spPr>
                </pic:pic>
              </a:graphicData>
            </a:graphic>
          </wp:inline>
        </w:drawing>
      </w:r>
    </w:p>
    <w:p w14:paraId="283D14A8" w14:textId="77777777" w:rsidR="00FD5173" w:rsidRDefault="00FD5173" w:rsidP="00FD5173">
      <w:pPr>
        <w:spacing w:after="0" w:line="276" w:lineRule="auto"/>
        <w:contextualSpacing/>
        <w:jc w:val="both"/>
        <w:rPr>
          <w:rFonts w:ascii="Cambria" w:eastAsia="Calibri" w:hAnsi="Cambria" w:cs="Times New Roman"/>
          <w:noProof/>
          <w:sz w:val="24"/>
          <w:szCs w:val="24"/>
        </w:rPr>
      </w:pPr>
    </w:p>
    <w:p w14:paraId="4A4E3A50" w14:textId="77777777" w:rsidR="00FD5173" w:rsidRPr="00507460" w:rsidRDefault="00FD5173" w:rsidP="00FD5173">
      <w:pPr>
        <w:spacing w:after="0" w:line="276" w:lineRule="auto"/>
        <w:contextualSpacing/>
        <w:jc w:val="both"/>
        <w:rPr>
          <w:rFonts w:ascii="Cambria" w:eastAsia="Calibri" w:hAnsi="Cambria" w:cs="Times New Roman"/>
          <w:noProof/>
          <w:sz w:val="24"/>
          <w:szCs w:val="24"/>
        </w:rPr>
      </w:pPr>
    </w:p>
    <w:p w14:paraId="361FDB44" w14:textId="77777777" w:rsidR="00FD5173" w:rsidRDefault="00FD5173" w:rsidP="00954232">
      <w:pPr>
        <w:keepNext/>
        <w:keepLines/>
        <w:numPr>
          <w:ilvl w:val="2"/>
          <w:numId w:val="12"/>
        </w:numPr>
        <w:spacing w:before="40" w:after="0" w:line="276" w:lineRule="auto"/>
        <w:outlineLvl w:val="2"/>
        <w:rPr>
          <w:rFonts w:ascii="Cambria" w:eastAsia="Calibri" w:hAnsi="Cambria" w:cs="Times New Roman"/>
          <w:b/>
          <w:sz w:val="24"/>
          <w:szCs w:val="24"/>
          <w:lang w:val="sq-AL"/>
        </w:rPr>
      </w:pPr>
      <w:r w:rsidRPr="00507460">
        <w:rPr>
          <w:rFonts w:ascii="Cambria" w:eastAsia="Calibri" w:hAnsi="Cambria" w:cs="Times New Roman"/>
          <w:b/>
          <w:sz w:val="24"/>
          <w:szCs w:val="24"/>
          <w:lang w:val="sq-AL"/>
        </w:rPr>
        <w:lastRenderedPageBreak/>
        <w:t>Përmbledhje e Treguesve Kyç të Performancës</w:t>
      </w:r>
    </w:p>
    <w:p w14:paraId="7F2B8F20" w14:textId="77777777" w:rsidR="00FD5173" w:rsidRPr="006775BD" w:rsidRDefault="00FD5173" w:rsidP="00FD5173">
      <w:pPr>
        <w:keepNext/>
        <w:keepLines/>
        <w:spacing w:before="40" w:after="0" w:line="276" w:lineRule="auto"/>
        <w:ind w:left="720"/>
        <w:outlineLvl w:val="2"/>
        <w:rPr>
          <w:rFonts w:ascii="Cambria" w:eastAsia="Calibri" w:hAnsi="Cambria" w:cs="Times New Roman"/>
          <w:b/>
          <w:sz w:val="24"/>
          <w:szCs w:val="24"/>
          <w:lang w:val="sq-AL"/>
        </w:rPr>
      </w:pPr>
    </w:p>
    <w:p w14:paraId="451EAD25" w14:textId="5A654D7B" w:rsidR="00FD5173" w:rsidRPr="00507460" w:rsidRDefault="00FD5173" w:rsidP="00FD5173">
      <w:pPr>
        <w:spacing w:after="120" w:line="276" w:lineRule="auto"/>
        <w:jc w:val="both"/>
        <w:rPr>
          <w:rFonts w:ascii="Cambria" w:eastAsia="Arial" w:hAnsi="Cambria" w:cs="Arial"/>
          <w:sz w:val="24"/>
          <w:szCs w:val="24"/>
          <w:lang w:val="sq-AL" w:eastAsia="en-GB"/>
        </w:rPr>
      </w:pPr>
      <w:r w:rsidRPr="00507460">
        <w:rPr>
          <w:rFonts w:ascii="Cambria" w:eastAsia="Times New Roman" w:hAnsi="Cambria" w:cs="Arial"/>
          <w:sz w:val="24"/>
          <w:szCs w:val="24"/>
          <w:lang w:val="sq-AL"/>
        </w:rPr>
        <w:t xml:space="preserve">Treguesit e performancës që synohen të arrihen </w:t>
      </w:r>
      <w:r w:rsidRPr="00507460">
        <w:rPr>
          <w:rFonts w:ascii="Cambria" w:eastAsia="Arial" w:hAnsi="Cambria" w:cs="Arial"/>
          <w:sz w:val="24"/>
          <w:szCs w:val="24"/>
          <w:lang w:val="sq-AL" w:eastAsia="en-GB"/>
        </w:rPr>
        <w:t>gjatë periudhës 202</w:t>
      </w:r>
      <w:r>
        <w:rPr>
          <w:rFonts w:ascii="Cambria" w:eastAsia="Arial" w:hAnsi="Cambria" w:cs="Arial"/>
          <w:sz w:val="24"/>
          <w:szCs w:val="24"/>
          <w:lang w:val="sq-AL" w:eastAsia="en-GB"/>
        </w:rPr>
        <w:t>6</w:t>
      </w:r>
      <w:r w:rsidRPr="00507460">
        <w:rPr>
          <w:rFonts w:ascii="Cambria" w:eastAsia="Arial" w:hAnsi="Cambria" w:cs="Arial"/>
          <w:sz w:val="24"/>
          <w:szCs w:val="24"/>
          <w:lang w:val="sq-AL" w:eastAsia="en-GB"/>
        </w:rPr>
        <w:t>-202</w:t>
      </w:r>
      <w:r>
        <w:rPr>
          <w:rFonts w:ascii="Cambria" w:eastAsia="Arial" w:hAnsi="Cambria" w:cs="Arial"/>
          <w:sz w:val="24"/>
          <w:szCs w:val="24"/>
          <w:lang w:val="sq-AL" w:eastAsia="en-GB"/>
        </w:rPr>
        <w:t>8</w:t>
      </w:r>
      <w:r w:rsidRPr="00507460">
        <w:rPr>
          <w:rFonts w:ascii="Cambria" w:eastAsia="Arial" w:hAnsi="Cambria" w:cs="Arial"/>
          <w:sz w:val="24"/>
          <w:szCs w:val="24"/>
          <w:lang w:val="sq-AL" w:eastAsia="en-GB"/>
        </w:rPr>
        <w:t>:</w:t>
      </w:r>
    </w:p>
    <w:p w14:paraId="44E53B49"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kontributit direkt që ka Turizmi në Produktin e Brendshëm Bruto;</w:t>
      </w:r>
    </w:p>
    <w:p w14:paraId="29202701"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përpjesës së punësimit në sektorin e Turizmit ndaj totalit të të punësuarve në vend;</w:t>
      </w:r>
    </w:p>
    <w:p w14:paraId="51850FC7"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Pr>
          <w:rFonts w:ascii="Cambria" w:eastAsia="SimSun" w:hAnsi="Cambria" w:cs="Arial"/>
          <w:sz w:val="24"/>
          <w:szCs w:val="24"/>
          <w:lang w:val="sq-AL"/>
        </w:rPr>
        <w:t>Rritja</w:t>
      </w:r>
      <w:r w:rsidRPr="00507460">
        <w:rPr>
          <w:rFonts w:ascii="Cambria" w:eastAsia="SimSun" w:hAnsi="Cambria" w:cs="Arial"/>
          <w:sz w:val="24"/>
          <w:szCs w:val="24"/>
          <w:lang w:val="sq-AL"/>
        </w:rPr>
        <w:t xml:space="preserve"> e numrit të bizneseve në sektorin e agriturizmit</w:t>
      </w:r>
      <w:r>
        <w:rPr>
          <w:rFonts w:ascii="Cambria" w:eastAsia="SimSun" w:hAnsi="Cambria" w:cs="Arial"/>
          <w:sz w:val="24"/>
          <w:szCs w:val="24"/>
          <w:lang w:val="sq-AL"/>
        </w:rPr>
        <w:t>;</w:t>
      </w:r>
    </w:p>
    <w:p w14:paraId="78BB2AE5"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Diversifikimi i produktit turistik për të arritur një turizëm gjithëvjetor;</w:t>
      </w:r>
    </w:p>
    <w:p w14:paraId="3F6978B8"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Arritja e përmirësimeve të matshme të cilësisë së ajrit sipas përcaktimeve në strategjinë kombëtare të ajrit;</w:t>
      </w:r>
    </w:p>
    <w:p w14:paraId="4C49097A"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Përmirësimi i performancës së menaxhimit të integruar të mbetjeve;</w:t>
      </w:r>
    </w:p>
    <w:p w14:paraId="28FD76F9"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sipërfaqes se zonave të mbrojtura në 24% deri në fund të vitit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1EC9E648"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Rritja e përqindjes së mbetjeve që shkojnë në landfille sanitare kundrejt mbetjeve të hedhura në venddepozitime të hapura në 6</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429417FF"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 xml:space="preserve">Rritja në përqindje e mbetjeve të ricikluara në </w:t>
      </w:r>
      <w:r>
        <w:rPr>
          <w:rFonts w:ascii="Cambria" w:eastAsia="SimSun" w:hAnsi="Cambria" w:cs="Arial"/>
          <w:sz w:val="24"/>
          <w:szCs w:val="24"/>
          <w:lang w:val="sq-AL"/>
        </w:rPr>
        <w:t>20</w:t>
      </w:r>
      <w:r w:rsidRPr="00507460">
        <w:rPr>
          <w:rFonts w:ascii="Cambria" w:eastAsia="SimSun" w:hAnsi="Cambria" w:cs="Arial"/>
          <w:sz w:val="24"/>
          <w:szCs w:val="24"/>
          <w:lang w:val="sq-AL"/>
        </w:rPr>
        <w:t>%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4669622F"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6</w:t>
      </w:r>
      <w:r>
        <w:rPr>
          <w:rFonts w:ascii="Cambria" w:eastAsia="SimSun" w:hAnsi="Cambria" w:cs="Arial"/>
          <w:sz w:val="24"/>
          <w:szCs w:val="24"/>
          <w:lang w:val="sq-AL"/>
        </w:rPr>
        <w:t>9</w:t>
      </w:r>
      <w:r w:rsidRPr="00507460">
        <w:rPr>
          <w:rFonts w:ascii="Cambria" w:eastAsia="SimSun" w:hAnsi="Cambria" w:cs="Arial"/>
          <w:sz w:val="24"/>
          <w:szCs w:val="24"/>
          <w:lang w:val="sq-AL"/>
        </w:rPr>
        <w:t>% e grave në fund të vitit 202</w:t>
      </w:r>
      <w:r>
        <w:rPr>
          <w:rFonts w:ascii="Cambria" w:eastAsia="SimSun" w:hAnsi="Cambria" w:cs="Arial"/>
          <w:sz w:val="24"/>
          <w:szCs w:val="24"/>
          <w:lang w:val="sq-AL"/>
        </w:rPr>
        <w:t>8</w:t>
      </w:r>
      <w:r w:rsidRPr="00507460">
        <w:rPr>
          <w:rFonts w:ascii="Cambria" w:eastAsia="SimSun" w:hAnsi="Cambria" w:cs="Arial"/>
          <w:sz w:val="24"/>
          <w:szCs w:val="24"/>
          <w:lang w:val="sq-AL"/>
        </w:rPr>
        <w:t xml:space="preserve"> informohen mbi ndryshimet klimaterike në zonat e mbrojtura;</w:t>
      </w:r>
    </w:p>
    <w:p w14:paraId="53E88907"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Niveli i punësimit në sektorin e turizmit  deri në 8.</w:t>
      </w:r>
      <w:r>
        <w:rPr>
          <w:rFonts w:ascii="Cambria" w:eastAsia="SimSun" w:hAnsi="Cambria" w:cs="Arial"/>
          <w:sz w:val="24"/>
          <w:szCs w:val="24"/>
          <w:lang w:val="sq-AL"/>
        </w:rPr>
        <w:t>8</w:t>
      </w:r>
      <w:r w:rsidRPr="00507460">
        <w:rPr>
          <w:rFonts w:ascii="Cambria" w:eastAsia="SimSun" w:hAnsi="Cambria" w:cs="Arial"/>
          <w:sz w:val="24"/>
          <w:szCs w:val="24"/>
          <w:lang w:val="sq-AL"/>
        </w:rPr>
        <w:t>% deri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1ADDB739" w14:textId="77777777" w:rsidR="00FD5173" w:rsidRPr="00507460" w:rsidRDefault="00FD5173" w:rsidP="00954232">
      <w:pPr>
        <w:numPr>
          <w:ilvl w:val="0"/>
          <w:numId w:val="2"/>
        </w:numPr>
        <w:spacing w:after="0" w:line="276" w:lineRule="auto"/>
        <w:contextualSpacing/>
        <w:jc w:val="both"/>
        <w:rPr>
          <w:rFonts w:ascii="Cambria" w:eastAsia="SimSun" w:hAnsi="Cambria" w:cs="Arial"/>
          <w:sz w:val="24"/>
          <w:szCs w:val="24"/>
          <w:lang w:val="sq-AL"/>
        </w:rPr>
      </w:pPr>
      <w:r w:rsidRPr="00507460">
        <w:rPr>
          <w:rFonts w:ascii="Cambria" w:eastAsia="SimSun" w:hAnsi="Cambria" w:cs="Arial"/>
          <w:sz w:val="24"/>
          <w:szCs w:val="24"/>
          <w:lang w:val="sq-AL"/>
        </w:rPr>
        <w:t>Kontributi i Turizmit në PBB të shkojë në 3</w:t>
      </w:r>
      <w:r>
        <w:rPr>
          <w:rFonts w:ascii="Cambria" w:eastAsia="SimSun" w:hAnsi="Cambria" w:cs="Arial"/>
          <w:sz w:val="24"/>
          <w:szCs w:val="24"/>
          <w:lang w:val="sq-AL"/>
        </w:rPr>
        <w:t>3</w:t>
      </w:r>
      <w:r w:rsidRPr="00507460">
        <w:rPr>
          <w:rFonts w:ascii="Cambria" w:eastAsia="SimSun" w:hAnsi="Cambria" w:cs="Arial"/>
          <w:sz w:val="24"/>
          <w:szCs w:val="24"/>
          <w:lang w:val="sq-AL"/>
        </w:rPr>
        <w:t>% në vitin 202</w:t>
      </w:r>
      <w:r>
        <w:rPr>
          <w:rFonts w:ascii="Cambria" w:eastAsia="SimSun" w:hAnsi="Cambria" w:cs="Arial"/>
          <w:sz w:val="24"/>
          <w:szCs w:val="24"/>
          <w:lang w:val="sq-AL"/>
        </w:rPr>
        <w:t>8</w:t>
      </w:r>
      <w:r w:rsidRPr="00507460">
        <w:rPr>
          <w:rFonts w:ascii="Cambria" w:eastAsia="SimSun" w:hAnsi="Cambria" w:cs="Arial"/>
          <w:sz w:val="24"/>
          <w:szCs w:val="24"/>
          <w:lang w:val="sq-AL"/>
        </w:rPr>
        <w:t>.</w:t>
      </w:r>
    </w:p>
    <w:p w14:paraId="48252EA1" w14:textId="77777777" w:rsidR="00AF2757" w:rsidRPr="00E24ECC" w:rsidRDefault="00AF2757" w:rsidP="005B66E4">
      <w:pPr>
        <w:spacing w:line="276" w:lineRule="auto"/>
        <w:rPr>
          <w:sz w:val="24"/>
          <w:szCs w:val="24"/>
          <w:lang w:val="sq-AL" w:eastAsia="sq-AL"/>
        </w:rPr>
      </w:pPr>
    </w:p>
    <w:p w14:paraId="557AABAE"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418" w:name="_Toc518557935"/>
      <w:bookmarkStart w:id="419" w:name="_Toc518558009"/>
      <w:bookmarkStart w:id="420" w:name="_Toc518558034"/>
      <w:bookmarkStart w:id="421" w:name="_Toc518558065"/>
      <w:bookmarkStart w:id="422" w:name="_Toc518558096"/>
      <w:bookmarkStart w:id="423" w:name="_Toc518558354"/>
      <w:bookmarkStart w:id="424" w:name="_Toc518558376"/>
      <w:bookmarkStart w:id="425" w:name="_Toc518558897"/>
      <w:bookmarkStart w:id="426" w:name="_Toc518559020"/>
      <w:bookmarkStart w:id="427" w:name="_Toc518559250"/>
      <w:bookmarkStart w:id="428" w:name="_Toc518562265"/>
      <w:bookmarkStart w:id="429" w:name="_Toc527191572"/>
      <w:bookmarkStart w:id="430" w:name="_Toc527191604"/>
      <w:bookmarkStart w:id="431" w:name="_Toc527191730"/>
      <w:bookmarkStart w:id="432" w:name="_Toc527192133"/>
      <w:bookmarkStart w:id="433" w:name="_Toc527192183"/>
      <w:bookmarkStart w:id="434" w:name="_Toc527530928"/>
      <w:bookmarkStart w:id="435" w:name="_Toc354465"/>
      <w:bookmarkStart w:id="436" w:name="_Toc516546"/>
      <w:bookmarkStart w:id="437" w:name="_Toc12009302"/>
      <w:bookmarkStart w:id="438" w:name="_Toc12014090"/>
      <w:bookmarkStart w:id="439" w:name="_Toc12014161"/>
      <w:bookmarkStart w:id="440" w:name="_Toc12014394"/>
      <w:bookmarkStart w:id="441" w:name="_Toc12014424"/>
      <w:bookmarkStart w:id="442" w:name="_Toc12014544"/>
      <w:bookmarkStart w:id="443" w:name="_Toc12016561"/>
      <w:bookmarkStart w:id="444" w:name="_Toc12260723"/>
      <w:bookmarkStart w:id="445" w:name="_Toc12533840"/>
      <w:bookmarkStart w:id="446" w:name="_Toc12534353"/>
      <w:bookmarkStart w:id="447" w:name="_Toc12536778"/>
      <w:bookmarkStart w:id="448" w:name="_Toc12536809"/>
      <w:bookmarkStart w:id="449" w:name="_Toc12541866"/>
      <w:bookmarkStart w:id="450" w:name="_Toc12876755"/>
      <w:bookmarkStart w:id="451" w:name="_Toc12955095"/>
      <w:bookmarkStart w:id="452" w:name="_Toc12963513"/>
      <w:bookmarkStart w:id="453" w:name="_Toc12976989"/>
      <w:bookmarkStart w:id="454" w:name="_Toc13476488"/>
      <w:bookmarkStart w:id="455" w:name="_Toc13478532"/>
      <w:bookmarkStart w:id="456" w:name="_Toc13653944"/>
      <w:bookmarkStart w:id="457" w:name="_Toc13653988"/>
      <w:bookmarkStart w:id="458" w:name="_Toc20906555"/>
      <w:bookmarkStart w:id="459" w:name="_Toc20914564"/>
      <w:bookmarkStart w:id="460" w:name="_Toc20914762"/>
      <w:bookmarkStart w:id="461" w:name="_Toc20914881"/>
      <w:bookmarkStart w:id="462" w:name="_Toc20920378"/>
      <w:bookmarkStart w:id="463" w:name="_Toc21076174"/>
      <w:bookmarkStart w:id="464" w:name="_Toc21076203"/>
      <w:bookmarkStart w:id="465" w:name="_Toc21076413"/>
      <w:bookmarkStart w:id="466" w:name="_Toc21076650"/>
      <w:bookmarkStart w:id="467" w:name="_Toc21076687"/>
      <w:bookmarkStart w:id="468" w:name="_Toc21076852"/>
      <w:bookmarkStart w:id="469" w:name="_Toc21076882"/>
      <w:bookmarkStart w:id="470" w:name="_Toc31801847"/>
      <w:bookmarkStart w:id="471" w:name="_Toc32317795"/>
      <w:bookmarkStart w:id="472" w:name="_Toc32317979"/>
      <w:bookmarkStart w:id="473" w:name="_Toc32329855"/>
      <w:bookmarkStart w:id="474" w:name="_Toc32330014"/>
      <w:bookmarkStart w:id="475" w:name="_Toc32408372"/>
      <w:bookmarkStart w:id="476" w:name="_Toc32414958"/>
      <w:bookmarkStart w:id="477" w:name="_Toc33087740"/>
      <w:bookmarkStart w:id="478" w:name="_Toc33537249"/>
      <w:bookmarkStart w:id="479" w:name="_Toc33537280"/>
      <w:bookmarkStart w:id="480" w:name="_Toc33689416"/>
      <w:bookmarkStart w:id="481" w:name="_Toc33709889"/>
      <w:bookmarkStart w:id="482" w:name="_Toc51663661"/>
      <w:bookmarkStart w:id="483" w:name="_Toc51665219"/>
      <w:bookmarkStart w:id="484" w:name="_Toc51665737"/>
      <w:bookmarkStart w:id="485" w:name="_Toc51665844"/>
      <w:bookmarkStart w:id="486" w:name="_Toc51666039"/>
      <w:bookmarkStart w:id="487" w:name="_Toc51682367"/>
      <w:bookmarkStart w:id="488" w:name="_Toc51682508"/>
      <w:bookmarkStart w:id="489" w:name="_Toc52372755"/>
      <w:bookmarkStart w:id="490" w:name="_Toc52372882"/>
      <w:bookmarkStart w:id="491" w:name="_Toc53495383"/>
      <w:bookmarkStart w:id="492" w:name="_Toc56674443"/>
      <w:bookmarkStart w:id="493" w:name="_Toc56674476"/>
      <w:bookmarkStart w:id="494" w:name="_Toc63755899"/>
      <w:bookmarkStart w:id="495" w:name="_Toc63757093"/>
      <w:bookmarkStart w:id="496" w:name="_Toc65680644"/>
      <w:bookmarkStart w:id="497" w:name="_Toc76386759"/>
      <w:bookmarkStart w:id="498" w:name="_Toc76386808"/>
      <w:bookmarkStart w:id="499" w:name="_Toc76642311"/>
      <w:bookmarkStart w:id="500" w:name="_Toc76644143"/>
      <w:bookmarkStart w:id="501" w:name="_Toc84421986"/>
      <w:bookmarkStart w:id="502" w:name="_Toc84514363"/>
      <w:bookmarkStart w:id="503" w:name="_Toc84514855"/>
      <w:bookmarkStart w:id="504" w:name="_Toc84515088"/>
      <w:bookmarkStart w:id="505" w:name="_Toc84515313"/>
      <w:bookmarkStart w:id="506" w:name="_Toc84515346"/>
      <w:bookmarkStart w:id="507" w:name="_Toc106355916"/>
      <w:bookmarkStart w:id="508" w:name="_Toc106616406"/>
      <w:bookmarkStart w:id="509" w:name="_Toc106706223"/>
      <w:bookmarkStart w:id="510" w:name="_Toc106706252"/>
      <w:bookmarkStart w:id="511" w:name="_Toc106707088"/>
      <w:bookmarkStart w:id="512" w:name="_Toc109648651"/>
      <w:bookmarkStart w:id="513" w:name="_Toc136427487"/>
      <w:bookmarkStart w:id="514" w:name="_Toc168582432"/>
      <w:bookmarkStart w:id="515" w:name="_Toc168649929"/>
      <w:bookmarkStart w:id="516" w:name="_Toc168654276"/>
      <w:bookmarkStart w:id="517" w:name="_Toc168659319"/>
      <w:bookmarkStart w:id="518" w:name="_Toc200704926"/>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E192034"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519" w:name="_Toc518557936"/>
      <w:bookmarkStart w:id="520" w:name="_Toc518558010"/>
      <w:bookmarkStart w:id="521" w:name="_Toc518558035"/>
      <w:bookmarkStart w:id="522" w:name="_Toc518558066"/>
      <w:bookmarkStart w:id="523" w:name="_Toc518558097"/>
      <w:bookmarkStart w:id="524" w:name="_Toc518558355"/>
      <w:bookmarkStart w:id="525" w:name="_Toc518558377"/>
      <w:bookmarkStart w:id="526" w:name="_Toc518558898"/>
      <w:bookmarkStart w:id="527" w:name="_Toc518559021"/>
      <w:bookmarkStart w:id="528" w:name="_Toc518559251"/>
      <w:bookmarkStart w:id="529" w:name="_Toc518562266"/>
      <w:bookmarkStart w:id="530" w:name="_Toc527191573"/>
      <w:bookmarkStart w:id="531" w:name="_Toc527191605"/>
      <w:bookmarkStart w:id="532" w:name="_Toc527191731"/>
      <w:bookmarkStart w:id="533" w:name="_Toc527192134"/>
      <w:bookmarkStart w:id="534" w:name="_Toc527192184"/>
      <w:bookmarkStart w:id="535" w:name="_Toc527530929"/>
      <w:bookmarkStart w:id="536" w:name="_Toc354466"/>
      <w:bookmarkStart w:id="537" w:name="_Toc516547"/>
      <w:bookmarkStart w:id="538" w:name="_Toc12009303"/>
      <w:bookmarkStart w:id="539" w:name="_Toc12014091"/>
      <w:bookmarkStart w:id="540" w:name="_Toc12014162"/>
      <w:bookmarkStart w:id="541" w:name="_Toc12014395"/>
      <w:bookmarkStart w:id="542" w:name="_Toc12014425"/>
      <w:bookmarkStart w:id="543" w:name="_Toc12014545"/>
      <w:bookmarkStart w:id="544" w:name="_Toc12016562"/>
      <w:bookmarkStart w:id="545" w:name="_Toc12260724"/>
      <w:bookmarkStart w:id="546" w:name="_Toc12533841"/>
      <w:bookmarkStart w:id="547" w:name="_Toc12534354"/>
      <w:bookmarkStart w:id="548" w:name="_Toc12536779"/>
      <w:bookmarkStart w:id="549" w:name="_Toc12536810"/>
      <w:bookmarkStart w:id="550" w:name="_Toc12541867"/>
      <w:bookmarkStart w:id="551" w:name="_Toc12876756"/>
      <w:bookmarkStart w:id="552" w:name="_Toc12955096"/>
      <w:bookmarkStart w:id="553" w:name="_Toc12963514"/>
      <w:bookmarkStart w:id="554" w:name="_Toc12976990"/>
      <w:bookmarkStart w:id="555" w:name="_Toc13476489"/>
      <w:bookmarkStart w:id="556" w:name="_Toc13478533"/>
      <w:bookmarkStart w:id="557" w:name="_Toc13653945"/>
      <w:bookmarkStart w:id="558" w:name="_Toc13653989"/>
      <w:bookmarkStart w:id="559" w:name="_Toc20906556"/>
      <w:bookmarkStart w:id="560" w:name="_Toc20914565"/>
      <w:bookmarkStart w:id="561" w:name="_Toc20914763"/>
      <w:bookmarkStart w:id="562" w:name="_Toc20914882"/>
      <w:bookmarkStart w:id="563" w:name="_Toc20920379"/>
      <w:bookmarkStart w:id="564" w:name="_Toc21076175"/>
      <w:bookmarkStart w:id="565" w:name="_Toc21076204"/>
      <w:bookmarkStart w:id="566" w:name="_Toc21076414"/>
      <w:bookmarkStart w:id="567" w:name="_Toc21076651"/>
      <w:bookmarkStart w:id="568" w:name="_Toc21076688"/>
      <w:bookmarkStart w:id="569" w:name="_Toc21076853"/>
      <w:bookmarkStart w:id="570" w:name="_Toc21076883"/>
      <w:bookmarkStart w:id="571" w:name="_Toc31801848"/>
      <w:bookmarkStart w:id="572" w:name="_Toc32317796"/>
      <w:bookmarkStart w:id="573" w:name="_Toc32317980"/>
      <w:bookmarkStart w:id="574" w:name="_Toc32329856"/>
      <w:bookmarkStart w:id="575" w:name="_Toc32330015"/>
      <w:bookmarkStart w:id="576" w:name="_Toc32408373"/>
      <w:bookmarkStart w:id="577" w:name="_Toc32414959"/>
      <w:bookmarkStart w:id="578" w:name="_Toc33087741"/>
      <w:bookmarkStart w:id="579" w:name="_Toc33537250"/>
      <w:bookmarkStart w:id="580" w:name="_Toc33537281"/>
      <w:bookmarkStart w:id="581" w:name="_Toc33689417"/>
      <w:bookmarkStart w:id="582" w:name="_Toc33709890"/>
      <w:bookmarkStart w:id="583" w:name="_Toc51663662"/>
      <w:bookmarkStart w:id="584" w:name="_Toc51665220"/>
      <w:bookmarkStart w:id="585" w:name="_Toc51665738"/>
      <w:bookmarkStart w:id="586" w:name="_Toc51665845"/>
      <w:bookmarkStart w:id="587" w:name="_Toc51666040"/>
      <w:bookmarkStart w:id="588" w:name="_Toc51682368"/>
      <w:bookmarkStart w:id="589" w:name="_Toc51682509"/>
      <w:bookmarkStart w:id="590" w:name="_Toc52372756"/>
      <w:bookmarkStart w:id="591" w:name="_Toc52372883"/>
      <w:bookmarkStart w:id="592" w:name="_Toc53495384"/>
      <w:bookmarkStart w:id="593" w:name="_Toc56674444"/>
      <w:bookmarkStart w:id="594" w:name="_Toc56674477"/>
      <w:bookmarkStart w:id="595" w:name="_Toc63755900"/>
      <w:bookmarkStart w:id="596" w:name="_Toc63757094"/>
      <w:bookmarkStart w:id="597" w:name="_Toc65680645"/>
      <w:bookmarkStart w:id="598" w:name="_Toc76386760"/>
      <w:bookmarkStart w:id="599" w:name="_Toc76386809"/>
      <w:bookmarkStart w:id="600" w:name="_Toc76642312"/>
      <w:bookmarkStart w:id="601" w:name="_Toc76644144"/>
      <w:bookmarkStart w:id="602" w:name="_Toc84421987"/>
      <w:bookmarkStart w:id="603" w:name="_Toc84514364"/>
      <w:bookmarkStart w:id="604" w:name="_Toc84514856"/>
      <w:bookmarkStart w:id="605" w:name="_Toc84515089"/>
      <w:bookmarkStart w:id="606" w:name="_Toc84515314"/>
      <w:bookmarkStart w:id="607" w:name="_Toc84515347"/>
      <w:bookmarkStart w:id="608" w:name="_Toc106355917"/>
      <w:bookmarkStart w:id="609" w:name="_Toc106616407"/>
      <w:bookmarkStart w:id="610" w:name="_Toc106706224"/>
      <w:bookmarkStart w:id="611" w:name="_Toc106706253"/>
      <w:bookmarkStart w:id="612" w:name="_Toc106707089"/>
      <w:bookmarkStart w:id="613" w:name="_Toc109648652"/>
      <w:bookmarkStart w:id="614" w:name="_Toc136427488"/>
      <w:bookmarkStart w:id="615" w:name="_Toc168582433"/>
      <w:bookmarkStart w:id="616" w:name="_Toc168649930"/>
      <w:bookmarkStart w:id="617" w:name="_Toc168654277"/>
      <w:bookmarkStart w:id="618" w:name="_Toc168659320"/>
      <w:bookmarkStart w:id="619" w:name="_Toc20070492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04F55D9C"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620" w:name="_Toc518557937"/>
      <w:bookmarkStart w:id="621" w:name="_Toc518558011"/>
      <w:bookmarkStart w:id="622" w:name="_Toc518558036"/>
      <w:bookmarkStart w:id="623" w:name="_Toc518558067"/>
      <w:bookmarkStart w:id="624" w:name="_Toc518558098"/>
      <w:bookmarkStart w:id="625" w:name="_Toc518558356"/>
      <w:bookmarkStart w:id="626" w:name="_Toc518558378"/>
      <w:bookmarkStart w:id="627" w:name="_Toc518558899"/>
      <w:bookmarkStart w:id="628" w:name="_Toc518559022"/>
      <w:bookmarkStart w:id="629" w:name="_Toc518559252"/>
      <w:bookmarkStart w:id="630" w:name="_Toc518562267"/>
      <w:bookmarkStart w:id="631" w:name="_Toc527191574"/>
      <w:bookmarkStart w:id="632" w:name="_Toc527191606"/>
      <w:bookmarkStart w:id="633" w:name="_Toc527191732"/>
      <w:bookmarkStart w:id="634" w:name="_Toc527192135"/>
      <w:bookmarkStart w:id="635" w:name="_Toc527192185"/>
      <w:bookmarkStart w:id="636" w:name="_Toc527530930"/>
      <w:bookmarkStart w:id="637" w:name="_Toc354467"/>
      <w:bookmarkStart w:id="638" w:name="_Toc516548"/>
      <w:bookmarkStart w:id="639" w:name="_Toc12009304"/>
      <w:bookmarkStart w:id="640" w:name="_Toc12014092"/>
      <w:bookmarkStart w:id="641" w:name="_Toc12014163"/>
      <w:bookmarkStart w:id="642" w:name="_Toc12014396"/>
      <w:bookmarkStart w:id="643" w:name="_Toc12014426"/>
      <w:bookmarkStart w:id="644" w:name="_Toc12014546"/>
      <w:bookmarkStart w:id="645" w:name="_Toc12016563"/>
      <w:bookmarkStart w:id="646" w:name="_Toc12260725"/>
      <w:bookmarkStart w:id="647" w:name="_Toc12533842"/>
      <w:bookmarkStart w:id="648" w:name="_Toc12534355"/>
      <w:bookmarkStart w:id="649" w:name="_Toc12536780"/>
      <w:bookmarkStart w:id="650" w:name="_Toc12536811"/>
      <w:bookmarkStart w:id="651" w:name="_Toc12541868"/>
      <w:bookmarkStart w:id="652" w:name="_Toc12876757"/>
      <w:bookmarkStart w:id="653" w:name="_Toc12955097"/>
      <w:bookmarkStart w:id="654" w:name="_Toc12963515"/>
      <w:bookmarkStart w:id="655" w:name="_Toc12976991"/>
      <w:bookmarkStart w:id="656" w:name="_Toc13476490"/>
      <w:bookmarkStart w:id="657" w:name="_Toc13478534"/>
      <w:bookmarkStart w:id="658" w:name="_Toc13653946"/>
      <w:bookmarkStart w:id="659" w:name="_Toc13653990"/>
      <w:bookmarkStart w:id="660" w:name="_Toc20906557"/>
      <w:bookmarkStart w:id="661" w:name="_Toc20914566"/>
      <w:bookmarkStart w:id="662" w:name="_Toc20914764"/>
      <w:bookmarkStart w:id="663" w:name="_Toc20914883"/>
      <w:bookmarkStart w:id="664" w:name="_Toc20920380"/>
      <w:bookmarkStart w:id="665" w:name="_Toc21076176"/>
      <w:bookmarkStart w:id="666" w:name="_Toc21076205"/>
      <w:bookmarkStart w:id="667" w:name="_Toc21076415"/>
      <w:bookmarkStart w:id="668" w:name="_Toc21076652"/>
      <w:bookmarkStart w:id="669" w:name="_Toc21076689"/>
      <w:bookmarkStart w:id="670" w:name="_Toc21076854"/>
      <w:bookmarkStart w:id="671" w:name="_Toc21076884"/>
      <w:bookmarkStart w:id="672" w:name="_Toc31801849"/>
      <w:bookmarkStart w:id="673" w:name="_Toc32317797"/>
      <w:bookmarkStart w:id="674" w:name="_Toc32317981"/>
      <w:bookmarkStart w:id="675" w:name="_Toc32329857"/>
      <w:bookmarkStart w:id="676" w:name="_Toc32330016"/>
      <w:bookmarkStart w:id="677" w:name="_Toc32408374"/>
      <w:bookmarkStart w:id="678" w:name="_Toc32414960"/>
      <w:bookmarkStart w:id="679" w:name="_Toc33087742"/>
      <w:bookmarkStart w:id="680" w:name="_Toc33537251"/>
      <w:bookmarkStart w:id="681" w:name="_Toc33537282"/>
      <w:bookmarkStart w:id="682" w:name="_Toc33689418"/>
      <w:bookmarkStart w:id="683" w:name="_Toc33709891"/>
      <w:bookmarkStart w:id="684" w:name="_Toc51663663"/>
      <w:bookmarkStart w:id="685" w:name="_Toc51665221"/>
      <w:bookmarkStart w:id="686" w:name="_Toc51665739"/>
      <w:bookmarkStart w:id="687" w:name="_Toc51665846"/>
      <w:bookmarkStart w:id="688" w:name="_Toc51666041"/>
      <w:bookmarkStart w:id="689" w:name="_Toc51682369"/>
      <w:bookmarkStart w:id="690" w:name="_Toc51682510"/>
      <w:bookmarkStart w:id="691" w:name="_Toc52372757"/>
      <w:bookmarkStart w:id="692" w:name="_Toc52372884"/>
      <w:bookmarkStart w:id="693" w:name="_Toc53495385"/>
      <w:bookmarkStart w:id="694" w:name="_Toc56674445"/>
      <w:bookmarkStart w:id="695" w:name="_Toc56674478"/>
      <w:bookmarkStart w:id="696" w:name="_Toc63755901"/>
      <w:bookmarkStart w:id="697" w:name="_Toc63757095"/>
      <w:bookmarkStart w:id="698" w:name="_Toc65680646"/>
      <w:bookmarkStart w:id="699" w:name="_Toc76386761"/>
      <w:bookmarkStart w:id="700" w:name="_Toc76386810"/>
      <w:bookmarkStart w:id="701" w:name="_Toc76642313"/>
      <w:bookmarkStart w:id="702" w:name="_Toc76644145"/>
      <w:bookmarkStart w:id="703" w:name="_Toc84421988"/>
      <w:bookmarkStart w:id="704" w:name="_Toc84514365"/>
      <w:bookmarkStart w:id="705" w:name="_Toc84514857"/>
      <w:bookmarkStart w:id="706" w:name="_Toc84515090"/>
      <w:bookmarkStart w:id="707" w:name="_Toc84515315"/>
      <w:bookmarkStart w:id="708" w:name="_Toc84515348"/>
      <w:bookmarkStart w:id="709" w:name="_Toc106355918"/>
      <w:bookmarkStart w:id="710" w:name="_Toc106616408"/>
      <w:bookmarkStart w:id="711" w:name="_Toc106706225"/>
      <w:bookmarkStart w:id="712" w:name="_Toc106706254"/>
      <w:bookmarkStart w:id="713" w:name="_Toc106707090"/>
      <w:bookmarkStart w:id="714" w:name="_Toc109648653"/>
      <w:bookmarkStart w:id="715" w:name="_Toc136427489"/>
      <w:bookmarkStart w:id="716" w:name="_Toc168582434"/>
      <w:bookmarkStart w:id="717" w:name="_Toc168649931"/>
      <w:bookmarkStart w:id="718" w:name="_Toc168654278"/>
      <w:bookmarkStart w:id="719" w:name="_Toc168659321"/>
      <w:bookmarkStart w:id="720" w:name="_Toc200704928"/>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5414E0AB"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721" w:name="_Toc518557938"/>
      <w:bookmarkStart w:id="722" w:name="_Toc518558012"/>
      <w:bookmarkStart w:id="723" w:name="_Toc518558037"/>
      <w:bookmarkStart w:id="724" w:name="_Toc518558068"/>
      <w:bookmarkStart w:id="725" w:name="_Toc518558099"/>
      <w:bookmarkStart w:id="726" w:name="_Toc518558357"/>
      <w:bookmarkStart w:id="727" w:name="_Toc518558379"/>
      <w:bookmarkStart w:id="728" w:name="_Toc518558900"/>
      <w:bookmarkStart w:id="729" w:name="_Toc518559023"/>
      <w:bookmarkStart w:id="730" w:name="_Toc518559253"/>
      <w:bookmarkStart w:id="731" w:name="_Toc518562268"/>
      <w:bookmarkStart w:id="732" w:name="_Toc527191575"/>
      <w:bookmarkStart w:id="733" w:name="_Toc527191607"/>
      <w:bookmarkStart w:id="734" w:name="_Toc527191733"/>
      <w:bookmarkStart w:id="735" w:name="_Toc527192136"/>
      <w:bookmarkStart w:id="736" w:name="_Toc527192186"/>
      <w:bookmarkStart w:id="737" w:name="_Toc527530931"/>
      <w:bookmarkStart w:id="738" w:name="_Toc354468"/>
      <w:bookmarkStart w:id="739" w:name="_Toc516549"/>
      <w:bookmarkStart w:id="740" w:name="_Toc12009305"/>
      <w:bookmarkStart w:id="741" w:name="_Toc12014093"/>
      <w:bookmarkStart w:id="742" w:name="_Toc12014164"/>
      <w:bookmarkStart w:id="743" w:name="_Toc12014397"/>
      <w:bookmarkStart w:id="744" w:name="_Toc12014427"/>
      <w:bookmarkStart w:id="745" w:name="_Toc12014547"/>
      <w:bookmarkStart w:id="746" w:name="_Toc12016564"/>
      <w:bookmarkStart w:id="747" w:name="_Toc12260726"/>
      <w:bookmarkStart w:id="748" w:name="_Toc12533843"/>
      <w:bookmarkStart w:id="749" w:name="_Toc12534356"/>
      <w:bookmarkStart w:id="750" w:name="_Toc12536781"/>
      <w:bookmarkStart w:id="751" w:name="_Toc12536812"/>
      <w:bookmarkStart w:id="752" w:name="_Toc12541869"/>
      <w:bookmarkStart w:id="753" w:name="_Toc12876758"/>
      <w:bookmarkStart w:id="754" w:name="_Toc12955098"/>
      <w:bookmarkStart w:id="755" w:name="_Toc12963516"/>
      <w:bookmarkStart w:id="756" w:name="_Toc12976992"/>
      <w:bookmarkStart w:id="757" w:name="_Toc13476491"/>
      <w:bookmarkStart w:id="758" w:name="_Toc13478535"/>
      <w:bookmarkStart w:id="759" w:name="_Toc13653947"/>
      <w:bookmarkStart w:id="760" w:name="_Toc13653991"/>
      <w:bookmarkStart w:id="761" w:name="_Toc20906558"/>
      <w:bookmarkStart w:id="762" w:name="_Toc20914567"/>
      <w:bookmarkStart w:id="763" w:name="_Toc20914765"/>
      <w:bookmarkStart w:id="764" w:name="_Toc20914884"/>
      <w:bookmarkStart w:id="765" w:name="_Toc20920381"/>
      <w:bookmarkStart w:id="766" w:name="_Toc21076177"/>
      <w:bookmarkStart w:id="767" w:name="_Toc21076206"/>
      <w:bookmarkStart w:id="768" w:name="_Toc21076416"/>
      <w:bookmarkStart w:id="769" w:name="_Toc21076653"/>
      <w:bookmarkStart w:id="770" w:name="_Toc21076690"/>
      <w:bookmarkStart w:id="771" w:name="_Toc21076855"/>
      <w:bookmarkStart w:id="772" w:name="_Toc21076885"/>
      <w:bookmarkStart w:id="773" w:name="_Toc31801850"/>
      <w:bookmarkStart w:id="774" w:name="_Toc32317798"/>
      <w:bookmarkStart w:id="775" w:name="_Toc32317982"/>
      <w:bookmarkStart w:id="776" w:name="_Toc32329858"/>
      <w:bookmarkStart w:id="777" w:name="_Toc32330017"/>
      <w:bookmarkStart w:id="778" w:name="_Toc32408375"/>
      <w:bookmarkStart w:id="779" w:name="_Toc32414961"/>
      <w:bookmarkStart w:id="780" w:name="_Toc33087743"/>
      <w:bookmarkStart w:id="781" w:name="_Toc33537252"/>
      <w:bookmarkStart w:id="782" w:name="_Toc33537283"/>
      <w:bookmarkStart w:id="783" w:name="_Toc33689419"/>
      <w:bookmarkStart w:id="784" w:name="_Toc33709892"/>
      <w:bookmarkStart w:id="785" w:name="_Toc51663664"/>
      <w:bookmarkStart w:id="786" w:name="_Toc51665222"/>
      <w:bookmarkStart w:id="787" w:name="_Toc51665740"/>
      <w:bookmarkStart w:id="788" w:name="_Toc51665847"/>
      <w:bookmarkStart w:id="789" w:name="_Toc51666042"/>
      <w:bookmarkStart w:id="790" w:name="_Toc51682370"/>
      <w:bookmarkStart w:id="791" w:name="_Toc51682511"/>
      <w:bookmarkStart w:id="792" w:name="_Toc52372758"/>
      <w:bookmarkStart w:id="793" w:name="_Toc52372885"/>
      <w:bookmarkStart w:id="794" w:name="_Toc53495386"/>
      <w:bookmarkStart w:id="795" w:name="_Toc56674446"/>
      <w:bookmarkStart w:id="796" w:name="_Toc56674479"/>
      <w:bookmarkStart w:id="797" w:name="_Toc63755902"/>
      <w:bookmarkStart w:id="798" w:name="_Toc63757096"/>
      <w:bookmarkStart w:id="799" w:name="_Toc65680647"/>
      <w:bookmarkStart w:id="800" w:name="_Toc76386762"/>
      <w:bookmarkStart w:id="801" w:name="_Toc76386811"/>
      <w:bookmarkStart w:id="802" w:name="_Toc76642314"/>
      <w:bookmarkStart w:id="803" w:name="_Toc76644146"/>
      <w:bookmarkStart w:id="804" w:name="_Toc84421989"/>
      <w:bookmarkStart w:id="805" w:name="_Toc84514366"/>
      <w:bookmarkStart w:id="806" w:name="_Toc84514858"/>
      <w:bookmarkStart w:id="807" w:name="_Toc84515091"/>
      <w:bookmarkStart w:id="808" w:name="_Toc84515316"/>
      <w:bookmarkStart w:id="809" w:name="_Toc84515349"/>
      <w:bookmarkStart w:id="810" w:name="_Toc106355919"/>
      <w:bookmarkStart w:id="811" w:name="_Toc106616409"/>
      <w:bookmarkStart w:id="812" w:name="_Toc106706226"/>
      <w:bookmarkStart w:id="813" w:name="_Toc106706255"/>
      <w:bookmarkStart w:id="814" w:name="_Toc106707091"/>
      <w:bookmarkStart w:id="815" w:name="_Toc109648654"/>
      <w:bookmarkStart w:id="816" w:name="_Toc136427490"/>
      <w:bookmarkStart w:id="817" w:name="_Toc168582435"/>
      <w:bookmarkStart w:id="818" w:name="_Toc168649932"/>
      <w:bookmarkStart w:id="819" w:name="_Toc168654279"/>
      <w:bookmarkStart w:id="820" w:name="_Toc168659322"/>
      <w:bookmarkStart w:id="821" w:name="_Toc200704929"/>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FFBE666"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822" w:name="_Toc518557939"/>
      <w:bookmarkStart w:id="823" w:name="_Toc518558013"/>
      <w:bookmarkStart w:id="824" w:name="_Toc518558038"/>
      <w:bookmarkStart w:id="825" w:name="_Toc518558069"/>
      <w:bookmarkStart w:id="826" w:name="_Toc518558100"/>
      <w:bookmarkStart w:id="827" w:name="_Toc518558358"/>
      <w:bookmarkStart w:id="828" w:name="_Toc518558380"/>
      <w:bookmarkStart w:id="829" w:name="_Toc518558901"/>
      <w:bookmarkStart w:id="830" w:name="_Toc518559024"/>
      <w:bookmarkStart w:id="831" w:name="_Toc518559254"/>
      <w:bookmarkStart w:id="832" w:name="_Toc518562269"/>
      <w:bookmarkStart w:id="833" w:name="_Toc527191576"/>
      <w:bookmarkStart w:id="834" w:name="_Toc527191608"/>
      <w:bookmarkStart w:id="835" w:name="_Toc527191734"/>
      <w:bookmarkStart w:id="836" w:name="_Toc527192137"/>
      <w:bookmarkStart w:id="837" w:name="_Toc527192187"/>
      <w:bookmarkStart w:id="838" w:name="_Toc527530932"/>
      <w:bookmarkStart w:id="839" w:name="_Toc354469"/>
      <w:bookmarkStart w:id="840" w:name="_Toc516550"/>
      <w:bookmarkStart w:id="841" w:name="_Toc12009306"/>
      <w:bookmarkStart w:id="842" w:name="_Toc12014094"/>
      <w:bookmarkStart w:id="843" w:name="_Toc12014165"/>
      <w:bookmarkStart w:id="844" w:name="_Toc12014398"/>
      <w:bookmarkStart w:id="845" w:name="_Toc12014428"/>
      <w:bookmarkStart w:id="846" w:name="_Toc12014548"/>
      <w:bookmarkStart w:id="847" w:name="_Toc12016565"/>
      <w:bookmarkStart w:id="848" w:name="_Toc12260727"/>
      <w:bookmarkStart w:id="849" w:name="_Toc12533844"/>
      <w:bookmarkStart w:id="850" w:name="_Toc12534357"/>
      <w:bookmarkStart w:id="851" w:name="_Toc12536782"/>
      <w:bookmarkStart w:id="852" w:name="_Toc12536813"/>
      <w:bookmarkStart w:id="853" w:name="_Toc12541870"/>
      <w:bookmarkStart w:id="854" w:name="_Toc12876759"/>
      <w:bookmarkStart w:id="855" w:name="_Toc12955099"/>
      <w:bookmarkStart w:id="856" w:name="_Toc12963517"/>
      <w:bookmarkStart w:id="857" w:name="_Toc12976993"/>
      <w:bookmarkStart w:id="858" w:name="_Toc13476492"/>
      <w:bookmarkStart w:id="859" w:name="_Toc13478536"/>
      <w:bookmarkStart w:id="860" w:name="_Toc13653948"/>
      <w:bookmarkStart w:id="861" w:name="_Toc13653992"/>
      <w:bookmarkStart w:id="862" w:name="_Toc20906559"/>
      <w:bookmarkStart w:id="863" w:name="_Toc20914568"/>
      <w:bookmarkStart w:id="864" w:name="_Toc20914766"/>
      <w:bookmarkStart w:id="865" w:name="_Toc20914885"/>
      <w:bookmarkStart w:id="866" w:name="_Toc20920382"/>
      <w:bookmarkStart w:id="867" w:name="_Toc21076178"/>
      <w:bookmarkStart w:id="868" w:name="_Toc21076207"/>
      <w:bookmarkStart w:id="869" w:name="_Toc21076417"/>
      <w:bookmarkStart w:id="870" w:name="_Toc21076654"/>
      <w:bookmarkStart w:id="871" w:name="_Toc21076691"/>
      <w:bookmarkStart w:id="872" w:name="_Toc21076856"/>
      <w:bookmarkStart w:id="873" w:name="_Toc21076886"/>
      <w:bookmarkStart w:id="874" w:name="_Toc31801851"/>
      <w:bookmarkStart w:id="875" w:name="_Toc32317799"/>
      <w:bookmarkStart w:id="876" w:name="_Toc32317983"/>
      <w:bookmarkStart w:id="877" w:name="_Toc32329859"/>
      <w:bookmarkStart w:id="878" w:name="_Toc32330018"/>
      <w:bookmarkStart w:id="879" w:name="_Toc32408376"/>
      <w:bookmarkStart w:id="880" w:name="_Toc32414962"/>
      <w:bookmarkStart w:id="881" w:name="_Toc33087744"/>
      <w:bookmarkStart w:id="882" w:name="_Toc33537253"/>
      <w:bookmarkStart w:id="883" w:name="_Toc33537284"/>
      <w:bookmarkStart w:id="884" w:name="_Toc33689420"/>
      <w:bookmarkStart w:id="885" w:name="_Toc33709893"/>
      <w:bookmarkStart w:id="886" w:name="_Toc51663665"/>
      <w:bookmarkStart w:id="887" w:name="_Toc51665223"/>
      <w:bookmarkStart w:id="888" w:name="_Toc51665741"/>
      <w:bookmarkStart w:id="889" w:name="_Toc51665848"/>
      <w:bookmarkStart w:id="890" w:name="_Toc51666043"/>
      <w:bookmarkStart w:id="891" w:name="_Toc51682371"/>
      <w:bookmarkStart w:id="892" w:name="_Toc51682512"/>
      <w:bookmarkStart w:id="893" w:name="_Toc52372759"/>
      <w:bookmarkStart w:id="894" w:name="_Toc52372886"/>
      <w:bookmarkStart w:id="895" w:name="_Toc53495387"/>
      <w:bookmarkStart w:id="896" w:name="_Toc56674447"/>
      <w:bookmarkStart w:id="897" w:name="_Toc56674480"/>
      <w:bookmarkStart w:id="898" w:name="_Toc63755903"/>
      <w:bookmarkStart w:id="899" w:name="_Toc63757097"/>
      <w:bookmarkStart w:id="900" w:name="_Toc65680648"/>
      <w:bookmarkStart w:id="901" w:name="_Toc76386763"/>
      <w:bookmarkStart w:id="902" w:name="_Toc76386812"/>
      <w:bookmarkStart w:id="903" w:name="_Toc76642315"/>
      <w:bookmarkStart w:id="904" w:name="_Toc76644147"/>
      <w:bookmarkStart w:id="905" w:name="_Toc84421990"/>
      <w:bookmarkStart w:id="906" w:name="_Toc84514367"/>
      <w:bookmarkStart w:id="907" w:name="_Toc84514859"/>
      <w:bookmarkStart w:id="908" w:name="_Toc84515092"/>
      <w:bookmarkStart w:id="909" w:name="_Toc84515317"/>
      <w:bookmarkStart w:id="910" w:name="_Toc84515350"/>
      <w:bookmarkStart w:id="911" w:name="_Toc106355920"/>
      <w:bookmarkStart w:id="912" w:name="_Toc106616410"/>
      <w:bookmarkStart w:id="913" w:name="_Toc106706227"/>
      <w:bookmarkStart w:id="914" w:name="_Toc106706256"/>
      <w:bookmarkStart w:id="915" w:name="_Toc106707092"/>
      <w:bookmarkStart w:id="916" w:name="_Toc109648655"/>
      <w:bookmarkStart w:id="917" w:name="_Toc136427491"/>
      <w:bookmarkStart w:id="918" w:name="_Toc168582436"/>
      <w:bookmarkStart w:id="919" w:name="_Toc168649933"/>
      <w:bookmarkStart w:id="920" w:name="_Toc168654280"/>
      <w:bookmarkStart w:id="921" w:name="_Toc168659323"/>
      <w:bookmarkStart w:id="922" w:name="_Toc200704930"/>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3DC2AE92"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923" w:name="_Toc518557940"/>
      <w:bookmarkStart w:id="924" w:name="_Toc518558014"/>
      <w:bookmarkStart w:id="925" w:name="_Toc518558039"/>
      <w:bookmarkStart w:id="926" w:name="_Toc518558070"/>
      <w:bookmarkStart w:id="927" w:name="_Toc518558101"/>
      <w:bookmarkStart w:id="928" w:name="_Toc518558359"/>
      <w:bookmarkStart w:id="929" w:name="_Toc518558381"/>
      <w:bookmarkStart w:id="930" w:name="_Toc518558902"/>
      <w:bookmarkStart w:id="931" w:name="_Toc518559025"/>
      <w:bookmarkStart w:id="932" w:name="_Toc518559255"/>
      <w:bookmarkStart w:id="933" w:name="_Toc518562270"/>
      <w:bookmarkStart w:id="934" w:name="_Toc527191577"/>
      <w:bookmarkStart w:id="935" w:name="_Toc527191609"/>
      <w:bookmarkStart w:id="936" w:name="_Toc527191735"/>
      <w:bookmarkStart w:id="937" w:name="_Toc527192138"/>
      <w:bookmarkStart w:id="938" w:name="_Toc527192188"/>
      <w:bookmarkStart w:id="939" w:name="_Toc527530933"/>
      <w:bookmarkStart w:id="940" w:name="_Toc354470"/>
      <w:bookmarkStart w:id="941" w:name="_Toc516551"/>
      <w:bookmarkStart w:id="942" w:name="_Toc12009307"/>
      <w:bookmarkStart w:id="943" w:name="_Toc12014095"/>
      <w:bookmarkStart w:id="944" w:name="_Toc12014166"/>
      <w:bookmarkStart w:id="945" w:name="_Toc12014399"/>
      <w:bookmarkStart w:id="946" w:name="_Toc12014429"/>
      <w:bookmarkStart w:id="947" w:name="_Toc12014549"/>
      <w:bookmarkStart w:id="948" w:name="_Toc12016566"/>
      <w:bookmarkStart w:id="949" w:name="_Toc12260728"/>
      <w:bookmarkStart w:id="950" w:name="_Toc12533845"/>
      <w:bookmarkStart w:id="951" w:name="_Toc12534358"/>
      <w:bookmarkStart w:id="952" w:name="_Toc12536783"/>
      <w:bookmarkStart w:id="953" w:name="_Toc12536814"/>
      <w:bookmarkStart w:id="954" w:name="_Toc12541871"/>
      <w:bookmarkStart w:id="955" w:name="_Toc12876760"/>
      <w:bookmarkStart w:id="956" w:name="_Toc12955100"/>
      <w:bookmarkStart w:id="957" w:name="_Toc12963518"/>
      <w:bookmarkStart w:id="958" w:name="_Toc12976994"/>
      <w:bookmarkStart w:id="959" w:name="_Toc13476493"/>
      <w:bookmarkStart w:id="960" w:name="_Toc13478537"/>
      <w:bookmarkStart w:id="961" w:name="_Toc13653949"/>
      <w:bookmarkStart w:id="962" w:name="_Toc13653993"/>
      <w:bookmarkStart w:id="963" w:name="_Toc20906560"/>
      <w:bookmarkStart w:id="964" w:name="_Toc20914569"/>
      <w:bookmarkStart w:id="965" w:name="_Toc20914767"/>
      <w:bookmarkStart w:id="966" w:name="_Toc20914886"/>
      <w:bookmarkStart w:id="967" w:name="_Toc20920383"/>
      <w:bookmarkStart w:id="968" w:name="_Toc21076179"/>
      <w:bookmarkStart w:id="969" w:name="_Toc21076208"/>
      <w:bookmarkStart w:id="970" w:name="_Toc21076418"/>
      <w:bookmarkStart w:id="971" w:name="_Toc21076655"/>
      <w:bookmarkStart w:id="972" w:name="_Toc21076692"/>
      <w:bookmarkStart w:id="973" w:name="_Toc21076857"/>
      <w:bookmarkStart w:id="974" w:name="_Toc21076887"/>
      <w:bookmarkStart w:id="975" w:name="_Toc31801852"/>
      <w:bookmarkStart w:id="976" w:name="_Toc32317800"/>
      <w:bookmarkStart w:id="977" w:name="_Toc32317984"/>
      <w:bookmarkStart w:id="978" w:name="_Toc32329860"/>
      <w:bookmarkStart w:id="979" w:name="_Toc32330019"/>
      <w:bookmarkStart w:id="980" w:name="_Toc32408377"/>
      <w:bookmarkStart w:id="981" w:name="_Toc32414963"/>
      <w:bookmarkStart w:id="982" w:name="_Toc33087745"/>
      <w:bookmarkStart w:id="983" w:name="_Toc33537254"/>
      <w:bookmarkStart w:id="984" w:name="_Toc33537285"/>
      <w:bookmarkStart w:id="985" w:name="_Toc33689421"/>
      <w:bookmarkStart w:id="986" w:name="_Toc33709894"/>
      <w:bookmarkStart w:id="987" w:name="_Toc51663666"/>
      <w:bookmarkStart w:id="988" w:name="_Toc51665224"/>
      <w:bookmarkStart w:id="989" w:name="_Toc51665742"/>
      <w:bookmarkStart w:id="990" w:name="_Toc51665849"/>
      <w:bookmarkStart w:id="991" w:name="_Toc51666044"/>
      <w:bookmarkStart w:id="992" w:name="_Toc51682372"/>
      <w:bookmarkStart w:id="993" w:name="_Toc51682513"/>
      <w:bookmarkStart w:id="994" w:name="_Toc52372760"/>
      <w:bookmarkStart w:id="995" w:name="_Toc52372887"/>
      <w:bookmarkStart w:id="996" w:name="_Toc53495388"/>
      <w:bookmarkStart w:id="997" w:name="_Toc56674448"/>
      <w:bookmarkStart w:id="998" w:name="_Toc56674481"/>
      <w:bookmarkStart w:id="999" w:name="_Toc63755904"/>
      <w:bookmarkStart w:id="1000" w:name="_Toc63757098"/>
      <w:bookmarkStart w:id="1001" w:name="_Toc65680649"/>
      <w:bookmarkStart w:id="1002" w:name="_Toc76386764"/>
      <w:bookmarkStart w:id="1003" w:name="_Toc76386813"/>
      <w:bookmarkStart w:id="1004" w:name="_Toc76642316"/>
      <w:bookmarkStart w:id="1005" w:name="_Toc76644148"/>
      <w:bookmarkStart w:id="1006" w:name="_Toc84421991"/>
      <w:bookmarkStart w:id="1007" w:name="_Toc84514368"/>
      <w:bookmarkStart w:id="1008" w:name="_Toc84514860"/>
      <w:bookmarkStart w:id="1009" w:name="_Toc84515093"/>
      <w:bookmarkStart w:id="1010" w:name="_Toc84515318"/>
      <w:bookmarkStart w:id="1011" w:name="_Toc84515351"/>
      <w:bookmarkStart w:id="1012" w:name="_Toc106355921"/>
      <w:bookmarkStart w:id="1013" w:name="_Toc106616411"/>
      <w:bookmarkStart w:id="1014" w:name="_Toc106706228"/>
      <w:bookmarkStart w:id="1015" w:name="_Toc106706257"/>
      <w:bookmarkStart w:id="1016" w:name="_Toc106707093"/>
      <w:bookmarkStart w:id="1017" w:name="_Toc109648656"/>
      <w:bookmarkStart w:id="1018" w:name="_Toc136427492"/>
      <w:bookmarkStart w:id="1019" w:name="_Toc168582437"/>
      <w:bookmarkStart w:id="1020" w:name="_Toc168649934"/>
      <w:bookmarkStart w:id="1021" w:name="_Toc168654281"/>
      <w:bookmarkStart w:id="1022" w:name="_Toc168659324"/>
      <w:bookmarkStart w:id="1023" w:name="_Toc200704931"/>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70AFF6DF" w14:textId="77777777" w:rsidR="00B260BA" w:rsidRPr="00E24ECC" w:rsidRDefault="00B260BA" w:rsidP="00954232">
      <w:pPr>
        <w:pStyle w:val="ListParagraph"/>
        <w:keepNext/>
        <w:numPr>
          <w:ilvl w:val="1"/>
          <w:numId w:val="12"/>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1024" w:name="_Toc518557941"/>
      <w:bookmarkStart w:id="1025" w:name="_Toc518558015"/>
      <w:bookmarkStart w:id="1026" w:name="_Toc518558040"/>
      <w:bookmarkStart w:id="1027" w:name="_Toc518558071"/>
      <w:bookmarkStart w:id="1028" w:name="_Toc518558102"/>
      <w:bookmarkStart w:id="1029" w:name="_Toc518558360"/>
      <w:bookmarkStart w:id="1030" w:name="_Toc518558382"/>
      <w:bookmarkStart w:id="1031" w:name="_Toc518558903"/>
      <w:bookmarkStart w:id="1032" w:name="_Toc518559026"/>
      <w:bookmarkStart w:id="1033" w:name="_Toc518559256"/>
      <w:bookmarkStart w:id="1034" w:name="_Toc518562271"/>
      <w:bookmarkStart w:id="1035" w:name="_Toc527191578"/>
      <w:bookmarkStart w:id="1036" w:name="_Toc527191610"/>
      <w:bookmarkStart w:id="1037" w:name="_Toc527191736"/>
      <w:bookmarkStart w:id="1038" w:name="_Toc527192139"/>
      <w:bookmarkStart w:id="1039" w:name="_Toc527192189"/>
      <w:bookmarkStart w:id="1040" w:name="_Toc527530934"/>
      <w:bookmarkStart w:id="1041" w:name="_Toc354471"/>
      <w:bookmarkStart w:id="1042" w:name="_Toc516552"/>
      <w:bookmarkStart w:id="1043" w:name="_Toc12009308"/>
      <w:bookmarkStart w:id="1044" w:name="_Toc12014096"/>
      <w:bookmarkStart w:id="1045" w:name="_Toc12014167"/>
      <w:bookmarkStart w:id="1046" w:name="_Toc12014400"/>
      <w:bookmarkStart w:id="1047" w:name="_Toc12014430"/>
      <w:bookmarkStart w:id="1048" w:name="_Toc12014550"/>
      <w:bookmarkStart w:id="1049" w:name="_Toc12016567"/>
      <w:bookmarkStart w:id="1050" w:name="_Toc12260729"/>
      <w:bookmarkStart w:id="1051" w:name="_Toc12533846"/>
      <w:bookmarkStart w:id="1052" w:name="_Toc12534359"/>
      <w:bookmarkStart w:id="1053" w:name="_Toc12536784"/>
      <w:bookmarkStart w:id="1054" w:name="_Toc12536815"/>
      <w:bookmarkStart w:id="1055" w:name="_Toc12541872"/>
      <w:bookmarkStart w:id="1056" w:name="_Toc12876761"/>
      <w:bookmarkStart w:id="1057" w:name="_Toc12955101"/>
      <w:bookmarkStart w:id="1058" w:name="_Toc12963519"/>
      <w:bookmarkStart w:id="1059" w:name="_Toc12976995"/>
      <w:bookmarkStart w:id="1060" w:name="_Toc13476494"/>
      <w:bookmarkStart w:id="1061" w:name="_Toc13478538"/>
      <w:bookmarkStart w:id="1062" w:name="_Toc13653950"/>
      <w:bookmarkStart w:id="1063" w:name="_Toc13653994"/>
      <w:bookmarkStart w:id="1064" w:name="_Toc20906561"/>
      <w:bookmarkStart w:id="1065" w:name="_Toc20914570"/>
      <w:bookmarkStart w:id="1066" w:name="_Toc20914768"/>
      <w:bookmarkStart w:id="1067" w:name="_Toc20914887"/>
      <w:bookmarkStart w:id="1068" w:name="_Toc20920384"/>
      <w:bookmarkStart w:id="1069" w:name="_Toc21076180"/>
      <w:bookmarkStart w:id="1070" w:name="_Toc21076209"/>
      <w:bookmarkStart w:id="1071" w:name="_Toc21076419"/>
      <w:bookmarkStart w:id="1072" w:name="_Toc21076656"/>
      <w:bookmarkStart w:id="1073" w:name="_Toc21076693"/>
      <w:bookmarkStart w:id="1074" w:name="_Toc21076858"/>
      <w:bookmarkStart w:id="1075" w:name="_Toc21076888"/>
      <w:bookmarkStart w:id="1076" w:name="_Toc31801853"/>
      <w:bookmarkStart w:id="1077" w:name="_Toc32317801"/>
      <w:bookmarkStart w:id="1078" w:name="_Toc32317985"/>
      <w:bookmarkStart w:id="1079" w:name="_Toc32329861"/>
      <w:bookmarkStart w:id="1080" w:name="_Toc32330020"/>
      <w:bookmarkStart w:id="1081" w:name="_Toc32408378"/>
      <w:bookmarkStart w:id="1082" w:name="_Toc32414964"/>
      <w:bookmarkStart w:id="1083" w:name="_Toc33087746"/>
      <w:bookmarkStart w:id="1084" w:name="_Toc33537255"/>
      <w:bookmarkStart w:id="1085" w:name="_Toc33537286"/>
      <w:bookmarkStart w:id="1086" w:name="_Toc33689422"/>
      <w:bookmarkStart w:id="1087" w:name="_Toc33709895"/>
      <w:bookmarkStart w:id="1088" w:name="_Toc51663667"/>
      <w:bookmarkStart w:id="1089" w:name="_Toc51665225"/>
      <w:bookmarkStart w:id="1090" w:name="_Toc51665743"/>
      <w:bookmarkStart w:id="1091" w:name="_Toc51665850"/>
      <w:bookmarkStart w:id="1092" w:name="_Toc51666045"/>
      <w:bookmarkStart w:id="1093" w:name="_Toc51682373"/>
      <w:bookmarkStart w:id="1094" w:name="_Toc51682514"/>
      <w:bookmarkStart w:id="1095" w:name="_Toc52372761"/>
      <w:bookmarkStart w:id="1096" w:name="_Toc52372888"/>
      <w:bookmarkStart w:id="1097" w:name="_Toc53495389"/>
      <w:bookmarkStart w:id="1098" w:name="_Toc56674449"/>
      <w:bookmarkStart w:id="1099" w:name="_Toc56674482"/>
      <w:bookmarkStart w:id="1100" w:name="_Toc63755905"/>
      <w:bookmarkStart w:id="1101" w:name="_Toc63757099"/>
      <w:bookmarkStart w:id="1102" w:name="_Toc65680650"/>
      <w:bookmarkStart w:id="1103" w:name="_Toc76386765"/>
      <w:bookmarkStart w:id="1104" w:name="_Toc76386814"/>
      <w:bookmarkStart w:id="1105" w:name="_Toc76642317"/>
      <w:bookmarkStart w:id="1106" w:name="_Toc76644149"/>
      <w:bookmarkStart w:id="1107" w:name="_Toc84421992"/>
      <w:bookmarkStart w:id="1108" w:name="_Toc84514369"/>
      <w:bookmarkStart w:id="1109" w:name="_Toc84514861"/>
      <w:bookmarkStart w:id="1110" w:name="_Toc84515094"/>
      <w:bookmarkStart w:id="1111" w:name="_Toc84515319"/>
      <w:bookmarkStart w:id="1112" w:name="_Toc84515352"/>
      <w:bookmarkStart w:id="1113" w:name="_Toc106355922"/>
      <w:bookmarkStart w:id="1114" w:name="_Toc106616412"/>
      <w:bookmarkStart w:id="1115" w:name="_Toc106706229"/>
      <w:bookmarkStart w:id="1116" w:name="_Toc106706258"/>
      <w:bookmarkStart w:id="1117" w:name="_Toc106707094"/>
      <w:bookmarkStart w:id="1118" w:name="_Toc109648657"/>
      <w:bookmarkStart w:id="1119" w:name="_Toc136427493"/>
      <w:bookmarkStart w:id="1120" w:name="_Toc168582438"/>
      <w:bookmarkStart w:id="1121" w:name="_Toc168649935"/>
      <w:bookmarkStart w:id="1122" w:name="_Toc168654282"/>
      <w:bookmarkStart w:id="1123" w:name="_Toc168659325"/>
      <w:bookmarkStart w:id="1124" w:name="_Toc200704932"/>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C5338A5" w14:textId="6DC2E7FB" w:rsidR="008F05E3" w:rsidRPr="00E24ECC" w:rsidRDefault="00614C0A" w:rsidP="00954232">
      <w:pPr>
        <w:pStyle w:val="Heading2"/>
        <w:numPr>
          <w:ilvl w:val="1"/>
          <w:numId w:val="16"/>
        </w:numPr>
        <w:spacing w:line="276" w:lineRule="auto"/>
        <w:rPr>
          <w:rFonts w:ascii="Cambria" w:eastAsia="Calibri" w:hAnsi="Cambria"/>
          <w:i w:val="0"/>
          <w:sz w:val="24"/>
          <w:szCs w:val="24"/>
          <w:lang w:val="sq-AL"/>
        </w:rPr>
      </w:pPr>
      <w:bookmarkStart w:id="1125" w:name="_Toc13653995"/>
      <w:bookmarkStart w:id="1126" w:name="_Toc200704933"/>
      <w:r w:rsidRPr="00E24ECC">
        <w:rPr>
          <w:rFonts w:ascii="Cambria" w:eastAsia="Calibri" w:hAnsi="Cambria"/>
          <w:i w:val="0"/>
          <w:sz w:val="24"/>
          <w:szCs w:val="24"/>
          <w:lang w:val="sq-AL"/>
        </w:rPr>
        <w:t>MINISTRIA PËR EVROPËN DHE PUNËT E JASHTME</w:t>
      </w:r>
      <w:bookmarkEnd w:id="1125"/>
      <w:bookmarkEnd w:id="1126"/>
      <w:r w:rsidRPr="00E24ECC">
        <w:rPr>
          <w:rFonts w:ascii="Cambria" w:eastAsia="Calibri" w:hAnsi="Cambria"/>
          <w:i w:val="0"/>
          <w:sz w:val="24"/>
          <w:szCs w:val="24"/>
          <w:lang w:val="sq-AL"/>
        </w:rPr>
        <w:t xml:space="preserve"> </w:t>
      </w:r>
    </w:p>
    <w:p w14:paraId="68AE9BB8" w14:textId="77777777" w:rsidR="00C15BC3" w:rsidRPr="00AC3423" w:rsidRDefault="00C15BC3" w:rsidP="00C15BC3">
      <w:pPr>
        <w:spacing w:after="200" w:line="276" w:lineRule="auto"/>
        <w:jc w:val="both"/>
        <w:rPr>
          <w:rFonts w:ascii="Cambria" w:eastAsia="Calibri" w:hAnsi="Cambria" w:cs="Times New Roman"/>
          <w:sz w:val="24"/>
          <w:szCs w:val="24"/>
          <w:lang w:val="sq-AL"/>
        </w:rPr>
      </w:pPr>
      <w:bookmarkStart w:id="1127" w:name="_Toc391045446"/>
      <w:bookmarkStart w:id="1128" w:name="_Toc13653996"/>
      <w:bookmarkStart w:id="1129" w:name="_Toc86916471"/>
      <w:r w:rsidRPr="00AC3423">
        <w:rPr>
          <w:rFonts w:ascii="Cambria" w:eastAsia="Calibri" w:hAnsi="Cambria" w:cs="Times New Roman"/>
          <w:sz w:val="24"/>
          <w:szCs w:val="24"/>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396A62F8" w14:textId="0BBCB8B1" w:rsidR="00C15BC3" w:rsidRPr="009113BE" w:rsidRDefault="00C15BC3" w:rsidP="00C15BC3">
      <w:pPr>
        <w:spacing w:after="200" w:line="276" w:lineRule="auto"/>
        <w:jc w:val="both"/>
        <w:rPr>
          <w:rFonts w:ascii="Cambria" w:eastAsia="Calibri" w:hAnsi="Cambria" w:cs="Times New Roman"/>
          <w:sz w:val="24"/>
          <w:szCs w:val="24"/>
          <w:lang w:val="sq-AL"/>
        </w:rPr>
      </w:pPr>
      <w:r w:rsidRPr="00AC3423">
        <w:rPr>
          <w:rFonts w:ascii="Cambria" w:eastAsia="Calibri" w:hAnsi="Cambria" w:cs="Times New Roman"/>
          <w:sz w:val="24"/>
          <w:szCs w:val="24"/>
          <w:lang w:val="sq-AL"/>
        </w:rPr>
        <w:t>Shpenzimet për Ministrinë për Evropën dhe Punët e Jashtme në vlerë nominale, në përqindje ndaj PBB dhe në përqindje ndaj shpenzimeve të përgjithshme të qeverisë për periudhën 2026-2028, paraqiten në tabelën e mëposhtme:</w:t>
      </w:r>
    </w:p>
    <w:p w14:paraId="23AF0285" w14:textId="2BC66E63" w:rsidR="00C15BC3" w:rsidRPr="009113BE" w:rsidRDefault="009113BE" w:rsidP="009113BE">
      <w:pPr>
        <w:pStyle w:val="Caption"/>
        <w:rPr>
          <w:rFonts w:ascii="Cambria" w:eastAsia="Times New Roman" w:hAnsi="Cambria" w:cs="Arial"/>
          <w:sz w:val="24"/>
          <w:szCs w:val="24"/>
          <w:lang w:val="sq-AL"/>
        </w:rPr>
      </w:pPr>
      <w:r w:rsidRPr="009113BE">
        <w:rPr>
          <w:rFonts w:ascii="Cambria" w:eastAsia="Times New Roman" w:hAnsi="Cambria" w:cs="Arial"/>
          <w:sz w:val="24"/>
          <w:szCs w:val="24"/>
          <w:lang w:val="sq-AL"/>
        </w:rPr>
        <w:t xml:space="preserve">Tabela </w:t>
      </w:r>
      <w:r w:rsidRPr="009113BE">
        <w:rPr>
          <w:rFonts w:ascii="Cambria" w:eastAsia="Times New Roman" w:hAnsi="Cambria" w:cs="Arial"/>
          <w:sz w:val="24"/>
          <w:szCs w:val="24"/>
          <w:lang w:val="sq-AL"/>
        </w:rPr>
        <w:fldChar w:fldCharType="begin"/>
      </w:r>
      <w:r w:rsidRPr="009113BE">
        <w:rPr>
          <w:rFonts w:ascii="Cambria" w:eastAsia="Times New Roman" w:hAnsi="Cambria" w:cs="Arial"/>
          <w:sz w:val="24"/>
          <w:szCs w:val="24"/>
          <w:lang w:val="sq-AL"/>
        </w:rPr>
        <w:instrText xml:space="preserve"> SEQ Tabela \* ARABIC </w:instrText>
      </w:r>
      <w:r w:rsidRPr="009113BE">
        <w:rPr>
          <w:rFonts w:ascii="Cambria" w:eastAsia="Times New Roman" w:hAnsi="Cambria" w:cs="Arial"/>
          <w:sz w:val="24"/>
          <w:szCs w:val="24"/>
          <w:lang w:val="sq-AL"/>
        </w:rPr>
        <w:fldChar w:fldCharType="separate"/>
      </w:r>
      <w:r w:rsidRPr="009113BE">
        <w:rPr>
          <w:rFonts w:ascii="Cambria" w:eastAsia="Times New Roman" w:hAnsi="Cambria" w:cs="Arial"/>
          <w:sz w:val="24"/>
          <w:szCs w:val="24"/>
          <w:lang w:val="sq-AL"/>
        </w:rPr>
        <w:t>23</w:t>
      </w:r>
      <w:r w:rsidRPr="009113BE">
        <w:rPr>
          <w:rFonts w:ascii="Cambria" w:eastAsia="Times New Roman" w:hAnsi="Cambria" w:cs="Arial"/>
          <w:sz w:val="24"/>
          <w:szCs w:val="24"/>
          <w:lang w:val="sq-AL"/>
        </w:rPr>
        <w:fldChar w:fldCharType="end"/>
      </w:r>
      <w:r w:rsidRPr="009113BE">
        <w:rPr>
          <w:rFonts w:ascii="Cambria" w:eastAsia="Times New Roman" w:hAnsi="Cambria" w:cs="Arial"/>
          <w:sz w:val="24"/>
          <w:szCs w:val="24"/>
          <w:lang w:val="sq-AL"/>
        </w:rPr>
        <w:t xml:space="preserve">: </w:t>
      </w:r>
      <w:r w:rsidR="00C15BC3" w:rsidRPr="00AC3423">
        <w:rPr>
          <w:rFonts w:ascii="Cambria" w:eastAsia="Times New Roman" w:hAnsi="Cambria" w:cs="Arial"/>
          <w:sz w:val="24"/>
          <w:szCs w:val="24"/>
          <w:lang w:val="sq-AL"/>
        </w:rPr>
        <w:t>Shpenzimet për Ministrinë për Evropën dhe Punët e Jashtme për vitet 2026-2028</w:t>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Pr>
          <w:rFonts w:ascii="Cambria" w:eastAsia="Times New Roman" w:hAnsi="Cambria" w:cs="Arial"/>
          <w:sz w:val="24"/>
          <w:szCs w:val="24"/>
          <w:lang w:val="sq-AL"/>
        </w:rPr>
        <w:tab/>
      </w:r>
      <w:r w:rsidR="00C15BC3" w:rsidRPr="00AC3423">
        <w:rPr>
          <w:rFonts w:ascii="Cambria" w:eastAsia="Times New Roman" w:hAnsi="Cambria" w:cs="Arial"/>
          <w:i/>
          <w:iCs/>
          <w:sz w:val="24"/>
          <w:szCs w:val="24"/>
          <w:lang w:val="sq-AL"/>
        </w:rPr>
        <w:t>Në milion lekë</w:t>
      </w:r>
    </w:p>
    <w:tbl>
      <w:tblPr>
        <w:tblStyle w:val="GridTable5Dark-Accent1211"/>
        <w:tblW w:w="9789" w:type="dxa"/>
        <w:tblLook w:val="04A0" w:firstRow="1" w:lastRow="0" w:firstColumn="1" w:lastColumn="0" w:noHBand="0" w:noVBand="1"/>
      </w:tblPr>
      <w:tblGrid>
        <w:gridCol w:w="4495"/>
        <w:gridCol w:w="1170"/>
        <w:gridCol w:w="1276"/>
        <w:gridCol w:w="1420"/>
        <w:gridCol w:w="1428"/>
      </w:tblGrid>
      <w:tr w:rsidR="00C15BC3" w:rsidRPr="00AC3423" w14:paraId="056F452E" w14:textId="77777777" w:rsidTr="00503B9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789" w:type="dxa"/>
            <w:gridSpan w:val="5"/>
            <w:hideMark/>
          </w:tcPr>
          <w:p w14:paraId="0C005FFE" w14:textId="77777777" w:rsidR="00C15BC3" w:rsidRPr="00AC3423" w:rsidRDefault="00C15BC3" w:rsidP="00503B9E">
            <w:pPr>
              <w:jc w:val="center"/>
              <w:rPr>
                <w:rFonts w:ascii="Cambria" w:eastAsia="Times New Roman" w:hAnsi="Cambria" w:cs="Arial"/>
                <w:sz w:val="24"/>
                <w:szCs w:val="24"/>
                <w:lang w:val="sq-AL"/>
              </w:rPr>
            </w:pPr>
            <w:r w:rsidRPr="00AC3423">
              <w:rPr>
                <w:rFonts w:ascii="Cambria" w:eastAsia="Times New Roman" w:hAnsi="Cambria" w:cs="Arial"/>
                <w:sz w:val="24"/>
                <w:szCs w:val="24"/>
                <w:lang w:val="sq-AL"/>
              </w:rPr>
              <w:t>Shpenzimet për Ministrinë për Evropën dhe Punët e Jashtme në vlerë nominale dhe në % ndaj PBB 2026-2028</w:t>
            </w:r>
          </w:p>
        </w:tc>
      </w:tr>
      <w:tr w:rsidR="00C15BC3" w:rsidRPr="00AC3423" w14:paraId="6B9D0917" w14:textId="77777777" w:rsidTr="00503B9E">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495" w:type="dxa"/>
            <w:vMerge w:val="restart"/>
            <w:hideMark/>
          </w:tcPr>
          <w:p w14:paraId="18BDA824" w14:textId="77777777" w:rsidR="00C15BC3" w:rsidRPr="00AC3423" w:rsidRDefault="00C15BC3" w:rsidP="00503B9E">
            <w:pPr>
              <w:jc w:val="center"/>
              <w:rPr>
                <w:rFonts w:ascii="Cambria" w:eastAsia="Times New Roman" w:hAnsi="Cambria" w:cs="Arial"/>
                <w:color w:val="000080"/>
                <w:sz w:val="24"/>
                <w:szCs w:val="24"/>
                <w:lang w:val="sq-AL"/>
              </w:rPr>
            </w:pPr>
          </w:p>
        </w:tc>
        <w:tc>
          <w:tcPr>
            <w:tcW w:w="5294" w:type="dxa"/>
            <w:gridSpan w:val="4"/>
            <w:noWrap/>
            <w:hideMark/>
          </w:tcPr>
          <w:p w14:paraId="3EE829EC"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sz w:val="24"/>
                <w:szCs w:val="24"/>
                <w:lang w:val="sq-AL"/>
              </w:rPr>
            </w:pPr>
            <w:r w:rsidRPr="00AC3423">
              <w:rPr>
                <w:rFonts w:ascii="Cambria" w:eastAsia="Times New Roman" w:hAnsi="Cambria" w:cs="Arial"/>
                <w:b/>
                <w:bCs/>
                <w:sz w:val="24"/>
                <w:szCs w:val="24"/>
                <w:lang w:val="sq-AL"/>
              </w:rPr>
              <w:t>Shpenzimet totale</w:t>
            </w:r>
          </w:p>
        </w:tc>
      </w:tr>
      <w:tr w:rsidR="00C15BC3" w:rsidRPr="00AC3423" w14:paraId="0E96E481" w14:textId="77777777" w:rsidTr="00503B9E">
        <w:trPr>
          <w:trHeight w:val="342"/>
        </w:trPr>
        <w:tc>
          <w:tcPr>
            <w:cnfStyle w:val="001000000000" w:firstRow="0" w:lastRow="0" w:firstColumn="1" w:lastColumn="0" w:oddVBand="0" w:evenVBand="0" w:oddHBand="0" w:evenHBand="0" w:firstRowFirstColumn="0" w:firstRowLastColumn="0" w:lastRowFirstColumn="0" w:lastRowLastColumn="0"/>
            <w:tcW w:w="4495" w:type="dxa"/>
            <w:vMerge/>
            <w:hideMark/>
          </w:tcPr>
          <w:p w14:paraId="0272A6B4" w14:textId="77777777" w:rsidR="00C15BC3" w:rsidRPr="00AC3423" w:rsidRDefault="00C15BC3" w:rsidP="00503B9E">
            <w:pPr>
              <w:jc w:val="center"/>
              <w:rPr>
                <w:rFonts w:ascii="Cambria" w:eastAsia="Times New Roman" w:hAnsi="Cambria" w:cs="Arial"/>
                <w:color w:val="000080"/>
                <w:sz w:val="24"/>
                <w:szCs w:val="24"/>
                <w:lang w:val="sq-AL"/>
              </w:rPr>
            </w:pPr>
          </w:p>
        </w:tc>
        <w:tc>
          <w:tcPr>
            <w:tcW w:w="1170" w:type="dxa"/>
            <w:noWrap/>
            <w:hideMark/>
          </w:tcPr>
          <w:p w14:paraId="0371F7E0"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AC3423">
              <w:rPr>
                <w:rFonts w:ascii="Cambria" w:eastAsia="Times New Roman" w:hAnsi="Cambria" w:cs="Arial"/>
                <w:b/>
                <w:bCs/>
                <w:sz w:val="24"/>
                <w:szCs w:val="24"/>
                <w:lang w:val="sq-AL"/>
              </w:rPr>
              <w:t>Buxheti 2025</w:t>
            </w:r>
          </w:p>
        </w:tc>
        <w:tc>
          <w:tcPr>
            <w:tcW w:w="1276" w:type="dxa"/>
            <w:noWrap/>
            <w:hideMark/>
          </w:tcPr>
          <w:p w14:paraId="463EED7F"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AC3423">
              <w:rPr>
                <w:rFonts w:ascii="Cambria" w:eastAsia="Times New Roman" w:hAnsi="Cambria" w:cs="Arial"/>
                <w:b/>
                <w:bCs/>
                <w:sz w:val="24"/>
                <w:szCs w:val="24"/>
                <w:lang w:val="sq-AL"/>
              </w:rPr>
              <w:t>PBA 2026</w:t>
            </w:r>
          </w:p>
        </w:tc>
        <w:tc>
          <w:tcPr>
            <w:tcW w:w="1420" w:type="dxa"/>
            <w:noWrap/>
            <w:hideMark/>
          </w:tcPr>
          <w:p w14:paraId="7729F68B"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AC3423">
              <w:rPr>
                <w:rFonts w:ascii="Cambria" w:eastAsia="Times New Roman" w:hAnsi="Cambria" w:cs="Arial"/>
                <w:b/>
                <w:bCs/>
                <w:sz w:val="24"/>
                <w:szCs w:val="24"/>
                <w:lang w:val="sq-AL"/>
              </w:rPr>
              <w:t>PBA 2027</w:t>
            </w:r>
          </w:p>
        </w:tc>
        <w:tc>
          <w:tcPr>
            <w:tcW w:w="1428" w:type="dxa"/>
            <w:noWrap/>
            <w:hideMark/>
          </w:tcPr>
          <w:p w14:paraId="1FE4261D"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AC3423">
              <w:rPr>
                <w:rFonts w:ascii="Cambria" w:eastAsia="Times New Roman" w:hAnsi="Cambria" w:cs="Arial"/>
                <w:b/>
                <w:bCs/>
                <w:sz w:val="24"/>
                <w:szCs w:val="24"/>
                <w:lang w:val="sq-AL"/>
              </w:rPr>
              <w:t>PBA 2028</w:t>
            </w:r>
          </w:p>
        </w:tc>
      </w:tr>
      <w:tr w:rsidR="00C15BC3" w:rsidRPr="00AC3423" w14:paraId="2098D82A" w14:textId="77777777" w:rsidTr="00503B9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DC8E4A8" w14:textId="77777777" w:rsidR="00C15BC3" w:rsidRPr="00AC3423" w:rsidRDefault="00C15BC3" w:rsidP="00503B9E">
            <w:pPr>
              <w:jc w:val="center"/>
              <w:rPr>
                <w:rFonts w:ascii="Cambria" w:eastAsia="Times New Roman" w:hAnsi="Cambria" w:cs="Arial"/>
                <w:sz w:val="24"/>
                <w:szCs w:val="24"/>
                <w:lang w:val="sq-AL"/>
              </w:rPr>
            </w:pPr>
            <w:r w:rsidRPr="00AC3423">
              <w:rPr>
                <w:rFonts w:ascii="Cambria" w:eastAsia="Times New Roman" w:hAnsi="Cambria" w:cs="Arial"/>
                <w:sz w:val="24"/>
                <w:szCs w:val="24"/>
                <w:lang w:val="sq-AL"/>
              </w:rPr>
              <w:t>Në vlerë nominale</w:t>
            </w:r>
          </w:p>
        </w:tc>
        <w:tc>
          <w:tcPr>
            <w:tcW w:w="1170" w:type="dxa"/>
            <w:noWrap/>
            <w:hideMark/>
          </w:tcPr>
          <w:p w14:paraId="2EF8D8EC"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3,874.3</w:t>
            </w:r>
          </w:p>
        </w:tc>
        <w:tc>
          <w:tcPr>
            <w:tcW w:w="1276" w:type="dxa"/>
            <w:noWrap/>
            <w:hideMark/>
          </w:tcPr>
          <w:p w14:paraId="1BA6B20C"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3,672.3</w:t>
            </w:r>
          </w:p>
        </w:tc>
        <w:tc>
          <w:tcPr>
            <w:tcW w:w="1420" w:type="dxa"/>
            <w:noWrap/>
            <w:hideMark/>
          </w:tcPr>
          <w:p w14:paraId="650947CE"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3,671.3</w:t>
            </w:r>
          </w:p>
        </w:tc>
        <w:tc>
          <w:tcPr>
            <w:tcW w:w="1428" w:type="dxa"/>
            <w:noWrap/>
            <w:hideMark/>
          </w:tcPr>
          <w:p w14:paraId="301494AF"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3,620.3</w:t>
            </w:r>
          </w:p>
        </w:tc>
      </w:tr>
      <w:tr w:rsidR="00C15BC3" w:rsidRPr="00AC3423" w14:paraId="3AA7B324" w14:textId="77777777" w:rsidTr="00503B9E">
        <w:trPr>
          <w:trHeight w:val="342"/>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2A98DE3" w14:textId="77777777" w:rsidR="00C15BC3" w:rsidRPr="00AC3423" w:rsidRDefault="00C15BC3" w:rsidP="00503B9E">
            <w:pPr>
              <w:jc w:val="center"/>
              <w:rPr>
                <w:rFonts w:ascii="Cambria" w:eastAsia="Times New Roman" w:hAnsi="Cambria" w:cs="Arial"/>
                <w:sz w:val="24"/>
                <w:szCs w:val="24"/>
                <w:lang w:val="sq-AL"/>
              </w:rPr>
            </w:pPr>
            <w:r w:rsidRPr="00AC3423">
              <w:rPr>
                <w:rFonts w:ascii="Cambria" w:eastAsia="Times New Roman" w:hAnsi="Cambria" w:cs="Arial"/>
                <w:sz w:val="24"/>
                <w:szCs w:val="24"/>
                <w:lang w:val="sq-AL"/>
              </w:rPr>
              <w:t>Në % ndaj PBB</w:t>
            </w:r>
          </w:p>
        </w:tc>
        <w:tc>
          <w:tcPr>
            <w:tcW w:w="1170" w:type="dxa"/>
            <w:noWrap/>
            <w:hideMark/>
          </w:tcPr>
          <w:p w14:paraId="5DB51401"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C3423">
              <w:rPr>
                <w:rFonts w:ascii="Cambria" w:hAnsi="Cambria"/>
                <w:sz w:val="24"/>
                <w:szCs w:val="24"/>
              </w:rPr>
              <w:t>0.15%</w:t>
            </w:r>
          </w:p>
        </w:tc>
        <w:tc>
          <w:tcPr>
            <w:tcW w:w="1276" w:type="dxa"/>
            <w:noWrap/>
            <w:hideMark/>
          </w:tcPr>
          <w:p w14:paraId="06CD62B4"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C3423">
              <w:rPr>
                <w:rFonts w:ascii="Cambria" w:hAnsi="Cambria"/>
                <w:sz w:val="24"/>
                <w:szCs w:val="24"/>
              </w:rPr>
              <w:t>0.13%</w:t>
            </w:r>
          </w:p>
        </w:tc>
        <w:tc>
          <w:tcPr>
            <w:tcW w:w="1420" w:type="dxa"/>
            <w:noWrap/>
            <w:hideMark/>
          </w:tcPr>
          <w:p w14:paraId="10503BEE"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C3423">
              <w:rPr>
                <w:rFonts w:ascii="Cambria" w:hAnsi="Cambria"/>
                <w:sz w:val="24"/>
                <w:szCs w:val="24"/>
              </w:rPr>
              <w:t>0.13%</w:t>
            </w:r>
          </w:p>
        </w:tc>
        <w:tc>
          <w:tcPr>
            <w:tcW w:w="1428" w:type="dxa"/>
            <w:noWrap/>
            <w:hideMark/>
          </w:tcPr>
          <w:p w14:paraId="7117D733" w14:textId="77777777" w:rsidR="00C15BC3" w:rsidRPr="00AC3423" w:rsidRDefault="00C15BC3" w:rsidP="00503B9E">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C3423">
              <w:rPr>
                <w:rFonts w:ascii="Cambria" w:hAnsi="Cambria"/>
                <w:sz w:val="24"/>
                <w:szCs w:val="24"/>
              </w:rPr>
              <w:t>0.12%</w:t>
            </w:r>
          </w:p>
        </w:tc>
      </w:tr>
      <w:tr w:rsidR="00C15BC3" w:rsidRPr="00AC3423" w14:paraId="54EBDA77" w14:textId="77777777" w:rsidTr="00503B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E905068" w14:textId="77777777" w:rsidR="00C15BC3" w:rsidRPr="00AC3423" w:rsidRDefault="00C15BC3" w:rsidP="00503B9E">
            <w:pPr>
              <w:jc w:val="center"/>
              <w:rPr>
                <w:rFonts w:ascii="Cambria" w:eastAsia="Times New Roman" w:hAnsi="Cambria" w:cs="Arial"/>
                <w:sz w:val="24"/>
                <w:szCs w:val="24"/>
                <w:lang w:val="sq-AL"/>
              </w:rPr>
            </w:pPr>
            <w:r w:rsidRPr="00AC3423">
              <w:rPr>
                <w:rFonts w:ascii="Cambria" w:eastAsia="Times New Roman" w:hAnsi="Cambria" w:cs="Arial"/>
                <w:sz w:val="24"/>
                <w:szCs w:val="24"/>
                <w:lang w:val="sq-AL"/>
              </w:rPr>
              <w:t>Në % ndaj shpenzimeve të Përgjithshme të Qeverisë</w:t>
            </w:r>
          </w:p>
        </w:tc>
        <w:tc>
          <w:tcPr>
            <w:tcW w:w="1170" w:type="dxa"/>
            <w:noWrap/>
            <w:hideMark/>
          </w:tcPr>
          <w:p w14:paraId="116987F1"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0.47%</w:t>
            </w:r>
          </w:p>
        </w:tc>
        <w:tc>
          <w:tcPr>
            <w:tcW w:w="1276" w:type="dxa"/>
            <w:noWrap/>
            <w:hideMark/>
          </w:tcPr>
          <w:p w14:paraId="1890DA15"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0.45%</w:t>
            </w:r>
          </w:p>
        </w:tc>
        <w:tc>
          <w:tcPr>
            <w:tcW w:w="1420" w:type="dxa"/>
            <w:noWrap/>
            <w:hideMark/>
          </w:tcPr>
          <w:p w14:paraId="080B0D95"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0.41%</w:t>
            </w:r>
          </w:p>
        </w:tc>
        <w:tc>
          <w:tcPr>
            <w:tcW w:w="1428" w:type="dxa"/>
            <w:noWrap/>
            <w:hideMark/>
          </w:tcPr>
          <w:p w14:paraId="2B14B837" w14:textId="77777777" w:rsidR="00C15BC3" w:rsidRPr="00AC3423" w:rsidRDefault="00C15BC3" w:rsidP="00503B9E">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AC3423">
              <w:rPr>
                <w:rFonts w:ascii="Cambria" w:hAnsi="Cambria"/>
                <w:sz w:val="24"/>
                <w:szCs w:val="24"/>
              </w:rPr>
              <w:t>0.40%</w:t>
            </w:r>
          </w:p>
        </w:tc>
      </w:tr>
    </w:tbl>
    <w:p w14:paraId="7728E1D1" w14:textId="77777777" w:rsidR="00C15BC3" w:rsidRPr="00AC3423" w:rsidRDefault="00C15BC3" w:rsidP="00C15BC3">
      <w:pPr>
        <w:jc w:val="both"/>
        <w:rPr>
          <w:rFonts w:ascii="Cambria" w:eastAsia="Times New Roman" w:hAnsi="Cambria" w:cs="Times New Roman"/>
          <w:sz w:val="24"/>
          <w:szCs w:val="24"/>
          <w:lang w:val="sq-AL"/>
        </w:rPr>
      </w:pPr>
    </w:p>
    <w:p w14:paraId="766BFFEA" w14:textId="3BBC3B68" w:rsidR="00C15BC3" w:rsidRDefault="00C15BC3" w:rsidP="006F602B">
      <w:pPr>
        <w:pStyle w:val="Heading3"/>
        <w:rPr>
          <w:rFonts w:ascii="Cambria" w:hAnsi="Cambria"/>
          <w:b/>
          <w:bCs/>
          <w:color w:val="auto"/>
          <w:lang w:val="sq-AL"/>
        </w:rPr>
      </w:pPr>
      <w:r w:rsidRPr="006F602B">
        <w:rPr>
          <w:rFonts w:ascii="Cambria" w:hAnsi="Cambria"/>
          <w:b/>
          <w:bCs/>
          <w:color w:val="auto"/>
          <w:lang w:val="sq-AL"/>
        </w:rPr>
        <w:t>Prioritetet për periudhën 2026-2028</w:t>
      </w:r>
    </w:p>
    <w:p w14:paraId="044EE88E" w14:textId="77777777" w:rsidR="006F602B" w:rsidRPr="006F602B" w:rsidRDefault="006F602B" w:rsidP="006F602B">
      <w:pPr>
        <w:rPr>
          <w:lang w:val="sq-AL"/>
        </w:rPr>
      </w:pPr>
    </w:p>
    <w:p w14:paraId="3A186017" w14:textId="536BCDBC" w:rsidR="009113BE" w:rsidRPr="006F602B" w:rsidRDefault="00C15BC3" w:rsidP="006F602B">
      <w:pPr>
        <w:spacing w:line="276" w:lineRule="auto"/>
        <w:jc w:val="both"/>
        <w:rPr>
          <w:rFonts w:ascii="Cambria" w:eastAsia="Calibri" w:hAnsi="Cambria" w:cs="Times New Roman"/>
          <w:sz w:val="24"/>
          <w:szCs w:val="24"/>
          <w:lang w:val="sq-AL"/>
        </w:rPr>
      </w:pPr>
      <w:r w:rsidRPr="00AC3423">
        <w:rPr>
          <w:rFonts w:ascii="Cambria" w:eastAsia="Calibri" w:hAnsi="Cambria" w:cs="Times New Roman"/>
          <w:sz w:val="24"/>
          <w:szCs w:val="24"/>
          <w:lang w:val="sq-AL"/>
        </w:rPr>
        <w:t>Orientimi i politikës së jashtme për tre vitet e PBA-së 2026-2028, do të jetë drejt zgjerimit, intensifikimit, diversifikimit, thellimit dhe pasurimit të marrëdhënieve dypalëshe me vendet fqinje, partnerët strategjik në rajon, Evropën dhe vendet e tjera të botës.</w:t>
      </w:r>
    </w:p>
    <w:p w14:paraId="14A0D30F" w14:textId="66C98DBB" w:rsidR="00C15BC3" w:rsidRPr="009113BE" w:rsidRDefault="00C15BC3" w:rsidP="009113BE">
      <w:pPr>
        <w:pStyle w:val="Caption"/>
        <w:rPr>
          <w:rFonts w:ascii="Cambria" w:eastAsia="Calibri" w:hAnsi="Cambria" w:cs="Times New Roman"/>
          <w:sz w:val="24"/>
          <w:szCs w:val="24"/>
          <w:lang w:val="sq-AL"/>
        </w:rPr>
      </w:pPr>
      <w:r w:rsidRPr="00C15BC3">
        <w:rPr>
          <w:rFonts w:ascii="Cambria" w:eastAsia="SimSun" w:hAnsi="Cambria" w:cs="Arial"/>
          <w:sz w:val="24"/>
          <w:szCs w:val="24"/>
          <w:lang w:val="sq-AL"/>
        </w:rPr>
        <w:t xml:space="preserve">Tabela </w:t>
      </w:r>
      <w:r w:rsidRPr="00C15BC3">
        <w:rPr>
          <w:rFonts w:ascii="Cambria" w:eastAsia="SimSun" w:hAnsi="Cambria" w:cs="Arial"/>
          <w:sz w:val="24"/>
          <w:szCs w:val="24"/>
          <w:lang w:val="sq-AL"/>
        </w:rPr>
        <w:fldChar w:fldCharType="begin"/>
      </w:r>
      <w:r w:rsidRPr="00C15BC3">
        <w:rPr>
          <w:rFonts w:ascii="Cambria" w:eastAsia="SimSun" w:hAnsi="Cambria" w:cs="Arial"/>
          <w:sz w:val="24"/>
          <w:szCs w:val="24"/>
          <w:lang w:val="sq-AL"/>
        </w:rPr>
        <w:instrText xml:space="preserve"> SEQ Tabela \* ARABIC </w:instrText>
      </w:r>
      <w:r w:rsidRPr="00C15BC3">
        <w:rPr>
          <w:rFonts w:ascii="Cambria" w:eastAsia="SimSun" w:hAnsi="Cambria" w:cs="Arial"/>
          <w:sz w:val="24"/>
          <w:szCs w:val="24"/>
          <w:lang w:val="sq-AL"/>
        </w:rPr>
        <w:fldChar w:fldCharType="separate"/>
      </w:r>
      <w:r w:rsidR="009113BE">
        <w:rPr>
          <w:rFonts w:ascii="Cambria" w:eastAsia="SimSun" w:hAnsi="Cambria" w:cs="Arial"/>
          <w:noProof/>
          <w:sz w:val="24"/>
          <w:szCs w:val="24"/>
          <w:lang w:val="sq-AL"/>
        </w:rPr>
        <w:t>24</w:t>
      </w:r>
      <w:r w:rsidRPr="00C15BC3">
        <w:rPr>
          <w:rFonts w:ascii="Cambria" w:eastAsia="SimSun" w:hAnsi="Cambria" w:cs="Arial"/>
          <w:sz w:val="24"/>
          <w:szCs w:val="24"/>
          <w:lang w:val="sq-AL"/>
        </w:rPr>
        <w:fldChar w:fldCharType="end"/>
      </w:r>
      <w:r w:rsidRPr="00C15BC3">
        <w:rPr>
          <w:rFonts w:ascii="Cambria" w:eastAsia="SimSun" w:hAnsi="Cambria" w:cs="Arial"/>
          <w:sz w:val="24"/>
          <w:szCs w:val="24"/>
          <w:lang w:val="sq-AL"/>
        </w:rPr>
        <w:t xml:space="preserve">: </w:t>
      </w:r>
      <w:r w:rsidRPr="00AC3423">
        <w:rPr>
          <w:rFonts w:ascii="Cambria" w:eastAsia="SimSun" w:hAnsi="Cambria" w:cs="Arial"/>
          <w:sz w:val="24"/>
          <w:szCs w:val="24"/>
          <w:lang w:val="sq-AL"/>
        </w:rPr>
        <w:t>Përmbledhje e Kërkesave Buxhetore për vitet 2026-2028 për Ministrinë për Evropën dhe Punët e Jashtme</w:t>
      </w:r>
      <w:r w:rsidR="009113BE">
        <w:rPr>
          <w:rFonts w:ascii="Cambria" w:eastAsia="SimSun" w:hAnsi="Cambria" w:cs="Arial"/>
          <w:sz w:val="24"/>
          <w:szCs w:val="24"/>
          <w:lang w:val="sq-AL"/>
        </w:rPr>
        <w:t xml:space="preserve"> </w:t>
      </w:r>
      <w:r w:rsidRPr="00AC3423">
        <w:rPr>
          <w:rFonts w:ascii="Cambria" w:eastAsia="SimSun" w:hAnsi="Cambria" w:cs="Arial"/>
          <w:i/>
          <w:iCs/>
          <w:sz w:val="24"/>
          <w:szCs w:val="24"/>
          <w:lang w:val="sq-AL"/>
        </w:rPr>
        <w:t>në mijë lekë</w:t>
      </w:r>
    </w:p>
    <w:p w14:paraId="78CD95F3" w14:textId="77777777" w:rsidR="00C15BC3" w:rsidRPr="00AC3423" w:rsidRDefault="00C15BC3" w:rsidP="00C15BC3">
      <w:pPr>
        <w:spacing w:line="276" w:lineRule="auto"/>
        <w:jc w:val="both"/>
        <w:rPr>
          <w:rFonts w:ascii="Cambria" w:eastAsia="SimSun" w:hAnsi="Cambria" w:cs="Arial"/>
          <w:sz w:val="24"/>
          <w:szCs w:val="24"/>
          <w:lang w:val="sq-AL"/>
        </w:rPr>
      </w:pPr>
      <w:r w:rsidRPr="00AC3423">
        <w:rPr>
          <w:rFonts w:ascii="Cambria" w:hAnsi="Cambria"/>
          <w:noProof/>
          <w:sz w:val="24"/>
          <w:szCs w:val="24"/>
        </w:rPr>
        <w:drawing>
          <wp:inline distT="0" distB="0" distL="0" distR="0" wp14:anchorId="39CBF4EF" wp14:editId="60804765">
            <wp:extent cx="6155140" cy="3500755"/>
            <wp:effectExtent l="0" t="0" r="0" b="4445"/>
            <wp:docPr id="130072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57238" cy="3501948"/>
                    </a:xfrm>
                    <a:prstGeom prst="rect">
                      <a:avLst/>
                    </a:prstGeom>
                    <a:noFill/>
                    <a:ln>
                      <a:noFill/>
                    </a:ln>
                  </pic:spPr>
                </pic:pic>
              </a:graphicData>
            </a:graphic>
          </wp:inline>
        </w:drawing>
      </w:r>
    </w:p>
    <w:p w14:paraId="01FE91A1" w14:textId="77777777" w:rsidR="00C15BC3" w:rsidRPr="00AC3423" w:rsidRDefault="00C15BC3" w:rsidP="00C15BC3">
      <w:pPr>
        <w:keepNext/>
        <w:keepLines/>
        <w:spacing w:before="40" w:after="0"/>
        <w:jc w:val="both"/>
        <w:outlineLvl w:val="2"/>
        <w:rPr>
          <w:rFonts w:ascii="Cambria" w:eastAsia="MS Gothic" w:hAnsi="Cambria" w:cs="Times New Roman"/>
          <w:b/>
          <w:sz w:val="24"/>
          <w:szCs w:val="24"/>
          <w:lang w:val="sq-AL"/>
        </w:rPr>
      </w:pPr>
    </w:p>
    <w:p w14:paraId="74373E85" w14:textId="77777777" w:rsidR="00C15BC3" w:rsidRPr="00AC3423" w:rsidRDefault="00C15BC3" w:rsidP="00C15BC3">
      <w:pPr>
        <w:keepNext/>
        <w:keepLines/>
        <w:spacing w:before="40" w:after="0"/>
        <w:jc w:val="both"/>
        <w:outlineLvl w:val="2"/>
        <w:rPr>
          <w:rFonts w:ascii="Cambria" w:eastAsia="MS Gothic" w:hAnsi="Cambria" w:cs="Times New Roman"/>
          <w:b/>
          <w:sz w:val="24"/>
          <w:szCs w:val="24"/>
          <w:lang w:val="sq-AL"/>
        </w:rPr>
      </w:pPr>
    </w:p>
    <w:p w14:paraId="22DEAC15" w14:textId="44AD064D" w:rsidR="00C15BC3" w:rsidRPr="0062085C" w:rsidRDefault="00C15BC3" w:rsidP="00954232">
      <w:pPr>
        <w:pStyle w:val="ListParagraph"/>
        <w:keepNext/>
        <w:keepLines/>
        <w:numPr>
          <w:ilvl w:val="2"/>
          <w:numId w:val="31"/>
        </w:numPr>
        <w:spacing w:before="40" w:after="0"/>
        <w:jc w:val="both"/>
        <w:outlineLvl w:val="2"/>
        <w:rPr>
          <w:rFonts w:ascii="Cambria" w:eastAsia="Times New Roman" w:hAnsi="Cambria" w:cs="Times New Roman"/>
          <w:b/>
          <w:lang w:val="sq-AL"/>
        </w:rPr>
      </w:pPr>
      <w:r w:rsidRPr="009113BE">
        <w:rPr>
          <w:rFonts w:ascii="Cambria" w:eastAsia="Times New Roman" w:hAnsi="Cambria" w:cs="Times New Roman"/>
          <w:b/>
          <w:lang w:val="sq-AL"/>
        </w:rPr>
        <w:t>Përmbledhje e Treguesve Kyç të Performancës</w:t>
      </w:r>
    </w:p>
    <w:p w14:paraId="25DE1E9F" w14:textId="77777777" w:rsidR="00094CAB" w:rsidRDefault="00094CAB" w:rsidP="00C15BC3">
      <w:pPr>
        <w:jc w:val="both"/>
        <w:rPr>
          <w:rFonts w:ascii="Cambria" w:eastAsia="Calibri" w:hAnsi="Cambria" w:cs="Times New Roman"/>
          <w:sz w:val="24"/>
          <w:szCs w:val="24"/>
          <w:lang w:val="sq-AL"/>
        </w:rPr>
      </w:pPr>
    </w:p>
    <w:p w14:paraId="537C74F3" w14:textId="09D4055B" w:rsidR="00C15BC3" w:rsidRPr="00C15BC3" w:rsidRDefault="00C15BC3" w:rsidP="00C15BC3">
      <w:p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Objektivat kryesorë që synohen të arrihen nga aktiviteti i Ministrisë për Evropën dhe Punët e Jashtme për vitin 2026-2028, shoqëruar me rezultatet e synuar renditen më poshtë:</w:t>
      </w:r>
    </w:p>
    <w:p w14:paraId="689F6784"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lastRenderedPageBreak/>
        <w:t>Vijimi i angazhimit politik e diplomatik të MEPJ dhe përfaqësive në shtetet anëtare të BE për avancimin e negociatave për anëtarësimin në Bashkimin Evropian;</w:t>
      </w:r>
    </w:p>
    <w:p w14:paraId="4653199B"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Forcimi i dialogut me institucionet e BE, në të gjitha nivelet dhe formatet, lidhur me çështje të politikës së përbashkët të jashtme e të sigurisë, përfshirë sanksionet e BE dhe zbatimin e tyre në territorin shqiptar;</w:t>
      </w:r>
    </w:p>
    <w:p w14:paraId="7D0A234D" w14:textId="542B260D"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Kryerja me sukses e procesit të negociatave të anëtarësimit për të gjitha çështjet në grup kapitujt e acquis të BE-së, ku MEPJ është kryesuese (kapitulli 31) apo kontribuese (kapitulli 24 dhe kapitulli 30);</w:t>
      </w:r>
    </w:p>
    <w:p w14:paraId="08F93291"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Rritja e kontributit dhe rolit aktiv të Shqipërisë në organizatat ndërkombëtare, në zbatim të prioriteteve të politikës sonë të jashtme dhe në funksion të paqes, sigurisë dhe adresimit të sfidave të përbashkëta, me qëllim realizimin e një përfaqësimi sa më dinjitoz në OKB;</w:t>
      </w:r>
    </w:p>
    <w:p w14:paraId="5B15A63D"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Angazhim dhe kontribut i shtuar/intensiv e strukturave ne MEPJ dhe misioneve të Përhershme të RSH në Gjenevë, Nju Jork dhe Vjenë,  në funksion të mandatit si anëtar i Këshillit të të Drejtave të Njeriut (KDNJ) të OKB-së për periudhën 2024-2026; si anëtar i Bordit Ekzekutiv të UNESCO-s për periudhën 2023-2027 (mandati ka filluar që nga 1 janar 2024); si anëtar i Komisionit  për parandalimin e Krimit dhe Drejtësinë Penale (CCPCJ) për periudhën 2025-2027 dhe si anëtar i Bordit të UN Ëomen për periudhën 2025-2027.</w:t>
      </w:r>
    </w:p>
    <w:p w14:paraId="68974986"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 xml:space="preserve">Vijimësi e angazhimit proaktiv të vendit, pas përfundimit të mandatit si anëtar jo i përhershëm i KS të OKB-së për periudhën 2022-2023;  </w:t>
      </w:r>
    </w:p>
    <w:p w14:paraId="0EEC91F1"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Si anëtare e NATO-s, Shqipëria do vijojë të jetë pjesë aktive e vullnetit të palëkundur të Aleancës Atlantike për të siguruar dhe mbrojtur çdo pëllëmbë të territorit aleat, duke kontribuar ushtarakisht në përforcimin më të madh të NATO-s në Lindje të territorit aleat që nga Lufta e Ftohtë. Ajo do të kontribuojë aktivisht në unitetin e Aleancës dhe në rëndësinë thelbësore të lidhjes Transatlantike, në mënyrë që NATO të mbetet kolonë stabiliteti për gjeneratat e ardhshme.</w:t>
      </w:r>
    </w:p>
    <w:p w14:paraId="24A7927C"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Forcimi i marrëdhënieve me vendet e rajonit dhe bashkëpunimit rajonal;</w:t>
      </w:r>
    </w:p>
    <w:p w14:paraId="4BAB60E9"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Konsolidim i marrëdhënieve me Kosovën, përmes G2G, zbatimit të marrëveshjeve të përbashkëta, angazhimit për njohjen ndërkombëtare te shtetit te Kosovës, për pjesëmarrjen dhe anëtarësimin e saj në organizatat rajonale dhe ndërkombëtare, etj.</w:t>
      </w:r>
    </w:p>
    <w:p w14:paraId="08B19786"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Forcimi i marrëdhënieve me të gjithë faktorin shqiptar në rajon (në Maqedoninë e Veriut, Mal të Zi, Serbi-Luginën e Preshevës) dhe rritja e kujdesit dhe interesimit për këtë faktor. Kjo përfshin ngritjen dhe mirëfunksionimin e një drejtorie të dedikuar, Drejtorisë së Bashkëpunimit me Faktorin Shqiptar në Rajon, që ka në fokus sistemimin dhe intensifikimin e bashkëpunimit dhe mbështetjes për këtë faktor jo vetëm në aspektin politik, por edhe ekonomik, arsimor, kulturor, zhvillimor, të pushteteve vendore etj, me qëllim ruajtjen dhe kultivimin e boshtit, identitetit albanocentrist në rezistencë me presionet me të cilat përballet ky identitet në vendet e rajonit.</w:t>
      </w:r>
    </w:p>
    <w:p w14:paraId="200EB118"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 xml:space="preserve">Zhvillimi i mëtejshëm i marrëdhënieve me vendet e tjera, me prioritet marrëdhëniet me partnerët strategjikë, vendet mike dhe aleate; vënia në efikasitet i ambasadave të reja të sapohapura në Azerbaixhan, Ukrainë, Kenia e Indonezi. Hapja e ambasadave </w:t>
      </w:r>
      <w:r w:rsidRPr="00C15BC3">
        <w:rPr>
          <w:rFonts w:ascii="Cambria" w:eastAsia="Calibri" w:hAnsi="Cambria" w:cs="Times New Roman"/>
          <w:sz w:val="24"/>
          <w:szCs w:val="24"/>
          <w:lang w:val="sq-AL"/>
        </w:rPr>
        <w:lastRenderedPageBreak/>
        <w:t>në Bosnjë e Hercegovinë e Indi. Rivlerësimi i rrjetit të përfaqësive dhe zgjerimi i mëtejshëm i tij në vende ku nuk mei prezencë.</w:t>
      </w:r>
    </w:p>
    <w:p w14:paraId="6EACAF25"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 xml:space="preserve">Forcimi i dimensionit të diplomacisë ekonomike në strukturë, përmbajtje dhe mekanizma të reja për një qasje pro-aktive dhe gjithëpërfshirëse, me krijimin e Bordit te Investimeve dhe Eksporteve dhe Rrjetit të Atasheve Tregtarë nderi/ këshilltarë të jashtëm, për të maksimizuar përfitimet kombëtare në tregti dhe investime, rritur bashkëveprimin ekonomik me botën e jashtme, promovuar dhe mbrojtur interesat kombëtare ekonomike, nxitur zhvillimin ekonomik të qëndrueshëm të vendit dhe gjetur në arenën ekonomike botërore tregje e partnerë të rinj për tregti, eksport, biznes dhe knoë-hoë; promovimin dhe rritjen e imazhit të Shqipërisë jashtë kufijve, si dhe forcimin e brand-it të saj si destinacion turistik. </w:t>
      </w:r>
    </w:p>
    <w:p w14:paraId="71C81EF1" w14:textId="77777777" w:rsidR="00C15BC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Bashkëpunimi me partnerët ndërkombëtarë për të gjetur mundësi dhe zbatuar projekte që i sjellin shqiptarët e diasporës gjithmonë e më afër vendit të tyre. Marrëveshje me vende të ndryshme që synojnë të ndihmojnë dhe lehtësojnë jetën e përditshme të diasporës (marrëveshje për njohjen e lejeve të drejtimit dhe ato për sigurimet shoqërore);</w:t>
      </w:r>
    </w:p>
    <w:p w14:paraId="73612585" w14:textId="2557F12C" w:rsidR="008F05E3" w:rsidRPr="00C15BC3" w:rsidRDefault="00C15BC3" w:rsidP="00954232">
      <w:pPr>
        <w:pStyle w:val="ListParagraph"/>
        <w:numPr>
          <w:ilvl w:val="0"/>
          <w:numId w:val="40"/>
        </w:numPr>
        <w:jc w:val="both"/>
        <w:rPr>
          <w:rFonts w:ascii="Cambria" w:eastAsia="Calibri" w:hAnsi="Cambria" w:cs="Times New Roman"/>
          <w:sz w:val="24"/>
          <w:szCs w:val="24"/>
          <w:lang w:val="sq-AL"/>
        </w:rPr>
      </w:pPr>
      <w:r w:rsidRPr="00C15BC3">
        <w:rPr>
          <w:rFonts w:ascii="Cambria" w:eastAsia="Calibri" w:hAnsi="Cambria" w:cs="Times New Roman"/>
          <w:sz w:val="24"/>
          <w:szCs w:val="24"/>
          <w:lang w:val="sq-AL"/>
        </w:rPr>
        <w:t xml:space="preserve">Modernizimi i shërbimeve konsullore në përmbushje të detyrave që rrjedhin nga Strategjia Kombëtare për Diasporën, duke synuar përafrimin e diasporës me vendin, identifikimin e nevojave dhe problemeve të tyre dhe ndërmjetësimi për zgjidhjen </w:t>
      </w:r>
      <w:r w:rsidR="008F05E3" w:rsidRPr="00C15BC3">
        <w:rPr>
          <w:rFonts w:ascii="Cambria" w:eastAsia="Calibri" w:hAnsi="Cambria" w:cs="Times New Roman"/>
          <w:sz w:val="24"/>
          <w:szCs w:val="24"/>
          <w:lang w:val="sq-AL"/>
        </w:rPr>
        <w:t>e tyre në vendin pritës;</w:t>
      </w:r>
    </w:p>
    <w:p w14:paraId="70E94EA8" w14:textId="77777777" w:rsidR="008F05E3" w:rsidRPr="00E24ECC" w:rsidRDefault="008F05E3" w:rsidP="008F05E3">
      <w:pPr>
        <w:spacing w:line="276" w:lineRule="auto"/>
        <w:jc w:val="both"/>
        <w:rPr>
          <w:rFonts w:ascii="Cambria" w:eastAsia="Calibri" w:hAnsi="Cambria" w:cs="Times New Roman"/>
          <w:szCs w:val="20"/>
          <w:lang w:val="sq-AL"/>
        </w:rPr>
      </w:pPr>
    </w:p>
    <w:p w14:paraId="7A4511F4" w14:textId="77777777" w:rsidR="004C581B" w:rsidRPr="00E24ECC" w:rsidRDefault="004C581B" w:rsidP="004C581B">
      <w:pPr>
        <w:jc w:val="both"/>
        <w:rPr>
          <w:lang w:val="sq-AL"/>
        </w:rPr>
      </w:pPr>
    </w:p>
    <w:p w14:paraId="46CEB740" w14:textId="77777777" w:rsidR="004C581B" w:rsidRPr="00E24ECC" w:rsidRDefault="00F16E95" w:rsidP="00954232">
      <w:pPr>
        <w:pStyle w:val="Heading2"/>
        <w:numPr>
          <w:ilvl w:val="1"/>
          <w:numId w:val="16"/>
        </w:numPr>
        <w:spacing w:line="276" w:lineRule="auto"/>
        <w:rPr>
          <w:rFonts w:ascii="Cambria" w:eastAsia="Calibri" w:hAnsi="Cambria"/>
          <w:i w:val="0"/>
          <w:sz w:val="24"/>
          <w:szCs w:val="24"/>
          <w:lang w:val="sq-AL"/>
        </w:rPr>
      </w:pPr>
      <w:bookmarkStart w:id="1130" w:name="_Toc200704934"/>
      <w:r w:rsidRPr="00E24ECC">
        <w:rPr>
          <w:rFonts w:ascii="Cambria" w:eastAsia="Calibri" w:hAnsi="Cambria"/>
          <w:i w:val="0"/>
          <w:sz w:val="24"/>
          <w:szCs w:val="24"/>
          <w:lang w:val="sq-AL"/>
        </w:rPr>
        <w:t xml:space="preserve">MINISTRIA E </w:t>
      </w:r>
      <w:r w:rsidR="0032722A" w:rsidRPr="00E24ECC">
        <w:rPr>
          <w:rFonts w:ascii="Cambria" w:eastAsia="Calibri" w:hAnsi="Cambria"/>
          <w:i w:val="0"/>
          <w:sz w:val="24"/>
          <w:szCs w:val="24"/>
          <w:lang w:val="sq-AL"/>
        </w:rPr>
        <w:t>EKONOMIS</w:t>
      </w:r>
      <w:r w:rsidR="00AB3B5B" w:rsidRPr="00E24ECC">
        <w:rPr>
          <w:rFonts w:ascii="Cambria" w:eastAsia="Calibri" w:hAnsi="Cambria"/>
          <w:i w:val="0"/>
          <w:sz w:val="24"/>
          <w:szCs w:val="24"/>
          <w:lang w:val="sq-AL"/>
        </w:rPr>
        <w:t>Ë</w:t>
      </w:r>
      <w:r w:rsidR="0032722A" w:rsidRPr="00E24ECC">
        <w:rPr>
          <w:rFonts w:ascii="Cambria" w:eastAsia="Calibri" w:hAnsi="Cambria"/>
          <w:i w:val="0"/>
          <w:sz w:val="24"/>
          <w:szCs w:val="24"/>
          <w:lang w:val="sq-AL"/>
        </w:rPr>
        <w:t xml:space="preserve">, </w:t>
      </w:r>
      <w:r w:rsidRPr="00E24ECC">
        <w:rPr>
          <w:rFonts w:ascii="Cambria" w:eastAsia="Calibri" w:hAnsi="Cambria"/>
          <w:i w:val="0"/>
          <w:sz w:val="24"/>
          <w:szCs w:val="24"/>
          <w:lang w:val="sq-AL"/>
        </w:rPr>
        <w:t>KULTURËS</w:t>
      </w:r>
      <w:bookmarkStart w:id="1131" w:name="_Toc518562263"/>
      <w:bookmarkEnd w:id="1127"/>
      <w:bookmarkEnd w:id="1128"/>
      <w:bookmarkEnd w:id="1129"/>
      <w:r w:rsidR="0032722A" w:rsidRPr="00E24ECC">
        <w:rPr>
          <w:rFonts w:ascii="Cambria" w:eastAsia="Calibri" w:hAnsi="Cambria"/>
          <w:i w:val="0"/>
          <w:sz w:val="24"/>
          <w:szCs w:val="24"/>
          <w:lang w:val="sq-AL"/>
        </w:rPr>
        <w:t xml:space="preserve"> DHE INOVACIONIT</w:t>
      </w:r>
      <w:bookmarkEnd w:id="1130"/>
    </w:p>
    <w:p w14:paraId="0358E49A" w14:textId="77777777" w:rsidR="0032722A" w:rsidRPr="00E24ECC" w:rsidRDefault="0032722A" w:rsidP="0032722A">
      <w:pPr>
        <w:rPr>
          <w:lang w:val="sq-AL" w:eastAsia="sq-AL"/>
        </w:rPr>
      </w:pPr>
    </w:p>
    <w:p w14:paraId="5DAAEE67" w14:textId="77777777" w:rsidR="00BC5178" w:rsidRPr="001F631B" w:rsidRDefault="00BC5178" w:rsidP="00BC5178">
      <w:pPr>
        <w:jc w:val="both"/>
        <w:rPr>
          <w:rFonts w:ascii="Cambria" w:eastAsia="Calibri" w:hAnsi="Cambria" w:cs="Times New Roman"/>
          <w:sz w:val="24"/>
          <w:lang w:val="sq-AL"/>
        </w:rPr>
      </w:pPr>
      <w:r w:rsidRPr="001F631B">
        <w:rPr>
          <w:rFonts w:ascii="Cambria" w:eastAsia="Calibri" w:hAnsi="Cambria" w:cs="Times New Roman"/>
          <w:sz w:val="24"/>
          <w:lang w:val="sq-AL"/>
        </w:rPr>
        <w:t>Ministria e Ekonomisë, Kulturës dhe Inovacionit, ka mision te saj hartimin e politikave në përputhje me kuadrin  ligjor në fuqi, drejtimet kryesore të politikës së përgjithshme shtetërore dhe me programin e Këshillit të Ministrave, ushtron veprimtarinë e saj në fushat përgjegjësi shtetërore, ekonomi, kulturë dhe inovacion.</w:t>
      </w:r>
    </w:p>
    <w:p w14:paraId="0188BD2A" w14:textId="48F578DF" w:rsidR="00BC5178" w:rsidRDefault="00BC5178" w:rsidP="00BC5178">
      <w:pPr>
        <w:spacing w:after="200" w:line="276" w:lineRule="auto"/>
        <w:jc w:val="both"/>
        <w:rPr>
          <w:rFonts w:ascii="Cambria" w:eastAsia="Calibri" w:hAnsi="Cambria" w:cs="Times New Roman"/>
          <w:sz w:val="24"/>
          <w:lang w:val="sq-AL"/>
        </w:rPr>
      </w:pPr>
      <w:r w:rsidRPr="001F631B">
        <w:rPr>
          <w:rFonts w:ascii="Cambria" w:eastAsia="Calibri" w:hAnsi="Cambria" w:cs="Times New Roman"/>
          <w:sz w:val="24"/>
          <w:lang w:val="sq-AL"/>
        </w:rPr>
        <w:t>Për periudhën 2025-2028, shpenzimet buxhetore të Ministrisë së Ekonomisë, Kulturës dhe Inovacionit për të përmbushur objektivat e synuar paraqiten sipas tabelës së mëposhtme</w:t>
      </w:r>
      <w:r w:rsidR="00E20FB6">
        <w:rPr>
          <w:rFonts w:ascii="Cambria" w:eastAsia="Calibri" w:hAnsi="Cambria" w:cs="Times New Roman"/>
          <w:sz w:val="24"/>
          <w:lang w:val="sq-AL"/>
        </w:rPr>
        <w:t>:</w:t>
      </w:r>
    </w:p>
    <w:p w14:paraId="613F81B2" w14:textId="77777777" w:rsidR="00E20FB6" w:rsidRPr="001F631B" w:rsidRDefault="00E20FB6" w:rsidP="00BC5178">
      <w:pPr>
        <w:spacing w:after="200" w:line="276" w:lineRule="auto"/>
        <w:jc w:val="both"/>
        <w:rPr>
          <w:rFonts w:ascii="Cambria" w:eastAsia="Calibri" w:hAnsi="Cambria" w:cs="Times New Roman"/>
          <w:sz w:val="24"/>
          <w:lang w:val="sq-AL"/>
        </w:rPr>
      </w:pPr>
    </w:p>
    <w:p w14:paraId="75CD9C44" w14:textId="509C3B0C" w:rsidR="00BC5178" w:rsidRPr="001F631B" w:rsidRDefault="00BC5178" w:rsidP="00BC5178">
      <w:pPr>
        <w:pStyle w:val="Caption"/>
        <w:rPr>
          <w:rFonts w:ascii="Cambria" w:eastAsia="Calibri" w:hAnsi="Cambria" w:cs="Times New Roman"/>
          <w:sz w:val="24"/>
          <w:szCs w:val="20"/>
          <w:lang w:val="sq-AL"/>
        </w:rPr>
      </w:pPr>
      <w:r w:rsidRPr="00E20FB6">
        <w:rPr>
          <w:sz w:val="24"/>
          <w:szCs w:val="20"/>
          <w:lang w:val="sq-AL"/>
        </w:rPr>
        <w:t xml:space="preserve">Tabela </w:t>
      </w:r>
      <w:r w:rsidRPr="00E20FB6">
        <w:rPr>
          <w:sz w:val="24"/>
          <w:szCs w:val="20"/>
        </w:rPr>
        <w:fldChar w:fldCharType="begin"/>
      </w:r>
      <w:r w:rsidRPr="00E20FB6">
        <w:rPr>
          <w:sz w:val="24"/>
          <w:szCs w:val="20"/>
          <w:lang w:val="sq-AL"/>
        </w:rPr>
        <w:instrText xml:space="preserve"> SEQ Tabela \* ARABIC </w:instrText>
      </w:r>
      <w:r w:rsidRPr="00E20FB6">
        <w:rPr>
          <w:sz w:val="24"/>
          <w:szCs w:val="20"/>
        </w:rPr>
        <w:fldChar w:fldCharType="separate"/>
      </w:r>
      <w:r w:rsidR="009113BE" w:rsidRPr="00E20FB6">
        <w:rPr>
          <w:noProof/>
          <w:sz w:val="24"/>
          <w:szCs w:val="20"/>
          <w:lang w:val="sq-AL"/>
        </w:rPr>
        <w:t>25</w:t>
      </w:r>
      <w:r w:rsidRPr="00E20FB6">
        <w:rPr>
          <w:sz w:val="24"/>
          <w:szCs w:val="20"/>
        </w:rPr>
        <w:fldChar w:fldCharType="end"/>
      </w:r>
      <w:r w:rsidRPr="00E20FB6">
        <w:rPr>
          <w:rFonts w:ascii="Cambria" w:eastAsia="Calibri" w:hAnsi="Cambria" w:cs="Times New Roman"/>
          <w:sz w:val="28"/>
          <w:szCs w:val="22"/>
          <w:lang w:val="sq-AL"/>
        </w:rPr>
        <w:t xml:space="preserve">: </w:t>
      </w:r>
      <w:r w:rsidRPr="001F631B">
        <w:rPr>
          <w:rFonts w:ascii="Cambria" w:eastAsia="Calibri" w:hAnsi="Cambria" w:cs="Times New Roman"/>
          <w:sz w:val="24"/>
          <w:szCs w:val="20"/>
          <w:lang w:val="sq-AL"/>
        </w:rPr>
        <w:t xml:space="preserve">Shpenzimet për Ministrinë e </w:t>
      </w:r>
      <w:r w:rsidRPr="001F631B">
        <w:rPr>
          <w:rFonts w:ascii="Cambria" w:eastAsia="Calibri" w:hAnsi="Cambria" w:cs="Times New Roman"/>
          <w:sz w:val="24"/>
          <w:lang w:val="sq-AL"/>
        </w:rPr>
        <w:t>Ekonomisë, Kulturës dhe Inovacionit</w:t>
      </w:r>
      <w:r w:rsidRPr="001F631B">
        <w:rPr>
          <w:rFonts w:ascii="Cambria" w:eastAsia="Calibri" w:hAnsi="Cambria" w:cs="Times New Roman"/>
          <w:sz w:val="24"/>
          <w:szCs w:val="20"/>
          <w:lang w:val="sq-AL"/>
        </w:rPr>
        <w:t xml:space="preserve"> për vitet 2025-2028</w:t>
      </w:r>
    </w:p>
    <w:p w14:paraId="6BF0DCC1" w14:textId="77777777" w:rsidR="00BC5178" w:rsidRPr="001F631B" w:rsidRDefault="00BC5178" w:rsidP="00BC5178">
      <w:pPr>
        <w:spacing w:after="200" w:line="276" w:lineRule="auto"/>
        <w:jc w:val="both"/>
        <w:rPr>
          <w:rFonts w:ascii="Cambria" w:eastAsia="Calibri" w:hAnsi="Cambria" w:cs="Times New Roman"/>
          <w:b/>
          <w:lang w:val="sq-AL"/>
        </w:rPr>
      </w:pPr>
      <w:r w:rsidRPr="001F631B">
        <w:rPr>
          <w:noProof/>
        </w:rPr>
        <w:lastRenderedPageBreak/>
        <w:drawing>
          <wp:inline distT="0" distB="0" distL="0" distR="0" wp14:anchorId="63AC754E" wp14:editId="1ED9E00E">
            <wp:extent cx="5943600" cy="1645920"/>
            <wp:effectExtent l="0" t="0" r="0" b="0"/>
            <wp:docPr id="660897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5736" cy="1646512"/>
                    </a:xfrm>
                    <a:prstGeom prst="rect">
                      <a:avLst/>
                    </a:prstGeom>
                    <a:noFill/>
                    <a:ln>
                      <a:noFill/>
                    </a:ln>
                  </pic:spPr>
                </pic:pic>
              </a:graphicData>
            </a:graphic>
          </wp:inline>
        </w:drawing>
      </w:r>
    </w:p>
    <w:p w14:paraId="0F2C64F6" w14:textId="77777777" w:rsidR="00BC5178" w:rsidRDefault="00BC5178" w:rsidP="00BC5178">
      <w:pPr>
        <w:pStyle w:val="Caption"/>
        <w:jc w:val="both"/>
        <w:rPr>
          <w:sz w:val="22"/>
          <w:lang w:val="sq-AL"/>
        </w:rPr>
      </w:pPr>
    </w:p>
    <w:p w14:paraId="25B6D7A0" w14:textId="77777777" w:rsidR="00BC5178" w:rsidRDefault="00BC5178" w:rsidP="00BC5178">
      <w:pPr>
        <w:pStyle w:val="Caption"/>
        <w:jc w:val="both"/>
        <w:rPr>
          <w:sz w:val="22"/>
          <w:lang w:val="sq-AL"/>
        </w:rPr>
      </w:pPr>
    </w:p>
    <w:p w14:paraId="1251CDD4" w14:textId="5577FE76" w:rsidR="00BC5178" w:rsidRPr="001F631B" w:rsidRDefault="00BC5178" w:rsidP="00BC5178">
      <w:pPr>
        <w:pStyle w:val="Caption"/>
        <w:jc w:val="both"/>
        <w:rPr>
          <w:rFonts w:ascii="Cambria" w:eastAsia="Times New Roman" w:hAnsi="Cambria" w:cs="Times New Roman"/>
          <w:b w:val="0"/>
          <w:bCs w:val="0"/>
          <w:color w:val="4F81BD"/>
          <w:sz w:val="24"/>
          <w:szCs w:val="20"/>
          <w:lang w:val="sq-AL"/>
        </w:rPr>
      </w:pPr>
      <w:r w:rsidRPr="001F631B">
        <w:rPr>
          <w:sz w:val="22"/>
          <w:lang w:val="sq-AL"/>
        </w:rPr>
        <w:t xml:space="preserve">Tabela </w:t>
      </w:r>
      <w:r w:rsidRPr="001F631B">
        <w:rPr>
          <w:sz w:val="22"/>
        </w:rPr>
        <w:fldChar w:fldCharType="begin"/>
      </w:r>
      <w:r w:rsidRPr="001F631B">
        <w:rPr>
          <w:sz w:val="22"/>
          <w:lang w:val="sq-AL"/>
        </w:rPr>
        <w:instrText xml:space="preserve"> SEQ Tabela \* ARABIC </w:instrText>
      </w:r>
      <w:r w:rsidRPr="001F631B">
        <w:rPr>
          <w:sz w:val="22"/>
        </w:rPr>
        <w:fldChar w:fldCharType="separate"/>
      </w:r>
      <w:r w:rsidR="009113BE">
        <w:rPr>
          <w:noProof/>
          <w:sz w:val="22"/>
          <w:lang w:val="sq-AL"/>
        </w:rPr>
        <w:t>26</w:t>
      </w:r>
      <w:r w:rsidRPr="001F631B">
        <w:rPr>
          <w:sz w:val="22"/>
        </w:rPr>
        <w:fldChar w:fldCharType="end"/>
      </w:r>
      <w:r w:rsidRPr="001F631B">
        <w:rPr>
          <w:rFonts w:ascii="Cambria" w:eastAsia="Times New Roman" w:hAnsi="Cambria" w:cs="Times New Roman"/>
          <w:b w:val="0"/>
          <w:bCs w:val="0"/>
          <w:sz w:val="24"/>
          <w:szCs w:val="20"/>
          <w:lang w:val="sq-AL"/>
        </w:rPr>
        <w:t xml:space="preserve">: </w:t>
      </w:r>
      <w:r w:rsidRPr="001F631B">
        <w:rPr>
          <w:rFonts w:ascii="Cambria" w:eastAsia="Times New Roman" w:hAnsi="Cambria" w:cs="Times New Roman"/>
          <w:bCs w:val="0"/>
          <w:sz w:val="24"/>
          <w:szCs w:val="20"/>
          <w:lang w:val="sq-AL"/>
        </w:rPr>
        <w:t xml:space="preserve">Shpenzimet për Ministrinë e </w:t>
      </w:r>
      <w:r w:rsidRPr="001F631B">
        <w:rPr>
          <w:rFonts w:ascii="Cambria" w:eastAsia="Calibri" w:hAnsi="Cambria" w:cs="Times New Roman"/>
          <w:sz w:val="24"/>
          <w:lang w:val="sq-AL"/>
        </w:rPr>
        <w:t>Ekonomisë, Kulturës dhe Inovacionit</w:t>
      </w:r>
      <w:r w:rsidRPr="001F631B">
        <w:rPr>
          <w:rFonts w:ascii="Cambria" w:eastAsia="Times New Roman" w:hAnsi="Cambria" w:cs="Times New Roman"/>
          <w:bCs w:val="0"/>
          <w:sz w:val="24"/>
          <w:szCs w:val="20"/>
          <w:lang w:val="sq-AL"/>
        </w:rPr>
        <w:t xml:space="preserve"> sipas programeve buxhetore dhe sipas artikujve ekonomikë</w:t>
      </w:r>
    </w:p>
    <w:p w14:paraId="6751FF47" w14:textId="77777777" w:rsidR="00BC5178" w:rsidRPr="001F631B" w:rsidRDefault="00BC5178" w:rsidP="00BC5178">
      <w:pPr>
        <w:spacing w:after="0" w:line="264" w:lineRule="auto"/>
        <w:jc w:val="both"/>
        <w:rPr>
          <w:rFonts w:ascii="Cambria" w:eastAsia="MS Gothic" w:hAnsi="Cambria" w:cs="Times New Roman"/>
          <w:b/>
          <w:bCs/>
          <w:lang w:val="en-GB"/>
        </w:rPr>
      </w:pPr>
      <w:r w:rsidRPr="001F631B">
        <w:rPr>
          <w:noProof/>
        </w:rPr>
        <w:lastRenderedPageBreak/>
        <w:drawing>
          <wp:inline distT="0" distB="0" distL="0" distR="0" wp14:anchorId="7C7B32E1" wp14:editId="1D5BE35E">
            <wp:extent cx="5943600" cy="6197600"/>
            <wp:effectExtent l="0" t="0" r="0" b="0"/>
            <wp:docPr id="1543011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6197600"/>
                    </a:xfrm>
                    <a:prstGeom prst="rect">
                      <a:avLst/>
                    </a:prstGeom>
                    <a:noFill/>
                    <a:ln>
                      <a:noFill/>
                    </a:ln>
                  </pic:spPr>
                </pic:pic>
              </a:graphicData>
            </a:graphic>
          </wp:inline>
        </w:drawing>
      </w:r>
    </w:p>
    <w:p w14:paraId="4FBB28A6" w14:textId="77777777" w:rsidR="00BC5178" w:rsidRPr="001F631B" w:rsidRDefault="00BC5178" w:rsidP="00BC5178">
      <w:pPr>
        <w:keepNext/>
        <w:keepLines/>
        <w:spacing w:before="40" w:after="0"/>
        <w:jc w:val="both"/>
        <w:outlineLvl w:val="2"/>
        <w:rPr>
          <w:rFonts w:ascii="Cambria" w:eastAsia="Times New Roman" w:hAnsi="Cambria" w:cs="Times New Roman"/>
          <w:color w:val="243F60"/>
          <w:sz w:val="24"/>
          <w:szCs w:val="24"/>
          <w:lang w:val="sq-AL"/>
        </w:rPr>
      </w:pPr>
    </w:p>
    <w:p w14:paraId="5A134AAF" w14:textId="77777777" w:rsidR="00BC5178" w:rsidRPr="001F631B" w:rsidRDefault="00BC5178" w:rsidP="00954232">
      <w:pPr>
        <w:pStyle w:val="ListParagraph"/>
        <w:keepNext/>
        <w:keepLines/>
        <w:numPr>
          <w:ilvl w:val="2"/>
          <w:numId w:val="31"/>
        </w:numPr>
        <w:spacing w:before="40" w:after="0"/>
        <w:jc w:val="both"/>
        <w:outlineLvl w:val="2"/>
        <w:rPr>
          <w:rFonts w:ascii="Cambria" w:eastAsia="Times New Roman" w:hAnsi="Cambria" w:cs="Times New Roman"/>
          <w:color w:val="243F60"/>
          <w:sz w:val="24"/>
          <w:szCs w:val="24"/>
          <w:lang w:val="sq-AL"/>
        </w:rPr>
      </w:pPr>
      <w:r w:rsidRPr="001F631B">
        <w:rPr>
          <w:rFonts w:ascii="Cambria" w:eastAsia="Times New Roman" w:hAnsi="Cambria" w:cs="Times New Roman"/>
          <w:b/>
          <w:lang w:val="sq-AL"/>
        </w:rPr>
        <w:t>Përmbledhje e Treguesve Kyç të Performancës</w:t>
      </w:r>
    </w:p>
    <w:p w14:paraId="3125085F" w14:textId="77777777" w:rsidR="00BC5178" w:rsidRPr="001F631B" w:rsidRDefault="00BC5178" w:rsidP="00BC5178">
      <w:pPr>
        <w:spacing w:after="0" w:line="240" w:lineRule="auto"/>
        <w:jc w:val="both"/>
        <w:rPr>
          <w:rFonts w:ascii="Calibri" w:eastAsia="Times New Roman" w:hAnsi="Calibri" w:cs="Times New Roman"/>
          <w:lang w:val="sq-AL"/>
        </w:rPr>
      </w:pPr>
    </w:p>
    <w:p w14:paraId="74BEF475" w14:textId="77777777" w:rsidR="00BC5178" w:rsidRPr="001F631B" w:rsidRDefault="00BC5178" w:rsidP="00BC5178">
      <w:pPr>
        <w:spacing w:after="0" w:line="240" w:lineRule="auto"/>
        <w:jc w:val="both"/>
        <w:rPr>
          <w:rFonts w:ascii="Cambria" w:eastAsiaTheme="minorHAnsi" w:hAnsi="Cambria"/>
          <w:sz w:val="24"/>
          <w:szCs w:val="24"/>
          <w:lang w:val="sq-AL"/>
        </w:rPr>
      </w:pPr>
      <w:r w:rsidRPr="001F631B">
        <w:rPr>
          <w:rFonts w:ascii="Cambria" w:eastAsiaTheme="minorHAnsi" w:hAnsi="Cambria"/>
          <w:sz w:val="24"/>
          <w:szCs w:val="24"/>
          <w:lang w:val="sq-AL"/>
        </w:rPr>
        <w:t xml:space="preserve">Programi </w:t>
      </w:r>
      <w:r w:rsidRPr="001F631B">
        <w:rPr>
          <w:rFonts w:ascii="Cambria" w:eastAsiaTheme="minorHAnsi" w:hAnsi="Cambria"/>
          <w:i/>
          <w:iCs/>
          <w:sz w:val="24"/>
          <w:szCs w:val="24"/>
          <w:lang w:val="sq-AL"/>
        </w:rPr>
        <w:t>“Trashëgimia kulturore dhe Muzetë”</w:t>
      </w:r>
    </w:p>
    <w:p w14:paraId="5CB52570" w14:textId="77777777" w:rsidR="00BC5178" w:rsidRPr="001F631B" w:rsidRDefault="00BC5178" w:rsidP="00BC5178">
      <w:pPr>
        <w:spacing w:after="0" w:line="240" w:lineRule="auto"/>
        <w:jc w:val="both"/>
        <w:rPr>
          <w:rFonts w:ascii="Cambria" w:eastAsia="Times New Roman" w:hAnsi="Cambria" w:cs="Times New Roman"/>
          <w:b/>
          <w:lang w:val="sq-AL"/>
        </w:rPr>
      </w:pPr>
      <w:r w:rsidRPr="001F631B">
        <w:rPr>
          <w:rFonts w:ascii="Cambria" w:eastAsia="Times New Roman" w:hAnsi="Cambria" w:cs="Times New Roman"/>
          <w:b/>
          <w:lang w:val="sq-AL"/>
        </w:rPr>
        <w:t xml:space="preserve"> </w:t>
      </w:r>
    </w:p>
    <w:p w14:paraId="2C6A1A1F"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 xml:space="preserve">Restaurimi dhe mirëmbajtja e trashëgimisë arkitektonike dhe peisazhit, duke përfshirë restaurimin e disa linjave muzeale, si edhe përshtatjen me standarde bashkëkohore. Parashikohen rreth 156 objekte të trashëgimisë arkitektonike dhe peisazhit të restauruara dhe mirëmbajtura në periudhën 2025-2028.  </w:t>
      </w:r>
    </w:p>
    <w:p w14:paraId="7D78E855"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lastRenderedPageBreak/>
        <w:t>Rritja e aksesit të publikut në Muze, Monumentet e kulturës dhe Parqe Arkeologjike në funksion  të turizmit kulturor (nr. Vizitorësh), rreth 230 mijë vizitorë në vitet 2025-2028.</w:t>
      </w:r>
    </w:p>
    <w:p w14:paraId="2275F340"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Rritja e mbështetjes për aktiviteteve të fushës së trashëgimisë kulturore rreth 110 aktivitete të mbështetura financiarisht në vitet 2025-2028.</w:t>
      </w:r>
    </w:p>
    <w:p w14:paraId="2201A728" w14:textId="77777777" w:rsidR="00BC5178" w:rsidRPr="001F631B" w:rsidRDefault="00BC5178" w:rsidP="00BC5178">
      <w:pPr>
        <w:spacing w:after="0" w:line="240" w:lineRule="auto"/>
        <w:jc w:val="both"/>
        <w:rPr>
          <w:rFonts w:ascii="Cambria" w:eastAsia="Times New Roman" w:hAnsi="Cambria" w:cs="Times New Roman"/>
          <w:b/>
          <w:lang w:val="sq-AL"/>
        </w:rPr>
      </w:pPr>
    </w:p>
    <w:p w14:paraId="34767942" w14:textId="77777777" w:rsidR="00BC5178" w:rsidRPr="001F631B" w:rsidRDefault="00BC5178" w:rsidP="00BC5178">
      <w:pPr>
        <w:spacing w:after="0" w:line="240" w:lineRule="auto"/>
        <w:jc w:val="both"/>
        <w:rPr>
          <w:rFonts w:ascii="Cambria" w:eastAsia="Times New Roman" w:hAnsi="Cambria" w:cs="Times New Roman"/>
          <w:b/>
          <w:lang w:val="sq-AL"/>
        </w:rPr>
      </w:pPr>
    </w:p>
    <w:p w14:paraId="401696A5" w14:textId="77777777" w:rsidR="00BC5178" w:rsidRPr="001F631B" w:rsidRDefault="00BC5178" w:rsidP="00BC5178">
      <w:pPr>
        <w:spacing w:after="0" w:line="240" w:lineRule="auto"/>
        <w:jc w:val="both"/>
        <w:rPr>
          <w:rFonts w:ascii="Cambria" w:eastAsiaTheme="minorHAnsi" w:hAnsi="Cambria"/>
          <w:sz w:val="24"/>
          <w:szCs w:val="24"/>
          <w:lang w:val="sq-AL"/>
        </w:rPr>
      </w:pPr>
      <w:r w:rsidRPr="001F631B">
        <w:rPr>
          <w:rFonts w:ascii="Cambria" w:eastAsiaTheme="minorHAnsi" w:hAnsi="Cambria"/>
          <w:sz w:val="24"/>
          <w:szCs w:val="24"/>
          <w:lang w:val="sq-AL"/>
        </w:rPr>
        <w:t xml:space="preserve">Programi </w:t>
      </w:r>
      <w:r w:rsidRPr="001F631B">
        <w:rPr>
          <w:rFonts w:ascii="Cambria" w:eastAsiaTheme="minorHAnsi" w:hAnsi="Cambria"/>
          <w:i/>
          <w:iCs/>
          <w:sz w:val="24"/>
          <w:szCs w:val="24"/>
          <w:lang w:val="sq-AL"/>
        </w:rPr>
        <w:t>“Arti dhe Kultura”</w:t>
      </w:r>
    </w:p>
    <w:p w14:paraId="3D9DFE3A" w14:textId="77777777" w:rsidR="00BC5178" w:rsidRPr="001F631B" w:rsidRDefault="00BC5178" w:rsidP="00BC5178">
      <w:pPr>
        <w:spacing w:after="0" w:line="240" w:lineRule="auto"/>
        <w:jc w:val="both"/>
        <w:rPr>
          <w:rFonts w:ascii="Cambria" w:eastAsia="Times New Roman" w:hAnsi="Cambria" w:cs="Times New Roman"/>
          <w:b/>
          <w:lang w:val="sq-AL"/>
        </w:rPr>
      </w:pPr>
    </w:p>
    <w:p w14:paraId="712EB914"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bookmarkStart w:id="1132" w:name="_Hlk147306879"/>
      <w:r w:rsidRPr="001F631B">
        <w:rPr>
          <w:rFonts w:ascii="Cambria" w:eastAsia="Times New Roman" w:hAnsi="Cambria" w:cs="Times New Roman"/>
          <w:sz w:val="24"/>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287F3572"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 xml:space="preserve">Prioritet do të jetë integrimi, angazhimi dhe promovimi i të rinjve më të evidentuar të kësaj fushe. </w:t>
      </w:r>
    </w:p>
    <w:p w14:paraId="33320F96"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Nxitja e konkurrencës artistike përmes audicioneve dhe konkurrimit publik krahasuar me një vit më parë.</w:t>
      </w:r>
    </w:p>
    <w:p w14:paraId="228CB7AC"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Rritja e numrit të aktiviteteve  sensibilizuese/edukuese, artistike përmes promovimti të industrive krijuese në rang vendi, nga 410 aktivitete në vitin 2025, në 430 aktivitete në vitin 2026, në 440 aktivitete në vitin 2027 dhe 450 aktivitete në vitet 2028.</w:t>
      </w:r>
    </w:p>
    <w:p w14:paraId="0B6F1495"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Mbështetja e skenës së pavarur për të mundësuar edukimin përmes kulturës si dhe përfaqësimin e produktit artistik në arenën elitare ndërkombëtare.</w:t>
      </w:r>
    </w:p>
    <w:p w14:paraId="3F755C77"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Rritja e numrit të projektve me thirrje në mbështetje e industrive krijuese duke respektuar barazinë gjinore, të drejtat e njeriut, grupet e margjinalizuara dhe diversitetin kulturor në rang vendi nga 272 në vitin 2025, në 275 në vitin 2026, 278 në vitin 2027 dhe 280 në vitin 2028.</w:t>
      </w:r>
    </w:p>
    <w:p w14:paraId="14690DE3" w14:textId="77777777" w:rsidR="00BC5178" w:rsidRPr="001F631B" w:rsidRDefault="00BC5178" w:rsidP="00954232">
      <w:pPr>
        <w:numPr>
          <w:ilvl w:val="0"/>
          <w:numId w:val="2"/>
        </w:numPr>
        <w:spacing w:after="0" w:line="276" w:lineRule="auto"/>
        <w:contextualSpacing/>
        <w:jc w:val="both"/>
        <w:rPr>
          <w:rFonts w:ascii="Cambria" w:eastAsia="Times New Roman" w:hAnsi="Cambria" w:cs="Times New Roman"/>
          <w:sz w:val="24"/>
          <w:lang w:val="sq-AL"/>
        </w:rPr>
      </w:pPr>
      <w:r w:rsidRPr="001F631B">
        <w:rPr>
          <w:rFonts w:ascii="Cambria" w:eastAsia="Times New Roman" w:hAnsi="Cambria" w:cs="Times New Roman"/>
          <w:sz w:val="24"/>
          <w:lang w:val="sq-AL"/>
        </w:rPr>
        <w:t>Rritja e numrit të studenteve të punësuar të angazhuar në shfaqje dhe programe kulturore në rang vendi (Pakti i Sudentit) nga 75 studentë në vitin 2025 në 82 studentë deri në vitin 2028.</w:t>
      </w:r>
    </w:p>
    <w:bookmarkEnd w:id="1132"/>
    <w:p w14:paraId="1D4669FA" w14:textId="77777777" w:rsidR="00BC5178" w:rsidRPr="001F631B" w:rsidRDefault="00BC5178" w:rsidP="00BC5178">
      <w:pPr>
        <w:spacing w:after="120" w:line="276" w:lineRule="auto"/>
        <w:jc w:val="both"/>
        <w:rPr>
          <w:rFonts w:ascii="Cambria" w:eastAsiaTheme="minorHAnsi" w:hAnsi="Cambria"/>
          <w:sz w:val="24"/>
          <w:szCs w:val="24"/>
          <w:lang w:val="sq-AL"/>
        </w:rPr>
      </w:pPr>
    </w:p>
    <w:p w14:paraId="315C4B40" w14:textId="77777777" w:rsidR="00BC5178" w:rsidRPr="001F631B" w:rsidRDefault="00BC5178" w:rsidP="00BC5178">
      <w:pPr>
        <w:spacing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Programi “</w:t>
      </w:r>
      <w:r w:rsidRPr="001F631B">
        <w:rPr>
          <w:rFonts w:ascii="Cambria" w:eastAsiaTheme="minorHAnsi" w:hAnsi="Cambria"/>
          <w:i/>
          <w:sz w:val="24"/>
          <w:szCs w:val="24"/>
          <w:lang w:val="sq-AL"/>
        </w:rPr>
        <w:t>Tregu i Punës</w:t>
      </w:r>
      <w:r w:rsidRPr="001F631B">
        <w:rPr>
          <w:rFonts w:ascii="Cambria" w:eastAsiaTheme="minorHAnsi" w:hAnsi="Cambria"/>
          <w:sz w:val="24"/>
          <w:szCs w:val="24"/>
          <w:lang w:val="sq-AL"/>
        </w:rPr>
        <w:t>” synon të arrijë treguesit e mëposhtëm të performancës:</w:t>
      </w:r>
    </w:p>
    <w:p w14:paraId="3CBFAF44" w14:textId="20321EF3" w:rsidR="00BC5178" w:rsidRPr="001F631B" w:rsidRDefault="00BC5178"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punësohen në total 10500 punëkërkues të rinj (16-29 vjec) në 2026, në vitin 202</w:t>
      </w:r>
      <w:r w:rsidR="00E20FB6">
        <w:rPr>
          <w:rFonts w:ascii="Cambria" w:eastAsiaTheme="minorHAnsi" w:hAnsi="Cambria"/>
          <w:sz w:val="24"/>
          <w:szCs w:val="24"/>
          <w:lang w:val="sq-AL"/>
        </w:rPr>
        <w:t>7</w:t>
      </w:r>
      <w:r w:rsidRPr="001F631B">
        <w:rPr>
          <w:rFonts w:ascii="Cambria" w:eastAsiaTheme="minorHAnsi" w:hAnsi="Cambria"/>
          <w:sz w:val="24"/>
          <w:szCs w:val="24"/>
          <w:lang w:val="sq-AL"/>
        </w:rPr>
        <w:t xml:space="preserve"> synohen të punësohen rreth 10700 të rinj dhe në vitin 2028 rreth 11000 punonjës;</w:t>
      </w:r>
    </w:p>
    <w:p w14:paraId="20B39574" w14:textId="77777777" w:rsidR="00BC5178" w:rsidRPr="001F631B" w:rsidRDefault="00BC5178"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rritet punësimi i punëkërkues të papunë nga grupet me aftësi të kufizuar (nga ndërmjetësi dhe nxitja e punësimit) në rreth 340 në vitin 2026, 360 në vitin 2027 dhe 380 në vitin 2028;</w:t>
      </w:r>
    </w:p>
    <w:p w14:paraId="24793D23" w14:textId="77777777" w:rsidR="00BC5178" w:rsidRPr="001F631B" w:rsidRDefault="00BC5178"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lastRenderedPageBreak/>
        <w:t>65% e Punëkërkuesve të papuna gra të mbajtura në punë pas përfundimit të programit të nxitjes së punësimit në vitin 2028 nga 63% të planifikuara në vitin 2026;</w:t>
      </w:r>
    </w:p>
    <w:p w14:paraId="5A2B31D1" w14:textId="77777777" w:rsidR="00BC5178" w:rsidRPr="001F631B" w:rsidRDefault="00BC5178" w:rsidP="00954232">
      <w:pPr>
        <w:pStyle w:val="ListParagraph"/>
        <w:numPr>
          <w:ilvl w:val="0"/>
          <w:numId w:val="34"/>
        </w:num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Synohet të rritet punësimi i punëkërkuesve të papunë nga pagesa e papunësisë  (nga ndërmjetësi dhe nxitja e punësimit), në rreth 3000 në vitin 2026, 3100 në vitin 2027 dhe 3200 në vitin 2028.</w:t>
      </w:r>
    </w:p>
    <w:p w14:paraId="4623116B" w14:textId="77777777" w:rsidR="00BC5178" w:rsidRPr="001F631B" w:rsidRDefault="00BC5178" w:rsidP="00E20FB6">
      <w:p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 xml:space="preserve">Programi </w:t>
      </w:r>
      <w:r w:rsidRPr="001F631B">
        <w:rPr>
          <w:rFonts w:ascii="Cambria" w:eastAsiaTheme="minorHAnsi" w:hAnsi="Cambria"/>
          <w:i/>
          <w:iCs/>
          <w:sz w:val="24"/>
          <w:szCs w:val="24"/>
          <w:lang w:val="sq-AL"/>
        </w:rPr>
        <w:t>“Arsimi i Mesëm Profesional”,</w:t>
      </w:r>
      <w:r w:rsidRPr="001F631B">
        <w:rPr>
          <w:rFonts w:ascii="Cambria" w:eastAsiaTheme="minorHAnsi" w:hAnsi="Cambria"/>
          <w:sz w:val="24"/>
          <w:szCs w:val="24"/>
          <w:lang w:val="sq-AL"/>
        </w:rPr>
        <w:t xml:space="preserve"> synon të arrijë treguesit e mëposhtëm të performancës: </w:t>
      </w:r>
    </w:p>
    <w:p w14:paraId="4A5FFE54" w14:textId="77777777" w:rsidR="00BC5178" w:rsidRPr="001F631B" w:rsidRDefault="00BC5178" w:rsidP="00954232">
      <w:pPr>
        <w:numPr>
          <w:ilvl w:val="0"/>
          <w:numId w:val="2"/>
        </w:numPr>
        <w:spacing w:after="20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Rritjes së % së të diplomuarve/çertifikuarve të punësuar 1 vit pas diplomimit nga 57.5% në vitin 2025, në 67.2% në vitin 2026, në 68% në vitin 2027 dhe 68.5% në vitin 2028.</w:t>
      </w:r>
    </w:p>
    <w:p w14:paraId="5FACA8CB" w14:textId="77777777" w:rsidR="00BC5178" w:rsidRPr="001F631B" w:rsidRDefault="00BC5178" w:rsidP="00954232">
      <w:pPr>
        <w:numPr>
          <w:ilvl w:val="0"/>
          <w:numId w:val="2"/>
        </w:numPr>
        <w:spacing w:after="20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Rritjes së numrit të të diplomuarve/certifikuarve në Agjencitë e Formimit Profesional nga 3000 në vitin 2025, në 3200 në vitin 2026, në 3300 në vitin 2027 dhe 3400 në vitin 2028.</w:t>
      </w:r>
    </w:p>
    <w:p w14:paraId="7DD44A23" w14:textId="77777777" w:rsidR="00BC5178" w:rsidRPr="001F631B" w:rsidRDefault="00BC5178" w:rsidP="00BC5178">
      <w:pPr>
        <w:spacing w:after="0" w:line="276" w:lineRule="auto"/>
        <w:ind w:left="774"/>
        <w:contextualSpacing/>
        <w:jc w:val="both"/>
        <w:rPr>
          <w:rFonts w:ascii="Cambria" w:eastAsiaTheme="minorHAnsi" w:hAnsi="Cambria"/>
          <w:sz w:val="24"/>
          <w:szCs w:val="24"/>
          <w:lang w:val="sq-AL"/>
        </w:rPr>
      </w:pPr>
    </w:p>
    <w:p w14:paraId="542D0B1D" w14:textId="77777777" w:rsidR="00BC5178" w:rsidRPr="001F631B" w:rsidRDefault="00BC5178" w:rsidP="00BC5178">
      <w:p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 xml:space="preserve">Gjatë periudhës 2025-2028, programi “Mbështetje për Zhvillim Ekonomik” synon të arrijë treguesit e mëposhtëm të performancës: </w:t>
      </w:r>
    </w:p>
    <w:p w14:paraId="5F102EAD"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 xml:space="preserve">Promovimin e Shqipërisë si destinacion investimesh nëpërmjet organizimit dhe pjesëmarrjeve në mesatarisht 50 panaire ndërkombëtare dhe road shoë promovuese, vizita në kompani (after care) si dhe monitorim efektiv investimesh strategjike për periudhën 2026-2028; </w:t>
      </w:r>
    </w:p>
    <w:p w14:paraId="0ADB8635"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65  NVMV-ve parashikohet të mbështeten me fonde publike, dhe nga këto rreth 26 biznese janë me drejtuese femra.</w:t>
      </w:r>
    </w:p>
    <w:p w14:paraId="22B84D30"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Mesatarisht 15 biznese përfituese nga skemat mbështetëse të Fondit të Konkurrueshmërisë dhe 10 biznese të mbështetura për biznesin kreativ, për vitin 2026.</w:t>
      </w:r>
    </w:p>
    <w:p w14:paraId="1375EB2E"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73 shërbime të ofruara për bizneset sipas sistemit të regjistrimit të biznesit në periudhën 2026-2028.</w:t>
      </w:r>
    </w:p>
    <w:p w14:paraId="2DCBF4CA"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112 shërbime të ofruara për bizneset sipas sistemit të Regjistrimit të në periudhën 2026-2028.</w:t>
      </w:r>
    </w:p>
    <w:p w14:paraId="047AC240"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 xml:space="preserve">Rritjes së numrit të biznesevë të regjistruara në Regjistrin Tregtar dhe shërbimet e tjera, 373 mijë në periudhën 2026-2028. </w:t>
      </w:r>
    </w:p>
    <w:p w14:paraId="747AD50F"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Rritjes së numrit të liçencave të miratuara në Regjistrin e liçensave dhe shërbimeve të tjera, 7700 shërbime në periudhën 2026-2028.</w:t>
      </w:r>
    </w:p>
    <w:p w14:paraId="3E328114" w14:textId="77777777" w:rsidR="00BC5178" w:rsidRPr="001F631B" w:rsidRDefault="00BC5178" w:rsidP="00BC5178">
      <w:pPr>
        <w:spacing w:line="276" w:lineRule="auto"/>
        <w:jc w:val="both"/>
        <w:rPr>
          <w:rFonts w:ascii="Cambria" w:eastAsiaTheme="minorHAnsi" w:hAnsi="Cambria"/>
          <w:sz w:val="24"/>
          <w:szCs w:val="24"/>
          <w:lang w:val="sq-AL"/>
        </w:rPr>
      </w:pPr>
    </w:p>
    <w:p w14:paraId="328EAF70" w14:textId="77777777" w:rsidR="00BC5178" w:rsidRPr="001F631B" w:rsidRDefault="00BC5178" w:rsidP="00BC5178">
      <w:p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 xml:space="preserve">Programi “Strehimi”, për periudhën 2025-2028, synon të arrijë treguesit e mëposhtëm të performancës: </w:t>
      </w:r>
    </w:p>
    <w:p w14:paraId="26ED26FE"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lastRenderedPageBreak/>
        <w:t>Të rrisë numrin e familjeve që i përmirësohen kushtet e jetesës si rezultat i përfitimit nga programet sociale të strehimit nga 29 153 në vitin 2026, në 31 000 familje në vitin 2027, dhe 33 000 familje në vitin 2028;</w:t>
      </w:r>
    </w:p>
    <w:p w14:paraId="72FDA6CD"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Të rrisë numrin e banesave qe i shtohen fondit publik te banesave sociale me qira në 500 banesa për vitin 2026, 550 në vitin 2027 dhe 600 banesa për vitin 2028;</w:t>
      </w:r>
    </w:p>
    <w:p w14:paraId="07F50016"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5% e përfituesve për periudhën 2026-2028 pritet të jenë të kategorisë Rom and Egjiptian për projektet e përmirësimit të banesave ekzistuese dhe rikonstruksionit të godinave.</w:t>
      </w:r>
    </w:p>
    <w:p w14:paraId="5D10F7F9" w14:textId="77777777" w:rsidR="00BC5178" w:rsidRPr="001F631B" w:rsidRDefault="00BC5178" w:rsidP="00954232">
      <w:pPr>
        <w:numPr>
          <w:ilvl w:val="0"/>
          <w:numId w:val="2"/>
        </w:numPr>
        <w:spacing w:after="0" w:line="276" w:lineRule="auto"/>
        <w:contextualSpacing/>
        <w:jc w:val="both"/>
        <w:rPr>
          <w:rFonts w:ascii="Cambria" w:eastAsiaTheme="minorHAnsi" w:hAnsi="Cambria"/>
          <w:sz w:val="24"/>
          <w:szCs w:val="24"/>
          <w:lang w:val="sq-AL"/>
        </w:rPr>
      </w:pPr>
      <w:r w:rsidRPr="001F631B">
        <w:rPr>
          <w:rFonts w:ascii="Cambria" w:eastAsiaTheme="minorHAnsi" w:hAnsi="Cambria"/>
          <w:sz w:val="24"/>
          <w:szCs w:val="24"/>
          <w:lang w:val="sq-AL"/>
        </w:rPr>
        <w:t>500 të punësuar në administratën publike parashikohet të përfitojnë kredi të subvencionuar nga shteti.</w:t>
      </w:r>
    </w:p>
    <w:p w14:paraId="6F05FD32" w14:textId="77777777" w:rsidR="00BC5178" w:rsidRPr="001F631B" w:rsidRDefault="00BC5178" w:rsidP="00BC5178">
      <w:pPr>
        <w:spacing w:after="0" w:line="276" w:lineRule="auto"/>
        <w:contextualSpacing/>
        <w:jc w:val="both"/>
        <w:rPr>
          <w:rFonts w:ascii="Cambria" w:eastAsiaTheme="minorHAnsi" w:hAnsi="Cambria"/>
          <w:sz w:val="24"/>
          <w:szCs w:val="24"/>
          <w:lang w:val="sq-AL"/>
        </w:rPr>
      </w:pPr>
    </w:p>
    <w:p w14:paraId="53CF5D06" w14:textId="77777777" w:rsidR="00BC5178" w:rsidRPr="001F631B" w:rsidRDefault="00BC5178" w:rsidP="00BC5178">
      <w:pPr>
        <w:spacing w:before="120" w:after="12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Gjatë periudhës 2025-2028, programi “</w:t>
      </w:r>
      <w:r w:rsidRPr="00D0429E">
        <w:rPr>
          <w:rFonts w:ascii="Cambria" w:eastAsiaTheme="minorHAnsi" w:hAnsi="Cambria"/>
          <w:i/>
          <w:iCs/>
          <w:sz w:val="24"/>
          <w:szCs w:val="24"/>
          <w:lang w:val="sq-AL"/>
        </w:rPr>
        <w:t>Sigurimi Shoqëror</w:t>
      </w:r>
      <w:r w:rsidRPr="001F631B">
        <w:rPr>
          <w:rFonts w:ascii="Cambria" w:eastAsiaTheme="minorHAnsi" w:hAnsi="Cambria"/>
          <w:sz w:val="24"/>
          <w:szCs w:val="24"/>
          <w:lang w:val="sq-AL"/>
        </w:rPr>
        <w:t xml:space="preserve">” synon të arrijë treguesit e mëposhtëm të performancës: </w:t>
      </w:r>
    </w:p>
    <w:p w14:paraId="5530A4BE" w14:textId="77777777" w:rsidR="00BC5178" w:rsidRPr="001F631B" w:rsidRDefault="00BC5178" w:rsidP="00954232">
      <w:pPr>
        <w:pStyle w:val="ListParagraph"/>
        <w:numPr>
          <w:ilvl w:val="0"/>
          <w:numId w:val="37"/>
        </w:numPr>
        <w:spacing w:after="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Raporti kontribuesve ndaj pensionistëve pritet të jetë 1.18 në periudhën 2025-2028.</w:t>
      </w:r>
    </w:p>
    <w:p w14:paraId="462CE6A3" w14:textId="77777777" w:rsidR="00BC5178" w:rsidRPr="001F631B" w:rsidRDefault="00BC5178" w:rsidP="00954232">
      <w:pPr>
        <w:pStyle w:val="ListParagraph"/>
        <w:numPr>
          <w:ilvl w:val="0"/>
          <w:numId w:val="37"/>
        </w:numPr>
        <w:spacing w:after="0" w:line="276" w:lineRule="auto"/>
        <w:jc w:val="both"/>
        <w:rPr>
          <w:rFonts w:ascii="Cambria" w:eastAsiaTheme="minorHAnsi" w:hAnsi="Cambria"/>
          <w:sz w:val="24"/>
          <w:szCs w:val="24"/>
          <w:lang w:val="sq-AL"/>
        </w:rPr>
      </w:pPr>
      <w:r w:rsidRPr="001F631B">
        <w:rPr>
          <w:rFonts w:ascii="Cambria" w:eastAsiaTheme="minorHAnsi" w:hAnsi="Cambria"/>
          <w:sz w:val="24"/>
          <w:szCs w:val="24"/>
          <w:lang w:val="sq-AL"/>
        </w:rPr>
        <w:t>Raporti i të ardhurave ndaj shpenzimeve pritet të ulet nga 76% në vitin 2025 në 75% në vitin 2026, në 73% në vitin 2027-2028.</w:t>
      </w:r>
    </w:p>
    <w:p w14:paraId="4398DE58" w14:textId="77777777" w:rsidR="00BC5178" w:rsidRPr="001F631B" w:rsidRDefault="00BC5178" w:rsidP="00BC5178">
      <w:pPr>
        <w:pStyle w:val="ListParagraph"/>
        <w:spacing w:after="0" w:line="276" w:lineRule="auto"/>
        <w:jc w:val="both"/>
        <w:rPr>
          <w:rFonts w:ascii="Cambria" w:eastAsiaTheme="minorHAnsi" w:hAnsi="Cambria"/>
          <w:sz w:val="24"/>
          <w:szCs w:val="24"/>
          <w:lang w:val="sq-AL"/>
        </w:rPr>
      </w:pPr>
    </w:p>
    <w:p w14:paraId="361C30B1" w14:textId="5A96BBB8" w:rsidR="009B7050" w:rsidRDefault="00BC5178" w:rsidP="00BC5178">
      <w:pPr>
        <w:spacing w:line="276" w:lineRule="auto"/>
        <w:jc w:val="both"/>
        <w:rPr>
          <w:rFonts w:ascii="Cambria" w:hAnsi="Cambria"/>
          <w:sz w:val="24"/>
          <w:szCs w:val="24"/>
          <w:lang w:val="sq-AL" w:eastAsia="sq-AL"/>
        </w:rPr>
      </w:pPr>
      <w:r w:rsidRPr="001F631B">
        <w:rPr>
          <w:rFonts w:ascii="Cambria" w:hAnsi="Cambria"/>
          <w:sz w:val="24"/>
          <w:szCs w:val="24"/>
          <w:lang w:val="sq-AL" w:eastAsia="sq-AL"/>
        </w:rPr>
        <w:t xml:space="preserve">Programi </w:t>
      </w:r>
      <w:r w:rsidRPr="001F631B">
        <w:rPr>
          <w:rFonts w:ascii="Cambria" w:hAnsi="Cambria"/>
          <w:i/>
          <w:iCs/>
          <w:sz w:val="24"/>
          <w:szCs w:val="24"/>
          <w:lang w:val="sq-AL" w:eastAsia="sq-AL"/>
        </w:rPr>
        <w:t xml:space="preserve">“Mbështetje për Inovacion dhe Teknologji”, </w:t>
      </w:r>
      <w:r w:rsidRPr="001F631B">
        <w:rPr>
          <w:rFonts w:ascii="Cambria" w:hAnsi="Cambria"/>
          <w:sz w:val="24"/>
          <w:szCs w:val="24"/>
          <w:lang w:val="sq-AL" w:eastAsia="sq-AL"/>
        </w:rPr>
        <w:t>i cili ka në fokus promovimin dhe nxitjen e Inovacionit në Adminstratën Publike dhe në Shqipëri, synon që deri në vitin 2028 të transformojë 80% të shërbimeve në mënyrë inovative, nga 20% që parashikohet në vitin 2025.</w:t>
      </w:r>
    </w:p>
    <w:p w14:paraId="0D265022" w14:textId="77777777" w:rsidR="00BC5178" w:rsidRPr="00E24ECC" w:rsidRDefault="00BC5178" w:rsidP="00BC5178">
      <w:pPr>
        <w:spacing w:line="276" w:lineRule="auto"/>
        <w:jc w:val="both"/>
        <w:rPr>
          <w:rFonts w:ascii="Cambria" w:eastAsia="Times New Roman" w:hAnsi="Cambria" w:cs="Times New Roman"/>
          <w:sz w:val="24"/>
          <w:lang w:val="sq-AL"/>
        </w:rPr>
      </w:pPr>
    </w:p>
    <w:p w14:paraId="6C65846B" w14:textId="127E13FB" w:rsidR="009B7050" w:rsidRPr="00650789" w:rsidRDefault="004E5DAE" w:rsidP="00954232">
      <w:pPr>
        <w:keepNext/>
        <w:numPr>
          <w:ilvl w:val="1"/>
          <w:numId w:val="12"/>
        </w:numPr>
        <w:spacing w:before="240" w:after="60" w:line="276" w:lineRule="auto"/>
        <w:outlineLvl w:val="1"/>
        <w:rPr>
          <w:rFonts w:ascii="Cambria" w:eastAsia="Calibri" w:hAnsi="Cambria" w:cs="Arial"/>
          <w:b/>
          <w:bCs/>
          <w:iCs/>
          <w:noProof/>
          <w:sz w:val="24"/>
          <w:szCs w:val="24"/>
          <w:lang w:val="sq-AL" w:eastAsia="sq-AL"/>
        </w:rPr>
      </w:pPr>
      <w:bookmarkStart w:id="1133" w:name="_Toc200704935"/>
      <w:r w:rsidRPr="00E24ECC">
        <w:rPr>
          <w:rFonts w:ascii="Cambria" w:eastAsia="Calibri" w:hAnsi="Cambria" w:cs="Arial"/>
          <w:b/>
          <w:bCs/>
          <w:iCs/>
          <w:noProof/>
          <w:sz w:val="24"/>
          <w:szCs w:val="24"/>
          <w:lang w:val="sq-AL" w:eastAsia="sq-AL"/>
        </w:rPr>
        <w:t>MINISTRIA E FINANCAVE</w:t>
      </w:r>
      <w:bookmarkEnd w:id="1133"/>
      <w:r w:rsidRPr="00E24ECC">
        <w:rPr>
          <w:rFonts w:ascii="Cambria" w:eastAsia="Calibri" w:hAnsi="Cambria" w:cs="Arial"/>
          <w:b/>
          <w:bCs/>
          <w:iCs/>
          <w:noProof/>
          <w:sz w:val="24"/>
          <w:szCs w:val="24"/>
          <w:lang w:val="sq-AL" w:eastAsia="sq-AL"/>
        </w:rPr>
        <w:t xml:space="preserve"> </w:t>
      </w:r>
      <w:bookmarkEnd w:id="1131"/>
    </w:p>
    <w:p w14:paraId="06E7C3AA" w14:textId="77777777" w:rsidR="00AE338B" w:rsidRDefault="00AE338B" w:rsidP="00AE338B">
      <w:pPr>
        <w:spacing w:after="0" w:line="276" w:lineRule="auto"/>
        <w:contextualSpacing/>
        <w:jc w:val="both"/>
        <w:rPr>
          <w:rFonts w:ascii="Cambria" w:eastAsia="SimSun" w:hAnsi="Cambria" w:cs="Arial"/>
          <w:sz w:val="24"/>
          <w:szCs w:val="24"/>
          <w:lang w:val="sq-AL"/>
        </w:rPr>
      </w:pPr>
      <w:r w:rsidRPr="00C57F14">
        <w:rPr>
          <w:rFonts w:ascii="Cambria" w:eastAsia="SimSun" w:hAnsi="Cambria" w:cs="Arial"/>
          <w:sz w:val="24"/>
          <w:szCs w:val="24"/>
          <w:lang w:val="sq-AL"/>
        </w:rPr>
        <w:t>Misioni i Ministrisë së Financave është arritja e stabilitetit ekonomik nëpërmjet drejtimit me efektshmëri, efektivitet dhe transparencë të financave publike. Ministria e Financave e ushtron veprimtarinë në këto fusha përgjegjësie shtetërore, në përputhje me legjislacionin përkatës</w:t>
      </w:r>
      <w:r>
        <w:rPr>
          <w:rFonts w:ascii="Cambria" w:eastAsia="SimSun" w:hAnsi="Cambria" w:cs="Arial"/>
          <w:sz w:val="24"/>
          <w:szCs w:val="24"/>
          <w:lang w:val="sq-AL"/>
        </w:rPr>
        <w:t>,</w:t>
      </w:r>
      <w:r w:rsidRPr="00C57F14">
        <w:rPr>
          <w:rFonts w:ascii="Cambria" w:eastAsia="SimSun" w:hAnsi="Cambria" w:cs="Arial"/>
          <w:sz w:val="24"/>
          <w:szCs w:val="24"/>
          <w:lang w:val="sq-AL"/>
        </w:rPr>
        <w:t xml:space="preserve"> politikën makroekonomike dhe fiskale</w:t>
      </w:r>
      <w:r>
        <w:rPr>
          <w:rFonts w:ascii="Cambria" w:eastAsia="SimSun" w:hAnsi="Cambria" w:cs="Arial"/>
          <w:sz w:val="24"/>
          <w:szCs w:val="24"/>
          <w:lang w:val="sq-AL"/>
        </w:rPr>
        <w:t xml:space="preserve">, </w:t>
      </w:r>
      <w:r w:rsidRPr="00C57F14">
        <w:rPr>
          <w:rFonts w:ascii="Cambria" w:eastAsia="SimSun" w:hAnsi="Cambria" w:cs="Arial"/>
          <w:sz w:val="24"/>
          <w:szCs w:val="24"/>
          <w:lang w:val="sq-AL"/>
        </w:rPr>
        <w:t>administrimin e të ardhurave</w:t>
      </w:r>
      <w:r>
        <w:rPr>
          <w:rFonts w:ascii="Cambria" w:eastAsia="SimSun" w:hAnsi="Cambria" w:cs="Arial"/>
          <w:sz w:val="24"/>
          <w:szCs w:val="24"/>
          <w:lang w:val="sq-AL"/>
        </w:rPr>
        <w:t>,</w:t>
      </w:r>
      <w:r w:rsidRPr="00C57F14">
        <w:rPr>
          <w:rFonts w:ascii="Cambria" w:eastAsia="SimSun" w:hAnsi="Cambria" w:cs="Arial"/>
          <w:sz w:val="24"/>
          <w:szCs w:val="24"/>
          <w:lang w:val="sq-AL"/>
        </w:rPr>
        <w:t xml:space="preserve"> administrimin e buxhetit të shtetit</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e borxhit publik dhe garancive shtetërore të huasë</w:t>
      </w:r>
      <w:r>
        <w:rPr>
          <w:rFonts w:ascii="Cambria" w:eastAsia="SimSun" w:hAnsi="Cambria" w:cs="Arial"/>
          <w:sz w:val="24"/>
          <w:szCs w:val="24"/>
          <w:lang w:val="sq-AL"/>
        </w:rPr>
        <w:t>,</w:t>
      </w:r>
      <w:r w:rsidRPr="00C57F14">
        <w:rPr>
          <w:rFonts w:ascii="Cambria" w:eastAsia="SimSun" w:hAnsi="Cambria" w:cs="Arial"/>
          <w:sz w:val="24"/>
          <w:szCs w:val="24"/>
          <w:lang w:val="sq-AL"/>
        </w:rPr>
        <w:t xml:space="preserve"> administrimin financiar</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financiar dhe kontrollin</w:t>
      </w:r>
      <w:r>
        <w:rPr>
          <w:rFonts w:ascii="Cambria" w:eastAsia="SimSun" w:hAnsi="Cambria" w:cs="Arial"/>
          <w:sz w:val="24"/>
          <w:szCs w:val="24"/>
          <w:lang w:val="sq-AL"/>
        </w:rPr>
        <w:t>,</w:t>
      </w:r>
      <w:r w:rsidRPr="00C57F14">
        <w:rPr>
          <w:rFonts w:ascii="Cambria" w:eastAsia="SimSun" w:hAnsi="Cambria" w:cs="Arial"/>
          <w:sz w:val="24"/>
          <w:szCs w:val="24"/>
          <w:lang w:val="sq-AL"/>
        </w:rPr>
        <w:t xml:space="preserve"> menaxhimin e asistencës financiare të Bashkimit Evropian</w:t>
      </w:r>
      <w:r>
        <w:rPr>
          <w:rFonts w:ascii="Cambria" w:eastAsia="SimSun" w:hAnsi="Cambria" w:cs="Arial"/>
          <w:sz w:val="24"/>
          <w:szCs w:val="24"/>
          <w:lang w:val="sq-AL"/>
        </w:rPr>
        <w:t>,</w:t>
      </w:r>
      <w:r w:rsidRPr="00C57F14">
        <w:rPr>
          <w:rFonts w:ascii="Cambria" w:eastAsia="SimSun" w:hAnsi="Cambria" w:cs="Arial"/>
          <w:sz w:val="24"/>
          <w:szCs w:val="24"/>
          <w:lang w:val="sq-AL"/>
        </w:rPr>
        <w:t xml:space="preserve"> inspektimin financiar publik</w:t>
      </w:r>
      <w:r>
        <w:rPr>
          <w:rFonts w:ascii="Cambria" w:eastAsia="SimSun" w:hAnsi="Cambria" w:cs="Arial"/>
          <w:sz w:val="24"/>
          <w:szCs w:val="24"/>
          <w:lang w:val="sq-AL"/>
        </w:rPr>
        <w:t>,</w:t>
      </w:r>
      <w:r w:rsidRPr="00C57F14">
        <w:rPr>
          <w:rFonts w:ascii="Cambria" w:eastAsia="SimSun" w:hAnsi="Cambria" w:cs="Arial"/>
          <w:sz w:val="24"/>
          <w:szCs w:val="24"/>
          <w:lang w:val="sq-AL"/>
        </w:rPr>
        <w:t xml:space="preserve"> bashkërendimin e përgjithshëm të auditimit të brendshëm</w:t>
      </w:r>
      <w:r>
        <w:rPr>
          <w:rFonts w:ascii="Cambria" w:eastAsia="SimSun" w:hAnsi="Cambria" w:cs="Arial"/>
          <w:sz w:val="24"/>
          <w:szCs w:val="24"/>
          <w:lang w:val="sq-AL"/>
        </w:rPr>
        <w:t>,</w:t>
      </w:r>
      <w:r w:rsidRPr="00C57F14">
        <w:rPr>
          <w:rFonts w:ascii="Cambria" w:eastAsia="SimSun" w:hAnsi="Cambria" w:cs="Arial"/>
          <w:sz w:val="24"/>
          <w:szCs w:val="24"/>
          <w:lang w:val="sq-AL"/>
        </w:rPr>
        <w:t xml:space="preserve"> parandalimin e pastrimit të parave dhe terrorizmit</w:t>
      </w:r>
      <w:r>
        <w:rPr>
          <w:rFonts w:ascii="Cambria" w:eastAsia="SimSun" w:hAnsi="Cambria" w:cs="Arial"/>
          <w:sz w:val="24"/>
          <w:szCs w:val="24"/>
          <w:lang w:val="sq-AL"/>
        </w:rPr>
        <w:t xml:space="preserve"> dhe</w:t>
      </w:r>
      <w:r w:rsidRPr="00C57F14">
        <w:rPr>
          <w:rFonts w:ascii="Cambria" w:eastAsia="SimSun" w:hAnsi="Cambria" w:cs="Arial"/>
          <w:sz w:val="24"/>
          <w:szCs w:val="24"/>
          <w:lang w:val="sq-AL"/>
        </w:rPr>
        <w:t xml:space="preserve"> lojërat e fatit.</w:t>
      </w:r>
    </w:p>
    <w:p w14:paraId="0449F8B3" w14:textId="77777777" w:rsidR="00AE338B" w:rsidRPr="00C57F14" w:rsidRDefault="00AE338B" w:rsidP="00AE338B">
      <w:pPr>
        <w:spacing w:after="0" w:line="276" w:lineRule="auto"/>
        <w:contextualSpacing/>
        <w:jc w:val="both"/>
        <w:rPr>
          <w:rFonts w:ascii="Cambria" w:eastAsia="SimSun" w:hAnsi="Cambria" w:cs="Arial"/>
          <w:sz w:val="24"/>
          <w:szCs w:val="24"/>
          <w:lang w:val="sq-AL"/>
        </w:rPr>
      </w:pPr>
    </w:p>
    <w:p w14:paraId="24D69763" w14:textId="77777777" w:rsidR="00AE338B" w:rsidRPr="00C57F14" w:rsidRDefault="00AE338B" w:rsidP="00AE338B">
      <w:pPr>
        <w:spacing w:after="0" w:line="276" w:lineRule="auto"/>
        <w:contextualSpacing/>
        <w:jc w:val="both"/>
        <w:rPr>
          <w:rFonts w:ascii="Cambria" w:eastAsia="SimSun" w:hAnsi="Cambria" w:cs="Arial"/>
          <w:sz w:val="24"/>
          <w:szCs w:val="24"/>
          <w:lang w:val="sq-AL"/>
        </w:rPr>
      </w:pPr>
      <w:r w:rsidRPr="00C57F14">
        <w:rPr>
          <w:rFonts w:ascii="Cambria" w:eastAsia="SimSun" w:hAnsi="Cambria" w:cs="Arial"/>
          <w:sz w:val="24"/>
          <w:szCs w:val="24"/>
          <w:lang w:val="sq-AL"/>
        </w:rPr>
        <w:t>Për periudhën 202</w:t>
      </w:r>
      <w:r>
        <w:rPr>
          <w:rFonts w:ascii="Cambria" w:eastAsia="SimSun" w:hAnsi="Cambria" w:cs="Arial"/>
          <w:sz w:val="24"/>
          <w:szCs w:val="24"/>
          <w:lang w:val="sq-AL"/>
        </w:rPr>
        <w:t>5</w:t>
      </w:r>
      <w:r w:rsidRPr="00C57F14">
        <w:rPr>
          <w:rFonts w:ascii="Cambria" w:eastAsia="SimSun" w:hAnsi="Cambria" w:cs="Arial"/>
          <w:sz w:val="24"/>
          <w:szCs w:val="24"/>
          <w:lang w:val="sq-AL"/>
        </w:rPr>
        <w:t>-202</w:t>
      </w:r>
      <w:r>
        <w:rPr>
          <w:rFonts w:ascii="Cambria" w:eastAsia="SimSun" w:hAnsi="Cambria" w:cs="Arial"/>
          <w:sz w:val="24"/>
          <w:szCs w:val="24"/>
          <w:lang w:val="sq-AL"/>
        </w:rPr>
        <w:t>8</w:t>
      </w:r>
      <w:r w:rsidRPr="00C57F14">
        <w:rPr>
          <w:rFonts w:ascii="Cambria" w:eastAsia="SimSun" w:hAnsi="Cambria" w:cs="Arial"/>
          <w:sz w:val="24"/>
          <w:szCs w:val="24"/>
          <w:lang w:val="sq-AL"/>
        </w:rPr>
        <w:t xml:space="preserve">, Ministria e Financave do të përmbushë objektivat e synuar përmes fondeve buxhetore të alokuara sipas tabelës së mëposhtme: </w:t>
      </w:r>
    </w:p>
    <w:p w14:paraId="577A78D2" w14:textId="77777777" w:rsidR="00AE338B" w:rsidRPr="00D04162" w:rsidRDefault="00AE338B" w:rsidP="00AE338B">
      <w:pPr>
        <w:spacing w:line="276" w:lineRule="auto"/>
        <w:jc w:val="both"/>
        <w:rPr>
          <w:rFonts w:ascii="Cambria" w:eastAsiaTheme="minorHAnsi" w:hAnsi="Cambria"/>
          <w:sz w:val="24"/>
          <w:szCs w:val="24"/>
          <w:lang w:val="sq-AL"/>
        </w:rPr>
      </w:pPr>
    </w:p>
    <w:p w14:paraId="1079F18D" w14:textId="1004C243" w:rsidR="00AE338B" w:rsidRDefault="00AE338B" w:rsidP="00AE338B">
      <w:pPr>
        <w:pStyle w:val="Caption"/>
        <w:jc w:val="both"/>
        <w:rPr>
          <w:rFonts w:ascii="Times New Roman" w:eastAsia="Times New Roman" w:hAnsi="Times New Roman" w:cs="Times New Roman"/>
          <w:color w:val="auto"/>
          <w:sz w:val="22"/>
          <w:szCs w:val="22"/>
          <w:lang w:val="sq-AL"/>
        </w:rPr>
      </w:pPr>
      <w:proofErr w:type="spellStart"/>
      <w:r w:rsidRPr="001E333C">
        <w:rPr>
          <w:rFonts w:ascii="Times New Roman" w:hAnsi="Times New Roman" w:cs="Times New Roman"/>
          <w:color w:val="auto"/>
          <w:sz w:val="22"/>
          <w:szCs w:val="22"/>
        </w:rPr>
        <w:t>Tabela</w:t>
      </w:r>
      <w:proofErr w:type="spellEnd"/>
      <w:r w:rsidRPr="001E333C">
        <w:rPr>
          <w:rFonts w:ascii="Times New Roman" w:hAnsi="Times New Roman" w:cs="Times New Roman"/>
          <w:color w:val="auto"/>
          <w:sz w:val="22"/>
          <w:szCs w:val="22"/>
        </w:rPr>
        <w:t xml:space="preserve"> </w:t>
      </w:r>
      <w:r w:rsidRPr="001E333C">
        <w:rPr>
          <w:rFonts w:ascii="Times New Roman" w:hAnsi="Times New Roman" w:cs="Times New Roman"/>
          <w:color w:val="auto"/>
          <w:sz w:val="22"/>
          <w:szCs w:val="22"/>
        </w:rPr>
        <w:fldChar w:fldCharType="begin"/>
      </w:r>
      <w:r w:rsidRPr="001E333C">
        <w:rPr>
          <w:rFonts w:ascii="Times New Roman" w:hAnsi="Times New Roman" w:cs="Times New Roman"/>
          <w:color w:val="auto"/>
          <w:sz w:val="22"/>
          <w:szCs w:val="22"/>
        </w:rPr>
        <w:instrText xml:space="preserve"> SEQ Tabela \* ARABIC </w:instrText>
      </w:r>
      <w:r w:rsidRPr="001E333C">
        <w:rPr>
          <w:rFonts w:ascii="Times New Roman" w:hAnsi="Times New Roman" w:cs="Times New Roman"/>
          <w:color w:val="auto"/>
          <w:sz w:val="22"/>
          <w:szCs w:val="22"/>
        </w:rPr>
        <w:fldChar w:fldCharType="separate"/>
      </w:r>
      <w:r w:rsidR="009113BE">
        <w:rPr>
          <w:rFonts w:ascii="Times New Roman" w:hAnsi="Times New Roman" w:cs="Times New Roman"/>
          <w:noProof/>
          <w:color w:val="auto"/>
          <w:sz w:val="22"/>
          <w:szCs w:val="22"/>
        </w:rPr>
        <w:t>27</w:t>
      </w:r>
      <w:r w:rsidRPr="001E333C">
        <w:rPr>
          <w:rFonts w:ascii="Times New Roman" w:hAnsi="Times New Roman" w:cs="Times New Roman"/>
          <w:color w:val="auto"/>
          <w:sz w:val="22"/>
          <w:szCs w:val="22"/>
        </w:rPr>
        <w:fldChar w:fldCharType="end"/>
      </w:r>
      <w:r w:rsidRPr="001E333C">
        <w:rPr>
          <w:rFonts w:ascii="Times New Roman" w:eastAsia="Times New Roman" w:hAnsi="Times New Roman" w:cs="Times New Roman"/>
          <w:color w:val="auto"/>
          <w:sz w:val="22"/>
          <w:szCs w:val="22"/>
          <w:lang w:val="sq-AL"/>
        </w:rPr>
        <w:t>:</w:t>
      </w:r>
      <w:r w:rsidRPr="001E333C">
        <w:rPr>
          <w:rFonts w:ascii="Times New Roman" w:eastAsiaTheme="minorHAnsi" w:hAnsi="Times New Roman" w:cs="Times New Roman"/>
          <w:color w:val="auto"/>
          <w:sz w:val="22"/>
          <w:szCs w:val="22"/>
          <w:lang w:val="sq-AL"/>
        </w:rPr>
        <w:t xml:space="preserve"> </w:t>
      </w:r>
      <w:r w:rsidRPr="001E333C">
        <w:rPr>
          <w:rFonts w:ascii="Times New Roman" w:eastAsia="Times New Roman" w:hAnsi="Times New Roman" w:cs="Times New Roman"/>
          <w:color w:val="auto"/>
          <w:sz w:val="22"/>
          <w:szCs w:val="22"/>
          <w:lang w:val="sq-AL"/>
        </w:rPr>
        <w:t>Shpenzimet për Ministrinë e Financave për PBA 2025-202</w:t>
      </w:r>
      <w:r>
        <w:rPr>
          <w:rFonts w:ascii="Times New Roman" w:eastAsia="Times New Roman" w:hAnsi="Times New Roman" w:cs="Times New Roman"/>
          <w:color w:val="auto"/>
          <w:sz w:val="22"/>
          <w:szCs w:val="22"/>
          <w:lang w:val="sq-AL"/>
        </w:rPr>
        <w:t>8</w:t>
      </w:r>
    </w:p>
    <w:p w14:paraId="5CA1D9FF" w14:textId="77777777" w:rsidR="00C17E1C" w:rsidRDefault="00C17E1C" w:rsidP="00C17E1C">
      <w:pPr>
        <w:rPr>
          <w:lang w:val="sq-AL"/>
        </w:rPr>
      </w:pPr>
    </w:p>
    <w:p w14:paraId="319EDC1F" w14:textId="4FC473C8" w:rsidR="00C17E1C" w:rsidRDefault="00C17E1C" w:rsidP="00C17E1C">
      <w:pPr>
        <w:rPr>
          <w:lang w:val="sq-AL"/>
        </w:rPr>
      </w:pPr>
      <w:r>
        <w:rPr>
          <w:noProof/>
          <w:lang w:val="sq-AL"/>
        </w:rPr>
        <w:drawing>
          <wp:inline distT="0" distB="0" distL="0" distR="0" wp14:anchorId="737EC369" wp14:editId="16C6476F">
            <wp:extent cx="6276975" cy="1343025"/>
            <wp:effectExtent l="0" t="0" r="9525" b="9525"/>
            <wp:docPr id="713334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88472" cy="1345485"/>
                    </a:xfrm>
                    <a:prstGeom prst="rect">
                      <a:avLst/>
                    </a:prstGeom>
                    <a:noFill/>
                  </pic:spPr>
                </pic:pic>
              </a:graphicData>
            </a:graphic>
          </wp:inline>
        </w:drawing>
      </w:r>
    </w:p>
    <w:p w14:paraId="332E9A52" w14:textId="77777777" w:rsidR="00AE338B" w:rsidRPr="00D04162" w:rsidRDefault="00AE338B" w:rsidP="00C17E1C">
      <w:pPr>
        <w:spacing w:line="276" w:lineRule="auto"/>
        <w:rPr>
          <w:rFonts w:ascii="Cambria" w:eastAsiaTheme="minorHAnsi" w:hAnsi="Cambria"/>
          <w:sz w:val="24"/>
          <w:szCs w:val="24"/>
        </w:rPr>
      </w:pPr>
    </w:p>
    <w:p w14:paraId="1DE3042C" w14:textId="46CFE3DD" w:rsidR="00AE338B" w:rsidRDefault="00AE338B" w:rsidP="00AE338B">
      <w:pPr>
        <w:pStyle w:val="Heading3"/>
        <w:spacing w:line="276" w:lineRule="auto"/>
        <w:rPr>
          <w:rFonts w:ascii="Cambria" w:hAnsi="Cambria"/>
          <w:b/>
          <w:color w:val="auto"/>
        </w:rPr>
      </w:pPr>
      <w:proofErr w:type="spellStart"/>
      <w:r w:rsidRPr="00D04162">
        <w:rPr>
          <w:rFonts w:ascii="Cambria" w:hAnsi="Cambria"/>
          <w:b/>
          <w:color w:val="auto"/>
        </w:rPr>
        <w:t>Prioritetet</w:t>
      </w:r>
      <w:proofErr w:type="spellEnd"/>
      <w:r w:rsidRPr="00D04162">
        <w:rPr>
          <w:rFonts w:ascii="Cambria" w:hAnsi="Cambria"/>
          <w:b/>
          <w:color w:val="auto"/>
        </w:rPr>
        <w:t xml:space="preserve"> </w:t>
      </w:r>
      <w:proofErr w:type="spellStart"/>
      <w:r w:rsidRPr="00D04162">
        <w:rPr>
          <w:rFonts w:ascii="Cambria" w:hAnsi="Cambria"/>
          <w:b/>
          <w:color w:val="auto"/>
        </w:rPr>
        <w:t>për</w:t>
      </w:r>
      <w:proofErr w:type="spellEnd"/>
      <w:r w:rsidRPr="00D04162">
        <w:rPr>
          <w:rFonts w:ascii="Cambria" w:hAnsi="Cambria"/>
          <w:b/>
          <w:color w:val="auto"/>
        </w:rPr>
        <w:t xml:space="preserve"> </w:t>
      </w:r>
      <w:proofErr w:type="spellStart"/>
      <w:r w:rsidRPr="00D04162">
        <w:rPr>
          <w:rFonts w:ascii="Cambria" w:hAnsi="Cambria"/>
          <w:b/>
          <w:color w:val="auto"/>
        </w:rPr>
        <w:t>periudhën</w:t>
      </w:r>
      <w:proofErr w:type="spellEnd"/>
      <w:r w:rsidRPr="00D04162">
        <w:rPr>
          <w:rFonts w:ascii="Cambria" w:hAnsi="Cambria"/>
          <w:b/>
          <w:color w:val="auto"/>
        </w:rPr>
        <w:t xml:space="preserve"> 202</w:t>
      </w:r>
      <w:r>
        <w:rPr>
          <w:rFonts w:ascii="Cambria" w:hAnsi="Cambria"/>
          <w:b/>
          <w:color w:val="auto"/>
        </w:rPr>
        <w:t>6</w:t>
      </w:r>
      <w:r w:rsidRPr="00D04162">
        <w:rPr>
          <w:rFonts w:ascii="Cambria" w:hAnsi="Cambria"/>
          <w:b/>
          <w:color w:val="auto"/>
        </w:rPr>
        <w:t>-202</w:t>
      </w:r>
      <w:r>
        <w:rPr>
          <w:rFonts w:ascii="Cambria" w:hAnsi="Cambria"/>
          <w:b/>
          <w:color w:val="auto"/>
        </w:rPr>
        <w:t>8</w:t>
      </w:r>
    </w:p>
    <w:p w14:paraId="2923D14B" w14:textId="77777777" w:rsidR="00AE338B" w:rsidRPr="00554419" w:rsidRDefault="00AE338B" w:rsidP="00AE338B"/>
    <w:p w14:paraId="5E2104C2" w14:textId="77777777" w:rsidR="00AE338B" w:rsidRPr="0089463D" w:rsidRDefault="00AE338B" w:rsidP="00954232">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Parashikim i matur i treguesve makroekonomik në përputhje me parashikuesit e pavarur dhe ndërkombëtarë</w:t>
      </w:r>
      <w:r>
        <w:rPr>
          <w:rFonts w:ascii="Cambria" w:eastAsiaTheme="minorHAnsi" w:hAnsi="Cambria"/>
          <w:sz w:val="24"/>
          <w:szCs w:val="24"/>
          <w:lang w:val="sq-AL"/>
        </w:rPr>
        <w:t>;</w:t>
      </w:r>
    </w:p>
    <w:p w14:paraId="33C07080" w14:textId="77777777" w:rsidR="00AE338B" w:rsidRPr="0089463D" w:rsidRDefault="00AE338B" w:rsidP="00954232">
      <w:pPr>
        <w:numPr>
          <w:ilvl w:val="0"/>
          <w:numId w:val="7"/>
        </w:numPr>
        <w:spacing w:after="200" w:line="276" w:lineRule="auto"/>
        <w:contextualSpacing/>
        <w:jc w:val="both"/>
        <w:rPr>
          <w:rFonts w:ascii="Cambria" w:eastAsiaTheme="minorHAnsi" w:hAnsi="Cambria"/>
          <w:sz w:val="24"/>
          <w:szCs w:val="24"/>
          <w:lang w:val="sq-AL"/>
        </w:rPr>
      </w:pPr>
      <w:r>
        <w:rPr>
          <w:rFonts w:ascii="Cambria" w:eastAsiaTheme="minorHAnsi" w:hAnsi="Cambria"/>
          <w:sz w:val="24"/>
          <w:szCs w:val="24"/>
          <w:lang w:val="sq-AL"/>
        </w:rPr>
        <w:t xml:space="preserve">Zbatim i mëtejshëm i reformave </w:t>
      </w:r>
      <w:proofErr w:type="spellStart"/>
      <w:r w:rsidRPr="00895716">
        <w:rPr>
          <w:lang w:val="en-GB"/>
        </w:rPr>
        <w:t>n</w:t>
      </w:r>
      <w:r>
        <w:rPr>
          <w:lang w:val="en-GB"/>
        </w:rPr>
        <w:t>ë</w:t>
      </w:r>
      <w:proofErr w:type="spellEnd"/>
      <w:r w:rsidRPr="00895716">
        <w:rPr>
          <w:lang w:val="en-GB"/>
        </w:rPr>
        <w:t xml:space="preserve"> </w:t>
      </w:r>
      <w:r w:rsidRPr="0089463D">
        <w:rPr>
          <w:rFonts w:ascii="Cambria" w:eastAsiaTheme="minorHAnsi" w:hAnsi="Cambria"/>
          <w:sz w:val="24"/>
          <w:szCs w:val="24"/>
          <w:lang w:val="sq-AL"/>
        </w:rPr>
        <w:t>fushën e politikave tatimore dhe administratës tatimore dhe doganore</w:t>
      </w:r>
      <w:r>
        <w:rPr>
          <w:rFonts w:ascii="Cambria" w:eastAsiaTheme="minorHAnsi" w:hAnsi="Cambria"/>
          <w:sz w:val="24"/>
          <w:szCs w:val="24"/>
          <w:lang w:val="sq-AL"/>
        </w:rPr>
        <w:t xml:space="preserve"> </w:t>
      </w:r>
      <w:r w:rsidRPr="0089463D">
        <w:rPr>
          <w:rFonts w:ascii="Cambria" w:eastAsiaTheme="minorHAnsi" w:hAnsi="Cambria"/>
          <w:sz w:val="24"/>
          <w:szCs w:val="24"/>
          <w:lang w:val="sq-AL"/>
        </w:rPr>
        <w:t>me synim përmirësimin e politikave fiskale, rritjen e të ardhurave tatimore</w:t>
      </w:r>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dhe</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efektivitetin</w:t>
      </w:r>
      <w:proofErr w:type="spellEnd"/>
      <w:r w:rsidRPr="0089463D">
        <w:rPr>
          <w:rFonts w:ascii="Cambria" w:eastAsiaTheme="minorHAnsi" w:hAnsi="Cambria"/>
          <w:sz w:val="24"/>
          <w:szCs w:val="24"/>
          <w:lang w:val="en-GB"/>
        </w:rPr>
        <w:t xml:space="preserve"> e </w:t>
      </w:r>
      <w:proofErr w:type="spellStart"/>
      <w:r w:rsidRPr="0089463D">
        <w:rPr>
          <w:rFonts w:ascii="Cambria" w:eastAsiaTheme="minorHAnsi" w:hAnsi="Cambria"/>
          <w:sz w:val="24"/>
          <w:szCs w:val="24"/>
          <w:lang w:val="en-GB"/>
        </w:rPr>
        <w:t>administratës</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tatimore</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dhe</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doganore</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në</w:t>
      </w:r>
      <w:proofErr w:type="spellEnd"/>
      <w:r w:rsidRPr="0089463D">
        <w:rPr>
          <w:rFonts w:ascii="Cambria" w:eastAsiaTheme="minorHAnsi" w:hAnsi="Cambria"/>
          <w:sz w:val="24"/>
          <w:szCs w:val="24"/>
          <w:lang w:val="en-GB"/>
        </w:rPr>
        <w:t xml:space="preserve"> </w:t>
      </w:r>
      <w:proofErr w:type="spellStart"/>
      <w:r w:rsidRPr="0089463D">
        <w:rPr>
          <w:rFonts w:ascii="Cambria" w:eastAsiaTheme="minorHAnsi" w:hAnsi="Cambria"/>
          <w:sz w:val="24"/>
          <w:szCs w:val="24"/>
          <w:lang w:val="en-GB"/>
        </w:rPr>
        <w:t>mbledhjen</w:t>
      </w:r>
      <w:proofErr w:type="spellEnd"/>
      <w:r w:rsidRPr="0089463D">
        <w:rPr>
          <w:rFonts w:ascii="Cambria" w:eastAsiaTheme="minorHAnsi" w:hAnsi="Cambria"/>
          <w:sz w:val="24"/>
          <w:szCs w:val="24"/>
          <w:lang w:val="en-GB"/>
        </w:rPr>
        <w:t xml:space="preserve"> e tyre</w:t>
      </w:r>
    </w:p>
    <w:p w14:paraId="78A8B929" w14:textId="77777777" w:rsidR="00AE338B" w:rsidRDefault="00AE338B" w:rsidP="00954232">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Ruajtja e financave publike të shëndosha përmes pajtueshmërisë së përhershme me rregullat fiskale.</w:t>
      </w:r>
    </w:p>
    <w:p w14:paraId="1B55110F" w14:textId="739CEB7E" w:rsidR="00AE338B" w:rsidRPr="00AE338B" w:rsidRDefault="00AE338B" w:rsidP="00954232">
      <w:pPr>
        <w:numPr>
          <w:ilvl w:val="0"/>
          <w:numId w:val="7"/>
        </w:numPr>
        <w:spacing w:after="200" w:line="276" w:lineRule="auto"/>
        <w:contextualSpacing/>
        <w:jc w:val="both"/>
        <w:rPr>
          <w:rFonts w:ascii="Cambria" w:eastAsiaTheme="minorHAnsi" w:hAnsi="Cambria"/>
          <w:sz w:val="24"/>
          <w:szCs w:val="24"/>
          <w:lang w:val="sq-AL"/>
        </w:rPr>
      </w:pPr>
      <w:r w:rsidRPr="0089463D">
        <w:rPr>
          <w:rFonts w:ascii="Cambria" w:eastAsiaTheme="minorHAnsi" w:hAnsi="Cambria"/>
          <w:sz w:val="24"/>
          <w:szCs w:val="24"/>
          <w:lang w:val="sq-AL"/>
        </w:rPr>
        <w:t xml:space="preserve">Mirëplanifikim i shpenzimeve </w:t>
      </w:r>
      <w:r>
        <w:rPr>
          <w:rFonts w:ascii="Cambria" w:eastAsiaTheme="minorHAnsi" w:hAnsi="Cambria"/>
          <w:sz w:val="24"/>
          <w:szCs w:val="24"/>
          <w:lang w:val="sq-AL"/>
        </w:rPr>
        <w:t>buxhetore afatmesme</w:t>
      </w:r>
      <w:r w:rsidRPr="0089463D">
        <w:rPr>
          <w:rFonts w:ascii="Cambria" w:eastAsiaTheme="minorHAnsi" w:hAnsi="Cambria"/>
          <w:sz w:val="24"/>
          <w:szCs w:val="24"/>
          <w:lang w:val="sq-AL"/>
        </w:rPr>
        <w:t xml:space="preserve"> me qëllim mbështetjen e një rritje ekonomike të shpejtë dhe të qëndrueshme</w:t>
      </w:r>
      <w:r>
        <w:rPr>
          <w:rFonts w:ascii="Cambria" w:eastAsiaTheme="minorHAnsi" w:hAnsi="Cambria"/>
          <w:sz w:val="24"/>
          <w:szCs w:val="24"/>
          <w:lang w:val="sq-AL"/>
        </w:rPr>
        <w:t>.</w:t>
      </w:r>
    </w:p>
    <w:p w14:paraId="297C1F7A" w14:textId="77777777" w:rsidR="00AE338B" w:rsidRPr="00D04162" w:rsidRDefault="00AE338B" w:rsidP="00AE338B">
      <w:pPr>
        <w:spacing w:line="276" w:lineRule="auto"/>
        <w:contextualSpacing/>
        <w:jc w:val="both"/>
        <w:rPr>
          <w:rFonts w:ascii="Cambria" w:eastAsiaTheme="minorHAnsi" w:hAnsi="Cambria"/>
          <w:b/>
          <w:sz w:val="24"/>
          <w:szCs w:val="24"/>
          <w:lang w:val="sq-AL"/>
        </w:rPr>
      </w:pPr>
    </w:p>
    <w:p w14:paraId="19D0598C" w14:textId="75F2F71B" w:rsidR="00AE338B" w:rsidRPr="001E333C" w:rsidRDefault="00AE338B" w:rsidP="00AE338B">
      <w:pPr>
        <w:pStyle w:val="Caption"/>
        <w:jc w:val="both"/>
        <w:rPr>
          <w:rFonts w:ascii="Times New Roman" w:eastAsiaTheme="minorHAnsi" w:hAnsi="Times New Roman" w:cs="Times New Roman"/>
          <w:color w:val="auto"/>
          <w:sz w:val="22"/>
          <w:szCs w:val="22"/>
          <w:lang w:val="sq-AL"/>
        </w:rPr>
      </w:pPr>
      <w:proofErr w:type="spellStart"/>
      <w:r w:rsidRPr="001E333C">
        <w:rPr>
          <w:rFonts w:ascii="Times New Roman" w:hAnsi="Times New Roman" w:cs="Times New Roman"/>
          <w:color w:val="auto"/>
          <w:sz w:val="22"/>
          <w:szCs w:val="22"/>
        </w:rPr>
        <w:t>Tabela</w:t>
      </w:r>
      <w:proofErr w:type="spellEnd"/>
      <w:r w:rsidRPr="001E333C">
        <w:rPr>
          <w:rFonts w:ascii="Times New Roman" w:hAnsi="Times New Roman" w:cs="Times New Roman"/>
          <w:color w:val="auto"/>
          <w:sz w:val="22"/>
          <w:szCs w:val="22"/>
        </w:rPr>
        <w:t xml:space="preserve"> </w:t>
      </w:r>
      <w:r w:rsidRPr="001E333C">
        <w:rPr>
          <w:rFonts w:ascii="Times New Roman" w:hAnsi="Times New Roman" w:cs="Times New Roman"/>
          <w:color w:val="auto"/>
          <w:sz w:val="22"/>
          <w:szCs w:val="22"/>
        </w:rPr>
        <w:fldChar w:fldCharType="begin"/>
      </w:r>
      <w:r w:rsidRPr="001E333C">
        <w:rPr>
          <w:rFonts w:ascii="Times New Roman" w:hAnsi="Times New Roman" w:cs="Times New Roman"/>
          <w:color w:val="auto"/>
          <w:sz w:val="22"/>
          <w:szCs w:val="22"/>
        </w:rPr>
        <w:instrText xml:space="preserve"> SEQ Tabela \* ARABIC </w:instrText>
      </w:r>
      <w:r w:rsidRPr="001E333C">
        <w:rPr>
          <w:rFonts w:ascii="Times New Roman" w:hAnsi="Times New Roman" w:cs="Times New Roman"/>
          <w:color w:val="auto"/>
          <w:sz w:val="22"/>
          <w:szCs w:val="22"/>
        </w:rPr>
        <w:fldChar w:fldCharType="separate"/>
      </w:r>
      <w:r w:rsidR="009113BE">
        <w:rPr>
          <w:rFonts w:ascii="Times New Roman" w:hAnsi="Times New Roman" w:cs="Times New Roman"/>
          <w:noProof/>
          <w:color w:val="auto"/>
          <w:sz w:val="22"/>
          <w:szCs w:val="22"/>
        </w:rPr>
        <w:t>28</w:t>
      </w:r>
      <w:r w:rsidRPr="001E333C">
        <w:rPr>
          <w:rFonts w:ascii="Times New Roman" w:hAnsi="Times New Roman" w:cs="Times New Roman"/>
          <w:color w:val="auto"/>
          <w:sz w:val="22"/>
          <w:szCs w:val="22"/>
        </w:rPr>
        <w:fldChar w:fldCharType="end"/>
      </w:r>
      <w:r w:rsidRPr="001E333C">
        <w:rPr>
          <w:rFonts w:ascii="Times New Roman" w:eastAsia="Times New Roman" w:hAnsi="Times New Roman" w:cs="Times New Roman"/>
          <w:color w:val="auto"/>
          <w:sz w:val="22"/>
          <w:szCs w:val="22"/>
          <w:lang w:val="sq-AL"/>
        </w:rPr>
        <w:t>: Shpenzimet për Ministrinë e Financave për PBA 2025-202</w:t>
      </w:r>
      <w:r>
        <w:rPr>
          <w:rFonts w:ascii="Times New Roman" w:eastAsia="Times New Roman" w:hAnsi="Times New Roman" w:cs="Times New Roman"/>
          <w:color w:val="auto"/>
          <w:sz w:val="22"/>
          <w:szCs w:val="22"/>
          <w:lang w:val="sq-AL"/>
        </w:rPr>
        <w:t>8</w:t>
      </w:r>
    </w:p>
    <w:p w14:paraId="69081B9C" w14:textId="77777777" w:rsidR="00AE338B" w:rsidRPr="006775BD" w:rsidRDefault="00AE338B" w:rsidP="00224809">
      <w:pPr>
        <w:spacing w:line="276" w:lineRule="auto"/>
        <w:ind w:left="-450"/>
        <w:jc w:val="right"/>
        <w:rPr>
          <w:rFonts w:ascii="Cambria" w:eastAsia="MS Gothic" w:hAnsi="Cambria"/>
          <w:b/>
          <w:bCs/>
          <w:color w:val="0070C0"/>
          <w:sz w:val="24"/>
          <w:szCs w:val="24"/>
          <w:lang w:val="en-GB"/>
        </w:rPr>
      </w:pPr>
      <w:r w:rsidRPr="006775BD">
        <w:rPr>
          <w:noProof/>
        </w:rPr>
        <w:lastRenderedPageBreak/>
        <w:drawing>
          <wp:inline distT="0" distB="0" distL="0" distR="0" wp14:anchorId="6BCE086F" wp14:editId="7F7798FD">
            <wp:extent cx="5906704" cy="3450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0345" cy="3470520"/>
                    </a:xfrm>
                    <a:prstGeom prst="rect">
                      <a:avLst/>
                    </a:prstGeom>
                    <a:noFill/>
                    <a:ln>
                      <a:noFill/>
                    </a:ln>
                  </pic:spPr>
                </pic:pic>
              </a:graphicData>
            </a:graphic>
          </wp:inline>
        </w:drawing>
      </w:r>
    </w:p>
    <w:p w14:paraId="77182202" w14:textId="77777777" w:rsidR="00AE338B" w:rsidRPr="00D04162" w:rsidRDefault="00AE338B" w:rsidP="00AE338B">
      <w:pPr>
        <w:spacing w:line="276" w:lineRule="auto"/>
        <w:rPr>
          <w:rFonts w:ascii="Cambria" w:eastAsia="MS Gothic" w:hAnsi="Cambria"/>
          <w:b/>
          <w:bCs/>
          <w:color w:val="0070C0"/>
          <w:sz w:val="24"/>
          <w:szCs w:val="24"/>
          <w:lang w:val="en-GB"/>
        </w:rPr>
      </w:pPr>
    </w:p>
    <w:p w14:paraId="73DDADF8" w14:textId="77777777" w:rsidR="00AE338B" w:rsidRPr="00D04162" w:rsidRDefault="00AE338B" w:rsidP="00AE338B">
      <w:pPr>
        <w:pStyle w:val="Heading3"/>
        <w:spacing w:line="276" w:lineRule="auto"/>
        <w:rPr>
          <w:rFonts w:ascii="Cambria" w:eastAsia="Calibri" w:hAnsi="Cambria"/>
          <w:b/>
          <w:color w:val="auto"/>
          <w:lang w:val="it-IT"/>
        </w:rPr>
      </w:pPr>
      <w:r w:rsidRPr="00D04162">
        <w:rPr>
          <w:rFonts w:ascii="Cambria" w:eastAsia="Calibri" w:hAnsi="Cambria"/>
          <w:b/>
          <w:color w:val="auto"/>
          <w:lang w:val="it-IT"/>
        </w:rPr>
        <w:t>Përmbledhje e Treguesve Kyç të Performancës</w:t>
      </w:r>
    </w:p>
    <w:p w14:paraId="1A67FE0E" w14:textId="77777777" w:rsidR="00AE338B" w:rsidRPr="00D04162" w:rsidRDefault="00AE338B" w:rsidP="00AE338B">
      <w:pPr>
        <w:rPr>
          <w:lang w:val="it-IT"/>
        </w:rPr>
      </w:pPr>
    </w:p>
    <w:p w14:paraId="228A1569" w14:textId="77777777" w:rsidR="00AE338B" w:rsidRPr="00D04162" w:rsidRDefault="00AE338B" w:rsidP="00AE338B">
      <w:pPr>
        <w:spacing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Programi “</w:t>
      </w:r>
      <w:r w:rsidRPr="00D04162">
        <w:rPr>
          <w:rFonts w:ascii="Cambria" w:eastAsiaTheme="minorHAnsi" w:hAnsi="Cambria"/>
          <w:i/>
          <w:sz w:val="24"/>
          <w:szCs w:val="24"/>
          <w:lang w:val="sq-AL"/>
        </w:rPr>
        <w:t>Menaxhimi i Shpenzimeve Publike</w:t>
      </w:r>
      <w:r w:rsidRPr="00D04162">
        <w:rPr>
          <w:rFonts w:ascii="Cambria" w:eastAsiaTheme="minorHAnsi" w:hAnsi="Cambria"/>
          <w:sz w:val="24"/>
          <w:szCs w:val="24"/>
          <w:lang w:val="sq-AL"/>
        </w:rPr>
        <w:t>” synon të arrijë treguesit e mëposhtëm të performancës:</w:t>
      </w:r>
    </w:p>
    <w:p w14:paraId="26642B12" w14:textId="77777777" w:rsidR="00AE338B"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3C55AD">
        <w:rPr>
          <w:rFonts w:ascii="Cambria" w:eastAsiaTheme="minorHAnsi" w:hAnsi="Cambria"/>
          <w:sz w:val="24"/>
          <w:szCs w:val="24"/>
          <w:lang w:val="sq-AL"/>
        </w:rPr>
        <w:t xml:space="preserve">Të ardhurat parashikohen nivelin 29% të PBB në vitin 2028, </w:t>
      </w:r>
    </w:p>
    <w:p w14:paraId="6BD527C7" w14:textId="77777777" w:rsidR="00AE338B" w:rsidRPr="003C55AD"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3C55AD">
        <w:rPr>
          <w:rFonts w:ascii="Cambria" w:eastAsiaTheme="minorHAnsi" w:hAnsi="Cambria"/>
          <w:sz w:val="24"/>
          <w:szCs w:val="24"/>
          <w:lang w:val="sq-AL"/>
        </w:rPr>
        <w:t xml:space="preserve">Niveli i Borxhit Publik parashikohet të ulet në </w:t>
      </w:r>
      <w:r>
        <w:rPr>
          <w:rFonts w:ascii="Cambria" w:eastAsiaTheme="minorHAnsi" w:hAnsi="Cambria"/>
          <w:sz w:val="24"/>
          <w:szCs w:val="24"/>
          <w:lang w:val="sq-AL"/>
        </w:rPr>
        <w:t>52.1%</w:t>
      </w:r>
      <w:r w:rsidRPr="003C55AD">
        <w:rPr>
          <w:rFonts w:ascii="Cambria" w:eastAsiaTheme="minorHAnsi" w:hAnsi="Cambria"/>
          <w:sz w:val="24"/>
          <w:szCs w:val="24"/>
          <w:lang w:val="sq-AL"/>
        </w:rPr>
        <w:t xml:space="preserve"> të PBB në vitin 202</w:t>
      </w:r>
      <w:r>
        <w:rPr>
          <w:rFonts w:ascii="Cambria" w:eastAsiaTheme="minorHAnsi" w:hAnsi="Cambria"/>
          <w:sz w:val="24"/>
          <w:szCs w:val="24"/>
          <w:lang w:val="sq-AL"/>
        </w:rPr>
        <w:t>8</w:t>
      </w:r>
      <w:r w:rsidRPr="003C55AD">
        <w:rPr>
          <w:rFonts w:ascii="Cambria" w:eastAsiaTheme="minorHAnsi" w:hAnsi="Cambria"/>
          <w:sz w:val="24"/>
          <w:szCs w:val="24"/>
          <w:lang w:val="sq-AL"/>
        </w:rPr>
        <w:t>, nga niveli 5</w:t>
      </w:r>
      <w:r>
        <w:rPr>
          <w:rFonts w:ascii="Cambria" w:eastAsiaTheme="minorHAnsi" w:hAnsi="Cambria"/>
          <w:sz w:val="24"/>
          <w:szCs w:val="24"/>
          <w:lang w:val="sq-AL"/>
        </w:rPr>
        <w:t>4</w:t>
      </w:r>
      <w:r w:rsidRPr="003C55AD">
        <w:rPr>
          <w:rFonts w:ascii="Cambria" w:eastAsiaTheme="minorHAnsi" w:hAnsi="Cambria"/>
          <w:sz w:val="24"/>
          <w:szCs w:val="24"/>
          <w:lang w:val="sq-AL"/>
        </w:rPr>
        <w:t>.8% i PBB i parashikuar për vitin 202</w:t>
      </w:r>
      <w:r>
        <w:rPr>
          <w:rFonts w:ascii="Cambria" w:eastAsiaTheme="minorHAnsi" w:hAnsi="Cambria"/>
          <w:sz w:val="24"/>
          <w:szCs w:val="24"/>
          <w:lang w:val="sq-AL"/>
        </w:rPr>
        <w:t>5</w:t>
      </w:r>
      <w:r w:rsidRPr="003C55AD">
        <w:rPr>
          <w:rFonts w:ascii="Cambria" w:eastAsiaTheme="minorHAnsi" w:hAnsi="Cambria"/>
          <w:sz w:val="24"/>
          <w:szCs w:val="24"/>
          <w:lang w:val="sq-AL"/>
        </w:rPr>
        <w:t>;</w:t>
      </w:r>
    </w:p>
    <w:p w14:paraId="6B64001E"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Përmirësim tek Indeksi i Buxhetit të Hapur (Open Budget Index</w:t>
      </w:r>
      <w:r>
        <w:rPr>
          <w:rFonts w:ascii="Cambria" w:eastAsiaTheme="minorHAnsi" w:hAnsi="Cambria"/>
          <w:sz w:val="24"/>
          <w:szCs w:val="24"/>
          <w:lang w:val="sq-AL"/>
        </w:rPr>
        <w:t>, pjesëmarrja e publikut</w:t>
      </w:r>
      <w:r w:rsidRPr="00D04162">
        <w:rPr>
          <w:rFonts w:ascii="Cambria" w:eastAsiaTheme="minorHAnsi" w:hAnsi="Cambria"/>
          <w:sz w:val="24"/>
          <w:szCs w:val="24"/>
          <w:lang w:val="sq-AL"/>
        </w:rPr>
        <w:t xml:space="preserve">), nga </w:t>
      </w:r>
      <w:r>
        <w:rPr>
          <w:rFonts w:ascii="Cambria" w:eastAsiaTheme="minorHAnsi" w:hAnsi="Cambria"/>
          <w:sz w:val="24"/>
          <w:szCs w:val="24"/>
          <w:lang w:val="sq-AL"/>
        </w:rPr>
        <w:t>9</w:t>
      </w:r>
      <w:r w:rsidRPr="00D04162">
        <w:rPr>
          <w:rFonts w:ascii="Cambria" w:eastAsiaTheme="minorHAnsi" w:hAnsi="Cambria"/>
          <w:sz w:val="24"/>
          <w:szCs w:val="24"/>
          <w:lang w:val="sq-AL"/>
        </w:rPr>
        <w:t xml:space="preserve"> pikë në vitin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parashikohet të arrihet vlera </w:t>
      </w:r>
      <w:r>
        <w:rPr>
          <w:rFonts w:ascii="Cambria" w:eastAsiaTheme="minorHAnsi" w:hAnsi="Cambria"/>
          <w:sz w:val="24"/>
          <w:szCs w:val="24"/>
          <w:lang w:val="sq-AL"/>
        </w:rPr>
        <w:t>12</w:t>
      </w:r>
      <w:r w:rsidRPr="00D04162">
        <w:rPr>
          <w:rFonts w:ascii="Cambria" w:eastAsiaTheme="minorHAnsi" w:hAnsi="Cambria"/>
          <w:sz w:val="24"/>
          <w:szCs w:val="24"/>
          <w:lang w:val="sq-AL"/>
        </w:rPr>
        <w:t xml:space="preserve"> pikë në vitin 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76655E6E" w14:textId="77777777" w:rsidR="00AE338B" w:rsidRPr="00D04162" w:rsidRDefault="00AE338B" w:rsidP="00AE338B">
      <w:pPr>
        <w:spacing w:after="0" w:line="276" w:lineRule="auto"/>
        <w:contextualSpacing/>
        <w:jc w:val="both"/>
        <w:rPr>
          <w:rFonts w:ascii="Cambria" w:eastAsiaTheme="minorHAnsi" w:hAnsi="Cambria"/>
          <w:sz w:val="24"/>
          <w:szCs w:val="24"/>
          <w:lang w:val="sq-AL"/>
        </w:rPr>
      </w:pPr>
    </w:p>
    <w:p w14:paraId="29E49294" w14:textId="77777777" w:rsidR="00AE338B" w:rsidRPr="00D04162" w:rsidRDefault="00AE338B" w:rsidP="00AE338B">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t>Gjatë periudhës 202</w:t>
      </w:r>
      <w:r>
        <w:rPr>
          <w:rFonts w:ascii="Cambria" w:eastAsiaTheme="minorHAnsi" w:hAnsi="Cambria"/>
          <w:sz w:val="24"/>
          <w:szCs w:val="24"/>
          <w:lang w:val="sq-AL"/>
        </w:rPr>
        <w:t>5</w:t>
      </w:r>
      <w:r w:rsidRPr="00D04162">
        <w:rPr>
          <w:rFonts w:ascii="Cambria" w:eastAsiaTheme="minorHAnsi" w:hAnsi="Cambria"/>
          <w:sz w:val="24"/>
          <w:szCs w:val="24"/>
          <w:lang w:val="sq-AL"/>
        </w:rPr>
        <w:t>-202</w:t>
      </w:r>
      <w:r>
        <w:rPr>
          <w:rFonts w:ascii="Cambria" w:eastAsiaTheme="minorHAnsi" w:hAnsi="Cambria"/>
          <w:sz w:val="24"/>
          <w:szCs w:val="24"/>
          <w:lang w:val="sq-AL"/>
        </w:rPr>
        <w:t>7</w:t>
      </w:r>
      <w:r w:rsidRPr="00D04162">
        <w:rPr>
          <w:rFonts w:ascii="Cambria" w:eastAsiaTheme="minorHAnsi" w:hAnsi="Cambria"/>
          <w:sz w:val="24"/>
          <w:szCs w:val="24"/>
          <w:lang w:val="sq-AL"/>
        </w:rPr>
        <w:t>, programi “Menaxhimi i të Ardhurave Tatimore” synon</w:t>
      </w:r>
      <w:r>
        <w:rPr>
          <w:rFonts w:ascii="Cambria" w:eastAsiaTheme="minorHAnsi" w:hAnsi="Cambria"/>
          <w:sz w:val="24"/>
          <w:szCs w:val="24"/>
          <w:lang w:val="sq-AL"/>
        </w:rPr>
        <w:t xml:space="preserve"> </w:t>
      </w:r>
      <w:r w:rsidRPr="00D04162">
        <w:rPr>
          <w:rFonts w:ascii="Cambria" w:eastAsiaTheme="minorHAnsi" w:hAnsi="Cambria"/>
          <w:sz w:val="24"/>
          <w:szCs w:val="24"/>
          <w:lang w:val="sq-AL"/>
        </w:rPr>
        <w:t xml:space="preserve">të arrijë treguesit e mëposhtëm të performancës: </w:t>
      </w:r>
    </w:p>
    <w:p w14:paraId="40D811E8"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Rritjen e raportit të zbulueshmërisë nga kontrollet e kryera nga administrata tatimore tek bizneset;</w:t>
      </w:r>
    </w:p>
    <w:p w14:paraId="3C33B877"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Zgjerimin e kontrollit të verifikimit në terren nëpërmjet strukturave të hetimit tatimor,</w:t>
      </w:r>
    </w:p>
    <w:p w14:paraId="27387623"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Ndërgjegjësimi i bizneseve ndaj fushatave të shumta për luftën kundër informalitetit.</w:t>
      </w:r>
    </w:p>
    <w:p w14:paraId="3C18EC70" w14:textId="77777777" w:rsidR="00AE338B" w:rsidRPr="00D04162" w:rsidRDefault="00AE338B" w:rsidP="00AE338B">
      <w:pPr>
        <w:spacing w:after="0" w:line="276" w:lineRule="auto"/>
        <w:ind w:left="774"/>
        <w:contextualSpacing/>
        <w:jc w:val="both"/>
        <w:rPr>
          <w:rFonts w:ascii="Cambria" w:eastAsiaTheme="minorHAnsi" w:hAnsi="Cambria"/>
          <w:sz w:val="24"/>
          <w:szCs w:val="24"/>
          <w:lang w:val="sq-AL"/>
        </w:rPr>
      </w:pPr>
    </w:p>
    <w:p w14:paraId="233368B8" w14:textId="77777777" w:rsidR="00AE338B" w:rsidRPr="00D04162" w:rsidRDefault="00AE338B" w:rsidP="00AE338B">
      <w:pPr>
        <w:spacing w:before="120" w:after="120" w:line="276" w:lineRule="auto"/>
        <w:jc w:val="both"/>
        <w:rPr>
          <w:rFonts w:ascii="Cambria" w:eastAsiaTheme="minorHAnsi" w:hAnsi="Cambria"/>
          <w:sz w:val="24"/>
          <w:szCs w:val="24"/>
          <w:lang w:val="sq-AL"/>
        </w:rPr>
      </w:pPr>
      <w:r w:rsidRPr="00D04162">
        <w:rPr>
          <w:rFonts w:ascii="Cambria" w:eastAsiaTheme="minorHAnsi" w:hAnsi="Cambria"/>
          <w:sz w:val="24"/>
          <w:szCs w:val="24"/>
          <w:lang w:val="sq-AL"/>
        </w:rPr>
        <w:lastRenderedPageBreak/>
        <w:t>Programi “Menaxhimi i të Ardhurave Doganore”, përgjatë periudhës 202</w:t>
      </w:r>
      <w:r>
        <w:rPr>
          <w:rFonts w:ascii="Cambria" w:eastAsiaTheme="minorHAnsi" w:hAnsi="Cambria"/>
          <w:sz w:val="24"/>
          <w:szCs w:val="24"/>
          <w:lang w:val="sq-AL"/>
        </w:rPr>
        <w:t>5</w:t>
      </w:r>
      <w:r w:rsidRPr="00D04162">
        <w:rPr>
          <w:rFonts w:ascii="Cambria" w:eastAsiaTheme="minorHAnsi" w:hAnsi="Cambria"/>
          <w:sz w:val="24"/>
          <w:szCs w:val="24"/>
          <w:lang w:val="sq-AL"/>
        </w:rPr>
        <w:t>-202</w:t>
      </w:r>
      <w:r>
        <w:rPr>
          <w:rFonts w:ascii="Cambria" w:eastAsiaTheme="minorHAnsi" w:hAnsi="Cambria"/>
          <w:sz w:val="24"/>
          <w:szCs w:val="24"/>
          <w:lang w:val="sq-AL"/>
        </w:rPr>
        <w:t>8</w:t>
      </w:r>
      <w:r w:rsidRPr="00D04162">
        <w:rPr>
          <w:rFonts w:ascii="Cambria" w:eastAsiaTheme="minorHAnsi" w:hAnsi="Cambria"/>
          <w:sz w:val="24"/>
          <w:szCs w:val="24"/>
          <w:lang w:val="sq-AL"/>
        </w:rPr>
        <w:t>, synon</w:t>
      </w:r>
      <w:r>
        <w:rPr>
          <w:rFonts w:ascii="Cambria" w:eastAsiaTheme="minorHAnsi" w:hAnsi="Cambria"/>
          <w:sz w:val="24"/>
          <w:szCs w:val="24"/>
          <w:lang w:val="sq-AL"/>
        </w:rPr>
        <w:t xml:space="preserve"> </w:t>
      </w:r>
      <w:r w:rsidRPr="00D04162">
        <w:rPr>
          <w:rFonts w:ascii="Cambria" w:eastAsiaTheme="minorHAnsi" w:hAnsi="Cambria"/>
          <w:sz w:val="24"/>
          <w:szCs w:val="24"/>
          <w:lang w:val="sq-AL"/>
        </w:rPr>
        <w:t xml:space="preserve">të arrijë treguesit e mëposhtëm të performancës:  </w:t>
      </w:r>
    </w:p>
    <w:p w14:paraId="06452121"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Rritjen e numrit të deklaratave doganore të procesuara në kanalin jeshil (në import) nga </w:t>
      </w:r>
      <w:r>
        <w:rPr>
          <w:rFonts w:ascii="Cambria" w:eastAsiaTheme="minorHAnsi" w:hAnsi="Cambria"/>
          <w:sz w:val="24"/>
          <w:szCs w:val="24"/>
          <w:lang w:val="sq-AL"/>
        </w:rPr>
        <w:t xml:space="preserve">191 871 </w:t>
      </w:r>
      <w:r w:rsidRPr="00D04162">
        <w:rPr>
          <w:rFonts w:ascii="Cambria" w:eastAsiaTheme="minorHAnsi" w:hAnsi="Cambria"/>
          <w:sz w:val="24"/>
          <w:szCs w:val="24"/>
          <w:lang w:val="sq-AL"/>
        </w:rPr>
        <w:t>të parashikuara në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në </w:t>
      </w:r>
      <w:r>
        <w:rPr>
          <w:rFonts w:ascii="Cambria" w:eastAsiaTheme="minorHAnsi" w:hAnsi="Cambria"/>
          <w:sz w:val="24"/>
          <w:szCs w:val="24"/>
          <w:lang w:val="sq-AL"/>
        </w:rPr>
        <w:t xml:space="preserve">357 143 </w:t>
      </w:r>
      <w:r w:rsidRPr="00D04162">
        <w:rPr>
          <w:rFonts w:ascii="Cambria" w:eastAsiaTheme="minorHAnsi" w:hAnsi="Cambria"/>
          <w:sz w:val="24"/>
          <w:szCs w:val="24"/>
          <w:lang w:val="sq-AL"/>
        </w:rPr>
        <w:t>të parashikuara për 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2514B101" w14:textId="77777777" w:rsidR="00AE338B" w:rsidRPr="00D04162"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 xml:space="preserve">Rritjen e numrit të deklaratave doganore të procesuara në kanalin Jeshil (në eksport) nga </w:t>
      </w:r>
      <w:r>
        <w:rPr>
          <w:rFonts w:ascii="Cambria" w:eastAsiaTheme="minorHAnsi" w:hAnsi="Cambria"/>
          <w:sz w:val="24"/>
          <w:szCs w:val="24"/>
          <w:lang w:val="sq-AL"/>
        </w:rPr>
        <w:t>69 681</w:t>
      </w:r>
      <w:r w:rsidRPr="00D04162">
        <w:rPr>
          <w:rFonts w:ascii="Cambria" w:eastAsiaTheme="minorHAnsi" w:hAnsi="Cambria"/>
          <w:sz w:val="24"/>
          <w:szCs w:val="24"/>
          <w:lang w:val="sq-AL"/>
        </w:rPr>
        <w:t xml:space="preserve"> deklarata doganore për eksport të parashikuara në 202</w:t>
      </w:r>
      <w:r>
        <w:rPr>
          <w:rFonts w:ascii="Cambria" w:eastAsiaTheme="minorHAnsi" w:hAnsi="Cambria"/>
          <w:sz w:val="24"/>
          <w:szCs w:val="24"/>
          <w:lang w:val="sq-AL"/>
        </w:rPr>
        <w:t>5</w:t>
      </w:r>
      <w:r w:rsidRPr="00D04162">
        <w:rPr>
          <w:rFonts w:ascii="Cambria" w:eastAsiaTheme="minorHAnsi" w:hAnsi="Cambria"/>
          <w:sz w:val="24"/>
          <w:szCs w:val="24"/>
          <w:lang w:val="sq-AL"/>
        </w:rPr>
        <w:t xml:space="preserve"> në </w:t>
      </w:r>
      <w:r>
        <w:rPr>
          <w:rFonts w:ascii="Cambria" w:eastAsiaTheme="minorHAnsi" w:hAnsi="Cambria"/>
          <w:sz w:val="24"/>
          <w:szCs w:val="24"/>
          <w:lang w:val="sq-AL"/>
        </w:rPr>
        <w:t>142 857</w:t>
      </w:r>
      <w:r w:rsidRPr="00D04162">
        <w:rPr>
          <w:rFonts w:ascii="Cambria" w:eastAsiaTheme="minorHAnsi" w:hAnsi="Cambria"/>
          <w:sz w:val="24"/>
          <w:szCs w:val="24"/>
          <w:lang w:val="sq-AL"/>
        </w:rPr>
        <w:t xml:space="preserve"> të parashikuara për </w:t>
      </w:r>
      <w:r>
        <w:rPr>
          <w:rFonts w:ascii="Cambria" w:eastAsiaTheme="minorHAnsi" w:hAnsi="Cambria"/>
          <w:sz w:val="24"/>
          <w:szCs w:val="24"/>
          <w:lang w:val="sq-AL"/>
        </w:rPr>
        <w:t xml:space="preserve">vitin </w:t>
      </w:r>
      <w:r w:rsidRPr="00D04162">
        <w:rPr>
          <w:rFonts w:ascii="Cambria" w:eastAsiaTheme="minorHAnsi" w:hAnsi="Cambria"/>
          <w:sz w:val="24"/>
          <w:szCs w:val="24"/>
          <w:lang w:val="sq-AL"/>
        </w:rPr>
        <w:t>202</w:t>
      </w:r>
      <w:r>
        <w:rPr>
          <w:rFonts w:ascii="Cambria" w:eastAsiaTheme="minorHAnsi" w:hAnsi="Cambria"/>
          <w:sz w:val="24"/>
          <w:szCs w:val="24"/>
          <w:lang w:val="sq-AL"/>
        </w:rPr>
        <w:t>8</w:t>
      </w:r>
      <w:r w:rsidRPr="00D04162">
        <w:rPr>
          <w:rFonts w:ascii="Cambria" w:eastAsiaTheme="minorHAnsi" w:hAnsi="Cambria"/>
          <w:sz w:val="24"/>
          <w:szCs w:val="24"/>
          <w:lang w:val="sq-AL"/>
        </w:rPr>
        <w:t>;</w:t>
      </w:r>
    </w:p>
    <w:p w14:paraId="25D727D1" w14:textId="77777777" w:rsidR="00AE338B" w:rsidRDefault="00AE338B" w:rsidP="00954232">
      <w:pPr>
        <w:numPr>
          <w:ilvl w:val="0"/>
          <w:numId w:val="2"/>
        </w:numPr>
        <w:spacing w:after="0" w:line="276" w:lineRule="auto"/>
        <w:contextualSpacing/>
        <w:jc w:val="both"/>
        <w:rPr>
          <w:rFonts w:ascii="Cambria" w:eastAsiaTheme="minorHAnsi" w:hAnsi="Cambria"/>
          <w:sz w:val="24"/>
          <w:szCs w:val="24"/>
          <w:lang w:val="sq-AL"/>
        </w:rPr>
      </w:pPr>
      <w:r w:rsidRPr="00D04162">
        <w:rPr>
          <w:rFonts w:ascii="Cambria" w:eastAsiaTheme="minorHAnsi" w:hAnsi="Cambria"/>
          <w:sz w:val="24"/>
          <w:szCs w:val="24"/>
          <w:lang w:val="sq-AL"/>
        </w:rPr>
        <w:t>Shkurtimin e kohës mesatare së shpenzuar për 1 zhdoganim</w:t>
      </w:r>
      <w:r>
        <w:rPr>
          <w:rFonts w:ascii="Cambria" w:eastAsiaTheme="minorHAnsi" w:hAnsi="Cambria"/>
          <w:sz w:val="24"/>
          <w:szCs w:val="24"/>
          <w:lang w:val="sq-AL"/>
        </w:rPr>
        <w:t>.</w:t>
      </w:r>
      <w:r w:rsidRPr="00D04162">
        <w:rPr>
          <w:rFonts w:ascii="Cambria" w:eastAsiaTheme="minorHAnsi" w:hAnsi="Cambria"/>
          <w:sz w:val="24"/>
          <w:szCs w:val="24"/>
          <w:lang w:val="sq-AL"/>
        </w:rPr>
        <w:t xml:space="preserve"> </w:t>
      </w:r>
    </w:p>
    <w:p w14:paraId="2F7A6A44" w14:textId="77777777" w:rsidR="00AE338B" w:rsidRDefault="00AE338B" w:rsidP="00AE338B">
      <w:pPr>
        <w:spacing w:line="276" w:lineRule="auto"/>
        <w:jc w:val="both"/>
        <w:rPr>
          <w:rFonts w:ascii="Cambria" w:hAnsi="Cambria"/>
          <w:sz w:val="24"/>
          <w:szCs w:val="24"/>
          <w:lang w:val="sq-AL" w:eastAsia="sq-AL"/>
        </w:rPr>
      </w:pPr>
    </w:p>
    <w:p w14:paraId="1C3E97F4" w14:textId="77777777" w:rsidR="00AE338B" w:rsidRPr="00E24ECC" w:rsidRDefault="00AE338B" w:rsidP="00AE338B">
      <w:pPr>
        <w:spacing w:line="276" w:lineRule="auto"/>
        <w:jc w:val="both"/>
        <w:rPr>
          <w:rFonts w:ascii="Cambria" w:hAnsi="Cambria"/>
          <w:sz w:val="24"/>
          <w:szCs w:val="24"/>
          <w:lang w:val="sq-AL" w:eastAsia="sq-AL"/>
        </w:rPr>
      </w:pPr>
    </w:p>
    <w:p w14:paraId="63276C66" w14:textId="77777777" w:rsidR="00D9433C" w:rsidRPr="00E24ECC" w:rsidRDefault="00D9433C" w:rsidP="005B66E4">
      <w:pPr>
        <w:pStyle w:val="Heading1"/>
        <w:spacing w:line="276" w:lineRule="auto"/>
        <w:rPr>
          <w:rFonts w:ascii="Cambria" w:hAnsi="Cambria"/>
          <w:b/>
          <w:color w:val="auto"/>
          <w:szCs w:val="24"/>
          <w:lang w:val="sq-AL" w:eastAsia="sq-AL"/>
        </w:rPr>
      </w:pPr>
      <w:bookmarkStart w:id="1134" w:name="_Toc200704936"/>
      <w:r w:rsidRPr="00E24ECC">
        <w:rPr>
          <w:rFonts w:ascii="Cambria" w:hAnsi="Cambria"/>
          <w:b/>
          <w:color w:val="auto"/>
          <w:szCs w:val="24"/>
          <w:lang w:val="sq-AL"/>
        </w:rPr>
        <w:t>Anekse</w:t>
      </w:r>
      <w:bookmarkEnd w:id="1134"/>
    </w:p>
    <w:p w14:paraId="7A767F7C" w14:textId="77777777" w:rsidR="008D2C24" w:rsidRPr="00E24ECC" w:rsidRDefault="008D2C24" w:rsidP="005B66E4">
      <w:pPr>
        <w:spacing w:line="276" w:lineRule="auto"/>
        <w:jc w:val="both"/>
        <w:rPr>
          <w:rFonts w:ascii="Cambria" w:hAnsi="Cambria"/>
          <w:sz w:val="24"/>
          <w:szCs w:val="24"/>
          <w:lang w:val="sq-AL" w:eastAsia="sq-AL"/>
        </w:rPr>
      </w:pPr>
    </w:p>
    <w:p w14:paraId="2F05B09C" w14:textId="77777777" w:rsidR="00D9433C" w:rsidRPr="00E24ECC" w:rsidRDefault="00D9433C" w:rsidP="005B66E4">
      <w:pPr>
        <w:spacing w:line="276" w:lineRule="auto"/>
        <w:jc w:val="both"/>
        <w:rPr>
          <w:rFonts w:ascii="Cambria" w:hAnsi="Cambria"/>
          <w:sz w:val="24"/>
          <w:szCs w:val="24"/>
          <w:lang w:val="sq-AL" w:eastAsia="sq-AL"/>
        </w:rPr>
      </w:pPr>
      <w:r w:rsidRPr="00E24ECC">
        <w:rPr>
          <w:rFonts w:ascii="Cambria" w:hAnsi="Cambria"/>
          <w:sz w:val="24"/>
          <w:szCs w:val="24"/>
          <w:lang w:val="sq-AL" w:eastAsia="sq-AL"/>
        </w:rPr>
        <w:t>Bashkëlidhur këtij materiali gjendet informacioni i detajuar mbi kërkesat buxhetore të ministrive të linjës dhe institucioneve qendrore i strukturuar sipas katër anekseve mëposhtë:</w:t>
      </w:r>
    </w:p>
    <w:p w14:paraId="08550E31" w14:textId="41D01D10" w:rsidR="004F6BD8" w:rsidRPr="00E24ECC"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Aneksi nr.</w:t>
      </w:r>
      <w:r w:rsidR="004F6BD8" w:rsidRPr="00E24ECC">
        <w:rPr>
          <w:rFonts w:ascii="Cambria" w:hAnsi="Cambria"/>
          <w:b/>
          <w:i/>
          <w:sz w:val="24"/>
          <w:szCs w:val="24"/>
          <w:lang w:val="sq-AL" w:eastAsia="sq-AL"/>
        </w:rPr>
        <w:t xml:space="preserve"> 1</w:t>
      </w:r>
      <w:r w:rsidRPr="00E24ECC">
        <w:rPr>
          <w:rFonts w:ascii="Cambria" w:hAnsi="Cambria"/>
          <w:sz w:val="24"/>
          <w:szCs w:val="24"/>
          <w:lang w:val="sq-AL" w:eastAsia="sq-AL"/>
        </w:rPr>
        <w:t>:</w:t>
      </w:r>
      <w:r w:rsidRPr="00E24ECC">
        <w:rPr>
          <w:rFonts w:ascii="Cambria" w:hAnsi="Cambria"/>
          <w:sz w:val="24"/>
          <w:szCs w:val="24"/>
          <w:lang w:val="sq-AL" w:eastAsia="sq-AL"/>
        </w:rPr>
        <w:tab/>
      </w:r>
      <w:r w:rsidR="001D2AC6" w:rsidRPr="00E24ECC">
        <w:rPr>
          <w:rFonts w:ascii="Cambria" w:hAnsi="Cambria"/>
          <w:sz w:val="24"/>
          <w:szCs w:val="24"/>
          <w:lang w:val="sq-AL" w:eastAsia="sq-AL"/>
        </w:rPr>
        <w:t xml:space="preserve">“Kërkesat buxhetore </w:t>
      </w:r>
      <w:r w:rsidR="00201111" w:rsidRPr="00E24ECC">
        <w:rPr>
          <w:rFonts w:ascii="Cambria" w:hAnsi="Cambria"/>
          <w:sz w:val="24"/>
          <w:szCs w:val="24"/>
          <w:lang w:val="sq-AL" w:eastAsia="sq-AL"/>
        </w:rPr>
        <w:t>202</w:t>
      </w:r>
      <w:r w:rsidR="00AE338B">
        <w:rPr>
          <w:rFonts w:ascii="Cambria" w:hAnsi="Cambria"/>
          <w:sz w:val="24"/>
          <w:szCs w:val="24"/>
          <w:lang w:val="sq-AL" w:eastAsia="sq-AL"/>
        </w:rPr>
        <w:t>6</w:t>
      </w:r>
      <w:r w:rsidR="00201111" w:rsidRPr="00E24ECC">
        <w:rPr>
          <w:rFonts w:ascii="Cambria" w:hAnsi="Cambria"/>
          <w:sz w:val="24"/>
          <w:szCs w:val="24"/>
          <w:lang w:val="sq-AL" w:eastAsia="sq-AL"/>
        </w:rPr>
        <w:t>-202</w:t>
      </w:r>
      <w:r w:rsidR="00AE338B">
        <w:rPr>
          <w:rFonts w:ascii="Cambria" w:hAnsi="Cambria"/>
          <w:sz w:val="24"/>
          <w:szCs w:val="24"/>
          <w:lang w:val="sq-AL" w:eastAsia="sq-AL"/>
        </w:rPr>
        <w:t>8</w:t>
      </w:r>
      <w:r w:rsidR="00DF7BD1">
        <w:rPr>
          <w:rFonts w:ascii="Cambria" w:hAnsi="Cambria"/>
          <w:sz w:val="24"/>
          <w:szCs w:val="24"/>
          <w:lang w:val="sq-AL" w:eastAsia="sq-AL"/>
        </w:rPr>
        <w:t xml:space="preserve"> </w:t>
      </w:r>
      <w:r w:rsidR="004F6BD8" w:rsidRPr="00E24ECC">
        <w:rPr>
          <w:rFonts w:ascii="Cambria" w:hAnsi="Cambria"/>
          <w:sz w:val="24"/>
          <w:szCs w:val="24"/>
          <w:lang w:val="sq-AL" w:eastAsia="sq-AL"/>
        </w:rPr>
        <w:t>për çdo njësi të qeverisjes qendrore”, në të cilin paraqitet në mënyrë të përmbledhur informacioni i siguruar nga ministritë e linjës dhe institucionet qendrore lidhur me Kër</w:t>
      </w:r>
      <w:r w:rsidR="00295F45" w:rsidRPr="00E24ECC">
        <w:rPr>
          <w:rFonts w:ascii="Cambria" w:hAnsi="Cambria"/>
          <w:sz w:val="24"/>
          <w:szCs w:val="24"/>
          <w:lang w:val="sq-AL" w:eastAsia="sq-AL"/>
        </w:rPr>
        <w:t>kesat Buxhetore Afatmesme 202</w:t>
      </w:r>
      <w:r w:rsidR="00AE338B">
        <w:rPr>
          <w:rFonts w:ascii="Cambria" w:hAnsi="Cambria"/>
          <w:sz w:val="24"/>
          <w:szCs w:val="24"/>
          <w:lang w:val="sq-AL" w:eastAsia="sq-AL"/>
        </w:rPr>
        <w:t>6</w:t>
      </w:r>
      <w:r w:rsidR="004F6BD8" w:rsidRPr="00E24ECC">
        <w:rPr>
          <w:rFonts w:ascii="Cambria" w:hAnsi="Cambria"/>
          <w:sz w:val="24"/>
          <w:szCs w:val="24"/>
          <w:lang w:val="sq-AL" w:eastAsia="sq-AL"/>
        </w:rPr>
        <w:t>–</w:t>
      </w:r>
      <w:r w:rsidR="001D2AC6" w:rsidRPr="00E24ECC">
        <w:rPr>
          <w:rFonts w:ascii="Cambria" w:hAnsi="Cambria"/>
          <w:sz w:val="24"/>
          <w:szCs w:val="24"/>
          <w:lang w:val="sq-AL" w:eastAsia="sq-AL"/>
        </w:rPr>
        <w:t>202</w:t>
      </w:r>
      <w:r w:rsidR="00AE338B">
        <w:rPr>
          <w:rFonts w:ascii="Cambria" w:hAnsi="Cambria"/>
          <w:sz w:val="24"/>
          <w:szCs w:val="24"/>
          <w:lang w:val="sq-AL" w:eastAsia="sq-AL"/>
        </w:rPr>
        <w:t>8</w:t>
      </w:r>
      <w:r w:rsidR="004F6BD8" w:rsidRPr="00E24ECC">
        <w:rPr>
          <w:rFonts w:ascii="Cambria" w:hAnsi="Cambria"/>
          <w:sz w:val="24"/>
          <w:szCs w:val="24"/>
          <w:lang w:val="sq-AL" w:eastAsia="sq-AL"/>
        </w:rPr>
        <w:t>, të paraqitura në përputhje me tavanet për</w:t>
      </w:r>
      <w:r w:rsidR="00AE338B">
        <w:rPr>
          <w:rFonts w:ascii="Cambria" w:hAnsi="Cambria"/>
          <w:sz w:val="24"/>
          <w:szCs w:val="24"/>
          <w:lang w:val="sq-AL" w:eastAsia="sq-AL"/>
        </w:rPr>
        <w:t>gatitore</w:t>
      </w:r>
      <w:r w:rsidR="004F6BD8" w:rsidRPr="00E24ECC">
        <w:rPr>
          <w:rFonts w:ascii="Cambria" w:hAnsi="Cambria"/>
          <w:sz w:val="24"/>
          <w:szCs w:val="24"/>
          <w:lang w:val="sq-AL" w:eastAsia="sq-AL"/>
        </w:rPr>
        <w:t xml:space="preserve"> në nivel qëllimi të politikës, objektivave dhe produkteve për secilin prej p</w:t>
      </w:r>
      <w:r w:rsidR="001D2AC6" w:rsidRPr="00E24ECC">
        <w:rPr>
          <w:rFonts w:ascii="Cambria" w:hAnsi="Cambria"/>
          <w:sz w:val="24"/>
          <w:szCs w:val="24"/>
          <w:lang w:val="sq-AL" w:eastAsia="sq-AL"/>
        </w:rPr>
        <w:t>rogrameve të tyre për vitet 202</w:t>
      </w:r>
      <w:r w:rsidR="00AE338B">
        <w:rPr>
          <w:rFonts w:ascii="Cambria" w:hAnsi="Cambria"/>
          <w:sz w:val="24"/>
          <w:szCs w:val="24"/>
          <w:lang w:val="sq-AL" w:eastAsia="sq-AL"/>
        </w:rPr>
        <w:t>6</w:t>
      </w:r>
      <w:r w:rsidR="00276849" w:rsidRPr="00E24ECC">
        <w:rPr>
          <w:rFonts w:ascii="Cambria" w:hAnsi="Cambria"/>
          <w:sz w:val="24"/>
          <w:szCs w:val="24"/>
          <w:lang w:val="sq-AL" w:eastAsia="sq-AL"/>
        </w:rPr>
        <w:t xml:space="preserve">, </w:t>
      </w:r>
      <w:r w:rsidR="001D2AC6" w:rsidRPr="00E24ECC">
        <w:rPr>
          <w:rFonts w:ascii="Cambria" w:hAnsi="Cambria"/>
          <w:sz w:val="24"/>
          <w:szCs w:val="24"/>
          <w:lang w:val="sq-AL" w:eastAsia="sq-AL"/>
        </w:rPr>
        <w:t>202</w:t>
      </w:r>
      <w:r w:rsidR="00AE338B">
        <w:rPr>
          <w:rFonts w:ascii="Cambria" w:hAnsi="Cambria"/>
          <w:sz w:val="24"/>
          <w:szCs w:val="24"/>
          <w:lang w:val="sq-AL" w:eastAsia="sq-AL"/>
        </w:rPr>
        <w:t>7</w:t>
      </w:r>
      <w:r w:rsidR="00276849" w:rsidRPr="00E24ECC">
        <w:rPr>
          <w:rFonts w:ascii="Cambria" w:hAnsi="Cambria"/>
          <w:sz w:val="24"/>
          <w:szCs w:val="24"/>
          <w:lang w:val="sq-AL" w:eastAsia="sq-AL"/>
        </w:rPr>
        <w:t xml:space="preserve"> dhe </w:t>
      </w:r>
      <w:r w:rsidR="007E7ACD" w:rsidRPr="00E24ECC">
        <w:rPr>
          <w:rFonts w:ascii="Cambria" w:hAnsi="Cambria"/>
          <w:sz w:val="24"/>
          <w:szCs w:val="24"/>
          <w:lang w:val="sq-AL" w:eastAsia="sq-AL"/>
        </w:rPr>
        <w:t>202</w:t>
      </w:r>
      <w:r w:rsidR="00AE338B">
        <w:rPr>
          <w:rFonts w:ascii="Cambria" w:hAnsi="Cambria"/>
          <w:sz w:val="24"/>
          <w:szCs w:val="24"/>
          <w:lang w:val="sq-AL" w:eastAsia="sq-AL"/>
        </w:rPr>
        <w:t>8</w:t>
      </w:r>
      <w:r w:rsidRPr="00E24ECC">
        <w:rPr>
          <w:rFonts w:ascii="Cambria" w:hAnsi="Cambria"/>
          <w:sz w:val="24"/>
          <w:szCs w:val="24"/>
          <w:lang w:val="sq-AL" w:eastAsia="sq-AL"/>
        </w:rPr>
        <w:t>;</w:t>
      </w:r>
    </w:p>
    <w:p w14:paraId="420E2626" w14:textId="77777777" w:rsidR="001E6241" w:rsidRPr="00E24ECC"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 xml:space="preserve">Aneksi nr. 2: </w:t>
      </w:r>
      <w:r w:rsidRPr="00E24ECC">
        <w:rPr>
          <w:rFonts w:ascii="Cambria" w:hAnsi="Cambria"/>
          <w:b/>
          <w:i/>
          <w:sz w:val="24"/>
          <w:szCs w:val="24"/>
          <w:lang w:val="sq-AL" w:eastAsia="sq-AL"/>
        </w:rPr>
        <w:tab/>
        <w:t>“</w:t>
      </w:r>
      <w:r w:rsidR="001E6241" w:rsidRPr="00E24ECC">
        <w:rPr>
          <w:rFonts w:ascii="Cambria" w:hAnsi="Cambria"/>
          <w:sz w:val="24"/>
          <w:szCs w:val="24"/>
          <w:lang w:val="sq-AL" w:eastAsia="sq-AL"/>
        </w:rPr>
        <w:t>Buxhetimi i Përgjigjshëm Gjinor”;</w:t>
      </w:r>
    </w:p>
    <w:p w14:paraId="33DA4A0F" w14:textId="77777777" w:rsidR="00DD7795" w:rsidRPr="00E24ECC" w:rsidRDefault="00F03EF5"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Aneksi n</w:t>
      </w:r>
      <w:r w:rsidR="00AB7013" w:rsidRPr="00E24ECC">
        <w:rPr>
          <w:rFonts w:ascii="Cambria" w:hAnsi="Cambria"/>
          <w:b/>
          <w:i/>
          <w:sz w:val="24"/>
          <w:szCs w:val="24"/>
          <w:lang w:val="sq-AL" w:eastAsia="sq-AL"/>
        </w:rPr>
        <w:t>r</w:t>
      </w:r>
      <w:r w:rsidRPr="00E24ECC">
        <w:rPr>
          <w:rFonts w:ascii="Cambria" w:hAnsi="Cambria"/>
          <w:b/>
          <w:i/>
          <w:sz w:val="24"/>
          <w:szCs w:val="24"/>
          <w:lang w:val="sq-AL" w:eastAsia="sq-AL"/>
        </w:rPr>
        <w:t>.</w:t>
      </w:r>
      <w:r w:rsidR="00AB7013" w:rsidRPr="00E24ECC">
        <w:rPr>
          <w:rFonts w:ascii="Cambria" w:hAnsi="Cambria"/>
          <w:b/>
          <w:i/>
          <w:sz w:val="24"/>
          <w:szCs w:val="24"/>
          <w:lang w:val="sq-AL" w:eastAsia="sq-AL"/>
        </w:rPr>
        <w:t xml:space="preserve"> 3</w:t>
      </w:r>
      <w:r w:rsidRPr="00E24ECC">
        <w:rPr>
          <w:rFonts w:ascii="Cambria" w:hAnsi="Cambria"/>
          <w:b/>
          <w:i/>
          <w:sz w:val="24"/>
          <w:szCs w:val="24"/>
          <w:lang w:val="sq-AL" w:eastAsia="sq-AL"/>
        </w:rPr>
        <w:t xml:space="preserve">: </w:t>
      </w:r>
      <w:r w:rsidRPr="00E24ECC">
        <w:rPr>
          <w:rFonts w:ascii="Cambria" w:hAnsi="Cambria"/>
          <w:b/>
          <w:i/>
          <w:sz w:val="24"/>
          <w:szCs w:val="24"/>
          <w:lang w:val="sq-AL" w:eastAsia="sq-AL"/>
        </w:rPr>
        <w:tab/>
      </w:r>
      <w:r w:rsidR="00DD7795" w:rsidRPr="00E24ECC">
        <w:rPr>
          <w:rFonts w:ascii="Cambria" w:hAnsi="Cambria"/>
          <w:b/>
          <w:i/>
          <w:sz w:val="24"/>
          <w:szCs w:val="24"/>
          <w:lang w:val="sq-AL" w:eastAsia="sq-AL"/>
        </w:rPr>
        <w:t xml:space="preserve"> </w:t>
      </w:r>
      <w:r w:rsidR="00DD7795" w:rsidRPr="00E24ECC">
        <w:rPr>
          <w:rFonts w:ascii="Cambria" w:hAnsi="Cambria"/>
          <w:sz w:val="24"/>
          <w:szCs w:val="24"/>
          <w:lang w:val="sq-AL" w:eastAsia="sq-AL"/>
        </w:rPr>
        <w:t xml:space="preserve">“Transferta </w:t>
      </w:r>
      <w:r w:rsidR="00FA0246" w:rsidRPr="00E24ECC">
        <w:rPr>
          <w:rFonts w:ascii="Cambria" w:hAnsi="Cambria"/>
          <w:sz w:val="24"/>
          <w:szCs w:val="24"/>
          <w:lang w:val="sq-AL" w:eastAsia="sq-AL"/>
        </w:rPr>
        <w:t>ndaj njësive të vetëqeverisjes vendore”</w:t>
      </w:r>
      <w:r w:rsidRPr="00E24ECC">
        <w:rPr>
          <w:rFonts w:ascii="Cambria" w:hAnsi="Cambria"/>
          <w:sz w:val="24"/>
          <w:szCs w:val="24"/>
          <w:lang w:val="sq-AL" w:eastAsia="sq-AL"/>
        </w:rPr>
        <w:t>;</w:t>
      </w:r>
    </w:p>
    <w:p w14:paraId="4258B72B" w14:textId="36D58F53" w:rsidR="00B2102B" w:rsidRDefault="002406BA"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 xml:space="preserve">Aneksi nr.4 </w:t>
      </w:r>
      <w:r w:rsidRPr="00E24ECC">
        <w:rPr>
          <w:rFonts w:ascii="Cambria" w:hAnsi="Cambria"/>
          <w:sz w:val="24"/>
          <w:szCs w:val="24"/>
          <w:lang w:val="sq-AL" w:eastAsia="sq-AL"/>
        </w:rPr>
        <w:t>“K</w:t>
      </w:r>
      <w:r w:rsidR="00F16E95" w:rsidRPr="00E24ECC">
        <w:rPr>
          <w:rFonts w:ascii="Cambria" w:hAnsi="Cambria"/>
          <w:sz w:val="24"/>
          <w:szCs w:val="24"/>
          <w:lang w:val="sq-AL" w:eastAsia="sq-AL"/>
        </w:rPr>
        <w:t>ë</w:t>
      </w:r>
      <w:r w:rsidRPr="00E24ECC">
        <w:rPr>
          <w:rFonts w:ascii="Cambria" w:hAnsi="Cambria"/>
          <w:sz w:val="24"/>
          <w:szCs w:val="24"/>
          <w:lang w:val="sq-AL" w:eastAsia="sq-AL"/>
        </w:rPr>
        <w:t>rkesa shtes</w:t>
      </w:r>
      <w:r w:rsidR="00F16E95" w:rsidRPr="00E24ECC">
        <w:rPr>
          <w:rFonts w:ascii="Cambria" w:hAnsi="Cambria"/>
          <w:sz w:val="24"/>
          <w:szCs w:val="24"/>
          <w:lang w:val="sq-AL" w:eastAsia="sq-AL"/>
        </w:rPr>
        <w:t>ë</w:t>
      </w:r>
      <w:r w:rsidRPr="00E24ECC">
        <w:rPr>
          <w:rFonts w:ascii="Cambria" w:hAnsi="Cambria"/>
          <w:sz w:val="24"/>
          <w:szCs w:val="24"/>
          <w:lang w:val="sq-AL" w:eastAsia="sq-AL"/>
        </w:rPr>
        <w:t xml:space="preserve"> t</w:t>
      </w:r>
      <w:r w:rsidR="00F16E95" w:rsidRPr="00E24ECC">
        <w:rPr>
          <w:rFonts w:ascii="Cambria" w:hAnsi="Cambria"/>
          <w:sz w:val="24"/>
          <w:szCs w:val="24"/>
          <w:lang w:val="sq-AL" w:eastAsia="sq-AL"/>
        </w:rPr>
        <w:t>ë</w:t>
      </w:r>
      <w:r w:rsidRPr="00E24ECC">
        <w:rPr>
          <w:rFonts w:ascii="Cambria" w:hAnsi="Cambria"/>
          <w:sz w:val="24"/>
          <w:szCs w:val="24"/>
          <w:lang w:val="sq-AL" w:eastAsia="sq-AL"/>
        </w:rPr>
        <w:t xml:space="preserve"> paraqitura nga ministritë e linjës dhe institucionet qendrore”; </w:t>
      </w:r>
    </w:p>
    <w:p w14:paraId="6E1D7EC1" w14:textId="78ACFFD2" w:rsidR="00DF7BD1" w:rsidRPr="00E24ECC" w:rsidRDefault="00DF7BD1" w:rsidP="00954232">
      <w:pPr>
        <w:numPr>
          <w:ilvl w:val="0"/>
          <w:numId w:val="14"/>
        </w:numPr>
        <w:spacing w:line="276" w:lineRule="auto"/>
        <w:jc w:val="both"/>
        <w:rPr>
          <w:rFonts w:ascii="Cambria" w:hAnsi="Cambria"/>
          <w:sz w:val="24"/>
          <w:szCs w:val="24"/>
          <w:lang w:val="sq-AL" w:eastAsia="sq-AL"/>
        </w:rPr>
      </w:pPr>
      <w:r w:rsidRPr="00E24ECC">
        <w:rPr>
          <w:rFonts w:ascii="Cambria" w:hAnsi="Cambria"/>
          <w:b/>
          <w:i/>
          <w:sz w:val="24"/>
          <w:szCs w:val="24"/>
          <w:lang w:val="sq-AL" w:eastAsia="sq-AL"/>
        </w:rPr>
        <w:t>Aneksi nr.</w:t>
      </w:r>
      <w:r>
        <w:rPr>
          <w:rFonts w:ascii="Cambria" w:hAnsi="Cambria"/>
          <w:b/>
          <w:i/>
          <w:sz w:val="24"/>
          <w:szCs w:val="24"/>
          <w:lang w:val="sq-AL" w:eastAsia="sq-AL"/>
        </w:rPr>
        <w:t>5</w:t>
      </w:r>
      <w:r w:rsidRPr="00E24ECC">
        <w:rPr>
          <w:rFonts w:ascii="Cambria" w:hAnsi="Cambria"/>
          <w:b/>
          <w:i/>
          <w:sz w:val="24"/>
          <w:szCs w:val="24"/>
          <w:lang w:val="sq-AL" w:eastAsia="sq-AL"/>
        </w:rPr>
        <w:t xml:space="preserve"> </w:t>
      </w:r>
      <w:r w:rsidRPr="00E24ECC">
        <w:rPr>
          <w:rFonts w:ascii="Cambria" w:hAnsi="Cambria"/>
          <w:sz w:val="24"/>
          <w:szCs w:val="24"/>
          <w:lang w:val="sq-AL" w:eastAsia="sq-AL"/>
        </w:rPr>
        <w:t>“</w:t>
      </w:r>
      <w:r>
        <w:rPr>
          <w:rFonts w:ascii="Cambria" w:hAnsi="Cambria"/>
          <w:sz w:val="24"/>
          <w:szCs w:val="24"/>
          <w:lang w:val="sq-AL" w:eastAsia="sq-AL"/>
        </w:rPr>
        <w:t>Minutat e takimit me shoq</w:t>
      </w:r>
      <w:r w:rsidR="00E20FB6">
        <w:rPr>
          <w:rFonts w:ascii="Cambria" w:hAnsi="Cambria"/>
          <w:sz w:val="24"/>
          <w:szCs w:val="24"/>
          <w:lang w:val="sq-AL" w:eastAsia="sq-AL"/>
        </w:rPr>
        <w:t>ë</w:t>
      </w:r>
      <w:r>
        <w:rPr>
          <w:rFonts w:ascii="Cambria" w:hAnsi="Cambria"/>
          <w:sz w:val="24"/>
          <w:szCs w:val="24"/>
          <w:lang w:val="sq-AL" w:eastAsia="sq-AL"/>
        </w:rPr>
        <w:t>rin</w:t>
      </w:r>
      <w:r w:rsidR="00E20FB6">
        <w:rPr>
          <w:rFonts w:ascii="Cambria" w:hAnsi="Cambria"/>
          <w:sz w:val="24"/>
          <w:szCs w:val="24"/>
          <w:lang w:val="sq-AL" w:eastAsia="sq-AL"/>
        </w:rPr>
        <w:t>ë</w:t>
      </w:r>
      <w:r>
        <w:rPr>
          <w:rFonts w:ascii="Cambria" w:hAnsi="Cambria"/>
          <w:sz w:val="24"/>
          <w:szCs w:val="24"/>
          <w:lang w:val="sq-AL" w:eastAsia="sq-AL"/>
        </w:rPr>
        <w:t xml:space="preserve"> civile t</w:t>
      </w:r>
      <w:r w:rsidR="00E20FB6">
        <w:rPr>
          <w:rFonts w:ascii="Cambria" w:hAnsi="Cambria"/>
          <w:sz w:val="24"/>
          <w:szCs w:val="24"/>
          <w:lang w:val="sq-AL" w:eastAsia="sq-AL"/>
        </w:rPr>
        <w:t>ë</w:t>
      </w:r>
      <w:r>
        <w:rPr>
          <w:rFonts w:ascii="Cambria" w:hAnsi="Cambria"/>
          <w:sz w:val="24"/>
          <w:szCs w:val="24"/>
          <w:lang w:val="sq-AL" w:eastAsia="sq-AL"/>
        </w:rPr>
        <w:t xml:space="preserve"> Ministrive t</w:t>
      </w:r>
      <w:r w:rsidR="00E20FB6">
        <w:rPr>
          <w:rFonts w:ascii="Cambria" w:hAnsi="Cambria"/>
          <w:sz w:val="24"/>
          <w:szCs w:val="24"/>
          <w:lang w:val="sq-AL" w:eastAsia="sq-AL"/>
        </w:rPr>
        <w:t>ë</w:t>
      </w:r>
      <w:r>
        <w:rPr>
          <w:rFonts w:ascii="Cambria" w:hAnsi="Cambria"/>
          <w:sz w:val="24"/>
          <w:szCs w:val="24"/>
          <w:lang w:val="sq-AL" w:eastAsia="sq-AL"/>
        </w:rPr>
        <w:t xml:space="preserve"> Linj</w:t>
      </w:r>
      <w:r w:rsidR="00E20FB6">
        <w:rPr>
          <w:rFonts w:ascii="Cambria" w:hAnsi="Cambria"/>
          <w:sz w:val="24"/>
          <w:szCs w:val="24"/>
          <w:lang w:val="sq-AL" w:eastAsia="sq-AL"/>
        </w:rPr>
        <w:t>ë</w:t>
      </w:r>
      <w:r>
        <w:rPr>
          <w:rFonts w:ascii="Cambria" w:hAnsi="Cambria"/>
          <w:sz w:val="24"/>
          <w:szCs w:val="24"/>
          <w:lang w:val="sq-AL" w:eastAsia="sq-AL"/>
        </w:rPr>
        <w:t>s</w:t>
      </w:r>
      <w:r w:rsidRPr="00E24ECC">
        <w:rPr>
          <w:rFonts w:ascii="Cambria" w:hAnsi="Cambria"/>
          <w:sz w:val="24"/>
          <w:szCs w:val="24"/>
          <w:lang w:val="sq-AL" w:eastAsia="sq-AL"/>
        </w:rPr>
        <w:t xml:space="preserve">”; </w:t>
      </w:r>
    </w:p>
    <w:p w14:paraId="786FA518" w14:textId="77777777" w:rsidR="00DF7BD1" w:rsidRPr="00E24ECC" w:rsidRDefault="00DF7BD1" w:rsidP="00DF7BD1">
      <w:pPr>
        <w:spacing w:line="276" w:lineRule="auto"/>
        <w:ind w:left="720"/>
        <w:jc w:val="both"/>
        <w:rPr>
          <w:rFonts w:ascii="Cambria" w:hAnsi="Cambria"/>
          <w:sz w:val="24"/>
          <w:szCs w:val="24"/>
          <w:lang w:val="sq-AL" w:eastAsia="sq-AL"/>
        </w:rPr>
      </w:pPr>
    </w:p>
    <w:sectPr w:rsidR="00DF7BD1" w:rsidRPr="00E24ECC" w:rsidSect="00304C97">
      <w:footerReference w:type="default" r:id="rId45"/>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0A81" w14:textId="77777777" w:rsidR="00AB1A80" w:rsidRDefault="00AB1A80" w:rsidP="002C567D">
      <w:pPr>
        <w:spacing w:after="0" w:line="240" w:lineRule="auto"/>
      </w:pPr>
      <w:r>
        <w:separator/>
      </w:r>
    </w:p>
  </w:endnote>
  <w:endnote w:type="continuationSeparator" w:id="0">
    <w:p w14:paraId="5657D34D" w14:textId="77777777" w:rsidR="00AB1A80" w:rsidRDefault="00AB1A80"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99754"/>
      <w:docPartObj>
        <w:docPartGallery w:val="Page Numbers (Bottom of Page)"/>
        <w:docPartUnique/>
      </w:docPartObj>
    </w:sdtPr>
    <w:sdtEndPr>
      <w:rPr>
        <w:noProof/>
      </w:rPr>
    </w:sdtEndPr>
    <w:sdtContent>
      <w:p w14:paraId="7D240DAF" w14:textId="77777777" w:rsidR="009B3DF7" w:rsidRDefault="009B3DF7" w:rsidP="009B79CF">
        <w:pPr>
          <w:pStyle w:val="Footer"/>
        </w:pPr>
        <w:r>
          <w:tab/>
        </w:r>
        <w:r>
          <w:tab/>
        </w:r>
        <w:r>
          <w:fldChar w:fldCharType="begin"/>
        </w:r>
        <w:r>
          <w:instrText xml:space="preserve"> PAGE   \* MERGEFORMAT </w:instrText>
        </w:r>
        <w:r>
          <w:fldChar w:fldCharType="separate"/>
        </w:r>
        <w:r>
          <w:rPr>
            <w:noProof/>
          </w:rPr>
          <w:t>19</w:t>
        </w:r>
        <w:r>
          <w:rPr>
            <w:noProof/>
          </w:rPr>
          <w:fldChar w:fldCharType="end"/>
        </w:r>
      </w:p>
    </w:sdtContent>
  </w:sdt>
  <w:p w14:paraId="6B2DFB9E" w14:textId="77777777" w:rsidR="009B3DF7" w:rsidRDefault="009B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A951" w14:textId="77777777" w:rsidR="00AB1A80" w:rsidRDefault="00AB1A80" w:rsidP="002C567D">
      <w:pPr>
        <w:spacing w:after="0" w:line="240" w:lineRule="auto"/>
      </w:pPr>
      <w:r>
        <w:separator/>
      </w:r>
    </w:p>
  </w:footnote>
  <w:footnote w:type="continuationSeparator" w:id="0">
    <w:p w14:paraId="57D99B65" w14:textId="77777777" w:rsidR="00AB1A80" w:rsidRDefault="00AB1A80" w:rsidP="002C567D">
      <w:pPr>
        <w:spacing w:after="0" w:line="240" w:lineRule="auto"/>
      </w:pPr>
      <w:r>
        <w:continuationSeparator/>
      </w:r>
    </w:p>
  </w:footnote>
  <w:footnote w:id="1">
    <w:p w14:paraId="20AF6216" w14:textId="77777777" w:rsidR="000F4CF3" w:rsidRPr="00D3402E" w:rsidRDefault="000F4CF3" w:rsidP="000F4CF3">
      <w:pPr>
        <w:pStyle w:val="FootnoteText"/>
        <w:jc w:val="both"/>
        <w:rPr>
          <w:rFonts w:cstheme="minorHAnsi"/>
          <w:lang w:val="en-GB"/>
        </w:rPr>
      </w:pPr>
      <w:r w:rsidRPr="00D3402E">
        <w:rPr>
          <w:rStyle w:val="FootnoteReference"/>
          <w:rFonts w:cstheme="minorHAnsi"/>
        </w:rPr>
        <w:footnoteRef/>
      </w:r>
      <w:r w:rsidRPr="00D3402E">
        <w:rPr>
          <w:rFonts w:cstheme="minorHAnsi"/>
        </w:rPr>
        <w:t xml:space="preserve"> </w:t>
      </w:r>
      <w:r w:rsidRPr="00D3402E">
        <w:rPr>
          <w:rFonts w:cstheme="minorHAnsi"/>
          <w:lang w:val="sq-AL"/>
        </w:rPr>
        <w:t xml:space="preserve">Rregulli origjinal sanksiononte “që prej 2023”, por më pas kjo u ndryshua sërish në Korrik të 2021 dhe u bë “që prej  2024”.  </w:t>
      </w:r>
    </w:p>
  </w:footnote>
  <w:footnote w:id="2">
    <w:p w14:paraId="7AA46BF7" w14:textId="77777777" w:rsidR="000F4CF3" w:rsidRPr="003506CA" w:rsidRDefault="000F4CF3" w:rsidP="000F4CF3">
      <w:pPr>
        <w:pStyle w:val="FootnoteText"/>
        <w:rPr>
          <w:lang w:val="it-IT"/>
        </w:rPr>
      </w:pPr>
      <w:r w:rsidRPr="00C8304A">
        <w:rPr>
          <w:rStyle w:val="FootnoteReference"/>
        </w:rPr>
        <w:footnoteRef/>
      </w:r>
      <w:r w:rsidRPr="003506CA">
        <w:rPr>
          <w:lang w:val="it-IT"/>
        </w:rPr>
        <w:t xml:space="preserve"> Sipas vlerësimeve të EUROSTAT – Tremujori </w:t>
      </w:r>
      <w:r>
        <w:rPr>
          <w:lang w:val="it-IT"/>
        </w:rPr>
        <w:t>i</w:t>
      </w:r>
      <w:r w:rsidRPr="003506CA">
        <w:rPr>
          <w:lang w:val="it-IT"/>
        </w:rPr>
        <w:t xml:space="preserve"> pare 202</w:t>
      </w:r>
      <w:r>
        <w:rPr>
          <w:lang w:val="it-IT"/>
        </w:rPr>
        <w:t>5</w:t>
      </w:r>
      <w:r w:rsidRPr="003506CA">
        <w:rPr>
          <w:lang w:val="it-IT"/>
        </w:rPr>
        <w:t xml:space="preserve"> (botuar më 15 Maj 202</w:t>
      </w:r>
      <w:r>
        <w:rPr>
          <w:lang w:val="it-IT"/>
        </w:rPr>
        <w:t>5</w:t>
      </w:r>
      <w:r w:rsidRPr="003506CA">
        <w:rPr>
          <w:lang w:val="it-IT"/>
        </w:rPr>
        <w:t>)</w:t>
      </w:r>
    </w:p>
  </w:footnote>
  <w:footnote w:id="3">
    <w:p w14:paraId="10CED97F" w14:textId="77777777" w:rsidR="000F4CF3" w:rsidRPr="003506CA" w:rsidRDefault="000F4CF3" w:rsidP="000F4CF3">
      <w:pPr>
        <w:pStyle w:val="FootnoteText"/>
        <w:rPr>
          <w:lang w:val="it-IT"/>
        </w:rPr>
      </w:pPr>
      <w:r w:rsidRPr="001378DC">
        <w:rPr>
          <w:rStyle w:val="FootnoteReference"/>
        </w:rPr>
        <w:footnoteRef/>
      </w:r>
      <w:r w:rsidRPr="003506CA">
        <w:rPr>
          <w:lang w:val="it-IT"/>
        </w:rPr>
        <w:t xml:space="preserve"> Sipas vlerësimeve të EUROSTAT – Inflacioni vjetor në Eurozonë (botuar më 1</w:t>
      </w:r>
      <w:r>
        <w:rPr>
          <w:lang w:val="it-IT"/>
        </w:rPr>
        <w:t>9</w:t>
      </w:r>
      <w:r w:rsidRPr="003506CA">
        <w:rPr>
          <w:lang w:val="it-IT"/>
        </w:rPr>
        <w:t xml:space="preserve"> Maj 202</w:t>
      </w:r>
      <w:r>
        <w:rPr>
          <w:lang w:val="it-IT"/>
        </w:rPr>
        <w:t>5</w:t>
      </w:r>
      <w:r w:rsidRPr="003506CA">
        <w:rPr>
          <w:lang w:val="it-IT"/>
        </w:rPr>
        <w:t>)</w:t>
      </w:r>
    </w:p>
  </w:footnote>
  <w:footnote w:id="4">
    <w:p w14:paraId="6A7A8CDD" w14:textId="77777777" w:rsidR="000F4CF3" w:rsidRPr="003506CA" w:rsidRDefault="000F4CF3" w:rsidP="000F4CF3">
      <w:pPr>
        <w:pStyle w:val="FootnoteText"/>
        <w:rPr>
          <w:lang w:val="it-IT"/>
        </w:rPr>
      </w:pPr>
      <w:r>
        <w:rPr>
          <w:rStyle w:val="FootnoteReference"/>
        </w:rPr>
        <w:footnoteRef/>
      </w:r>
      <w:r w:rsidRPr="003506CA">
        <w:rPr>
          <w:lang w:val="it-IT"/>
        </w:rPr>
        <w:t xml:space="preserve"> Sipas vlerësimit të Bankës Qendrore Evropiane – (botuar në  </w:t>
      </w:r>
      <w:r>
        <w:rPr>
          <w:lang w:val="it-IT"/>
        </w:rPr>
        <w:t>6 Mars</w:t>
      </w:r>
      <w:r w:rsidRPr="003506CA">
        <w:rPr>
          <w:lang w:val="it-IT"/>
        </w:rPr>
        <w:t xml:space="preserve"> 202</w:t>
      </w:r>
      <w:r>
        <w:rPr>
          <w:lang w:val="it-IT"/>
        </w:rPr>
        <w:t>5</w:t>
      </w:r>
      <w:r w:rsidRPr="003506CA">
        <w:rPr>
          <w:lang w:val="it-IT"/>
        </w:rPr>
        <w:t>)</w:t>
      </w:r>
    </w:p>
  </w:footnote>
  <w:footnote w:id="5">
    <w:p w14:paraId="7A7AEF2C" w14:textId="77777777" w:rsidR="000F4CF3" w:rsidRPr="002E724F" w:rsidRDefault="000F4CF3" w:rsidP="000F4CF3">
      <w:pPr>
        <w:pStyle w:val="FootnoteText"/>
        <w:jc w:val="both"/>
        <w:rPr>
          <w:lang w:val="it-IT"/>
        </w:rPr>
      </w:pPr>
      <w:r w:rsidRPr="008D1485">
        <w:rPr>
          <w:rStyle w:val="FootnoteReference"/>
          <w:rFonts w:cstheme="minorHAnsi"/>
        </w:rPr>
        <w:footnoteRef/>
      </w:r>
      <w:r w:rsidRPr="002E724F">
        <w:rPr>
          <w:rFonts w:cstheme="minorHAnsi"/>
          <w:lang w:val="it-IT"/>
        </w:rPr>
        <w:t xml:space="preserve"> Analiza e zhvillimeve ekonomike në ketë seksion, bazohet në statistikat/informacionin më të fundit zyrtar të disponueshëm, në momentin e hartimit të këtij raporti.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EE6"/>
    <w:multiLevelType w:val="multilevel"/>
    <w:tmpl w:val="946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D460A"/>
    <w:multiLevelType w:val="hybridMultilevel"/>
    <w:tmpl w:val="4E5C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A61AA"/>
    <w:multiLevelType w:val="multilevel"/>
    <w:tmpl w:val="1F8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76A4C"/>
    <w:multiLevelType w:val="multilevel"/>
    <w:tmpl w:val="45D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E5674"/>
    <w:multiLevelType w:val="multilevel"/>
    <w:tmpl w:val="E258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C630D"/>
    <w:multiLevelType w:val="multilevel"/>
    <w:tmpl w:val="547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96DE7"/>
    <w:multiLevelType w:val="multilevel"/>
    <w:tmpl w:val="FB0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0BCD75B2"/>
    <w:multiLevelType w:val="multilevel"/>
    <w:tmpl w:val="E74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101CF"/>
    <w:multiLevelType w:val="hybridMultilevel"/>
    <w:tmpl w:val="31AC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15A9200C"/>
    <w:multiLevelType w:val="multilevel"/>
    <w:tmpl w:val="38FE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6E40DC"/>
    <w:multiLevelType w:val="hybridMultilevel"/>
    <w:tmpl w:val="1006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E84002"/>
    <w:multiLevelType w:val="hybridMultilevel"/>
    <w:tmpl w:val="B8564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060C9"/>
    <w:multiLevelType w:val="multilevel"/>
    <w:tmpl w:val="7154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83387E"/>
    <w:multiLevelType w:val="hybridMultilevel"/>
    <w:tmpl w:val="0A4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0"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75489A"/>
    <w:multiLevelType w:val="hybridMultilevel"/>
    <w:tmpl w:val="BBA098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E788F"/>
    <w:multiLevelType w:val="multilevel"/>
    <w:tmpl w:val="905E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4B46FB"/>
    <w:multiLevelType w:val="multilevel"/>
    <w:tmpl w:val="90E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6" w15:restartNumberingAfterBreak="0">
    <w:nsid w:val="37BF604E"/>
    <w:multiLevelType w:val="multilevel"/>
    <w:tmpl w:val="924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D74B8"/>
    <w:multiLevelType w:val="multilevel"/>
    <w:tmpl w:val="17D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B25A85"/>
    <w:multiLevelType w:val="hybridMultilevel"/>
    <w:tmpl w:val="D9AA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30709"/>
    <w:multiLevelType w:val="multilevel"/>
    <w:tmpl w:val="17D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5E1D3D"/>
    <w:multiLevelType w:val="multilevel"/>
    <w:tmpl w:val="ABCC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DF24D8"/>
    <w:multiLevelType w:val="multilevel"/>
    <w:tmpl w:val="590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226B29"/>
    <w:multiLevelType w:val="hybridMultilevel"/>
    <w:tmpl w:val="A1502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F850AF"/>
    <w:multiLevelType w:val="multilevel"/>
    <w:tmpl w:val="0BAA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567973"/>
    <w:multiLevelType w:val="multilevel"/>
    <w:tmpl w:val="14D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C911BF"/>
    <w:multiLevelType w:val="multilevel"/>
    <w:tmpl w:val="16C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7B7A85"/>
    <w:multiLevelType w:val="hybridMultilevel"/>
    <w:tmpl w:val="9FDAF5F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D62FA7"/>
    <w:multiLevelType w:val="multilevel"/>
    <w:tmpl w:val="934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612DB8"/>
    <w:multiLevelType w:val="multilevel"/>
    <w:tmpl w:val="403E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ED6DC4"/>
    <w:multiLevelType w:val="multilevel"/>
    <w:tmpl w:val="87D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3D4B1C"/>
    <w:multiLevelType w:val="multilevel"/>
    <w:tmpl w:val="81F8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7" w15:restartNumberingAfterBreak="0">
    <w:nsid w:val="5AAC5457"/>
    <w:multiLevelType w:val="multilevel"/>
    <w:tmpl w:val="C608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462727"/>
    <w:multiLevelType w:val="multilevel"/>
    <w:tmpl w:val="5EF0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530BD2"/>
    <w:multiLevelType w:val="multilevel"/>
    <w:tmpl w:val="37D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B1431D"/>
    <w:multiLevelType w:val="multilevel"/>
    <w:tmpl w:val="B4D01B5E"/>
    <w:lvl w:ilvl="0">
      <w:start w:val="1"/>
      <w:numFmt w:val="decimal"/>
      <w:pStyle w:val="Heading1"/>
      <w:lvlText w:val="%1"/>
      <w:lvlJc w:val="left"/>
      <w:pPr>
        <w:ind w:left="432" w:hanging="432"/>
      </w:pPr>
      <w:rPr>
        <w:rFonts w:ascii="Cambria" w:hAnsi="Cambria" w:hint="default"/>
        <w:sz w:val="28"/>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1111A4E"/>
    <w:multiLevelType w:val="multilevel"/>
    <w:tmpl w:val="B23E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2A11074"/>
    <w:multiLevelType w:val="hybridMultilevel"/>
    <w:tmpl w:val="2322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9D16C5"/>
    <w:multiLevelType w:val="hybridMultilevel"/>
    <w:tmpl w:val="8154FA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5"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0F30C4"/>
    <w:multiLevelType w:val="hybridMultilevel"/>
    <w:tmpl w:val="0B480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7" w15:restartNumberingAfterBreak="0">
    <w:nsid w:val="6A3003F1"/>
    <w:multiLevelType w:val="hybridMultilevel"/>
    <w:tmpl w:val="A8A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516675"/>
    <w:multiLevelType w:val="hybridMultilevel"/>
    <w:tmpl w:val="AD88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8121F"/>
    <w:multiLevelType w:val="hybridMultilevel"/>
    <w:tmpl w:val="B208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445247"/>
    <w:multiLevelType w:val="multilevel"/>
    <w:tmpl w:val="44C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3E6E81"/>
    <w:multiLevelType w:val="hybridMultilevel"/>
    <w:tmpl w:val="462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1432F8"/>
    <w:multiLevelType w:val="hybridMultilevel"/>
    <w:tmpl w:val="49827A8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C05914"/>
    <w:multiLevelType w:val="multilevel"/>
    <w:tmpl w:val="0C7E9ED8"/>
    <w:lvl w:ilvl="0">
      <w:start w:val="3"/>
      <w:numFmt w:val="decimal"/>
      <w:lvlText w:val="%1."/>
      <w:lvlJc w:val="left"/>
      <w:pPr>
        <w:ind w:left="720" w:hanging="720"/>
      </w:pPr>
      <w:rPr>
        <w:rFonts w:hint="default"/>
        <w:b/>
        <w:color w:val="auto"/>
        <w:sz w:val="22"/>
      </w:rPr>
    </w:lvl>
    <w:lvl w:ilvl="1">
      <w:start w:val="10"/>
      <w:numFmt w:val="decimal"/>
      <w:lvlText w:val="%1.%2."/>
      <w:lvlJc w:val="left"/>
      <w:pPr>
        <w:ind w:left="720" w:hanging="720"/>
      </w:pPr>
      <w:rPr>
        <w:rFonts w:hint="default"/>
        <w:b/>
        <w:color w:val="auto"/>
        <w:sz w:val="22"/>
      </w:rPr>
    </w:lvl>
    <w:lvl w:ilvl="2">
      <w:start w:val="2"/>
      <w:numFmt w:val="decimal"/>
      <w:lvlText w:val="%1.9.%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66" w15:restartNumberingAfterBreak="0">
    <w:nsid w:val="7549339E"/>
    <w:multiLevelType w:val="hybridMultilevel"/>
    <w:tmpl w:val="7F9C0E64"/>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764508A4"/>
    <w:multiLevelType w:val="multilevel"/>
    <w:tmpl w:val="54F2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6C257C"/>
    <w:multiLevelType w:val="hybridMultilevel"/>
    <w:tmpl w:val="684A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FB752EC"/>
    <w:multiLevelType w:val="multilevel"/>
    <w:tmpl w:val="FD0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806269">
    <w:abstractNumId w:val="58"/>
  </w:num>
  <w:num w:numId="2" w16cid:durableId="1138261586">
    <w:abstractNumId w:val="11"/>
  </w:num>
  <w:num w:numId="3" w16cid:durableId="1543444855">
    <w:abstractNumId w:val="23"/>
  </w:num>
  <w:num w:numId="4" w16cid:durableId="732046629">
    <w:abstractNumId w:val="1"/>
  </w:num>
  <w:num w:numId="5" w16cid:durableId="202407222">
    <w:abstractNumId w:val="21"/>
  </w:num>
  <w:num w:numId="6" w16cid:durableId="506752206">
    <w:abstractNumId w:val="52"/>
  </w:num>
  <w:num w:numId="7" w16cid:durableId="1006788330">
    <w:abstractNumId w:val="63"/>
  </w:num>
  <w:num w:numId="8" w16cid:durableId="806356805">
    <w:abstractNumId w:val="69"/>
  </w:num>
  <w:num w:numId="9" w16cid:durableId="262996320">
    <w:abstractNumId w:val="19"/>
  </w:num>
  <w:num w:numId="10" w16cid:durableId="758596424">
    <w:abstractNumId w:val="25"/>
  </w:num>
  <w:num w:numId="11" w16cid:durableId="403259229">
    <w:abstractNumId w:val="61"/>
  </w:num>
  <w:num w:numId="12" w16cid:durableId="357005569">
    <w:abstractNumId w:val="50"/>
  </w:num>
  <w:num w:numId="13" w16cid:durableId="474369612">
    <w:abstractNumId w:val="50"/>
  </w:num>
  <w:num w:numId="14" w16cid:durableId="645551181">
    <w:abstractNumId w:val="27"/>
  </w:num>
  <w:num w:numId="15" w16cid:durableId="1196506748">
    <w:abstractNumId w:val="50"/>
    <w:lvlOverride w:ilvl="0">
      <w:startOverride w:val="3"/>
    </w:lvlOverride>
    <w:lvlOverride w:ilvl="1">
      <w:startOverride w:val="6"/>
    </w:lvlOverride>
  </w:num>
  <w:num w:numId="16" w16cid:durableId="252788746">
    <w:abstractNumId w:val="50"/>
    <w:lvlOverride w:ilvl="0">
      <w:startOverride w:val="3"/>
    </w:lvlOverride>
    <w:lvlOverride w:ilvl="1">
      <w:startOverride w:val="9"/>
    </w:lvlOverride>
  </w:num>
  <w:num w:numId="17" w16cid:durableId="1492333219">
    <w:abstractNumId w:val="37"/>
  </w:num>
  <w:num w:numId="18" w16cid:durableId="293295177">
    <w:abstractNumId w:val="16"/>
  </w:num>
  <w:num w:numId="19" w16cid:durableId="319696493">
    <w:abstractNumId w:val="64"/>
  </w:num>
  <w:num w:numId="20" w16cid:durableId="456803083">
    <w:abstractNumId w:val="8"/>
  </w:num>
  <w:num w:numId="21" w16cid:durableId="204028061">
    <w:abstractNumId w:val="20"/>
  </w:num>
  <w:num w:numId="22" w16cid:durableId="1016540460">
    <w:abstractNumId w:val="55"/>
  </w:num>
  <w:num w:numId="23" w16cid:durableId="1147429001">
    <w:abstractNumId w:val="34"/>
  </w:num>
  <w:num w:numId="24" w16cid:durableId="1576433953">
    <w:abstractNumId w:val="41"/>
  </w:num>
  <w:num w:numId="25" w16cid:durableId="1545290018">
    <w:abstractNumId w:val="28"/>
  </w:num>
  <w:num w:numId="26" w16cid:durableId="491064304">
    <w:abstractNumId w:val="46"/>
  </w:num>
  <w:num w:numId="27" w16cid:durableId="761149123">
    <w:abstractNumId w:val="56"/>
  </w:num>
  <w:num w:numId="28" w16cid:durableId="1125847982">
    <w:abstractNumId w:val="54"/>
  </w:num>
  <w:num w:numId="29" w16cid:durableId="99836833">
    <w:abstractNumId w:val="15"/>
  </w:num>
  <w:num w:numId="30" w16cid:durableId="449321226">
    <w:abstractNumId w:val="2"/>
  </w:num>
  <w:num w:numId="31" w16cid:durableId="734083164">
    <w:abstractNumId w:val="65"/>
  </w:num>
  <w:num w:numId="32" w16cid:durableId="1643005083">
    <w:abstractNumId w:val="66"/>
  </w:num>
  <w:num w:numId="33" w16cid:durableId="316961001">
    <w:abstractNumId w:val="14"/>
  </w:num>
  <w:num w:numId="34" w16cid:durableId="1382363807">
    <w:abstractNumId w:val="57"/>
  </w:num>
  <w:num w:numId="35" w16cid:durableId="1975062645">
    <w:abstractNumId w:val="68"/>
  </w:num>
  <w:num w:numId="36" w16cid:durableId="191958971">
    <w:abstractNumId w:val="53"/>
  </w:num>
  <w:num w:numId="37" w16cid:durableId="1966082369">
    <w:abstractNumId w:val="30"/>
  </w:num>
  <w:num w:numId="38" w16cid:durableId="332688605">
    <w:abstractNumId w:val="13"/>
  </w:num>
  <w:num w:numId="39" w16cid:durableId="380597307">
    <w:abstractNumId w:val="40"/>
  </w:num>
  <w:num w:numId="40" w16cid:durableId="2075543956">
    <w:abstractNumId w:val="62"/>
  </w:num>
  <w:num w:numId="41" w16cid:durableId="1968733223">
    <w:abstractNumId w:val="35"/>
  </w:num>
  <w:num w:numId="42" w16cid:durableId="281619112">
    <w:abstractNumId w:val="70"/>
  </w:num>
  <w:num w:numId="43" w16cid:durableId="27686423">
    <w:abstractNumId w:val="47"/>
  </w:num>
  <w:num w:numId="44" w16cid:durableId="27801323">
    <w:abstractNumId w:val="45"/>
  </w:num>
  <w:num w:numId="45" w16cid:durableId="1604991665">
    <w:abstractNumId w:val="22"/>
  </w:num>
  <w:num w:numId="46" w16cid:durableId="692924651">
    <w:abstractNumId w:val="5"/>
  </w:num>
  <w:num w:numId="47" w16cid:durableId="846404835">
    <w:abstractNumId w:val="36"/>
  </w:num>
  <w:num w:numId="48" w16cid:durableId="1309900597">
    <w:abstractNumId w:val="26"/>
  </w:num>
  <w:num w:numId="49" w16cid:durableId="1473257966">
    <w:abstractNumId w:val="31"/>
  </w:num>
  <w:num w:numId="50" w16cid:durableId="283193317">
    <w:abstractNumId w:val="7"/>
  </w:num>
  <w:num w:numId="51" w16cid:durableId="1517772642">
    <w:abstractNumId w:val="0"/>
  </w:num>
  <w:num w:numId="52" w16cid:durableId="1206019881">
    <w:abstractNumId w:val="44"/>
  </w:num>
  <w:num w:numId="53" w16cid:durableId="209265829">
    <w:abstractNumId w:val="29"/>
  </w:num>
  <w:num w:numId="54" w16cid:durableId="496847405">
    <w:abstractNumId w:val="33"/>
  </w:num>
  <w:num w:numId="55" w16cid:durableId="1480339021">
    <w:abstractNumId w:val="67"/>
  </w:num>
  <w:num w:numId="56" w16cid:durableId="1103069157">
    <w:abstractNumId w:val="51"/>
  </w:num>
  <w:num w:numId="57" w16cid:durableId="1151992570">
    <w:abstractNumId w:val="4"/>
  </w:num>
  <w:num w:numId="58" w16cid:durableId="493883001">
    <w:abstractNumId w:val="12"/>
  </w:num>
  <w:num w:numId="59" w16cid:durableId="547569785">
    <w:abstractNumId w:val="17"/>
  </w:num>
  <w:num w:numId="60" w16cid:durableId="1119564650">
    <w:abstractNumId w:val="3"/>
  </w:num>
  <w:num w:numId="61" w16cid:durableId="1415201484">
    <w:abstractNumId w:val="24"/>
  </w:num>
  <w:num w:numId="62" w16cid:durableId="707071450">
    <w:abstractNumId w:val="48"/>
  </w:num>
  <w:num w:numId="63" w16cid:durableId="1673489331">
    <w:abstractNumId w:val="39"/>
  </w:num>
  <w:num w:numId="64" w16cid:durableId="1399941356">
    <w:abstractNumId w:val="38"/>
  </w:num>
  <w:num w:numId="65" w16cid:durableId="2121139975">
    <w:abstractNumId w:val="42"/>
  </w:num>
  <w:num w:numId="66" w16cid:durableId="1801922436">
    <w:abstractNumId w:val="49"/>
  </w:num>
  <w:num w:numId="67" w16cid:durableId="1721513521">
    <w:abstractNumId w:val="32"/>
  </w:num>
  <w:num w:numId="68" w16cid:durableId="282658461">
    <w:abstractNumId w:val="6"/>
  </w:num>
  <w:num w:numId="69" w16cid:durableId="872696264">
    <w:abstractNumId w:val="9"/>
  </w:num>
  <w:num w:numId="70" w16cid:durableId="683241817">
    <w:abstractNumId w:val="60"/>
  </w:num>
  <w:num w:numId="71" w16cid:durableId="147477611">
    <w:abstractNumId w:val="43"/>
  </w:num>
  <w:num w:numId="72" w16cid:durableId="1394309784">
    <w:abstractNumId w:val="59"/>
  </w:num>
  <w:num w:numId="73" w16cid:durableId="1428118851">
    <w:abstractNumId w:val="18"/>
  </w:num>
  <w:num w:numId="74" w16cid:durableId="1971862595">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3"/>
    <w:rsid w:val="00000EA1"/>
    <w:rsid w:val="000028F9"/>
    <w:rsid w:val="00004FF4"/>
    <w:rsid w:val="00005E5E"/>
    <w:rsid w:val="00005EE8"/>
    <w:rsid w:val="00011CC7"/>
    <w:rsid w:val="00013E9A"/>
    <w:rsid w:val="00013F3F"/>
    <w:rsid w:val="00021524"/>
    <w:rsid w:val="000232B2"/>
    <w:rsid w:val="00025AC5"/>
    <w:rsid w:val="00025DD5"/>
    <w:rsid w:val="00026B3F"/>
    <w:rsid w:val="0002767A"/>
    <w:rsid w:val="00032E7D"/>
    <w:rsid w:val="00034019"/>
    <w:rsid w:val="00034C18"/>
    <w:rsid w:val="00034D99"/>
    <w:rsid w:val="000353B5"/>
    <w:rsid w:val="00036D11"/>
    <w:rsid w:val="00037B71"/>
    <w:rsid w:val="000440F2"/>
    <w:rsid w:val="00045D8D"/>
    <w:rsid w:val="00046B8F"/>
    <w:rsid w:val="00046CE4"/>
    <w:rsid w:val="00046F43"/>
    <w:rsid w:val="000475B1"/>
    <w:rsid w:val="00050ED5"/>
    <w:rsid w:val="00052463"/>
    <w:rsid w:val="0005354D"/>
    <w:rsid w:val="00053F5F"/>
    <w:rsid w:val="00054B6A"/>
    <w:rsid w:val="0005616B"/>
    <w:rsid w:val="00062D55"/>
    <w:rsid w:val="00062F84"/>
    <w:rsid w:val="0006419C"/>
    <w:rsid w:val="0006675D"/>
    <w:rsid w:val="000703EA"/>
    <w:rsid w:val="00070877"/>
    <w:rsid w:val="00085F1A"/>
    <w:rsid w:val="00086998"/>
    <w:rsid w:val="00091245"/>
    <w:rsid w:val="000918F0"/>
    <w:rsid w:val="00093452"/>
    <w:rsid w:val="00094CAB"/>
    <w:rsid w:val="000950C4"/>
    <w:rsid w:val="00097E12"/>
    <w:rsid w:val="000A19C9"/>
    <w:rsid w:val="000A4AEB"/>
    <w:rsid w:val="000A5314"/>
    <w:rsid w:val="000A7E56"/>
    <w:rsid w:val="000B198B"/>
    <w:rsid w:val="000B396A"/>
    <w:rsid w:val="000B7D61"/>
    <w:rsid w:val="000C571F"/>
    <w:rsid w:val="000D17E8"/>
    <w:rsid w:val="000D1D26"/>
    <w:rsid w:val="000D4B11"/>
    <w:rsid w:val="000D5696"/>
    <w:rsid w:val="000D6665"/>
    <w:rsid w:val="000E2D1E"/>
    <w:rsid w:val="000E30BB"/>
    <w:rsid w:val="000E6183"/>
    <w:rsid w:val="000F0ADE"/>
    <w:rsid w:val="000F34EC"/>
    <w:rsid w:val="000F4CF3"/>
    <w:rsid w:val="000F62DD"/>
    <w:rsid w:val="001003FE"/>
    <w:rsid w:val="00100B6D"/>
    <w:rsid w:val="00101579"/>
    <w:rsid w:val="00102017"/>
    <w:rsid w:val="00103CE4"/>
    <w:rsid w:val="00105E0A"/>
    <w:rsid w:val="00106509"/>
    <w:rsid w:val="00111D17"/>
    <w:rsid w:val="00112463"/>
    <w:rsid w:val="001128BB"/>
    <w:rsid w:val="00113F47"/>
    <w:rsid w:val="00116F1B"/>
    <w:rsid w:val="001209F6"/>
    <w:rsid w:val="00123073"/>
    <w:rsid w:val="001233A6"/>
    <w:rsid w:val="00125F43"/>
    <w:rsid w:val="0012634D"/>
    <w:rsid w:val="001266C9"/>
    <w:rsid w:val="00127E4C"/>
    <w:rsid w:val="00131D5D"/>
    <w:rsid w:val="00133BC0"/>
    <w:rsid w:val="001342AE"/>
    <w:rsid w:val="0013465C"/>
    <w:rsid w:val="001378EB"/>
    <w:rsid w:val="00143BFA"/>
    <w:rsid w:val="001449B8"/>
    <w:rsid w:val="001479FD"/>
    <w:rsid w:val="00151678"/>
    <w:rsid w:val="00152490"/>
    <w:rsid w:val="0015394D"/>
    <w:rsid w:val="001561DF"/>
    <w:rsid w:val="00161624"/>
    <w:rsid w:val="0016200E"/>
    <w:rsid w:val="001626AA"/>
    <w:rsid w:val="00163061"/>
    <w:rsid w:val="00163849"/>
    <w:rsid w:val="001641AA"/>
    <w:rsid w:val="00172503"/>
    <w:rsid w:val="00173B87"/>
    <w:rsid w:val="00174A05"/>
    <w:rsid w:val="00174CFE"/>
    <w:rsid w:val="00182426"/>
    <w:rsid w:val="001846C0"/>
    <w:rsid w:val="00185105"/>
    <w:rsid w:val="001866D8"/>
    <w:rsid w:val="00187BB6"/>
    <w:rsid w:val="00194D04"/>
    <w:rsid w:val="001A500B"/>
    <w:rsid w:val="001A782C"/>
    <w:rsid w:val="001B1987"/>
    <w:rsid w:val="001B3535"/>
    <w:rsid w:val="001B35EC"/>
    <w:rsid w:val="001B61E7"/>
    <w:rsid w:val="001C0DE9"/>
    <w:rsid w:val="001C0E26"/>
    <w:rsid w:val="001C15EE"/>
    <w:rsid w:val="001C742F"/>
    <w:rsid w:val="001D16DC"/>
    <w:rsid w:val="001D173E"/>
    <w:rsid w:val="001D2AC6"/>
    <w:rsid w:val="001D38E7"/>
    <w:rsid w:val="001E00CB"/>
    <w:rsid w:val="001E1601"/>
    <w:rsid w:val="001E333C"/>
    <w:rsid w:val="001E37C9"/>
    <w:rsid w:val="001E6241"/>
    <w:rsid w:val="001E6B6C"/>
    <w:rsid w:val="001F091A"/>
    <w:rsid w:val="001F1729"/>
    <w:rsid w:val="001F1D06"/>
    <w:rsid w:val="001F368F"/>
    <w:rsid w:val="001F37CD"/>
    <w:rsid w:val="001F404A"/>
    <w:rsid w:val="001F5B8A"/>
    <w:rsid w:val="001F6A93"/>
    <w:rsid w:val="0020065A"/>
    <w:rsid w:val="00201111"/>
    <w:rsid w:val="0021192E"/>
    <w:rsid w:val="00211F4E"/>
    <w:rsid w:val="00213AB0"/>
    <w:rsid w:val="0021671A"/>
    <w:rsid w:val="0022018F"/>
    <w:rsid w:val="00221D2E"/>
    <w:rsid w:val="00224809"/>
    <w:rsid w:val="0022568B"/>
    <w:rsid w:val="00225A6E"/>
    <w:rsid w:val="002303E3"/>
    <w:rsid w:val="00234828"/>
    <w:rsid w:val="00234A75"/>
    <w:rsid w:val="0023580B"/>
    <w:rsid w:val="00235F49"/>
    <w:rsid w:val="00237A80"/>
    <w:rsid w:val="002406BA"/>
    <w:rsid w:val="00240848"/>
    <w:rsid w:val="00241566"/>
    <w:rsid w:val="00242DA7"/>
    <w:rsid w:val="0024373D"/>
    <w:rsid w:val="00245BFE"/>
    <w:rsid w:val="00251438"/>
    <w:rsid w:val="00252E73"/>
    <w:rsid w:val="00255BA6"/>
    <w:rsid w:val="00255EED"/>
    <w:rsid w:val="00255FDD"/>
    <w:rsid w:val="002606AF"/>
    <w:rsid w:val="002641A3"/>
    <w:rsid w:val="002644AD"/>
    <w:rsid w:val="0026632E"/>
    <w:rsid w:val="0026689B"/>
    <w:rsid w:val="00270334"/>
    <w:rsid w:val="00270917"/>
    <w:rsid w:val="00272BD8"/>
    <w:rsid w:val="00273E5B"/>
    <w:rsid w:val="0027422B"/>
    <w:rsid w:val="00275915"/>
    <w:rsid w:val="00276384"/>
    <w:rsid w:val="00276849"/>
    <w:rsid w:val="00277146"/>
    <w:rsid w:val="00281D38"/>
    <w:rsid w:val="00281EB9"/>
    <w:rsid w:val="00282AD2"/>
    <w:rsid w:val="0029391C"/>
    <w:rsid w:val="00293EDC"/>
    <w:rsid w:val="002943B4"/>
    <w:rsid w:val="00294A1D"/>
    <w:rsid w:val="00294A46"/>
    <w:rsid w:val="00295DFA"/>
    <w:rsid w:val="00295F45"/>
    <w:rsid w:val="0029651F"/>
    <w:rsid w:val="002A1F58"/>
    <w:rsid w:val="002A7950"/>
    <w:rsid w:val="002B19E7"/>
    <w:rsid w:val="002B3FD6"/>
    <w:rsid w:val="002B480F"/>
    <w:rsid w:val="002B4FA0"/>
    <w:rsid w:val="002B6B13"/>
    <w:rsid w:val="002B6DD2"/>
    <w:rsid w:val="002B6FD8"/>
    <w:rsid w:val="002C0FCB"/>
    <w:rsid w:val="002C11A0"/>
    <w:rsid w:val="002C1723"/>
    <w:rsid w:val="002C2ED5"/>
    <w:rsid w:val="002C3141"/>
    <w:rsid w:val="002C48D2"/>
    <w:rsid w:val="002C4E46"/>
    <w:rsid w:val="002C567D"/>
    <w:rsid w:val="002C6BAF"/>
    <w:rsid w:val="002C71A1"/>
    <w:rsid w:val="002C771C"/>
    <w:rsid w:val="002D1A41"/>
    <w:rsid w:val="002D348C"/>
    <w:rsid w:val="002D3E81"/>
    <w:rsid w:val="002D54E0"/>
    <w:rsid w:val="002D6F76"/>
    <w:rsid w:val="002D7997"/>
    <w:rsid w:val="002E2097"/>
    <w:rsid w:val="002E2D69"/>
    <w:rsid w:val="002E460A"/>
    <w:rsid w:val="002E4F29"/>
    <w:rsid w:val="002E5B23"/>
    <w:rsid w:val="002E5F28"/>
    <w:rsid w:val="002E7DF3"/>
    <w:rsid w:val="002F0FE9"/>
    <w:rsid w:val="002F7214"/>
    <w:rsid w:val="002F721B"/>
    <w:rsid w:val="00300173"/>
    <w:rsid w:val="003008CD"/>
    <w:rsid w:val="00300EA0"/>
    <w:rsid w:val="003015AC"/>
    <w:rsid w:val="00303401"/>
    <w:rsid w:val="003041CF"/>
    <w:rsid w:val="00304C97"/>
    <w:rsid w:val="0031069E"/>
    <w:rsid w:val="00312376"/>
    <w:rsid w:val="00313236"/>
    <w:rsid w:val="00313EB1"/>
    <w:rsid w:val="00321E66"/>
    <w:rsid w:val="0032722A"/>
    <w:rsid w:val="00330341"/>
    <w:rsid w:val="0033048E"/>
    <w:rsid w:val="0033140E"/>
    <w:rsid w:val="00331914"/>
    <w:rsid w:val="00333599"/>
    <w:rsid w:val="00333F96"/>
    <w:rsid w:val="00340459"/>
    <w:rsid w:val="003425DB"/>
    <w:rsid w:val="00342F45"/>
    <w:rsid w:val="00343DDC"/>
    <w:rsid w:val="003440D1"/>
    <w:rsid w:val="003456BF"/>
    <w:rsid w:val="00351E31"/>
    <w:rsid w:val="00352314"/>
    <w:rsid w:val="00353C58"/>
    <w:rsid w:val="003618F9"/>
    <w:rsid w:val="0036526A"/>
    <w:rsid w:val="003658A5"/>
    <w:rsid w:val="00365B67"/>
    <w:rsid w:val="00366807"/>
    <w:rsid w:val="00367C24"/>
    <w:rsid w:val="00367FE1"/>
    <w:rsid w:val="00370A20"/>
    <w:rsid w:val="003726D1"/>
    <w:rsid w:val="00374DF6"/>
    <w:rsid w:val="003777FC"/>
    <w:rsid w:val="003803EE"/>
    <w:rsid w:val="00380676"/>
    <w:rsid w:val="003819FA"/>
    <w:rsid w:val="00381C8C"/>
    <w:rsid w:val="0038204E"/>
    <w:rsid w:val="003840D9"/>
    <w:rsid w:val="003841B4"/>
    <w:rsid w:val="00386493"/>
    <w:rsid w:val="003869AC"/>
    <w:rsid w:val="003901D0"/>
    <w:rsid w:val="003908E3"/>
    <w:rsid w:val="00390DC9"/>
    <w:rsid w:val="003964B3"/>
    <w:rsid w:val="00397420"/>
    <w:rsid w:val="003A1C18"/>
    <w:rsid w:val="003A62B0"/>
    <w:rsid w:val="003A68BD"/>
    <w:rsid w:val="003B425C"/>
    <w:rsid w:val="003B6868"/>
    <w:rsid w:val="003B7710"/>
    <w:rsid w:val="003C07D5"/>
    <w:rsid w:val="003C1670"/>
    <w:rsid w:val="003C23EF"/>
    <w:rsid w:val="003C34F7"/>
    <w:rsid w:val="003C5751"/>
    <w:rsid w:val="003C74A3"/>
    <w:rsid w:val="003D44DB"/>
    <w:rsid w:val="003D467A"/>
    <w:rsid w:val="003D4FA2"/>
    <w:rsid w:val="003D7D0E"/>
    <w:rsid w:val="003E04B6"/>
    <w:rsid w:val="003E0E48"/>
    <w:rsid w:val="003E1FC0"/>
    <w:rsid w:val="003E4C9B"/>
    <w:rsid w:val="003E5F16"/>
    <w:rsid w:val="003E78B3"/>
    <w:rsid w:val="003F130C"/>
    <w:rsid w:val="003F6F7D"/>
    <w:rsid w:val="003F76C3"/>
    <w:rsid w:val="004011BB"/>
    <w:rsid w:val="004029C9"/>
    <w:rsid w:val="00403424"/>
    <w:rsid w:val="0040453A"/>
    <w:rsid w:val="00404DAC"/>
    <w:rsid w:val="00405A65"/>
    <w:rsid w:val="00406FC7"/>
    <w:rsid w:val="004117B5"/>
    <w:rsid w:val="0041214D"/>
    <w:rsid w:val="004147C3"/>
    <w:rsid w:val="004155D5"/>
    <w:rsid w:val="00416DDF"/>
    <w:rsid w:val="00420999"/>
    <w:rsid w:val="00422BEA"/>
    <w:rsid w:val="004238DB"/>
    <w:rsid w:val="00424CF7"/>
    <w:rsid w:val="0043046F"/>
    <w:rsid w:val="00432B4C"/>
    <w:rsid w:val="004343A0"/>
    <w:rsid w:val="00434ACB"/>
    <w:rsid w:val="004400C0"/>
    <w:rsid w:val="0044390D"/>
    <w:rsid w:val="00445EE9"/>
    <w:rsid w:val="0044693D"/>
    <w:rsid w:val="004476BC"/>
    <w:rsid w:val="00451644"/>
    <w:rsid w:val="00455CAE"/>
    <w:rsid w:val="00457718"/>
    <w:rsid w:val="004630F2"/>
    <w:rsid w:val="00470114"/>
    <w:rsid w:val="0047066D"/>
    <w:rsid w:val="00472061"/>
    <w:rsid w:val="0047337F"/>
    <w:rsid w:val="00473BD7"/>
    <w:rsid w:val="00474C3F"/>
    <w:rsid w:val="0048061C"/>
    <w:rsid w:val="0048243F"/>
    <w:rsid w:val="004834F3"/>
    <w:rsid w:val="00483738"/>
    <w:rsid w:val="00484CED"/>
    <w:rsid w:val="004863D1"/>
    <w:rsid w:val="00486D88"/>
    <w:rsid w:val="00496E86"/>
    <w:rsid w:val="004A0C53"/>
    <w:rsid w:val="004A42ED"/>
    <w:rsid w:val="004B32CB"/>
    <w:rsid w:val="004B437F"/>
    <w:rsid w:val="004B5AF4"/>
    <w:rsid w:val="004B5F33"/>
    <w:rsid w:val="004B6031"/>
    <w:rsid w:val="004B6FDE"/>
    <w:rsid w:val="004B79B3"/>
    <w:rsid w:val="004C0970"/>
    <w:rsid w:val="004C2192"/>
    <w:rsid w:val="004C219D"/>
    <w:rsid w:val="004C3C56"/>
    <w:rsid w:val="004C48F1"/>
    <w:rsid w:val="004C581B"/>
    <w:rsid w:val="004C594C"/>
    <w:rsid w:val="004D178B"/>
    <w:rsid w:val="004D3DD6"/>
    <w:rsid w:val="004D4245"/>
    <w:rsid w:val="004D5FB3"/>
    <w:rsid w:val="004D63AA"/>
    <w:rsid w:val="004D63DB"/>
    <w:rsid w:val="004D6987"/>
    <w:rsid w:val="004E1115"/>
    <w:rsid w:val="004E5DAE"/>
    <w:rsid w:val="004F0191"/>
    <w:rsid w:val="004F02CE"/>
    <w:rsid w:val="004F0D3F"/>
    <w:rsid w:val="004F141F"/>
    <w:rsid w:val="004F1B34"/>
    <w:rsid w:val="004F253B"/>
    <w:rsid w:val="004F56F2"/>
    <w:rsid w:val="004F5E69"/>
    <w:rsid w:val="004F6BD8"/>
    <w:rsid w:val="004F6EFC"/>
    <w:rsid w:val="004F7043"/>
    <w:rsid w:val="00507460"/>
    <w:rsid w:val="00507642"/>
    <w:rsid w:val="00507D19"/>
    <w:rsid w:val="005119BD"/>
    <w:rsid w:val="00512D00"/>
    <w:rsid w:val="00513C44"/>
    <w:rsid w:val="005171AA"/>
    <w:rsid w:val="00520B44"/>
    <w:rsid w:val="00521ADB"/>
    <w:rsid w:val="005234A6"/>
    <w:rsid w:val="00524304"/>
    <w:rsid w:val="00524BE3"/>
    <w:rsid w:val="00533829"/>
    <w:rsid w:val="00534895"/>
    <w:rsid w:val="005430AF"/>
    <w:rsid w:val="00543A56"/>
    <w:rsid w:val="005442C1"/>
    <w:rsid w:val="00546D52"/>
    <w:rsid w:val="0055038C"/>
    <w:rsid w:val="005537DE"/>
    <w:rsid w:val="00553F36"/>
    <w:rsid w:val="00554419"/>
    <w:rsid w:val="005544C9"/>
    <w:rsid w:val="00557087"/>
    <w:rsid w:val="00557B05"/>
    <w:rsid w:val="00557CBD"/>
    <w:rsid w:val="00562DCC"/>
    <w:rsid w:val="00564CA7"/>
    <w:rsid w:val="0056717D"/>
    <w:rsid w:val="00567343"/>
    <w:rsid w:val="00570F53"/>
    <w:rsid w:val="00585337"/>
    <w:rsid w:val="0059085B"/>
    <w:rsid w:val="0059086E"/>
    <w:rsid w:val="005918A8"/>
    <w:rsid w:val="005920F2"/>
    <w:rsid w:val="005A1938"/>
    <w:rsid w:val="005A3BAB"/>
    <w:rsid w:val="005A3FFC"/>
    <w:rsid w:val="005A4628"/>
    <w:rsid w:val="005A5BDC"/>
    <w:rsid w:val="005A6457"/>
    <w:rsid w:val="005A7E49"/>
    <w:rsid w:val="005B2B86"/>
    <w:rsid w:val="005B3E89"/>
    <w:rsid w:val="005B4523"/>
    <w:rsid w:val="005B55EE"/>
    <w:rsid w:val="005B66E4"/>
    <w:rsid w:val="005C0A98"/>
    <w:rsid w:val="005C39CB"/>
    <w:rsid w:val="005C439F"/>
    <w:rsid w:val="005C5B68"/>
    <w:rsid w:val="005D3405"/>
    <w:rsid w:val="005D39A0"/>
    <w:rsid w:val="005D5FA5"/>
    <w:rsid w:val="005E154F"/>
    <w:rsid w:val="005E32BB"/>
    <w:rsid w:val="005E3B6F"/>
    <w:rsid w:val="005E7905"/>
    <w:rsid w:val="005F0530"/>
    <w:rsid w:val="005F27F4"/>
    <w:rsid w:val="005F3C85"/>
    <w:rsid w:val="005F50E5"/>
    <w:rsid w:val="005F6191"/>
    <w:rsid w:val="00601588"/>
    <w:rsid w:val="006019A2"/>
    <w:rsid w:val="006019C1"/>
    <w:rsid w:val="00605992"/>
    <w:rsid w:val="00605F24"/>
    <w:rsid w:val="0061081E"/>
    <w:rsid w:val="00610C6B"/>
    <w:rsid w:val="00614C0A"/>
    <w:rsid w:val="006154F9"/>
    <w:rsid w:val="00616260"/>
    <w:rsid w:val="00616ACB"/>
    <w:rsid w:val="006202EF"/>
    <w:rsid w:val="0062085C"/>
    <w:rsid w:val="00621E1F"/>
    <w:rsid w:val="00622057"/>
    <w:rsid w:val="00622201"/>
    <w:rsid w:val="00623F1A"/>
    <w:rsid w:val="00625C9A"/>
    <w:rsid w:val="00626CF7"/>
    <w:rsid w:val="00627BAC"/>
    <w:rsid w:val="00630AF5"/>
    <w:rsid w:val="006327E0"/>
    <w:rsid w:val="00632CED"/>
    <w:rsid w:val="00636D9A"/>
    <w:rsid w:val="00636DD6"/>
    <w:rsid w:val="0064055D"/>
    <w:rsid w:val="00642AF5"/>
    <w:rsid w:val="00643776"/>
    <w:rsid w:val="006457C4"/>
    <w:rsid w:val="006458B2"/>
    <w:rsid w:val="00650789"/>
    <w:rsid w:val="006526B3"/>
    <w:rsid w:val="006535D5"/>
    <w:rsid w:val="00656466"/>
    <w:rsid w:val="00656E3E"/>
    <w:rsid w:val="00661148"/>
    <w:rsid w:val="00663516"/>
    <w:rsid w:val="0066519C"/>
    <w:rsid w:val="00665DC3"/>
    <w:rsid w:val="0066641F"/>
    <w:rsid w:val="006666D5"/>
    <w:rsid w:val="00670D99"/>
    <w:rsid w:val="006754AA"/>
    <w:rsid w:val="006754C7"/>
    <w:rsid w:val="0068139B"/>
    <w:rsid w:val="00687504"/>
    <w:rsid w:val="00687E63"/>
    <w:rsid w:val="00693D57"/>
    <w:rsid w:val="006A2CCC"/>
    <w:rsid w:val="006B035F"/>
    <w:rsid w:val="006B0BD3"/>
    <w:rsid w:val="006B76CA"/>
    <w:rsid w:val="006C1D05"/>
    <w:rsid w:val="006D3860"/>
    <w:rsid w:val="006D3A89"/>
    <w:rsid w:val="006D4104"/>
    <w:rsid w:val="006D4221"/>
    <w:rsid w:val="006D5A3B"/>
    <w:rsid w:val="006D5B58"/>
    <w:rsid w:val="006D65FA"/>
    <w:rsid w:val="006D7FDE"/>
    <w:rsid w:val="006E0688"/>
    <w:rsid w:val="006E1F7F"/>
    <w:rsid w:val="006E54D7"/>
    <w:rsid w:val="006F2263"/>
    <w:rsid w:val="006F3129"/>
    <w:rsid w:val="006F602B"/>
    <w:rsid w:val="0070347B"/>
    <w:rsid w:val="00705074"/>
    <w:rsid w:val="007072D7"/>
    <w:rsid w:val="00710211"/>
    <w:rsid w:val="00710ECC"/>
    <w:rsid w:val="00711AD8"/>
    <w:rsid w:val="00712788"/>
    <w:rsid w:val="00712E7B"/>
    <w:rsid w:val="007133FB"/>
    <w:rsid w:val="007146EE"/>
    <w:rsid w:val="00714C84"/>
    <w:rsid w:val="00722232"/>
    <w:rsid w:val="007233AE"/>
    <w:rsid w:val="007266B8"/>
    <w:rsid w:val="00727B85"/>
    <w:rsid w:val="007316A8"/>
    <w:rsid w:val="00737EA7"/>
    <w:rsid w:val="00740D1B"/>
    <w:rsid w:val="0074240B"/>
    <w:rsid w:val="007425B2"/>
    <w:rsid w:val="007457E2"/>
    <w:rsid w:val="007463BA"/>
    <w:rsid w:val="00746B1F"/>
    <w:rsid w:val="00751E16"/>
    <w:rsid w:val="00756CE1"/>
    <w:rsid w:val="00763996"/>
    <w:rsid w:val="0076409D"/>
    <w:rsid w:val="00765616"/>
    <w:rsid w:val="0076734E"/>
    <w:rsid w:val="00771AE7"/>
    <w:rsid w:val="00772340"/>
    <w:rsid w:val="0077356C"/>
    <w:rsid w:val="0077603B"/>
    <w:rsid w:val="0078161F"/>
    <w:rsid w:val="0078273F"/>
    <w:rsid w:val="00782B78"/>
    <w:rsid w:val="007836C4"/>
    <w:rsid w:val="00784B3D"/>
    <w:rsid w:val="00785BFB"/>
    <w:rsid w:val="00785FDB"/>
    <w:rsid w:val="00793684"/>
    <w:rsid w:val="007944B0"/>
    <w:rsid w:val="007A0717"/>
    <w:rsid w:val="007A166C"/>
    <w:rsid w:val="007A33AA"/>
    <w:rsid w:val="007A3CD1"/>
    <w:rsid w:val="007A41F6"/>
    <w:rsid w:val="007B0023"/>
    <w:rsid w:val="007B048F"/>
    <w:rsid w:val="007B0F73"/>
    <w:rsid w:val="007B4374"/>
    <w:rsid w:val="007B54EB"/>
    <w:rsid w:val="007B72FA"/>
    <w:rsid w:val="007C7A91"/>
    <w:rsid w:val="007C7C76"/>
    <w:rsid w:val="007D0813"/>
    <w:rsid w:val="007D1247"/>
    <w:rsid w:val="007D2E23"/>
    <w:rsid w:val="007D34E9"/>
    <w:rsid w:val="007E0F72"/>
    <w:rsid w:val="007E1C4F"/>
    <w:rsid w:val="007E4D69"/>
    <w:rsid w:val="007E5B2E"/>
    <w:rsid w:val="007E79A4"/>
    <w:rsid w:val="007E7ACD"/>
    <w:rsid w:val="007F0957"/>
    <w:rsid w:val="007F2B22"/>
    <w:rsid w:val="007F3817"/>
    <w:rsid w:val="007F4598"/>
    <w:rsid w:val="007F4977"/>
    <w:rsid w:val="007F561B"/>
    <w:rsid w:val="007F5C16"/>
    <w:rsid w:val="007F5FB8"/>
    <w:rsid w:val="007F76DA"/>
    <w:rsid w:val="00801A0F"/>
    <w:rsid w:val="008039B7"/>
    <w:rsid w:val="00804E12"/>
    <w:rsid w:val="008139A5"/>
    <w:rsid w:val="00814271"/>
    <w:rsid w:val="008161DE"/>
    <w:rsid w:val="008168CD"/>
    <w:rsid w:val="00817209"/>
    <w:rsid w:val="00821EE8"/>
    <w:rsid w:val="00822311"/>
    <w:rsid w:val="00822990"/>
    <w:rsid w:val="00831114"/>
    <w:rsid w:val="00831157"/>
    <w:rsid w:val="00832AD0"/>
    <w:rsid w:val="00833CB9"/>
    <w:rsid w:val="00834945"/>
    <w:rsid w:val="00835E97"/>
    <w:rsid w:val="00836A0D"/>
    <w:rsid w:val="00836FD4"/>
    <w:rsid w:val="00842C6A"/>
    <w:rsid w:val="00843975"/>
    <w:rsid w:val="0084653C"/>
    <w:rsid w:val="008473C8"/>
    <w:rsid w:val="00852931"/>
    <w:rsid w:val="008615F7"/>
    <w:rsid w:val="0086160C"/>
    <w:rsid w:val="00861801"/>
    <w:rsid w:val="00864172"/>
    <w:rsid w:val="008710DA"/>
    <w:rsid w:val="00871D3C"/>
    <w:rsid w:val="0087212A"/>
    <w:rsid w:val="0087395B"/>
    <w:rsid w:val="0087496B"/>
    <w:rsid w:val="00875535"/>
    <w:rsid w:val="008763FA"/>
    <w:rsid w:val="008777B3"/>
    <w:rsid w:val="00885822"/>
    <w:rsid w:val="00887735"/>
    <w:rsid w:val="00891BA1"/>
    <w:rsid w:val="0089463D"/>
    <w:rsid w:val="00894DEB"/>
    <w:rsid w:val="00894FA0"/>
    <w:rsid w:val="00895B00"/>
    <w:rsid w:val="008A7EAD"/>
    <w:rsid w:val="008B1FDF"/>
    <w:rsid w:val="008B2968"/>
    <w:rsid w:val="008B3E3C"/>
    <w:rsid w:val="008B45E8"/>
    <w:rsid w:val="008B5C5D"/>
    <w:rsid w:val="008C193F"/>
    <w:rsid w:val="008C19F6"/>
    <w:rsid w:val="008D06FF"/>
    <w:rsid w:val="008D1485"/>
    <w:rsid w:val="008D2C24"/>
    <w:rsid w:val="008D326B"/>
    <w:rsid w:val="008D7C93"/>
    <w:rsid w:val="008E2068"/>
    <w:rsid w:val="008E28CE"/>
    <w:rsid w:val="008E4A0F"/>
    <w:rsid w:val="008E4E3C"/>
    <w:rsid w:val="008E72C9"/>
    <w:rsid w:val="008F05E3"/>
    <w:rsid w:val="008F1340"/>
    <w:rsid w:val="008F1B76"/>
    <w:rsid w:val="008F1C4F"/>
    <w:rsid w:val="008F1DF6"/>
    <w:rsid w:val="008F223F"/>
    <w:rsid w:val="008F345A"/>
    <w:rsid w:val="008F5641"/>
    <w:rsid w:val="008F741B"/>
    <w:rsid w:val="00900CBB"/>
    <w:rsid w:val="009033D0"/>
    <w:rsid w:val="00904E14"/>
    <w:rsid w:val="00906602"/>
    <w:rsid w:val="00907C4D"/>
    <w:rsid w:val="009113BE"/>
    <w:rsid w:val="00915B08"/>
    <w:rsid w:val="00915CE5"/>
    <w:rsid w:val="009173F0"/>
    <w:rsid w:val="009203B7"/>
    <w:rsid w:val="00924CD3"/>
    <w:rsid w:val="00931008"/>
    <w:rsid w:val="0093285F"/>
    <w:rsid w:val="009329A2"/>
    <w:rsid w:val="00935110"/>
    <w:rsid w:val="00941F70"/>
    <w:rsid w:val="00943048"/>
    <w:rsid w:val="00943F9C"/>
    <w:rsid w:val="009447D3"/>
    <w:rsid w:val="009466FD"/>
    <w:rsid w:val="00946AB9"/>
    <w:rsid w:val="009504E0"/>
    <w:rsid w:val="00951804"/>
    <w:rsid w:val="0095236E"/>
    <w:rsid w:val="00954232"/>
    <w:rsid w:val="00956460"/>
    <w:rsid w:val="0095753A"/>
    <w:rsid w:val="0096068F"/>
    <w:rsid w:val="00960732"/>
    <w:rsid w:val="00962DF7"/>
    <w:rsid w:val="0096336E"/>
    <w:rsid w:val="00966334"/>
    <w:rsid w:val="00966B6A"/>
    <w:rsid w:val="00967890"/>
    <w:rsid w:val="00973A1D"/>
    <w:rsid w:val="0097432A"/>
    <w:rsid w:val="00976F4D"/>
    <w:rsid w:val="009774D9"/>
    <w:rsid w:val="009776B8"/>
    <w:rsid w:val="00977B6F"/>
    <w:rsid w:val="00980048"/>
    <w:rsid w:val="00980192"/>
    <w:rsid w:val="00980F58"/>
    <w:rsid w:val="0098286A"/>
    <w:rsid w:val="00982DB9"/>
    <w:rsid w:val="00982EED"/>
    <w:rsid w:val="00982FAE"/>
    <w:rsid w:val="00983BEC"/>
    <w:rsid w:val="00985595"/>
    <w:rsid w:val="00991C11"/>
    <w:rsid w:val="00995259"/>
    <w:rsid w:val="009977DC"/>
    <w:rsid w:val="009A077B"/>
    <w:rsid w:val="009A13B5"/>
    <w:rsid w:val="009A1C39"/>
    <w:rsid w:val="009A5C99"/>
    <w:rsid w:val="009A63D4"/>
    <w:rsid w:val="009A6538"/>
    <w:rsid w:val="009A7221"/>
    <w:rsid w:val="009A776F"/>
    <w:rsid w:val="009B1982"/>
    <w:rsid w:val="009B264D"/>
    <w:rsid w:val="009B39F2"/>
    <w:rsid w:val="009B3DF7"/>
    <w:rsid w:val="009B4111"/>
    <w:rsid w:val="009B68D1"/>
    <w:rsid w:val="009B7050"/>
    <w:rsid w:val="009B79CF"/>
    <w:rsid w:val="009C35F6"/>
    <w:rsid w:val="009C3927"/>
    <w:rsid w:val="009C4DBA"/>
    <w:rsid w:val="009D378D"/>
    <w:rsid w:val="009D75E1"/>
    <w:rsid w:val="009E2068"/>
    <w:rsid w:val="009E4923"/>
    <w:rsid w:val="009E7030"/>
    <w:rsid w:val="009F06E0"/>
    <w:rsid w:val="009F4233"/>
    <w:rsid w:val="009F6936"/>
    <w:rsid w:val="00A00D9C"/>
    <w:rsid w:val="00A01F1E"/>
    <w:rsid w:val="00A03518"/>
    <w:rsid w:val="00A04044"/>
    <w:rsid w:val="00A04472"/>
    <w:rsid w:val="00A053CA"/>
    <w:rsid w:val="00A058D9"/>
    <w:rsid w:val="00A1050D"/>
    <w:rsid w:val="00A10E68"/>
    <w:rsid w:val="00A11ADA"/>
    <w:rsid w:val="00A135A0"/>
    <w:rsid w:val="00A13FDB"/>
    <w:rsid w:val="00A15CBC"/>
    <w:rsid w:val="00A164E3"/>
    <w:rsid w:val="00A206EC"/>
    <w:rsid w:val="00A231D0"/>
    <w:rsid w:val="00A238FB"/>
    <w:rsid w:val="00A248CF"/>
    <w:rsid w:val="00A256A5"/>
    <w:rsid w:val="00A25D21"/>
    <w:rsid w:val="00A27732"/>
    <w:rsid w:val="00A27733"/>
    <w:rsid w:val="00A3016C"/>
    <w:rsid w:val="00A319D5"/>
    <w:rsid w:val="00A33246"/>
    <w:rsid w:val="00A3613D"/>
    <w:rsid w:val="00A365F3"/>
    <w:rsid w:val="00A375AC"/>
    <w:rsid w:val="00A40D3D"/>
    <w:rsid w:val="00A41BC5"/>
    <w:rsid w:val="00A42233"/>
    <w:rsid w:val="00A42ADE"/>
    <w:rsid w:val="00A433D6"/>
    <w:rsid w:val="00A4349F"/>
    <w:rsid w:val="00A50055"/>
    <w:rsid w:val="00A503F1"/>
    <w:rsid w:val="00A50D8E"/>
    <w:rsid w:val="00A529B5"/>
    <w:rsid w:val="00A53719"/>
    <w:rsid w:val="00A54CB7"/>
    <w:rsid w:val="00A60F36"/>
    <w:rsid w:val="00A64C71"/>
    <w:rsid w:val="00A65701"/>
    <w:rsid w:val="00A66935"/>
    <w:rsid w:val="00A72BF9"/>
    <w:rsid w:val="00A770C5"/>
    <w:rsid w:val="00A825CD"/>
    <w:rsid w:val="00A832FE"/>
    <w:rsid w:val="00A84A04"/>
    <w:rsid w:val="00A919A0"/>
    <w:rsid w:val="00A92340"/>
    <w:rsid w:val="00A94088"/>
    <w:rsid w:val="00AA04E5"/>
    <w:rsid w:val="00AA084D"/>
    <w:rsid w:val="00AB08D1"/>
    <w:rsid w:val="00AB1A80"/>
    <w:rsid w:val="00AB3B5B"/>
    <w:rsid w:val="00AB56EC"/>
    <w:rsid w:val="00AB7013"/>
    <w:rsid w:val="00AC14F2"/>
    <w:rsid w:val="00AC486C"/>
    <w:rsid w:val="00AC4922"/>
    <w:rsid w:val="00AC5C58"/>
    <w:rsid w:val="00AC68BC"/>
    <w:rsid w:val="00AC73B6"/>
    <w:rsid w:val="00AC7BD4"/>
    <w:rsid w:val="00AD13B5"/>
    <w:rsid w:val="00AD24E4"/>
    <w:rsid w:val="00AD27AB"/>
    <w:rsid w:val="00AD2DED"/>
    <w:rsid w:val="00AD5414"/>
    <w:rsid w:val="00AE338B"/>
    <w:rsid w:val="00AF2757"/>
    <w:rsid w:val="00AF7184"/>
    <w:rsid w:val="00AF7574"/>
    <w:rsid w:val="00AF7F2B"/>
    <w:rsid w:val="00B0124B"/>
    <w:rsid w:val="00B03C6A"/>
    <w:rsid w:val="00B14EE8"/>
    <w:rsid w:val="00B178AF"/>
    <w:rsid w:val="00B2102B"/>
    <w:rsid w:val="00B21BDB"/>
    <w:rsid w:val="00B237C4"/>
    <w:rsid w:val="00B260BA"/>
    <w:rsid w:val="00B27B24"/>
    <w:rsid w:val="00B31674"/>
    <w:rsid w:val="00B345D7"/>
    <w:rsid w:val="00B36E0A"/>
    <w:rsid w:val="00B37195"/>
    <w:rsid w:val="00B41600"/>
    <w:rsid w:val="00B42353"/>
    <w:rsid w:val="00B4243A"/>
    <w:rsid w:val="00B43F9B"/>
    <w:rsid w:val="00B45886"/>
    <w:rsid w:val="00B45A40"/>
    <w:rsid w:val="00B45AD5"/>
    <w:rsid w:val="00B461E0"/>
    <w:rsid w:val="00B46633"/>
    <w:rsid w:val="00B502F8"/>
    <w:rsid w:val="00B50A95"/>
    <w:rsid w:val="00B515B7"/>
    <w:rsid w:val="00B562F0"/>
    <w:rsid w:val="00B627B8"/>
    <w:rsid w:val="00B64B0D"/>
    <w:rsid w:val="00B665B1"/>
    <w:rsid w:val="00B711F9"/>
    <w:rsid w:val="00B75541"/>
    <w:rsid w:val="00B75EBA"/>
    <w:rsid w:val="00B77391"/>
    <w:rsid w:val="00B82D59"/>
    <w:rsid w:val="00B85635"/>
    <w:rsid w:val="00B86AF9"/>
    <w:rsid w:val="00B879FA"/>
    <w:rsid w:val="00B91140"/>
    <w:rsid w:val="00B926F6"/>
    <w:rsid w:val="00BA2EA1"/>
    <w:rsid w:val="00BA3246"/>
    <w:rsid w:val="00BA4C42"/>
    <w:rsid w:val="00BA5656"/>
    <w:rsid w:val="00BA5C11"/>
    <w:rsid w:val="00BB47CA"/>
    <w:rsid w:val="00BB486A"/>
    <w:rsid w:val="00BC0573"/>
    <w:rsid w:val="00BC0DE7"/>
    <w:rsid w:val="00BC1F3E"/>
    <w:rsid w:val="00BC201A"/>
    <w:rsid w:val="00BC2327"/>
    <w:rsid w:val="00BC3C46"/>
    <w:rsid w:val="00BC5178"/>
    <w:rsid w:val="00BD08BB"/>
    <w:rsid w:val="00BD0979"/>
    <w:rsid w:val="00BD2FAF"/>
    <w:rsid w:val="00BD4D02"/>
    <w:rsid w:val="00BD536C"/>
    <w:rsid w:val="00BD63F0"/>
    <w:rsid w:val="00BD73A1"/>
    <w:rsid w:val="00BE0C16"/>
    <w:rsid w:val="00BE2832"/>
    <w:rsid w:val="00BE3754"/>
    <w:rsid w:val="00BE4FAB"/>
    <w:rsid w:val="00BE5DC8"/>
    <w:rsid w:val="00BF2242"/>
    <w:rsid w:val="00BF4816"/>
    <w:rsid w:val="00BF5C94"/>
    <w:rsid w:val="00BF603E"/>
    <w:rsid w:val="00BF6C9B"/>
    <w:rsid w:val="00C03372"/>
    <w:rsid w:val="00C04A81"/>
    <w:rsid w:val="00C04AB3"/>
    <w:rsid w:val="00C07113"/>
    <w:rsid w:val="00C11732"/>
    <w:rsid w:val="00C11C89"/>
    <w:rsid w:val="00C12D9F"/>
    <w:rsid w:val="00C13510"/>
    <w:rsid w:val="00C15523"/>
    <w:rsid w:val="00C15BC3"/>
    <w:rsid w:val="00C17E1C"/>
    <w:rsid w:val="00C220A4"/>
    <w:rsid w:val="00C2361E"/>
    <w:rsid w:val="00C24FEC"/>
    <w:rsid w:val="00C25C51"/>
    <w:rsid w:val="00C31266"/>
    <w:rsid w:val="00C32F68"/>
    <w:rsid w:val="00C37122"/>
    <w:rsid w:val="00C4117C"/>
    <w:rsid w:val="00C42624"/>
    <w:rsid w:val="00C44C13"/>
    <w:rsid w:val="00C452FD"/>
    <w:rsid w:val="00C45318"/>
    <w:rsid w:val="00C4610C"/>
    <w:rsid w:val="00C477E6"/>
    <w:rsid w:val="00C51D8E"/>
    <w:rsid w:val="00C51DFA"/>
    <w:rsid w:val="00C53753"/>
    <w:rsid w:val="00C543E4"/>
    <w:rsid w:val="00C56E02"/>
    <w:rsid w:val="00C57D10"/>
    <w:rsid w:val="00C608E8"/>
    <w:rsid w:val="00C630D9"/>
    <w:rsid w:val="00C662BA"/>
    <w:rsid w:val="00C76096"/>
    <w:rsid w:val="00C820DB"/>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123A"/>
    <w:rsid w:val="00CB2FD9"/>
    <w:rsid w:val="00CB33F5"/>
    <w:rsid w:val="00CB4E98"/>
    <w:rsid w:val="00CB6308"/>
    <w:rsid w:val="00CB66C7"/>
    <w:rsid w:val="00CB6846"/>
    <w:rsid w:val="00CC0372"/>
    <w:rsid w:val="00CC1525"/>
    <w:rsid w:val="00CC385D"/>
    <w:rsid w:val="00CC4943"/>
    <w:rsid w:val="00CC67FD"/>
    <w:rsid w:val="00CD1F19"/>
    <w:rsid w:val="00CD4350"/>
    <w:rsid w:val="00CE15CE"/>
    <w:rsid w:val="00CE4B02"/>
    <w:rsid w:val="00CF049C"/>
    <w:rsid w:val="00CF0D18"/>
    <w:rsid w:val="00CF1211"/>
    <w:rsid w:val="00CF2536"/>
    <w:rsid w:val="00CF27FD"/>
    <w:rsid w:val="00D0092D"/>
    <w:rsid w:val="00D00CEF"/>
    <w:rsid w:val="00D00D0A"/>
    <w:rsid w:val="00D01D3A"/>
    <w:rsid w:val="00D04162"/>
    <w:rsid w:val="00D0429E"/>
    <w:rsid w:val="00D0497F"/>
    <w:rsid w:val="00D05DE2"/>
    <w:rsid w:val="00D1010A"/>
    <w:rsid w:val="00D11FCB"/>
    <w:rsid w:val="00D1483E"/>
    <w:rsid w:val="00D156ED"/>
    <w:rsid w:val="00D3167B"/>
    <w:rsid w:val="00D36FC9"/>
    <w:rsid w:val="00D37A59"/>
    <w:rsid w:val="00D4007C"/>
    <w:rsid w:val="00D41015"/>
    <w:rsid w:val="00D43C02"/>
    <w:rsid w:val="00D45E6A"/>
    <w:rsid w:val="00D54F24"/>
    <w:rsid w:val="00D6136F"/>
    <w:rsid w:val="00D6562B"/>
    <w:rsid w:val="00D65A8F"/>
    <w:rsid w:val="00D71090"/>
    <w:rsid w:val="00D7139A"/>
    <w:rsid w:val="00D717E4"/>
    <w:rsid w:val="00D72122"/>
    <w:rsid w:val="00D72D57"/>
    <w:rsid w:val="00D7737D"/>
    <w:rsid w:val="00D80ABB"/>
    <w:rsid w:val="00D80DFD"/>
    <w:rsid w:val="00D8107C"/>
    <w:rsid w:val="00D85300"/>
    <w:rsid w:val="00D90058"/>
    <w:rsid w:val="00D9146A"/>
    <w:rsid w:val="00D92241"/>
    <w:rsid w:val="00D9319F"/>
    <w:rsid w:val="00D93CBE"/>
    <w:rsid w:val="00D94137"/>
    <w:rsid w:val="00D9433C"/>
    <w:rsid w:val="00D95374"/>
    <w:rsid w:val="00DA0FE5"/>
    <w:rsid w:val="00DA2538"/>
    <w:rsid w:val="00DA2E56"/>
    <w:rsid w:val="00DA33B8"/>
    <w:rsid w:val="00DA33E7"/>
    <w:rsid w:val="00DA4A7A"/>
    <w:rsid w:val="00DA593F"/>
    <w:rsid w:val="00DB3A6F"/>
    <w:rsid w:val="00DB460A"/>
    <w:rsid w:val="00DB5A96"/>
    <w:rsid w:val="00DB7011"/>
    <w:rsid w:val="00DC04EF"/>
    <w:rsid w:val="00DC2922"/>
    <w:rsid w:val="00DC2CCD"/>
    <w:rsid w:val="00DC669F"/>
    <w:rsid w:val="00DC69B1"/>
    <w:rsid w:val="00DC7799"/>
    <w:rsid w:val="00DD2488"/>
    <w:rsid w:val="00DD257F"/>
    <w:rsid w:val="00DD2692"/>
    <w:rsid w:val="00DD3EEB"/>
    <w:rsid w:val="00DD59A3"/>
    <w:rsid w:val="00DD7795"/>
    <w:rsid w:val="00DD7E40"/>
    <w:rsid w:val="00DE1080"/>
    <w:rsid w:val="00DE4518"/>
    <w:rsid w:val="00DE4E7D"/>
    <w:rsid w:val="00DE636E"/>
    <w:rsid w:val="00DE73AA"/>
    <w:rsid w:val="00DF2C1C"/>
    <w:rsid w:val="00DF4E13"/>
    <w:rsid w:val="00DF7BD1"/>
    <w:rsid w:val="00E03BBD"/>
    <w:rsid w:val="00E04455"/>
    <w:rsid w:val="00E0706E"/>
    <w:rsid w:val="00E07695"/>
    <w:rsid w:val="00E07F38"/>
    <w:rsid w:val="00E109DC"/>
    <w:rsid w:val="00E10A22"/>
    <w:rsid w:val="00E1667B"/>
    <w:rsid w:val="00E16AB6"/>
    <w:rsid w:val="00E17778"/>
    <w:rsid w:val="00E205B1"/>
    <w:rsid w:val="00E20FB6"/>
    <w:rsid w:val="00E219DE"/>
    <w:rsid w:val="00E24B02"/>
    <w:rsid w:val="00E24ECC"/>
    <w:rsid w:val="00E2561F"/>
    <w:rsid w:val="00E26521"/>
    <w:rsid w:val="00E3208E"/>
    <w:rsid w:val="00E32C9F"/>
    <w:rsid w:val="00E3361A"/>
    <w:rsid w:val="00E34B2D"/>
    <w:rsid w:val="00E35668"/>
    <w:rsid w:val="00E35720"/>
    <w:rsid w:val="00E36D60"/>
    <w:rsid w:val="00E37C7E"/>
    <w:rsid w:val="00E41151"/>
    <w:rsid w:val="00E42FD8"/>
    <w:rsid w:val="00E43F5C"/>
    <w:rsid w:val="00E46054"/>
    <w:rsid w:val="00E51258"/>
    <w:rsid w:val="00E536B1"/>
    <w:rsid w:val="00E53FDB"/>
    <w:rsid w:val="00E554D0"/>
    <w:rsid w:val="00E66750"/>
    <w:rsid w:val="00E66EA6"/>
    <w:rsid w:val="00E77404"/>
    <w:rsid w:val="00E80310"/>
    <w:rsid w:val="00E83F61"/>
    <w:rsid w:val="00E846A1"/>
    <w:rsid w:val="00E85712"/>
    <w:rsid w:val="00E85A8E"/>
    <w:rsid w:val="00E957D9"/>
    <w:rsid w:val="00E95A42"/>
    <w:rsid w:val="00E970D7"/>
    <w:rsid w:val="00E97635"/>
    <w:rsid w:val="00EA0465"/>
    <w:rsid w:val="00EA04C2"/>
    <w:rsid w:val="00EA1429"/>
    <w:rsid w:val="00EA1D21"/>
    <w:rsid w:val="00EA54EE"/>
    <w:rsid w:val="00EA5CD6"/>
    <w:rsid w:val="00EA782C"/>
    <w:rsid w:val="00EA78FF"/>
    <w:rsid w:val="00EB0397"/>
    <w:rsid w:val="00EB0957"/>
    <w:rsid w:val="00EB152C"/>
    <w:rsid w:val="00EB31C8"/>
    <w:rsid w:val="00EB4F50"/>
    <w:rsid w:val="00EB7039"/>
    <w:rsid w:val="00EC2D43"/>
    <w:rsid w:val="00EC32D4"/>
    <w:rsid w:val="00EC65E8"/>
    <w:rsid w:val="00EC6830"/>
    <w:rsid w:val="00EC77EA"/>
    <w:rsid w:val="00EC79EF"/>
    <w:rsid w:val="00EC7E91"/>
    <w:rsid w:val="00ED1B9F"/>
    <w:rsid w:val="00ED2D02"/>
    <w:rsid w:val="00ED3242"/>
    <w:rsid w:val="00ED3399"/>
    <w:rsid w:val="00ED359C"/>
    <w:rsid w:val="00ED383F"/>
    <w:rsid w:val="00ED616E"/>
    <w:rsid w:val="00ED6515"/>
    <w:rsid w:val="00EE2BFD"/>
    <w:rsid w:val="00EE5824"/>
    <w:rsid w:val="00EE7B27"/>
    <w:rsid w:val="00EF19D8"/>
    <w:rsid w:val="00EF204D"/>
    <w:rsid w:val="00EF21E9"/>
    <w:rsid w:val="00EF3D80"/>
    <w:rsid w:val="00EF593E"/>
    <w:rsid w:val="00EF63E4"/>
    <w:rsid w:val="00F01681"/>
    <w:rsid w:val="00F02CAA"/>
    <w:rsid w:val="00F03EF5"/>
    <w:rsid w:val="00F044CC"/>
    <w:rsid w:val="00F04D27"/>
    <w:rsid w:val="00F11897"/>
    <w:rsid w:val="00F11F1C"/>
    <w:rsid w:val="00F125C8"/>
    <w:rsid w:val="00F148D1"/>
    <w:rsid w:val="00F151F9"/>
    <w:rsid w:val="00F16E95"/>
    <w:rsid w:val="00F22020"/>
    <w:rsid w:val="00F22823"/>
    <w:rsid w:val="00F25CA3"/>
    <w:rsid w:val="00F26EDD"/>
    <w:rsid w:val="00F27BCF"/>
    <w:rsid w:val="00F337A5"/>
    <w:rsid w:val="00F338EC"/>
    <w:rsid w:val="00F376DE"/>
    <w:rsid w:val="00F37A8D"/>
    <w:rsid w:val="00F403FA"/>
    <w:rsid w:val="00F414A1"/>
    <w:rsid w:val="00F41DCD"/>
    <w:rsid w:val="00F42E99"/>
    <w:rsid w:val="00F43826"/>
    <w:rsid w:val="00F4394F"/>
    <w:rsid w:val="00F43FCA"/>
    <w:rsid w:val="00F44610"/>
    <w:rsid w:val="00F44959"/>
    <w:rsid w:val="00F45B33"/>
    <w:rsid w:val="00F4617B"/>
    <w:rsid w:val="00F46B38"/>
    <w:rsid w:val="00F50FEB"/>
    <w:rsid w:val="00F51715"/>
    <w:rsid w:val="00F51B2F"/>
    <w:rsid w:val="00F53FC4"/>
    <w:rsid w:val="00F55465"/>
    <w:rsid w:val="00F56F37"/>
    <w:rsid w:val="00F5774D"/>
    <w:rsid w:val="00F57A6D"/>
    <w:rsid w:val="00F61E7B"/>
    <w:rsid w:val="00F62E76"/>
    <w:rsid w:val="00F6409B"/>
    <w:rsid w:val="00F6572A"/>
    <w:rsid w:val="00F65C81"/>
    <w:rsid w:val="00F67FC0"/>
    <w:rsid w:val="00F7023B"/>
    <w:rsid w:val="00F71A13"/>
    <w:rsid w:val="00F7609B"/>
    <w:rsid w:val="00F7721E"/>
    <w:rsid w:val="00F772AE"/>
    <w:rsid w:val="00F77A19"/>
    <w:rsid w:val="00F802FC"/>
    <w:rsid w:val="00F80748"/>
    <w:rsid w:val="00F86495"/>
    <w:rsid w:val="00F86D50"/>
    <w:rsid w:val="00F875C1"/>
    <w:rsid w:val="00F93A5C"/>
    <w:rsid w:val="00F9649D"/>
    <w:rsid w:val="00F96D2E"/>
    <w:rsid w:val="00F978FE"/>
    <w:rsid w:val="00FA0246"/>
    <w:rsid w:val="00FA08F7"/>
    <w:rsid w:val="00FA256C"/>
    <w:rsid w:val="00FA53B8"/>
    <w:rsid w:val="00FA5408"/>
    <w:rsid w:val="00FA5995"/>
    <w:rsid w:val="00FA6638"/>
    <w:rsid w:val="00FA6B95"/>
    <w:rsid w:val="00FB271A"/>
    <w:rsid w:val="00FB3DCA"/>
    <w:rsid w:val="00FB423F"/>
    <w:rsid w:val="00FB6BAC"/>
    <w:rsid w:val="00FB718D"/>
    <w:rsid w:val="00FC262D"/>
    <w:rsid w:val="00FC3557"/>
    <w:rsid w:val="00FC3E39"/>
    <w:rsid w:val="00FC402D"/>
    <w:rsid w:val="00FD07F8"/>
    <w:rsid w:val="00FD15FB"/>
    <w:rsid w:val="00FD5173"/>
    <w:rsid w:val="00FD7A65"/>
    <w:rsid w:val="00FE2CF8"/>
    <w:rsid w:val="00FE3C7C"/>
    <w:rsid w:val="00FE3D9D"/>
    <w:rsid w:val="00FF3173"/>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97215"/>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1A"/>
  </w:style>
  <w:style w:type="paragraph" w:styleId="Heading1">
    <w:name w:val="heading 1"/>
    <w:basedOn w:val="Normal"/>
    <w:next w:val="Normal"/>
    <w:link w:val="Heading1Char"/>
    <w:uiPriority w:val="9"/>
    <w:qFormat/>
    <w:rsid w:val="00C04AB3"/>
    <w:pPr>
      <w:keepNext/>
      <w:keepLines/>
      <w:numPr>
        <w:numId w:val="1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2"/>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B4E98"/>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4E98"/>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Ann"/>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qFormat/>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511">
    <w:name w:val="Grid Table 5 Dark - Accent 1511"/>
    <w:basedOn w:val="TableNormal"/>
    <w:uiPriority w:val="50"/>
    <w:rsid w:val="00B77391"/>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jlqj4b">
    <w:name w:val="jlqj4b"/>
    <w:basedOn w:val="DefaultParagraphFont"/>
    <w:rsid w:val="00EC6830"/>
  </w:style>
  <w:style w:type="character" w:customStyle="1" w:styleId="normaltextrun">
    <w:name w:val="normaltextrun"/>
    <w:basedOn w:val="DefaultParagraphFont"/>
    <w:rsid w:val="004F253B"/>
  </w:style>
  <w:style w:type="paragraph" w:styleId="Revision">
    <w:name w:val="Revision"/>
    <w:hidden/>
    <w:uiPriority w:val="99"/>
    <w:semiHidden/>
    <w:rsid w:val="00AD27AB"/>
    <w:pPr>
      <w:spacing w:after="0" w:line="240" w:lineRule="auto"/>
    </w:pPr>
  </w:style>
  <w:style w:type="paragraph" w:styleId="NoSpacing">
    <w:name w:val="No Spacing"/>
    <w:link w:val="NoSpacingChar"/>
    <w:uiPriority w:val="1"/>
    <w:qFormat/>
    <w:rsid w:val="0033048E"/>
    <w:pPr>
      <w:spacing w:after="0" w:line="240" w:lineRule="auto"/>
    </w:pPr>
    <w:rPr>
      <w:rFonts w:ascii="Times New Roman" w:eastAsia="Times New Roman" w:hAnsi="Times New Roman" w:cs="Times New Roman"/>
      <w:szCs w:val="20"/>
      <w:lang w:val="en-GB" w:eastAsia="it-IT"/>
    </w:rPr>
  </w:style>
  <w:style w:type="character" w:customStyle="1" w:styleId="NoSpacingChar">
    <w:name w:val="No Spacing Char"/>
    <w:link w:val="NoSpacing"/>
    <w:uiPriority w:val="1"/>
    <w:locked/>
    <w:rsid w:val="0033048E"/>
    <w:rPr>
      <w:rFonts w:ascii="Times New Roman" w:eastAsia="Times New Roman" w:hAnsi="Times New Roman" w:cs="Times New Roman"/>
      <w:szCs w:val="20"/>
      <w:lang w:val="en-GB" w:eastAsia="it-IT"/>
    </w:rPr>
  </w:style>
  <w:style w:type="table" w:customStyle="1" w:styleId="GridTable5Dark-Accent12111">
    <w:name w:val="Grid Table 5 Dark - Accent 12111"/>
    <w:basedOn w:val="TableNormal"/>
    <w:next w:val="GridTable5Dark-Accent12"/>
    <w:uiPriority w:val="50"/>
    <w:rsid w:val="00F151F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paragraph">
    <w:name w:val="paragraph"/>
    <w:basedOn w:val="Normal"/>
    <w:rsid w:val="00954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5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392388957">
      <w:bodyDiv w:val="1"/>
      <w:marLeft w:val="0"/>
      <w:marRight w:val="0"/>
      <w:marTop w:val="0"/>
      <w:marBottom w:val="0"/>
      <w:divBdr>
        <w:top w:val="none" w:sz="0" w:space="0" w:color="auto"/>
        <w:left w:val="none" w:sz="0" w:space="0" w:color="auto"/>
        <w:bottom w:val="none" w:sz="0" w:space="0" w:color="auto"/>
        <w:right w:val="none" w:sz="0" w:space="0" w:color="auto"/>
      </w:divBdr>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58768385">
      <w:bodyDiv w:val="1"/>
      <w:marLeft w:val="0"/>
      <w:marRight w:val="0"/>
      <w:marTop w:val="0"/>
      <w:marBottom w:val="0"/>
      <w:divBdr>
        <w:top w:val="none" w:sz="0" w:space="0" w:color="auto"/>
        <w:left w:val="none" w:sz="0" w:space="0" w:color="auto"/>
        <w:bottom w:val="none" w:sz="0" w:space="0" w:color="auto"/>
        <w:right w:val="none" w:sz="0" w:space="0" w:color="auto"/>
      </w:divBdr>
      <w:divsChild>
        <w:div w:id="1693798072">
          <w:marLeft w:val="0"/>
          <w:marRight w:val="0"/>
          <w:marTop w:val="0"/>
          <w:marBottom w:val="0"/>
          <w:divBdr>
            <w:top w:val="none" w:sz="0" w:space="0" w:color="auto"/>
            <w:left w:val="none" w:sz="0" w:space="0" w:color="auto"/>
            <w:bottom w:val="none" w:sz="0" w:space="0" w:color="auto"/>
            <w:right w:val="none" w:sz="0" w:space="0" w:color="auto"/>
          </w:divBdr>
        </w:div>
        <w:div w:id="1940677421">
          <w:marLeft w:val="0"/>
          <w:marRight w:val="0"/>
          <w:marTop w:val="0"/>
          <w:marBottom w:val="0"/>
          <w:divBdr>
            <w:top w:val="none" w:sz="0" w:space="0" w:color="auto"/>
            <w:left w:val="none" w:sz="0" w:space="0" w:color="auto"/>
            <w:bottom w:val="none" w:sz="0" w:space="0" w:color="auto"/>
            <w:right w:val="none" w:sz="0" w:space="0" w:color="auto"/>
          </w:divBdr>
        </w:div>
        <w:div w:id="1728644170">
          <w:marLeft w:val="0"/>
          <w:marRight w:val="0"/>
          <w:marTop w:val="0"/>
          <w:marBottom w:val="0"/>
          <w:divBdr>
            <w:top w:val="none" w:sz="0" w:space="0" w:color="auto"/>
            <w:left w:val="none" w:sz="0" w:space="0" w:color="auto"/>
            <w:bottom w:val="none" w:sz="0" w:space="0" w:color="auto"/>
            <w:right w:val="none" w:sz="0" w:space="0" w:color="auto"/>
          </w:divBdr>
        </w:div>
        <w:div w:id="1775200915">
          <w:marLeft w:val="0"/>
          <w:marRight w:val="0"/>
          <w:marTop w:val="0"/>
          <w:marBottom w:val="0"/>
          <w:divBdr>
            <w:top w:val="none" w:sz="0" w:space="0" w:color="auto"/>
            <w:left w:val="none" w:sz="0" w:space="0" w:color="auto"/>
            <w:bottom w:val="none" w:sz="0" w:space="0" w:color="auto"/>
            <w:right w:val="none" w:sz="0" w:space="0" w:color="auto"/>
          </w:divBdr>
        </w:div>
        <w:div w:id="842008853">
          <w:marLeft w:val="0"/>
          <w:marRight w:val="0"/>
          <w:marTop w:val="0"/>
          <w:marBottom w:val="0"/>
          <w:divBdr>
            <w:top w:val="none" w:sz="0" w:space="0" w:color="auto"/>
            <w:left w:val="none" w:sz="0" w:space="0" w:color="auto"/>
            <w:bottom w:val="none" w:sz="0" w:space="0" w:color="auto"/>
            <w:right w:val="none" w:sz="0" w:space="0" w:color="auto"/>
          </w:divBdr>
        </w:div>
        <w:div w:id="2034724764">
          <w:marLeft w:val="0"/>
          <w:marRight w:val="0"/>
          <w:marTop w:val="0"/>
          <w:marBottom w:val="0"/>
          <w:divBdr>
            <w:top w:val="none" w:sz="0" w:space="0" w:color="auto"/>
            <w:left w:val="none" w:sz="0" w:space="0" w:color="auto"/>
            <w:bottom w:val="none" w:sz="0" w:space="0" w:color="auto"/>
            <w:right w:val="none" w:sz="0" w:space="0" w:color="auto"/>
          </w:divBdr>
        </w:div>
        <w:div w:id="1455251806">
          <w:marLeft w:val="0"/>
          <w:marRight w:val="0"/>
          <w:marTop w:val="0"/>
          <w:marBottom w:val="0"/>
          <w:divBdr>
            <w:top w:val="none" w:sz="0" w:space="0" w:color="auto"/>
            <w:left w:val="none" w:sz="0" w:space="0" w:color="auto"/>
            <w:bottom w:val="none" w:sz="0" w:space="0" w:color="auto"/>
            <w:right w:val="none" w:sz="0" w:space="0" w:color="auto"/>
          </w:divBdr>
        </w:div>
        <w:div w:id="769202810">
          <w:marLeft w:val="0"/>
          <w:marRight w:val="0"/>
          <w:marTop w:val="0"/>
          <w:marBottom w:val="0"/>
          <w:divBdr>
            <w:top w:val="none" w:sz="0" w:space="0" w:color="auto"/>
            <w:left w:val="none" w:sz="0" w:space="0" w:color="auto"/>
            <w:bottom w:val="none" w:sz="0" w:space="0" w:color="auto"/>
            <w:right w:val="none" w:sz="0" w:space="0" w:color="auto"/>
          </w:divBdr>
        </w:div>
        <w:div w:id="534511675">
          <w:marLeft w:val="0"/>
          <w:marRight w:val="0"/>
          <w:marTop w:val="0"/>
          <w:marBottom w:val="0"/>
          <w:divBdr>
            <w:top w:val="none" w:sz="0" w:space="0" w:color="auto"/>
            <w:left w:val="none" w:sz="0" w:space="0" w:color="auto"/>
            <w:bottom w:val="none" w:sz="0" w:space="0" w:color="auto"/>
            <w:right w:val="none" w:sz="0" w:space="0" w:color="auto"/>
          </w:divBdr>
        </w:div>
        <w:div w:id="582422470">
          <w:marLeft w:val="0"/>
          <w:marRight w:val="0"/>
          <w:marTop w:val="0"/>
          <w:marBottom w:val="0"/>
          <w:divBdr>
            <w:top w:val="none" w:sz="0" w:space="0" w:color="auto"/>
            <w:left w:val="none" w:sz="0" w:space="0" w:color="auto"/>
            <w:bottom w:val="none" w:sz="0" w:space="0" w:color="auto"/>
            <w:right w:val="none" w:sz="0" w:space="0" w:color="auto"/>
          </w:divBdr>
        </w:div>
        <w:div w:id="1386955067">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755590484">
          <w:marLeft w:val="0"/>
          <w:marRight w:val="0"/>
          <w:marTop w:val="0"/>
          <w:marBottom w:val="0"/>
          <w:divBdr>
            <w:top w:val="none" w:sz="0" w:space="0" w:color="auto"/>
            <w:left w:val="none" w:sz="0" w:space="0" w:color="auto"/>
            <w:bottom w:val="none" w:sz="0" w:space="0" w:color="auto"/>
            <w:right w:val="none" w:sz="0" w:space="0" w:color="auto"/>
          </w:divBdr>
        </w:div>
        <w:div w:id="1642491883">
          <w:marLeft w:val="0"/>
          <w:marRight w:val="0"/>
          <w:marTop w:val="0"/>
          <w:marBottom w:val="0"/>
          <w:divBdr>
            <w:top w:val="none" w:sz="0" w:space="0" w:color="auto"/>
            <w:left w:val="none" w:sz="0" w:space="0" w:color="auto"/>
            <w:bottom w:val="none" w:sz="0" w:space="0" w:color="auto"/>
            <w:right w:val="none" w:sz="0" w:space="0" w:color="auto"/>
          </w:divBdr>
        </w:div>
        <w:div w:id="1312099199">
          <w:marLeft w:val="0"/>
          <w:marRight w:val="0"/>
          <w:marTop w:val="0"/>
          <w:marBottom w:val="0"/>
          <w:divBdr>
            <w:top w:val="none" w:sz="0" w:space="0" w:color="auto"/>
            <w:left w:val="none" w:sz="0" w:space="0" w:color="auto"/>
            <w:bottom w:val="none" w:sz="0" w:space="0" w:color="auto"/>
            <w:right w:val="none" w:sz="0" w:space="0" w:color="auto"/>
          </w:divBdr>
        </w:div>
        <w:div w:id="256911826">
          <w:marLeft w:val="0"/>
          <w:marRight w:val="0"/>
          <w:marTop w:val="0"/>
          <w:marBottom w:val="0"/>
          <w:divBdr>
            <w:top w:val="none" w:sz="0" w:space="0" w:color="auto"/>
            <w:left w:val="none" w:sz="0" w:space="0" w:color="auto"/>
            <w:bottom w:val="none" w:sz="0" w:space="0" w:color="auto"/>
            <w:right w:val="none" w:sz="0" w:space="0" w:color="auto"/>
          </w:divBdr>
        </w:div>
        <w:div w:id="2145924472">
          <w:marLeft w:val="0"/>
          <w:marRight w:val="0"/>
          <w:marTop w:val="0"/>
          <w:marBottom w:val="0"/>
          <w:divBdr>
            <w:top w:val="none" w:sz="0" w:space="0" w:color="auto"/>
            <w:left w:val="none" w:sz="0" w:space="0" w:color="auto"/>
            <w:bottom w:val="none" w:sz="0" w:space="0" w:color="auto"/>
            <w:right w:val="none" w:sz="0" w:space="0" w:color="auto"/>
          </w:divBdr>
        </w:div>
        <w:div w:id="1535459566">
          <w:marLeft w:val="0"/>
          <w:marRight w:val="0"/>
          <w:marTop w:val="0"/>
          <w:marBottom w:val="0"/>
          <w:divBdr>
            <w:top w:val="none" w:sz="0" w:space="0" w:color="auto"/>
            <w:left w:val="none" w:sz="0" w:space="0" w:color="auto"/>
            <w:bottom w:val="none" w:sz="0" w:space="0" w:color="auto"/>
            <w:right w:val="none" w:sz="0" w:space="0" w:color="auto"/>
          </w:divBdr>
        </w:div>
        <w:div w:id="2021851941">
          <w:marLeft w:val="0"/>
          <w:marRight w:val="0"/>
          <w:marTop w:val="0"/>
          <w:marBottom w:val="0"/>
          <w:divBdr>
            <w:top w:val="none" w:sz="0" w:space="0" w:color="auto"/>
            <w:left w:val="none" w:sz="0" w:space="0" w:color="auto"/>
            <w:bottom w:val="none" w:sz="0" w:space="0" w:color="auto"/>
            <w:right w:val="none" w:sz="0" w:space="0" w:color="auto"/>
          </w:divBdr>
        </w:div>
        <w:div w:id="1036779859">
          <w:marLeft w:val="0"/>
          <w:marRight w:val="0"/>
          <w:marTop w:val="0"/>
          <w:marBottom w:val="0"/>
          <w:divBdr>
            <w:top w:val="none" w:sz="0" w:space="0" w:color="auto"/>
            <w:left w:val="none" w:sz="0" w:space="0" w:color="auto"/>
            <w:bottom w:val="none" w:sz="0" w:space="0" w:color="auto"/>
            <w:right w:val="none" w:sz="0" w:space="0" w:color="auto"/>
          </w:divBdr>
        </w:div>
        <w:div w:id="1132552944">
          <w:marLeft w:val="0"/>
          <w:marRight w:val="0"/>
          <w:marTop w:val="0"/>
          <w:marBottom w:val="0"/>
          <w:divBdr>
            <w:top w:val="none" w:sz="0" w:space="0" w:color="auto"/>
            <w:left w:val="none" w:sz="0" w:space="0" w:color="auto"/>
            <w:bottom w:val="none" w:sz="0" w:space="0" w:color="auto"/>
            <w:right w:val="none" w:sz="0" w:space="0" w:color="auto"/>
          </w:divBdr>
        </w:div>
        <w:div w:id="329454558">
          <w:marLeft w:val="0"/>
          <w:marRight w:val="0"/>
          <w:marTop w:val="0"/>
          <w:marBottom w:val="0"/>
          <w:divBdr>
            <w:top w:val="none" w:sz="0" w:space="0" w:color="auto"/>
            <w:left w:val="none" w:sz="0" w:space="0" w:color="auto"/>
            <w:bottom w:val="none" w:sz="0" w:space="0" w:color="auto"/>
            <w:right w:val="none" w:sz="0" w:space="0" w:color="auto"/>
          </w:divBdr>
        </w:div>
        <w:div w:id="1578318538">
          <w:marLeft w:val="0"/>
          <w:marRight w:val="0"/>
          <w:marTop w:val="0"/>
          <w:marBottom w:val="0"/>
          <w:divBdr>
            <w:top w:val="none" w:sz="0" w:space="0" w:color="auto"/>
            <w:left w:val="none" w:sz="0" w:space="0" w:color="auto"/>
            <w:bottom w:val="none" w:sz="0" w:space="0" w:color="auto"/>
            <w:right w:val="none" w:sz="0" w:space="0" w:color="auto"/>
          </w:divBdr>
        </w:div>
        <w:div w:id="1810587734">
          <w:marLeft w:val="0"/>
          <w:marRight w:val="0"/>
          <w:marTop w:val="0"/>
          <w:marBottom w:val="0"/>
          <w:divBdr>
            <w:top w:val="none" w:sz="0" w:space="0" w:color="auto"/>
            <w:left w:val="none" w:sz="0" w:space="0" w:color="auto"/>
            <w:bottom w:val="none" w:sz="0" w:space="0" w:color="auto"/>
            <w:right w:val="none" w:sz="0" w:space="0" w:color="auto"/>
          </w:divBdr>
        </w:div>
        <w:div w:id="1301569663">
          <w:marLeft w:val="0"/>
          <w:marRight w:val="0"/>
          <w:marTop w:val="0"/>
          <w:marBottom w:val="0"/>
          <w:divBdr>
            <w:top w:val="none" w:sz="0" w:space="0" w:color="auto"/>
            <w:left w:val="none" w:sz="0" w:space="0" w:color="auto"/>
            <w:bottom w:val="none" w:sz="0" w:space="0" w:color="auto"/>
            <w:right w:val="none" w:sz="0" w:space="0" w:color="auto"/>
          </w:divBdr>
        </w:div>
        <w:div w:id="1357006383">
          <w:marLeft w:val="0"/>
          <w:marRight w:val="0"/>
          <w:marTop w:val="0"/>
          <w:marBottom w:val="0"/>
          <w:divBdr>
            <w:top w:val="none" w:sz="0" w:space="0" w:color="auto"/>
            <w:left w:val="none" w:sz="0" w:space="0" w:color="auto"/>
            <w:bottom w:val="none" w:sz="0" w:space="0" w:color="auto"/>
            <w:right w:val="none" w:sz="0" w:space="0" w:color="auto"/>
          </w:divBdr>
        </w:div>
        <w:div w:id="1661229420">
          <w:marLeft w:val="0"/>
          <w:marRight w:val="0"/>
          <w:marTop w:val="0"/>
          <w:marBottom w:val="0"/>
          <w:divBdr>
            <w:top w:val="none" w:sz="0" w:space="0" w:color="auto"/>
            <w:left w:val="none" w:sz="0" w:space="0" w:color="auto"/>
            <w:bottom w:val="none" w:sz="0" w:space="0" w:color="auto"/>
            <w:right w:val="none" w:sz="0" w:space="0" w:color="auto"/>
          </w:divBdr>
        </w:div>
        <w:div w:id="358626051">
          <w:marLeft w:val="0"/>
          <w:marRight w:val="0"/>
          <w:marTop w:val="0"/>
          <w:marBottom w:val="0"/>
          <w:divBdr>
            <w:top w:val="none" w:sz="0" w:space="0" w:color="auto"/>
            <w:left w:val="none" w:sz="0" w:space="0" w:color="auto"/>
            <w:bottom w:val="none" w:sz="0" w:space="0" w:color="auto"/>
            <w:right w:val="none" w:sz="0" w:space="0" w:color="auto"/>
          </w:divBdr>
        </w:div>
        <w:div w:id="487870170">
          <w:marLeft w:val="0"/>
          <w:marRight w:val="0"/>
          <w:marTop w:val="0"/>
          <w:marBottom w:val="0"/>
          <w:divBdr>
            <w:top w:val="none" w:sz="0" w:space="0" w:color="auto"/>
            <w:left w:val="none" w:sz="0" w:space="0" w:color="auto"/>
            <w:bottom w:val="none" w:sz="0" w:space="0" w:color="auto"/>
            <w:right w:val="none" w:sz="0" w:space="0" w:color="auto"/>
          </w:divBdr>
        </w:div>
        <w:div w:id="606813932">
          <w:marLeft w:val="0"/>
          <w:marRight w:val="0"/>
          <w:marTop w:val="0"/>
          <w:marBottom w:val="0"/>
          <w:divBdr>
            <w:top w:val="none" w:sz="0" w:space="0" w:color="auto"/>
            <w:left w:val="none" w:sz="0" w:space="0" w:color="auto"/>
            <w:bottom w:val="none" w:sz="0" w:space="0" w:color="auto"/>
            <w:right w:val="none" w:sz="0" w:space="0" w:color="auto"/>
          </w:divBdr>
        </w:div>
        <w:div w:id="178083386">
          <w:marLeft w:val="0"/>
          <w:marRight w:val="0"/>
          <w:marTop w:val="0"/>
          <w:marBottom w:val="0"/>
          <w:divBdr>
            <w:top w:val="none" w:sz="0" w:space="0" w:color="auto"/>
            <w:left w:val="none" w:sz="0" w:space="0" w:color="auto"/>
            <w:bottom w:val="none" w:sz="0" w:space="0" w:color="auto"/>
            <w:right w:val="none" w:sz="0" w:space="0" w:color="auto"/>
          </w:divBdr>
        </w:div>
        <w:div w:id="561015788">
          <w:marLeft w:val="0"/>
          <w:marRight w:val="0"/>
          <w:marTop w:val="0"/>
          <w:marBottom w:val="0"/>
          <w:divBdr>
            <w:top w:val="none" w:sz="0" w:space="0" w:color="auto"/>
            <w:left w:val="none" w:sz="0" w:space="0" w:color="auto"/>
            <w:bottom w:val="none" w:sz="0" w:space="0" w:color="auto"/>
            <w:right w:val="none" w:sz="0" w:space="0" w:color="auto"/>
          </w:divBdr>
        </w:div>
        <w:div w:id="1806505133">
          <w:marLeft w:val="0"/>
          <w:marRight w:val="0"/>
          <w:marTop w:val="0"/>
          <w:marBottom w:val="0"/>
          <w:divBdr>
            <w:top w:val="none" w:sz="0" w:space="0" w:color="auto"/>
            <w:left w:val="none" w:sz="0" w:space="0" w:color="auto"/>
            <w:bottom w:val="none" w:sz="0" w:space="0" w:color="auto"/>
            <w:right w:val="none" w:sz="0" w:space="0" w:color="auto"/>
          </w:divBdr>
        </w:div>
        <w:div w:id="1225070356">
          <w:marLeft w:val="0"/>
          <w:marRight w:val="0"/>
          <w:marTop w:val="0"/>
          <w:marBottom w:val="0"/>
          <w:divBdr>
            <w:top w:val="none" w:sz="0" w:space="0" w:color="auto"/>
            <w:left w:val="none" w:sz="0" w:space="0" w:color="auto"/>
            <w:bottom w:val="none" w:sz="0" w:space="0" w:color="auto"/>
            <w:right w:val="none" w:sz="0" w:space="0" w:color="auto"/>
          </w:divBdr>
        </w:div>
        <w:div w:id="459735506">
          <w:marLeft w:val="0"/>
          <w:marRight w:val="0"/>
          <w:marTop w:val="0"/>
          <w:marBottom w:val="0"/>
          <w:divBdr>
            <w:top w:val="none" w:sz="0" w:space="0" w:color="auto"/>
            <w:left w:val="none" w:sz="0" w:space="0" w:color="auto"/>
            <w:bottom w:val="none" w:sz="0" w:space="0" w:color="auto"/>
            <w:right w:val="none" w:sz="0" w:space="0" w:color="auto"/>
          </w:divBdr>
        </w:div>
        <w:div w:id="158085856">
          <w:marLeft w:val="0"/>
          <w:marRight w:val="0"/>
          <w:marTop w:val="0"/>
          <w:marBottom w:val="0"/>
          <w:divBdr>
            <w:top w:val="none" w:sz="0" w:space="0" w:color="auto"/>
            <w:left w:val="none" w:sz="0" w:space="0" w:color="auto"/>
            <w:bottom w:val="none" w:sz="0" w:space="0" w:color="auto"/>
            <w:right w:val="none" w:sz="0" w:space="0" w:color="auto"/>
          </w:divBdr>
        </w:div>
        <w:div w:id="1802265018">
          <w:marLeft w:val="0"/>
          <w:marRight w:val="0"/>
          <w:marTop w:val="0"/>
          <w:marBottom w:val="0"/>
          <w:divBdr>
            <w:top w:val="none" w:sz="0" w:space="0" w:color="auto"/>
            <w:left w:val="none" w:sz="0" w:space="0" w:color="auto"/>
            <w:bottom w:val="none" w:sz="0" w:space="0" w:color="auto"/>
            <w:right w:val="none" w:sz="0" w:space="0" w:color="auto"/>
          </w:divBdr>
        </w:div>
        <w:div w:id="964120674">
          <w:marLeft w:val="0"/>
          <w:marRight w:val="0"/>
          <w:marTop w:val="0"/>
          <w:marBottom w:val="0"/>
          <w:divBdr>
            <w:top w:val="none" w:sz="0" w:space="0" w:color="auto"/>
            <w:left w:val="none" w:sz="0" w:space="0" w:color="auto"/>
            <w:bottom w:val="none" w:sz="0" w:space="0" w:color="auto"/>
            <w:right w:val="none" w:sz="0" w:space="0" w:color="auto"/>
          </w:divBdr>
        </w:div>
        <w:div w:id="448861234">
          <w:marLeft w:val="0"/>
          <w:marRight w:val="0"/>
          <w:marTop w:val="0"/>
          <w:marBottom w:val="0"/>
          <w:divBdr>
            <w:top w:val="none" w:sz="0" w:space="0" w:color="auto"/>
            <w:left w:val="none" w:sz="0" w:space="0" w:color="auto"/>
            <w:bottom w:val="none" w:sz="0" w:space="0" w:color="auto"/>
            <w:right w:val="none" w:sz="0" w:space="0" w:color="auto"/>
          </w:divBdr>
        </w:div>
        <w:div w:id="850336466">
          <w:marLeft w:val="0"/>
          <w:marRight w:val="0"/>
          <w:marTop w:val="0"/>
          <w:marBottom w:val="0"/>
          <w:divBdr>
            <w:top w:val="none" w:sz="0" w:space="0" w:color="auto"/>
            <w:left w:val="none" w:sz="0" w:space="0" w:color="auto"/>
            <w:bottom w:val="none" w:sz="0" w:space="0" w:color="auto"/>
            <w:right w:val="none" w:sz="0" w:space="0" w:color="auto"/>
          </w:divBdr>
        </w:div>
        <w:div w:id="1811167096">
          <w:marLeft w:val="0"/>
          <w:marRight w:val="0"/>
          <w:marTop w:val="0"/>
          <w:marBottom w:val="0"/>
          <w:divBdr>
            <w:top w:val="none" w:sz="0" w:space="0" w:color="auto"/>
            <w:left w:val="none" w:sz="0" w:space="0" w:color="auto"/>
            <w:bottom w:val="none" w:sz="0" w:space="0" w:color="auto"/>
            <w:right w:val="none" w:sz="0" w:space="0" w:color="auto"/>
          </w:divBdr>
        </w:div>
        <w:div w:id="971208842">
          <w:marLeft w:val="0"/>
          <w:marRight w:val="0"/>
          <w:marTop w:val="0"/>
          <w:marBottom w:val="0"/>
          <w:divBdr>
            <w:top w:val="none" w:sz="0" w:space="0" w:color="auto"/>
            <w:left w:val="none" w:sz="0" w:space="0" w:color="auto"/>
            <w:bottom w:val="none" w:sz="0" w:space="0" w:color="auto"/>
            <w:right w:val="none" w:sz="0" w:space="0" w:color="auto"/>
          </w:divBdr>
        </w:div>
        <w:div w:id="655450354">
          <w:marLeft w:val="0"/>
          <w:marRight w:val="0"/>
          <w:marTop w:val="0"/>
          <w:marBottom w:val="0"/>
          <w:divBdr>
            <w:top w:val="none" w:sz="0" w:space="0" w:color="auto"/>
            <w:left w:val="none" w:sz="0" w:space="0" w:color="auto"/>
            <w:bottom w:val="none" w:sz="0" w:space="0" w:color="auto"/>
            <w:right w:val="none" w:sz="0" w:space="0" w:color="auto"/>
          </w:divBdr>
        </w:div>
        <w:div w:id="1221092159">
          <w:marLeft w:val="0"/>
          <w:marRight w:val="0"/>
          <w:marTop w:val="0"/>
          <w:marBottom w:val="0"/>
          <w:divBdr>
            <w:top w:val="none" w:sz="0" w:space="0" w:color="auto"/>
            <w:left w:val="none" w:sz="0" w:space="0" w:color="auto"/>
            <w:bottom w:val="none" w:sz="0" w:space="0" w:color="auto"/>
            <w:right w:val="none" w:sz="0" w:space="0" w:color="auto"/>
          </w:divBdr>
        </w:div>
      </w:divsChild>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18254614">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03557834">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emf"/><Relationship Id="rId44" Type="http://schemas.openxmlformats.org/officeDocument/2006/relationships/image" Target="media/image3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9" ma:contentTypeDescription="Create a new document." ma:contentTypeScope="" ma:versionID="dd9dc73b7a077b99cdec2f35f6111484">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76e872dafebbb4cf9100e54e6582c59b"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4B94-2E14-4047-B1A0-F8013EE316F3}">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9264F503-EEB8-48D4-B2F4-9905A0BC5F20}">
  <ds:schemaRefs>
    <ds:schemaRef ds:uri="http://schemas.openxmlformats.org/officeDocument/2006/bibliography"/>
  </ds:schemaRefs>
</ds:datastoreItem>
</file>

<file path=customXml/itemProps3.xml><?xml version="1.0" encoding="utf-8"?>
<ds:datastoreItem xmlns:ds="http://schemas.openxmlformats.org/officeDocument/2006/customXml" ds:itemID="{C2C05C90-0261-4D46-B179-270765EAC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24B4A-8ACC-4B65-AB74-2F9E8799A2DF}">
  <ds:schemaRefs>
    <ds:schemaRef ds:uri="http://schemas.microsoft.com/sharepoint/v3/contenttype/forms"/>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50</TotalTime>
  <Pages>63</Pages>
  <Words>16495</Words>
  <Characters>94027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Ina Dhaskali</cp:lastModifiedBy>
  <cp:revision>11</cp:revision>
  <cp:lastPrinted>2022-07-25T11:38:00Z</cp:lastPrinted>
  <dcterms:created xsi:type="dcterms:W3CDTF">2025-06-13T10:19:00Z</dcterms:created>
  <dcterms:modified xsi:type="dcterms:W3CDTF">2025-06-16T09:58:00Z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