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529" w14:textId="77777777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KOMENTE DHE REKOMANDIME </w:t>
      </w:r>
    </w:p>
    <w:p w14:paraId="743892D8" w14:textId="2A551104" w:rsidR="00960C25" w:rsidRPr="00DF1E52" w:rsidRDefault="00960C25" w:rsidP="00960C25">
      <w:pPr>
        <w:spacing w:line="276" w:lineRule="auto"/>
        <w:jc w:val="center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MBI RAPORTIN E MONITORIMIT </w:t>
      </w:r>
      <w:r w:rsidR="00E63B96">
        <w:rPr>
          <w:rFonts w:asciiTheme="majorBidi" w:hAnsiTheme="majorBidi" w:cstheme="majorBidi"/>
          <w:b/>
          <w:color w:val="000000" w:themeColor="text1"/>
          <w:lang w:val="sq-AL"/>
        </w:rPr>
        <w:t>PËR 4 MUJORIN E PARË TË VITIT 2025</w:t>
      </w:r>
    </w:p>
    <w:p w14:paraId="262C9E71" w14:textId="23E85FA5" w:rsidR="00960C25" w:rsidRPr="00D12A0D" w:rsidRDefault="00960C25" w:rsidP="00D12A0D">
      <w:pPr>
        <w:spacing w:line="276" w:lineRule="auto"/>
        <w:jc w:val="center"/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 xml:space="preserve">PËR 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KOLEGJIN E POSAÇ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M T</w:t>
      </w:r>
      <w:r w:rsidR="00227185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>Ë</w:t>
      </w:r>
      <w:r w:rsidR="002C718E">
        <w:rPr>
          <w:rFonts w:asciiTheme="majorBidi" w:hAnsiTheme="majorBidi" w:cstheme="majorBidi"/>
          <w:b/>
          <w:bCs/>
          <w:caps/>
          <w:color w:val="000000" w:themeColor="text1"/>
          <w:lang w:val="sq-AL" w:eastAsia="sq-AL"/>
        </w:rPr>
        <w:t xml:space="preserve"> APELIMIT</w:t>
      </w:r>
    </w:p>
    <w:p w14:paraId="56548DCD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7C05E4CA" w14:textId="77777777" w:rsidR="00D12A0D" w:rsidRPr="00DF1E52" w:rsidRDefault="00D12A0D" w:rsidP="00960C25">
      <w:pPr>
        <w:tabs>
          <w:tab w:val="left" w:pos="2160"/>
        </w:tabs>
        <w:spacing w:line="276" w:lineRule="auto"/>
        <w:jc w:val="both"/>
        <w:rPr>
          <w:bCs/>
          <w:color w:val="000000" w:themeColor="text1"/>
          <w:lang w:val="sq-AL"/>
        </w:rPr>
      </w:pPr>
    </w:p>
    <w:p w14:paraId="7143212A" w14:textId="09271505" w:rsidR="00974949" w:rsidRPr="00D12A0D" w:rsidRDefault="00960C25" w:rsidP="00D12A0D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D12A0D">
        <w:rPr>
          <w:rFonts w:asciiTheme="majorBidi" w:hAnsiTheme="majorBidi" w:cstheme="majorBidi"/>
          <w:b/>
          <w:color w:val="000000" w:themeColor="text1"/>
          <w:lang w:val="sq-AL"/>
        </w:rPr>
        <w:t xml:space="preserve">Vlerësim i përgjithshëm </w:t>
      </w:r>
    </w:p>
    <w:p w14:paraId="3AC1928D" w14:textId="6C092414" w:rsidR="00960C25" w:rsidRDefault="002C718E" w:rsidP="0051173B">
      <w:pPr>
        <w:spacing w:line="276" w:lineRule="auto"/>
        <w:jc w:val="both"/>
        <w:rPr>
          <w:bCs/>
          <w:color w:val="000000" w:themeColor="text1"/>
          <w:lang w:val="sq-AL"/>
        </w:rPr>
      </w:pP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Kolegji i Posaç</w:t>
      </w:r>
      <w:r w:rsidR="00227185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ë</w:t>
      </w:r>
      <w:r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>m i Apelimit</w:t>
      </w:r>
      <w:r w:rsidR="00960C25" w:rsidRPr="00DF1E52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8A0AF9">
        <w:rPr>
          <w:rFonts w:asciiTheme="majorBidi" w:hAnsiTheme="majorBidi" w:cstheme="majorBidi"/>
          <w:bCs/>
          <w:color w:val="000000" w:themeColor="text1"/>
          <w:lang w:val="sq-AL" w:eastAsia="sq-AL"/>
        </w:rPr>
        <w:t>gjatë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>4 mujorit t</w:t>
      </w:r>
      <w:r w:rsidR="00815BFB">
        <w:rPr>
          <w:rFonts w:asciiTheme="majorBidi" w:hAnsiTheme="majorBidi" w:cstheme="majorBidi"/>
          <w:bCs/>
          <w:color w:val="000000" w:themeColor="text1"/>
          <w:lang w:val="sq-AL" w:eastAsia="sq-AL"/>
        </w:rPr>
        <w:t>ë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par</w:t>
      </w:r>
      <w:r w:rsidR="00815BFB">
        <w:rPr>
          <w:rFonts w:asciiTheme="majorBidi" w:hAnsiTheme="majorBidi" w:cstheme="majorBidi"/>
          <w:bCs/>
          <w:color w:val="000000" w:themeColor="text1"/>
          <w:lang w:val="sq-AL" w:eastAsia="sq-AL"/>
        </w:rPr>
        <w:t>ë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t</w:t>
      </w:r>
      <w:r w:rsidR="00815BFB">
        <w:rPr>
          <w:rFonts w:asciiTheme="majorBidi" w:hAnsiTheme="majorBidi" w:cstheme="majorBidi"/>
          <w:bCs/>
          <w:color w:val="000000" w:themeColor="text1"/>
          <w:lang w:val="sq-AL" w:eastAsia="sq-AL"/>
        </w:rPr>
        <w:t>ë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 xml:space="preserve"> </w:t>
      </w:r>
      <w:r w:rsidR="008B3016">
        <w:rPr>
          <w:rFonts w:asciiTheme="majorBidi" w:hAnsiTheme="majorBidi" w:cstheme="majorBidi"/>
          <w:bCs/>
          <w:color w:val="000000" w:themeColor="text1"/>
          <w:lang w:val="sq-AL" w:eastAsia="sq-AL"/>
        </w:rPr>
        <w:t>vitit 202</w:t>
      </w:r>
      <w:r w:rsidR="00E63B96">
        <w:rPr>
          <w:rFonts w:asciiTheme="majorBidi" w:hAnsiTheme="majorBidi" w:cstheme="majorBidi"/>
          <w:bCs/>
          <w:color w:val="000000" w:themeColor="text1"/>
          <w:lang w:val="sq-AL" w:eastAsia="sq-AL"/>
        </w:rPr>
        <w:t>5</w:t>
      </w:r>
      <w:r w:rsidR="00BE1749" w:rsidRPr="00BE1749">
        <w:rPr>
          <w:rFonts w:asciiTheme="majorBidi" w:hAnsiTheme="majorBidi" w:cstheme="majorBidi"/>
          <w:b/>
          <w:bCs/>
          <w:color w:val="000000" w:themeColor="text1"/>
          <w:lang w:val="sq-AL" w:eastAsia="sq-AL"/>
        </w:rPr>
        <w:t xml:space="preserve"> </w:t>
      </w:r>
      <w:r w:rsidR="00960C25" w:rsidRPr="00DF1E52">
        <w:rPr>
          <w:bCs/>
          <w:color w:val="000000" w:themeColor="text1"/>
          <w:lang w:val="sq-AL"/>
        </w:rPr>
        <w:t xml:space="preserve">ka administruar dhe menaxhuar fondet publike sipas programit “Veprimtaria e </w:t>
      </w:r>
      <w:r>
        <w:rPr>
          <w:bCs/>
          <w:color w:val="000000" w:themeColor="text1"/>
          <w:lang w:val="sq-AL"/>
        </w:rPr>
        <w:t>Apelimit t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 xml:space="preserve"> </w:t>
      </w:r>
      <w:r w:rsidR="00A561DF">
        <w:rPr>
          <w:bCs/>
          <w:color w:val="000000" w:themeColor="text1"/>
          <w:lang w:val="sq-AL"/>
        </w:rPr>
        <w:t>Riv</w:t>
      </w:r>
      <w:r>
        <w:rPr>
          <w:bCs/>
          <w:color w:val="000000" w:themeColor="text1"/>
          <w:lang w:val="sq-AL"/>
        </w:rPr>
        <w:t>ler</w:t>
      </w:r>
      <w:r w:rsidR="00227185">
        <w:rPr>
          <w:bCs/>
          <w:color w:val="000000" w:themeColor="text1"/>
          <w:lang w:val="sq-AL"/>
        </w:rPr>
        <w:t>ë</w:t>
      </w:r>
      <w:r>
        <w:rPr>
          <w:bCs/>
          <w:color w:val="000000" w:themeColor="text1"/>
          <w:lang w:val="sq-AL"/>
        </w:rPr>
        <w:t>simit Kalimtar</w:t>
      </w:r>
      <w:r w:rsidR="00960C25" w:rsidRPr="00DF1E52">
        <w:rPr>
          <w:bCs/>
          <w:color w:val="000000" w:themeColor="text1"/>
          <w:lang w:val="sq-AL"/>
        </w:rPr>
        <w:t>”.</w:t>
      </w:r>
    </w:p>
    <w:p w14:paraId="4569C161" w14:textId="77777777" w:rsidR="0051173B" w:rsidRDefault="0051173B" w:rsidP="0051173B">
      <w:pPr>
        <w:spacing w:line="276" w:lineRule="auto"/>
        <w:jc w:val="both"/>
        <w:rPr>
          <w:bCs/>
          <w:color w:val="000000" w:themeColor="text1"/>
          <w:lang w:val="sq-AL"/>
        </w:rPr>
      </w:pPr>
    </w:p>
    <w:p w14:paraId="180244C9" w14:textId="0FE287A2" w:rsidR="008937CE" w:rsidRDefault="008937CE" w:rsidP="008937CE">
      <w:pPr>
        <w:spacing w:after="240"/>
        <w:jc w:val="both"/>
        <w:rPr>
          <w:lang w:val="sq-AL"/>
        </w:rPr>
      </w:pPr>
      <w:r w:rsidRPr="00F371E6">
        <w:rPr>
          <w:lang w:val="sq-AL"/>
        </w:rPr>
        <w:t xml:space="preserve">Me fondet e buxhetit të vëna në dispozicion gjatë </w:t>
      </w:r>
      <w:r w:rsidR="00E63B96">
        <w:rPr>
          <w:lang w:val="sq-AL"/>
        </w:rPr>
        <w:t>4 mujorit t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par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t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</w:t>
      </w:r>
      <w:r>
        <w:rPr>
          <w:lang w:val="sq-AL"/>
        </w:rPr>
        <w:t>vitit 202</w:t>
      </w:r>
      <w:r w:rsidR="00E63B96">
        <w:rPr>
          <w:lang w:val="sq-AL"/>
        </w:rPr>
        <w:t>5</w:t>
      </w:r>
      <w:r>
        <w:rPr>
          <w:lang w:val="sq-AL"/>
        </w:rPr>
        <w:t xml:space="preserve">, </w:t>
      </w:r>
      <w:r w:rsidR="002C718E">
        <w:rPr>
          <w:lang w:val="sq-AL"/>
        </w:rPr>
        <w:t>KPA</w:t>
      </w:r>
      <w:r>
        <w:rPr>
          <w:lang w:val="sq-AL"/>
        </w:rPr>
        <w:t xml:space="preserve">  </w:t>
      </w:r>
      <w:r w:rsidRPr="00F371E6">
        <w:rPr>
          <w:lang w:val="sq-AL"/>
        </w:rPr>
        <w:t>ka realizuar q</w:t>
      </w:r>
      <w:r>
        <w:rPr>
          <w:lang w:val="sq-AL"/>
        </w:rPr>
        <w:t>ë</w:t>
      </w:r>
      <w:r w:rsidRPr="00F371E6">
        <w:rPr>
          <w:lang w:val="sq-AL"/>
        </w:rPr>
        <w:t>llimin</w:t>
      </w:r>
      <w:r>
        <w:rPr>
          <w:lang w:val="sq-AL"/>
        </w:rPr>
        <w:t xml:space="preserve"> e tij,</w:t>
      </w:r>
      <w:r w:rsidRPr="00F371E6">
        <w:rPr>
          <w:lang w:val="sq-AL"/>
        </w:rPr>
        <w:t xml:space="preserve"> </w:t>
      </w:r>
      <w:r>
        <w:rPr>
          <w:lang w:val="sq-AL"/>
        </w:rPr>
        <w:t>i cili është “</w:t>
      </w:r>
      <w:r w:rsidR="00A561DF">
        <w:rPr>
          <w:lang w:val="sq-AL"/>
        </w:rPr>
        <w:t>F</w:t>
      </w:r>
      <w:r>
        <w:rPr>
          <w:lang w:val="sq-AL"/>
        </w:rPr>
        <w:t>unksionimi</w:t>
      </w:r>
      <w:r w:rsidR="00A561DF">
        <w:rPr>
          <w:lang w:val="sq-AL"/>
        </w:rPr>
        <w:t xml:space="preserve"> i</w:t>
      </w:r>
      <w:r>
        <w:rPr>
          <w:lang w:val="sq-AL"/>
        </w:rPr>
        <w:t xml:space="preserve"> shtetit të së drejtës, pavarësinë e sistemit të drejtësisë si dhe rikthimin e besimit të publikut tek institucionet e këtij sistemi”. </w:t>
      </w:r>
    </w:p>
    <w:p w14:paraId="2A1599AE" w14:textId="2890DCCF" w:rsidR="008937CE" w:rsidRDefault="008937CE" w:rsidP="008937CE">
      <w:pPr>
        <w:spacing w:after="240"/>
        <w:jc w:val="both"/>
        <w:rPr>
          <w:lang w:val="sq-AL"/>
        </w:rPr>
      </w:pPr>
      <w:r>
        <w:rPr>
          <w:lang w:val="sq-AL"/>
        </w:rPr>
        <w:t>Përgjatë</w:t>
      </w:r>
      <w:r w:rsidR="00AB7C9D">
        <w:rPr>
          <w:lang w:val="sq-AL"/>
        </w:rPr>
        <w:t xml:space="preserve"> </w:t>
      </w:r>
      <w:r w:rsidR="00E63B96">
        <w:rPr>
          <w:lang w:val="sq-AL"/>
        </w:rPr>
        <w:t>4 mujorit t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par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t</w:t>
      </w:r>
      <w:r w:rsidR="00815BFB">
        <w:rPr>
          <w:lang w:val="sq-AL"/>
        </w:rPr>
        <w:t>ë</w:t>
      </w:r>
      <w:r w:rsidR="00E63B96">
        <w:rPr>
          <w:lang w:val="sq-AL"/>
        </w:rPr>
        <w:t xml:space="preserve"> vitit </w:t>
      </w:r>
      <w:r>
        <w:rPr>
          <w:lang w:val="sq-AL"/>
        </w:rPr>
        <w:t>202</w:t>
      </w:r>
      <w:r w:rsidR="00E63B96">
        <w:rPr>
          <w:lang w:val="sq-AL"/>
        </w:rPr>
        <w:t>5</w:t>
      </w:r>
      <w:r>
        <w:rPr>
          <w:lang w:val="sq-AL"/>
        </w:rPr>
        <w:t xml:space="preserve"> është realizuar objektivi i programit i cili konsiston në </w:t>
      </w:r>
      <w:r w:rsidRPr="009F33D0">
        <w:rPr>
          <w:lang w:val="sq-AL"/>
        </w:rPr>
        <w:t>“</w:t>
      </w:r>
      <w:r w:rsidR="00A561DF">
        <w:rPr>
          <w:lang w:val="sq-AL"/>
        </w:rPr>
        <w:t>Shqyrtimin e ç</w:t>
      </w:r>
      <w:r w:rsidR="00227185">
        <w:rPr>
          <w:lang w:val="sq-AL"/>
        </w:rPr>
        <w:t>ë</w:t>
      </w:r>
      <w:r w:rsidR="00A561DF">
        <w:rPr>
          <w:lang w:val="sq-AL"/>
        </w:rPr>
        <w:t>shtjeve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ankimuara n</w:t>
      </w:r>
      <w:r w:rsidR="00227185">
        <w:rPr>
          <w:lang w:val="sq-AL"/>
        </w:rPr>
        <w:t>ë</w:t>
      </w:r>
      <w:r w:rsidR="00A561DF">
        <w:rPr>
          <w:lang w:val="sq-AL"/>
        </w:rPr>
        <w:t>n juridiksion, bazuar n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nj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proces t</w:t>
      </w:r>
      <w:r w:rsidR="00227185">
        <w:rPr>
          <w:lang w:val="sq-AL"/>
        </w:rPr>
        <w:t>ë</w:t>
      </w:r>
      <w:r w:rsidR="00A561DF">
        <w:rPr>
          <w:lang w:val="sq-AL"/>
        </w:rPr>
        <w:t xml:space="preserve"> rregullt ligjor</w:t>
      </w:r>
      <w:r w:rsidRPr="009F33D0">
        <w:rPr>
          <w:lang w:val="sq-AL"/>
        </w:rPr>
        <w:t>”.</w:t>
      </w:r>
      <w:r>
        <w:rPr>
          <w:lang w:val="sq-AL"/>
        </w:rPr>
        <w:t xml:space="preserve"> </w:t>
      </w:r>
    </w:p>
    <w:p w14:paraId="41A71529" w14:textId="08B2504B" w:rsidR="008937CE" w:rsidRDefault="008937CE" w:rsidP="008937CE">
      <w:pPr>
        <w:jc w:val="both"/>
        <w:rPr>
          <w:lang w:val="sq-AL"/>
        </w:rPr>
      </w:pPr>
      <w:r>
        <w:rPr>
          <w:lang w:val="sq-AL"/>
        </w:rPr>
        <w:t>Për realizimin e objek</w:t>
      </w:r>
      <w:r w:rsidR="009F33D0">
        <w:rPr>
          <w:lang w:val="sq-AL"/>
        </w:rPr>
        <w:t>tivit kanë kontribuar produktet</w:t>
      </w:r>
      <w:r>
        <w:rPr>
          <w:lang w:val="sq-AL"/>
        </w:rPr>
        <w:t xml:space="preserve"> performanca e të cilëve paraqitet si më poshtë:</w:t>
      </w:r>
    </w:p>
    <w:p w14:paraId="5A446CAB" w14:textId="77777777" w:rsidR="00974949" w:rsidRDefault="00974949" w:rsidP="008937CE">
      <w:pPr>
        <w:jc w:val="both"/>
        <w:rPr>
          <w:lang w:val="sq-AL"/>
        </w:rPr>
      </w:pPr>
    </w:p>
    <w:p w14:paraId="010654DA" w14:textId="130B09A7" w:rsidR="00974949" w:rsidRDefault="008937CE" w:rsidP="00D12A0D">
      <w:pPr>
        <w:pStyle w:val="ListParagraph"/>
        <w:numPr>
          <w:ilvl w:val="0"/>
          <w:numId w:val="7"/>
        </w:numPr>
        <w:jc w:val="both"/>
        <w:rPr>
          <w:sz w:val="24"/>
          <w:lang w:val="sq-AL"/>
        </w:rPr>
      </w:pPr>
      <w:r w:rsidRPr="008937CE">
        <w:rPr>
          <w:sz w:val="24"/>
          <w:lang w:val="sq-AL"/>
        </w:rPr>
        <w:t xml:space="preserve"> </w:t>
      </w:r>
      <w:r>
        <w:rPr>
          <w:sz w:val="24"/>
          <w:lang w:val="sq-AL"/>
        </w:rPr>
        <w:t>Për produktin “</w:t>
      </w:r>
      <w:r w:rsidR="00A561DF">
        <w:rPr>
          <w:sz w:val="24"/>
          <w:lang w:val="sq-AL"/>
        </w:rPr>
        <w:t>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shqyrtuara</w:t>
      </w:r>
      <w:r>
        <w:rPr>
          <w:sz w:val="24"/>
          <w:lang w:val="sq-AL"/>
        </w:rPr>
        <w:t>”</w:t>
      </w:r>
      <w:r w:rsidRPr="008937CE">
        <w:rPr>
          <w:sz w:val="24"/>
          <w:lang w:val="sq-AL"/>
        </w:rPr>
        <w:t>, për viti</w:t>
      </w:r>
      <w:r w:rsidR="00AB7C9D">
        <w:rPr>
          <w:sz w:val="24"/>
          <w:lang w:val="sq-AL"/>
        </w:rPr>
        <w:t>n</w:t>
      </w:r>
      <w:r w:rsidRPr="008937CE">
        <w:rPr>
          <w:sz w:val="24"/>
          <w:lang w:val="sq-AL"/>
        </w:rPr>
        <w:t xml:space="preserve"> 2024 janë </w:t>
      </w:r>
      <w:r w:rsidR="00A561DF">
        <w:rPr>
          <w:sz w:val="24"/>
          <w:lang w:val="sq-AL"/>
        </w:rPr>
        <w:t>shqyrtuar</w:t>
      </w:r>
      <w:r w:rsidR="00AB7C9D">
        <w:rPr>
          <w:sz w:val="24"/>
          <w:lang w:val="sq-AL"/>
        </w:rPr>
        <w:t xml:space="preserve"> </w:t>
      </w:r>
      <w:r w:rsidR="00D12A0D">
        <w:rPr>
          <w:sz w:val="24"/>
          <w:lang w:val="sq-AL"/>
        </w:rPr>
        <w:t>35</w:t>
      </w:r>
      <w:r w:rsidR="00A561DF">
        <w:rPr>
          <w:sz w:val="24"/>
          <w:lang w:val="sq-AL"/>
        </w:rPr>
        <w:t xml:space="preserve"> ç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shtje nga 70 t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planifikuara</w:t>
      </w:r>
      <w:r w:rsidR="00AB7C9D">
        <w:rPr>
          <w:sz w:val="24"/>
          <w:lang w:val="sq-AL"/>
        </w:rPr>
        <w:t xml:space="preserve"> </w:t>
      </w:r>
      <w:r w:rsidR="00A561DF">
        <w:rPr>
          <w:sz w:val="24"/>
          <w:lang w:val="sq-AL"/>
        </w:rPr>
        <w:t>shoq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ruar me nj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kosto faktike prej </w:t>
      </w:r>
      <w:r w:rsidR="00E63B96">
        <w:rPr>
          <w:sz w:val="24"/>
          <w:lang w:val="sq-AL"/>
        </w:rPr>
        <w:t>77</w:t>
      </w:r>
      <w:r w:rsidR="00A561DF">
        <w:rPr>
          <w:sz w:val="24"/>
          <w:lang w:val="sq-AL"/>
        </w:rPr>
        <w:t xml:space="preserve"> milion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 xml:space="preserve"> lek</w:t>
      </w:r>
      <w:r w:rsidR="00227185">
        <w:rPr>
          <w:sz w:val="24"/>
          <w:lang w:val="sq-AL"/>
        </w:rPr>
        <w:t>ë</w:t>
      </w:r>
      <w:r w:rsidR="00A561DF">
        <w:rPr>
          <w:sz w:val="24"/>
          <w:lang w:val="sq-AL"/>
        </w:rPr>
        <w:t>.</w:t>
      </w:r>
    </w:p>
    <w:p w14:paraId="602DF192" w14:textId="77777777" w:rsidR="00D12A0D" w:rsidRDefault="00D12A0D" w:rsidP="00D12A0D">
      <w:pPr>
        <w:jc w:val="both"/>
        <w:rPr>
          <w:lang w:val="sq-AL"/>
        </w:rPr>
      </w:pPr>
    </w:p>
    <w:p w14:paraId="431CE158" w14:textId="77777777" w:rsidR="00D12A0D" w:rsidRPr="00D12A0D" w:rsidRDefault="00D12A0D" w:rsidP="00D12A0D">
      <w:pPr>
        <w:jc w:val="both"/>
        <w:rPr>
          <w:lang w:val="sq-AL"/>
        </w:rPr>
      </w:pPr>
    </w:p>
    <w:p w14:paraId="6ECB56CB" w14:textId="77777777" w:rsidR="008937CE" w:rsidRPr="00DF1E52" w:rsidRDefault="008937CE" w:rsidP="0051173B">
      <w:pPr>
        <w:spacing w:line="276" w:lineRule="auto"/>
        <w:jc w:val="both"/>
        <w:rPr>
          <w:bCs/>
          <w:color w:val="000000" w:themeColor="text1"/>
          <w:sz w:val="6"/>
          <w:szCs w:val="6"/>
          <w:lang w:val="sq-AL"/>
        </w:rPr>
      </w:pPr>
    </w:p>
    <w:p w14:paraId="69B96F98" w14:textId="4804A27F" w:rsidR="00974949" w:rsidRDefault="00960C25" w:rsidP="00D12A0D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  <w:r w:rsidRPr="00DF1E52">
        <w:rPr>
          <w:rFonts w:asciiTheme="majorBidi" w:hAnsiTheme="majorBidi" w:cstheme="majorBidi"/>
          <w:b/>
          <w:color w:val="000000" w:themeColor="text1"/>
          <w:lang w:val="sq-AL"/>
        </w:rPr>
        <w:t>Karakteristika kryesore të performancës së shpenzimeve</w:t>
      </w:r>
    </w:p>
    <w:p w14:paraId="32D22F9B" w14:textId="77777777" w:rsidR="00D12A0D" w:rsidRPr="00D12A0D" w:rsidRDefault="00D12A0D" w:rsidP="00D12A0D">
      <w:pPr>
        <w:tabs>
          <w:tab w:val="left" w:pos="1440"/>
        </w:tabs>
        <w:spacing w:after="200" w:line="276" w:lineRule="auto"/>
        <w:jc w:val="both"/>
        <w:rPr>
          <w:rFonts w:asciiTheme="majorBidi" w:hAnsiTheme="majorBidi" w:cstheme="majorBidi"/>
          <w:b/>
          <w:color w:val="000000" w:themeColor="text1"/>
          <w:lang w:val="sq-AL"/>
        </w:rPr>
      </w:pPr>
    </w:p>
    <w:p w14:paraId="527D74FE" w14:textId="2D6DF029" w:rsidR="00AB7C9D" w:rsidRDefault="00AB7C9D" w:rsidP="00AB7C9D">
      <w:pPr>
        <w:spacing w:after="120"/>
        <w:jc w:val="both"/>
        <w:rPr>
          <w:lang w:val="sq-AL"/>
        </w:rPr>
      </w:pPr>
      <w:r w:rsidRPr="005C6D0D">
        <w:rPr>
          <w:lang w:val="sq-AL"/>
        </w:rPr>
        <w:t xml:space="preserve">Për </w:t>
      </w:r>
      <w:r w:rsidR="00D12A0D">
        <w:rPr>
          <w:lang w:val="sq-AL"/>
        </w:rPr>
        <w:t>4 mujorin e par</w:t>
      </w:r>
      <w:r w:rsidR="00815BFB">
        <w:rPr>
          <w:lang w:val="sq-AL"/>
        </w:rPr>
        <w:t>ë</w:t>
      </w:r>
      <w:r w:rsidR="00D12A0D">
        <w:rPr>
          <w:lang w:val="sq-AL"/>
        </w:rPr>
        <w:t xml:space="preserve"> t</w:t>
      </w:r>
      <w:r w:rsidR="00815BFB">
        <w:rPr>
          <w:lang w:val="sq-AL"/>
        </w:rPr>
        <w:t>ë</w:t>
      </w:r>
      <w:r w:rsidR="00D12A0D">
        <w:rPr>
          <w:lang w:val="sq-AL"/>
        </w:rPr>
        <w:t xml:space="preserve"> </w:t>
      </w:r>
      <w:r w:rsidRPr="005C6D0D">
        <w:rPr>
          <w:lang w:val="sq-AL"/>
        </w:rPr>
        <w:t>viti</w:t>
      </w:r>
      <w:r w:rsidR="00D12A0D">
        <w:rPr>
          <w:lang w:val="sq-AL"/>
        </w:rPr>
        <w:t>t</w:t>
      </w:r>
      <w:r w:rsidRPr="005C6D0D">
        <w:rPr>
          <w:lang w:val="sq-AL"/>
        </w:rPr>
        <w:t xml:space="preserve"> 202</w:t>
      </w:r>
      <w:r w:rsidR="00D12A0D">
        <w:rPr>
          <w:lang w:val="sq-AL"/>
        </w:rPr>
        <w:t>5</w:t>
      </w:r>
      <w:r w:rsidRPr="005C6D0D">
        <w:rPr>
          <w:lang w:val="sq-AL"/>
        </w:rPr>
        <w:t xml:space="preserve"> situata në lidhje me realizimin e </w:t>
      </w:r>
      <w:r w:rsidRPr="00EA0447">
        <w:rPr>
          <w:lang w:val="sq-AL"/>
        </w:rPr>
        <w:t>shpenzimeve të buxhetit, n</w:t>
      </w:r>
      <w:r>
        <w:rPr>
          <w:lang w:val="sq-AL"/>
        </w:rPr>
        <w:t>ë</w:t>
      </w:r>
      <w:r w:rsidRPr="00EA0447">
        <w:rPr>
          <w:lang w:val="sq-AL"/>
        </w:rPr>
        <w:t xml:space="preserve"> nivel programi buxhetor</w:t>
      </w:r>
      <w:r>
        <w:rPr>
          <w:lang w:val="sq-AL"/>
        </w:rPr>
        <w:t xml:space="preserve"> dhe sipas klasifikimit ekonomik </w:t>
      </w:r>
      <w:r w:rsidRPr="00EA0447">
        <w:rPr>
          <w:lang w:val="sq-AL"/>
        </w:rPr>
        <w:t>paraqitet si më poshtë:</w:t>
      </w:r>
    </w:p>
    <w:p w14:paraId="340EAB43" w14:textId="31FE074C" w:rsidR="00AB7C9D" w:rsidRDefault="00AB7C9D" w:rsidP="00AB7C9D">
      <w:pPr>
        <w:tabs>
          <w:tab w:val="left" w:pos="2160"/>
        </w:tabs>
        <w:spacing w:line="276" w:lineRule="auto"/>
        <w:jc w:val="both"/>
        <w:rPr>
          <w:i/>
          <w:iCs/>
          <w:lang w:val="sq-AL"/>
        </w:rPr>
      </w:pPr>
      <w:r w:rsidRPr="00002238">
        <w:rPr>
          <w:i/>
          <w:iCs/>
          <w:lang w:val="sq-AL"/>
        </w:rPr>
        <w:t>Tabela</w:t>
      </w:r>
      <w:r>
        <w:rPr>
          <w:i/>
          <w:iCs/>
          <w:lang w:val="sq-AL"/>
        </w:rPr>
        <w:t>:</w:t>
      </w:r>
      <w:r w:rsidRPr="00002238">
        <w:rPr>
          <w:i/>
          <w:iCs/>
          <w:lang w:val="sq-AL"/>
        </w:rPr>
        <w:t xml:space="preserve"> Realizimi i shpenzimeve sipas programeve</w:t>
      </w:r>
      <w:r>
        <w:rPr>
          <w:i/>
          <w:iCs/>
          <w:lang w:val="sq-AL"/>
        </w:rPr>
        <w:t xml:space="preserve"> buxhetore dhe </w:t>
      </w:r>
      <w:r w:rsidRPr="00835D83">
        <w:rPr>
          <w:i/>
          <w:iCs/>
          <w:lang w:val="sq-AL"/>
        </w:rPr>
        <w:t>klasifikimit ekonomik</w:t>
      </w:r>
      <w:r w:rsidRPr="00002238">
        <w:rPr>
          <w:i/>
          <w:iCs/>
          <w:lang w:val="sq-AL"/>
        </w:rPr>
        <w:t xml:space="preserve"> (n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mij</w:t>
      </w:r>
      <w:r>
        <w:rPr>
          <w:i/>
          <w:iCs/>
          <w:lang w:val="sq-AL"/>
        </w:rPr>
        <w:t>ë</w:t>
      </w:r>
      <w:r w:rsidRPr="00002238">
        <w:rPr>
          <w:i/>
          <w:iCs/>
          <w:lang w:val="sq-AL"/>
        </w:rPr>
        <w:t xml:space="preserve"> lek</w:t>
      </w:r>
      <w:r>
        <w:rPr>
          <w:i/>
          <w:iCs/>
          <w:lang w:val="sq-AL"/>
        </w:rPr>
        <w:t>)</w:t>
      </w:r>
    </w:p>
    <w:p w14:paraId="4D49950B" w14:textId="397DF55F" w:rsidR="006F41C7" w:rsidRPr="008A269A" w:rsidRDefault="008A269A" w:rsidP="008A269A">
      <w:pPr>
        <w:tabs>
          <w:tab w:val="left" w:pos="2160"/>
        </w:tabs>
        <w:spacing w:line="276" w:lineRule="auto"/>
        <w:ind w:left="-720"/>
        <w:jc w:val="both"/>
        <w:rPr>
          <w:i/>
          <w:iCs/>
          <w:lang w:val="sq-AL"/>
        </w:rPr>
      </w:pPr>
      <w:r w:rsidRPr="008A269A">
        <w:rPr>
          <w:noProof/>
        </w:rPr>
        <w:lastRenderedPageBreak/>
        <w:drawing>
          <wp:inline distT="0" distB="0" distL="0" distR="0" wp14:anchorId="2F0B7F7D" wp14:editId="766B0081">
            <wp:extent cx="6670608" cy="4707172"/>
            <wp:effectExtent l="0" t="0" r="0" b="0"/>
            <wp:docPr id="18672684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6175" cy="4739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4FB3AB" w14:textId="77777777" w:rsidR="00AB7C9D" w:rsidRDefault="00AB7C9D" w:rsidP="00960C25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694CF096" w14:textId="1B171819" w:rsidR="00AB7C9D" w:rsidRPr="008A269A" w:rsidRDefault="00AB7C9D" w:rsidP="00AB7C9D">
      <w:pPr>
        <w:spacing w:after="120"/>
        <w:jc w:val="both"/>
        <w:rPr>
          <w:lang w:val="sq-AL"/>
        </w:rPr>
      </w:pPr>
      <w:bookmarkStart w:id="0" w:name="_Hlk196727849"/>
      <w:r w:rsidRPr="00E63B96">
        <w:rPr>
          <w:spacing w:val="-2"/>
          <w:lang w:val="sq-AL"/>
        </w:rPr>
        <w:t>Për sa më lartë rezulton se, r</w:t>
      </w:r>
      <w:r w:rsidRPr="00E63B96">
        <w:rPr>
          <w:lang w:val="sq-AL"/>
        </w:rPr>
        <w:t xml:space="preserve">ealizimi faktik për </w:t>
      </w:r>
      <w:r w:rsidR="009F0FFE" w:rsidRPr="00E63B96">
        <w:rPr>
          <w:lang w:val="sq-AL"/>
        </w:rPr>
        <w:t>Kolegjin e Posaçëm t</w:t>
      </w:r>
      <w:r w:rsidR="005D3103" w:rsidRPr="00E63B96">
        <w:rPr>
          <w:lang w:val="sq-AL"/>
        </w:rPr>
        <w:t>ë</w:t>
      </w:r>
      <w:r w:rsidR="009F0FFE" w:rsidRPr="00E63B96">
        <w:rPr>
          <w:lang w:val="sq-AL"/>
        </w:rPr>
        <w:t xml:space="preserve"> Apelimit </w:t>
      </w:r>
      <w:r w:rsidR="0062321D" w:rsidRPr="00E63B96">
        <w:rPr>
          <w:lang w:val="sq-AL"/>
        </w:rPr>
        <w:t>(</w:t>
      </w:r>
      <w:r w:rsidR="009F0FFE" w:rsidRPr="00E63B96">
        <w:rPr>
          <w:lang w:val="sq-AL"/>
        </w:rPr>
        <w:t>KPA</w:t>
      </w:r>
      <w:r w:rsidR="0062321D" w:rsidRPr="00E63B96">
        <w:rPr>
          <w:lang w:val="sq-AL"/>
        </w:rPr>
        <w:t>)</w:t>
      </w:r>
      <w:r w:rsidRPr="00E63B96">
        <w:rPr>
          <w:lang w:val="sq-AL"/>
        </w:rPr>
        <w:t xml:space="preserve"> është </w:t>
      </w:r>
      <w:r w:rsidR="006F41C7">
        <w:rPr>
          <w:color w:val="000000"/>
          <w:lang w:val="sq-AL"/>
        </w:rPr>
        <w:t>77</w:t>
      </w:r>
      <w:r w:rsidRPr="00E63B96">
        <w:rPr>
          <w:color w:val="000000"/>
          <w:lang w:val="sq-AL"/>
        </w:rPr>
        <w:t xml:space="preserve"> mili</w:t>
      </w:r>
      <w:r w:rsidR="0062321D" w:rsidRPr="00E63B96">
        <w:rPr>
          <w:color w:val="000000"/>
          <w:lang w:val="sq-AL"/>
        </w:rPr>
        <w:t>on</w:t>
      </w:r>
      <w:r w:rsidR="00666204" w:rsidRPr="00E63B96">
        <w:rPr>
          <w:color w:val="000000"/>
          <w:lang w:val="sq-AL"/>
        </w:rPr>
        <w:t>ë</w:t>
      </w:r>
      <w:r w:rsidRPr="00E63B96">
        <w:rPr>
          <w:lang w:val="sq-AL"/>
        </w:rPr>
        <w:t xml:space="preserve"> lekë apo rreth </w:t>
      </w:r>
      <w:r w:rsidR="006F41C7">
        <w:rPr>
          <w:lang w:val="sq-AL"/>
        </w:rPr>
        <w:t>27</w:t>
      </w:r>
      <w:r w:rsidRPr="00E63B96">
        <w:rPr>
          <w:lang w:val="sq-AL"/>
        </w:rPr>
        <w:t xml:space="preserve">% kundrejt planit </w:t>
      </w:r>
      <w:r w:rsidR="006F41C7">
        <w:rPr>
          <w:lang w:val="sq-AL"/>
        </w:rPr>
        <w:t>vjetor 2025</w:t>
      </w:r>
      <w:r w:rsidRPr="00E63B96">
        <w:rPr>
          <w:lang w:val="sq-AL"/>
        </w:rPr>
        <w:t xml:space="preserve">. </w:t>
      </w:r>
      <w:bookmarkEnd w:id="0"/>
    </w:p>
    <w:p w14:paraId="47B69B8F" w14:textId="0B475696" w:rsidR="00AB7C9D" w:rsidRPr="005C6D0D" w:rsidRDefault="00AB7C9D" w:rsidP="00AB7C9D">
      <w:pPr>
        <w:spacing w:after="120"/>
        <w:jc w:val="both"/>
        <w:rPr>
          <w:lang w:val="sq-AL"/>
        </w:rPr>
      </w:pPr>
      <w:r w:rsidRPr="008A269A">
        <w:rPr>
          <w:lang w:val="sq-AL"/>
        </w:rPr>
        <w:t xml:space="preserve">Shpenzimet korente paraqiten me një realizim prej </w:t>
      </w:r>
      <w:r w:rsidR="00815BFB" w:rsidRPr="008A269A">
        <w:rPr>
          <w:lang w:val="sq-AL"/>
        </w:rPr>
        <w:t>29</w:t>
      </w:r>
      <w:r w:rsidRPr="008A269A">
        <w:rPr>
          <w:lang w:val="sq-AL"/>
        </w:rPr>
        <w:t>% kundrejt planit vjetor</w:t>
      </w:r>
      <w:r w:rsidR="00A37E33" w:rsidRPr="008A269A">
        <w:rPr>
          <w:lang w:val="sq-AL"/>
        </w:rPr>
        <w:t xml:space="preserve">. </w:t>
      </w:r>
      <w:r w:rsidRPr="005C6D0D">
        <w:rPr>
          <w:lang w:val="sq-AL"/>
        </w:rPr>
        <w:t>Shpenzimet për investime</w:t>
      </w:r>
      <w:r>
        <w:rPr>
          <w:lang w:val="sq-AL"/>
        </w:rPr>
        <w:t xml:space="preserve"> </w:t>
      </w:r>
      <w:r w:rsidRPr="005C6D0D">
        <w:rPr>
          <w:lang w:val="sq-AL"/>
        </w:rPr>
        <w:t xml:space="preserve">paraqiten </w:t>
      </w:r>
      <w:r w:rsidR="00815BFB">
        <w:rPr>
          <w:lang w:val="sq-AL"/>
        </w:rPr>
        <w:t>pa</w:t>
      </w:r>
      <w:r>
        <w:rPr>
          <w:lang w:val="sq-AL"/>
        </w:rPr>
        <w:t xml:space="preserve"> </w:t>
      </w:r>
      <w:r w:rsidRPr="005C6D0D">
        <w:rPr>
          <w:lang w:val="sq-AL"/>
        </w:rPr>
        <w:t>realizim</w:t>
      </w:r>
      <w:r w:rsidR="00815BFB">
        <w:rPr>
          <w:lang w:val="sq-AL"/>
        </w:rPr>
        <w:t>për 4 mujorin e parë të vitit 2025.</w:t>
      </w:r>
    </w:p>
    <w:p w14:paraId="437A9A76" w14:textId="5A690B7B" w:rsidR="00AB7C9D" w:rsidRPr="00E91854" w:rsidRDefault="00AB7C9D" w:rsidP="00AB7C9D">
      <w:pPr>
        <w:spacing w:after="120"/>
        <w:jc w:val="both"/>
        <w:rPr>
          <w:lang w:val="sq-AL"/>
        </w:rPr>
      </w:pPr>
      <w:r w:rsidRPr="00E91854">
        <w:rPr>
          <w:lang w:val="sq-AL"/>
        </w:rPr>
        <w:t xml:space="preserve">Shpenzimet korente, konkretisht shpenzimet për paga zën peshën më të madhe të shpenzimeve të planifikuar si dhe faktike për </w:t>
      </w:r>
      <w:r w:rsidR="0097290D">
        <w:rPr>
          <w:lang w:val="sq-AL"/>
        </w:rPr>
        <w:t>KPA</w:t>
      </w:r>
      <w:r w:rsidRPr="00E91854">
        <w:rPr>
          <w:lang w:val="sq-AL"/>
        </w:rPr>
        <w:t xml:space="preserve">. </w:t>
      </w:r>
    </w:p>
    <w:p w14:paraId="51846EB8" w14:textId="77777777" w:rsidR="00AB7C9D" w:rsidRDefault="00AB7C9D" w:rsidP="00AB7C9D">
      <w:pPr>
        <w:spacing w:after="120"/>
        <w:jc w:val="both"/>
        <w:rPr>
          <w:spacing w:val="-2"/>
        </w:rPr>
      </w:pPr>
      <w:r w:rsidRPr="007F29D8">
        <w:rPr>
          <w:spacing w:val="-2"/>
        </w:rPr>
        <w:t>Ndërkohë sipas zërave</w:t>
      </w:r>
      <w:r>
        <w:rPr>
          <w:spacing w:val="-2"/>
        </w:rPr>
        <w:t>:</w:t>
      </w:r>
    </w:p>
    <w:p w14:paraId="6098581E" w14:textId="2B084044" w:rsidR="00AB7C9D" w:rsidRPr="0008696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>Shpenzimet e personelit paraqiten me</w:t>
      </w:r>
      <w:r w:rsidR="00815BFB">
        <w:rPr>
          <w:lang w:val="sq-AL"/>
        </w:rPr>
        <w:t xml:space="preserve"> </w:t>
      </w:r>
      <w:r>
        <w:rPr>
          <w:lang w:val="sq-AL"/>
        </w:rPr>
        <w:t>një realizim</w:t>
      </w:r>
      <w:r w:rsidR="00815BFB">
        <w:rPr>
          <w:lang w:val="sq-AL"/>
        </w:rPr>
        <w:t xml:space="preserve"> 29</w:t>
      </w:r>
      <w:r>
        <w:rPr>
          <w:lang w:val="sq-AL"/>
        </w:rPr>
        <w:t xml:space="preserve">% kundrejt planit </w:t>
      </w:r>
      <w:r w:rsidR="00815BFB">
        <w:rPr>
          <w:lang w:val="sq-AL"/>
        </w:rPr>
        <w:t>vjetor, mosrealizimi lidhet me vendet vakante n</w:t>
      </w:r>
      <w:r w:rsidR="00675306">
        <w:rPr>
          <w:lang w:val="sq-AL"/>
        </w:rPr>
        <w:t>ë</w:t>
      </w:r>
      <w:r w:rsidR="00815BFB">
        <w:rPr>
          <w:lang w:val="sq-AL"/>
        </w:rPr>
        <w:t xml:space="preserve"> organik</w:t>
      </w:r>
      <w:r w:rsidR="00675306">
        <w:rPr>
          <w:lang w:val="sq-AL"/>
        </w:rPr>
        <w:t>ë</w:t>
      </w:r>
      <w:r>
        <w:rPr>
          <w:lang w:val="sq-AL"/>
        </w:rPr>
        <w:t xml:space="preserve">. </w:t>
      </w:r>
    </w:p>
    <w:p w14:paraId="4F79577B" w14:textId="68D590F9" w:rsidR="00AB7C9D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 w:rsidRPr="0008696D">
        <w:rPr>
          <w:lang w:val="sq-AL"/>
        </w:rPr>
        <w:t xml:space="preserve">Mallra dhe shërbime paraqitet me realizim </w:t>
      </w:r>
      <w:r w:rsidR="00675306">
        <w:rPr>
          <w:lang w:val="sq-AL"/>
        </w:rPr>
        <w:t>13</w:t>
      </w:r>
      <w:r w:rsidRPr="0008696D">
        <w:rPr>
          <w:lang w:val="sq-AL"/>
        </w:rPr>
        <w:t>% n</w:t>
      </w:r>
      <w:r>
        <w:rPr>
          <w:lang w:val="sq-AL"/>
        </w:rPr>
        <w:t>ë</w:t>
      </w:r>
      <w:r w:rsidRPr="0008696D">
        <w:rPr>
          <w:lang w:val="sq-AL"/>
        </w:rPr>
        <w:t xml:space="preserve"> krahasim me planin </w:t>
      </w:r>
      <w:r w:rsidR="00675306">
        <w:rPr>
          <w:lang w:val="sq-AL"/>
        </w:rPr>
        <w:t>vjetor.</w:t>
      </w:r>
    </w:p>
    <w:p w14:paraId="7D1DE8B0" w14:textId="1E657578" w:rsidR="00AB7C9D" w:rsidRPr="00AD2E0E" w:rsidRDefault="00AB7C9D" w:rsidP="00AB7C9D">
      <w:pPr>
        <w:numPr>
          <w:ilvl w:val="0"/>
          <w:numId w:val="10"/>
        </w:numPr>
        <w:spacing w:after="200"/>
        <w:jc w:val="both"/>
        <w:rPr>
          <w:lang w:val="sq-AL"/>
        </w:rPr>
      </w:pPr>
      <w:r>
        <w:rPr>
          <w:lang w:val="sq-AL"/>
        </w:rPr>
        <w:t>S</w:t>
      </w:r>
      <w:r w:rsidRPr="0008696D">
        <w:rPr>
          <w:lang w:val="sq-AL"/>
        </w:rPr>
        <w:t xml:space="preserve">hpenzimet kapitale paraqiten </w:t>
      </w:r>
      <w:r w:rsidR="00675306">
        <w:rPr>
          <w:lang w:val="sq-AL"/>
        </w:rPr>
        <w:t xml:space="preserve">pa realizim për periudhën 4 m ujore të vtit 2025. </w:t>
      </w:r>
    </w:p>
    <w:p w14:paraId="6BC12649" w14:textId="3379C0C0" w:rsidR="005D3103" w:rsidRDefault="00AB7C9D" w:rsidP="00815BFB">
      <w:pPr>
        <w:spacing w:after="120"/>
        <w:jc w:val="both"/>
        <w:rPr>
          <w:lang w:val="sq-AL"/>
        </w:rPr>
      </w:pPr>
      <w:r w:rsidRPr="00E63B96">
        <w:rPr>
          <w:lang w:val="sq-AL"/>
        </w:rPr>
        <w:t>Bu</w:t>
      </w:r>
      <w:r w:rsidRPr="00E63B96">
        <w:rPr>
          <w:spacing w:val="2"/>
          <w:lang w:val="sq-AL"/>
        </w:rPr>
        <w:t>x</w:t>
      </w:r>
      <w:r w:rsidRPr="00E63B96">
        <w:rPr>
          <w:lang w:val="sq-AL"/>
        </w:rPr>
        <w:t>h</w:t>
      </w:r>
      <w:r w:rsidRPr="00E63B96">
        <w:rPr>
          <w:spacing w:val="-1"/>
          <w:lang w:val="sq-AL"/>
        </w:rPr>
        <w:t>e</w:t>
      </w:r>
      <w:r w:rsidRPr="00E63B96">
        <w:rPr>
          <w:lang w:val="sq-AL"/>
        </w:rPr>
        <w:t xml:space="preserve">ti vjetor i </w:t>
      </w:r>
      <w:r w:rsidR="005D3103" w:rsidRPr="00E63B96">
        <w:rPr>
          <w:lang w:val="sq-AL"/>
        </w:rPr>
        <w:t xml:space="preserve">KPA </w:t>
      </w:r>
      <w:r w:rsidR="00815BFB">
        <w:rPr>
          <w:lang w:val="sq-AL"/>
        </w:rPr>
        <w:t xml:space="preserve">për 4 mujorin e parë të vitit 2025 nuk ka pësuar ndryshime. </w:t>
      </w:r>
    </w:p>
    <w:p w14:paraId="2CDE0F11" w14:textId="77777777" w:rsidR="00675306" w:rsidRDefault="00675306" w:rsidP="00815BFB">
      <w:pPr>
        <w:spacing w:after="120"/>
        <w:jc w:val="both"/>
        <w:rPr>
          <w:lang w:val="sq-AL"/>
        </w:rPr>
      </w:pPr>
    </w:p>
    <w:p w14:paraId="14A0C6DA" w14:textId="77777777" w:rsidR="00675306" w:rsidRPr="00E63B96" w:rsidRDefault="00675306" w:rsidP="00815BFB">
      <w:pPr>
        <w:spacing w:after="120"/>
        <w:jc w:val="both"/>
        <w:rPr>
          <w:lang w:val="sq-AL"/>
        </w:rPr>
      </w:pPr>
    </w:p>
    <w:p w14:paraId="25948D6B" w14:textId="6BE69FED" w:rsidR="00FD6F72" w:rsidRPr="005D3103" w:rsidRDefault="00FD6F72" w:rsidP="005D3103">
      <w:pPr>
        <w:spacing w:line="276" w:lineRule="auto"/>
        <w:ind w:left="720"/>
        <w:jc w:val="both"/>
        <w:rPr>
          <w:b/>
          <w:color w:val="000000" w:themeColor="text1"/>
          <w:lang w:val="sq-AL"/>
        </w:rPr>
      </w:pPr>
    </w:p>
    <w:p w14:paraId="56A61599" w14:textId="0FB1360F" w:rsidR="00960C25" w:rsidRPr="00666204" w:rsidRDefault="00960C25" w:rsidP="00FD6F72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color w:val="000000" w:themeColor="text1"/>
          <w:lang w:val="sq-AL"/>
        </w:rPr>
      </w:pPr>
      <w:r w:rsidRPr="00666204">
        <w:rPr>
          <w:b/>
          <w:color w:val="000000" w:themeColor="text1"/>
          <w:lang w:val="sq-AL"/>
        </w:rPr>
        <w:lastRenderedPageBreak/>
        <w:t xml:space="preserve">Komente dhe rekomandime </w:t>
      </w:r>
    </w:p>
    <w:p w14:paraId="63AFCB75" w14:textId="5088676F" w:rsidR="00A81555" w:rsidRPr="00666204" w:rsidRDefault="00A81555" w:rsidP="00A81555">
      <w:pPr>
        <w:pStyle w:val="ListParagraph"/>
        <w:numPr>
          <w:ilvl w:val="0"/>
          <w:numId w:val="6"/>
        </w:numPr>
        <w:tabs>
          <w:tab w:val="left" w:pos="2160"/>
        </w:tabs>
        <w:spacing w:line="276" w:lineRule="auto"/>
        <w:jc w:val="both"/>
        <w:rPr>
          <w:bCs/>
          <w:sz w:val="24"/>
          <w:szCs w:val="24"/>
          <w:lang w:val="sq-AL"/>
        </w:rPr>
      </w:pPr>
      <w:r w:rsidRPr="00666204">
        <w:rPr>
          <w:bCs/>
          <w:sz w:val="24"/>
          <w:szCs w:val="24"/>
          <w:lang w:val="sq-AL"/>
        </w:rPr>
        <w:t xml:space="preserve">Theksojmë se paraqitja e informacionit si dhe të dhënat e raportuara në raportin e monitorimit duhet të jetë në përputhje me përcaktimet e bëra në Udhëzimin </w:t>
      </w:r>
      <w:r w:rsidRPr="00666204">
        <w:rPr>
          <w:sz w:val="24"/>
          <w:szCs w:val="24"/>
          <w:lang w:val="sq-AL"/>
        </w:rPr>
        <w:t>nr. 14, datë 30.05.2023 “Për procedurat standarde të monitorimit të buxhetit në njësitë e Qeverisjes Qendrore”.</w:t>
      </w:r>
      <w:r w:rsidRPr="00666204">
        <w:rPr>
          <w:bCs/>
          <w:sz w:val="24"/>
          <w:szCs w:val="24"/>
          <w:lang w:val="sq-AL"/>
        </w:rPr>
        <w:t xml:space="preserve"> Vërejmë që të dhënat e raportuara në raportin e monitorimit, janë sipas formateve të përcaktuara në këtë udhëzim në anekset përkatëse.</w:t>
      </w:r>
    </w:p>
    <w:p w14:paraId="4F034634" w14:textId="31F7EF44" w:rsidR="00B7310B" w:rsidRPr="00666204" w:rsidRDefault="00B7310B" w:rsidP="00B7310B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color w:val="242424"/>
          <w:bdr w:val="none" w:sz="0" w:space="0" w:color="auto" w:frame="1"/>
          <w:lang w:val="sq-AL" w:eastAsia="sq-AL"/>
        </w:rPr>
      </w:pPr>
      <w:r w:rsidRPr="00666204">
        <w:rPr>
          <w:color w:val="242424"/>
          <w:bdr w:val="none" w:sz="0" w:space="0" w:color="auto" w:frame="1"/>
          <w:lang w:val="sq-AL" w:eastAsia="sq-AL"/>
        </w:rPr>
        <w:t xml:space="preserve">Nga ana juaj  paraqitja e raportit të monitorimit për periudhën </w:t>
      </w:r>
      <w:r w:rsidR="00815BFB">
        <w:rPr>
          <w:color w:val="242424"/>
          <w:bdr w:val="none" w:sz="0" w:space="0" w:color="auto" w:frame="1"/>
          <w:lang w:val="sq-AL" w:eastAsia="sq-AL"/>
        </w:rPr>
        <w:t>4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M </w:t>
      </w:r>
      <w:r w:rsidR="00815BFB">
        <w:rPr>
          <w:color w:val="242424"/>
          <w:bdr w:val="none" w:sz="0" w:space="0" w:color="auto" w:frame="1"/>
          <w:lang w:val="sq-AL" w:eastAsia="sq-AL"/>
        </w:rPr>
        <w:t xml:space="preserve">i parë i </w:t>
      </w:r>
      <w:r w:rsidRPr="00666204">
        <w:rPr>
          <w:color w:val="242424"/>
          <w:bdr w:val="none" w:sz="0" w:space="0" w:color="auto" w:frame="1"/>
          <w:lang w:val="sq-AL" w:eastAsia="sq-AL"/>
        </w:rPr>
        <w:t>vitit 202</w:t>
      </w:r>
      <w:r w:rsidR="00815BFB">
        <w:rPr>
          <w:color w:val="242424"/>
          <w:bdr w:val="none" w:sz="0" w:space="0" w:color="auto" w:frame="1"/>
          <w:lang w:val="sq-AL" w:eastAsia="sq-AL"/>
        </w:rPr>
        <w:t>5</w:t>
      </w:r>
      <w:r w:rsidRPr="00666204">
        <w:rPr>
          <w:color w:val="242424"/>
          <w:bdr w:val="none" w:sz="0" w:space="0" w:color="auto" w:frame="1"/>
          <w:lang w:val="sq-AL" w:eastAsia="sq-AL"/>
        </w:rPr>
        <w:t xml:space="preserve"> është bërë në përputhje me afatin e përcaktuar në udhëzimin nr. 14, datë 30.05.2023. </w:t>
      </w:r>
    </w:p>
    <w:p w14:paraId="35000A7E" w14:textId="330B192C" w:rsidR="00DC042D" w:rsidRPr="00666204" w:rsidRDefault="00666204" w:rsidP="00666204">
      <w:pPr>
        <w:numPr>
          <w:ilvl w:val="0"/>
          <w:numId w:val="8"/>
        </w:numPr>
        <w:shd w:val="clear" w:color="auto" w:fill="FFFFFF"/>
        <w:spacing w:line="330" w:lineRule="atLeast"/>
        <w:jc w:val="both"/>
        <w:rPr>
          <w:bCs/>
          <w:lang w:val="sq-AL"/>
        </w:rPr>
      </w:pPr>
      <w:r w:rsidRPr="00666204">
        <w:rPr>
          <w:bCs/>
          <w:lang w:val="sq-AL"/>
        </w:rPr>
        <w:t xml:space="preserve">Lidhur me cilësinë së përmbajtjes së raportit për treguesit e performancës në nivel qëllimi dhe objektivi vlerësojmë se në relacionin e Raportit të Monitorimit të përcjellë nga </w:t>
      </w:r>
      <w:r w:rsidR="005D3103">
        <w:rPr>
          <w:bCs/>
          <w:lang w:val="sq-AL"/>
        </w:rPr>
        <w:t>KPA</w:t>
      </w:r>
      <w:r w:rsidRPr="00666204">
        <w:rPr>
          <w:bCs/>
          <w:lang w:val="sq-AL"/>
        </w:rPr>
        <w:t xml:space="preserve"> paraqitet </w:t>
      </w:r>
      <w:r w:rsidRPr="00666204">
        <w:rPr>
          <w:color w:val="242424"/>
          <w:bdr w:val="none" w:sz="0" w:space="0" w:color="auto" w:frame="1"/>
          <w:lang w:val="sq-AL" w:eastAsia="sq-AL"/>
        </w:rPr>
        <w:t>një</w:t>
      </w:r>
      <w:r w:rsidRPr="00666204">
        <w:rPr>
          <w:bCs/>
          <w:lang w:val="sq-AL"/>
        </w:rPr>
        <w:t xml:space="preserve"> analizë e përgjithshme duke paraqitur argumenta mbi realizimin tyre. </w:t>
      </w:r>
    </w:p>
    <w:p w14:paraId="3F41E559" w14:textId="77777777" w:rsidR="00960C25" w:rsidRPr="00DC042D" w:rsidRDefault="00960C25" w:rsidP="00DC042D">
      <w:pPr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5E086092" w14:textId="77777777" w:rsidR="00B979C6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p w14:paraId="026DA7B2" w14:textId="77777777" w:rsidR="002B1A0B" w:rsidRPr="002B1A0B" w:rsidRDefault="002B1A0B" w:rsidP="002B1A0B">
      <w:pPr>
        <w:numPr>
          <w:ilvl w:val="0"/>
          <w:numId w:val="1"/>
        </w:numPr>
        <w:tabs>
          <w:tab w:val="left" w:pos="144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2B1A0B">
        <w:rPr>
          <w:b/>
          <w:lang w:val="sq-AL"/>
        </w:rPr>
        <w:t xml:space="preserve">Publikimi: </w:t>
      </w:r>
    </w:p>
    <w:p w14:paraId="43C7054C" w14:textId="77777777" w:rsidR="002B1A0B" w:rsidRPr="002B1A0B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4522FFD7" w14:textId="76F962B2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  <w:r w:rsidRPr="00C24662">
        <w:rPr>
          <w:sz w:val="24"/>
          <w:szCs w:val="24"/>
          <w:lang w:val="sq-AL"/>
        </w:rPr>
        <w:t>Raporti i Monitorimit për</w:t>
      </w:r>
      <w:r w:rsidR="00815BFB">
        <w:rPr>
          <w:sz w:val="24"/>
          <w:szCs w:val="24"/>
          <w:lang w:val="sq-AL"/>
        </w:rPr>
        <w:t xml:space="preserve"> 4</w:t>
      </w:r>
      <w:r w:rsidR="00675306">
        <w:rPr>
          <w:sz w:val="24"/>
          <w:szCs w:val="24"/>
          <w:lang w:val="sq-AL"/>
        </w:rPr>
        <w:t xml:space="preserve"> </w:t>
      </w:r>
      <w:r w:rsidR="00815BFB">
        <w:rPr>
          <w:sz w:val="24"/>
          <w:szCs w:val="24"/>
          <w:lang w:val="sq-AL"/>
        </w:rPr>
        <w:t>mujorin e parë të</w:t>
      </w:r>
      <w:r w:rsidR="009A151E" w:rsidRPr="00C24662">
        <w:rPr>
          <w:sz w:val="24"/>
          <w:szCs w:val="24"/>
          <w:lang w:val="sq-AL"/>
        </w:rPr>
        <w:t xml:space="preserve"> </w:t>
      </w:r>
      <w:r w:rsidR="00044D53" w:rsidRPr="00C24662">
        <w:rPr>
          <w:sz w:val="24"/>
          <w:szCs w:val="24"/>
          <w:lang w:val="sq-AL"/>
        </w:rPr>
        <w:t>viti</w:t>
      </w:r>
      <w:r w:rsidR="00815BFB">
        <w:rPr>
          <w:sz w:val="24"/>
          <w:szCs w:val="24"/>
          <w:lang w:val="sq-AL"/>
        </w:rPr>
        <w:t>t</w:t>
      </w:r>
      <w:r w:rsidRPr="00C24662">
        <w:rPr>
          <w:sz w:val="24"/>
          <w:szCs w:val="24"/>
          <w:lang w:val="sq-AL"/>
        </w:rPr>
        <w:t xml:space="preserve"> 202</w:t>
      </w:r>
      <w:r w:rsidR="00815BFB">
        <w:rPr>
          <w:sz w:val="24"/>
          <w:szCs w:val="24"/>
          <w:lang w:val="sq-AL"/>
        </w:rPr>
        <w:t>5</w:t>
      </w:r>
      <w:r w:rsidRPr="00C24662">
        <w:rPr>
          <w:sz w:val="24"/>
          <w:szCs w:val="24"/>
          <w:lang w:val="sq-AL"/>
        </w:rPr>
        <w:t xml:space="preserve">, është publikuar në faqen zyrtare të </w:t>
      </w:r>
      <w:r w:rsidR="00227185">
        <w:rPr>
          <w:bCs/>
          <w:sz w:val="24"/>
          <w:szCs w:val="24"/>
          <w:lang w:val="sq-AL"/>
        </w:rPr>
        <w:t>Kolegjit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Posaç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>m t</w:t>
      </w:r>
      <w:r w:rsidR="008F47F1">
        <w:rPr>
          <w:bCs/>
          <w:sz w:val="24"/>
          <w:szCs w:val="24"/>
          <w:lang w:val="sq-AL"/>
        </w:rPr>
        <w:t>ë</w:t>
      </w:r>
      <w:r w:rsidR="00227185">
        <w:rPr>
          <w:bCs/>
          <w:sz w:val="24"/>
          <w:szCs w:val="24"/>
          <w:lang w:val="sq-AL"/>
        </w:rPr>
        <w:t xml:space="preserve"> Apelimit</w:t>
      </w:r>
      <w:r w:rsidRPr="00C24662">
        <w:rPr>
          <w:bCs/>
          <w:sz w:val="24"/>
          <w:szCs w:val="24"/>
          <w:lang w:val="sq-AL"/>
        </w:rPr>
        <w:t>.</w:t>
      </w:r>
    </w:p>
    <w:p w14:paraId="6ABDB3AB" w14:textId="77777777" w:rsidR="002B1A0B" w:rsidRPr="00C24662" w:rsidRDefault="002B1A0B" w:rsidP="002B1A0B">
      <w:pPr>
        <w:pStyle w:val="ListParagraph"/>
        <w:spacing w:after="120"/>
        <w:ind w:left="0"/>
        <w:jc w:val="both"/>
        <w:rPr>
          <w:sz w:val="24"/>
          <w:szCs w:val="24"/>
          <w:lang w:val="sq-AL"/>
        </w:rPr>
      </w:pPr>
    </w:p>
    <w:p w14:paraId="0AA29BCA" w14:textId="7E1F8097" w:rsidR="002B1A0B" w:rsidRDefault="002B1A0B" w:rsidP="002B1A0B">
      <w:pPr>
        <w:pStyle w:val="ListParagraph"/>
        <w:spacing w:after="120"/>
        <w:ind w:left="0"/>
        <w:jc w:val="both"/>
      </w:pPr>
      <w:r w:rsidRPr="00C24662">
        <w:rPr>
          <w:sz w:val="24"/>
          <w:szCs w:val="24"/>
          <w:lang w:val="sq-AL"/>
        </w:rPr>
        <w:t xml:space="preserve">Linku: </w:t>
      </w:r>
      <w:r w:rsidR="00227185">
        <w:rPr>
          <w:sz w:val="24"/>
          <w:szCs w:val="24"/>
          <w:lang w:val="sq-AL"/>
        </w:rPr>
        <w:tab/>
      </w:r>
      <w:r w:rsidR="00227185">
        <w:rPr>
          <w:sz w:val="24"/>
          <w:szCs w:val="24"/>
          <w:lang w:val="sq-AL"/>
        </w:rPr>
        <w:tab/>
      </w:r>
      <w:hyperlink r:id="rId9" w:history="1">
        <w:r w:rsidR="00227185" w:rsidRPr="00E51E26">
          <w:rPr>
            <w:rStyle w:val="Hyperlink"/>
          </w:rPr>
          <w:t>https://kpa.al/buxheti/</w:t>
        </w:r>
      </w:hyperlink>
    </w:p>
    <w:p w14:paraId="545DA03A" w14:textId="77777777" w:rsidR="00227185" w:rsidRDefault="00227185" w:rsidP="002B1A0B">
      <w:pPr>
        <w:pStyle w:val="ListParagraph"/>
        <w:spacing w:after="120"/>
        <w:ind w:left="0"/>
        <w:jc w:val="both"/>
      </w:pPr>
    </w:p>
    <w:p w14:paraId="64A380E1" w14:textId="77777777" w:rsidR="00B979C6" w:rsidRPr="00F3675D" w:rsidRDefault="00B979C6" w:rsidP="00F3675D">
      <w:pPr>
        <w:tabs>
          <w:tab w:val="left" w:pos="2160"/>
        </w:tabs>
        <w:spacing w:line="276" w:lineRule="auto"/>
        <w:jc w:val="both"/>
        <w:rPr>
          <w:rFonts w:asciiTheme="majorBidi" w:hAnsiTheme="majorBidi" w:cstheme="majorBidi"/>
          <w:bCs/>
          <w:color w:val="000000" w:themeColor="text1"/>
          <w:lang w:val="sq-AL"/>
        </w:rPr>
      </w:pPr>
    </w:p>
    <w:sectPr w:rsidR="00B979C6" w:rsidRPr="00F3675D" w:rsidSect="00D12A0D">
      <w:pgSz w:w="12240" w:h="15840"/>
      <w:pgMar w:top="1170" w:right="1440" w:bottom="126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599F3" w14:textId="77777777" w:rsidR="003C1EA2" w:rsidRDefault="003C1EA2" w:rsidP="00974949">
      <w:r>
        <w:separator/>
      </w:r>
    </w:p>
  </w:endnote>
  <w:endnote w:type="continuationSeparator" w:id="0">
    <w:p w14:paraId="191DBCCC" w14:textId="77777777" w:rsidR="003C1EA2" w:rsidRDefault="003C1EA2" w:rsidP="0097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03401" w14:textId="77777777" w:rsidR="003C1EA2" w:rsidRDefault="003C1EA2" w:rsidP="00974949">
      <w:r>
        <w:separator/>
      </w:r>
    </w:p>
  </w:footnote>
  <w:footnote w:type="continuationSeparator" w:id="0">
    <w:p w14:paraId="34E4645B" w14:textId="77777777" w:rsidR="003C1EA2" w:rsidRDefault="003C1EA2" w:rsidP="00974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10878"/>
    <w:multiLevelType w:val="hybridMultilevel"/>
    <w:tmpl w:val="A6441E9E"/>
    <w:lvl w:ilvl="0" w:tplc="1F66E55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36248"/>
    <w:multiLevelType w:val="hybridMultilevel"/>
    <w:tmpl w:val="C8645554"/>
    <w:lvl w:ilvl="0" w:tplc="DB98FC68">
      <w:start w:val="4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6C405C2"/>
    <w:multiLevelType w:val="hybridMultilevel"/>
    <w:tmpl w:val="FAB24132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6807B0"/>
    <w:multiLevelType w:val="hybridMultilevel"/>
    <w:tmpl w:val="A23A13F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4F7532"/>
    <w:multiLevelType w:val="multilevel"/>
    <w:tmpl w:val="84EC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E20A5"/>
    <w:multiLevelType w:val="multilevel"/>
    <w:tmpl w:val="23420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C26A90"/>
    <w:multiLevelType w:val="hybridMultilevel"/>
    <w:tmpl w:val="08307F58"/>
    <w:lvl w:ilvl="0" w:tplc="2C6CA2A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3E7D6F"/>
    <w:multiLevelType w:val="hybridMultilevel"/>
    <w:tmpl w:val="B86A4746"/>
    <w:lvl w:ilvl="0" w:tplc="90269424">
      <w:start w:val="6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FF7"/>
    <w:multiLevelType w:val="hybridMultilevel"/>
    <w:tmpl w:val="9A18282E"/>
    <w:lvl w:ilvl="0" w:tplc="BA62E436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748635D"/>
    <w:multiLevelType w:val="hybridMultilevel"/>
    <w:tmpl w:val="6F942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3996">
    <w:abstractNumId w:val="8"/>
  </w:num>
  <w:num w:numId="2" w16cid:durableId="1140616772">
    <w:abstractNumId w:val="2"/>
  </w:num>
  <w:num w:numId="3" w16cid:durableId="596408457">
    <w:abstractNumId w:val="3"/>
  </w:num>
  <w:num w:numId="4" w16cid:durableId="39682685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7993208">
    <w:abstractNumId w:val="1"/>
  </w:num>
  <w:num w:numId="6" w16cid:durableId="1334063074">
    <w:abstractNumId w:val="9"/>
  </w:num>
  <w:num w:numId="7" w16cid:durableId="125977959">
    <w:abstractNumId w:val="7"/>
  </w:num>
  <w:num w:numId="8" w16cid:durableId="438305585">
    <w:abstractNumId w:val="5"/>
  </w:num>
  <w:num w:numId="9" w16cid:durableId="491024909">
    <w:abstractNumId w:val="4"/>
  </w:num>
  <w:num w:numId="10" w16cid:durableId="1470902518">
    <w:abstractNumId w:val="6"/>
  </w:num>
  <w:num w:numId="11" w16cid:durableId="2139687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E8B"/>
    <w:rsid w:val="000173A9"/>
    <w:rsid w:val="00021A51"/>
    <w:rsid w:val="00037B5D"/>
    <w:rsid w:val="00044D53"/>
    <w:rsid w:val="00046FD8"/>
    <w:rsid w:val="000D74C2"/>
    <w:rsid w:val="00100BB6"/>
    <w:rsid w:val="00103A73"/>
    <w:rsid w:val="00142185"/>
    <w:rsid w:val="00185005"/>
    <w:rsid w:val="001871D5"/>
    <w:rsid w:val="001E33E0"/>
    <w:rsid w:val="00227185"/>
    <w:rsid w:val="00227B6B"/>
    <w:rsid w:val="00276492"/>
    <w:rsid w:val="00292472"/>
    <w:rsid w:val="0029654A"/>
    <w:rsid w:val="002A06ED"/>
    <w:rsid w:val="002A63BD"/>
    <w:rsid w:val="002B1A0B"/>
    <w:rsid w:val="002C718E"/>
    <w:rsid w:val="002F14DE"/>
    <w:rsid w:val="002F2036"/>
    <w:rsid w:val="00304F8C"/>
    <w:rsid w:val="00315C14"/>
    <w:rsid w:val="00322BB9"/>
    <w:rsid w:val="00337F8C"/>
    <w:rsid w:val="00343611"/>
    <w:rsid w:val="003450EC"/>
    <w:rsid w:val="00381298"/>
    <w:rsid w:val="003A4545"/>
    <w:rsid w:val="003B711F"/>
    <w:rsid w:val="003C1EA2"/>
    <w:rsid w:val="003C2A69"/>
    <w:rsid w:val="00401391"/>
    <w:rsid w:val="00410C0D"/>
    <w:rsid w:val="00424E8B"/>
    <w:rsid w:val="00434E27"/>
    <w:rsid w:val="004F410C"/>
    <w:rsid w:val="0051173B"/>
    <w:rsid w:val="005B27B1"/>
    <w:rsid w:val="005D3103"/>
    <w:rsid w:val="005E7FA8"/>
    <w:rsid w:val="00617C4B"/>
    <w:rsid w:val="0062321D"/>
    <w:rsid w:val="0065583A"/>
    <w:rsid w:val="00656BF4"/>
    <w:rsid w:val="00666204"/>
    <w:rsid w:val="00675306"/>
    <w:rsid w:val="0069694D"/>
    <w:rsid w:val="00697A43"/>
    <w:rsid w:val="006B5DB6"/>
    <w:rsid w:val="006D129A"/>
    <w:rsid w:val="006E0862"/>
    <w:rsid w:val="006F0AD3"/>
    <w:rsid w:val="006F41C7"/>
    <w:rsid w:val="00712A57"/>
    <w:rsid w:val="00745590"/>
    <w:rsid w:val="00762C28"/>
    <w:rsid w:val="007A2D5A"/>
    <w:rsid w:val="007F2481"/>
    <w:rsid w:val="00815BFB"/>
    <w:rsid w:val="00831F51"/>
    <w:rsid w:val="0084432D"/>
    <w:rsid w:val="008937CE"/>
    <w:rsid w:val="008A0AF9"/>
    <w:rsid w:val="008A2078"/>
    <w:rsid w:val="008A269A"/>
    <w:rsid w:val="008A6DFE"/>
    <w:rsid w:val="008B3016"/>
    <w:rsid w:val="008F47F1"/>
    <w:rsid w:val="009155CE"/>
    <w:rsid w:val="0095144C"/>
    <w:rsid w:val="00960C25"/>
    <w:rsid w:val="00962CE0"/>
    <w:rsid w:val="0097290D"/>
    <w:rsid w:val="00974949"/>
    <w:rsid w:val="0097777C"/>
    <w:rsid w:val="0099258E"/>
    <w:rsid w:val="009A151E"/>
    <w:rsid w:val="009A7DCC"/>
    <w:rsid w:val="009C3A0B"/>
    <w:rsid w:val="009D19C8"/>
    <w:rsid w:val="009D1DEF"/>
    <w:rsid w:val="009E1239"/>
    <w:rsid w:val="009F0FFE"/>
    <w:rsid w:val="009F33D0"/>
    <w:rsid w:val="009F3BED"/>
    <w:rsid w:val="00A06EC3"/>
    <w:rsid w:val="00A25FE3"/>
    <w:rsid w:val="00A37DB0"/>
    <w:rsid w:val="00A37E33"/>
    <w:rsid w:val="00A561DF"/>
    <w:rsid w:val="00A639EC"/>
    <w:rsid w:val="00A81555"/>
    <w:rsid w:val="00AA0D62"/>
    <w:rsid w:val="00AB7C9D"/>
    <w:rsid w:val="00AC0B34"/>
    <w:rsid w:val="00AD6828"/>
    <w:rsid w:val="00AD7191"/>
    <w:rsid w:val="00AE0DCD"/>
    <w:rsid w:val="00B13D71"/>
    <w:rsid w:val="00B41E4C"/>
    <w:rsid w:val="00B42AFE"/>
    <w:rsid w:val="00B7310B"/>
    <w:rsid w:val="00B836AD"/>
    <w:rsid w:val="00B910C3"/>
    <w:rsid w:val="00B93034"/>
    <w:rsid w:val="00B979C6"/>
    <w:rsid w:val="00BA38D1"/>
    <w:rsid w:val="00BE1749"/>
    <w:rsid w:val="00C17C08"/>
    <w:rsid w:val="00C24662"/>
    <w:rsid w:val="00C26AF1"/>
    <w:rsid w:val="00C40227"/>
    <w:rsid w:val="00C545EB"/>
    <w:rsid w:val="00C76101"/>
    <w:rsid w:val="00D12A0D"/>
    <w:rsid w:val="00D4001B"/>
    <w:rsid w:val="00D6129F"/>
    <w:rsid w:val="00D6287A"/>
    <w:rsid w:val="00DA1AE3"/>
    <w:rsid w:val="00DA2BCF"/>
    <w:rsid w:val="00DC042D"/>
    <w:rsid w:val="00DC7BB4"/>
    <w:rsid w:val="00E34E5F"/>
    <w:rsid w:val="00E40852"/>
    <w:rsid w:val="00E63B96"/>
    <w:rsid w:val="00E64ED8"/>
    <w:rsid w:val="00E91854"/>
    <w:rsid w:val="00EE1C70"/>
    <w:rsid w:val="00EF0483"/>
    <w:rsid w:val="00F14ACB"/>
    <w:rsid w:val="00F32E0D"/>
    <w:rsid w:val="00F36321"/>
    <w:rsid w:val="00F3675D"/>
    <w:rsid w:val="00F92C9E"/>
    <w:rsid w:val="00FD6F72"/>
    <w:rsid w:val="00FF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79153"/>
  <w15:docId w15:val="{AE78828B-6380-43A0-A213-7731CC467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C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960C25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960C25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unhideWhenUsed/>
    <w:rsid w:val="002B1A0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F8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2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49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94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pa.al/buxhet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50642D-644F-48DB-B8EE-D46626C7C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Shpresa Karanxha</cp:lastModifiedBy>
  <cp:revision>19</cp:revision>
  <dcterms:created xsi:type="dcterms:W3CDTF">2025-05-05T09:32:00Z</dcterms:created>
  <dcterms:modified xsi:type="dcterms:W3CDTF">2025-07-10T10:00:00Z</dcterms:modified>
</cp:coreProperties>
</file>