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985F" w14:textId="77777777" w:rsidR="002F5E8F" w:rsidRDefault="0047268C" w:rsidP="002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REKOMANDIM</w:t>
      </w:r>
      <w:r w:rsidR="002241ED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E MBI RAPORTIN E MONITORIMIT </w:t>
      </w:r>
    </w:p>
    <w:p w14:paraId="0380ECE8" w14:textId="77777777" w:rsidR="002F5E8F" w:rsidRDefault="002241ED" w:rsidP="002F5E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P</w:t>
      </w:r>
      <w:r w:rsidR="00535FF5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R </w:t>
      </w:r>
      <w:r w:rsidR="002F5E8F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4 MUJORIN E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VITI</w:t>
      </w:r>
      <w:r w:rsidR="002F5E8F">
        <w:rPr>
          <w:rFonts w:ascii="Times New Roman" w:eastAsia="Calibri" w:hAnsi="Times New Roman" w:cs="Times New Roman"/>
          <w:b/>
          <w:sz w:val="24"/>
          <w:szCs w:val="24"/>
          <w:lang w:val="sq-AL"/>
        </w:rPr>
        <w:t>T</w:t>
      </w:r>
      <w:r w:rsidR="00313181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2</w:t>
      </w:r>
      <w:r w:rsidR="002F5E8F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8C33CF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</w:p>
    <w:p w14:paraId="3B8BA48E" w14:textId="14044969" w:rsidR="0047268C" w:rsidRPr="00CE782E" w:rsidRDefault="0047268C" w:rsidP="002F5E8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KOMISIONERIN PËR MBIKQYRJEN E SHËRBIMIT CIVIL</w:t>
      </w:r>
    </w:p>
    <w:p w14:paraId="7734A41D" w14:textId="77777777" w:rsidR="0047268C" w:rsidRPr="00CE782E" w:rsidRDefault="0047268C" w:rsidP="0047268C">
      <w:pPr>
        <w:numPr>
          <w:ilvl w:val="0"/>
          <w:numId w:val="3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3988E625" w14:textId="49C0BB92" w:rsidR="0047268C" w:rsidRPr="00CE782E" w:rsidRDefault="0047268C" w:rsidP="0047268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Komisioneri për Mbikqyrjen e Sherbimit Civil, me fondet buxhetore të miratuara, për vitin 202</w:t>
      </w:r>
      <w:r w:rsidR="002F5E8F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ka hartuar, programuar dhe zhvilluar politikat për përmbushjen me cilësi të lartë dhe në kohë të detyrimeve, në funksion të garantimit e respektimit të ligjit për shërbimin civil në institucionet qendrore, të pavarura dhe ato vendore, që përfshihen në shërbimin civil, si dhe unifikimin e zbatimit të tij, nëpërmjet realizimit të procesit të mbikqyrjes dhe mbrojtjes së të drejtave të nëpunësit civil.</w:t>
      </w:r>
    </w:p>
    <w:p w14:paraId="53F1EBC9" w14:textId="56202A88" w:rsidR="0047268C" w:rsidRPr="00CE782E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Programi për të cilin ky institucion administron fondet për vitin 202</w:t>
      </w:r>
      <w:r w:rsidR="002F5E8F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është: </w:t>
      </w:r>
    </w:p>
    <w:p w14:paraId="02EF6FC4" w14:textId="77777777" w:rsidR="0047268C" w:rsidRPr="00CE782E" w:rsidRDefault="0047268C" w:rsidP="0047268C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1. Programi “Planifikim Menaxhim Administrim”</w:t>
      </w:r>
    </w:p>
    <w:p w14:paraId="369F5B57" w14:textId="77777777" w:rsidR="0047268C" w:rsidRPr="00CE782E" w:rsidRDefault="0047268C" w:rsidP="0047268C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CF791BF" w14:textId="77777777" w:rsidR="00CB59FC" w:rsidRDefault="00060CCF" w:rsidP="006B6F17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P</w:t>
      </w:r>
      <w:r w:rsidR="0047268C" w:rsidRPr="00CE782E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rogrami</w:t>
      </w:r>
      <w:r w:rsidR="0047268C" w:rsidRPr="00CE782E"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  <w:t xml:space="preserve"> </w:t>
      </w:r>
      <w:r w:rsidR="0047268C" w:rsidRPr="00CE782E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“Planifikim Menaxhim Administrim”</w:t>
      </w:r>
      <w:r w:rsidR="000D6473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ka si qëllim </w:t>
      </w:r>
      <w:r w:rsidR="00384D4F" w:rsidRPr="00384D4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‘Garantimin dhe respektimin e ligjit për shërbimin civil në institucionet qendrore, të pavarura dhe ato vendore’</w:t>
      </w:r>
      <w:r w:rsidR="00384D4F" w:rsidRPr="00384D4F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384D4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Ky qëllim synohet të realizohet pëmes objektivit </w:t>
      </w:r>
      <w:r w:rsidR="006B6F17">
        <w:rPr>
          <w:rFonts w:ascii="Times New Roman" w:eastAsia="Calibri" w:hAnsi="Times New Roman" w:cs="Times New Roman"/>
          <w:sz w:val="24"/>
          <w:szCs w:val="24"/>
          <w:lang w:val="sq-AL"/>
        </w:rPr>
        <w:t>‘</w:t>
      </w:r>
      <w:r w:rsidR="00384D4F" w:rsidRPr="006B6F17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Rritja e nivelit te zbatimit te ligjit per sherbimin civil’</w:t>
      </w:r>
      <w:r w:rsidR="00384D4F" w:rsidRPr="00384D4F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384D4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</w:t>
      </w:r>
      <w:r w:rsidR="005424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realizimin e të cilit janë 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planifikuar 2 produkte</w:t>
      </w:r>
      <w:r w:rsidR="00CB59FC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47268C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1A7FE7BC" w14:textId="231AE0FB" w:rsidR="0047268C" w:rsidRPr="00CE782E" w:rsidRDefault="00CB59FC" w:rsidP="006B6F17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ga p</w:t>
      </w:r>
      <w:r w:rsidR="00F06702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rdorimi i fondeve 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>për 4M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060CC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është 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realizuar </w:t>
      </w:r>
      <w:r w:rsidR="00060CC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vetëm një produkt </w:t>
      </w:r>
      <w:r w:rsidR="0067294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masën 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>29</w:t>
      </w:r>
      <w:r w:rsidR="00C876E0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%</w:t>
      </w:r>
      <w:r w:rsidR="009632D1">
        <w:rPr>
          <w:rFonts w:ascii="Times New Roman" w:eastAsia="Calibri" w:hAnsi="Times New Roman" w:cs="Times New Roman"/>
          <w:sz w:val="24"/>
          <w:szCs w:val="24"/>
          <w:lang w:val="sq-AL"/>
        </w:rPr>
        <w:t>, dhe k</w:t>
      </w:r>
      <w:r w:rsidR="00542402">
        <w:rPr>
          <w:rFonts w:ascii="Times New Roman" w:eastAsia="Calibri" w:hAnsi="Times New Roman" w:cs="Times New Roman"/>
          <w:sz w:val="24"/>
          <w:szCs w:val="24"/>
          <w:lang w:val="sq-AL"/>
        </w:rPr>
        <w:t>onkretisht:</w:t>
      </w:r>
    </w:p>
    <w:p w14:paraId="19D3157C" w14:textId="075AA55A" w:rsidR="00AA442E" w:rsidRPr="00CE782E" w:rsidRDefault="00AA442E" w:rsidP="00AA442E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Për realizimin e qëllimit, janë realizuar </w:t>
      </w:r>
      <w:r w:rsidR="002F5E8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66</w:t>
      </w:r>
      <w:r w:rsidRPr="00CE782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inspektime dhe mbikëqyrje gjatë </w:t>
      </w:r>
      <w:r w:rsidR="002F5E8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4M</w:t>
      </w:r>
      <w:r w:rsidR="00EA623B" w:rsidRPr="00CE782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</w:t>
      </w:r>
      <w:r w:rsidRPr="00CE782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202</w:t>
      </w:r>
      <w:r w:rsidR="002F5E8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, </w:t>
      </w:r>
      <w:r w:rsidR="00542402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ose </w:t>
      </w:r>
      <w:r w:rsidR="002F5E8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31</w:t>
      </w:r>
      <w:r w:rsidR="00542402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% e sasisë së planifikuar, </w:t>
      </w:r>
      <w:r w:rsidRPr="00CE782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me një kosto </w:t>
      </w:r>
      <w:r w:rsidR="00542402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faktike </w:t>
      </w:r>
      <w:r w:rsidRPr="00CE782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prej </w:t>
      </w:r>
      <w:r w:rsidR="002F5E8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68.9</w:t>
      </w:r>
      <w:r w:rsidRPr="00CE782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milionë lekë.</w:t>
      </w:r>
    </w:p>
    <w:p w14:paraId="37E9DA95" w14:textId="77777777" w:rsidR="0047268C" w:rsidRPr="00CE782E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“</w:t>
      </w: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21736451" w14:textId="28CB4F33" w:rsidR="0047268C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të 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>4M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</w:t>
      </w:r>
      <w:r w:rsidR="00123726"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 xml:space="preserve">krahasuar me planin për vitin </w:t>
      </w: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20</w:t>
      </w:r>
      <w:r w:rsidR="00C876E0"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2</w:t>
      </w:r>
      <w:r w:rsidR="002F5E8F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sipas</w:t>
      </w:r>
      <w:r w:rsidR="002F5E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raportit të monitorimit të paraqitur nga ana e institucionit, paraqitet si më poshtë:</w:t>
      </w:r>
    </w:p>
    <w:p w14:paraId="15601612" w14:textId="1E3EA6F6" w:rsidR="00864F76" w:rsidRPr="00864F76" w:rsidRDefault="00AD2C76" w:rsidP="00864F76">
      <w:pPr>
        <w:ind w:left="-1080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sq-AL"/>
        </w:rPr>
      </w:pPr>
      <w:r w:rsidRPr="00AD2C76">
        <w:rPr>
          <w:noProof/>
        </w:rPr>
        <w:drawing>
          <wp:anchor distT="0" distB="0" distL="114300" distR="114300" simplePos="0" relativeHeight="251656704" behindDoc="0" locked="0" layoutInCell="1" allowOverlap="1" wp14:anchorId="30847847" wp14:editId="40DB62A8">
            <wp:simplePos x="0" y="0"/>
            <wp:positionH relativeFrom="margin">
              <wp:posOffset>-787400</wp:posOffset>
            </wp:positionH>
            <wp:positionV relativeFrom="margin">
              <wp:posOffset>6694805</wp:posOffset>
            </wp:positionV>
            <wp:extent cx="7527290" cy="1518285"/>
            <wp:effectExtent l="0" t="0" r="0" b="5715"/>
            <wp:wrapSquare wrapText="bothSides"/>
            <wp:docPr id="1998366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F76" w:rsidRPr="00864F76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sq-AL"/>
        </w:rPr>
        <w:t>Tabela: Realizimi i shpenzimeve sipas programeve buxhetore (në mijë lekë)</w:t>
      </w:r>
      <w:r w:rsidR="00864F76" w:rsidRPr="00BC5912">
        <w:rPr>
          <w:rFonts w:ascii="Times New Roman" w:eastAsia="Calibri" w:hAnsi="Times New Roman" w:cs="Times New Roman"/>
          <w:i/>
          <w:iCs/>
          <w:sz w:val="20"/>
          <w:szCs w:val="20"/>
          <w:lang w:val="sq-AL"/>
        </w:rPr>
        <w:t>:</w:t>
      </w:r>
    </w:p>
    <w:p w14:paraId="643E8723" w14:textId="07CA14CB" w:rsidR="00F66EA4" w:rsidRDefault="0047268C" w:rsidP="0047268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 xml:space="preserve">Siç shikohet nga tabela e mësipërme, </w:t>
      </w:r>
      <w:r w:rsidRPr="00D7174A">
        <w:rPr>
          <w:rFonts w:ascii="Times New Roman" w:eastAsia="Calibri" w:hAnsi="Times New Roman" w:cs="Times New Roman"/>
          <w:sz w:val="24"/>
          <w:szCs w:val="24"/>
          <w:lang w:val="sq-AL"/>
        </w:rPr>
        <w:t>shpenzimet korente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total për këtë institucion, janë realizuar në rreth 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>29</w:t>
      </w:r>
      <w:r w:rsidR="00F66EA4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%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të planit </w:t>
      </w:r>
      <w:r w:rsidR="0012372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për vitin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, ndërsa shpenzime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kapitale</w:t>
      </w:r>
      <w:r w:rsidR="00095C09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nuk kan</w:t>
      </w:r>
      <w:r w:rsidR="0050046B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95C09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realizim p</w:t>
      </w:r>
      <w:r w:rsidR="0050046B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95C09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>periudhën</w:t>
      </w:r>
      <w:r w:rsidR="00095C09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. 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Pra siç shikohet nga të dhënat e tabelës së mësipërme plani i shpenzimeve të buxhetit në total 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4M 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këtë institucion është realizuar në rreth 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>28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% të planit </w:t>
      </w:r>
      <w:r w:rsidR="0012372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për vitin</w:t>
      </w:r>
      <w:r w:rsidR="0014428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AD2C76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690C3B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6C64A9EB" w14:textId="34DB8563" w:rsidR="00864F76" w:rsidRPr="00E20F8E" w:rsidRDefault="000907D3" w:rsidP="00E20F8E">
      <w:pPr>
        <w:ind w:left="-720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  <w:lang w:val="sq-AL"/>
        </w:rPr>
      </w:pPr>
      <w:r w:rsidRPr="000907D3">
        <w:rPr>
          <w:noProof/>
        </w:rPr>
        <w:drawing>
          <wp:anchor distT="0" distB="0" distL="114300" distR="114300" simplePos="0" relativeHeight="251657728" behindDoc="0" locked="0" layoutInCell="1" allowOverlap="1" wp14:anchorId="5BE99CF9" wp14:editId="6633C058">
            <wp:simplePos x="0" y="0"/>
            <wp:positionH relativeFrom="margin">
              <wp:posOffset>-683895</wp:posOffset>
            </wp:positionH>
            <wp:positionV relativeFrom="margin">
              <wp:posOffset>1271905</wp:posOffset>
            </wp:positionV>
            <wp:extent cx="7311390" cy="3649345"/>
            <wp:effectExtent l="0" t="0" r="3810" b="8255"/>
            <wp:wrapSquare wrapText="bothSides"/>
            <wp:docPr id="2120218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39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F8E" w:rsidRPr="00E20F8E">
        <w:rPr>
          <w:rFonts w:ascii="Times New Roman" w:eastAsia="Calibri" w:hAnsi="Times New Roman" w:cs="Times New Roman"/>
          <w:i/>
          <w:sz w:val="20"/>
          <w:szCs w:val="20"/>
          <w:u w:val="single"/>
          <w:lang w:val="sq-AL"/>
        </w:rPr>
        <w:t>Tabela: Realizimi i shpenzimeve sipas klasifikimit ekonomik (në mijë lekë)</w:t>
      </w:r>
      <w:r w:rsidR="00E20F8E" w:rsidRPr="00BC5912">
        <w:rPr>
          <w:rFonts w:ascii="Times New Roman" w:eastAsia="Calibri" w:hAnsi="Times New Roman" w:cs="Times New Roman"/>
          <w:i/>
          <w:sz w:val="20"/>
          <w:szCs w:val="20"/>
          <w:lang w:val="sq-AL"/>
        </w:rPr>
        <w:t>:</w:t>
      </w:r>
    </w:p>
    <w:p w14:paraId="0E2A9EF4" w14:textId="72AEBED2" w:rsidR="000907D3" w:rsidRDefault="000907D3" w:rsidP="00690C3B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</w:p>
    <w:p w14:paraId="5595BC62" w14:textId="16A87493" w:rsidR="00690C3B" w:rsidRDefault="00690C3B" w:rsidP="00690C3B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690C3B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Lidhur me 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realizimin e shpenzimeve sipas z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rave t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shpenzimeve t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paraqitura n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tabelen e m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sip</w:t>
      </w:r>
      <w:r w:rsidR="00024B3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rme, evidentohet:</w:t>
      </w:r>
    </w:p>
    <w:p w14:paraId="51F0A230" w14:textId="59C732BC" w:rsidR="00690C3B" w:rsidRPr="000907D3" w:rsidRDefault="00673744" w:rsidP="000907D3">
      <w:pPr>
        <w:spacing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0907D3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Shpenzimet korente</w:t>
      </w:r>
      <w:r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janë realizuar në masën </w:t>
      </w:r>
      <w:r w:rsidR="000907D3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29</w:t>
      </w:r>
      <w:r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% të planit vjetor</w:t>
      </w:r>
      <w:r w:rsidR="000907D3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 n</w:t>
      </w:r>
      <w:r w:rsidR="00D7174A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d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7174A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rkoh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q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ë </w:t>
      </w:r>
      <w:r w:rsidR="00024B32" w:rsidRPr="000907D3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shpenzimet kapitale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, nuk kanë pasur realizim përgjatë </w:t>
      </w:r>
      <w:r w:rsid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periudhës</w:t>
      </w:r>
      <w:r w:rsidR="00024B32" w:rsidRP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. </w:t>
      </w:r>
      <w:r w:rsidR="000907D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Ky nivel realizimi është në trendin normal të periudhës për instiucionin, kjo pasi niveli i realizimi është kushtëzuar nga realizimi i procedurave të prokurimit.</w:t>
      </w:r>
    </w:p>
    <w:p w14:paraId="4DD33CCE" w14:textId="110102E1" w:rsidR="0047268C" w:rsidRPr="00CE782E" w:rsidRDefault="0047268C" w:rsidP="0047268C">
      <w:pPr>
        <w:spacing w:line="240" w:lineRule="auto"/>
        <w:ind w:left="900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272491FC" w14:textId="6AB7FB3F" w:rsidR="0008455F" w:rsidRDefault="009D06E7" w:rsidP="001E2B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Për këtë institucion, situata në lidhje me ndryshimet e buxhetit gjatë vitit 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duke u nisur nga buxheti fillestar sipas ligjit nr. Nr. 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115</w:t>
      </w:r>
      <w:r w:rsidR="00DB7F6C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/202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2241ED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“Për buxhetin e vitit 202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8B017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”,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304BA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ndryshuar, 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ka ndryshime në totalin e shpenzimeve buxhetore</w:t>
      </w:r>
      <w:r w:rsidR="008B0176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nga shtesat në fondin e veçantë</w:t>
      </w:r>
      <w:r w:rsidR="001E2BC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 vitin 2025.</w:t>
      </w:r>
    </w:p>
    <w:p w14:paraId="354D5BFB" w14:textId="77777777" w:rsidR="001E2BCD" w:rsidRDefault="001E2BCD" w:rsidP="001E2B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1B3EB7C" w14:textId="77777777" w:rsidR="001E2BCD" w:rsidRDefault="001E2BCD" w:rsidP="001E2BCD">
      <w:pPr>
        <w:spacing w:after="0"/>
        <w:jc w:val="both"/>
        <w:rPr>
          <w:rFonts w:ascii="Times New Roman" w:eastAsia="Calibri" w:hAnsi="Times New Roman" w:cs="Times New Roman"/>
          <w:b/>
          <w:i/>
          <w:lang w:val="sq-AL"/>
        </w:rPr>
      </w:pPr>
    </w:p>
    <w:p w14:paraId="497EB285" w14:textId="19B3F0AB" w:rsidR="0047268C" w:rsidRDefault="0047268C" w:rsidP="0047268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val="sq-AL"/>
        </w:rPr>
      </w:pPr>
      <w:r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                                                                                         </w:t>
      </w:r>
      <w:r w:rsidR="00DB7F6C"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      </w:t>
      </w:r>
      <w:r w:rsidRPr="00CE782E">
        <w:rPr>
          <w:rFonts w:ascii="Times New Roman" w:eastAsia="Calibri" w:hAnsi="Times New Roman" w:cs="Times New Roman"/>
          <w:b/>
          <w:i/>
          <w:lang w:val="sq-AL"/>
        </w:rPr>
        <w:t xml:space="preserve">    </w:t>
      </w:r>
    </w:p>
    <w:p w14:paraId="1A85AF23" w14:textId="77777777" w:rsidR="0047268C" w:rsidRPr="00CE782E" w:rsidRDefault="0047268C" w:rsidP="004726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59C9394" w14:textId="77777777" w:rsidR="0047268C" w:rsidRPr="00CE782E" w:rsidRDefault="0047268C" w:rsidP="004726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lastRenderedPageBreak/>
        <w:t xml:space="preserve">Komente dhe rekomandime </w:t>
      </w:r>
    </w:p>
    <w:p w14:paraId="32D661A5" w14:textId="77777777" w:rsidR="0047268C" w:rsidRPr="00CE782E" w:rsidRDefault="0047268C" w:rsidP="0047268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6E9447E" w14:textId="1691CCE8" w:rsidR="00874CEA" w:rsidRPr="00CE782E" w:rsidRDefault="00874CEA" w:rsidP="00874CE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 këtij udhëzimi. Vërejmë që të dhënat e raportuara në raportin e monitorimit, janë sipas formateve të përcaktuara në këtë udhëzim.</w:t>
      </w:r>
    </w:p>
    <w:p w14:paraId="1C55689F" w14:textId="77777777" w:rsidR="003F1A30" w:rsidRDefault="003F1A30" w:rsidP="003F1A30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033F076" w14:textId="37E9B870" w:rsidR="001B44AE" w:rsidRPr="003F1A30" w:rsidRDefault="001B44AE" w:rsidP="003F1A30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</w:pPr>
      <w:r w:rsidRPr="003F1A30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Lidhur me përmirësimin e cilësisë së përmbajtjes së raportit të monitorimit rekomandojmë:</w:t>
      </w:r>
    </w:p>
    <w:p w14:paraId="0E5EF54C" w14:textId="77777777" w:rsidR="001B44AE" w:rsidRPr="001B44AE" w:rsidRDefault="001B44AE" w:rsidP="001B44AE">
      <w:pPr>
        <w:pStyle w:val="ListParagrap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01DFC48A" w14:textId="66B03EE2" w:rsidR="00B268A6" w:rsidRDefault="00B268A6" w:rsidP="00742A0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araqitjen e një analize mbi realizimin e treguesit e performancës në nivel qëllimi dhe objektivi të shfaqura në aneksin 4 </w:t>
      </w:r>
      <w:r w:rsidRPr="00AE35A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“Raporti i realizimit të treguesve të performancës së programit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0E94073F" w14:textId="23B4B5D4" w:rsidR="006B24BB" w:rsidRPr="00AE35AE" w:rsidRDefault="001B44AE" w:rsidP="00742A0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treguesit e performancës në nivel qëllimi </w:t>
      </w:r>
      <w:r w:rsidR="000F7D48"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dhe objektivi </w:t>
      </w: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shfaqura në aneksin 4 </w:t>
      </w:r>
      <w:r w:rsidRPr="00AE35A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“Raporti i realizimit të treguesve të performancës së programit”, </w:t>
      </w:r>
      <w:r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>rekomandojmë përcaktimin e njësisë matëse në kolonën përkatëse</w:t>
      </w:r>
      <w:r w:rsidR="00B268A6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8A2A46" w:rsidRPr="00AE35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1891396E" w14:textId="77777777" w:rsidR="001359EF" w:rsidRPr="00CE782E" w:rsidRDefault="001359EF" w:rsidP="001359EF">
      <w:pPr>
        <w:pStyle w:val="ListParagraph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654E7E3" w14:textId="77777777" w:rsidR="000D6473" w:rsidRPr="00CE782E" w:rsidRDefault="001359EF" w:rsidP="001359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b/>
          <w:sz w:val="24"/>
          <w:szCs w:val="24"/>
          <w:lang w:val="sq-AL"/>
        </w:rPr>
        <w:t>Publikimi:</w:t>
      </w:r>
    </w:p>
    <w:p w14:paraId="5250A869" w14:textId="77777777" w:rsidR="001359EF" w:rsidRPr="00CE782E" w:rsidRDefault="001359EF" w:rsidP="001359EF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B599FC7" w14:textId="0390BD33" w:rsidR="000A18DB" w:rsidRPr="00CE782E" w:rsidRDefault="0047268C" w:rsidP="001359E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për </w:t>
      </w:r>
      <w:r w:rsidR="006B24BB">
        <w:rPr>
          <w:rFonts w:ascii="Times New Roman" w:eastAsia="Calibri" w:hAnsi="Times New Roman" w:cs="Times New Roman"/>
          <w:sz w:val="24"/>
          <w:szCs w:val="24"/>
          <w:lang w:val="sq-AL"/>
        </w:rPr>
        <w:t>4M 2025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>, është publikuar në faqen zyrtare të Komisionerit për Mbikqyrjen e Shërbimit Civil.</w:t>
      </w:r>
      <w:r w:rsidR="00DB7F6C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3A1F28"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38539B1E" w14:textId="1CB40E43" w:rsidR="00284BFD" w:rsidRPr="00CE782E" w:rsidRDefault="00535FF5" w:rsidP="00535FF5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E782E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Linku</w:t>
      </w:r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: </w:t>
      </w:r>
      <w:hyperlink r:id="rId7" w:history="1">
        <w:r w:rsidR="006B24BB" w:rsidRPr="00AC7E78">
          <w:rPr>
            <w:rStyle w:val="Hyperlink"/>
            <w:rFonts w:ascii="Times New Roman" w:eastAsia="Calibri" w:hAnsi="Times New Roman" w:cs="Times New Roman"/>
            <w:sz w:val="24"/>
            <w:szCs w:val="24"/>
            <w:lang w:val="sq-AL"/>
          </w:rPr>
          <w:t>http://www.kmshc.al/raporte-te-finances/</w:t>
        </w:r>
      </w:hyperlink>
      <w:r w:rsidRPr="00CE782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sectPr w:rsidR="00284BFD" w:rsidRPr="00CE7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BD0"/>
    <w:multiLevelType w:val="hybridMultilevel"/>
    <w:tmpl w:val="9676A7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33C5F"/>
    <w:multiLevelType w:val="hybridMultilevel"/>
    <w:tmpl w:val="4094D074"/>
    <w:lvl w:ilvl="0" w:tplc="88F2298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E754B67"/>
    <w:multiLevelType w:val="hybridMultilevel"/>
    <w:tmpl w:val="F6D4D91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316D"/>
    <w:multiLevelType w:val="hybridMultilevel"/>
    <w:tmpl w:val="38A2F3E6"/>
    <w:lvl w:ilvl="0" w:tplc="2EC6C1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213AC"/>
    <w:multiLevelType w:val="hybridMultilevel"/>
    <w:tmpl w:val="B4A230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36B17"/>
    <w:multiLevelType w:val="hybridMultilevel"/>
    <w:tmpl w:val="41A6FB4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8F2ABB"/>
    <w:multiLevelType w:val="hybridMultilevel"/>
    <w:tmpl w:val="381024D0"/>
    <w:lvl w:ilvl="0" w:tplc="854AE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87B5F"/>
    <w:multiLevelType w:val="hybridMultilevel"/>
    <w:tmpl w:val="DD326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21FF7"/>
    <w:multiLevelType w:val="hybridMultilevel"/>
    <w:tmpl w:val="0B5ACBD0"/>
    <w:lvl w:ilvl="0" w:tplc="754ED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A2150"/>
    <w:multiLevelType w:val="hybridMultilevel"/>
    <w:tmpl w:val="7DD017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4527521">
    <w:abstractNumId w:val="10"/>
  </w:num>
  <w:num w:numId="2" w16cid:durableId="2040353683">
    <w:abstractNumId w:val="2"/>
  </w:num>
  <w:num w:numId="3" w16cid:durableId="1026911148">
    <w:abstractNumId w:val="11"/>
  </w:num>
  <w:num w:numId="4" w16cid:durableId="1203202266">
    <w:abstractNumId w:val="1"/>
  </w:num>
  <w:num w:numId="5" w16cid:durableId="1051002785">
    <w:abstractNumId w:val="8"/>
  </w:num>
  <w:num w:numId="6" w16cid:durableId="236062861">
    <w:abstractNumId w:val="7"/>
  </w:num>
  <w:num w:numId="7" w16cid:durableId="98181404">
    <w:abstractNumId w:val="12"/>
  </w:num>
  <w:num w:numId="8" w16cid:durableId="2103796939">
    <w:abstractNumId w:val="9"/>
  </w:num>
  <w:num w:numId="9" w16cid:durableId="318772098">
    <w:abstractNumId w:val="0"/>
  </w:num>
  <w:num w:numId="10" w16cid:durableId="1754275705">
    <w:abstractNumId w:val="4"/>
  </w:num>
  <w:num w:numId="11" w16cid:durableId="186019280">
    <w:abstractNumId w:val="6"/>
  </w:num>
  <w:num w:numId="12" w16cid:durableId="1473329399">
    <w:abstractNumId w:val="3"/>
  </w:num>
  <w:num w:numId="13" w16cid:durableId="1157497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ED7"/>
    <w:rsid w:val="000007A8"/>
    <w:rsid w:val="00024B32"/>
    <w:rsid w:val="00032061"/>
    <w:rsid w:val="00043470"/>
    <w:rsid w:val="00060CCF"/>
    <w:rsid w:val="000803EF"/>
    <w:rsid w:val="0008455F"/>
    <w:rsid w:val="000907D3"/>
    <w:rsid w:val="00095C09"/>
    <w:rsid w:val="000A18DB"/>
    <w:rsid w:val="000D6473"/>
    <w:rsid w:val="000F0A5A"/>
    <w:rsid w:val="000F7D48"/>
    <w:rsid w:val="001000CA"/>
    <w:rsid w:val="00107ACE"/>
    <w:rsid w:val="00114D04"/>
    <w:rsid w:val="00123726"/>
    <w:rsid w:val="00125B47"/>
    <w:rsid w:val="001359EF"/>
    <w:rsid w:val="00144286"/>
    <w:rsid w:val="00152580"/>
    <w:rsid w:val="001745AE"/>
    <w:rsid w:val="00180506"/>
    <w:rsid w:val="001B44AE"/>
    <w:rsid w:val="001E2BCD"/>
    <w:rsid w:val="001F2873"/>
    <w:rsid w:val="002241ED"/>
    <w:rsid w:val="00284BFD"/>
    <w:rsid w:val="002B48D4"/>
    <w:rsid w:val="002F5E8F"/>
    <w:rsid w:val="00300835"/>
    <w:rsid w:val="00304BAB"/>
    <w:rsid w:val="00313181"/>
    <w:rsid w:val="0033054E"/>
    <w:rsid w:val="00341B4C"/>
    <w:rsid w:val="00384D4F"/>
    <w:rsid w:val="003A1F28"/>
    <w:rsid w:val="003F1A30"/>
    <w:rsid w:val="00433237"/>
    <w:rsid w:val="0047268C"/>
    <w:rsid w:val="004A2147"/>
    <w:rsid w:val="004A3825"/>
    <w:rsid w:val="004B317F"/>
    <w:rsid w:val="004E612F"/>
    <w:rsid w:val="0050046B"/>
    <w:rsid w:val="00535FF5"/>
    <w:rsid w:val="00542402"/>
    <w:rsid w:val="00563525"/>
    <w:rsid w:val="00586702"/>
    <w:rsid w:val="005C273D"/>
    <w:rsid w:val="005D0E0D"/>
    <w:rsid w:val="00602C15"/>
    <w:rsid w:val="0067294D"/>
    <w:rsid w:val="00673744"/>
    <w:rsid w:val="00690C3B"/>
    <w:rsid w:val="006B24BB"/>
    <w:rsid w:val="006B6F17"/>
    <w:rsid w:val="006D53D5"/>
    <w:rsid w:val="006F59F6"/>
    <w:rsid w:val="007210C3"/>
    <w:rsid w:val="007A6DAD"/>
    <w:rsid w:val="007C35BD"/>
    <w:rsid w:val="007C4C31"/>
    <w:rsid w:val="007C7168"/>
    <w:rsid w:val="0083569B"/>
    <w:rsid w:val="00864F76"/>
    <w:rsid w:val="00874CEA"/>
    <w:rsid w:val="008A2A46"/>
    <w:rsid w:val="008B0176"/>
    <w:rsid w:val="008B0B23"/>
    <w:rsid w:val="008C33CF"/>
    <w:rsid w:val="008E384A"/>
    <w:rsid w:val="0090329A"/>
    <w:rsid w:val="00931ED7"/>
    <w:rsid w:val="009632D1"/>
    <w:rsid w:val="009C0571"/>
    <w:rsid w:val="009D06E7"/>
    <w:rsid w:val="00AA442E"/>
    <w:rsid w:val="00AB4D91"/>
    <w:rsid w:val="00AD2C76"/>
    <w:rsid w:val="00AE35AE"/>
    <w:rsid w:val="00B05C07"/>
    <w:rsid w:val="00B264B4"/>
    <w:rsid w:val="00B268A6"/>
    <w:rsid w:val="00B35C97"/>
    <w:rsid w:val="00B610F0"/>
    <w:rsid w:val="00B67681"/>
    <w:rsid w:val="00B7269B"/>
    <w:rsid w:val="00B87C16"/>
    <w:rsid w:val="00BB3F75"/>
    <w:rsid w:val="00BB7B88"/>
    <w:rsid w:val="00BC5912"/>
    <w:rsid w:val="00BE476A"/>
    <w:rsid w:val="00C42E63"/>
    <w:rsid w:val="00C876E0"/>
    <w:rsid w:val="00CA30EE"/>
    <w:rsid w:val="00CB59FC"/>
    <w:rsid w:val="00CC3EEB"/>
    <w:rsid w:val="00CE782E"/>
    <w:rsid w:val="00D0007B"/>
    <w:rsid w:val="00D04F96"/>
    <w:rsid w:val="00D7174A"/>
    <w:rsid w:val="00D93DC2"/>
    <w:rsid w:val="00DA3929"/>
    <w:rsid w:val="00DB43E9"/>
    <w:rsid w:val="00DB7F6C"/>
    <w:rsid w:val="00E20F8E"/>
    <w:rsid w:val="00E721A4"/>
    <w:rsid w:val="00E851B6"/>
    <w:rsid w:val="00EA623B"/>
    <w:rsid w:val="00ED6515"/>
    <w:rsid w:val="00F06702"/>
    <w:rsid w:val="00F15D8A"/>
    <w:rsid w:val="00F37F59"/>
    <w:rsid w:val="00F5403D"/>
    <w:rsid w:val="00F66EA4"/>
    <w:rsid w:val="00FA2121"/>
    <w:rsid w:val="00FD2C0D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B238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F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F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shc.al/raporte-te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ledjana gjoni</cp:lastModifiedBy>
  <cp:revision>69</cp:revision>
  <dcterms:created xsi:type="dcterms:W3CDTF">2024-04-30T09:34:00Z</dcterms:created>
  <dcterms:modified xsi:type="dcterms:W3CDTF">2025-07-09T12:10:00Z</dcterms:modified>
</cp:coreProperties>
</file>