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F63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E9FD924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09339E43" w14:textId="6F8C2622" w:rsidR="009963A5" w:rsidRPr="00FF0EBA" w:rsidRDefault="0070208E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C6359C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DIME </w:t>
      </w:r>
    </w:p>
    <w:p w14:paraId="1C4B2C0F" w14:textId="3E9E75CE" w:rsidR="005625F7" w:rsidRPr="00FF0EBA" w:rsidRDefault="00C6359C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MBI RAPORTIN E MONITORIMIT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TË 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>4 MUJORIT T</w:t>
      </w:r>
      <w:r w:rsidR="007755FF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I</w:t>
      </w:r>
      <w:r w:rsidR="005F41AD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,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PËR KONTROLLIN E LARTË TË SHTETIT</w:t>
      </w:r>
    </w:p>
    <w:p w14:paraId="0AE60C60" w14:textId="77777777" w:rsidR="005625F7" w:rsidRPr="00FF0EBA" w:rsidRDefault="005625F7" w:rsidP="00007F83">
      <w:pPr>
        <w:numPr>
          <w:ilvl w:val="0"/>
          <w:numId w:val="3"/>
        </w:numPr>
        <w:ind w:left="-288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5D097686" w14:textId="52A20394" w:rsid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Kontrolli i Lartë i Shtetit, në funksion të përmbushjes së objektivit kushtetues dhe ligjor të sigurimit të llogaridhënies publike, me fondet buxhetore të miratuara, për </w:t>
      </w:r>
      <w:r w:rsidR="004569F5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Vitin</w:t>
      </w:r>
      <w:r w:rsidR="00FF441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 për përmbushjen me cilësi të lartë dhe në kohë të detyrimeve kushtetuese dhe ligjore, të objektivave, si dhe të prioriteteve të institucionit. </w:t>
      </w:r>
    </w:p>
    <w:p w14:paraId="48D22DEB" w14:textId="31ADEFC8" w:rsidR="005625F7" w:rsidRP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5 </w:t>
      </w:r>
      <w:r w:rsidR="006D07A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është</w:t>
      </w:r>
      <w:r w:rsidR="0067323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 “Veprimtaria Audituese e KLSH-së”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.Q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llimi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tij programi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Ushtrimi i veprimtaris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linj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 standartet nd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rkomb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tare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auditimit mbi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rdorimin me efektivitet, eficienc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ekonomicitet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fondeve publike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funksion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rritjes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rgjegjshm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menaxhimit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financave e pasuris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publike duke sjell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vler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shtuar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 shoq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ndryshim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jet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n e qytetareve</w:t>
      </w:r>
      <w:r w:rsid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”.</w:t>
      </w:r>
    </w:p>
    <w:p w14:paraId="7825F9C4" w14:textId="3AFCF5AA" w:rsidR="0067323A" w:rsidRPr="00FF0EBA" w:rsidRDefault="0067323A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Nd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rsa Objektivi kryesor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Progamit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: “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impaktit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rmjet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rmir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nivelit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zbatimit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rekomandimeve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”.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Treguesi i performanc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objektiv “Trendi i rritjes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zbatueshm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rekomandimeve”, 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nivelin e parashikuar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n 75%.</w:t>
      </w:r>
    </w:p>
    <w:p w14:paraId="4440B109" w14:textId="62BB15F5" w:rsidR="00C533E8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B5020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Për programin “Veprimtaria Audituese e KLSH-së’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për </w:t>
      </w:r>
      <w:r w:rsidR="002D6D53">
        <w:rPr>
          <w:rFonts w:ascii="Times New Roman" w:eastAsia="Calibri" w:hAnsi="Times New Roman" w:cs="Times New Roman"/>
          <w:sz w:val="24"/>
          <w:szCs w:val="24"/>
          <w:lang w:val="sq-AL"/>
        </w:rPr>
        <w:t>Vitin 2</w:t>
      </w:r>
      <w:r w:rsidR="00C6359C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02</w:t>
      </w:r>
      <w:r w:rsidR="005234B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958B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6D07A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sipas raportit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monitorimit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paraqitur</w:t>
      </w:r>
      <w:r w:rsidR="005F41AD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institucion ka raportuar 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produktin “Auditime 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kryera” i cili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16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nga 1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80</w:t>
      </w:r>
      <w:r w:rsidR="00E0634B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planifikuara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>duke realizuar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>shtu</w:t>
      </w:r>
      <w:r w:rsidR="00DC7D5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planin e auditimeve,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kan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jn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 vler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sim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rputhshm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 rregullshm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financiare, performanc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IT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dhe ndjekjes 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statusit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zbatimit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na 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periudhat e 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parshme.</w:t>
      </w:r>
      <w:r w:rsidR="0024776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06C2E8A6" w14:textId="0EF308EE" w:rsidR="001C42BA" w:rsidRDefault="00E0634B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to auditime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>lidhen me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simin e aktivitetit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55 subjekte, duke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rfshir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nivele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qeverisjes si: institucione qendrore, ministri dhe agjenci, nj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si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vetqeverisjes vendore, drejtori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rgjithshme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administrimit fiskal, si dhe shoq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ri aksionare me kapital </w:t>
      </w:r>
      <w:r w:rsidRPr="00CB5020">
        <w:rPr>
          <w:rFonts w:ascii="Times New Roman" w:eastAsia="Calibri" w:hAnsi="Times New Roman" w:cs="Times New Roman"/>
          <w:sz w:val="24"/>
          <w:szCs w:val="24"/>
          <w:lang w:val="sq-AL"/>
        </w:rPr>
        <w:t>shtet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B5020">
        <w:rPr>
          <w:rFonts w:ascii="Times New Roman" w:eastAsia="Calibri" w:hAnsi="Times New Roman" w:cs="Times New Roman"/>
          <w:sz w:val="24"/>
          <w:szCs w:val="24"/>
          <w:lang w:val="sq-AL"/>
        </w:rPr>
        <w:t>ror n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n shteti ka mbi 50</w:t>
      </w:r>
      <w:r w:rsidR="008261C7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aksioneve, apo projekte me financim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huaj.</w:t>
      </w:r>
    </w:p>
    <w:p w14:paraId="6713D661" w14:textId="11904BBC" w:rsidR="005C1F89" w:rsidRPr="00FF0EBA" w:rsidRDefault="005C1F89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KLSH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periudh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 Janar-Prill 2025 ka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rfunduar kryerjen e 16 misioneve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auditimit, duke konkluduar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: 4 opinione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auditime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rputhshm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rie; 2 konkluzione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auditime IT; 10 konkluzione mbi zbatimin e rekomandimeve; 1 konkluzion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 financiar.</w:t>
      </w:r>
    </w:p>
    <w:p w14:paraId="7E63EA17" w14:textId="0CC95558" w:rsidR="005625F7" w:rsidRPr="00FF0EBA" w:rsidRDefault="005625F7" w:rsidP="00007F83">
      <w:pPr>
        <w:pStyle w:val="ListParagraph"/>
        <w:numPr>
          <w:ilvl w:val="0"/>
          <w:numId w:val="3"/>
        </w:num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  <w:r w:rsidR="005F0473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E4122CC" w14:textId="53B328A3" w:rsidR="00F15DC2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4 Mujorit I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 situata në lidhje me realizimin e shpenzimeve të buxhetit,  paraqitet si më poshtë:</w:t>
      </w:r>
      <w:r w:rsidR="00FF500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    </w:t>
      </w:r>
    </w:p>
    <w:p w14:paraId="28A18645" w14:textId="0129D809" w:rsidR="00BD592B" w:rsidRDefault="00007F83" w:rsidP="00007F83">
      <w:pPr>
        <w:ind w:left="-288"/>
        <w:jc w:val="both"/>
        <w:rPr>
          <w:rFonts w:ascii="Times New Roman" w:eastAsia="Calibri" w:hAnsi="Times New Roman" w:cs="Times New Roman"/>
          <w:i/>
          <w:iCs/>
          <w:lang w:val="sq-AL"/>
        </w:rPr>
      </w:pPr>
      <w:r>
        <w:rPr>
          <w:rFonts w:ascii="Times New Roman" w:eastAsia="Calibri" w:hAnsi="Times New Roman" w:cs="Times New Roman"/>
          <w:i/>
          <w:iCs/>
          <w:lang w:val="sq-AL"/>
        </w:rPr>
        <w:t xml:space="preserve">        </w:t>
      </w:r>
      <w:r w:rsidR="00B6385A" w:rsidRPr="00B6385A">
        <w:rPr>
          <w:rFonts w:ascii="Times New Roman" w:eastAsia="Calibri" w:hAnsi="Times New Roman" w:cs="Times New Roman"/>
          <w:i/>
          <w:iCs/>
          <w:lang w:val="sq-AL"/>
        </w:rPr>
        <w:t xml:space="preserve">Tabela Realizimi i shpenzimeve 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(n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mij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lek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)</w:t>
      </w:r>
    </w:p>
    <w:p w14:paraId="0D881F0A" w14:textId="46BB4D47" w:rsidR="00BD592B" w:rsidRDefault="00BD592B" w:rsidP="00287D9C">
      <w:pPr>
        <w:ind w:left="-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80C79CA" w14:textId="72398EC4" w:rsidR="000B076D" w:rsidRDefault="000B076D" w:rsidP="00287D9C">
      <w:pPr>
        <w:ind w:left="-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0B076D">
        <w:rPr>
          <w:noProof/>
        </w:rPr>
        <w:drawing>
          <wp:inline distT="0" distB="0" distL="0" distR="0" wp14:anchorId="606DB1BE" wp14:editId="3265D57E">
            <wp:extent cx="6515100" cy="3476625"/>
            <wp:effectExtent l="0" t="0" r="0" b="9525"/>
            <wp:docPr id="780996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B98C8" w14:textId="52EC6AE6" w:rsidR="00C763DF" w:rsidRDefault="00C763DF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Realizimi i Totalit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4 Mujorit 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fillestar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planit, </w:t>
      </w:r>
      <w:r w:rsidR="0094010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sikurse edhe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e Rishikuar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Buxhetit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%.</w:t>
      </w:r>
    </w:p>
    <w:p w14:paraId="207C2EF2" w14:textId="4D2BAC49" w:rsidR="002F77CB" w:rsidRDefault="00B54D80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Realizimi i shpenzimeve sipas 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zerave paraqite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 m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39DCD304" w14:textId="111C4DC4" w:rsidR="00B54D80" w:rsidRDefault="003717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paga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jan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29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vjetor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 me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C2005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Evidentojm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 i buxhetit 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akorduar p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numrin e planifikuar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punonj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sve prej 243 punonjesish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,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koh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realizimi i fondeve 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lidhet me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numrin faktik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tyre prej 219 punonj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sish.</w:t>
      </w:r>
    </w:p>
    <w:p w14:paraId="07A65DD7" w14:textId="2911D1F6" w:rsidR="00B6385A" w:rsidRDefault="003F4F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r Sigurime shoq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rore 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35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13E14116" w14:textId="32250391" w:rsidR="00B6385A" w:rsidRDefault="00B6385A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per Mallra e Sherbime”, 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ku përfshihen shpenzimet për shërbimin e sigurisë, drita, ujë, telefon, kancelari, etj., shpenzime për udhëtim e dieta brenda vendit, shërbim interneti, mirembajtje te rrjetit dhe sistemit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IT</w:t>
      </w:r>
      <w:r w:rsid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21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678460F1" w14:textId="6E33F9FC" w:rsidR="00AD3346" w:rsidRDefault="00AD3346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kapitale 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deri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4 Mujorit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 2025 nuk jan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realizuar. KLSH ka nisur procedurat e prokurimit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r fondet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n 3 milion lek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r blerje automjeti dhe 4 milion lek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r rikonstruksionin e godin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s.</w:t>
      </w:r>
    </w:p>
    <w:p w14:paraId="60F7B34E" w14:textId="4DEC27A9" w:rsidR="00615B9F" w:rsidRPr="00AD3346" w:rsidRDefault="00615B9F" w:rsidP="00AD3346">
      <w:pPr>
        <w:pStyle w:val="ListParagraph"/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7C42C88" w14:textId="77777777" w:rsidR="005625F7" w:rsidRPr="00FF0EBA" w:rsidRDefault="005625F7" w:rsidP="00007F83">
      <w:pPr>
        <w:spacing w:line="240" w:lineRule="auto"/>
        <w:ind w:left="-288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09D6BF99" w14:textId="0AF3E729" w:rsidR="00893D73" w:rsidRDefault="00007F83" w:rsidP="007E4B2C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Gjat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4 mujorit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 i buxhetit per KLSh-ne i miratuar me Ligjin Fillestar ka ndryshuar 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ne total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1.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5 milion leke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pas akordimit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rdorimin e 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Fondi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Vecante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n 1.5 milion leke.</w:t>
      </w:r>
    </w:p>
    <w:p w14:paraId="0E211759" w14:textId="77777777" w:rsidR="005625F7" w:rsidRPr="00FF0EBA" w:rsidRDefault="005625F7" w:rsidP="00007F83">
      <w:p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357933A" w14:textId="77777777" w:rsidR="005625F7" w:rsidRPr="00FF0EBA" w:rsidRDefault="005625F7" w:rsidP="00007F83">
      <w:pPr>
        <w:numPr>
          <w:ilvl w:val="0"/>
          <w:numId w:val="4"/>
        </w:num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                                                                    </w:t>
      </w:r>
    </w:p>
    <w:p w14:paraId="71B7E7B7" w14:textId="77777777" w:rsidR="00C26022" w:rsidRPr="00FF0EBA" w:rsidRDefault="00C26022" w:rsidP="00007F83">
      <w:p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7415AE8" w14:textId="28F20526" w:rsidR="00290745" w:rsidRPr="00FF0EBA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 xml:space="preserve">Vlerësojmë respektimin nga ana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e institucionit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afatit të paraqitjes së këtij raporti, të përcaktuar në udhëzimin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614940D5" w14:textId="27E7213D" w:rsidR="00290745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Vëmë në dukje se paraqitja e informacionit janë sipas formateve të përcaktuara në paragrafin 49, të Udhëzimit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30.05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, por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rsa i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rket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nave v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rejm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2EA05724" w14:textId="6E370C88" w:rsidR="008D5E35" w:rsidRPr="008D5E35" w:rsidRDefault="008D5E35" w:rsidP="008D5E35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Nuk jan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plot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suar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nat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lidhet me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palnifikuara sdhe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faktike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produkteve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, në anekset 3 dhe 4.</w:t>
      </w:r>
    </w:p>
    <w:p w14:paraId="1D73E16F" w14:textId="77777777" w:rsidR="00FF0EBA" w:rsidRPr="00FF0EBA" w:rsidRDefault="00FF0EBA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3F9F91BB" w14:textId="3132A3E7" w:rsidR="005625F7" w:rsidRDefault="005625F7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EC6A7C9" w14:textId="77777777" w:rsidR="00B162D0" w:rsidRPr="00FF0EBA" w:rsidRDefault="00B162D0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7A694CA" w14:textId="0DD83E93" w:rsidR="005625F7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>4 Mujorin e I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F15D00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publikuar në faqen zyrtare të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Kontrollit të Lartë të Shtetit, n</w:t>
      </w:r>
      <w:r w:rsidR="004F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linkun e m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posht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m;</w:t>
      </w:r>
    </w:p>
    <w:p w14:paraId="1D85CDC5" w14:textId="56D37685" w:rsidR="004376FC" w:rsidRDefault="004376FC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hyperlink r:id="rId6" w:history="1">
        <w:r w:rsidRPr="00F925BF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https://www.klsh.org.al/raporte-monitorimi/</w:t>
        </w:r>
      </w:hyperlink>
    </w:p>
    <w:p w14:paraId="12675D8E" w14:textId="77777777" w:rsidR="004376FC" w:rsidRDefault="004376FC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CA6EBC3" w14:textId="09B1A78A" w:rsidR="005625F7" w:rsidRDefault="005625F7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DCD4E7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DE2E955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EB1255F" w14:textId="77777777" w:rsidR="00615B9F" w:rsidRDefault="00615B9F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D6648C" w14:textId="77777777" w:rsidR="009064B6" w:rsidRDefault="009064B6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42614009" w14:textId="77777777" w:rsidR="00CB5020" w:rsidRPr="00FF0EBA" w:rsidRDefault="00CB5020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A8F3429" w14:textId="77777777" w:rsidR="008F1305" w:rsidRPr="00FF0EBA" w:rsidRDefault="008F130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AF84A3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0312A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12EAEAD5" w14:textId="77777777" w:rsidR="00290745" w:rsidRPr="00FF0EBA" w:rsidRDefault="00290745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593FA74C" w14:textId="77777777" w:rsidR="00290745" w:rsidRPr="00FF0EBA" w:rsidRDefault="0029074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01F81B" w14:textId="77777777" w:rsidR="00601E84" w:rsidRPr="00FF0EBA" w:rsidRDefault="00601E84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8981A6C" w14:textId="77777777" w:rsidR="00745E21" w:rsidRPr="00FF0EBA" w:rsidRDefault="00745E21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745E21" w:rsidRPr="00FF0EBA" w:rsidSect="00290745">
      <w:pgSz w:w="12240" w:h="15840"/>
      <w:pgMar w:top="450" w:right="108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0680D9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9CA87120"/>
    <w:lvl w:ilvl="0" w:tplc="38BAA7E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A6"/>
    <w:multiLevelType w:val="hybridMultilevel"/>
    <w:tmpl w:val="2458B42E"/>
    <w:lvl w:ilvl="0" w:tplc="FFF2876E"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3AA50DB7"/>
    <w:multiLevelType w:val="hybridMultilevel"/>
    <w:tmpl w:val="ABB00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21FF7"/>
    <w:multiLevelType w:val="hybridMultilevel"/>
    <w:tmpl w:val="C7940BB6"/>
    <w:lvl w:ilvl="0" w:tplc="B2587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37CE"/>
    <w:multiLevelType w:val="hybridMultilevel"/>
    <w:tmpl w:val="719006CA"/>
    <w:lvl w:ilvl="0" w:tplc="BF722EFA">
      <w:start w:val="3"/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2" w15:restartNumberingAfterBreak="0">
    <w:nsid w:val="7D446E1D"/>
    <w:multiLevelType w:val="hybridMultilevel"/>
    <w:tmpl w:val="85CEA7A8"/>
    <w:lvl w:ilvl="0" w:tplc="143227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1690">
    <w:abstractNumId w:val="9"/>
  </w:num>
  <w:num w:numId="2" w16cid:durableId="1116026443">
    <w:abstractNumId w:val="0"/>
  </w:num>
  <w:num w:numId="3" w16cid:durableId="426342085">
    <w:abstractNumId w:val="10"/>
  </w:num>
  <w:num w:numId="4" w16cid:durableId="1853258900">
    <w:abstractNumId w:val="4"/>
  </w:num>
  <w:num w:numId="5" w16cid:durableId="411048416">
    <w:abstractNumId w:val="3"/>
  </w:num>
  <w:num w:numId="6" w16cid:durableId="855853377">
    <w:abstractNumId w:val="12"/>
  </w:num>
  <w:num w:numId="7" w16cid:durableId="498274796">
    <w:abstractNumId w:val="7"/>
  </w:num>
  <w:num w:numId="8" w16cid:durableId="415128751">
    <w:abstractNumId w:val="1"/>
  </w:num>
  <w:num w:numId="9" w16cid:durableId="168952545">
    <w:abstractNumId w:val="2"/>
  </w:num>
  <w:num w:numId="10" w16cid:durableId="1399867846">
    <w:abstractNumId w:val="6"/>
  </w:num>
  <w:num w:numId="11" w16cid:durableId="1643927225">
    <w:abstractNumId w:val="8"/>
  </w:num>
  <w:num w:numId="12" w16cid:durableId="212274912">
    <w:abstractNumId w:val="5"/>
  </w:num>
  <w:num w:numId="13" w16cid:durableId="124661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7"/>
    <w:rsid w:val="0000727F"/>
    <w:rsid w:val="00007F83"/>
    <w:rsid w:val="0003312E"/>
    <w:rsid w:val="00095A54"/>
    <w:rsid w:val="000A135E"/>
    <w:rsid w:val="000B076D"/>
    <w:rsid w:val="001246CB"/>
    <w:rsid w:val="00132EAA"/>
    <w:rsid w:val="00151987"/>
    <w:rsid w:val="00167CB4"/>
    <w:rsid w:val="001A4A51"/>
    <w:rsid w:val="001B1E6B"/>
    <w:rsid w:val="001C42BA"/>
    <w:rsid w:val="001D17A7"/>
    <w:rsid w:val="001D337C"/>
    <w:rsid w:val="00225BCE"/>
    <w:rsid w:val="002412E2"/>
    <w:rsid w:val="0024776B"/>
    <w:rsid w:val="00251895"/>
    <w:rsid w:val="0026521F"/>
    <w:rsid w:val="002776C8"/>
    <w:rsid w:val="00287D9C"/>
    <w:rsid w:val="00290745"/>
    <w:rsid w:val="00292340"/>
    <w:rsid w:val="002958B3"/>
    <w:rsid w:val="002D6D53"/>
    <w:rsid w:val="002E2E48"/>
    <w:rsid w:val="002F2FE4"/>
    <w:rsid w:val="002F77CB"/>
    <w:rsid w:val="0030044B"/>
    <w:rsid w:val="00310902"/>
    <w:rsid w:val="00314567"/>
    <w:rsid w:val="0037179E"/>
    <w:rsid w:val="003920DC"/>
    <w:rsid w:val="003A5989"/>
    <w:rsid w:val="003B32B8"/>
    <w:rsid w:val="003F4F9E"/>
    <w:rsid w:val="004076D9"/>
    <w:rsid w:val="00434BB8"/>
    <w:rsid w:val="004376FC"/>
    <w:rsid w:val="00444B4C"/>
    <w:rsid w:val="004569F5"/>
    <w:rsid w:val="00483498"/>
    <w:rsid w:val="00494554"/>
    <w:rsid w:val="00494AD1"/>
    <w:rsid w:val="004B3829"/>
    <w:rsid w:val="004F2083"/>
    <w:rsid w:val="00513602"/>
    <w:rsid w:val="005234BC"/>
    <w:rsid w:val="005554AF"/>
    <w:rsid w:val="005625F7"/>
    <w:rsid w:val="005A083C"/>
    <w:rsid w:val="005A28D6"/>
    <w:rsid w:val="005C1F89"/>
    <w:rsid w:val="005D0C13"/>
    <w:rsid w:val="005E0A75"/>
    <w:rsid w:val="005F0473"/>
    <w:rsid w:val="005F41AD"/>
    <w:rsid w:val="00601E84"/>
    <w:rsid w:val="006070EA"/>
    <w:rsid w:val="006112EE"/>
    <w:rsid w:val="00611BFC"/>
    <w:rsid w:val="00615B9F"/>
    <w:rsid w:val="006242C2"/>
    <w:rsid w:val="0067323A"/>
    <w:rsid w:val="006A15C4"/>
    <w:rsid w:val="006D07A3"/>
    <w:rsid w:val="0070208E"/>
    <w:rsid w:val="00711CED"/>
    <w:rsid w:val="00745E21"/>
    <w:rsid w:val="007755FF"/>
    <w:rsid w:val="007A31AD"/>
    <w:rsid w:val="007A60F1"/>
    <w:rsid w:val="007A6835"/>
    <w:rsid w:val="007C3A0D"/>
    <w:rsid w:val="007C4EC6"/>
    <w:rsid w:val="007D71CE"/>
    <w:rsid w:val="007E4B2C"/>
    <w:rsid w:val="008261C7"/>
    <w:rsid w:val="008521E8"/>
    <w:rsid w:val="00860CAA"/>
    <w:rsid w:val="0087518C"/>
    <w:rsid w:val="00893D73"/>
    <w:rsid w:val="008A0CA2"/>
    <w:rsid w:val="008D5712"/>
    <w:rsid w:val="008D5E35"/>
    <w:rsid w:val="008E3E6D"/>
    <w:rsid w:val="008F1305"/>
    <w:rsid w:val="008F2BDF"/>
    <w:rsid w:val="009013DA"/>
    <w:rsid w:val="009064B6"/>
    <w:rsid w:val="0091275D"/>
    <w:rsid w:val="009172AE"/>
    <w:rsid w:val="00927802"/>
    <w:rsid w:val="00930027"/>
    <w:rsid w:val="00940101"/>
    <w:rsid w:val="009759A5"/>
    <w:rsid w:val="00983F70"/>
    <w:rsid w:val="00987A7C"/>
    <w:rsid w:val="009963A5"/>
    <w:rsid w:val="009A1893"/>
    <w:rsid w:val="009B0745"/>
    <w:rsid w:val="009C06CC"/>
    <w:rsid w:val="009E6FDE"/>
    <w:rsid w:val="009F0B71"/>
    <w:rsid w:val="00A044C7"/>
    <w:rsid w:val="00A052E0"/>
    <w:rsid w:val="00A55707"/>
    <w:rsid w:val="00A55FD1"/>
    <w:rsid w:val="00AD3346"/>
    <w:rsid w:val="00B162D0"/>
    <w:rsid w:val="00B54D80"/>
    <w:rsid w:val="00B6385A"/>
    <w:rsid w:val="00B70C7C"/>
    <w:rsid w:val="00B96ECB"/>
    <w:rsid w:val="00BD592B"/>
    <w:rsid w:val="00BE4EC5"/>
    <w:rsid w:val="00BF4C75"/>
    <w:rsid w:val="00C17C4D"/>
    <w:rsid w:val="00C20052"/>
    <w:rsid w:val="00C26022"/>
    <w:rsid w:val="00C47494"/>
    <w:rsid w:val="00C533E8"/>
    <w:rsid w:val="00C6359C"/>
    <w:rsid w:val="00C763DF"/>
    <w:rsid w:val="00C8632E"/>
    <w:rsid w:val="00C868C0"/>
    <w:rsid w:val="00C961B6"/>
    <w:rsid w:val="00CA7B14"/>
    <w:rsid w:val="00CB129E"/>
    <w:rsid w:val="00CB5020"/>
    <w:rsid w:val="00D07EB7"/>
    <w:rsid w:val="00D13049"/>
    <w:rsid w:val="00D240C2"/>
    <w:rsid w:val="00D3427C"/>
    <w:rsid w:val="00D551FC"/>
    <w:rsid w:val="00D57194"/>
    <w:rsid w:val="00D67233"/>
    <w:rsid w:val="00DA2040"/>
    <w:rsid w:val="00DA32CA"/>
    <w:rsid w:val="00DA4002"/>
    <w:rsid w:val="00DB29ED"/>
    <w:rsid w:val="00DC7D54"/>
    <w:rsid w:val="00E0201A"/>
    <w:rsid w:val="00E0634B"/>
    <w:rsid w:val="00E21EB0"/>
    <w:rsid w:val="00E416A2"/>
    <w:rsid w:val="00E46D53"/>
    <w:rsid w:val="00E63D93"/>
    <w:rsid w:val="00E643FD"/>
    <w:rsid w:val="00E811B0"/>
    <w:rsid w:val="00E81AAA"/>
    <w:rsid w:val="00E9431D"/>
    <w:rsid w:val="00EC0028"/>
    <w:rsid w:val="00F072BF"/>
    <w:rsid w:val="00F15D00"/>
    <w:rsid w:val="00F15DC2"/>
    <w:rsid w:val="00F35A6F"/>
    <w:rsid w:val="00F44BC2"/>
    <w:rsid w:val="00F5385C"/>
    <w:rsid w:val="00F74B7C"/>
    <w:rsid w:val="00F857FC"/>
    <w:rsid w:val="00FD587A"/>
    <w:rsid w:val="00FD6586"/>
    <w:rsid w:val="00FE36DD"/>
    <w:rsid w:val="00FE571C"/>
    <w:rsid w:val="00FF0EBA"/>
    <w:rsid w:val="00FF4413"/>
    <w:rsid w:val="00FF4CB8"/>
    <w:rsid w:val="00F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F818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E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3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6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sh.org.al/raporte-monitorimi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3</cp:revision>
  <dcterms:created xsi:type="dcterms:W3CDTF">2025-06-25T10:38:00Z</dcterms:created>
  <dcterms:modified xsi:type="dcterms:W3CDTF">2025-07-10T12:52:00Z</dcterms:modified>
</cp:coreProperties>
</file>