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6C175" w14:textId="77777777" w:rsidR="004205B6" w:rsidRDefault="004205B6" w:rsidP="0073210B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14:paraId="119248EF" w14:textId="2BE02D4E" w:rsidR="0073210B" w:rsidRDefault="0073210B" w:rsidP="0073210B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B76C9D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KOMENTE DHE REKOMANDIME MBI RAPORTIN E MONITORIMIT TË </w:t>
      </w:r>
      <w:r w:rsidR="003C1687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4M I 2025 </w:t>
      </w:r>
      <w:r w:rsidRPr="00B76C9D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PËR </w:t>
      </w:r>
      <w:r w:rsidR="006D521B" w:rsidRPr="00B76C9D">
        <w:rPr>
          <w:rFonts w:ascii="Times New Roman" w:eastAsia="Calibri" w:hAnsi="Times New Roman" w:cs="Times New Roman"/>
          <w:b/>
          <w:sz w:val="24"/>
          <w:szCs w:val="24"/>
          <w:lang w:val="sq-AL"/>
        </w:rPr>
        <w:t>GJYKAT</w:t>
      </w:r>
      <w:r w:rsidR="00C24DB4" w:rsidRPr="00B76C9D">
        <w:rPr>
          <w:rFonts w:ascii="Times New Roman" w:eastAsia="Calibri" w:hAnsi="Times New Roman" w:cs="Times New Roman"/>
          <w:b/>
          <w:sz w:val="24"/>
          <w:szCs w:val="24"/>
          <w:lang w:val="sq-AL"/>
        </w:rPr>
        <w:t>Ë</w:t>
      </w:r>
      <w:r w:rsidR="006D521B" w:rsidRPr="00B76C9D">
        <w:rPr>
          <w:rFonts w:ascii="Times New Roman" w:eastAsia="Calibri" w:hAnsi="Times New Roman" w:cs="Times New Roman"/>
          <w:b/>
          <w:sz w:val="24"/>
          <w:szCs w:val="24"/>
          <w:lang w:val="sq-AL"/>
        </w:rPr>
        <w:t>N KUSHTETUESE</w:t>
      </w:r>
    </w:p>
    <w:p w14:paraId="68D5661F" w14:textId="77777777" w:rsidR="004205B6" w:rsidRPr="00B76C9D" w:rsidRDefault="004205B6" w:rsidP="0073210B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14:paraId="3404BEE2" w14:textId="77777777" w:rsidR="0073210B" w:rsidRPr="00B76C9D" w:rsidRDefault="0073210B" w:rsidP="0073210B">
      <w:pPr>
        <w:numPr>
          <w:ilvl w:val="0"/>
          <w:numId w:val="3"/>
        </w:numPr>
        <w:ind w:left="810" w:hanging="450"/>
        <w:jc w:val="both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B76C9D">
        <w:rPr>
          <w:rFonts w:ascii="Times New Roman" w:eastAsia="Calibri" w:hAnsi="Times New Roman" w:cs="Times New Roman"/>
          <w:b/>
          <w:sz w:val="24"/>
          <w:szCs w:val="24"/>
          <w:lang w:val="sq-AL"/>
        </w:rPr>
        <w:t>Vlerësim i përgjithshëm i qëllimeve dhe objektivave të politikës si dhe performanca e  produkteve kryesore</w:t>
      </w:r>
    </w:p>
    <w:p w14:paraId="63E111EF" w14:textId="42B8873D" w:rsidR="00D87450" w:rsidRPr="00B76C9D" w:rsidRDefault="00D87450" w:rsidP="00D8745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Qëllimi i politikës së programit është: “</w:t>
      </w:r>
      <w:r w:rsidRPr="00A44087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Realizimi i veprimtarisë gjyqësore kushtetuese për garantimin e respektimit të Kushtetutës dhe interpretimit përfundimtar të saj, zgjidhja e mosmarrëveshjeve kushtetuese në lidhje me ndarjen e pushteteve, a</w:t>
      </w:r>
      <w:r w:rsidR="00D11A73" w:rsidRPr="00A44087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n</w:t>
      </w:r>
      <w:r w:rsidRPr="00A44087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kesat e individëve, lidhur me cënimin e të drejtave kushtetuese, etj, n</w:t>
      </w:r>
      <w:r w:rsidR="004205B6" w:rsidRPr="00A44087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Pr="00A44087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përmjet një procesi të drejtë ligjor dhe transparent</w:t>
      </w:r>
      <w:r w:rsidR="00A44087">
        <w:rPr>
          <w:rFonts w:ascii="Times New Roman" w:eastAsia="Calibri" w:hAnsi="Times New Roman" w:cs="Times New Roman"/>
          <w:sz w:val="24"/>
          <w:szCs w:val="24"/>
          <w:lang w:val="sq-AL"/>
        </w:rPr>
        <w:t>”.</w:t>
      </w:r>
    </w:p>
    <w:p w14:paraId="0F42200B" w14:textId="77777777" w:rsidR="00A44087" w:rsidRDefault="00A44087" w:rsidP="0073210B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</w:pPr>
    </w:p>
    <w:p w14:paraId="035E4338" w14:textId="3C29161D" w:rsidR="0073210B" w:rsidRPr="00B76C9D" w:rsidRDefault="0073210B" w:rsidP="0073210B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Programi për të cilin ky institucion administron fondet për vitin 202</w:t>
      </w:r>
      <w:r w:rsidR="003C1687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5</w:t>
      </w:r>
      <w:r w:rsidR="00D87450" w:rsidRP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, i cili ka objektiv realizimin e proceseve gjyqësore të drejta dhe të hapura në mbrojtje të kushtetutës dhe lirive e të drejtave them</w:t>
      </w:r>
      <w:r w:rsidR="004205B6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e</w:t>
      </w:r>
      <w:r w:rsidR="00D87450" w:rsidRP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lore të njeriut është:</w:t>
      </w:r>
    </w:p>
    <w:p w14:paraId="5B91405F" w14:textId="77777777" w:rsidR="00E52CD6" w:rsidRPr="00B76C9D" w:rsidRDefault="0073210B" w:rsidP="00B67AC9">
      <w:pPr>
        <w:pStyle w:val="ListParagraph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B76C9D">
        <w:rPr>
          <w:rFonts w:ascii="Times New Roman" w:eastAsia="Calibri" w:hAnsi="Times New Roman" w:cs="Times New Roman"/>
          <w:b/>
          <w:bCs/>
          <w:sz w:val="24"/>
          <w:szCs w:val="24"/>
          <w:lang w:val="sq-AL"/>
        </w:rPr>
        <w:t>Programi “</w:t>
      </w:r>
      <w:r w:rsidR="006D521B" w:rsidRPr="00B76C9D">
        <w:rPr>
          <w:rFonts w:ascii="Times New Roman" w:eastAsia="Calibri" w:hAnsi="Times New Roman" w:cs="Times New Roman"/>
          <w:b/>
          <w:bCs/>
          <w:sz w:val="24"/>
          <w:szCs w:val="24"/>
          <w:lang w:val="sq-AL"/>
        </w:rPr>
        <w:t>Veprimtaria gjyq</w:t>
      </w:r>
      <w:r w:rsidR="008B3D1F" w:rsidRPr="00B76C9D">
        <w:rPr>
          <w:rFonts w:ascii="Times New Roman" w:eastAsia="Calibri" w:hAnsi="Times New Roman" w:cs="Times New Roman"/>
          <w:b/>
          <w:bCs/>
          <w:sz w:val="24"/>
          <w:szCs w:val="24"/>
          <w:lang w:val="sq-AL"/>
        </w:rPr>
        <w:t>ë</w:t>
      </w:r>
      <w:r w:rsidR="006D521B" w:rsidRPr="00B76C9D">
        <w:rPr>
          <w:rFonts w:ascii="Times New Roman" w:eastAsia="Calibri" w:hAnsi="Times New Roman" w:cs="Times New Roman"/>
          <w:b/>
          <w:bCs/>
          <w:sz w:val="24"/>
          <w:szCs w:val="24"/>
          <w:lang w:val="sq-AL"/>
        </w:rPr>
        <w:t>sore kushtetuese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”</w:t>
      </w:r>
    </w:p>
    <w:p w14:paraId="737313F7" w14:textId="77777777" w:rsidR="00C07AED" w:rsidRPr="00B76C9D" w:rsidRDefault="00C07AED" w:rsidP="00E52CD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</w:pPr>
    </w:p>
    <w:p w14:paraId="6CE0DA11" w14:textId="5D30F71B" w:rsidR="00C07AED" w:rsidRPr="00B76C9D" w:rsidRDefault="00C07AED" w:rsidP="00C07AE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P</w:t>
      </w:r>
      <w:r w:rsidR="00014DB7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r realizimin e q</w:t>
      </w:r>
      <w:r w:rsidR="00014DB7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llimit t</w:t>
      </w:r>
      <w:r w:rsidR="00014DB7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programit kan</w:t>
      </w:r>
      <w:r w:rsidR="00014DB7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kontribuar produktet si m</w:t>
      </w:r>
      <w:r w:rsidR="00014DB7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posht</w:t>
      </w:r>
      <w:r w:rsidR="00014DB7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:</w:t>
      </w:r>
    </w:p>
    <w:p w14:paraId="091AB863" w14:textId="661DD28A" w:rsidR="00C07AED" w:rsidRPr="00B76C9D" w:rsidRDefault="00C07AED" w:rsidP="00C07AED">
      <w:pPr>
        <w:pStyle w:val="ListParagraph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Janë marrë </w:t>
      </w:r>
      <w:r w:rsidR="003C1687">
        <w:rPr>
          <w:rFonts w:ascii="Times New Roman" w:eastAsia="Calibri" w:hAnsi="Times New Roman" w:cs="Times New Roman"/>
          <w:sz w:val="24"/>
          <w:szCs w:val="24"/>
          <w:lang w:val="sq-AL"/>
        </w:rPr>
        <w:t>141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vendime, </w:t>
      </w:r>
      <w:r w:rsidR="00E27DC1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nga 400 të planifikuara, </w:t>
      </w:r>
      <w:r w:rsidR="00BF0545">
        <w:rPr>
          <w:rFonts w:ascii="Times New Roman" w:eastAsia="Calibri" w:hAnsi="Times New Roman" w:cs="Times New Roman"/>
          <w:sz w:val="24"/>
          <w:szCs w:val="24"/>
          <w:lang w:val="sq-AL"/>
        </w:rPr>
        <w:t>ose 35% e sasis</w:t>
      </w:r>
      <w:r w:rsidR="004205B6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BF0545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s</w:t>
      </w:r>
      <w:r w:rsidR="004205B6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BF0545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planifikuar 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me kosto </w:t>
      </w:r>
      <w:r w:rsidR="003C1687">
        <w:rPr>
          <w:rFonts w:ascii="Times New Roman" w:eastAsia="Calibri" w:hAnsi="Times New Roman" w:cs="Times New Roman"/>
          <w:sz w:val="24"/>
          <w:szCs w:val="24"/>
          <w:lang w:val="sq-AL"/>
        </w:rPr>
        <w:t>faktike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3C1687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75.2 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milionë lekë.</w:t>
      </w:r>
    </w:p>
    <w:p w14:paraId="70720168" w14:textId="77777777" w:rsidR="004205B6" w:rsidRDefault="004205B6" w:rsidP="00C07AED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408381F4" w14:textId="3FB45E55" w:rsidR="004205B6" w:rsidRPr="001A5793" w:rsidRDefault="00C07AED" w:rsidP="001A579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</w:pP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Përsa i përket zërit të shpenzimeve kapitale, </w:t>
      </w:r>
      <w:r w:rsidR="004205B6">
        <w:rPr>
          <w:rFonts w:ascii="Times New Roman" w:eastAsia="Calibri" w:hAnsi="Times New Roman" w:cs="Times New Roman"/>
          <w:sz w:val="24"/>
          <w:szCs w:val="24"/>
          <w:lang w:val="sq-AL"/>
        </w:rPr>
        <w:t>realizimi paraqitet në masën 6%</w:t>
      </w:r>
      <w:r w:rsidR="001A5793" w:rsidRPr="001A5793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 </w:t>
      </w:r>
      <w:r w:rsidR="001A5793" w:rsidRP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të planit të rishikuar dhe </w:t>
      </w:r>
      <w:r w:rsidR="001A5793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6</w:t>
      </w:r>
      <w:r w:rsidR="001A5793" w:rsidRP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% të planit fillestar</w:t>
      </w:r>
      <w:r w:rsidR="004205B6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për arsye se procedurat dhe prokurimet janë parashikuar në muajt në vijim.</w:t>
      </w:r>
    </w:p>
    <w:p w14:paraId="61206B54" w14:textId="3C1137A7" w:rsidR="00C07AED" w:rsidRPr="00B76C9D" w:rsidRDefault="004205B6" w:rsidP="00C07AED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Në 4 M I 2025 </w:t>
      </w:r>
      <w:r w:rsidR="00DB4418">
        <w:rPr>
          <w:rFonts w:ascii="Times New Roman" w:eastAsia="Calibri" w:hAnsi="Times New Roman" w:cs="Times New Roman"/>
          <w:sz w:val="24"/>
          <w:szCs w:val="24"/>
          <w:lang w:val="sq-AL"/>
        </w:rPr>
        <w:t>j</w:t>
      </w:r>
      <w:r w:rsidR="00C07AED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anë realizuar 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projektet </w:t>
      </w:r>
      <w:r w:rsidR="00C07AED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si më poshtë:</w:t>
      </w:r>
    </w:p>
    <w:p w14:paraId="576BC592" w14:textId="66C22E0E" w:rsidR="00C07AED" w:rsidRPr="00BF0545" w:rsidRDefault="00C07AED" w:rsidP="00BF0545">
      <w:pPr>
        <w:pStyle w:val="ListParagraph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BF0545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Projekti “Informatizim i veprimtarisë”, në vlerën </w:t>
      </w:r>
      <w:r w:rsidR="003C1687" w:rsidRPr="00BF0545">
        <w:rPr>
          <w:rFonts w:ascii="Times New Roman" w:eastAsia="Calibri" w:hAnsi="Times New Roman" w:cs="Times New Roman"/>
          <w:sz w:val="24"/>
          <w:szCs w:val="24"/>
          <w:lang w:val="sq-AL"/>
        </w:rPr>
        <w:t>0.83</w:t>
      </w:r>
      <w:r w:rsidRPr="00BF0545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milionë lekë.</w:t>
      </w:r>
    </w:p>
    <w:p w14:paraId="3017A59B" w14:textId="77777777" w:rsidR="00C07AED" w:rsidRDefault="00C07AED" w:rsidP="00BF0545">
      <w:pPr>
        <w:pStyle w:val="ListParagraph"/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7750D6CA" w14:textId="0C1ACBC4" w:rsidR="00313C04" w:rsidRPr="00B76C9D" w:rsidRDefault="0073210B" w:rsidP="00313C04">
      <w:pPr>
        <w:numPr>
          <w:ilvl w:val="0"/>
          <w:numId w:val="3"/>
        </w:numPr>
        <w:jc w:val="both"/>
        <w:rPr>
          <w:rFonts w:ascii="Times New Roman" w:eastAsia="Calibri" w:hAnsi="Times New Roman" w:cs="Times New Roman"/>
          <w:lang w:val="sq-AL"/>
        </w:rPr>
      </w:pPr>
      <w:r w:rsidRPr="00B76C9D">
        <w:rPr>
          <w:rFonts w:ascii="Times New Roman" w:eastAsia="Calibri" w:hAnsi="Times New Roman" w:cs="Times New Roman"/>
          <w:lang w:val="sq-AL"/>
        </w:rPr>
        <w:t>“</w:t>
      </w:r>
      <w:r w:rsidRPr="00B76C9D">
        <w:rPr>
          <w:rFonts w:ascii="Times New Roman" w:eastAsia="Calibri" w:hAnsi="Times New Roman" w:cs="Times New Roman"/>
          <w:b/>
          <w:lang w:val="sq-AL"/>
        </w:rPr>
        <w:t>Karakteristika kryesore të performancës së shpenzimeve</w:t>
      </w:r>
      <w:r w:rsidRPr="00B76C9D">
        <w:rPr>
          <w:rFonts w:ascii="Times New Roman" w:eastAsia="Calibri" w:hAnsi="Times New Roman" w:cs="Times New Roman"/>
          <w:lang w:val="sq-AL"/>
        </w:rPr>
        <w:t>”</w:t>
      </w:r>
    </w:p>
    <w:p w14:paraId="6B98FC00" w14:textId="3E2D3C16" w:rsidR="00C07AED" w:rsidRPr="00B76C9D" w:rsidRDefault="0073210B" w:rsidP="0073210B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Në fund të</w:t>
      </w:r>
      <w:r w:rsidR="00A12634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3C1687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4M I </w:t>
      </w:r>
      <w:r w:rsidR="00A12634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t</w:t>
      </w:r>
      <w:r w:rsidR="00E91174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vitit 20</w:t>
      </w:r>
      <w:r w:rsidR="00E829B7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2</w:t>
      </w:r>
      <w:r w:rsidR="003C1687">
        <w:rPr>
          <w:rFonts w:ascii="Times New Roman" w:eastAsia="Calibri" w:hAnsi="Times New Roman" w:cs="Times New Roman"/>
          <w:sz w:val="24"/>
          <w:szCs w:val="24"/>
          <w:lang w:val="sq-AL"/>
        </w:rPr>
        <w:t>5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, situata në lidhje me realizimin e shpenzimeve të buxhetit, krahasuar me planin </w:t>
      </w:r>
      <w:r w:rsidR="00030698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vjetor</w:t>
      </w:r>
      <w:r w:rsidR="00313C04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fillestar dhe at</w:t>
      </w:r>
      <w:r w:rsidR="00014DB7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313C04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t</w:t>
      </w:r>
      <w:r w:rsidR="00014DB7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313C04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rishikuar p</w:t>
      </w:r>
      <w:r w:rsidR="00014DB7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313C04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r</w:t>
      </w:r>
      <w:r w:rsidR="00E829B7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202</w:t>
      </w:r>
      <w:r w:rsidR="0027654D">
        <w:rPr>
          <w:rFonts w:ascii="Times New Roman" w:eastAsia="Calibri" w:hAnsi="Times New Roman" w:cs="Times New Roman"/>
          <w:sz w:val="24"/>
          <w:szCs w:val="24"/>
          <w:lang w:val="sq-AL"/>
        </w:rPr>
        <w:t>5</w:t>
      </w:r>
      <w:r w:rsidRPr="00B76C9D">
        <w:rPr>
          <w:rFonts w:ascii="Times New Roman" w:eastAsia="Calibri" w:hAnsi="Times New Roman" w:cs="Times New Roman"/>
          <w:sz w:val="24"/>
          <w:szCs w:val="24"/>
          <w:u w:val="single"/>
          <w:lang w:val="sq-AL"/>
        </w:rPr>
        <w:t>,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C07AED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n</w:t>
      </w:r>
      <w:r w:rsidR="00014DB7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C07AED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nivel programi</w:t>
      </w:r>
      <w:r w:rsidR="00B76C9D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C07AED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dhe artikulli</w:t>
      </w:r>
      <w:r w:rsidR="00B76C9D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,</w:t>
      </w:r>
      <w:r w:rsidR="00C07AED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sipas të dhënave faktike të siguruara nga s</w:t>
      </w:r>
      <w:r w:rsidR="00C07AED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i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stemi informat</w:t>
      </w:r>
      <w:r w:rsidR="00C07AED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ik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financiar i qeverisë</w:t>
      </w:r>
      <w:r w:rsidR="00E6009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dhe AFMIS 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paraqitet si më poshtë:</w:t>
      </w:r>
    </w:p>
    <w:p w14:paraId="7C6842D9" w14:textId="77777777" w:rsidR="00C07AED" w:rsidRPr="00B76C9D" w:rsidRDefault="00C07AED" w:rsidP="0073210B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22E23898" w14:textId="77777777" w:rsidR="00014DB7" w:rsidRPr="00B76C9D" w:rsidRDefault="00014DB7" w:rsidP="0073210B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7A274E97" w14:textId="77777777" w:rsidR="00014DB7" w:rsidRPr="00B76C9D" w:rsidRDefault="00014DB7" w:rsidP="0073210B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32E57658" w14:textId="77777777" w:rsidR="00E6009E" w:rsidRDefault="00E6009E" w:rsidP="0073210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</w:pPr>
    </w:p>
    <w:p w14:paraId="2069F3EA" w14:textId="3FCCE7CD" w:rsidR="00C07AED" w:rsidRPr="00B76C9D" w:rsidRDefault="00C07AED" w:rsidP="0073210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</w:pPr>
      <w:r w:rsidRPr="00B76C9D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Tabela Realizimi i shpenzimeve sipas programeve dhe klasifikimit ekonomik (në mijë lekë)</w:t>
      </w:r>
    </w:p>
    <w:p w14:paraId="13305847" w14:textId="0F0D107B" w:rsidR="00C07AED" w:rsidRPr="00B76C9D" w:rsidRDefault="003C1687" w:rsidP="0073210B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3C1687">
        <w:rPr>
          <w:rFonts w:ascii="Times New Roman" w:eastAsia="Calibri" w:hAnsi="Times New Roman" w:cs="Times New Roman"/>
          <w:noProof/>
          <w:sz w:val="24"/>
          <w:szCs w:val="24"/>
          <w:lang w:val="sq-AL"/>
        </w:rPr>
        <w:drawing>
          <wp:inline distT="0" distB="0" distL="0" distR="0" wp14:anchorId="033DF4F0" wp14:editId="1521129B">
            <wp:extent cx="5943600" cy="3640455"/>
            <wp:effectExtent l="0" t="0" r="0" b="0"/>
            <wp:docPr id="583417303" name="Picture 1" descr="A table with numb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417303" name="Picture 1" descr="A table with numbers and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4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DEFBC" w14:textId="2CAFD87F" w:rsidR="00C07AED" w:rsidRPr="00B76C9D" w:rsidRDefault="00C07AED" w:rsidP="00C07AE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</w:pPr>
      <w:r w:rsidRP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Pra siç shihet nga të dhënat e tabelës së mësipërme plani i shpenzimeve të buxhetit në total, për këtë institucion, për </w:t>
      </w:r>
      <w:r w:rsidR="003C1687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4</w:t>
      </w:r>
      <w:r w:rsidRP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 mujori</w:t>
      </w:r>
      <w:r w:rsidR="003C1687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n e par</w:t>
      </w:r>
      <w:r w:rsidR="004205B6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ë</w:t>
      </w:r>
      <w:r w:rsidR="003C1687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 t</w:t>
      </w:r>
      <w:r w:rsidR="004205B6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ë</w:t>
      </w:r>
      <w:r w:rsidRP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 vitit 202</w:t>
      </w:r>
      <w:r w:rsidR="003C1687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5</w:t>
      </w:r>
      <w:r w:rsidRP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, është realizuar në rreth </w:t>
      </w:r>
      <w:r w:rsidR="003C1687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29</w:t>
      </w:r>
      <w:r w:rsidRP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% të planit vjetor të rishikuar dhe </w:t>
      </w:r>
      <w:r w:rsidR="003C1687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29</w:t>
      </w:r>
      <w:r w:rsidR="008202A3" w:rsidRP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% </w:t>
      </w:r>
      <w:r w:rsidRP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atij  fillestar</w:t>
      </w:r>
      <w:r w:rsidR="008202A3" w:rsidRP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.</w:t>
      </w:r>
    </w:p>
    <w:p w14:paraId="06DD47BD" w14:textId="3F014926" w:rsidR="008202A3" w:rsidRPr="00B76C9D" w:rsidRDefault="00C07AED" w:rsidP="00C07AE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</w:pPr>
      <w:r w:rsidRP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Shpenzimet korrente në total për këtë institucion, janë realizuar në </w:t>
      </w:r>
      <w:r w:rsidR="003C1687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mas</w:t>
      </w:r>
      <w:r w:rsidR="004205B6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ë</w:t>
      </w:r>
      <w:r w:rsidR="003C1687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n 30</w:t>
      </w:r>
      <w:r w:rsidRP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% të planit vjetor të rishikuar dhe </w:t>
      </w:r>
      <w:r w:rsidR="003C1687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30</w:t>
      </w:r>
      <w:r w:rsidRP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% të planit fillestar</w:t>
      </w:r>
      <w:r w:rsidR="003C1687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, duke </w:t>
      </w:r>
      <w:r w:rsidR="008202A3" w:rsidRP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realizuar performanc</w:t>
      </w:r>
      <w:r w:rsidR="00014DB7" w:rsidRP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ë</w:t>
      </w:r>
      <w:r w:rsidR="008202A3" w:rsidRP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 </w:t>
      </w:r>
      <w:r w:rsidR="003C1687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relativisht </w:t>
      </w:r>
      <w:r w:rsidR="008202A3" w:rsidRP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t</w:t>
      </w:r>
      <w:r w:rsidR="00014DB7" w:rsidRP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ë</w:t>
      </w:r>
      <w:r w:rsidR="008202A3" w:rsidRP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 mir</w:t>
      </w:r>
      <w:r w:rsid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ë</w:t>
      </w:r>
      <w:r w:rsidR="008202A3" w:rsidRP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 financiare</w:t>
      </w:r>
      <w:r w:rsidR="00B33CA5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, krahasuar me mesataren e periudhës.</w:t>
      </w:r>
    </w:p>
    <w:p w14:paraId="438D572E" w14:textId="77777777" w:rsidR="00225F5E" w:rsidRDefault="00C07AED" w:rsidP="00C07AE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</w:pPr>
      <w:r w:rsidRP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 </w:t>
      </w:r>
    </w:p>
    <w:p w14:paraId="64D2ACB4" w14:textId="75AE8766" w:rsidR="00C07AED" w:rsidRPr="00B76C9D" w:rsidRDefault="00C07AED" w:rsidP="00C07AE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</w:pPr>
      <w:r w:rsidRP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Ndërsa shpenzime për investime janë realizuar në masën </w:t>
      </w:r>
      <w:r w:rsidR="003E5E3D" w:rsidRP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6</w:t>
      </w:r>
      <w:r w:rsidRP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% </w:t>
      </w:r>
      <w:r w:rsidR="00B33CA5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, nën nivelin e pritshëm të periudhës.</w:t>
      </w:r>
    </w:p>
    <w:p w14:paraId="13E4162F" w14:textId="77777777" w:rsidR="005F4D46" w:rsidRDefault="005F4D46" w:rsidP="005F4D46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1D9F67C" w14:textId="3B1DD8D9" w:rsidR="005F4D46" w:rsidRPr="00DA553C" w:rsidRDefault="005F4D46" w:rsidP="005F4D46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DA553C">
        <w:rPr>
          <w:rFonts w:ascii="Times New Roman" w:hAnsi="Times New Roman"/>
          <w:sz w:val="24"/>
          <w:szCs w:val="24"/>
          <w:lang w:val="sq-AL"/>
        </w:rPr>
        <w:t>Sikurse evidentohet edhe n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DA553C">
        <w:rPr>
          <w:rFonts w:ascii="Times New Roman" w:hAnsi="Times New Roman"/>
          <w:sz w:val="24"/>
          <w:szCs w:val="24"/>
          <w:lang w:val="sq-AL"/>
        </w:rPr>
        <w:t xml:space="preserve"> tabelën e mësipërme </w:t>
      </w:r>
      <w:r>
        <w:rPr>
          <w:rFonts w:ascii="Times New Roman" w:hAnsi="Times New Roman"/>
          <w:sz w:val="24"/>
          <w:szCs w:val="24"/>
          <w:lang w:val="sq-AL"/>
        </w:rPr>
        <w:t>99</w:t>
      </w:r>
      <w:r w:rsidRPr="00DA553C">
        <w:rPr>
          <w:rFonts w:ascii="Times New Roman" w:hAnsi="Times New Roman"/>
          <w:sz w:val="24"/>
          <w:szCs w:val="24"/>
          <w:lang w:val="sq-AL"/>
        </w:rPr>
        <w:t>% e shpenzimeve faktike t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DA553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D6554A">
        <w:rPr>
          <w:rFonts w:ascii="Times New Roman" w:hAnsi="Times New Roman"/>
          <w:sz w:val="24"/>
          <w:szCs w:val="24"/>
          <w:lang w:val="sq-AL"/>
        </w:rPr>
        <w:t xml:space="preserve">institucionit </w:t>
      </w:r>
      <w:r w:rsidRPr="00DA553C">
        <w:rPr>
          <w:rFonts w:ascii="Times New Roman" w:hAnsi="Times New Roman"/>
          <w:sz w:val="24"/>
          <w:szCs w:val="24"/>
          <w:lang w:val="sq-AL"/>
        </w:rPr>
        <w:t xml:space="preserve">janë për shpenzimet korente </w:t>
      </w:r>
      <w:r>
        <w:rPr>
          <w:rFonts w:ascii="Times New Roman" w:hAnsi="Times New Roman"/>
          <w:sz w:val="24"/>
          <w:szCs w:val="24"/>
          <w:lang w:val="sq-AL"/>
        </w:rPr>
        <w:t>(80</w:t>
      </w:r>
      <w:r w:rsidRPr="00DA553C">
        <w:rPr>
          <w:rFonts w:ascii="Times New Roman" w:hAnsi="Times New Roman"/>
          <w:sz w:val="24"/>
          <w:szCs w:val="24"/>
          <w:lang w:val="sq-AL"/>
        </w:rPr>
        <w:t xml:space="preserve">% janë </w:t>
      </w:r>
      <w:r>
        <w:rPr>
          <w:rFonts w:ascii="Times New Roman" w:hAnsi="Times New Roman"/>
          <w:sz w:val="24"/>
          <w:szCs w:val="24"/>
          <w:lang w:val="sq-AL"/>
        </w:rPr>
        <w:t>për</w:t>
      </w:r>
      <w:r w:rsidRPr="00DA553C">
        <w:rPr>
          <w:rFonts w:ascii="Times New Roman" w:hAnsi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>shpenzimet e personelit dhe 18% për shpenzime të tjera operative</w:t>
      </w:r>
      <w:r w:rsidRPr="00DA553C">
        <w:rPr>
          <w:rFonts w:ascii="Times New Roman" w:hAnsi="Times New Roman"/>
          <w:sz w:val="24"/>
          <w:szCs w:val="24"/>
          <w:lang w:val="sq-AL"/>
        </w:rPr>
        <w:t xml:space="preserve">) dhe </w:t>
      </w:r>
      <w:r>
        <w:rPr>
          <w:rFonts w:ascii="Times New Roman" w:hAnsi="Times New Roman"/>
          <w:sz w:val="24"/>
          <w:szCs w:val="24"/>
          <w:lang w:val="sq-AL"/>
        </w:rPr>
        <w:t>1</w:t>
      </w:r>
      <w:r w:rsidRPr="00DA553C">
        <w:rPr>
          <w:rFonts w:ascii="Times New Roman" w:hAnsi="Times New Roman"/>
          <w:sz w:val="24"/>
          <w:szCs w:val="24"/>
          <w:lang w:val="sq-AL"/>
        </w:rPr>
        <w:t>% janë për shpenzimet kapitale me financim t</w:t>
      </w:r>
      <w:r w:rsidR="00F27B67">
        <w:rPr>
          <w:rFonts w:ascii="Times New Roman" w:hAnsi="Times New Roman"/>
          <w:sz w:val="24"/>
          <w:szCs w:val="24"/>
          <w:lang w:val="sq-AL"/>
        </w:rPr>
        <w:t>ë</w:t>
      </w:r>
      <w:r w:rsidRPr="00DA553C">
        <w:rPr>
          <w:rFonts w:ascii="Times New Roman" w:hAnsi="Times New Roman"/>
          <w:sz w:val="24"/>
          <w:szCs w:val="24"/>
          <w:lang w:val="sq-AL"/>
        </w:rPr>
        <w:t xml:space="preserve"> brendshëm</w:t>
      </w:r>
      <w:r>
        <w:rPr>
          <w:rFonts w:ascii="Times New Roman" w:hAnsi="Times New Roman"/>
          <w:sz w:val="24"/>
          <w:szCs w:val="24"/>
          <w:lang w:val="sq-AL"/>
        </w:rPr>
        <w:t>.</w:t>
      </w:r>
    </w:p>
    <w:p w14:paraId="6D09F8BC" w14:textId="77777777" w:rsidR="005F4D46" w:rsidRDefault="005F4D46" w:rsidP="00C07AE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</w:pPr>
    </w:p>
    <w:p w14:paraId="3306F9F1" w14:textId="42D482DA" w:rsidR="00C07AED" w:rsidRPr="00B76C9D" w:rsidRDefault="00C07AED" w:rsidP="0073210B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Lidhur me informacionin mbi volumin dhe madhësinë e ndryshimit të buxhetit,</w:t>
      </w:r>
      <w:r w:rsidRPr="00B76C9D">
        <w:rPr>
          <w:lang w:val="sq-AL"/>
        </w:rPr>
        <w:t xml:space="preserve"> 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v</w:t>
      </w:r>
      <w:r w:rsidR="00014DB7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rejm</w:t>
      </w:r>
      <w:r w:rsidR="00014DB7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se në krahasim me ligjin fillestar plani ka ndryshime në vlerë</w:t>
      </w:r>
      <w:r w:rsidR="0027654D">
        <w:rPr>
          <w:rFonts w:ascii="Times New Roman" w:eastAsia="Calibri" w:hAnsi="Times New Roman" w:cs="Times New Roman"/>
          <w:sz w:val="24"/>
          <w:szCs w:val="24"/>
          <w:lang w:val="sq-AL"/>
        </w:rPr>
        <w:t>n 200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mijë lekë, të</w:t>
      </w:r>
      <w:r w:rsidR="0027654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cilat lidhen me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akordim</w:t>
      </w:r>
      <w:r w:rsidR="0027654D">
        <w:rPr>
          <w:rFonts w:ascii="Times New Roman" w:eastAsia="Calibri" w:hAnsi="Times New Roman" w:cs="Times New Roman"/>
          <w:sz w:val="24"/>
          <w:szCs w:val="24"/>
          <w:lang w:val="sq-AL"/>
        </w:rPr>
        <w:t>in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A02A20">
        <w:rPr>
          <w:rFonts w:ascii="Times New Roman" w:eastAsia="Calibri" w:hAnsi="Times New Roman" w:cs="Times New Roman"/>
          <w:sz w:val="24"/>
          <w:szCs w:val="24"/>
          <w:lang w:val="sq-AL"/>
        </w:rPr>
        <w:t>e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fondit të veçantë</w:t>
      </w:r>
      <w:r w:rsidR="0027654D">
        <w:rPr>
          <w:rFonts w:ascii="Times New Roman" w:eastAsia="Calibri" w:hAnsi="Times New Roman" w:cs="Times New Roman"/>
          <w:sz w:val="24"/>
          <w:szCs w:val="24"/>
          <w:lang w:val="sq-AL"/>
        </w:rPr>
        <w:t>.</w:t>
      </w:r>
    </w:p>
    <w:p w14:paraId="5C130A26" w14:textId="77777777" w:rsidR="007C2E0D" w:rsidRPr="00B76C9D" w:rsidRDefault="007C2E0D" w:rsidP="007C2E0D">
      <w:pPr>
        <w:pStyle w:val="NoSpacing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2AF64D53" w14:textId="77777777" w:rsidR="00F27B67" w:rsidRDefault="00F27B67" w:rsidP="008B3D1F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14:paraId="01C6E3A0" w14:textId="0CE28CF3" w:rsidR="0073210B" w:rsidRPr="00A44087" w:rsidRDefault="0073210B" w:rsidP="00A44087">
      <w:pPr>
        <w:pStyle w:val="ListParagraph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A44087">
        <w:rPr>
          <w:rFonts w:ascii="Times New Roman" w:eastAsia="Calibri" w:hAnsi="Times New Roman" w:cs="Times New Roman"/>
          <w:b/>
          <w:sz w:val="24"/>
          <w:szCs w:val="24"/>
          <w:lang w:val="sq-AL"/>
        </w:rPr>
        <w:lastRenderedPageBreak/>
        <w:t xml:space="preserve">Komente dhe rekomandime </w:t>
      </w:r>
    </w:p>
    <w:p w14:paraId="451B16D6" w14:textId="1AF5AE4D" w:rsidR="00BF0545" w:rsidRPr="00D01F50" w:rsidRDefault="003A0B7F" w:rsidP="00D01F50">
      <w:pPr>
        <w:pStyle w:val="ListParagraph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bookmarkStart w:id="0" w:name="_Hlk165983808"/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Theksojmë se paraqitja e informacionit si dhe të dhënat e raportuara në raportin e monitorimit </w:t>
      </w:r>
      <w:r w:rsidR="00402AE7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260DE6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sht</w:t>
      </w:r>
      <w:r w:rsidR="00402AE7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260DE6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4D068D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b</w:t>
      </w:r>
      <w:r w:rsidR="008202A3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4D068D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r</w:t>
      </w:r>
      <w:r w:rsidR="008202A3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4D068D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pjes</w:t>
      </w:r>
      <w:r w:rsidR="008202A3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4D068D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risht </w:t>
      </w:r>
      <w:r w:rsidR="00260DE6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n</w:t>
      </w:r>
      <w:r w:rsidR="00402AE7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260DE6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</w:t>
      </w:r>
      <w:r w:rsidR="00402AE7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260DE6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rputhje 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me përcaktimet e bëra në Udhëzimin nr. 14, datë 30.05.2023 “Për procedurat standarde të monitorimit të buxhetit në njësitë e Qeverisjes Qendrore”, </w:t>
      </w:r>
      <w:r w:rsidR="00374978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p</w:t>
      </w:r>
      <w:r w:rsidR="004D068D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asi</w:t>
      </w:r>
      <w:r w:rsidR="00374978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në këto formate  në hard copy </w:t>
      </w:r>
      <w:r w:rsidR="00BF0545">
        <w:rPr>
          <w:rFonts w:ascii="Times New Roman" w:eastAsia="Calibri" w:hAnsi="Times New Roman" w:cs="Times New Roman"/>
          <w:sz w:val="24"/>
          <w:szCs w:val="24"/>
          <w:lang w:val="sq-AL"/>
        </w:rPr>
        <w:t>konstatojm</w:t>
      </w:r>
      <w:r w:rsidR="004205B6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BF0545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se jan</w:t>
      </w:r>
      <w:r w:rsidR="004205B6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BF0545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b</w:t>
      </w:r>
      <w:r w:rsidR="004205B6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BF0545">
        <w:rPr>
          <w:rFonts w:ascii="Times New Roman" w:eastAsia="Calibri" w:hAnsi="Times New Roman" w:cs="Times New Roman"/>
          <w:sz w:val="24"/>
          <w:szCs w:val="24"/>
          <w:lang w:val="sq-AL"/>
        </w:rPr>
        <w:t>r</w:t>
      </w:r>
      <w:r w:rsidR="004205B6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BF0545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nd</w:t>
      </w:r>
      <w:r w:rsidR="004205B6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BF0545">
        <w:rPr>
          <w:rFonts w:ascii="Times New Roman" w:eastAsia="Calibri" w:hAnsi="Times New Roman" w:cs="Times New Roman"/>
          <w:sz w:val="24"/>
          <w:szCs w:val="24"/>
          <w:lang w:val="sq-AL"/>
        </w:rPr>
        <w:t>rhyrje n</w:t>
      </w:r>
      <w:r w:rsidR="004205B6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BF0545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format te Aneksi 1, n</w:t>
      </w:r>
      <w:r w:rsidR="004205B6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F27B67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rubrikën e</w:t>
      </w:r>
      <w:r w:rsidR="00BF0545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shpenz</w:t>
      </w:r>
      <w:r w:rsidR="00D01F50">
        <w:rPr>
          <w:rFonts w:ascii="Times New Roman" w:eastAsia="Calibri" w:hAnsi="Times New Roman" w:cs="Times New Roman"/>
          <w:sz w:val="24"/>
          <w:szCs w:val="24"/>
          <w:lang w:val="sq-AL"/>
        </w:rPr>
        <w:t>i</w:t>
      </w:r>
      <w:r w:rsidR="00BF0545">
        <w:rPr>
          <w:rFonts w:ascii="Times New Roman" w:eastAsia="Calibri" w:hAnsi="Times New Roman" w:cs="Times New Roman"/>
          <w:sz w:val="24"/>
          <w:szCs w:val="24"/>
          <w:lang w:val="sq-AL"/>
        </w:rPr>
        <w:t>meve sipas programeve buxhetore. T</w:t>
      </w:r>
      <w:r w:rsidR="004205B6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BF0545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kihet parasysh q</w:t>
      </w:r>
      <w:r w:rsidR="004205B6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F27B67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aty</w:t>
      </w:r>
      <w:r w:rsidR="00BF0545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vlera duhet l</w:t>
      </w:r>
      <w:r w:rsidR="004205B6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BF0545">
        <w:rPr>
          <w:rFonts w:ascii="Times New Roman" w:eastAsia="Calibri" w:hAnsi="Times New Roman" w:cs="Times New Roman"/>
          <w:sz w:val="24"/>
          <w:szCs w:val="24"/>
          <w:lang w:val="sq-AL"/>
        </w:rPr>
        <w:t>n</w:t>
      </w:r>
      <w:r w:rsidR="004205B6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BF0545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sipas AFMIS, plan buxheti dhe fakt n</w:t>
      </w:r>
      <w:r w:rsidR="004205B6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BF0545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nivel programi dhe jo t</w:t>
      </w:r>
      <w:r w:rsidR="004205B6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BF0545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nivel produkti</w:t>
      </w:r>
      <w:r w:rsidR="00F27B67">
        <w:rPr>
          <w:rFonts w:ascii="Times New Roman" w:eastAsia="Calibri" w:hAnsi="Times New Roman" w:cs="Times New Roman"/>
          <w:sz w:val="24"/>
          <w:szCs w:val="24"/>
          <w:lang w:val="sq-AL"/>
        </w:rPr>
        <w:t>, sikurse paraqitur.</w:t>
      </w:r>
      <w:r w:rsidR="009600A4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Gjithashtu mungon Ankesi nr.4 “Raporti i realizimit t</w:t>
      </w:r>
      <w:r w:rsidR="004205B6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9600A4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treguesve t</w:t>
      </w:r>
      <w:r w:rsidR="004205B6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9600A4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performanc</w:t>
      </w:r>
      <w:r w:rsidR="004205B6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9600A4">
        <w:rPr>
          <w:rFonts w:ascii="Times New Roman" w:eastAsia="Calibri" w:hAnsi="Times New Roman" w:cs="Times New Roman"/>
          <w:sz w:val="24"/>
          <w:szCs w:val="24"/>
          <w:lang w:val="sq-AL"/>
        </w:rPr>
        <w:t>s s</w:t>
      </w:r>
      <w:r w:rsidR="004205B6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9600A4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programit”.</w:t>
      </w:r>
    </w:p>
    <w:p w14:paraId="530391D7" w14:textId="77777777" w:rsidR="00BF0545" w:rsidRDefault="00BF0545" w:rsidP="00BF0545">
      <w:pPr>
        <w:pStyle w:val="ListParagraph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18CF15A8" w14:textId="76CC0EEA" w:rsidR="00AC60BB" w:rsidRPr="00B76C9D" w:rsidRDefault="001B2B37" w:rsidP="00F60BFA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B76C9D">
        <w:rPr>
          <w:rFonts w:ascii="Times New Roman" w:hAnsi="Times New Roman"/>
          <w:bCs/>
          <w:sz w:val="24"/>
          <w:szCs w:val="24"/>
          <w:lang w:val="sq-AL"/>
        </w:rPr>
        <w:t xml:space="preserve">Paraqitja e raportit të monitorimit për periudhën </w:t>
      </w:r>
      <w:r w:rsidR="00D01F50">
        <w:rPr>
          <w:rFonts w:ascii="Times New Roman" w:hAnsi="Times New Roman"/>
          <w:bCs/>
          <w:sz w:val="24"/>
          <w:szCs w:val="24"/>
          <w:lang w:val="sq-AL"/>
        </w:rPr>
        <w:t>4M I 2025</w:t>
      </w:r>
      <w:r w:rsidRPr="00B76C9D">
        <w:rPr>
          <w:rFonts w:ascii="Times New Roman" w:hAnsi="Times New Roman"/>
          <w:bCs/>
          <w:sz w:val="24"/>
          <w:szCs w:val="24"/>
          <w:lang w:val="sq-AL"/>
        </w:rPr>
        <w:t xml:space="preserve"> nga </w:t>
      </w:r>
      <w:r w:rsidR="008B3D1F" w:rsidRPr="00B76C9D">
        <w:rPr>
          <w:rFonts w:ascii="Times New Roman" w:hAnsi="Times New Roman"/>
          <w:bCs/>
          <w:sz w:val="24"/>
          <w:szCs w:val="24"/>
          <w:lang w:val="sq-AL"/>
        </w:rPr>
        <w:t xml:space="preserve">GJK </w:t>
      </w:r>
      <w:r w:rsidRPr="00B76C9D">
        <w:rPr>
          <w:rFonts w:ascii="Times New Roman" w:hAnsi="Times New Roman"/>
          <w:bCs/>
          <w:sz w:val="24"/>
          <w:szCs w:val="24"/>
          <w:lang w:val="sq-AL"/>
        </w:rPr>
        <w:t>është bërë në përputhje me afatin e përcaktuar në udhëzimin nr. 14, datë 30.05.2023</w:t>
      </w:r>
      <w:r w:rsidR="00AC60BB" w:rsidRPr="00B76C9D">
        <w:rPr>
          <w:rFonts w:ascii="Times New Roman" w:hAnsi="Times New Roman"/>
          <w:bCs/>
          <w:sz w:val="24"/>
          <w:szCs w:val="24"/>
          <w:lang w:val="sq-AL"/>
        </w:rPr>
        <w:t>.</w:t>
      </w:r>
    </w:p>
    <w:p w14:paraId="777316F5" w14:textId="01F0768C" w:rsidR="000719F7" w:rsidRPr="0075303F" w:rsidRDefault="000719F7" w:rsidP="0075303F">
      <w:pPr>
        <w:spacing w:after="0"/>
        <w:jc w:val="both"/>
        <w:rPr>
          <w:rFonts w:ascii="Times New Roman" w:hAnsi="Times New Roman"/>
          <w:bCs/>
          <w:sz w:val="24"/>
          <w:szCs w:val="24"/>
          <w:lang w:val="sq-AL"/>
        </w:rPr>
      </w:pPr>
    </w:p>
    <w:p w14:paraId="5A84291B" w14:textId="77777777" w:rsidR="00841AA6" w:rsidRPr="00841AA6" w:rsidRDefault="00841AA6" w:rsidP="00841AA6">
      <w:pPr>
        <w:spacing w:after="0"/>
        <w:jc w:val="both"/>
        <w:rPr>
          <w:sz w:val="24"/>
          <w:szCs w:val="24"/>
          <w:lang w:val="sq-AL"/>
        </w:rPr>
      </w:pPr>
    </w:p>
    <w:p w14:paraId="3034A5EA" w14:textId="15A5847B" w:rsidR="00A44087" w:rsidRDefault="00A44087" w:rsidP="00A44087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A44087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Publikimi</w:t>
      </w:r>
    </w:p>
    <w:p w14:paraId="33C2C132" w14:textId="77777777" w:rsidR="00A44087" w:rsidRDefault="00A44087" w:rsidP="00A440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3F519608" w14:textId="0DEF6357" w:rsidR="00A44087" w:rsidRPr="00A44087" w:rsidRDefault="00A44087" w:rsidP="00A440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A44087">
        <w:rPr>
          <w:rFonts w:ascii="Times New Roman" w:eastAsia="Times New Roman" w:hAnsi="Times New Roman" w:cs="Times New Roman"/>
          <w:sz w:val="24"/>
          <w:szCs w:val="24"/>
          <w:lang w:val="sq-AL"/>
        </w:rPr>
        <w:t>Raporti i Monitorimit për 4 mujorin e parë të vitit 2025, nuk është publikuar në faqen zyrtare të Gjykatës Kushtetuese.</w:t>
      </w:r>
    </w:p>
    <w:bookmarkEnd w:id="0"/>
    <w:p w14:paraId="0BA682AA" w14:textId="77777777" w:rsidR="00A44087" w:rsidRDefault="00A44087" w:rsidP="00A440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77E56F81" w14:textId="6E609E51" w:rsidR="00A44087" w:rsidRPr="00A44087" w:rsidRDefault="00A44087" w:rsidP="00A44087">
      <w:pPr>
        <w:spacing w:after="0"/>
        <w:jc w:val="both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Linku:</w:t>
      </w:r>
      <w:hyperlink r:id="rId9" w:history="1">
        <w:r w:rsidRPr="00A44087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q-AL"/>
          </w:rPr>
          <w:t>https://www.gjk.gov.al/web/Informacion_mbi_buxhetin_dhe_te_dhenat_financiare_te_Gjykates_Kushtetuese_2041_1.php</w:t>
        </w:r>
      </w:hyperlink>
    </w:p>
    <w:p w14:paraId="10FAEE53" w14:textId="77777777" w:rsidR="00A44087" w:rsidRPr="00B76C9D" w:rsidRDefault="00A44087" w:rsidP="00FD52DB">
      <w:pPr>
        <w:pStyle w:val="ListParagraph"/>
        <w:spacing w:after="0"/>
        <w:ind w:left="1440"/>
        <w:jc w:val="both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val="sq-AL"/>
        </w:rPr>
      </w:pPr>
    </w:p>
    <w:sectPr w:rsidR="00A44087" w:rsidRPr="00B76C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6BD00" w14:textId="77777777" w:rsidR="00204A55" w:rsidRDefault="00204A55" w:rsidP="00C07AED">
      <w:pPr>
        <w:spacing w:after="0" w:line="240" w:lineRule="auto"/>
      </w:pPr>
      <w:r>
        <w:separator/>
      </w:r>
    </w:p>
  </w:endnote>
  <w:endnote w:type="continuationSeparator" w:id="0">
    <w:p w14:paraId="05D63646" w14:textId="77777777" w:rsidR="00204A55" w:rsidRDefault="00204A55" w:rsidP="00C07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B9E83" w14:textId="77777777" w:rsidR="00204A55" w:rsidRDefault="00204A55" w:rsidP="00C07AED">
      <w:pPr>
        <w:spacing w:after="0" w:line="240" w:lineRule="auto"/>
      </w:pPr>
      <w:r>
        <w:separator/>
      </w:r>
    </w:p>
  </w:footnote>
  <w:footnote w:type="continuationSeparator" w:id="0">
    <w:p w14:paraId="7466EFBB" w14:textId="77777777" w:rsidR="00204A55" w:rsidRDefault="00204A55" w:rsidP="00C07A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DA69266"/>
    <w:lvl w:ilvl="0">
      <w:start w:val="1"/>
      <w:numFmt w:val="bullet"/>
      <w:pStyle w:val="List2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 w:val="0"/>
        <w:color w:val="auto"/>
      </w:rPr>
    </w:lvl>
  </w:abstractNum>
  <w:abstractNum w:abstractNumId="1" w15:restartNumberingAfterBreak="0">
    <w:nsid w:val="00ED2BD4"/>
    <w:multiLevelType w:val="hybridMultilevel"/>
    <w:tmpl w:val="613A6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A130E"/>
    <w:multiLevelType w:val="hybridMultilevel"/>
    <w:tmpl w:val="AD1C859E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0C4B3C00"/>
    <w:multiLevelType w:val="hybridMultilevel"/>
    <w:tmpl w:val="CBEC9CA6"/>
    <w:lvl w:ilvl="0" w:tplc="0409000B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20767536"/>
    <w:multiLevelType w:val="hybridMultilevel"/>
    <w:tmpl w:val="07745C2A"/>
    <w:lvl w:ilvl="0" w:tplc="92483C42">
      <w:start w:val="1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30A6C"/>
    <w:multiLevelType w:val="hybridMultilevel"/>
    <w:tmpl w:val="1DA82A22"/>
    <w:lvl w:ilvl="0" w:tplc="BBEE138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02CB5"/>
    <w:multiLevelType w:val="hybridMultilevel"/>
    <w:tmpl w:val="6C0CA3B8"/>
    <w:lvl w:ilvl="0" w:tplc="B9AA26C2">
      <w:start w:val="1"/>
      <w:numFmt w:val="decimal"/>
      <w:pStyle w:val="BodyText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337874"/>
    <w:multiLevelType w:val="hybridMultilevel"/>
    <w:tmpl w:val="B6A2F790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8" w15:restartNumberingAfterBreak="0">
    <w:nsid w:val="4A2411A1"/>
    <w:multiLevelType w:val="hybridMultilevel"/>
    <w:tmpl w:val="0D0C02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279FE"/>
    <w:multiLevelType w:val="hybridMultilevel"/>
    <w:tmpl w:val="80EC7D0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1905AF0"/>
    <w:multiLevelType w:val="hybridMultilevel"/>
    <w:tmpl w:val="E56E5A30"/>
    <w:lvl w:ilvl="0" w:tplc="92483C42">
      <w:start w:val="1"/>
      <w:numFmt w:val="bullet"/>
      <w:lvlText w:val="-"/>
      <w:lvlJc w:val="left"/>
      <w:pPr>
        <w:ind w:left="2160" w:hanging="360"/>
      </w:pPr>
      <w:rPr>
        <w:rFonts w:ascii="Bookman Old Style" w:eastAsia="Calibri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85D20D0"/>
    <w:multiLevelType w:val="hybridMultilevel"/>
    <w:tmpl w:val="83E68CAA"/>
    <w:lvl w:ilvl="0" w:tplc="FC4EBE22">
      <w:start w:val="1"/>
      <w:numFmt w:val="upperRoman"/>
      <w:lvlText w:val="%1."/>
      <w:lvlJc w:val="left"/>
      <w:pPr>
        <w:tabs>
          <w:tab w:val="num" w:pos="-900"/>
        </w:tabs>
        <w:ind w:left="540" w:hanging="360"/>
      </w:pPr>
      <w:rPr>
        <w:rFonts w:hint="default"/>
        <w:b/>
      </w:rPr>
    </w:lvl>
    <w:lvl w:ilvl="1" w:tplc="C1B6D4D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12FC92CE">
      <w:start w:val="1"/>
      <w:numFmt w:val="lowerLetter"/>
      <w:lvlText w:val="%4."/>
      <w:lvlJc w:val="left"/>
      <w:pPr>
        <w:ind w:left="720" w:hanging="360"/>
      </w:pPr>
      <w:rPr>
        <w:rFonts w:hint="default"/>
      </w:rPr>
    </w:lvl>
    <w:lvl w:ilvl="4" w:tplc="50A07C94">
      <w:start w:val="5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59803E22"/>
    <w:multiLevelType w:val="hybridMultilevel"/>
    <w:tmpl w:val="40E61F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921698"/>
    <w:multiLevelType w:val="hybridMultilevel"/>
    <w:tmpl w:val="6C32405A"/>
    <w:lvl w:ilvl="0" w:tplc="0BEA86F2">
      <w:start w:val="1"/>
      <w:numFmt w:val="decimal"/>
      <w:lvlText w:val="%1."/>
      <w:lvlJc w:val="left"/>
      <w:pPr>
        <w:ind w:left="81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6BA4CF1"/>
    <w:multiLevelType w:val="hybridMultilevel"/>
    <w:tmpl w:val="E5DCE2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421FF7"/>
    <w:multiLevelType w:val="hybridMultilevel"/>
    <w:tmpl w:val="7E0648F8"/>
    <w:lvl w:ilvl="0" w:tplc="A0F8F8D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131BB6"/>
    <w:multiLevelType w:val="hybridMultilevel"/>
    <w:tmpl w:val="81F6180C"/>
    <w:lvl w:ilvl="0" w:tplc="854AEAFA">
      <w:start w:val="1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E5A2150"/>
    <w:multiLevelType w:val="hybridMultilevel"/>
    <w:tmpl w:val="7DD0178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8760379">
    <w:abstractNumId w:val="12"/>
  </w:num>
  <w:num w:numId="2" w16cid:durableId="1897469438">
    <w:abstractNumId w:val="3"/>
  </w:num>
  <w:num w:numId="3" w16cid:durableId="819075097">
    <w:abstractNumId w:val="15"/>
  </w:num>
  <w:num w:numId="4" w16cid:durableId="72163991">
    <w:abstractNumId w:val="5"/>
  </w:num>
  <w:num w:numId="5" w16cid:durableId="264732582">
    <w:abstractNumId w:val="4"/>
  </w:num>
  <w:num w:numId="6" w16cid:durableId="98181404">
    <w:abstractNumId w:val="17"/>
  </w:num>
  <w:num w:numId="7" w16cid:durableId="2103796939">
    <w:abstractNumId w:val="9"/>
  </w:num>
  <w:num w:numId="8" w16cid:durableId="1614366868">
    <w:abstractNumId w:val="1"/>
  </w:num>
  <w:num w:numId="9" w16cid:durableId="1604723906">
    <w:abstractNumId w:val="10"/>
  </w:num>
  <w:num w:numId="10" w16cid:durableId="1326516614">
    <w:abstractNumId w:val="16"/>
  </w:num>
  <w:num w:numId="11" w16cid:durableId="247738436">
    <w:abstractNumId w:val="6"/>
  </w:num>
  <w:num w:numId="12" w16cid:durableId="1830897732">
    <w:abstractNumId w:val="0"/>
  </w:num>
  <w:num w:numId="13" w16cid:durableId="391925720">
    <w:abstractNumId w:val="11"/>
  </w:num>
  <w:num w:numId="14" w16cid:durableId="1328285929">
    <w:abstractNumId w:val="14"/>
  </w:num>
  <w:num w:numId="15" w16cid:durableId="1658654096">
    <w:abstractNumId w:val="13"/>
  </w:num>
  <w:num w:numId="16" w16cid:durableId="1874808318">
    <w:abstractNumId w:val="8"/>
  </w:num>
  <w:num w:numId="17" w16cid:durableId="1045062579">
    <w:abstractNumId w:val="2"/>
  </w:num>
  <w:num w:numId="18" w16cid:durableId="3501110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627"/>
    <w:rsid w:val="00004681"/>
    <w:rsid w:val="00014DB7"/>
    <w:rsid w:val="000154EB"/>
    <w:rsid w:val="000201AF"/>
    <w:rsid w:val="00024F9A"/>
    <w:rsid w:val="00030698"/>
    <w:rsid w:val="000374B4"/>
    <w:rsid w:val="000530CE"/>
    <w:rsid w:val="000719F7"/>
    <w:rsid w:val="000D7EFB"/>
    <w:rsid w:val="000F35A4"/>
    <w:rsid w:val="00107B81"/>
    <w:rsid w:val="0011250A"/>
    <w:rsid w:val="00126473"/>
    <w:rsid w:val="0013560F"/>
    <w:rsid w:val="00142CF3"/>
    <w:rsid w:val="00167F00"/>
    <w:rsid w:val="00193218"/>
    <w:rsid w:val="00197551"/>
    <w:rsid w:val="001A5059"/>
    <w:rsid w:val="001A5793"/>
    <w:rsid w:val="001A73DC"/>
    <w:rsid w:val="001B05CC"/>
    <w:rsid w:val="001B2B37"/>
    <w:rsid w:val="001C79C4"/>
    <w:rsid w:val="001E319E"/>
    <w:rsid w:val="001F4F35"/>
    <w:rsid w:val="00204A55"/>
    <w:rsid w:val="00225F5E"/>
    <w:rsid w:val="0023144E"/>
    <w:rsid w:val="002347B6"/>
    <w:rsid w:val="00255C40"/>
    <w:rsid w:val="00260DE6"/>
    <w:rsid w:val="002615F0"/>
    <w:rsid w:val="00273570"/>
    <w:rsid w:val="002758A0"/>
    <w:rsid w:val="0027654D"/>
    <w:rsid w:val="00284FCC"/>
    <w:rsid w:val="00287B19"/>
    <w:rsid w:val="00292BD6"/>
    <w:rsid w:val="002A5CCF"/>
    <w:rsid w:val="002B6F3B"/>
    <w:rsid w:val="002C1E06"/>
    <w:rsid w:val="002C611B"/>
    <w:rsid w:val="002C695D"/>
    <w:rsid w:val="002F6493"/>
    <w:rsid w:val="002F6C32"/>
    <w:rsid w:val="00313C04"/>
    <w:rsid w:val="003201B9"/>
    <w:rsid w:val="00327B87"/>
    <w:rsid w:val="00374978"/>
    <w:rsid w:val="003806A8"/>
    <w:rsid w:val="003A0B7F"/>
    <w:rsid w:val="003C1687"/>
    <w:rsid w:val="003C6B2D"/>
    <w:rsid w:val="003E5E3D"/>
    <w:rsid w:val="00402AE7"/>
    <w:rsid w:val="00416882"/>
    <w:rsid w:val="004205B6"/>
    <w:rsid w:val="00442A03"/>
    <w:rsid w:val="00451EDE"/>
    <w:rsid w:val="00453395"/>
    <w:rsid w:val="004634EE"/>
    <w:rsid w:val="0048605F"/>
    <w:rsid w:val="00492FD4"/>
    <w:rsid w:val="004974B1"/>
    <w:rsid w:val="004A07DB"/>
    <w:rsid w:val="004D068D"/>
    <w:rsid w:val="004E7956"/>
    <w:rsid w:val="004E7E0C"/>
    <w:rsid w:val="005363CE"/>
    <w:rsid w:val="00540428"/>
    <w:rsid w:val="00555092"/>
    <w:rsid w:val="00557E9B"/>
    <w:rsid w:val="00563E09"/>
    <w:rsid w:val="00587C0F"/>
    <w:rsid w:val="005970B6"/>
    <w:rsid w:val="005D0F2B"/>
    <w:rsid w:val="005D3E9E"/>
    <w:rsid w:val="005E4BB3"/>
    <w:rsid w:val="005E4D1C"/>
    <w:rsid w:val="005F4D46"/>
    <w:rsid w:val="006323A7"/>
    <w:rsid w:val="006401E6"/>
    <w:rsid w:val="0065214C"/>
    <w:rsid w:val="00664B62"/>
    <w:rsid w:val="006679F9"/>
    <w:rsid w:val="006866E7"/>
    <w:rsid w:val="006931AC"/>
    <w:rsid w:val="006B1DB5"/>
    <w:rsid w:val="006D521B"/>
    <w:rsid w:val="006D69B5"/>
    <w:rsid w:val="00700627"/>
    <w:rsid w:val="0073210B"/>
    <w:rsid w:val="00735A13"/>
    <w:rsid w:val="0075303F"/>
    <w:rsid w:val="00782203"/>
    <w:rsid w:val="007844BD"/>
    <w:rsid w:val="00790A14"/>
    <w:rsid w:val="00792057"/>
    <w:rsid w:val="007C2E0D"/>
    <w:rsid w:val="007D663D"/>
    <w:rsid w:val="008024D5"/>
    <w:rsid w:val="008160EE"/>
    <w:rsid w:val="008202A3"/>
    <w:rsid w:val="00820D5F"/>
    <w:rsid w:val="00824C67"/>
    <w:rsid w:val="00837614"/>
    <w:rsid w:val="008411DE"/>
    <w:rsid w:val="00841AA6"/>
    <w:rsid w:val="008421B6"/>
    <w:rsid w:val="008475AF"/>
    <w:rsid w:val="00857978"/>
    <w:rsid w:val="008647ED"/>
    <w:rsid w:val="00876F8A"/>
    <w:rsid w:val="00892A29"/>
    <w:rsid w:val="008A2182"/>
    <w:rsid w:val="008B1724"/>
    <w:rsid w:val="008B3D1F"/>
    <w:rsid w:val="008C315D"/>
    <w:rsid w:val="008C5B18"/>
    <w:rsid w:val="008E186A"/>
    <w:rsid w:val="008E2625"/>
    <w:rsid w:val="008F70A5"/>
    <w:rsid w:val="009600A4"/>
    <w:rsid w:val="00971B9F"/>
    <w:rsid w:val="009921BF"/>
    <w:rsid w:val="009D6CD0"/>
    <w:rsid w:val="009F4C7C"/>
    <w:rsid w:val="00A02A20"/>
    <w:rsid w:val="00A05BE6"/>
    <w:rsid w:val="00A12634"/>
    <w:rsid w:val="00A44087"/>
    <w:rsid w:val="00A523B6"/>
    <w:rsid w:val="00A52635"/>
    <w:rsid w:val="00A557A3"/>
    <w:rsid w:val="00A640FE"/>
    <w:rsid w:val="00A65DD1"/>
    <w:rsid w:val="00A80AD7"/>
    <w:rsid w:val="00A86BD9"/>
    <w:rsid w:val="00AB3732"/>
    <w:rsid w:val="00AC60BB"/>
    <w:rsid w:val="00AF370E"/>
    <w:rsid w:val="00B27213"/>
    <w:rsid w:val="00B33A3A"/>
    <w:rsid w:val="00B33CA5"/>
    <w:rsid w:val="00B67AC9"/>
    <w:rsid w:val="00B76C9D"/>
    <w:rsid w:val="00B82140"/>
    <w:rsid w:val="00BC7F2A"/>
    <w:rsid w:val="00BD60EF"/>
    <w:rsid w:val="00BD7852"/>
    <w:rsid w:val="00BF0545"/>
    <w:rsid w:val="00C07AED"/>
    <w:rsid w:val="00C20CFC"/>
    <w:rsid w:val="00C24B76"/>
    <w:rsid w:val="00C24DB4"/>
    <w:rsid w:val="00C24DC6"/>
    <w:rsid w:val="00C836FB"/>
    <w:rsid w:val="00C848FE"/>
    <w:rsid w:val="00C97400"/>
    <w:rsid w:val="00CC2F9D"/>
    <w:rsid w:val="00CC47C8"/>
    <w:rsid w:val="00CD0725"/>
    <w:rsid w:val="00CF09C3"/>
    <w:rsid w:val="00CF3000"/>
    <w:rsid w:val="00CF3A36"/>
    <w:rsid w:val="00D01F50"/>
    <w:rsid w:val="00D07CA1"/>
    <w:rsid w:val="00D11A73"/>
    <w:rsid w:val="00D35374"/>
    <w:rsid w:val="00D6554A"/>
    <w:rsid w:val="00D72A7E"/>
    <w:rsid w:val="00D8169D"/>
    <w:rsid w:val="00D81D98"/>
    <w:rsid w:val="00D8371A"/>
    <w:rsid w:val="00D87450"/>
    <w:rsid w:val="00D9218A"/>
    <w:rsid w:val="00D97CD9"/>
    <w:rsid w:val="00DB4418"/>
    <w:rsid w:val="00DC30FD"/>
    <w:rsid w:val="00DC3C73"/>
    <w:rsid w:val="00DD4E92"/>
    <w:rsid w:val="00DF75E2"/>
    <w:rsid w:val="00E27DC1"/>
    <w:rsid w:val="00E45DC8"/>
    <w:rsid w:val="00E52CD6"/>
    <w:rsid w:val="00E54118"/>
    <w:rsid w:val="00E54481"/>
    <w:rsid w:val="00E6009E"/>
    <w:rsid w:val="00E66209"/>
    <w:rsid w:val="00E829B7"/>
    <w:rsid w:val="00E86960"/>
    <w:rsid w:val="00E91174"/>
    <w:rsid w:val="00E92A23"/>
    <w:rsid w:val="00EA5CB4"/>
    <w:rsid w:val="00EE0F29"/>
    <w:rsid w:val="00F0443B"/>
    <w:rsid w:val="00F213E4"/>
    <w:rsid w:val="00F27B67"/>
    <w:rsid w:val="00F5053B"/>
    <w:rsid w:val="00F5745A"/>
    <w:rsid w:val="00F7147A"/>
    <w:rsid w:val="00F875B2"/>
    <w:rsid w:val="00FA3E92"/>
    <w:rsid w:val="00FD52DB"/>
    <w:rsid w:val="00FE10E2"/>
    <w:rsid w:val="00FE512E"/>
    <w:rsid w:val="00FE7651"/>
    <w:rsid w:val="00FF2CCF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13EBE"/>
  <w15:docId w15:val="{4FEC296A-BFC6-4D93-9C3E-942931C79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D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7F2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7F2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FE7651"/>
    <w:pPr>
      <w:numPr>
        <w:numId w:val="11"/>
      </w:numPr>
      <w:spacing w:after="120" w:line="240" w:lineRule="auto"/>
      <w:jc w:val="both"/>
    </w:pPr>
    <w:rPr>
      <w:rFonts w:ascii="Times New Roman" w:eastAsia="Times New Roman" w:hAnsi="Times New Roman" w:cs="Times New Roman"/>
      <w:szCs w:val="24"/>
      <w:lang w:val="en-GB" w:eastAsia="fr-FR"/>
    </w:rPr>
  </w:style>
  <w:style w:type="character" w:customStyle="1" w:styleId="BodyTextChar">
    <w:name w:val="Body Text Char"/>
    <w:basedOn w:val="DefaultParagraphFont"/>
    <w:link w:val="BodyText"/>
    <w:rsid w:val="00FE7651"/>
    <w:rPr>
      <w:rFonts w:ascii="Times New Roman" w:eastAsia="Times New Roman" w:hAnsi="Times New Roman" w:cs="Times New Roman"/>
      <w:szCs w:val="24"/>
      <w:lang w:val="en-GB" w:eastAsia="fr-FR"/>
    </w:rPr>
  </w:style>
  <w:style w:type="paragraph" w:customStyle="1" w:styleId="List2">
    <w:name w:val="List2"/>
    <w:basedOn w:val="ListBullet"/>
    <w:next w:val="BodyText"/>
    <w:rsid w:val="00FE7651"/>
    <w:pPr>
      <w:numPr>
        <w:numId w:val="12"/>
      </w:numPr>
      <w:tabs>
        <w:tab w:val="clear" w:pos="1080"/>
      </w:tabs>
      <w:spacing w:after="0" w:line="240" w:lineRule="auto"/>
      <w:ind w:left="1440"/>
      <w:contextualSpacing w:val="0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styleId="ListBullet">
    <w:name w:val="List Bullet"/>
    <w:basedOn w:val="Normal"/>
    <w:uiPriority w:val="99"/>
    <w:semiHidden/>
    <w:unhideWhenUsed/>
    <w:rsid w:val="00FE7651"/>
    <w:pPr>
      <w:tabs>
        <w:tab w:val="num" w:pos="720"/>
      </w:tabs>
      <w:ind w:left="720" w:hanging="36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848FE"/>
    <w:rPr>
      <w:color w:val="800080" w:themeColor="followedHyperlink"/>
      <w:u w:val="single"/>
    </w:rPr>
  </w:style>
  <w:style w:type="character" w:customStyle="1" w:styleId="x1a">
    <w:name w:val="x1a"/>
    <w:basedOn w:val="DefaultParagraphFont"/>
    <w:rsid w:val="0013560F"/>
  </w:style>
  <w:style w:type="paragraph" w:styleId="NoSpacing">
    <w:name w:val="No Spacing"/>
    <w:uiPriority w:val="1"/>
    <w:qFormat/>
    <w:rsid w:val="00B33A3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07A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AED"/>
  </w:style>
  <w:style w:type="paragraph" w:styleId="Footer">
    <w:name w:val="footer"/>
    <w:basedOn w:val="Normal"/>
    <w:link w:val="FooterChar"/>
    <w:uiPriority w:val="99"/>
    <w:unhideWhenUsed/>
    <w:rsid w:val="00C07A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jk.gov.al/web/Informacion_mbi_buxhetin_dhe_te_dhenat_financiare_te_Gjykates_Kushtetuese_2041_1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5C1A9-3CFB-4B42-8BA8-5CC18F50E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1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ledjana gjoni</dc:creator>
  <cp:keywords/>
  <dc:description/>
  <cp:lastModifiedBy>Shpresa Karanxha</cp:lastModifiedBy>
  <cp:revision>238</cp:revision>
  <dcterms:created xsi:type="dcterms:W3CDTF">2024-09-20T09:08:00Z</dcterms:created>
  <dcterms:modified xsi:type="dcterms:W3CDTF">2025-07-10T10:26:00Z</dcterms:modified>
</cp:coreProperties>
</file>