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1DAE3" w14:textId="77777777" w:rsidR="008C520E" w:rsidRPr="00541B57" w:rsidRDefault="008C520E" w:rsidP="008C520E">
      <w:pPr>
        <w:jc w:val="center"/>
        <w:outlineLvl w:val="0"/>
        <w:rPr>
          <w:rFonts w:ascii="Times New Roman" w:hAnsi="Times New Roman"/>
          <w:b/>
          <w:szCs w:val="26"/>
        </w:rPr>
      </w:pPr>
      <w:r w:rsidRPr="00541B57">
        <w:rPr>
          <w:rFonts w:ascii="Times New Roman" w:hAnsi="Times New Roman"/>
          <w:b/>
          <w:szCs w:val="26"/>
        </w:rPr>
        <w:t>KOMENTE TË PËRGJITHSHME</w:t>
      </w:r>
    </w:p>
    <w:p w14:paraId="7B971180" w14:textId="77777777" w:rsidR="008C520E" w:rsidRPr="00541B57" w:rsidRDefault="008C520E" w:rsidP="008C520E">
      <w:pPr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6D874FF0" w14:textId="77777777" w:rsidR="008C520E" w:rsidRPr="00541B57" w:rsidRDefault="008C520E" w:rsidP="008C520E">
      <w:pPr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41B57">
        <w:rPr>
          <w:rFonts w:ascii="Times New Roman" w:hAnsi="Times New Roman"/>
          <w:b/>
          <w:sz w:val="26"/>
          <w:szCs w:val="26"/>
        </w:rPr>
        <w:t xml:space="preserve">Mbi raportin e monitorimit të </w:t>
      </w:r>
    </w:p>
    <w:p w14:paraId="7B128E83" w14:textId="77777777" w:rsidR="008C520E" w:rsidRPr="00541B57" w:rsidRDefault="008C520E" w:rsidP="008C520E">
      <w:pPr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41B57">
        <w:rPr>
          <w:rFonts w:ascii="Times New Roman" w:hAnsi="Times New Roman"/>
          <w:b/>
          <w:sz w:val="26"/>
          <w:szCs w:val="26"/>
        </w:rPr>
        <w:t xml:space="preserve">MINISTRISË PËR EVROPËN DHE PUNËT E JASHTME </w:t>
      </w:r>
    </w:p>
    <w:p w14:paraId="11F24030" w14:textId="31CF71FD" w:rsidR="008C520E" w:rsidRPr="00541B57" w:rsidRDefault="008C520E" w:rsidP="008C520E">
      <w:pPr>
        <w:spacing w:line="36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541B57">
        <w:rPr>
          <w:rFonts w:ascii="Times New Roman" w:hAnsi="Times New Roman"/>
          <w:b/>
          <w:sz w:val="26"/>
          <w:szCs w:val="26"/>
        </w:rPr>
        <w:t>Për</w:t>
      </w:r>
      <w:r w:rsidR="00993522" w:rsidRPr="00541B57">
        <w:rPr>
          <w:rFonts w:ascii="Times New Roman" w:hAnsi="Times New Roman"/>
          <w:b/>
          <w:sz w:val="26"/>
          <w:szCs w:val="26"/>
        </w:rPr>
        <w:t xml:space="preserve"> </w:t>
      </w:r>
      <w:r w:rsidR="000673DA" w:rsidRPr="00541B57">
        <w:rPr>
          <w:rFonts w:ascii="Times New Roman" w:hAnsi="Times New Roman"/>
          <w:b/>
          <w:sz w:val="26"/>
          <w:szCs w:val="26"/>
        </w:rPr>
        <w:t>vitin</w:t>
      </w:r>
      <w:r w:rsidRPr="00541B57">
        <w:rPr>
          <w:rFonts w:ascii="Times New Roman" w:hAnsi="Times New Roman"/>
          <w:b/>
          <w:sz w:val="26"/>
          <w:szCs w:val="26"/>
        </w:rPr>
        <w:t xml:space="preserve"> 20</w:t>
      </w:r>
      <w:r w:rsidR="007C0662" w:rsidRPr="00541B57">
        <w:rPr>
          <w:rFonts w:ascii="Times New Roman" w:hAnsi="Times New Roman"/>
          <w:b/>
          <w:sz w:val="26"/>
          <w:szCs w:val="26"/>
        </w:rPr>
        <w:t>2</w:t>
      </w:r>
      <w:r w:rsidR="00993522" w:rsidRPr="00541B57">
        <w:rPr>
          <w:rFonts w:ascii="Times New Roman" w:hAnsi="Times New Roman"/>
          <w:b/>
          <w:sz w:val="26"/>
          <w:szCs w:val="26"/>
        </w:rPr>
        <w:t>4</w:t>
      </w:r>
    </w:p>
    <w:p w14:paraId="15952A03" w14:textId="77777777" w:rsidR="008C520E" w:rsidRPr="00541B57" w:rsidRDefault="008C520E" w:rsidP="008C520E">
      <w:pPr>
        <w:rPr>
          <w:rStyle w:val="Emphasis"/>
          <w:rFonts w:ascii="Times New Roman" w:hAnsi="Times New Roman"/>
          <w:i w:val="0"/>
          <w:sz w:val="24"/>
        </w:rPr>
      </w:pPr>
    </w:p>
    <w:p w14:paraId="16796DE3" w14:textId="77777777" w:rsidR="005A4558" w:rsidRPr="00541B57" w:rsidRDefault="005A4558" w:rsidP="008C520E">
      <w:pPr>
        <w:rPr>
          <w:rStyle w:val="Emphasis"/>
          <w:rFonts w:ascii="Times New Roman" w:hAnsi="Times New Roman"/>
          <w:i w:val="0"/>
          <w:sz w:val="24"/>
        </w:rPr>
      </w:pPr>
    </w:p>
    <w:p w14:paraId="4B796B2A" w14:textId="1A33552D" w:rsidR="008C520E" w:rsidRPr="00541B57" w:rsidRDefault="00D50D71" w:rsidP="008C520E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41B57">
        <w:rPr>
          <w:rFonts w:ascii="Times New Roman" w:hAnsi="Times New Roman"/>
          <w:b/>
          <w:sz w:val="24"/>
          <w:szCs w:val="24"/>
        </w:rPr>
        <w:t>Vler</w:t>
      </w:r>
      <w:r w:rsidR="009C6DB8" w:rsidRPr="00541B57">
        <w:rPr>
          <w:rFonts w:ascii="Times New Roman" w:hAnsi="Times New Roman"/>
          <w:b/>
          <w:sz w:val="24"/>
          <w:szCs w:val="24"/>
        </w:rPr>
        <w:t>ë</w:t>
      </w:r>
      <w:r w:rsidRPr="00541B57">
        <w:rPr>
          <w:rFonts w:ascii="Times New Roman" w:hAnsi="Times New Roman"/>
          <w:b/>
          <w:sz w:val="24"/>
          <w:szCs w:val="24"/>
        </w:rPr>
        <w:t xml:space="preserve">sim i përgjithshëm i qëllimit dhe objektivave të </w:t>
      </w:r>
      <w:r w:rsidR="009C6DB8" w:rsidRPr="00541B57">
        <w:rPr>
          <w:rFonts w:ascii="Times New Roman" w:hAnsi="Times New Roman"/>
          <w:b/>
          <w:sz w:val="24"/>
          <w:szCs w:val="24"/>
        </w:rPr>
        <w:t>politikës si edhe performanca e produkteve kryesore.</w:t>
      </w:r>
    </w:p>
    <w:p w14:paraId="0C1111F6" w14:textId="24D73149" w:rsidR="008C520E" w:rsidRPr="00541B57" w:rsidRDefault="008C520E" w:rsidP="008C520E">
      <w:pPr>
        <w:jc w:val="both"/>
        <w:rPr>
          <w:rFonts w:ascii="Times New Roman" w:hAnsi="Times New Roman"/>
          <w:sz w:val="24"/>
          <w:szCs w:val="24"/>
        </w:rPr>
      </w:pPr>
      <w:r w:rsidRPr="00541B57">
        <w:rPr>
          <w:rFonts w:ascii="Times New Roman" w:hAnsi="Times New Roman"/>
          <w:sz w:val="24"/>
          <w:szCs w:val="24"/>
        </w:rPr>
        <w:t>Ministra për Evropën dhe Punët e Jashtme, për vitin 20</w:t>
      </w:r>
      <w:r w:rsidR="009864DE" w:rsidRPr="00541B57">
        <w:rPr>
          <w:rFonts w:ascii="Times New Roman" w:hAnsi="Times New Roman"/>
          <w:sz w:val="24"/>
          <w:szCs w:val="24"/>
        </w:rPr>
        <w:t>2</w:t>
      </w:r>
      <w:r w:rsidR="00993522" w:rsidRPr="00541B57">
        <w:rPr>
          <w:rFonts w:ascii="Times New Roman" w:hAnsi="Times New Roman"/>
          <w:sz w:val="24"/>
          <w:szCs w:val="24"/>
        </w:rPr>
        <w:t>4</w:t>
      </w:r>
      <w:r w:rsidRPr="00541B57">
        <w:rPr>
          <w:rFonts w:ascii="Times New Roman" w:hAnsi="Times New Roman"/>
          <w:sz w:val="24"/>
          <w:szCs w:val="24"/>
        </w:rPr>
        <w:t xml:space="preserve">, administron dhe menaxhon fondet publike sipas </w:t>
      </w:r>
      <w:r w:rsidR="005B1E36" w:rsidRPr="00541B57">
        <w:rPr>
          <w:rFonts w:ascii="Times New Roman" w:hAnsi="Times New Roman"/>
          <w:sz w:val="24"/>
          <w:szCs w:val="24"/>
        </w:rPr>
        <w:t>tre</w:t>
      </w:r>
      <w:r w:rsidRPr="00541B57">
        <w:rPr>
          <w:rFonts w:ascii="Times New Roman" w:hAnsi="Times New Roman"/>
          <w:sz w:val="24"/>
          <w:szCs w:val="24"/>
        </w:rPr>
        <w:t xml:space="preserve"> programeve, konkretisht:</w:t>
      </w:r>
    </w:p>
    <w:p w14:paraId="05EACCD5" w14:textId="77777777" w:rsidR="008C520E" w:rsidRPr="00541B57" w:rsidRDefault="008C520E" w:rsidP="008C520E">
      <w:pPr>
        <w:jc w:val="both"/>
        <w:rPr>
          <w:rFonts w:ascii="Times New Roman" w:hAnsi="Times New Roman"/>
        </w:rPr>
      </w:pPr>
    </w:p>
    <w:p w14:paraId="1BC0BF47" w14:textId="77777777" w:rsidR="008C520E" w:rsidRPr="00541B57" w:rsidRDefault="008C520E" w:rsidP="008C5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541B57">
        <w:rPr>
          <w:rFonts w:ascii="Times New Roman" w:hAnsi="Times New Roman"/>
          <w:sz w:val="24"/>
        </w:rPr>
        <w:t>Programi “Planifikim, menaxhim dhe administrim”;</w:t>
      </w:r>
    </w:p>
    <w:p w14:paraId="4C76CD9A" w14:textId="77777777" w:rsidR="008C520E" w:rsidRPr="00541B57" w:rsidRDefault="008C520E" w:rsidP="008C5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541B57">
        <w:rPr>
          <w:rFonts w:ascii="Times New Roman" w:hAnsi="Times New Roman"/>
          <w:sz w:val="24"/>
        </w:rPr>
        <w:t xml:space="preserve">Programi “Mbështetje diplomatike jashtë vendit”;  </w:t>
      </w:r>
    </w:p>
    <w:p w14:paraId="04BA5960" w14:textId="77777777" w:rsidR="008C520E" w:rsidRPr="00541B57" w:rsidRDefault="008C520E" w:rsidP="008C520E">
      <w:pPr>
        <w:numPr>
          <w:ilvl w:val="0"/>
          <w:numId w:val="2"/>
        </w:numPr>
        <w:rPr>
          <w:rFonts w:ascii="Times New Roman" w:hAnsi="Times New Roman"/>
          <w:sz w:val="24"/>
        </w:rPr>
      </w:pPr>
      <w:r w:rsidRPr="00541B57">
        <w:rPr>
          <w:rFonts w:ascii="Times New Roman" w:hAnsi="Times New Roman"/>
          <w:sz w:val="24"/>
        </w:rPr>
        <w:t>Programi “Aktiviteti diplomatik dhe konsullor i MEPJ”;</w:t>
      </w:r>
    </w:p>
    <w:p w14:paraId="7C0375D6" w14:textId="77777777" w:rsidR="008C520E" w:rsidRPr="00541B57" w:rsidRDefault="008C520E" w:rsidP="008C520E">
      <w:pPr>
        <w:jc w:val="center"/>
        <w:rPr>
          <w:rStyle w:val="Emphasis"/>
          <w:rFonts w:ascii="Times New Roman" w:hAnsi="Times New Roman"/>
          <w:i w:val="0"/>
          <w:sz w:val="14"/>
        </w:rPr>
      </w:pPr>
    </w:p>
    <w:p w14:paraId="7698F90D" w14:textId="10743ACA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>MEPJ është institucioni përgjegjës për hartimin dhe zbatimin e politikës së jashtme të Republikës së Shqipërisë, drejtimin politik të procesit të integrimit të Republikës së Shqipërisë në Bashkimin Evropian dhe zhvillimit të dialogut politik me institucionet e Bashkimit Evropian, zhvillimit dhe fuqizimit të diplomacisë ekonomike, si dhe mbrojtjen e të drejtave të shtetasve dhe komuniteteve shqiptar jashtë vendit.</w:t>
      </w:r>
    </w:p>
    <w:p w14:paraId="65975B56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7A97D691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>Në fushën e përgjegjësisë shtetërore të institucionit, buxheti i akorduar për vitin 2024 ka adresuar ato që konsiderohen si themelet mbi të cilat projektohet vizioni i politikës së jashtme ndër të cilat citojmë:</w:t>
      </w:r>
    </w:p>
    <w:p w14:paraId="2E0F8132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23DC3335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Cilësi dhe rritëm në procesin e anëtarësimit në BE.</w:t>
      </w:r>
    </w:p>
    <w:p w14:paraId="51A53C23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4B00FA48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Siguria kombëtare dhe kontribut në sigurinë globale.</w:t>
      </w:r>
    </w:p>
    <w:p w14:paraId="7F8E87C0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19FACAA9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Diaspora shqiptare.</w:t>
      </w:r>
    </w:p>
    <w:p w14:paraId="453D7D40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62FAE181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Diplomacia në shërbim të zhvillimit ekonomik dhe promovimit të vendit.</w:t>
      </w:r>
    </w:p>
    <w:p w14:paraId="4DAA0939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0F30B71D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Forcim i gjithanshëm i marrëdhënieve me partnerët tanë strategjik në rajon dhe me gjerë.</w:t>
      </w:r>
    </w:p>
    <w:p w14:paraId="5AED7A1F" w14:textId="77777777" w:rsidR="005B1E36" w:rsidRPr="00541B57" w:rsidRDefault="005B1E36" w:rsidP="005B1E36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6372E601" w14:textId="77777777" w:rsidR="005B1E36" w:rsidRPr="00541B57" w:rsidRDefault="005B1E36" w:rsidP="005B1E36">
      <w:pPr>
        <w:pStyle w:val="ListParagraph"/>
        <w:numPr>
          <w:ilvl w:val="0"/>
          <w:numId w:val="7"/>
        </w:numPr>
        <w:jc w:val="both"/>
        <w:rPr>
          <w:rStyle w:val="Emphasis"/>
          <w:i w:val="0"/>
          <w:lang w:val="sq-AL"/>
        </w:rPr>
      </w:pPr>
      <w:r w:rsidRPr="00541B57">
        <w:rPr>
          <w:rStyle w:val="Emphasis"/>
          <w:i w:val="0"/>
          <w:lang w:val="sq-AL"/>
        </w:rPr>
        <w:t>Mbështetje pa asnjë kompromis për Kosovën në çdo forum, aktivitet apo takim dypalësh.</w:t>
      </w:r>
    </w:p>
    <w:p w14:paraId="636D3161" w14:textId="77777777" w:rsidR="008C520E" w:rsidRPr="00541B57" w:rsidRDefault="008C520E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202B8891" w14:textId="77777777" w:rsidR="00DD311C" w:rsidRPr="00541B57" w:rsidRDefault="00DD311C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40E8C1F6" w14:textId="77777777" w:rsidR="001A22E1" w:rsidRPr="00541B57" w:rsidRDefault="001A22E1" w:rsidP="001A22E1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Programi </w:t>
      </w:r>
      <w:r w:rsidRPr="00541B57">
        <w:rPr>
          <w:rStyle w:val="Emphasis"/>
          <w:rFonts w:ascii="Times New Roman" w:hAnsi="Times New Roman"/>
          <w:i w:val="0"/>
          <w:sz w:val="24"/>
          <w:szCs w:val="24"/>
          <w:u w:val="single"/>
        </w:rPr>
        <w:t>Planifikim, administrim dhe menaxhim</w:t>
      </w: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 synon mbështetjen financiare dhe njerëzore në realizimin e politikave në tërësi të drejtorive të MEPJ duke siguruar një lidhje efikase ekonomike dhe financiare midis aparatit qendror dhe përfaqësive diplomatike. Tërësia e aktiviteteve të këtij programi buxhetor ka për qëllim mbështetjen e strukturave të shërbimit të jashtëm të RSH-së në funksion të realizimit të misionit të MEPJ-së. </w:t>
      </w:r>
    </w:p>
    <w:p w14:paraId="509FC0B7" w14:textId="77777777" w:rsidR="00CE7715" w:rsidRDefault="00CE7715" w:rsidP="001A22E1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39D025BE" w14:textId="1BB1020D" w:rsidR="001A22E1" w:rsidRPr="00541B57" w:rsidRDefault="001A22E1" w:rsidP="001A22E1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lastRenderedPageBreak/>
        <w:t xml:space="preserve">Programi </w:t>
      </w:r>
      <w:r w:rsidRPr="00541B57">
        <w:rPr>
          <w:rStyle w:val="Emphasis"/>
          <w:rFonts w:ascii="Times New Roman" w:hAnsi="Times New Roman"/>
          <w:i w:val="0"/>
          <w:sz w:val="24"/>
          <w:szCs w:val="24"/>
          <w:u w:val="single"/>
        </w:rPr>
        <w:t>Mbështetje diplomatike jashtë shtetit</w:t>
      </w: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 synon nxitjen dhe zhvillimin e marrëdhënieve të bashkëpunimit të gjithanshëm, mbrojtjen dhe avancimin e interesave kombëtare e shtetërore dhe përkujdesin për interesat e qytetarëve shqiptarë kudo ata ndodhen. </w:t>
      </w:r>
    </w:p>
    <w:p w14:paraId="0144B75B" w14:textId="77777777" w:rsidR="001A22E1" w:rsidRPr="00541B57" w:rsidRDefault="001A22E1" w:rsidP="001A22E1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71531E44" w14:textId="14527F53" w:rsidR="00DD311C" w:rsidRPr="00541B57" w:rsidRDefault="001A22E1" w:rsidP="00CE7715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Programi </w:t>
      </w:r>
      <w:r w:rsidRPr="00541B57">
        <w:rPr>
          <w:rStyle w:val="Emphasis"/>
          <w:rFonts w:ascii="Times New Roman" w:hAnsi="Times New Roman"/>
          <w:i w:val="0"/>
          <w:sz w:val="24"/>
          <w:szCs w:val="24"/>
          <w:u w:val="single"/>
        </w:rPr>
        <w:t>Aktiviteti diplomatik dhe konsullor i MEPJ</w:t>
      </w: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, ka për qëllim zgjerimin, intensifikimin, diversifikimin, thellimin dhe pasurimin e marrëdhënieve dypalëshe me vendet fqinje, partnerët strategjikë, në rajon, Europë, dhe vende të tjera të botës. </w:t>
      </w:r>
      <w:r w:rsidR="00B701C6">
        <w:rPr>
          <w:rStyle w:val="Emphasis"/>
          <w:rFonts w:ascii="Times New Roman" w:hAnsi="Times New Roman"/>
          <w:i w:val="0"/>
          <w:sz w:val="24"/>
          <w:szCs w:val="24"/>
        </w:rPr>
        <w:t xml:space="preserve">Parimet bazë që </w:t>
      </w:r>
      <w:r w:rsidR="0042391D">
        <w:rPr>
          <w:rStyle w:val="Emphasis"/>
          <w:rFonts w:ascii="Times New Roman" w:hAnsi="Times New Roman"/>
          <w:i w:val="0"/>
          <w:sz w:val="24"/>
          <w:szCs w:val="24"/>
        </w:rPr>
        <w:t xml:space="preserve">udhëheqin politiken tonë të jashme janë normat e gjithë pranuara </w:t>
      </w:r>
      <w:r w:rsidR="00CD6BDD">
        <w:rPr>
          <w:rStyle w:val="Emphasis"/>
          <w:rFonts w:ascii="Times New Roman" w:hAnsi="Times New Roman"/>
          <w:i w:val="0"/>
          <w:sz w:val="24"/>
          <w:szCs w:val="24"/>
        </w:rPr>
        <w:t xml:space="preserve">të së drejtës ndërkombëtre, të mirëkuptimit </w:t>
      </w:r>
      <w:r w:rsidR="00810053">
        <w:rPr>
          <w:rStyle w:val="Emphasis"/>
          <w:rFonts w:ascii="Times New Roman" w:hAnsi="Times New Roman"/>
          <w:i w:val="0"/>
          <w:sz w:val="24"/>
          <w:szCs w:val="24"/>
        </w:rPr>
        <w:t>dhe te respektit te ndersjellte midis kombeve, respektimit te lir</w:t>
      </w:r>
      <w:r w:rsidR="002D4D2F">
        <w:rPr>
          <w:rStyle w:val="Emphasis"/>
          <w:rFonts w:ascii="Times New Roman" w:hAnsi="Times New Roman"/>
          <w:i w:val="0"/>
          <w:sz w:val="24"/>
          <w:szCs w:val="24"/>
        </w:rPr>
        <w:t>ive</w:t>
      </w:r>
      <w:r w:rsidR="0036623A">
        <w:rPr>
          <w:rStyle w:val="Emphasis"/>
          <w:rFonts w:ascii="Times New Roman" w:hAnsi="Times New Roman"/>
          <w:i w:val="0"/>
          <w:sz w:val="24"/>
          <w:szCs w:val="24"/>
        </w:rPr>
        <w:t xml:space="preserve"> dhe te drejtave themelore te njeriut</w:t>
      </w:r>
      <w:r w:rsidR="002D2B92">
        <w:rPr>
          <w:rStyle w:val="Emphasis"/>
          <w:rFonts w:ascii="Times New Roman" w:hAnsi="Times New Roman"/>
          <w:i w:val="0"/>
          <w:sz w:val="24"/>
          <w:szCs w:val="24"/>
        </w:rPr>
        <w:t>, fqinjesise se mire</w:t>
      </w:r>
      <w:r w:rsidR="0053516E">
        <w:rPr>
          <w:rStyle w:val="Emphasis"/>
          <w:rFonts w:ascii="Times New Roman" w:hAnsi="Times New Roman"/>
          <w:i w:val="0"/>
          <w:sz w:val="24"/>
          <w:szCs w:val="24"/>
        </w:rPr>
        <w:t xml:space="preserve">, bashkëpunimit rajonal </w:t>
      </w:r>
    </w:p>
    <w:p w14:paraId="1D5E1172" w14:textId="77777777" w:rsidR="00DD311C" w:rsidRPr="00541B57" w:rsidRDefault="00DD311C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11389C15" w14:textId="77777777" w:rsidR="00DD311C" w:rsidRPr="00541B57" w:rsidRDefault="00DD311C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2E8E4DAE" w14:textId="3338595D" w:rsidR="00CF0208" w:rsidRPr="00541B57" w:rsidRDefault="00CF0208" w:rsidP="00CF0208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noProof/>
          <w:lang w:val="sq-AL"/>
        </w:rPr>
      </w:pPr>
      <w:r w:rsidRPr="00541B57">
        <w:rPr>
          <w:b/>
          <w:noProof/>
          <w:lang w:val="sq-AL"/>
        </w:rPr>
        <w:t xml:space="preserve">Karakteristika </w:t>
      </w:r>
      <w:r w:rsidR="00462918" w:rsidRPr="00541B57">
        <w:rPr>
          <w:b/>
          <w:noProof/>
          <w:lang w:val="sq-AL"/>
        </w:rPr>
        <w:t xml:space="preserve">kryesore të performacës së shpenzimeve </w:t>
      </w:r>
    </w:p>
    <w:p w14:paraId="21EE5CBC" w14:textId="77777777" w:rsidR="00462918" w:rsidRPr="00541B57" w:rsidRDefault="00462918" w:rsidP="00462918">
      <w:pPr>
        <w:pStyle w:val="ListParagraph"/>
        <w:spacing w:line="276" w:lineRule="auto"/>
        <w:ind w:left="540"/>
        <w:jc w:val="both"/>
        <w:rPr>
          <w:b/>
          <w:noProof/>
          <w:lang w:val="sq-AL"/>
        </w:rPr>
      </w:pPr>
    </w:p>
    <w:p w14:paraId="7D8A9B48" w14:textId="77777777" w:rsidR="00DD311C" w:rsidRPr="00541B57" w:rsidRDefault="00DD311C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03D2E935" w14:textId="5746C6DB" w:rsidR="00DD311C" w:rsidRPr="00541B57" w:rsidRDefault="00462918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Në fund të vitit </w:t>
      </w:r>
      <w:r w:rsidR="003224B7" w:rsidRPr="00541B57">
        <w:rPr>
          <w:rStyle w:val="Emphasis"/>
          <w:rFonts w:ascii="Times New Roman" w:hAnsi="Times New Roman"/>
          <w:i w:val="0"/>
          <w:sz w:val="24"/>
          <w:szCs w:val="24"/>
        </w:rPr>
        <w:t>2024, situata ne lidhje me realizimin e shpenzimeve te buxhetit sipas programev</w:t>
      </w:r>
      <w:r w:rsidR="00A23C01" w:rsidRPr="00541B57">
        <w:rPr>
          <w:rStyle w:val="Emphasis"/>
          <w:rFonts w:ascii="Times New Roman" w:hAnsi="Times New Roman"/>
          <w:i w:val="0"/>
          <w:sz w:val="24"/>
          <w:szCs w:val="24"/>
        </w:rPr>
        <w:t xml:space="preserve">e, krahasuar me planin fillestar dhe ate me ndryshime, paraitet si me poshtë: </w:t>
      </w:r>
    </w:p>
    <w:p w14:paraId="1019F70C" w14:textId="77777777" w:rsidR="00DD311C" w:rsidRPr="00541B57" w:rsidRDefault="00DD311C" w:rsidP="008C520E">
      <w:pPr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14:paraId="4555B2E3" w14:textId="0CF6432E" w:rsidR="00A23C01" w:rsidRPr="00541B57" w:rsidRDefault="00A23C01" w:rsidP="00A23C01">
      <w:pPr>
        <w:jc w:val="right"/>
        <w:rPr>
          <w:rStyle w:val="Emphasis"/>
          <w:rFonts w:ascii="Times New Roman" w:hAnsi="Times New Roman"/>
          <w:iCs w:val="0"/>
          <w:sz w:val="24"/>
          <w:szCs w:val="24"/>
        </w:rPr>
      </w:pPr>
      <w:r w:rsidRPr="00541B57">
        <w:rPr>
          <w:rStyle w:val="Emphasis"/>
          <w:rFonts w:ascii="Times New Roman" w:hAnsi="Times New Roman"/>
          <w:iCs w:val="0"/>
          <w:sz w:val="24"/>
          <w:szCs w:val="24"/>
        </w:rPr>
        <w:t>Në mijë lekë</w:t>
      </w:r>
    </w:p>
    <w:p w14:paraId="1F66D190" w14:textId="77777777" w:rsidR="008C520E" w:rsidRPr="00541B57" w:rsidRDefault="008C520E" w:rsidP="008C520E">
      <w:pPr>
        <w:spacing w:line="276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29435BAB" w14:textId="0C12BA2E" w:rsidR="008C520E" w:rsidRDefault="0007102A" w:rsidP="00F20D57">
      <w:pPr>
        <w:pStyle w:val="ListParagraph"/>
        <w:spacing w:line="276" w:lineRule="auto"/>
        <w:ind w:left="-270" w:hanging="360"/>
        <w:jc w:val="both"/>
        <w:rPr>
          <w:b/>
          <w:noProof/>
          <w:lang w:val="sq-AL"/>
        </w:rPr>
      </w:pPr>
      <w:r w:rsidRPr="0007102A">
        <w:drawing>
          <wp:inline distT="0" distB="0" distL="0" distR="0" wp14:anchorId="055CB2AF" wp14:editId="4673FFAF">
            <wp:extent cx="6457950" cy="2266950"/>
            <wp:effectExtent l="0" t="0" r="0" b="0"/>
            <wp:docPr id="721223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AF98" w14:textId="77777777" w:rsidR="007E414A" w:rsidRDefault="007E414A" w:rsidP="007E414A">
      <w:pPr>
        <w:jc w:val="both"/>
        <w:rPr>
          <w:rFonts w:ascii="Times New Roman" w:hAnsi="Times New Roman"/>
          <w:sz w:val="24"/>
          <w:szCs w:val="24"/>
        </w:rPr>
      </w:pPr>
    </w:p>
    <w:p w14:paraId="7F495626" w14:textId="6CD5C0B9" w:rsidR="00207CAF" w:rsidRDefault="007E414A" w:rsidP="007E414A">
      <w:pPr>
        <w:jc w:val="both"/>
        <w:rPr>
          <w:rFonts w:ascii="Times New Roman" w:hAnsi="Times New Roman"/>
          <w:sz w:val="24"/>
          <w:szCs w:val="24"/>
        </w:rPr>
      </w:pPr>
      <w:r w:rsidRPr="0077535B">
        <w:rPr>
          <w:rFonts w:ascii="Times New Roman" w:hAnsi="Times New Roman"/>
          <w:sz w:val="24"/>
          <w:szCs w:val="24"/>
        </w:rPr>
        <w:t xml:space="preserve">Ministria </w:t>
      </w:r>
      <w:r>
        <w:rPr>
          <w:rFonts w:ascii="Times New Roman" w:hAnsi="Times New Roman"/>
          <w:sz w:val="24"/>
          <w:szCs w:val="24"/>
        </w:rPr>
        <w:t>për Evropën dhe Punët e Jashtme</w:t>
      </w:r>
      <w:r w:rsidRPr="0077535B">
        <w:rPr>
          <w:rFonts w:ascii="Times New Roman" w:hAnsi="Times New Roman"/>
          <w:sz w:val="24"/>
          <w:szCs w:val="24"/>
        </w:rPr>
        <w:t xml:space="preserve"> përgjatë vitit 2024 ka pasur një realizim të mirë në total ministrie prej 9</w:t>
      </w:r>
      <w:r w:rsidR="00563724">
        <w:rPr>
          <w:rFonts w:ascii="Times New Roman" w:hAnsi="Times New Roman"/>
          <w:sz w:val="24"/>
          <w:szCs w:val="24"/>
        </w:rPr>
        <w:t>4</w:t>
      </w:r>
      <w:r w:rsidRPr="0077535B">
        <w:rPr>
          <w:rFonts w:ascii="Times New Roman" w:hAnsi="Times New Roman"/>
          <w:sz w:val="24"/>
          <w:szCs w:val="24"/>
        </w:rPr>
        <w:t xml:space="preserve"> % e fondeve te akorduara krahasuar me buxhetin e ndryshuar dhe </w:t>
      </w:r>
      <w:r w:rsidR="00563724">
        <w:rPr>
          <w:rFonts w:ascii="Times New Roman" w:hAnsi="Times New Roman"/>
          <w:sz w:val="24"/>
          <w:szCs w:val="24"/>
        </w:rPr>
        <w:t>104</w:t>
      </w:r>
      <w:r w:rsidRPr="0077535B">
        <w:rPr>
          <w:rFonts w:ascii="Times New Roman" w:hAnsi="Times New Roman"/>
          <w:sz w:val="24"/>
          <w:szCs w:val="24"/>
        </w:rPr>
        <w:t xml:space="preserve"> % e fondeve te akorduara me planin fillestar të buxhetit. Për shpenzimet korrente situata e realizimit ne total ministrie është </w:t>
      </w:r>
      <w:r w:rsidR="00141F32">
        <w:rPr>
          <w:rFonts w:ascii="Times New Roman" w:hAnsi="Times New Roman"/>
          <w:sz w:val="24"/>
          <w:szCs w:val="24"/>
        </w:rPr>
        <w:t>94</w:t>
      </w:r>
      <w:r w:rsidRPr="0077535B">
        <w:rPr>
          <w:rFonts w:ascii="Times New Roman" w:hAnsi="Times New Roman"/>
          <w:sz w:val="24"/>
          <w:szCs w:val="24"/>
        </w:rPr>
        <w:t xml:space="preserve">% ne raport me planin e rishikuar dhe </w:t>
      </w:r>
      <w:r w:rsidR="00141F32">
        <w:rPr>
          <w:rFonts w:ascii="Times New Roman" w:hAnsi="Times New Roman"/>
          <w:sz w:val="24"/>
          <w:szCs w:val="24"/>
        </w:rPr>
        <w:t>93</w:t>
      </w:r>
      <w:r w:rsidRPr="0077535B">
        <w:rPr>
          <w:rFonts w:ascii="Times New Roman" w:hAnsi="Times New Roman"/>
          <w:sz w:val="24"/>
          <w:szCs w:val="24"/>
        </w:rPr>
        <w:t xml:space="preserve">% me planin fillestar. </w:t>
      </w:r>
    </w:p>
    <w:p w14:paraId="3413CBD3" w14:textId="217BB2D4" w:rsidR="007E414A" w:rsidRDefault="007E414A" w:rsidP="007E414A">
      <w:pPr>
        <w:jc w:val="both"/>
        <w:rPr>
          <w:rFonts w:ascii="Times New Roman" w:hAnsi="Times New Roman"/>
          <w:sz w:val="24"/>
          <w:szCs w:val="24"/>
        </w:rPr>
      </w:pPr>
      <w:r w:rsidRPr="0077535B">
        <w:rPr>
          <w:rFonts w:ascii="Times New Roman" w:hAnsi="Times New Roman"/>
          <w:sz w:val="24"/>
          <w:szCs w:val="24"/>
        </w:rPr>
        <w:t xml:space="preserve">Ndërsa lidhur me shpenzimet kapitale situata e realizimit ne total ministrie është </w:t>
      </w:r>
      <w:r w:rsidR="00207CAF">
        <w:rPr>
          <w:rFonts w:ascii="Times New Roman" w:hAnsi="Times New Roman"/>
          <w:sz w:val="24"/>
          <w:szCs w:val="24"/>
        </w:rPr>
        <w:t>94</w:t>
      </w:r>
      <w:r w:rsidRPr="0077535B">
        <w:rPr>
          <w:rFonts w:ascii="Times New Roman" w:hAnsi="Times New Roman"/>
          <w:sz w:val="24"/>
          <w:szCs w:val="24"/>
        </w:rPr>
        <w:t xml:space="preserve">% ne raport me planin e rishikuar dhe </w:t>
      </w:r>
      <w:r w:rsidR="00C779B4">
        <w:rPr>
          <w:rFonts w:ascii="Times New Roman" w:hAnsi="Times New Roman"/>
          <w:sz w:val="24"/>
          <w:szCs w:val="24"/>
        </w:rPr>
        <w:t>772</w:t>
      </w:r>
      <w:r w:rsidRPr="0077535B">
        <w:rPr>
          <w:rFonts w:ascii="Times New Roman" w:hAnsi="Times New Roman"/>
          <w:sz w:val="24"/>
          <w:szCs w:val="24"/>
        </w:rPr>
        <w:t xml:space="preserve">% me planin fillestar </w:t>
      </w:r>
      <w:r w:rsidR="00C779B4">
        <w:rPr>
          <w:rFonts w:ascii="Times New Roman" w:hAnsi="Times New Roman"/>
          <w:sz w:val="24"/>
          <w:szCs w:val="24"/>
        </w:rPr>
        <w:t xml:space="preserve">kjo shpjegohet me faktin që me Aktet Normative </w:t>
      </w:r>
      <w:r w:rsidR="002A5B29">
        <w:rPr>
          <w:rFonts w:ascii="Times New Roman" w:hAnsi="Times New Roman"/>
          <w:sz w:val="24"/>
          <w:szCs w:val="24"/>
        </w:rPr>
        <w:t>kësaj ministrie i janë akorduar fonde shtese</w:t>
      </w:r>
      <w:r w:rsidR="00B4564B">
        <w:rPr>
          <w:rFonts w:ascii="Times New Roman" w:hAnsi="Times New Roman"/>
          <w:sz w:val="24"/>
          <w:szCs w:val="24"/>
        </w:rPr>
        <w:t xml:space="preserve"> në programin mbështetje diplomatike jashte vendit</w:t>
      </w:r>
      <w:r w:rsidR="00F455DB">
        <w:rPr>
          <w:rFonts w:ascii="Times New Roman" w:hAnsi="Times New Roman"/>
          <w:sz w:val="24"/>
          <w:szCs w:val="24"/>
        </w:rPr>
        <w:t xml:space="preserve"> për blerje konsullate</w:t>
      </w:r>
      <w:r w:rsidR="009836F3">
        <w:rPr>
          <w:rFonts w:ascii="Times New Roman" w:hAnsi="Times New Roman"/>
          <w:sz w:val="24"/>
          <w:szCs w:val="24"/>
        </w:rPr>
        <w:t>, automjete te blera per perfaqesite diplomatike</w:t>
      </w:r>
      <w:r w:rsidR="001C3BD6">
        <w:rPr>
          <w:rFonts w:ascii="Times New Roman" w:hAnsi="Times New Roman"/>
          <w:sz w:val="24"/>
          <w:szCs w:val="24"/>
        </w:rPr>
        <w:t xml:space="preserve">, </w:t>
      </w:r>
      <w:r w:rsidR="00354834">
        <w:rPr>
          <w:rFonts w:ascii="Times New Roman" w:hAnsi="Times New Roman"/>
          <w:sz w:val="24"/>
          <w:szCs w:val="24"/>
        </w:rPr>
        <w:t xml:space="preserve">per pajisje zyre dhe kompjuterike si edhe shtese </w:t>
      </w:r>
      <w:r w:rsidR="009D2056">
        <w:rPr>
          <w:rFonts w:ascii="Times New Roman" w:hAnsi="Times New Roman"/>
          <w:sz w:val="24"/>
          <w:szCs w:val="24"/>
        </w:rPr>
        <w:t>fondi prej 26 milionë lekë për përmirësimin e sistemit te vizave E-Viza.</w:t>
      </w:r>
    </w:p>
    <w:p w14:paraId="33135E2E" w14:textId="77777777" w:rsidR="002A5B29" w:rsidRPr="0077535B" w:rsidRDefault="002A5B29" w:rsidP="007E414A">
      <w:pPr>
        <w:jc w:val="both"/>
        <w:rPr>
          <w:rFonts w:ascii="Times New Roman" w:hAnsi="Times New Roman"/>
          <w:sz w:val="24"/>
          <w:szCs w:val="24"/>
        </w:rPr>
      </w:pPr>
    </w:p>
    <w:p w14:paraId="767F21FC" w14:textId="124827AE" w:rsidR="007E414A" w:rsidRPr="0077535B" w:rsidRDefault="007E414A" w:rsidP="007E414A">
      <w:pPr>
        <w:jc w:val="both"/>
        <w:rPr>
          <w:rFonts w:ascii="Times New Roman" w:hAnsi="Times New Roman"/>
          <w:sz w:val="24"/>
          <w:szCs w:val="24"/>
        </w:rPr>
      </w:pPr>
      <w:r w:rsidRPr="0077535B">
        <w:rPr>
          <w:rFonts w:ascii="Times New Roman" w:hAnsi="Times New Roman"/>
          <w:sz w:val="24"/>
          <w:szCs w:val="24"/>
        </w:rPr>
        <w:t xml:space="preserve">Lidhur me shpenzimet faktike të </w:t>
      </w:r>
      <w:r w:rsidR="008B697A">
        <w:rPr>
          <w:rFonts w:ascii="Times New Roman" w:hAnsi="Times New Roman"/>
          <w:sz w:val="24"/>
          <w:szCs w:val="24"/>
        </w:rPr>
        <w:t>MEPJ</w:t>
      </w:r>
      <w:r w:rsidRPr="0077535B">
        <w:rPr>
          <w:rFonts w:ascii="Times New Roman" w:hAnsi="Times New Roman"/>
          <w:sz w:val="24"/>
          <w:szCs w:val="24"/>
        </w:rPr>
        <w:t>, vëmë re se pjesa me e madhe e fondeve të akorduara referuar edhe planit me ndryshime është në programin “</w:t>
      </w:r>
      <w:r w:rsidR="008B697A">
        <w:rPr>
          <w:rFonts w:ascii="Times New Roman" w:hAnsi="Times New Roman"/>
          <w:sz w:val="24"/>
          <w:szCs w:val="24"/>
        </w:rPr>
        <w:t>Mbështetje diplomatike jashte vendit</w:t>
      </w:r>
      <w:r w:rsidRPr="0077535B">
        <w:rPr>
          <w:rFonts w:ascii="Times New Roman" w:hAnsi="Times New Roman"/>
          <w:sz w:val="24"/>
          <w:szCs w:val="24"/>
        </w:rPr>
        <w:t xml:space="preserve">” me rreth </w:t>
      </w:r>
      <w:r w:rsidR="008B697A">
        <w:rPr>
          <w:rFonts w:ascii="Times New Roman" w:hAnsi="Times New Roman"/>
          <w:sz w:val="24"/>
          <w:szCs w:val="24"/>
        </w:rPr>
        <w:t>2.92</w:t>
      </w:r>
      <w:r w:rsidRPr="0077535B">
        <w:rPr>
          <w:rFonts w:ascii="Times New Roman" w:hAnsi="Times New Roman"/>
          <w:sz w:val="24"/>
          <w:szCs w:val="24"/>
        </w:rPr>
        <w:t xml:space="preserve"> miliardë lekë ndërsa fondet e realizuara janë </w:t>
      </w:r>
      <w:r w:rsidR="008B697A">
        <w:rPr>
          <w:rFonts w:ascii="Times New Roman" w:hAnsi="Times New Roman"/>
          <w:sz w:val="24"/>
          <w:szCs w:val="24"/>
        </w:rPr>
        <w:t>2.</w:t>
      </w:r>
      <w:r w:rsidR="00F94575">
        <w:rPr>
          <w:rFonts w:ascii="Times New Roman" w:hAnsi="Times New Roman"/>
          <w:sz w:val="24"/>
          <w:szCs w:val="24"/>
        </w:rPr>
        <w:t>77</w:t>
      </w:r>
      <w:r w:rsidRPr="0077535B">
        <w:rPr>
          <w:rFonts w:ascii="Times New Roman" w:hAnsi="Times New Roman"/>
          <w:sz w:val="24"/>
          <w:szCs w:val="24"/>
        </w:rPr>
        <w:t xml:space="preserve"> miliard lekë, e ndjekur prej programit “</w:t>
      </w:r>
      <w:r w:rsidR="00F94575">
        <w:rPr>
          <w:rFonts w:ascii="Times New Roman" w:hAnsi="Times New Roman"/>
          <w:sz w:val="24"/>
          <w:szCs w:val="24"/>
        </w:rPr>
        <w:t>Aktiviteti diplomatik dhe konsullor</w:t>
      </w:r>
      <w:r w:rsidRPr="0077535B">
        <w:rPr>
          <w:rFonts w:ascii="Times New Roman" w:hAnsi="Times New Roman"/>
          <w:sz w:val="24"/>
          <w:szCs w:val="24"/>
        </w:rPr>
        <w:t xml:space="preserve">” me </w:t>
      </w:r>
      <w:r w:rsidR="00DD0B0A">
        <w:rPr>
          <w:rFonts w:ascii="Times New Roman" w:hAnsi="Times New Roman"/>
          <w:sz w:val="24"/>
          <w:szCs w:val="24"/>
        </w:rPr>
        <w:t xml:space="preserve">316 milionë lekë </w:t>
      </w:r>
      <w:r w:rsidRPr="0077535B">
        <w:rPr>
          <w:rFonts w:ascii="Times New Roman" w:hAnsi="Times New Roman"/>
          <w:sz w:val="24"/>
          <w:szCs w:val="24"/>
        </w:rPr>
        <w:t xml:space="preserve">dhe realizimi </w:t>
      </w:r>
      <w:r w:rsidR="00DD0B0A">
        <w:rPr>
          <w:rFonts w:ascii="Times New Roman" w:hAnsi="Times New Roman"/>
          <w:sz w:val="24"/>
          <w:szCs w:val="24"/>
        </w:rPr>
        <w:t>rreth 302.8 milionë</w:t>
      </w:r>
      <w:r w:rsidRPr="0077535B">
        <w:rPr>
          <w:rFonts w:ascii="Times New Roman" w:hAnsi="Times New Roman"/>
          <w:sz w:val="24"/>
          <w:szCs w:val="24"/>
        </w:rPr>
        <w:t xml:space="preserve"> lekë</w:t>
      </w:r>
      <w:r w:rsidR="00DD0B0A">
        <w:rPr>
          <w:rFonts w:ascii="Times New Roman" w:hAnsi="Times New Roman"/>
          <w:sz w:val="24"/>
          <w:szCs w:val="24"/>
        </w:rPr>
        <w:t>.</w:t>
      </w:r>
      <w:r w:rsidRPr="0077535B">
        <w:rPr>
          <w:rFonts w:ascii="Times New Roman" w:hAnsi="Times New Roman"/>
          <w:sz w:val="24"/>
          <w:szCs w:val="24"/>
        </w:rPr>
        <w:t xml:space="preserve"> </w:t>
      </w:r>
    </w:p>
    <w:p w14:paraId="0647B391" w14:textId="77435D86" w:rsidR="007E414A" w:rsidRDefault="007E414A" w:rsidP="007E414A">
      <w:pPr>
        <w:jc w:val="both"/>
        <w:rPr>
          <w:rFonts w:ascii="Times New Roman" w:hAnsi="Times New Roman"/>
          <w:sz w:val="24"/>
          <w:szCs w:val="24"/>
        </w:rPr>
      </w:pPr>
      <w:r w:rsidRPr="0077535B">
        <w:rPr>
          <w:rFonts w:ascii="Times New Roman" w:hAnsi="Times New Roman"/>
          <w:sz w:val="24"/>
          <w:szCs w:val="24"/>
        </w:rPr>
        <w:lastRenderedPageBreak/>
        <w:t xml:space="preserve">Sikurse vihet re edhe ne tabelën e mësipërme, struktura e shpenzimeve për çdo program kundrejt totalit, sipas planit fillestar, atij me ndryshime dhe realizimit faktik të vitit 2024, rreth </w:t>
      </w:r>
      <w:r w:rsidR="00E002DC">
        <w:rPr>
          <w:rFonts w:ascii="Times New Roman" w:hAnsi="Times New Roman"/>
          <w:sz w:val="24"/>
          <w:szCs w:val="24"/>
        </w:rPr>
        <w:t>82%</w:t>
      </w:r>
      <w:r w:rsidRPr="0077535B">
        <w:rPr>
          <w:rFonts w:ascii="Times New Roman" w:hAnsi="Times New Roman"/>
          <w:sz w:val="24"/>
          <w:szCs w:val="24"/>
        </w:rPr>
        <w:t xml:space="preserve"> e buxhetit të kësaj ministrie është në programin</w:t>
      </w:r>
      <w:r w:rsidR="00E002DC">
        <w:rPr>
          <w:rFonts w:ascii="Times New Roman" w:hAnsi="Times New Roman"/>
          <w:sz w:val="24"/>
          <w:szCs w:val="24"/>
        </w:rPr>
        <w:t xml:space="preserve"> “</w:t>
      </w:r>
      <w:r w:rsidR="00054D24">
        <w:rPr>
          <w:rFonts w:ascii="Times New Roman" w:hAnsi="Times New Roman"/>
          <w:sz w:val="24"/>
          <w:szCs w:val="24"/>
        </w:rPr>
        <w:t>Mbështetje diplomatike jashte vendit</w:t>
      </w:r>
      <w:r w:rsidRPr="0077535B">
        <w:rPr>
          <w:rFonts w:ascii="Times New Roman" w:hAnsi="Times New Roman"/>
          <w:sz w:val="24"/>
          <w:szCs w:val="24"/>
        </w:rPr>
        <w:t xml:space="preserve">” ndërsa </w:t>
      </w:r>
      <w:r w:rsidR="00054D24">
        <w:rPr>
          <w:rFonts w:ascii="Times New Roman" w:hAnsi="Times New Roman"/>
          <w:sz w:val="24"/>
          <w:szCs w:val="24"/>
        </w:rPr>
        <w:t xml:space="preserve">struktura e </w:t>
      </w:r>
      <w:r w:rsidRPr="0077535B">
        <w:rPr>
          <w:rFonts w:ascii="Times New Roman" w:hAnsi="Times New Roman"/>
          <w:sz w:val="24"/>
          <w:szCs w:val="24"/>
        </w:rPr>
        <w:t xml:space="preserve">realizimi </w:t>
      </w:r>
      <w:r w:rsidR="00054D24">
        <w:rPr>
          <w:rFonts w:ascii="Times New Roman" w:hAnsi="Times New Roman"/>
          <w:sz w:val="24"/>
          <w:szCs w:val="24"/>
        </w:rPr>
        <w:t>të</w:t>
      </w:r>
      <w:r w:rsidRPr="0077535B">
        <w:rPr>
          <w:rFonts w:ascii="Times New Roman" w:hAnsi="Times New Roman"/>
          <w:sz w:val="24"/>
          <w:szCs w:val="24"/>
        </w:rPr>
        <w:t xml:space="preserve"> fondeve është </w:t>
      </w:r>
      <w:r w:rsidR="00054D24">
        <w:rPr>
          <w:rFonts w:ascii="Times New Roman" w:hAnsi="Times New Roman"/>
          <w:sz w:val="24"/>
          <w:szCs w:val="24"/>
        </w:rPr>
        <w:t>83</w:t>
      </w:r>
      <w:r w:rsidRPr="0077535B">
        <w:rPr>
          <w:rFonts w:ascii="Times New Roman" w:hAnsi="Times New Roman"/>
          <w:sz w:val="24"/>
          <w:szCs w:val="24"/>
        </w:rPr>
        <w:t xml:space="preserve">% në këtë program. </w:t>
      </w:r>
    </w:p>
    <w:p w14:paraId="225EB159" w14:textId="77777777" w:rsidR="00054D24" w:rsidRDefault="00054D24" w:rsidP="007E414A">
      <w:pPr>
        <w:jc w:val="both"/>
        <w:rPr>
          <w:rFonts w:ascii="Times New Roman" w:hAnsi="Times New Roman"/>
          <w:sz w:val="24"/>
          <w:szCs w:val="24"/>
        </w:rPr>
      </w:pPr>
    </w:p>
    <w:p w14:paraId="4A669689" w14:textId="77777777" w:rsidR="00054D24" w:rsidRPr="0077535B" w:rsidRDefault="00054D24" w:rsidP="007E414A">
      <w:pPr>
        <w:jc w:val="both"/>
        <w:rPr>
          <w:rFonts w:ascii="Times New Roman" w:hAnsi="Times New Roman"/>
          <w:sz w:val="24"/>
          <w:szCs w:val="24"/>
        </w:rPr>
      </w:pPr>
    </w:p>
    <w:p w14:paraId="07C06E43" w14:textId="4D595CC7" w:rsidR="007E414A" w:rsidRPr="0077535B" w:rsidRDefault="007E414A" w:rsidP="007E414A">
      <w:pPr>
        <w:jc w:val="both"/>
        <w:rPr>
          <w:rFonts w:ascii="Times New Roman" w:hAnsi="Times New Roman"/>
          <w:sz w:val="24"/>
          <w:szCs w:val="24"/>
        </w:rPr>
      </w:pPr>
      <w:r w:rsidRPr="0077535B">
        <w:rPr>
          <w:rFonts w:ascii="Times New Roman" w:hAnsi="Times New Roman"/>
          <w:sz w:val="24"/>
          <w:szCs w:val="24"/>
        </w:rPr>
        <w:t xml:space="preserve">Realizmi i fondeve te </w:t>
      </w:r>
      <w:r w:rsidR="00054D24">
        <w:rPr>
          <w:rFonts w:ascii="Times New Roman" w:hAnsi="Times New Roman"/>
          <w:sz w:val="24"/>
          <w:szCs w:val="24"/>
        </w:rPr>
        <w:t>MEPJ</w:t>
      </w:r>
      <w:r w:rsidRPr="0077535B">
        <w:rPr>
          <w:rFonts w:ascii="Times New Roman" w:hAnsi="Times New Roman"/>
          <w:sz w:val="24"/>
          <w:szCs w:val="24"/>
        </w:rPr>
        <w:t xml:space="preserve"> sipas klasifikimit ekonomik, struktura e shpërndarjes se tyre, si edhe ndryshimet ne planin vjetor rezultojnë sipas tabelës së mëposhtme:</w:t>
      </w:r>
    </w:p>
    <w:p w14:paraId="673E378E" w14:textId="77777777" w:rsidR="003B6744" w:rsidRDefault="003B6744" w:rsidP="009123A2">
      <w:pPr>
        <w:jc w:val="both"/>
        <w:rPr>
          <w:b/>
        </w:rPr>
      </w:pPr>
    </w:p>
    <w:p w14:paraId="0FBAA951" w14:textId="144483F1" w:rsidR="003B6744" w:rsidRDefault="009D0883" w:rsidP="00F20D57">
      <w:pPr>
        <w:pStyle w:val="ListParagraph"/>
        <w:spacing w:line="276" w:lineRule="auto"/>
        <w:ind w:left="-270" w:hanging="360"/>
        <w:jc w:val="both"/>
        <w:rPr>
          <w:b/>
          <w:noProof/>
          <w:lang w:val="sq-AL"/>
        </w:rPr>
      </w:pPr>
      <w:r w:rsidRPr="009D0883">
        <w:rPr>
          <w:noProof/>
        </w:rPr>
        <w:drawing>
          <wp:inline distT="0" distB="0" distL="0" distR="0" wp14:anchorId="743F855C" wp14:editId="39ACED33">
            <wp:extent cx="6572250" cy="3200400"/>
            <wp:effectExtent l="0" t="0" r="0" b="0"/>
            <wp:docPr id="2942319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C1157" w14:textId="77777777" w:rsidR="003B6744" w:rsidRPr="00541B57" w:rsidRDefault="003B6744" w:rsidP="00F20D57">
      <w:pPr>
        <w:pStyle w:val="ListParagraph"/>
        <w:spacing w:line="276" w:lineRule="auto"/>
        <w:ind w:left="-270" w:hanging="360"/>
        <w:jc w:val="both"/>
        <w:rPr>
          <w:b/>
          <w:noProof/>
          <w:lang w:val="sq-AL"/>
        </w:rPr>
      </w:pPr>
    </w:p>
    <w:p w14:paraId="63EE15D3" w14:textId="18657984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61EB2">
        <w:rPr>
          <w:rFonts w:ascii="Times New Roman" w:eastAsia="MS Mincho" w:hAnsi="Times New Roman"/>
          <w:sz w:val="24"/>
          <w:szCs w:val="24"/>
        </w:rPr>
        <w:t xml:space="preserve">Sikurse evidentohet edhe ne tabelën e mësipërme </w:t>
      </w:r>
      <w:r>
        <w:rPr>
          <w:rFonts w:ascii="Times New Roman" w:eastAsia="MS Mincho" w:hAnsi="Times New Roman"/>
          <w:sz w:val="24"/>
          <w:szCs w:val="24"/>
        </w:rPr>
        <w:t>88</w:t>
      </w:r>
      <w:r w:rsidRPr="00661EB2">
        <w:rPr>
          <w:rFonts w:ascii="Times New Roman" w:eastAsia="MS Mincho" w:hAnsi="Times New Roman"/>
          <w:sz w:val="24"/>
          <w:szCs w:val="24"/>
        </w:rPr>
        <w:t xml:space="preserve">% e shpenzimeve faktike te kësaj ministrie janë për shpenzimet korente (nga të cilat </w:t>
      </w:r>
      <w:r w:rsidR="00D4677D">
        <w:rPr>
          <w:rFonts w:ascii="Times New Roman" w:eastAsia="MS Mincho" w:hAnsi="Times New Roman"/>
          <w:sz w:val="24"/>
          <w:szCs w:val="24"/>
        </w:rPr>
        <w:t>37</w:t>
      </w:r>
      <w:r w:rsidRPr="00661EB2">
        <w:rPr>
          <w:rFonts w:ascii="Times New Roman" w:eastAsia="MS Mincho" w:hAnsi="Times New Roman"/>
          <w:sz w:val="24"/>
          <w:szCs w:val="24"/>
        </w:rPr>
        <w:t xml:space="preserve">% janë </w:t>
      </w:r>
      <w:r w:rsidR="00D4677D">
        <w:rPr>
          <w:rFonts w:ascii="Times New Roman" w:eastAsia="MS Mincho" w:hAnsi="Times New Roman"/>
          <w:sz w:val="24"/>
          <w:szCs w:val="24"/>
        </w:rPr>
        <w:t>për shpenzime personeli</w:t>
      </w:r>
      <w:r w:rsidR="00F129B5">
        <w:rPr>
          <w:rFonts w:ascii="Times New Roman" w:eastAsia="MS Mincho" w:hAnsi="Times New Roman"/>
          <w:sz w:val="24"/>
          <w:szCs w:val="24"/>
        </w:rPr>
        <w:t>, 44% per shpenzime operative dhe 6% per ku</w:t>
      </w:r>
      <w:r w:rsidR="008B2075">
        <w:rPr>
          <w:rFonts w:ascii="Times New Roman" w:eastAsia="MS Mincho" w:hAnsi="Times New Roman"/>
          <w:sz w:val="24"/>
          <w:szCs w:val="24"/>
        </w:rPr>
        <w:t>ota/transferta te huaja</w:t>
      </w:r>
      <w:r w:rsidRPr="00661EB2">
        <w:rPr>
          <w:rFonts w:ascii="Times New Roman" w:eastAsia="MS Mincho" w:hAnsi="Times New Roman"/>
          <w:sz w:val="24"/>
          <w:szCs w:val="24"/>
        </w:rPr>
        <w:t xml:space="preserve">) dhe </w:t>
      </w:r>
      <w:r w:rsidR="008B2075">
        <w:rPr>
          <w:rFonts w:ascii="Times New Roman" w:eastAsia="MS Mincho" w:hAnsi="Times New Roman"/>
          <w:sz w:val="24"/>
          <w:szCs w:val="24"/>
        </w:rPr>
        <w:t>12</w:t>
      </w:r>
      <w:r w:rsidRPr="00661EB2">
        <w:rPr>
          <w:rFonts w:ascii="Times New Roman" w:eastAsia="MS Mincho" w:hAnsi="Times New Roman"/>
          <w:sz w:val="24"/>
          <w:szCs w:val="24"/>
        </w:rPr>
        <w:t>% janë për shpenzimet kapitale</w:t>
      </w:r>
      <w:r w:rsidR="00232C51">
        <w:rPr>
          <w:rFonts w:ascii="Times New Roman" w:eastAsia="MS Mincho" w:hAnsi="Times New Roman"/>
          <w:sz w:val="24"/>
          <w:szCs w:val="24"/>
        </w:rPr>
        <w:t xml:space="preserve">. Vazhdojme te konstatojme se </w:t>
      </w:r>
      <w:r w:rsidR="00112DB5">
        <w:rPr>
          <w:rFonts w:ascii="Times New Roman" w:eastAsia="MS Mincho" w:hAnsi="Times New Roman"/>
          <w:sz w:val="24"/>
          <w:szCs w:val="24"/>
        </w:rPr>
        <w:t>duhet të merren masa korigjuese</w:t>
      </w:r>
      <w:r w:rsidR="00112DB5">
        <w:rPr>
          <w:rFonts w:ascii="Times New Roman" w:eastAsia="MS Mincho" w:hAnsi="Times New Roman"/>
          <w:sz w:val="24"/>
          <w:szCs w:val="24"/>
        </w:rPr>
        <w:t xml:space="preserve"> për</w:t>
      </w:r>
      <w:r w:rsidR="00232C51">
        <w:rPr>
          <w:rFonts w:ascii="Times New Roman" w:eastAsia="MS Mincho" w:hAnsi="Times New Roman"/>
          <w:sz w:val="24"/>
          <w:szCs w:val="24"/>
        </w:rPr>
        <w:t xml:space="preserve"> realizimi</w:t>
      </w:r>
      <w:r w:rsidR="00112DB5">
        <w:rPr>
          <w:rFonts w:ascii="Times New Roman" w:eastAsia="MS Mincho" w:hAnsi="Times New Roman"/>
          <w:sz w:val="24"/>
          <w:szCs w:val="24"/>
        </w:rPr>
        <w:t>n</w:t>
      </w:r>
      <w:r w:rsidR="00232C51">
        <w:rPr>
          <w:rFonts w:ascii="Times New Roman" w:eastAsia="MS Mincho" w:hAnsi="Times New Roman"/>
          <w:sz w:val="24"/>
          <w:szCs w:val="24"/>
        </w:rPr>
        <w:t xml:space="preserve"> faktik te</w:t>
      </w:r>
      <w:r w:rsidR="00F5090D">
        <w:rPr>
          <w:rFonts w:ascii="Times New Roman" w:eastAsia="MS Mincho" w:hAnsi="Times New Roman"/>
          <w:sz w:val="24"/>
          <w:szCs w:val="24"/>
        </w:rPr>
        <w:t xml:space="preserve"> projetit me</w:t>
      </w:r>
      <w:r w:rsidR="00232C51">
        <w:rPr>
          <w:rFonts w:ascii="Times New Roman" w:eastAsia="MS Mincho" w:hAnsi="Times New Roman"/>
          <w:sz w:val="24"/>
          <w:szCs w:val="24"/>
        </w:rPr>
        <w:t xml:space="preserve"> financimit te huaj ne programin 01150</w:t>
      </w:r>
      <w:r w:rsidR="00E657F1">
        <w:rPr>
          <w:rFonts w:ascii="Times New Roman" w:eastAsia="MS Mincho" w:hAnsi="Times New Roman"/>
          <w:sz w:val="24"/>
          <w:szCs w:val="24"/>
        </w:rPr>
        <w:t xml:space="preserve"> </w:t>
      </w:r>
      <w:r w:rsidR="00A36F77">
        <w:rPr>
          <w:rFonts w:ascii="Times New Roman" w:eastAsia="MS Mincho" w:hAnsi="Times New Roman"/>
          <w:sz w:val="24"/>
          <w:szCs w:val="24"/>
        </w:rPr>
        <w:t>“Mbështetje institucionale për procesin e integrimi”</w:t>
      </w:r>
      <w:r w:rsidR="00232C51">
        <w:rPr>
          <w:rFonts w:ascii="Times New Roman" w:eastAsia="MS Mincho" w:hAnsi="Times New Roman"/>
          <w:sz w:val="24"/>
          <w:szCs w:val="24"/>
        </w:rPr>
        <w:t xml:space="preserve"> </w:t>
      </w:r>
      <w:r w:rsidR="00F5090D">
        <w:rPr>
          <w:rFonts w:ascii="Times New Roman" w:eastAsia="MS Mincho" w:hAnsi="Times New Roman"/>
          <w:sz w:val="24"/>
          <w:szCs w:val="24"/>
        </w:rPr>
        <w:t xml:space="preserve">i cili </w:t>
      </w:r>
      <w:r w:rsidR="00A36F77">
        <w:rPr>
          <w:rFonts w:ascii="Times New Roman" w:eastAsia="MS Mincho" w:hAnsi="Times New Roman"/>
          <w:sz w:val="24"/>
          <w:szCs w:val="24"/>
        </w:rPr>
        <w:t xml:space="preserve">prej vitesh </w:t>
      </w:r>
      <w:r w:rsidR="00F5090D">
        <w:rPr>
          <w:rFonts w:ascii="Times New Roman" w:eastAsia="MS Mincho" w:hAnsi="Times New Roman"/>
          <w:sz w:val="24"/>
          <w:szCs w:val="24"/>
        </w:rPr>
        <w:t xml:space="preserve">nuk eshte me i lidhur me </w:t>
      </w:r>
      <w:r w:rsidR="00521D40">
        <w:rPr>
          <w:rFonts w:ascii="Times New Roman" w:eastAsia="MS Mincho" w:hAnsi="Times New Roman"/>
          <w:sz w:val="24"/>
          <w:szCs w:val="24"/>
        </w:rPr>
        <w:t>këtë ministri</w:t>
      </w:r>
      <w:r w:rsidR="00E657F1">
        <w:rPr>
          <w:rFonts w:ascii="Times New Roman" w:eastAsia="MS Mincho" w:hAnsi="Times New Roman"/>
          <w:sz w:val="24"/>
          <w:szCs w:val="24"/>
        </w:rPr>
        <w:t>.</w:t>
      </w:r>
    </w:p>
    <w:p w14:paraId="3FC81AB1" w14:textId="77777777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7AB4C65F" w14:textId="2431C309" w:rsid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61EB2">
        <w:rPr>
          <w:rFonts w:ascii="Times New Roman" w:eastAsia="MS Mincho" w:hAnsi="Times New Roman"/>
          <w:sz w:val="24"/>
          <w:szCs w:val="24"/>
        </w:rPr>
        <w:t>Lidhur me ndryshimet në planifikim për vitin 2024, përfshirë këtu buxhetin fillestar, dhe buxhetin me ndryshimet e ndodhura gjatë vitit rezulton se gjithsej shpenzimet buxhetore te M</w:t>
      </w:r>
      <w:r w:rsidR="00A43899">
        <w:rPr>
          <w:rFonts w:ascii="Times New Roman" w:eastAsia="MS Mincho" w:hAnsi="Times New Roman"/>
          <w:sz w:val="24"/>
          <w:szCs w:val="24"/>
        </w:rPr>
        <w:t>EPJ</w:t>
      </w:r>
      <w:r w:rsidRPr="00661EB2">
        <w:rPr>
          <w:rFonts w:ascii="Times New Roman" w:eastAsia="MS Mincho" w:hAnsi="Times New Roman"/>
          <w:sz w:val="24"/>
          <w:szCs w:val="24"/>
        </w:rPr>
        <w:t xml:space="preserve"> janë reduktuar me </w:t>
      </w:r>
      <w:r w:rsidR="009A5322">
        <w:rPr>
          <w:rFonts w:ascii="Times New Roman" w:eastAsia="MS Mincho" w:hAnsi="Times New Roman"/>
          <w:sz w:val="24"/>
          <w:szCs w:val="24"/>
        </w:rPr>
        <w:t>384.8 milionë</w:t>
      </w:r>
      <w:r w:rsidRPr="00661EB2">
        <w:rPr>
          <w:rFonts w:ascii="Times New Roman" w:eastAsia="MS Mincho" w:hAnsi="Times New Roman"/>
          <w:sz w:val="24"/>
          <w:szCs w:val="24"/>
        </w:rPr>
        <w:t xml:space="preserve"> lekë.</w:t>
      </w:r>
    </w:p>
    <w:p w14:paraId="5F7894F0" w14:textId="77777777" w:rsidR="00385170" w:rsidRPr="00661EB2" w:rsidRDefault="00385170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042B350F" w14:textId="73F1E9E4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61EB2">
        <w:rPr>
          <w:rFonts w:ascii="Times New Roman" w:eastAsia="MS Mincho" w:hAnsi="Times New Roman"/>
          <w:sz w:val="24"/>
          <w:szCs w:val="24"/>
        </w:rPr>
        <w:t xml:space="preserve">Diferencat lidhen me ndryshimet në buxhetin fillestar dhe atë të ndryshuar janë si rezultat i detajimit të Fondit të Veçantë prej </w:t>
      </w:r>
      <w:r w:rsidR="002C2B49">
        <w:rPr>
          <w:rFonts w:ascii="Times New Roman" w:eastAsia="MS Mincho" w:hAnsi="Times New Roman"/>
          <w:sz w:val="24"/>
          <w:szCs w:val="24"/>
        </w:rPr>
        <w:t>1.3</w:t>
      </w:r>
      <w:r w:rsidRPr="00661EB2">
        <w:rPr>
          <w:rFonts w:ascii="Times New Roman" w:eastAsia="MS Mincho" w:hAnsi="Times New Roman"/>
          <w:sz w:val="24"/>
          <w:szCs w:val="24"/>
        </w:rPr>
        <w:t xml:space="preserve"> milionë lekë</w:t>
      </w:r>
      <w:r w:rsidR="002C2B49">
        <w:rPr>
          <w:rFonts w:ascii="Times New Roman" w:eastAsia="MS Mincho" w:hAnsi="Times New Roman"/>
          <w:sz w:val="24"/>
          <w:szCs w:val="24"/>
        </w:rPr>
        <w:t>.</w:t>
      </w:r>
    </w:p>
    <w:p w14:paraId="089F2E62" w14:textId="77777777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5DC32657" w14:textId="2FEA7C7C" w:rsidR="00661EB2" w:rsidRPr="00661EB2" w:rsidRDefault="00385170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Nuk është përdorur k</w:t>
      </w:r>
      <w:r w:rsidR="00661EB2" w:rsidRPr="00661EB2">
        <w:rPr>
          <w:rFonts w:ascii="Times New Roman" w:eastAsia="MS Mincho" w:hAnsi="Times New Roman"/>
          <w:sz w:val="24"/>
          <w:szCs w:val="24"/>
        </w:rPr>
        <w:t xml:space="preserve">ontigjenca për rritjen e pagave për </w:t>
      </w:r>
      <w:r>
        <w:rPr>
          <w:rFonts w:ascii="Times New Roman" w:eastAsia="MS Mincho" w:hAnsi="Times New Roman"/>
          <w:sz w:val="24"/>
          <w:szCs w:val="24"/>
        </w:rPr>
        <w:t>këtë ministri</w:t>
      </w:r>
      <w:r w:rsidR="00661EB2" w:rsidRPr="00661EB2">
        <w:rPr>
          <w:rFonts w:ascii="Times New Roman" w:eastAsia="MS Mincho" w:hAnsi="Times New Roman"/>
          <w:sz w:val="24"/>
          <w:szCs w:val="24"/>
        </w:rPr>
        <w:t>.</w:t>
      </w:r>
    </w:p>
    <w:p w14:paraId="22A2AF0D" w14:textId="77777777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33A537C9" w14:textId="4A34B8BB" w:rsidR="00AE071F" w:rsidRDefault="00AE071F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Nga zbatimi i </w:t>
      </w:r>
      <w:r w:rsidR="00661EB2" w:rsidRPr="00661EB2">
        <w:rPr>
          <w:rFonts w:ascii="Times New Roman" w:eastAsia="MS Mincho" w:hAnsi="Times New Roman"/>
          <w:sz w:val="24"/>
          <w:szCs w:val="24"/>
        </w:rPr>
        <w:t xml:space="preserve">Aktit Normativ nr. </w:t>
      </w:r>
      <w:r w:rsidR="00082E6D">
        <w:rPr>
          <w:rFonts w:ascii="Times New Roman" w:eastAsia="MS Mincho" w:hAnsi="Times New Roman"/>
          <w:sz w:val="24"/>
          <w:szCs w:val="24"/>
        </w:rPr>
        <w:t xml:space="preserve">1 </w:t>
      </w:r>
      <w:r>
        <w:rPr>
          <w:rFonts w:ascii="Times New Roman" w:eastAsia="MS Mincho" w:hAnsi="Times New Roman"/>
          <w:sz w:val="24"/>
          <w:szCs w:val="24"/>
        </w:rPr>
        <w:t xml:space="preserve">date 21.02.2024 </w:t>
      </w:r>
      <w:r w:rsidRPr="00AE071F">
        <w:rPr>
          <w:rFonts w:ascii="Times New Roman" w:eastAsia="MS Mincho" w:hAnsi="Times New Roman"/>
          <w:sz w:val="24"/>
          <w:szCs w:val="24"/>
        </w:rPr>
        <w:t>“Për disa ndryshime në ligjin nr. 97/2023, “Për buxhetin e vitit 2024”</w:t>
      </w:r>
      <w:r>
        <w:rPr>
          <w:rFonts w:ascii="Times New Roman" w:eastAsia="MS Mincho" w:hAnsi="Times New Roman"/>
          <w:sz w:val="24"/>
          <w:szCs w:val="24"/>
        </w:rPr>
        <w:t>, MEPJ rialokoi brenda shpenzimeve kapitale 22 milionë lekë.</w:t>
      </w:r>
    </w:p>
    <w:p w14:paraId="6AF584B2" w14:textId="77777777" w:rsidR="00AE071F" w:rsidRDefault="00AE071F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23BEC1AC" w14:textId="77777777" w:rsidR="00384382" w:rsidRDefault="00AE071F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Nga zbatimi i Aktit Normativ nr. </w:t>
      </w:r>
      <w:r w:rsidR="00661EB2" w:rsidRPr="00661EB2">
        <w:rPr>
          <w:rFonts w:ascii="Times New Roman" w:eastAsia="MS Mincho" w:hAnsi="Times New Roman"/>
          <w:sz w:val="24"/>
          <w:szCs w:val="24"/>
        </w:rPr>
        <w:t xml:space="preserve">3 datë 28.8.2024 “Për disa ndryshime në ligjin nr. 97/2023, “Për buxhetin e vitit 2024” </w:t>
      </w:r>
      <w:r w:rsidR="00384382">
        <w:rPr>
          <w:rFonts w:ascii="Times New Roman" w:eastAsia="MS Mincho" w:hAnsi="Times New Roman"/>
          <w:sz w:val="24"/>
          <w:szCs w:val="24"/>
        </w:rPr>
        <w:t xml:space="preserve">ju shtoan 173 milionë lekë për shpenzime kapitale. </w:t>
      </w:r>
    </w:p>
    <w:p w14:paraId="56223839" w14:textId="23710622" w:rsidR="00661EB2" w:rsidRPr="00661EB2" w:rsidRDefault="00661EB2" w:rsidP="00661EB2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  <w:r w:rsidRPr="00661EB2">
        <w:rPr>
          <w:rFonts w:ascii="Times New Roman" w:eastAsia="MS Mincho" w:hAnsi="Times New Roman"/>
          <w:sz w:val="24"/>
          <w:szCs w:val="24"/>
        </w:rPr>
        <w:lastRenderedPageBreak/>
        <w:t xml:space="preserve"> Gjithashtu nga zbatimi i Aktit Normavtiv nr 5, datë 19.12.2024 për këtë ministri rezultojnë </w:t>
      </w:r>
      <w:r w:rsidR="004C3F71" w:rsidRPr="00EC06BF">
        <w:rPr>
          <w:rFonts w:ascii="Times New Roman" w:eastAsia="MS Mincho" w:hAnsi="Times New Roman"/>
          <w:sz w:val="24"/>
          <w:szCs w:val="24"/>
        </w:rPr>
        <w:t xml:space="preserve">pakësime </w:t>
      </w:r>
      <w:r w:rsidRPr="00EC06BF">
        <w:rPr>
          <w:rFonts w:ascii="Times New Roman" w:eastAsia="MS Mincho" w:hAnsi="Times New Roman"/>
          <w:sz w:val="24"/>
          <w:szCs w:val="24"/>
        </w:rPr>
        <w:t xml:space="preserve">ne planin e buxhetit prej </w:t>
      </w:r>
      <w:r w:rsidR="004C3F71" w:rsidRPr="00EC06BF">
        <w:rPr>
          <w:rFonts w:ascii="Times New Roman" w:eastAsia="MS Mincho" w:hAnsi="Times New Roman"/>
          <w:sz w:val="24"/>
          <w:szCs w:val="24"/>
        </w:rPr>
        <w:t>53</w:t>
      </w:r>
      <w:r w:rsidRPr="00EC06BF">
        <w:rPr>
          <w:rFonts w:ascii="Times New Roman" w:eastAsia="MS Mincho" w:hAnsi="Times New Roman"/>
          <w:sz w:val="24"/>
          <w:szCs w:val="24"/>
        </w:rPr>
        <w:t xml:space="preserve"> </w:t>
      </w:r>
      <w:r w:rsidR="004C3F71" w:rsidRPr="00EC06BF">
        <w:rPr>
          <w:rFonts w:ascii="Times New Roman" w:eastAsia="MS Mincho" w:hAnsi="Times New Roman"/>
          <w:sz w:val="24"/>
          <w:szCs w:val="24"/>
        </w:rPr>
        <w:t xml:space="preserve">milionë </w:t>
      </w:r>
      <w:r w:rsidRPr="00EC06BF">
        <w:rPr>
          <w:rFonts w:ascii="Times New Roman" w:eastAsia="MS Mincho" w:hAnsi="Times New Roman"/>
          <w:sz w:val="24"/>
          <w:szCs w:val="24"/>
        </w:rPr>
        <w:t xml:space="preserve">lekë për shpenzimet korente dhe </w:t>
      </w:r>
      <w:r w:rsidR="00EC06BF" w:rsidRPr="00EC06BF">
        <w:rPr>
          <w:rFonts w:ascii="Times New Roman" w:eastAsia="MS Mincho" w:hAnsi="Times New Roman"/>
          <w:sz w:val="24"/>
          <w:szCs w:val="24"/>
        </w:rPr>
        <w:t xml:space="preserve">211 milionë lekë shtesë </w:t>
      </w:r>
      <w:r w:rsidRPr="00EC06BF">
        <w:rPr>
          <w:rFonts w:ascii="Times New Roman" w:eastAsia="MS Mincho" w:hAnsi="Times New Roman"/>
          <w:sz w:val="24"/>
          <w:szCs w:val="24"/>
        </w:rPr>
        <w:t>në shpenzimet kapitale.</w:t>
      </w:r>
    </w:p>
    <w:p w14:paraId="1F772C6E" w14:textId="77777777" w:rsidR="00870E0F" w:rsidRPr="00541B57" w:rsidRDefault="00870E0F" w:rsidP="008C520E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50099EFA" w14:textId="77777777" w:rsidR="00870E0F" w:rsidRPr="00541B57" w:rsidRDefault="00870E0F" w:rsidP="008C520E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06BA3047" w14:textId="760A4B3F" w:rsidR="008C520E" w:rsidRPr="00541B57" w:rsidRDefault="008C520E" w:rsidP="00CF0208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noProof/>
          <w:lang w:val="sq-AL"/>
        </w:rPr>
      </w:pPr>
      <w:r w:rsidRPr="00541B57">
        <w:rPr>
          <w:b/>
          <w:noProof/>
          <w:lang w:val="sq-AL"/>
        </w:rPr>
        <w:t xml:space="preserve">Komente </w:t>
      </w:r>
      <w:r w:rsidR="00E94221" w:rsidRPr="00541B57">
        <w:rPr>
          <w:b/>
          <w:noProof/>
          <w:lang w:val="sq-AL"/>
        </w:rPr>
        <w:t>dhe rekomandime</w:t>
      </w:r>
    </w:p>
    <w:p w14:paraId="2FDABCA1" w14:textId="77777777" w:rsidR="00B650E3" w:rsidRPr="00541B57" w:rsidRDefault="00B650E3" w:rsidP="00B650E3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p w14:paraId="33573514" w14:textId="2D9A60D2" w:rsidR="00366104" w:rsidRPr="00541B57" w:rsidRDefault="00610B65" w:rsidP="005246A3">
      <w:pPr>
        <w:pStyle w:val="ListParagraph"/>
        <w:numPr>
          <w:ilvl w:val="0"/>
          <w:numId w:val="5"/>
        </w:numPr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 xml:space="preserve">Raporti i monitorimit të Ministrisë së Evropës dhe Punëve të Jashtme është </w:t>
      </w:r>
      <w:r w:rsidR="007B4C0B">
        <w:rPr>
          <w:rFonts w:eastAsia="MS Mincho"/>
          <w:lang w:val="sq-AL"/>
        </w:rPr>
        <w:t>dërguar</w:t>
      </w:r>
      <w:r w:rsidRPr="00541B57">
        <w:rPr>
          <w:rFonts w:eastAsia="MS Mincho"/>
          <w:lang w:val="sq-AL"/>
        </w:rPr>
        <w:t xml:space="preserve"> në përputhje me afatet e përcaktuara në udhëzimin nr. </w:t>
      </w:r>
      <w:r w:rsidR="008D54EE" w:rsidRPr="00541B57">
        <w:rPr>
          <w:rFonts w:eastAsia="MS Mincho"/>
          <w:lang w:val="sq-AL"/>
        </w:rPr>
        <w:t>14</w:t>
      </w:r>
      <w:r w:rsidRPr="00541B57">
        <w:rPr>
          <w:rFonts w:eastAsia="MS Mincho"/>
          <w:lang w:val="sq-AL"/>
        </w:rPr>
        <w:t xml:space="preserve">, datë </w:t>
      </w:r>
      <w:r w:rsidR="008D54EE" w:rsidRPr="00541B57">
        <w:rPr>
          <w:rFonts w:eastAsia="MS Mincho"/>
          <w:lang w:val="sq-AL"/>
        </w:rPr>
        <w:t>30.05.2023</w:t>
      </w:r>
      <w:r w:rsidRPr="00541B57">
        <w:rPr>
          <w:rFonts w:eastAsia="MS Mincho"/>
          <w:lang w:val="sq-AL"/>
        </w:rPr>
        <w:t xml:space="preserve"> “Për procedurat standarde të monitorimit të buxhetit, për njësitë e qeverisjes qendrore”</w:t>
      </w:r>
      <w:r w:rsidR="004E78FD">
        <w:rPr>
          <w:rFonts w:eastAsia="MS Mincho"/>
          <w:lang w:val="sq-AL"/>
        </w:rPr>
        <w:t xml:space="preserve"> por </w:t>
      </w:r>
      <w:r w:rsidR="00AC4E0D">
        <w:rPr>
          <w:rFonts w:eastAsia="MS Mincho"/>
          <w:lang w:val="sq-AL"/>
        </w:rPr>
        <w:t>është</w:t>
      </w:r>
      <w:r w:rsidR="004E78FD">
        <w:rPr>
          <w:rFonts w:eastAsia="MS Mincho"/>
          <w:lang w:val="sq-AL"/>
        </w:rPr>
        <w:t xml:space="preserve"> paraqitur në </w:t>
      </w:r>
      <w:r w:rsidR="00AC4E0D">
        <w:rPr>
          <w:rFonts w:eastAsia="MS Mincho"/>
          <w:lang w:val="sq-AL"/>
        </w:rPr>
        <w:t>M</w:t>
      </w:r>
      <w:r w:rsidR="004E78FD">
        <w:rPr>
          <w:rFonts w:eastAsia="MS Mincho"/>
          <w:lang w:val="sq-AL"/>
        </w:rPr>
        <w:t xml:space="preserve">inistrinë e Financave në datë </w:t>
      </w:r>
      <w:r w:rsidR="0042307B">
        <w:rPr>
          <w:rFonts w:eastAsia="MS Mincho"/>
          <w:lang w:val="sq-AL"/>
        </w:rPr>
        <w:t>2</w:t>
      </w:r>
      <w:r w:rsidR="00AC4E0D">
        <w:rPr>
          <w:rFonts w:eastAsia="MS Mincho"/>
          <w:lang w:val="sq-AL"/>
        </w:rPr>
        <w:t>0.0</w:t>
      </w:r>
      <w:r w:rsidR="0042307B">
        <w:rPr>
          <w:rFonts w:eastAsia="MS Mincho"/>
          <w:lang w:val="sq-AL"/>
        </w:rPr>
        <w:t>3</w:t>
      </w:r>
      <w:r w:rsidR="00AC4E0D">
        <w:rPr>
          <w:rFonts w:eastAsia="MS Mincho"/>
          <w:lang w:val="sq-AL"/>
        </w:rPr>
        <w:t>.2025.</w:t>
      </w:r>
    </w:p>
    <w:p w14:paraId="02A5DD65" w14:textId="77777777" w:rsidR="00366104" w:rsidRPr="00541B57" w:rsidRDefault="00366104" w:rsidP="00366104">
      <w:pPr>
        <w:pStyle w:val="ListParagraph"/>
        <w:jc w:val="both"/>
        <w:rPr>
          <w:rFonts w:eastAsia="MS Mincho"/>
          <w:lang w:val="sq-AL"/>
        </w:rPr>
      </w:pPr>
    </w:p>
    <w:p w14:paraId="75834619" w14:textId="605F3296" w:rsidR="00D65551" w:rsidRPr="00541B57" w:rsidRDefault="00366104" w:rsidP="005246A3">
      <w:pPr>
        <w:pStyle w:val="ListParagraph"/>
        <w:numPr>
          <w:ilvl w:val="0"/>
          <w:numId w:val="5"/>
        </w:numPr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>Raporti</w:t>
      </w:r>
      <w:r w:rsidR="00D65551" w:rsidRPr="00541B57">
        <w:rPr>
          <w:rFonts w:eastAsia="MS Mincho"/>
          <w:lang w:val="sq-AL"/>
        </w:rPr>
        <w:t xml:space="preserve"> nga pikëpamja e përmbajtjes</w:t>
      </w:r>
      <w:r w:rsidR="00610B65" w:rsidRPr="00541B57">
        <w:rPr>
          <w:rFonts w:eastAsia="MS Mincho"/>
          <w:lang w:val="sq-AL"/>
        </w:rPr>
        <w:t xml:space="preserve">, </w:t>
      </w:r>
      <w:r w:rsidR="00D65551" w:rsidRPr="00541B57">
        <w:rPr>
          <w:rFonts w:eastAsia="MS Mincho"/>
          <w:lang w:val="sq-AL"/>
        </w:rPr>
        <w:t xml:space="preserve">nuk është </w:t>
      </w:r>
      <w:proofErr w:type="spellStart"/>
      <w:r w:rsidR="00D65551" w:rsidRPr="00541B57">
        <w:rPr>
          <w:rFonts w:eastAsia="MS Mincho"/>
          <w:lang w:val="sq-AL"/>
        </w:rPr>
        <w:t>konform</w:t>
      </w:r>
      <w:proofErr w:type="spellEnd"/>
      <w:r w:rsidR="00D65551" w:rsidRPr="00541B57">
        <w:rPr>
          <w:rFonts w:eastAsia="MS Mincho"/>
          <w:lang w:val="sq-AL"/>
        </w:rPr>
        <w:t xml:space="preserve"> përcaktimeve të cilësuara në udhëzimin e sipërcituar</w:t>
      </w:r>
      <w:r w:rsidR="004855D3">
        <w:rPr>
          <w:rFonts w:eastAsia="MS Mincho"/>
          <w:lang w:val="sq-AL"/>
        </w:rPr>
        <w:t xml:space="preserve"> në shtojcën nr</w:t>
      </w:r>
      <w:r w:rsidR="00D65551" w:rsidRPr="00541B57">
        <w:rPr>
          <w:rFonts w:eastAsia="MS Mincho"/>
          <w:lang w:val="sq-AL"/>
        </w:rPr>
        <w:t>.</w:t>
      </w:r>
      <w:r w:rsidR="004855D3">
        <w:rPr>
          <w:rFonts w:eastAsia="MS Mincho"/>
          <w:lang w:val="sq-AL"/>
        </w:rPr>
        <w:t>3.</w:t>
      </w:r>
      <w:r w:rsidRPr="00541B57">
        <w:rPr>
          <w:rFonts w:eastAsia="MS Mincho"/>
          <w:lang w:val="sq-AL"/>
        </w:rPr>
        <w:t xml:space="preserve"> Analiza e dërguar </w:t>
      </w:r>
      <w:r w:rsidR="00CE5780">
        <w:rPr>
          <w:rFonts w:eastAsia="MS Mincho"/>
          <w:lang w:val="sq-AL"/>
        </w:rPr>
        <w:t>ka karakter të përgjithshëm</w:t>
      </w:r>
      <w:r w:rsidR="006B76B6">
        <w:rPr>
          <w:rFonts w:eastAsia="MS Mincho"/>
          <w:lang w:val="sq-AL"/>
        </w:rPr>
        <w:t>, pra</w:t>
      </w:r>
      <w:r w:rsidRPr="00541B57">
        <w:rPr>
          <w:rFonts w:eastAsia="MS Mincho"/>
          <w:lang w:val="sq-AL"/>
        </w:rPr>
        <w:t xml:space="preserve"> jo </w:t>
      </w:r>
      <w:r w:rsidR="004C0B6C">
        <w:rPr>
          <w:rFonts w:eastAsia="MS Mincho"/>
          <w:lang w:val="sq-AL"/>
        </w:rPr>
        <w:t xml:space="preserve">bazuar në </w:t>
      </w:r>
      <w:r w:rsidRPr="00541B57">
        <w:rPr>
          <w:rFonts w:eastAsia="MS Mincho"/>
          <w:lang w:val="sq-AL"/>
        </w:rPr>
        <w:t>analizë</w:t>
      </w:r>
      <w:r w:rsidR="004C0B6C">
        <w:rPr>
          <w:rFonts w:eastAsia="MS Mincho"/>
          <w:lang w:val="sq-AL"/>
        </w:rPr>
        <w:t xml:space="preserve">n e </w:t>
      </w:r>
      <w:r w:rsidRPr="00541B57">
        <w:rPr>
          <w:rFonts w:eastAsia="MS Mincho"/>
          <w:lang w:val="sq-AL"/>
        </w:rPr>
        <w:t xml:space="preserve">treguesve të </w:t>
      </w:r>
      <w:proofErr w:type="spellStart"/>
      <w:r w:rsidRPr="00541B57">
        <w:rPr>
          <w:rFonts w:eastAsia="MS Mincho"/>
          <w:lang w:val="sq-AL"/>
        </w:rPr>
        <w:t>performancës</w:t>
      </w:r>
      <w:proofErr w:type="spellEnd"/>
      <w:r w:rsidRPr="00541B57">
        <w:rPr>
          <w:rFonts w:eastAsia="MS Mincho"/>
          <w:lang w:val="sq-AL"/>
        </w:rPr>
        <w:t xml:space="preserve"> në nivel </w:t>
      </w:r>
      <w:r w:rsidR="006B76B6">
        <w:rPr>
          <w:rFonts w:eastAsia="MS Mincho"/>
          <w:lang w:val="sq-AL"/>
        </w:rPr>
        <w:t>qëllimi,</w:t>
      </w:r>
      <w:r w:rsidR="00AC4E0D">
        <w:rPr>
          <w:rFonts w:eastAsia="MS Mincho"/>
          <w:lang w:val="sq-AL"/>
        </w:rPr>
        <w:t xml:space="preserve"> objektivi dhe </w:t>
      </w:r>
      <w:r w:rsidR="004C0B6C">
        <w:rPr>
          <w:rFonts w:eastAsia="MS Mincho"/>
          <w:lang w:val="sq-AL"/>
        </w:rPr>
        <w:t xml:space="preserve">kod </w:t>
      </w:r>
      <w:r w:rsidRPr="00541B57">
        <w:rPr>
          <w:rFonts w:eastAsia="MS Mincho"/>
          <w:lang w:val="sq-AL"/>
        </w:rPr>
        <w:t>produkti.</w:t>
      </w:r>
    </w:p>
    <w:p w14:paraId="48253693" w14:textId="77777777" w:rsidR="00D65551" w:rsidRPr="00541B57" w:rsidRDefault="00DB03E6" w:rsidP="00DB03E6">
      <w:pPr>
        <w:pStyle w:val="ListParagraph"/>
        <w:tabs>
          <w:tab w:val="left" w:pos="4380"/>
        </w:tabs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ab/>
      </w:r>
    </w:p>
    <w:p w14:paraId="56AB8B3B" w14:textId="079C9BCF" w:rsidR="00610B65" w:rsidRPr="00541B57" w:rsidRDefault="008D54EE" w:rsidP="005246A3">
      <w:pPr>
        <w:pStyle w:val="ListParagraph"/>
        <w:numPr>
          <w:ilvl w:val="0"/>
          <w:numId w:val="5"/>
        </w:numPr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 xml:space="preserve"> </w:t>
      </w:r>
      <w:r w:rsidR="00D65551" w:rsidRPr="00541B57">
        <w:rPr>
          <w:rFonts w:eastAsia="MS Mincho"/>
          <w:lang w:val="sq-AL"/>
        </w:rPr>
        <w:t xml:space="preserve">Në AFMIS </w:t>
      </w:r>
      <w:r w:rsidR="00582A33" w:rsidRPr="00541B57">
        <w:rPr>
          <w:rFonts w:eastAsia="MS Mincho"/>
          <w:lang w:val="sq-AL"/>
        </w:rPr>
        <w:t xml:space="preserve">akoma </w:t>
      </w:r>
      <w:r w:rsidR="00D65551" w:rsidRPr="00541B57">
        <w:rPr>
          <w:rFonts w:eastAsia="MS Mincho"/>
          <w:lang w:val="sq-AL"/>
        </w:rPr>
        <w:t>nuk është regjistruar asnjë e dhënë në lidhje me ecurinë faktike të produkteve (</w:t>
      </w:r>
      <w:proofErr w:type="spellStart"/>
      <w:r w:rsidR="00D65551" w:rsidRPr="00541B57">
        <w:rPr>
          <w:rFonts w:eastAsia="MS Mincho"/>
          <w:lang w:val="sq-AL"/>
        </w:rPr>
        <w:t>Output</w:t>
      </w:r>
      <w:proofErr w:type="spellEnd"/>
      <w:r w:rsidR="00D65551" w:rsidRPr="00541B57">
        <w:rPr>
          <w:rFonts w:eastAsia="MS Mincho"/>
          <w:lang w:val="sq-AL"/>
        </w:rPr>
        <w:t xml:space="preserve"> monitorin data) për asnjë nga </w:t>
      </w:r>
      <w:r w:rsidR="00AC4E0D">
        <w:rPr>
          <w:rFonts w:eastAsia="MS Mincho"/>
          <w:lang w:val="sq-AL"/>
        </w:rPr>
        <w:t>periudhat e vitit 2024</w:t>
      </w:r>
      <w:r w:rsidR="004C0B6C">
        <w:rPr>
          <w:rFonts w:eastAsia="MS Mincho"/>
          <w:lang w:val="sq-AL"/>
        </w:rPr>
        <w:t xml:space="preserve"> d</w:t>
      </w:r>
      <w:r w:rsidR="000C5B36">
        <w:rPr>
          <w:rFonts w:eastAsia="MS Mincho"/>
          <w:lang w:val="sq-AL"/>
        </w:rPr>
        <w:t xml:space="preserve">he kjo i </w:t>
      </w:r>
      <w:r w:rsidR="004C0B6C">
        <w:rPr>
          <w:rFonts w:eastAsia="MS Mincho"/>
          <w:lang w:val="sq-AL"/>
        </w:rPr>
        <w:t>bën</w:t>
      </w:r>
      <w:r w:rsidR="000C5B36">
        <w:rPr>
          <w:rFonts w:eastAsia="MS Mincho"/>
          <w:lang w:val="sq-AL"/>
        </w:rPr>
        <w:t xml:space="preserve"> anekset e paraqitura të palexueshme dhe të paqarta lidhur me </w:t>
      </w:r>
      <w:proofErr w:type="spellStart"/>
      <w:r w:rsidR="000C5B36">
        <w:rPr>
          <w:rFonts w:eastAsia="MS Mincho"/>
          <w:lang w:val="sq-AL"/>
        </w:rPr>
        <w:t>performancen</w:t>
      </w:r>
      <w:proofErr w:type="spellEnd"/>
      <w:r w:rsidR="000C5B36">
        <w:rPr>
          <w:rFonts w:eastAsia="MS Mincho"/>
          <w:lang w:val="sq-AL"/>
        </w:rPr>
        <w:t xml:space="preserve"> e kësaj ministrie</w:t>
      </w:r>
      <w:r w:rsidR="00CE5780">
        <w:rPr>
          <w:rFonts w:eastAsia="MS Mincho"/>
          <w:lang w:val="sq-AL"/>
        </w:rPr>
        <w:t>.</w:t>
      </w:r>
    </w:p>
    <w:p w14:paraId="0E092A82" w14:textId="77777777" w:rsidR="008D54EE" w:rsidRPr="00541B57" w:rsidRDefault="008D54EE" w:rsidP="008D54EE">
      <w:pPr>
        <w:pStyle w:val="ListParagraph"/>
        <w:jc w:val="both"/>
        <w:rPr>
          <w:rFonts w:eastAsia="MS Mincho"/>
          <w:lang w:val="sq-AL"/>
        </w:rPr>
      </w:pPr>
    </w:p>
    <w:p w14:paraId="5DCFBD5A" w14:textId="31303CF0" w:rsidR="00610B65" w:rsidRDefault="00610B65" w:rsidP="00610B65">
      <w:pPr>
        <w:pStyle w:val="ListParagraph"/>
        <w:numPr>
          <w:ilvl w:val="0"/>
          <w:numId w:val="5"/>
        </w:numPr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 xml:space="preserve">Pjesë e raportimit për </w:t>
      </w:r>
      <w:r w:rsidR="004C0B6C">
        <w:rPr>
          <w:rFonts w:eastAsia="MS Mincho"/>
          <w:lang w:val="sq-AL"/>
        </w:rPr>
        <w:t>vitin</w:t>
      </w:r>
      <w:r w:rsidR="008D54EE" w:rsidRPr="00541B57">
        <w:rPr>
          <w:rFonts w:eastAsia="MS Mincho"/>
          <w:lang w:val="sq-AL"/>
        </w:rPr>
        <w:t xml:space="preserve"> 202</w:t>
      </w:r>
      <w:r w:rsidR="00366104" w:rsidRPr="00541B57">
        <w:rPr>
          <w:rFonts w:eastAsia="MS Mincho"/>
          <w:lang w:val="sq-AL"/>
        </w:rPr>
        <w:t>4</w:t>
      </w:r>
      <w:r w:rsidRPr="00541B57">
        <w:rPr>
          <w:rFonts w:eastAsia="MS Mincho"/>
          <w:lang w:val="sq-AL"/>
        </w:rPr>
        <w:t xml:space="preserve"> nuk janë bërë edhe të ardhurat </w:t>
      </w:r>
      <w:r w:rsidR="008D54EE" w:rsidRPr="00541B57">
        <w:rPr>
          <w:rFonts w:eastAsia="MS Mincho"/>
          <w:lang w:val="sq-AL"/>
        </w:rPr>
        <w:t>jashtë limitit të</w:t>
      </w:r>
      <w:r w:rsidRPr="00541B57">
        <w:rPr>
          <w:rFonts w:eastAsia="MS Mincho"/>
          <w:lang w:val="sq-AL"/>
        </w:rPr>
        <w:t xml:space="preserve"> krijuara nga MEPJ nga veprimtaria konsullore </w:t>
      </w:r>
      <w:r w:rsidR="008D54EE" w:rsidRPr="00541B57">
        <w:rPr>
          <w:rFonts w:eastAsia="MS Mincho"/>
          <w:lang w:val="sq-AL"/>
        </w:rPr>
        <w:t>dhe as nuk përmendet përdorimi i tyre.</w:t>
      </w:r>
    </w:p>
    <w:p w14:paraId="19AFB6E2" w14:textId="77777777" w:rsidR="004C0B6C" w:rsidRPr="004C0B6C" w:rsidRDefault="004C0B6C" w:rsidP="004C0B6C">
      <w:pPr>
        <w:pStyle w:val="ListParagraph"/>
        <w:rPr>
          <w:rFonts w:eastAsia="MS Mincho"/>
          <w:lang w:val="sq-AL"/>
        </w:rPr>
      </w:pPr>
    </w:p>
    <w:p w14:paraId="7F772ABE" w14:textId="77777777" w:rsidR="004C0B6C" w:rsidRDefault="004C0B6C" w:rsidP="004C0B6C">
      <w:pPr>
        <w:jc w:val="both"/>
        <w:rPr>
          <w:rFonts w:eastAsia="MS Mincho"/>
        </w:rPr>
      </w:pPr>
    </w:p>
    <w:p w14:paraId="22B5DBDC" w14:textId="77777777" w:rsidR="004C0B6C" w:rsidRPr="004C0B6C" w:rsidRDefault="004C0B6C" w:rsidP="004C0B6C">
      <w:pPr>
        <w:jc w:val="both"/>
        <w:rPr>
          <w:rFonts w:eastAsia="MS Mincho"/>
        </w:rPr>
      </w:pPr>
    </w:p>
    <w:p w14:paraId="05A01A70" w14:textId="77777777" w:rsidR="008D54EE" w:rsidRPr="00541B57" w:rsidRDefault="00946784" w:rsidP="00946784">
      <w:pPr>
        <w:pStyle w:val="ListParagraph"/>
        <w:tabs>
          <w:tab w:val="left" w:pos="2160"/>
        </w:tabs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ab/>
      </w:r>
    </w:p>
    <w:p w14:paraId="7544DA37" w14:textId="77777777" w:rsidR="00E94221" w:rsidRPr="00541B57" w:rsidRDefault="00E94221" w:rsidP="00E94221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noProof/>
          <w:lang w:val="sq-AL"/>
        </w:rPr>
      </w:pPr>
      <w:r w:rsidRPr="00541B57">
        <w:rPr>
          <w:b/>
          <w:noProof/>
          <w:lang w:val="sq-AL"/>
        </w:rPr>
        <w:t xml:space="preserve">Publikimi </w:t>
      </w:r>
    </w:p>
    <w:p w14:paraId="0CE595F2" w14:textId="77777777" w:rsidR="00E94221" w:rsidRPr="00541B57" w:rsidRDefault="00E94221" w:rsidP="00E94221">
      <w:pPr>
        <w:pStyle w:val="ListParagraph"/>
        <w:spacing w:line="276" w:lineRule="auto"/>
        <w:ind w:left="540"/>
        <w:jc w:val="both"/>
        <w:rPr>
          <w:b/>
          <w:noProof/>
          <w:lang w:val="sq-AL"/>
        </w:rPr>
      </w:pPr>
    </w:p>
    <w:p w14:paraId="6A22EE03" w14:textId="326497CF" w:rsidR="008D54EE" w:rsidRPr="00541B57" w:rsidRDefault="00E94221" w:rsidP="00E94221">
      <w:pPr>
        <w:pStyle w:val="ListParagraph"/>
        <w:ind w:left="540"/>
        <w:jc w:val="both"/>
        <w:rPr>
          <w:rFonts w:eastAsia="MS Mincho"/>
          <w:lang w:val="sq-AL"/>
        </w:rPr>
      </w:pPr>
      <w:r w:rsidRPr="00541B57">
        <w:rPr>
          <w:rFonts w:eastAsia="MS Mincho"/>
          <w:lang w:val="sq-AL"/>
        </w:rPr>
        <w:t>Mi</w:t>
      </w:r>
      <w:r w:rsidR="00610B65" w:rsidRPr="00541B57">
        <w:rPr>
          <w:rFonts w:eastAsia="MS Mincho"/>
          <w:lang w:val="sq-AL"/>
        </w:rPr>
        <w:t>nistria për Evropën dhe Punët e Jashtme vazhdon të mos e publikojë në faqen e internetit raportin e monitorimit, pra mungon publikimi</w:t>
      </w:r>
      <w:r w:rsidR="00541B57" w:rsidRPr="00541B57">
        <w:rPr>
          <w:rFonts w:eastAsia="MS Mincho"/>
          <w:lang w:val="sq-AL"/>
        </w:rPr>
        <w:t xml:space="preserve"> edhe i raportit vjetor 2024</w:t>
      </w:r>
      <w:r w:rsidR="00366104" w:rsidRPr="00541B57">
        <w:rPr>
          <w:rFonts w:eastAsia="MS Mincho"/>
          <w:lang w:val="sq-AL"/>
        </w:rPr>
        <w:t>.</w:t>
      </w:r>
    </w:p>
    <w:p w14:paraId="5911D330" w14:textId="77777777" w:rsidR="008D54EE" w:rsidRPr="00541B57" w:rsidRDefault="008D54EE" w:rsidP="008D54EE">
      <w:pPr>
        <w:pStyle w:val="ListParagraph"/>
        <w:rPr>
          <w:rFonts w:eastAsia="MS Mincho"/>
          <w:lang w:val="sq-AL"/>
        </w:rPr>
      </w:pPr>
    </w:p>
    <w:p w14:paraId="1BDFBA12" w14:textId="77777777" w:rsidR="00610B65" w:rsidRPr="00541B57" w:rsidRDefault="004C0B6C" w:rsidP="008D54EE">
      <w:pPr>
        <w:pStyle w:val="ListParagraph"/>
        <w:jc w:val="both"/>
        <w:rPr>
          <w:rFonts w:eastAsia="MS Mincho"/>
          <w:lang w:val="sq-AL"/>
        </w:rPr>
      </w:pPr>
      <w:hyperlink r:id="rId10" w:history="1">
        <w:r w:rsidR="00123E7D" w:rsidRPr="00541B57">
          <w:rPr>
            <w:rStyle w:val="Hyperlink"/>
            <w:rFonts w:eastAsia="MS Mincho"/>
            <w:lang w:val="sq-AL"/>
          </w:rPr>
          <w:t>https://punetejashtme.gov.al/al/ministria/transparenca-financiare/shpenzime-buxhetore</w:t>
        </w:r>
      </w:hyperlink>
    </w:p>
    <w:p w14:paraId="70F21203" w14:textId="77777777" w:rsidR="00123E7D" w:rsidRPr="00541B57" w:rsidRDefault="00123E7D" w:rsidP="008D54EE">
      <w:pPr>
        <w:pStyle w:val="ListParagraph"/>
        <w:jc w:val="both"/>
        <w:rPr>
          <w:rFonts w:eastAsia="MS Mincho"/>
          <w:lang w:val="sq-AL"/>
        </w:rPr>
      </w:pPr>
    </w:p>
    <w:p w14:paraId="11A9F641" w14:textId="77777777" w:rsidR="00610B65" w:rsidRPr="00541B57" w:rsidRDefault="00610B65" w:rsidP="00B650E3">
      <w:pPr>
        <w:contextualSpacing/>
        <w:jc w:val="both"/>
        <w:rPr>
          <w:rFonts w:ascii="Times New Roman" w:eastAsia="MS Mincho" w:hAnsi="Times New Roman"/>
          <w:sz w:val="24"/>
          <w:szCs w:val="24"/>
        </w:rPr>
      </w:pPr>
    </w:p>
    <w:sectPr w:rsidR="00610B65" w:rsidRPr="00541B57" w:rsidSect="001F696D">
      <w:pgSz w:w="11906" w:h="16838" w:code="9"/>
      <w:pgMar w:top="1440" w:right="1440" w:bottom="117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9A035" w14:textId="77777777" w:rsidR="00D44F89" w:rsidRDefault="00D44F89" w:rsidP="00BE3CEE">
      <w:r>
        <w:separator/>
      </w:r>
    </w:p>
  </w:endnote>
  <w:endnote w:type="continuationSeparator" w:id="0">
    <w:p w14:paraId="792B47C7" w14:textId="77777777" w:rsidR="00D44F89" w:rsidRDefault="00D44F89" w:rsidP="00BE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17804" w14:textId="77777777" w:rsidR="00D44F89" w:rsidRDefault="00D44F89" w:rsidP="00BE3CEE">
      <w:r>
        <w:separator/>
      </w:r>
    </w:p>
  </w:footnote>
  <w:footnote w:type="continuationSeparator" w:id="0">
    <w:p w14:paraId="5ECE4A39" w14:textId="77777777" w:rsidR="00D44F89" w:rsidRDefault="00D44F89" w:rsidP="00BE3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379D"/>
    <w:multiLevelType w:val="hybridMultilevel"/>
    <w:tmpl w:val="227654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DE7D9B"/>
    <w:multiLevelType w:val="hybridMultilevel"/>
    <w:tmpl w:val="2276545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307C"/>
    <w:multiLevelType w:val="hybridMultilevel"/>
    <w:tmpl w:val="7EE46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59D7"/>
    <w:multiLevelType w:val="hybridMultilevel"/>
    <w:tmpl w:val="79B2186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243C9"/>
    <w:multiLevelType w:val="hybridMultilevel"/>
    <w:tmpl w:val="8FC64B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4AE271BF"/>
    <w:multiLevelType w:val="hybridMultilevel"/>
    <w:tmpl w:val="E0525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61259"/>
    <w:multiLevelType w:val="hybridMultilevel"/>
    <w:tmpl w:val="C1DCC90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049FA">
      <w:numFmt w:val="bullet"/>
      <w:lvlText w:val="•"/>
      <w:lvlJc w:val="left"/>
      <w:pPr>
        <w:ind w:left="1800" w:hanging="720"/>
      </w:pPr>
      <w:rPr>
        <w:rFonts w:ascii="Times New Roman" w:eastAsia="MS Mincho" w:hAnsi="Times New Roman" w:cs="Times New Roman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5A0F"/>
    <w:multiLevelType w:val="hybridMultilevel"/>
    <w:tmpl w:val="2276545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7770994">
    <w:abstractNumId w:val="0"/>
  </w:num>
  <w:num w:numId="2" w16cid:durableId="1265579739">
    <w:abstractNumId w:val="4"/>
  </w:num>
  <w:num w:numId="3" w16cid:durableId="697852307">
    <w:abstractNumId w:val="5"/>
  </w:num>
  <w:num w:numId="4" w16cid:durableId="1220550843">
    <w:abstractNumId w:val="3"/>
  </w:num>
  <w:num w:numId="5" w16cid:durableId="1870489826">
    <w:abstractNumId w:val="6"/>
  </w:num>
  <w:num w:numId="6" w16cid:durableId="846941932">
    <w:abstractNumId w:val="1"/>
  </w:num>
  <w:num w:numId="7" w16cid:durableId="1764956468">
    <w:abstractNumId w:val="2"/>
  </w:num>
  <w:num w:numId="8" w16cid:durableId="1189099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20E"/>
    <w:rsid w:val="00001554"/>
    <w:rsid w:val="00006120"/>
    <w:rsid w:val="00015732"/>
    <w:rsid w:val="0003539D"/>
    <w:rsid w:val="00054D24"/>
    <w:rsid w:val="000673DA"/>
    <w:rsid w:val="0007102A"/>
    <w:rsid w:val="00082E6D"/>
    <w:rsid w:val="00084F28"/>
    <w:rsid w:val="0009050F"/>
    <w:rsid w:val="000B0F97"/>
    <w:rsid w:val="000C5B36"/>
    <w:rsid w:val="001041AD"/>
    <w:rsid w:val="00110556"/>
    <w:rsid w:val="00112DB5"/>
    <w:rsid w:val="00123E7D"/>
    <w:rsid w:val="00141F32"/>
    <w:rsid w:val="0016333E"/>
    <w:rsid w:val="00164536"/>
    <w:rsid w:val="001818D6"/>
    <w:rsid w:val="0019317E"/>
    <w:rsid w:val="00195F2C"/>
    <w:rsid w:val="001A22E1"/>
    <w:rsid w:val="001A5CE8"/>
    <w:rsid w:val="001A6A53"/>
    <w:rsid w:val="001B26D8"/>
    <w:rsid w:val="001B7179"/>
    <w:rsid w:val="001C38A1"/>
    <w:rsid w:val="001C3BD6"/>
    <w:rsid w:val="001D292B"/>
    <w:rsid w:val="001D717B"/>
    <w:rsid w:val="001F696D"/>
    <w:rsid w:val="00207CAF"/>
    <w:rsid w:val="00232C51"/>
    <w:rsid w:val="00267175"/>
    <w:rsid w:val="00283470"/>
    <w:rsid w:val="0029356F"/>
    <w:rsid w:val="002A5B29"/>
    <w:rsid w:val="002B383B"/>
    <w:rsid w:val="002C2B49"/>
    <w:rsid w:val="002D2518"/>
    <w:rsid w:val="002D2B92"/>
    <w:rsid w:val="002D4D2F"/>
    <w:rsid w:val="002E661D"/>
    <w:rsid w:val="003224B7"/>
    <w:rsid w:val="00327ED8"/>
    <w:rsid w:val="00340619"/>
    <w:rsid w:val="00343DEC"/>
    <w:rsid w:val="00353EC1"/>
    <w:rsid w:val="00354834"/>
    <w:rsid w:val="00360E61"/>
    <w:rsid w:val="00366104"/>
    <w:rsid w:val="0036623A"/>
    <w:rsid w:val="00376A6F"/>
    <w:rsid w:val="00384382"/>
    <w:rsid w:val="00385170"/>
    <w:rsid w:val="003928C7"/>
    <w:rsid w:val="003B6744"/>
    <w:rsid w:val="003C0F53"/>
    <w:rsid w:val="003C30DB"/>
    <w:rsid w:val="003D6835"/>
    <w:rsid w:val="003D6CE2"/>
    <w:rsid w:val="004041A4"/>
    <w:rsid w:val="00407970"/>
    <w:rsid w:val="0042307B"/>
    <w:rsid w:val="0042391D"/>
    <w:rsid w:val="004321E6"/>
    <w:rsid w:val="0044226E"/>
    <w:rsid w:val="0046112B"/>
    <w:rsid w:val="00462918"/>
    <w:rsid w:val="00482F48"/>
    <w:rsid w:val="004855D3"/>
    <w:rsid w:val="004A7F02"/>
    <w:rsid w:val="004B4CE8"/>
    <w:rsid w:val="004C0B6C"/>
    <w:rsid w:val="004C3F71"/>
    <w:rsid w:val="004E4F9B"/>
    <w:rsid w:val="004E78FD"/>
    <w:rsid w:val="004E7A37"/>
    <w:rsid w:val="0050155D"/>
    <w:rsid w:val="00506C0A"/>
    <w:rsid w:val="005164E7"/>
    <w:rsid w:val="00521D40"/>
    <w:rsid w:val="0053516E"/>
    <w:rsid w:val="00541B57"/>
    <w:rsid w:val="0054520F"/>
    <w:rsid w:val="00563724"/>
    <w:rsid w:val="00566531"/>
    <w:rsid w:val="00582A33"/>
    <w:rsid w:val="00594342"/>
    <w:rsid w:val="005A4558"/>
    <w:rsid w:val="005B1E36"/>
    <w:rsid w:val="005B63EA"/>
    <w:rsid w:val="005C7521"/>
    <w:rsid w:val="005D26BF"/>
    <w:rsid w:val="005F1F95"/>
    <w:rsid w:val="00610B65"/>
    <w:rsid w:val="00626D33"/>
    <w:rsid w:val="00633D54"/>
    <w:rsid w:val="00653775"/>
    <w:rsid w:val="006548A5"/>
    <w:rsid w:val="00661EB2"/>
    <w:rsid w:val="00672DFA"/>
    <w:rsid w:val="006768D1"/>
    <w:rsid w:val="00676E4D"/>
    <w:rsid w:val="006B73A6"/>
    <w:rsid w:val="006B76B6"/>
    <w:rsid w:val="006D5646"/>
    <w:rsid w:val="00743892"/>
    <w:rsid w:val="00760F3E"/>
    <w:rsid w:val="00767F1E"/>
    <w:rsid w:val="00771601"/>
    <w:rsid w:val="0077494F"/>
    <w:rsid w:val="00777AF1"/>
    <w:rsid w:val="007A7D59"/>
    <w:rsid w:val="007B4C0B"/>
    <w:rsid w:val="007C0662"/>
    <w:rsid w:val="007D4FB0"/>
    <w:rsid w:val="007E414A"/>
    <w:rsid w:val="007F72E3"/>
    <w:rsid w:val="00810053"/>
    <w:rsid w:val="0081278C"/>
    <w:rsid w:val="008228BA"/>
    <w:rsid w:val="0082578C"/>
    <w:rsid w:val="00863678"/>
    <w:rsid w:val="00870E0F"/>
    <w:rsid w:val="008740A5"/>
    <w:rsid w:val="00886179"/>
    <w:rsid w:val="00896E96"/>
    <w:rsid w:val="008A0AE3"/>
    <w:rsid w:val="008B2075"/>
    <w:rsid w:val="008B697A"/>
    <w:rsid w:val="008C03FC"/>
    <w:rsid w:val="008C520E"/>
    <w:rsid w:val="008D54EE"/>
    <w:rsid w:val="008F532A"/>
    <w:rsid w:val="0090311B"/>
    <w:rsid w:val="00905459"/>
    <w:rsid w:val="009123A2"/>
    <w:rsid w:val="00941176"/>
    <w:rsid w:val="00946784"/>
    <w:rsid w:val="00954DA7"/>
    <w:rsid w:val="00977DD4"/>
    <w:rsid w:val="009836F3"/>
    <w:rsid w:val="009864DE"/>
    <w:rsid w:val="00993522"/>
    <w:rsid w:val="009A2599"/>
    <w:rsid w:val="009A5322"/>
    <w:rsid w:val="009B2C0B"/>
    <w:rsid w:val="009C6DB8"/>
    <w:rsid w:val="009D0883"/>
    <w:rsid w:val="009D2056"/>
    <w:rsid w:val="009F4BBD"/>
    <w:rsid w:val="00A23C01"/>
    <w:rsid w:val="00A36F77"/>
    <w:rsid w:val="00A43899"/>
    <w:rsid w:val="00A825A3"/>
    <w:rsid w:val="00AB713C"/>
    <w:rsid w:val="00AC4E0D"/>
    <w:rsid w:val="00AD122A"/>
    <w:rsid w:val="00AD2FD5"/>
    <w:rsid w:val="00AE071F"/>
    <w:rsid w:val="00AE446C"/>
    <w:rsid w:val="00B0230C"/>
    <w:rsid w:val="00B03ABF"/>
    <w:rsid w:val="00B04CC9"/>
    <w:rsid w:val="00B058DF"/>
    <w:rsid w:val="00B4564B"/>
    <w:rsid w:val="00B650E3"/>
    <w:rsid w:val="00B701C6"/>
    <w:rsid w:val="00BB39AD"/>
    <w:rsid w:val="00BB6745"/>
    <w:rsid w:val="00BE3CEE"/>
    <w:rsid w:val="00BE5333"/>
    <w:rsid w:val="00BE58DC"/>
    <w:rsid w:val="00C1137F"/>
    <w:rsid w:val="00C212D1"/>
    <w:rsid w:val="00C601E0"/>
    <w:rsid w:val="00C726CF"/>
    <w:rsid w:val="00C779B4"/>
    <w:rsid w:val="00C94F84"/>
    <w:rsid w:val="00CD0E65"/>
    <w:rsid w:val="00CD6BDD"/>
    <w:rsid w:val="00CE5780"/>
    <w:rsid w:val="00CE7715"/>
    <w:rsid w:val="00CF0208"/>
    <w:rsid w:val="00D1345E"/>
    <w:rsid w:val="00D17AE8"/>
    <w:rsid w:val="00D44F89"/>
    <w:rsid w:val="00D4677D"/>
    <w:rsid w:val="00D50D71"/>
    <w:rsid w:val="00D6083B"/>
    <w:rsid w:val="00D646FB"/>
    <w:rsid w:val="00D65551"/>
    <w:rsid w:val="00DB03E6"/>
    <w:rsid w:val="00DC3354"/>
    <w:rsid w:val="00DC64E3"/>
    <w:rsid w:val="00DC697C"/>
    <w:rsid w:val="00DD0B0A"/>
    <w:rsid w:val="00DD0E68"/>
    <w:rsid w:val="00DD311C"/>
    <w:rsid w:val="00DE0B0B"/>
    <w:rsid w:val="00DF377D"/>
    <w:rsid w:val="00E002DC"/>
    <w:rsid w:val="00E24D50"/>
    <w:rsid w:val="00E31822"/>
    <w:rsid w:val="00E6445D"/>
    <w:rsid w:val="00E657F1"/>
    <w:rsid w:val="00E73377"/>
    <w:rsid w:val="00E75894"/>
    <w:rsid w:val="00E94221"/>
    <w:rsid w:val="00EA4857"/>
    <w:rsid w:val="00EB2B95"/>
    <w:rsid w:val="00EC06BF"/>
    <w:rsid w:val="00EF3FB3"/>
    <w:rsid w:val="00EF5529"/>
    <w:rsid w:val="00F0353C"/>
    <w:rsid w:val="00F129B5"/>
    <w:rsid w:val="00F20D57"/>
    <w:rsid w:val="00F455DB"/>
    <w:rsid w:val="00F5090D"/>
    <w:rsid w:val="00F5721F"/>
    <w:rsid w:val="00F856C3"/>
    <w:rsid w:val="00F94575"/>
    <w:rsid w:val="00FA2806"/>
    <w:rsid w:val="00FB1D40"/>
    <w:rsid w:val="00FB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5792"/>
  <w15:docId w15:val="{A85EACAC-7E6C-4770-A60D-98398264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20E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C520E"/>
    <w:pPr>
      <w:ind w:left="720"/>
      <w:contextualSpacing/>
    </w:pPr>
    <w:rPr>
      <w:rFonts w:ascii="Times New Roman" w:hAnsi="Times New Roman"/>
      <w:noProof w:val="0"/>
      <w:sz w:val="24"/>
      <w:szCs w:val="24"/>
      <w:lang w:val="en-US"/>
    </w:rPr>
  </w:style>
  <w:style w:type="character" w:styleId="Emphasis">
    <w:name w:val="Emphasis"/>
    <w:basedOn w:val="DefaultParagraphFont"/>
    <w:qFormat/>
    <w:rsid w:val="008C520E"/>
    <w:rPr>
      <w:i/>
      <w:iCs/>
    </w:rPr>
  </w:style>
  <w:style w:type="character" w:styleId="Hyperlink">
    <w:name w:val="Hyperlink"/>
    <w:basedOn w:val="DefaultParagraphFont"/>
    <w:uiPriority w:val="99"/>
    <w:unhideWhenUsed/>
    <w:rsid w:val="00C212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3C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CEE"/>
    <w:rPr>
      <w:rFonts w:ascii="Garamond" w:eastAsia="Times New Roman" w:hAnsi="Garamond" w:cs="Times New Roman"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BE3C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CEE"/>
    <w:rPr>
      <w:rFonts w:ascii="Garamond" w:eastAsia="Times New Roman" w:hAnsi="Garamond" w:cs="Times New Roman"/>
      <w:noProof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unetejashtme.gov.al/al/ministria/transparenca-financiare/shpenzime-buxhetor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773AC-680D-4F90-92C7-18116AF421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8b812-606a-42ba-8cf9-3371cfe29c72}" enabled="0" method="" siteId="{f5d8b812-606a-42ba-8cf9-3371cfe29c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</dc:creator>
  <cp:keywords/>
  <dc:description/>
  <cp:lastModifiedBy>Olda Mezini</cp:lastModifiedBy>
  <cp:revision>86</cp:revision>
  <cp:lastPrinted>2024-08-16T10:36:00Z</cp:lastPrinted>
  <dcterms:created xsi:type="dcterms:W3CDTF">2025-04-24T15:01:00Z</dcterms:created>
  <dcterms:modified xsi:type="dcterms:W3CDTF">2025-04-25T09:06:00Z</dcterms:modified>
</cp:coreProperties>
</file>