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2E3E6E7D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BE1749" w:rsidRPr="00BE1749">
        <w:rPr>
          <w:rFonts w:asciiTheme="majorBidi" w:hAnsiTheme="majorBidi" w:cstheme="majorBidi"/>
          <w:b/>
          <w:color w:val="000000" w:themeColor="text1"/>
          <w:lang w:val="sq-AL"/>
        </w:rPr>
        <w:t>TË</w:t>
      </w: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 </w:t>
      </w:r>
      <w:r w:rsidRPr="00DF1E52">
        <w:rPr>
          <w:rFonts w:asciiTheme="majorBidi" w:hAnsiTheme="majorBidi" w:cstheme="majorBidi"/>
          <w:b/>
          <w:caps/>
          <w:color w:val="000000" w:themeColor="text1"/>
          <w:lang w:val="sq-AL"/>
        </w:rPr>
        <w:t>vitit</w:t>
      </w:r>
      <w:r w:rsidR="008B3016">
        <w:rPr>
          <w:rFonts w:asciiTheme="majorBidi" w:hAnsiTheme="majorBidi" w:cstheme="majorBidi"/>
          <w:b/>
          <w:caps/>
          <w:color w:val="000000" w:themeColor="text1"/>
          <w:lang w:val="sq-AL"/>
        </w:rPr>
        <w:t xml:space="preserve"> 202</w:t>
      </w:r>
      <w:r w:rsidR="001871D5">
        <w:rPr>
          <w:rFonts w:asciiTheme="majorBidi" w:hAnsiTheme="majorBidi" w:cstheme="majorBidi"/>
          <w:b/>
          <w:caps/>
          <w:color w:val="000000" w:themeColor="text1"/>
          <w:lang w:val="sq-AL"/>
        </w:rPr>
        <w:t>4</w:t>
      </w:r>
    </w:p>
    <w:p w14:paraId="39665737" w14:textId="6E24ED2B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PËR 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KOLEGJIN E POSAÇ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M T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 xml:space="preserve"> APELIMIT</w:t>
      </w:r>
    </w:p>
    <w:p w14:paraId="262C9E71" w14:textId="77777777" w:rsidR="00960C25" w:rsidRDefault="00960C25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04FADD70" w14:textId="297E8B3E" w:rsidR="00AB7C9D" w:rsidRPr="00974949" w:rsidRDefault="00960C25" w:rsidP="0051173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7143212A" w14:textId="77777777" w:rsidR="00974949" w:rsidRDefault="00974949" w:rsidP="0051173B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</w:pPr>
    </w:p>
    <w:p w14:paraId="3AC1928D" w14:textId="585C8ABC" w:rsidR="00960C25" w:rsidRDefault="002C718E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Kolegji i Posaç</w:t>
      </w:r>
      <w:r w:rsidR="002271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ë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m i Apelimit</w:t>
      </w:r>
      <w:r w:rsidR="00960C25" w:rsidRPr="00DF1E5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vitit 202</w:t>
      </w:r>
      <w:r w:rsidR="001871D5">
        <w:rPr>
          <w:rFonts w:asciiTheme="majorBidi" w:hAnsiTheme="majorBidi" w:cstheme="majorBidi"/>
          <w:bCs/>
          <w:color w:val="000000" w:themeColor="text1"/>
          <w:lang w:val="sq-AL" w:eastAsia="sq-AL"/>
        </w:rPr>
        <w:t>4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 xml:space="preserve">ka administruar dhe menaxhuar fondet publike sipas programit “Veprimtaria e </w:t>
      </w:r>
      <w:r>
        <w:rPr>
          <w:bCs/>
          <w:color w:val="000000" w:themeColor="text1"/>
          <w:lang w:val="sq-AL"/>
        </w:rPr>
        <w:t>Apelimit t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 xml:space="preserve"> </w:t>
      </w:r>
      <w:r w:rsidR="00A561DF">
        <w:rPr>
          <w:bCs/>
          <w:color w:val="000000" w:themeColor="text1"/>
          <w:lang w:val="sq-AL"/>
        </w:rPr>
        <w:t>Riv</w:t>
      </w:r>
      <w:r>
        <w:rPr>
          <w:bCs/>
          <w:color w:val="000000" w:themeColor="text1"/>
          <w:lang w:val="sq-AL"/>
        </w:rPr>
        <w:t>ler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>simit Kalimtar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4569C161" w14:textId="77777777" w:rsidR="0051173B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1054C93A" w:rsidR="008937CE" w:rsidRDefault="008937CE" w:rsidP="008937CE">
      <w:pPr>
        <w:spacing w:after="240"/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>
        <w:rPr>
          <w:lang w:val="sq-AL"/>
        </w:rPr>
        <w:t xml:space="preserve">vitit 2024, </w:t>
      </w:r>
      <w:r w:rsidR="002C718E">
        <w:rPr>
          <w:lang w:val="sq-AL"/>
        </w:rPr>
        <w:t>KPA</w:t>
      </w:r>
      <w:r>
        <w:rPr>
          <w:lang w:val="sq-AL"/>
        </w:rPr>
        <w:t xml:space="preserve"> 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A561DF">
        <w:rPr>
          <w:lang w:val="sq-AL"/>
        </w:rPr>
        <w:t>F</w:t>
      </w:r>
      <w:r>
        <w:rPr>
          <w:lang w:val="sq-AL"/>
        </w:rPr>
        <w:t>unksionimi</w:t>
      </w:r>
      <w:r w:rsidR="00A561DF">
        <w:rPr>
          <w:lang w:val="sq-AL"/>
        </w:rPr>
        <w:t xml:space="preserve"> i</w:t>
      </w:r>
      <w:r>
        <w:rPr>
          <w:lang w:val="sq-AL"/>
        </w:rPr>
        <w:t xml:space="preserve"> shtetit të së drejtës, pavarësinë e sistemit të drejtësisë si dhe rikthimin e besimit të publikut tek institucionet e këtij sistemi”. </w:t>
      </w:r>
    </w:p>
    <w:p w14:paraId="2A1599AE" w14:textId="25EC46CE" w:rsidR="008937CE" w:rsidRDefault="008937CE" w:rsidP="008937CE">
      <w:pPr>
        <w:spacing w:after="240"/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>
        <w:rPr>
          <w:lang w:val="sq-AL"/>
        </w:rPr>
        <w:t xml:space="preserve">vitit 2024 është realizuar objektivi i programit i cili konsiston në </w:t>
      </w:r>
      <w:r w:rsidRPr="009F33D0">
        <w:rPr>
          <w:lang w:val="sq-AL"/>
        </w:rPr>
        <w:t>“</w:t>
      </w:r>
      <w:r w:rsidR="00A561DF">
        <w:rPr>
          <w:lang w:val="sq-AL"/>
        </w:rPr>
        <w:t>Shqyrtimin e ç</w:t>
      </w:r>
      <w:r w:rsidR="00227185">
        <w:rPr>
          <w:lang w:val="sq-AL"/>
        </w:rPr>
        <w:t>ë</w:t>
      </w:r>
      <w:r w:rsidR="00A561DF">
        <w:rPr>
          <w:lang w:val="sq-AL"/>
        </w:rPr>
        <w:t>shtjeve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ankimuara n</w:t>
      </w:r>
      <w:r w:rsidR="00227185">
        <w:rPr>
          <w:lang w:val="sq-AL"/>
        </w:rPr>
        <w:t>ë</w:t>
      </w:r>
      <w:r w:rsidR="00A561DF">
        <w:rPr>
          <w:lang w:val="sq-AL"/>
        </w:rPr>
        <w:t>n juridiksion, bazuar n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nj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proces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rregullt ligjor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41A71529" w14:textId="08B2504B" w:rsidR="008937CE" w:rsidRDefault="008937CE" w:rsidP="008937CE">
      <w:pPr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kanë kontribuar produktet</w:t>
      </w:r>
      <w:r>
        <w:rPr>
          <w:lang w:val="sq-AL"/>
        </w:rPr>
        <w:t xml:space="preserve"> performanca e të cilëve paraqitet si më poshtë:</w:t>
      </w:r>
    </w:p>
    <w:p w14:paraId="5A446CAB" w14:textId="77777777" w:rsidR="00974949" w:rsidRDefault="00974949" w:rsidP="008937CE">
      <w:pPr>
        <w:jc w:val="both"/>
        <w:rPr>
          <w:lang w:val="sq-AL"/>
        </w:rPr>
      </w:pPr>
    </w:p>
    <w:p w14:paraId="7F4194BC" w14:textId="2CA23CEB" w:rsidR="008937CE" w:rsidRDefault="008937CE" w:rsidP="008937CE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8937CE">
        <w:rPr>
          <w:sz w:val="24"/>
          <w:lang w:val="sq-AL"/>
        </w:rPr>
        <w:t xml:space="preserve"> </w:t>
      </w:r>
      <w:r>
        <w:rPr>
          <w:sz w:val="24"/>
          <w:lang w:val="sq-AL"/>
        </w:rPr>
        <w:t>Për produktin “</w:t>
      </w:r>
      <w:r w:rsidR="00A561DF">
        <w:rPr>
          <w:sz w:val="24"/>
          <w:lang w:val="sq-AL"/>
        </w:rPr>
        <w:t>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shqyrtuara</w:t>
      </w:r>
      <w:r>
        <w:rPr>
          <w:sz w:val="24"/>
          <w:lang w:val="sq-AL"/>
        </w:rPr>
        <w:t>”</w:t>
      </w:r>
      <w:r w:rsidRPr="008937CE">
        <w:rPr>
          <w:sz w:val="24"/>
          <w:lang w:val="sq-AL"/>
        </w:rPr>
        <w:t>, për viti</w:t>
      </w:r>
      <w:r w:rsidR="00AB7C9D">
        <w:rPr>
          <w:sz w:val="24"/>
          <w:lang w:val="sq-AL"/>
        </w:rPr>
        <w:t>n</w:t>
      </w:r>
      <w:r w:rsidRPr="008937CE">
        <w:rPr>
          <w:sz w:val="24"/>
          <w:lang w:val="sq-AL"/>
        </w:rPr>
        <w:t xml:space="preserve"> 2024 janë </w:t>
      </w:r>
      <w:r w:rsidR="00A561DF">
        <w:rPr>
          <w:sz w:val="24"/>
          <w:lang w:val="sq-AL"/>
        </w:rPr>
        <w:t>shqyrtuar</w:t>
      </w:r>
      <w:r w:rsidR="00AB7C9D">
        <w:rPr>
          <w:sz w:val="24"/>
          <w:lang w:val="sq-AL"/>
        </w:rPr>
        <w:t xml:space="preserve"> </w:t>
      </w:r>
      <w:r w:rsidR="00A561DF">
        <w:rPr>
          <w:sz w:val="24"/>
          <w:lang w:val="sq-AL"/>
        </w:rPr>
        <w:t>67 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nga 70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planifikuara</w:t>
      </w:r>
      <w:r w:rsidR="00AB7C9D">
        <w:rPr>
          <w:sz w:val="24"/>
          <w:lang w:val="sq-AL"/>
        </w:rPr>
        <w:t xml:space="preserve"> </w:t>
      </w:r>
      <w:r w:rsidR="00A561DF">
        <w:rPr>
          <w:sz w:val="24"/>
          <w:lang w:val="sq-AL"/>
        </w:rPr>
        <w:t>shoq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ruar me nj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kosto faktike prej 295 milion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lek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.</w:t>
      </w:r>
    </w:p>
    <w:p w14:paraId="052C851A" w14:textId="77777777" w:rsidR="0051173B" w:rsidRDefault="0051173B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010654DA" w14:textId="77777777" w:rsidR="00974949" w:rsidRDefault="00974949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5D7970BF" w14:textId="63B85392" w:rsidR="00AB7C9D" w:rsidRPr="00974949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69B96F98" w14:textId="77777777" w:rsidR="00974949" w:rsidRDefault="00974949" w:rsidP="00AB7C9D">
      <w:pPr>
        <w:spacing w:after="120"/>
        <w:jc w:val="both"/>
        <w:rPr>
          <w:lang w:val="sq-AL"/>
        </w:rPr>
      </w:pPr>
    </w:p>
    <w:p w14:paraId="527D74FE" w14:textId="375C446A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2024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3DB24168" w14:textId="49699719" w:rsidR="00AB7C9D" w:rsidRDefault="00974949" w:rsidP="00AB7C9D">
      <w:pPr>
        <w:tabs>
          <w:tab w:val="left" w:pos="2160"/>
        </w:tabs>
        <w:spacing w:line="276" w:lineRule="auto"/>
        <w:ind w:left="-720"/>
        <w:jc w:val="both"/>
      </w:pPr>
      <w:r w:rsidRPr="00974949">
        <w:rPr>
          <w:noProof/>
        </w:rPr>
        <w:lastRenderedPageBreak/>
        <w:drawing>
          <wp:inline distT="0" distB="0" distL="0" distR="0" wp14:anchorId="4C18D5CA" wp14:editId="6B2B5D78">
            <wp:extent cx="6710901" cy="4643120"/>
            <wp:effectExtent l="0" t="0" r="0" b="5080"/>
            <wp:docPr id="101988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706" cy="465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295A" w14:textId="77777777" w:rsidR="00401391" w:rsidRDefault="00401391" w:rsidP="00AB7C9D">
      <w:pPr>
        <w:tabs>
          <w:tab w:val="left" w:pos="2160"/>
        </w:tabs>
        <w:spacing w:line="276" w:lineRule="auto"/>
        <w:ind w:left="-720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08110BB0" w:rsidR="00AB7C9D" w:rsidRPr="003A4545" w:rsidRDefault="00AB7C9D" w:rsidP="00AB7C9D">
      <w:pPr>
        <w:spacing w:after="120"/>
        <w:jc w:val="both"/>
      </w:pPr>
      <w:bookmarkStart w:id="0" w:name="_Hlk196727849"/>
      <w:proofErr w:type="spellStart"/>
      <w:r>
        <w:rPr>
          <w:spacing w:val="-2"/>
        </w:rPr>
        <w:t>Për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lartë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rezulton</w:t>
      </w:r>
      <w:proofErr w:type="spellEnd"/>
      <w:r>
        <w:rPr>
          <w:spacing w:val="-2"/>
        </w:rPr>
        <w:t xml:space="preserve"> se, </w:t>
      </w:r>
      <w:proofErr w:type="spellStart"/>
      <w:r>
        <w:rPr>
          <w:spacing w:val="-2"/>
        </w:rPr>
        <w:t>r</w:t>
      </w:r>
      <w:r w:rsidRPr="001B0540">
        <w:t>ealizimi</w:t>
      </w:r>
      <w:proofErr w:type="spellEnd"/>
      <w:r w:rsidRPr="001B0540">
        <w:t xml:space="preserve"> </w:t>
      </w:r>
      <w:proofErr w:type="spellStart"/>
      <w:r w:rsidRPr="001B0540">
        <w:t>faktik</w:t>
      </w:r>
      <w:proofErr w:type="spellEnd"/>
      <w:r w:rsidRPr="001B0540"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9F0FFE" w:rsidRPr="009F0FFE">
        <w:t>Kolegji</w:t>
      </w:r>
      <w:r w:rsidR="009F0FFE">
        <w:t>n</w:t>
      </w:r>
      <w:proofErr w:type="spellEnd"/>
      <w:r w:rsidR="009F0FFE" w:rsidRPr="009F0FFE">
        <w:t xml:space="preserve"> </w:t>
      </w:r>
      <w:r w:rsidR="009F0FFE">
        <w:t>e</w:t>
      </w:r>
      <w:r w:rsidR="009F0FFE" w:rsidRPr="009F0FFE">
        <w:t xml:space="preserve"> </w:t>
      </w:r>
      <w:proofErr w:type="spellStart"/>
      <w:r w:rsidR="009F0FFE" w:rsidRPr="009F0FFE">
        <w:t>Posaçëm</w:t>
      </w:r>
      <w:proofErr w:type="spellEnd"/>
      <w:r w:rsidR="009F0FFE" w:rsidRPr="009F0FFE">
        <w:t xml:space="preserve"> </w:t>
      </w:r>
      <w:proofErr w:type="spellStart"/>
      <w:r w:rsidR="009F0FFE">
        <w:t>t</w:t>
      </w:r>
      <w:r w:rsidR="005D3103">
        <w:t>ë</w:t>
      </w:r>
      <w:proofErr w:type="spellEnd"/>
      <w:r w:rsidR="009F0FFE" w:rsidRPr="009F0FFE">
        <w:t xml:space="preserve"> </w:t>
      </w:r>
      <w:proofErr w:type="spellStart"/>
      <w:r w:rsidR="009F0FFE" w:rsidRPr="009F0FFE">
        <w:t>Apelimit</w:t>
      </w:r>
      <w:proofErr w:type="spellEnd"/>
      <w:r w:rsidR="009F0FFE" w:rsidRPr="009F0FFE">
        <w:t xml:space="preserve"> </w:t>
      </w:r>
      <w:r w:rsidR="0062321D">
        <w:t>(</w:t>
      </w:r>
      <w:r w:rsidR="009F0FFE">
        <w:t>KPA</w:t>
      </w:r>
      <w:r w:rsidR="0062321D">
        <w:t>)</w:t>
      </w:r>
      <w:r>
        <w:t xml:space="preserve"> </w:t>
      </w:r>
      <w:proofErr w:type="spellStart"/>
      <w:r>
        <w:t>është</w:t>
      </w:r>
      <w:proofErr w:type="spellEnd"/>
      <w:r w:rsidRPr="001B0540">
        <w:t xml:space="preserve"> </w:t>
      </w:r>
      <w:r w:rsidR="009F0FFE">
        <w:rPr>
          <w:color w:val="000000"/>
        </w:rPr>
        <w:t>297</w:t>
      </w:r>
      <w:r>
        <w:rPr>
          <w:color w:val="000000"/>
        </w:rPr>
        <w:t xml:space="preserve"> </w:t>
      </w:r>
      <w:proofErr w:type="spellStart"/>
      <w:r w:rsidRPr="001B0540">
        <w:rPr>
          <w:color w:val="000000"/>
        </w:rPr>
        <w:t>mili</w:t>
      </w:r>
      <w:r w:rsidR="0062321D">
        <w:rPr>
          <w:color w:val="000000"/>
        </w:rPr>
        <w:t>on</w:t>
      </w:r>
      <w:r w:rsidR="00666204">
        <w:rPr>
          <w:color w:val="000000"/>
        </w:rPr>
        <w:t>ë</w:t>
      </w:r>
      <w:proofErr w:type="spellEnd"/>
      <w:r w:rsidRPr="001B0540">
        <w:t xml:space="preserve"> </w:t>
      </w:r>
      <w:proofErr w:type="spellStart"/>
      <w:r w:rsidRPr="001B0540">
        <w:t>lekë</w:t>
      </w:r>
      <w:proofErr w:type="spellEnd"/>
      <w:r>
        <w:t xml:space="preserve"> apo </w:t>
      </w:r>
      <w:proofErr w:type="spellStart"/>
      <w:r>
        <w:t>rreth</w:t>
      </w:r>
      <w:proofErr w:type="spellEnd"/>
      <w:r>
        <w:t xml:space="preserve"> 9</w:t>
      </w:r>
      <w:r w:rsidR="009F0FFE">
        <w:t>8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</w:t>
      </w:r>
      <w:r w:rsidR="009F0FFE">
        <w:t>19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karahasuar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vit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,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prej</w:t>
      </w:r>
      <w:proofErr w:type="spellEnd"/>
      <w:r w:rsidRPr="001B0540">
        <w:t xml:space="preserve"> </w:t>
      </w:r>
      <w:r w:rsidR="003A4545">
        <w:t>1</w:t>
      </w:r>
      <w:r w:rsidR="009F0FFE">
        <w:t>12</w:t>
      </w:r>
      <w:r>
        <w:t>%</w:t>
      </w:r>
      <w:bookmarkEnd w:id="0"/>
      <w:r w:rsidR="003A4545">
        <w:t>.</w:t>
      </w:r>
    </w:p>
    <w:p w14:paraId="47B69B8F" w14:textId="678D367E" w:rsidR="00AB7C9D" w:rsidRPr="005C6D0D" w:rsidRDefault="00AB7C9D" w:rsidP="00AB7C9D">
      <w:pPr>
        <w:spacing w:after="120"/>
        <w:jc w:val="both"/>
        <w:rPr>
          <w:lang w:val="sq-AL"/>
        </w:rPr>
      </w:pPr>
      <w:proofErr w:type="spellStart"/>
      <w:r>
        <w:t>Shpenzimet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 w:rsidR="009F0FFE">
        <w:t>99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apo </w:t>
      </w:r>
      <w:r w:rsidR="009F0FFE">
        <w:t>120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 w:rsidR="00A37E33"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97290D">
        <w:rPr>
          <w:lang w:val="sq-AL"/>
        </w:rPr>
        <w:t>64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të ndryshuar </w:t>
      </w:r>
      <w:r w:rsidR="0097290D">
        <w:rPr>
          <w:lang w:val="sq-AL"/>
        </w:rPr>
        <w:t xml:space="preserve">dhe </w:t>
      </w:r>
      <w:r>
        <w:rPr>
          <w:lang w:val="sq-AL"/>
        </w:rPr>
        <w:t>planit fillestar për vitin 2024.</w:t>
      </w:r>
    </w:p>
    <w:p w14:paraId="437A9A76" w14:textId="5A690B7B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7290D">
        <w:rPr>
          <w:lang w:val="sq-AL"/>
        </w:rPr>
        <w:t>KPA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3352F630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Shpenzimet e personelit paraqiten me </w:t>
      </w:r>
      <w:r w:rsidR="00DC7BB4">
        <w:rPr>
          <w:lang w:val="sq-AL"/>
        </w:rPr>
        <w:t>rritje</w:t>
      </w:r>
      <w:r w:rsidRPr="0008696D">
        <w:rPr>
          <w:lang w:val="sq-AL"/>
        </w:rPr>
        <w:t xml:space="preserve"> prej rreth </w:t>
      </w:r>
      <w:r w:rsidR="005D3103">
        <w:rPr>
          <w:lang w:val="sq-AL"/>
        </w:rPr>
        <w:t>9.7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 xml:space="preserve">, kjo </w:t>
      </w:r>
      <w:r>
        <w:rPr>
          <w:lang w:val="sq-AL"/>
        </w:rPr>
        <w:t xml:space="preserve">për shkak të </w:t>
      </w:r>
      <w:r w:rsidR="00DC7BB4">
        <w:rPr>
          <w:lang w:val="sq-AL"/>
        </w:rPr>
        <w:t>rritjes s</w:t>
      </w:r>
      <w:r w:rsidR="00666204">
        <w:rPr>
          <w:lang w:val="sq-AL"/>
        </w:rPr>
        <w:t>ë</w:t>
      </w:r>
      <w:r w:rsidR="00DC7BB4">
        <w:rPr>
          <w:lang w:val="sq-AL"/>
        </w:rPr>
        <w:t xml:space="preserve"> pagave </w:t>
      </w:r>
      <w:r>
        <w:rPr>
          <w:lang w:val="sq-AL"/>
        </w:rPr>
        <w:t>për vitin 2024</w:t>
      </w:r>
      <w:r w:rsidR="00DC7BB4">
        <w:rPr>
          <w:lang w:val="sq-AL"/>
        </w:rPr>
        <w:t>.</w:t>
      </w:r>
      <w:r>
        <w:rPr>
          <w:lang w:val="sq-AL"/>
        </w:rPr>
        <w:t xml:space="preserve"> </w:t>
      </w:r>
      <w:r w:rsidR="00DC7BB4">
        <w:rPr>
          <w:lang w:val="sq-AL"/>
        </w:rPr>
        <w:t>P</w:t>
      </w:r>
      <w:r>
        <w:rPr>
          <w:lang w:val="sq-AL"/>
        </w:rPr>
        <w:t xml:space="preserve">ër vitin 2024 ka një realizim prej </w:t>
      </w:r>
      <w:r w:rsidR="005D3103">
        <w:rPr>
          <w:lang w:val="sq-AL"/>
        </w:rPr>
        <w:t>100</w:t>
      </w:r>
      <w:r>
        <w:rPr>
          <w:lang w:val="sq-AL"/>
        </w:rPr>
        <w:t xml:space="preserve">% kundrejtë planit me ndryshime dhe </w:t>
      </w:r>
      <w:r w:rsidR="005D3103">
        <w:rPr>
          <w:lang w:val="sq-AL"/>
        </w:rPr>
        <w:t>123</w:t>
      </w:r>
      <w:r>
        <w:rPr>
          <w:lang w:val="sq-AL"/>
        </w:rPr>
        <w:t xml:space="preserve">% kundrejtë planit fillestar. </w:t>
      </w:r>
    </w:p>
    <w:p w14:paraId="4F79577B" w14:textId="50A144E4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</w:t>
      </w:r>
      <w:r w:rsidR="005D3103">
        <w:rPr>
          <w:lang w:val="sq-AL"/>
        </w:rPr>
        <w:t>rritje</w:t>
      </w:r>
      <w:r w:rsidRPr="0008696D">
        <w:rPr>
          <w:lang w:val="sq-AL"/>
        </w:rPr>
        <w:t xml:space="preserve"> prej rreth </w:t>
      </w:r>
      <w:r w:rsidR="005D3103">
        <w:rPr>
          <w:lang w:val="sq-AL"/>
        </w:rPr>
        <w:t>62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>, nd</w:t>
      </w:r>
      <w:r>
        <w:rPr>
          <w:lang w:val="sq-AL"/>
        </w:rPr>
        <w:t>ë</w:t>
      </w:r>
      <w:r w:rsidRPr="0008696D">
        <w:rPr>
          <w:lang w:val="sq-AL"/>
        </w:rPr>
        <w:t>rkoh</w:t>
      </w:r>
      <w:r>
        <w:rPr>
          <w:lang w:val="sq-AL"/>
        </w:rPr>
        <w:t>ë</w:t>
      </w:r>
      <w:r w:rsidRPr="0008696D">
        <w:rPr>
          <w:lang w:val="sq-AL"/>
        </w:rPr>
        <w:t xml:space="preserve"> p</w:t>
      </w:r>
      <w:r>
        <w:rPr>
          <w:lang w:val="sq-AL"/>
        </w:rPr>
        <w:t>ë</w:t>
      </w:r>
      <w:r w:rsidRPr="0008696D">
        <w:rPr>
          <w:lang w:val="sq-AL"/>
        </w:rPr>
        <w:t>r vitin 2024 ka nj</w:t>
      </w:r>
      <w:r>
        <w:rPr>
          <w:lang w:val="sq-AL"/>
        </w:rPr>
        <w:t>ë</w:t>
      </w:r>
      <w:r w:rsidRPr="0008696D">
        <w:rPr>
          <w:lang w:val="sq-AL"/>
        </w:rPr>
        <w:t xml:space="preserve"> realizim prej </w:t>
      </w:r>
      <w:r w:rsidR="00E91854">
        <w:rPr>
          <w:lang w:val="sq-AL"/>
        </w:rPr>
        <w:t>8</w:t>
      </w:r>
      <w:r w:rsidR="005D3103">
        <w:rPr>
          <w:lang w:val="sq-AL"/>
        </w:rPr>
        <w:t>3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e ndryshuar dhe </w:t>
      </w:r>
      <w:r w:rsidR="005D3103">
        <w:rPr>
          <w:lang w:val="sq-AL"/>
        </w:rPr>
        <w:t>8</w:t>
      </w:r>
      <w:r w:rsidR="00E91854">
        <w:rPr>
          <w:lang w:val="sq-AL"/>
        </w:rPr>
        <w:t>0</w:t>
      </w:r>
      <w:r w:rsidRPr="0008696D">
        <w:rPr>
          <w:lang w:val="sq-AL"/>
        </w:rPr>
        <w:t>%</w:t>
      </w:r>
      <w:r>
        <w:rPr>
          <w:lang w:val="sq-AL"/>
        </w:rPr>
        <w:t xml:space="preserve"> </w:t>
      </w:r>
      <w:r w:rsidRPr="0008696D">
        <w:rPr>
          <w:lang w:val="sq-AL"/>
        </w:rPr>
        <w:t>kundrejt</w:t>
      </w:r>
      <w:r>
        <w:rPr>
          <w:lang w:val="sq-AL"/>
        </w:rPr>
        <w:t>ë</w:t>
      </w:r>
      <w:r w:rsidRPr="0008696D">
        <w:rPr>
          <w:lang w:val="sq-AL"/>
        </w:rPr>
        <w:t xml:space="preserve"> planit fillestar</w:t>
      </w:r>
      <w:r w:rsidR="00E91854">
        <w:rPr>
          <w:lang w:val="sq-AL"/>
        </w:rPr>
        <w:t>.</w:t>
      </w:r>
    </w:p>
    <w:p w14:paraId="7D1DE8B0" w14:textId="12C4C560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lastRenderedPageBreak/>
        <w:t>S</w:t>
      </w:r>
      <w:r w:rsidRPr="0008696D">
        <w:rPr>
          <w:lang w:val="sq-AL"/>
        </w:rPr>
        <w:t xml:space="preserve">hpenzimet kapitale paraqiten me rritje rreth </w:t>
      </w:r>
      <w:r w:rsidR="005D3103">
        <w:rPr>
          <w:lang w:val="sq-AL"/>
        </w:rPr>
        <w:t>13.5</w:t>
      </w:r>
      <w:r w:rsidRPr="0008696D">
        <w:rPr>
          <w:lang w:val="sq-AL"/>
        </w:rPr>
        <w:t>%</w:t>
      </w:r>
      <w:r>
        <w:rPr>
          <w:lang w:val="sq-AL"/>
        </w:rPr>
        <w:t xml:space="preserve"> në krahasim me një vit më parë, ndërkohë për vitin 2024 ka një realizim prej </w:t>
      </w:r>
      <w:r w:rsidR="005D3103">
        <w:rPr>
          <w:lang w:val="sq-AL"/>
        </w:rPr>
        <w:t>64</w:t>
      </w:r>
      <w:r>
        <w:rPr>
          <w:lang w:val="sq-AL"/>
        </w:rPr>
        <w:t>% kundrejt planit me ndryshime dhe</w:t>
      </w:r>
      <w:r w:rsidR="00E91854">
        <w:rPr>
          <w:lang w:val="sq-AL"/>
        </w:rPr>
        <w:t xml:space="preserve"> </w:t>
      </w:r>
      <w:r>
        <w:rPr>
          <w:lang w:val="sq-AL"/>
        </w:rPr>
        <w:t>planit fillestar</w:t>
      </w:r>
      <w:r w:rsidR="005D3103">
        <w:rPr>
          <w:lang w:val="sq-AL"/>
        </w:rPr>
        <w:t>, për shkka të uljes së vlerës nga operatorët ekonomik pjesëmarrës.</w:t>
      </w:r>
      <w:r>
        <w:rPr>
          <w:lang w:val="sq-AL"/>
        </w:rPr>
        <w:t xml:space="preserve"> </w:t>
      </w:r>
    </w:p>
    <w:p w14:paraId="7F74B46D" w14:textId="2E7EFE54" w:rsidR="00AB7C9D" w:rsidRPr="00C93054" w:rsidRDefault="00AB7C9D" w:rsidP="00AB7C9D">
      <w:pPr>
        <w:spacing w:after="120"/>
        <w:jc w:val="both"/>
      </w:pPr>
      <w:proofErr w:type="spellStart"/>
      <w:r w:rsidRPr="00C93054">
        <w:t>Bu</w:t>
      </w:r>
      <w:r w:rsidRPr="00C93054">
        <w:rPr>
          <w:spacing w:val="2"/>
        </w:rPr>
        <w:t>x</w:t>
      </w:r>
      <w:r w:rsidRPr="00C93054">
        <w:t>h</w:t>
      </w:r>
      <w:r w:rsidRPr="00C93054">
        <w:rPr>
          <w:spacing w:val="-1"/>
        </w:rPr>
        <w:t>e</w:t>
      </w:r>
      <w:r w:rsidRPr="00C93054">
        <w:t>ti</w:t>
      </w:r>
      <w:proofErr w:type="spellEnd"/>
      <w:r w:rsidRPr="00C93054">
        <w:t xml:space="preserve"> </w:t>
      </w:r>
      <w:proofErr w:type="spellStart"/>
      <w:r w:rsidRPr="00C93054">
        <w:t>vjetor</w:t>
      </w:r>
      <w:proofErr w:type="spellEnd"/>
      <w:r w:rsidRPr="00C93054">
        <w:t xml:space="preserve"> </w:t>
      </w:r>
      <w:proofErr w:type="spellStart"/>
      <w:r w:rsidRPr="00C93054">
        <w:t>fillestar</w:t>
      </w:r>
      <w:proofErr w:type="spellEnd"/>
      <w:r w:rsidRPr="00C93054">
        <w:t xml:space="preserve"> </w:t>
      </w:r>
      <w:proofErr w:type="spellStart"/>
      <w:r w:rsidRPr="00C93054">
        <w:t>i</w:t>
      </w:r>
      <w:proofErr w:type="spellEnd"/>
      <w:r w:rsidRPr="00C93054">
        <w:t xml:space="preserve"> </w:t>
      </w:r>
      <w:r w:rsidR="005D3103">
        <w:t xml:space="preserve">KPA </w:t>
      </w:r>
      <w:r w:rsidRPr="00C93054">
        <w:t xml:space="preserve">u </w:t>
      </w:r>
      <w:proofErr w:type="spellStart"/>
      <w:r w:rsidRPr="00C93054">
        <w:t>rishikua</w:t>
      </w:r>
      <w:proofErr w:type="spellEnd"/>
      <w:r w:rsidRPr="00C93054">
        <w:t xml:space="preserve">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="005D3103">
        <w:t>rritje</w:t>
      </w:r>
      <w:proofErr w:type="spellEnd"/>
      <w:r w:rsidRPr="00C93054">
        <w:t xml:space="preserve"> </w:t>
      </w:r>
      <w:proofErr w:type="spellStart"/>
      <w:r w:rsidRPr="00C93054">
        <w:t>prej</w:t>
      </w:r>
      <w:proofErr w:type="spellEnd"/>
      <w:r w:rsidRPr="00C93054">
        <w:t xml:space="preserve"> </w:t>
      </w:r>
      <w:proofErr w:type="spellStart"/>
      <w:r w:rsidRPr="00C93054">
        <w:t>rreth</w:t>
      </w:r>
      <w:proofErr w:type="spellEnd"/>
      <w:r w:rsidRPr="00C93054">
        <w:t xml:space="preserve"> </w:t>
      </w:r>
      <w:r w:rsidR="005D3103">
        <w:t>21.5</w:t>
      </w:r>
      <w:r w:rsidRPr="00C93054">
        <w:t xml:space="preserve">% </w:t>
      </w:r>
      <w:proofErr w:type="spellStart"/>
      <w:r w:rsidRPr="00C93054">
        <w:t>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nëpërmjet</w:t>
      </w:r>
      <w:proofErr w:type="spellEnd"/>
      <w:r w:rsidRPr="00C93054">
        <w:t xml:space="preserve"> </w:t>
      </w:r>
      <w:proofErr w:type="spellStart"/>
      <w:r w:rsidRPr="00C93054">
        <w:t>akteve</w:t>
      </w:r>
      <w:proofErr w:type="spellEnd"/>
      <w:r w:rsidRPr="00C93054">
        <w:t xml:space="preserve"> normative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rishikimin</w:t>
      </w:r>
      <w:proofErr w:type="spellEnd"/>
      <w:r w:rsidRPr="00C93054">
        <w:t xml:space="preserve"> e </w:t>
      </w:r>
      <w:proofErr w:type="spellStart"/>
      <w:r w:rsidRPr="00C93054">
        <w:t>buxhetit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krahasim</w:t>
      </w:r>
      <w:proofErr w:type="spellEnd"/>
      <w:r>
        <w:t xml:space="preserve"> me </w:t>
      </w:r>
      <w:proofErr w:type="spellStart"/>
      <w:r>
        <w:t>planin</w:t>
      </w:r>
      <w:proofErr w:type="spellEnd"/>
      <w:r>
        <w:t xml:space="preserve"> </w:t>
      </w:r>
      <w:proofErr w:type="spellStart"/>
      <w:r>
        <w:t>fillestar</w:t>
      </w:r>
      <w:proofErr w:type="spellEnd"/>
      <w:r w:rsidRPr="00C93054">
        <w:t xml:space="preserve">, me </w:t>
      </w:r>
      <w:proofErr w:type="spellStart"/>
      <w:r w:rsidRPr="00C93054">
        <w:t>qëllim</w:t>
      </w:r>
      <w:proofErr w:type="spellEnd"/>
      <w:r w:rsidRPr="00C93054">
        <w:t xml:space="preserve"> </w:t>
      </w:r>
      <w:proofErr w:type="spellStart"/>
      <w:r w:rsidRPr="00C93054">
        <w:t>arritjen</w:t>
      </w:r>
      <w:proofErr w:type="spellEnd"/>
      <w:r w:rsidRPr="00C93054">
        <w:t xml:space="preserve"> e </w:t>
      </w:r>
      <w:proofErr w:type="spellStart"/>
      <w:r w:rsidRPr="00C93054">
        <w:t>qëllimeve</w:t>
      </w:r>
      <w:proofErr w:type="spellEnd"/>
      <w:r w:rsidRPr="00C93054">
        <w:t xml:space="preserve"> </w:t>
      </w:r>
      <w:proofErr w:type="spellStart"/>
      <w:r w:rsidRPr="00C93054">
        <w:t>dhe</w:t>
      </w:r>
      <w:proofErr w:type="spellEnd"/>
      <w:r w:rsidRPr="00C93054">
        <w:t xml:space="preserve"> </w:t>
      </w:r>
      <w:proofErr w:type="spellStart"/>
      <w:r w:rsidRPr="00C93054">
        <w:t>objektivave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vendosura</w:t>
      </w:r>
      <w:proofErr w:type="spellEnd"/>
      <w:r w:rsidRPr="00C93054">
        <w:t xml:space="preserve">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vitin</w:t>
      </w:r>
      <w:proofErr w:type="spellEnd"/>
      <w:r w:rsidRPr="00C93054">
        <w:t xml:space="preserve"> 2024 </w:t>
      </w:r>
      <w:proofErr w:type="spellStart"/>
      <w:r w:rsidRPr="00C93054">
        <w:t>për</w:t>
      </w:r>
      <w:proofErr w:type="spellEnd"/>
      <w:r w:rsidRPr="00C93054">
        <w:t xml:space="preserve"> </w:t>
      </w:r>
      <w:r w:rsidR="005D3103">
        <w:t>KPA</w:t>
      </w:r>
      <w:r w:rsidRPr="00C93054">
        <w:t xml:space="preserve">. </w:t>
      </w:r>
      <w:proofErr w:type="spellStart"/>
      <w:r w:rsidRPr="00C93054">
        <w:t>Ndryshimet</w:t>
      </w:r>
      <w:proofErr w:type="spellEnd"/>
      <w:r w:rsidRPr="00C93054">
        <w:t xml:space="preserve"> e </w:t>
      </w:r>
      <w:proofErr w:type="spellStart"/>
      <w:r w:rsidRPr="00C93054">
        <w:t>ndodhura</w:t>
      </w:r>
      <w:proofErr w:type="spellEnd"/>
      <w:r w:rsidRPr="00C93054">
        <w:t xml:space="preserve"> </w:t>
      </w:r>
      <w:proofErr w:type="spellStart"/>
      <w:r w:rsidRPr="00C93054">
        <w:t>përgjatë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Pr="00C93054">
        <w:t>mënyrë</w:t>
      </w:r>
      <w:proofErr w:type="spellEnd"/>
      <w:r w:rsidRPr="00C93054">
        <w:t xml:space="preserve"> </w:t>
      </w:r>
      <w:proofErr w:type="spellStart"/>
      <w:r w:rsidRPr="00C93054">
        <w:t>më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detajuar</w:t>
      </w:r>
      <w:proofErr w:type="spellEnd"/>
      <w:r w:rsidRPr="00C93054">
        <w:t xml:space="preserve"> </w:t>
      </w:r>
      <w:proofErr w:type="spellStart"/>
      <w:r w:rsidRPr="00C93054">
        <w:t>paraqiten</w:t>
      </w:r>
      <w:proofErr w:type="spellEnd"/>
      <w:r w:rsidRPr="00C93054">
        <w:t xml:space="preserve"> </w:t>
      </w:r>
      <w:proofErr w:type="spellStart"/>
      <w:r w:rsidRPr="00C93054">
        <w:t>sa</w:t>
      </w:r>
      <w:proofErr w:type="spellEnd"/>
      <w:r w:rsidRPr="00C93054">
        <w:t xml:space="preserve"> </w:t>
      </w:r>
      <w:proofErr w:type="spellStart"/>
      <w:r w:rsidRPr="00C93054">
        <w:t>vijon</w:t>
      </w:r>
      <w:proofErr w:type="spellEnd"/>
      <w:r w:rsidRPr="00C93054">
        <w:t>:</w:t>
      </w:r>
    </w:p>
    <w:p w14:paraId="3B3AA99E" w14:textId="77777777" w:rsidR="00AB7C9D" w:rsidRPr="005D3103" w:rsidRDefault="00AB7C9D" w:rsidP="00AB7C9D">
      <w:pPr>
        <w:numPr>
          <w:ilvl w:val="0"/>
          <w:numId w:val="11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proofErr w:type="spellStart"/>
      <w:r w:rsidRPr="00C13469">
        <w:t>udhëzimit</w:t>
      </w:r>
      <w:proofErr w:type="spellEnd"/>
      <w:r w:rsidRPr="00C13469">
        <w:t xml:space="preserve"> </w:t>
      </w:r>
      <w:proofErr w:type="spellStart"/>
      <w:r w:rsidRPr="00C13469">
        <w:t>plotësues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Ministrit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Financave</w:t>
      </w:r>
      <w:proofErr w:type="spellEnd"/>
      <w:r w:rsidRPr="00C13469">
        <w:t xml:space="preserve">, nr. 1, </w:t>
      </w:r>
      <w:proofErr w:type="spellStart"/>
      <w:r w:rsidRPr="00C13469">
        <w:t>datë</w:t>
      </w:r>
      <w:proofErr w:type="spellEnd"/>
      <w:r w:rsidRPr="00C13469">
        <w:t xml:space="preserve"> 24.01.2024, “</w:t>
      </w:r>
      <w:proofErr w:type="spellStart"/>
      <w:r w:rsidRPr="00C13469">
        <w:t>Për</w:t>
      </w:r>
      <w:proofErr w:type="spellEnd"/>
      <w:r w:rsidRPr="00C13469">
        <w:t xml:space="preserve"> </w:t>
      </w:r>
      <w:proofErr w:type="spellStart"/>
      <w:r w:rsidRPr="00C13469">
        <w:t>zbatimin</w:t>
      </w:r>
      <w:proofErr w:type="spellEnd"/>
      <w:r w:rsidRPr="00C13469">
        <w:t xml:space="preserve"> e </w:t>
      </w:r>
      <w:proofErr w:type="spellStart"/>
      <w:r w:rsidRPr="00C13469">
        <w:t>buxhetit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vitit</w:t>
      </w:r>
      <w:proofErr w:type="spellEnd"/>
      <w:r w:rsidRPr="00C13469">
        <w:t xml:space="preserve"> 2024”. </w:t>
      </w:r>
    </w:p>
    <w:p w14:paraId="463FD342" w14:textId="1DAE1130" w:rsidR="005D3103" w:rsidRDefault="005D3103" w:rsidP="00AB7C9D">
      <w:pPr>
        <w:numPr>
          <w:ilvl w:val="0"/>
          <w:numId w:val="11"/>
        </w:numPr>
        <w:jc w:val="both"/>
        <w:rPr>
          <w:lang w:val="sq-AL"/>
        </w:rPr>
      </w:pPr>
      <w:r w:rsidRPr="00305119">
        <w:rPr>
          <w:lang w:val="sq-AL"/>
        </w:rPr>
        <w:t xml:space="preserve">Akordim i fondeve me qëllim përballimin e efekteve financiare në zbatim të VKM nr.421, datë 26.06.2024 </w:t>
      </w:r>
      <w:r w:rsidRPr="00305119">
        <w:rPr>
          <w:i/>
          <w:iCs/>
          <w:lang w:val="sq-AL"/>
        </w:rPr>
        <w:t>Për disa shtesa dhe ndryshime në Vendimin e Këshillit të Ministrave nr. 325, datë 31.5.2023 “Për miratimin e strukturës së pagave, niveleve të pagave dhe shtesave të tjera mbi pagë të Zëvendësministrit, Funksionarëve të Kabineteve, Prefektit, Nënprefektit, Nëpunësve Civilë dhe Nëpunësve në disa institucione të administratës publike</w:t>
      </w:r>
      <w:r w:rsidRPr="00305119">
        <w:rPr>
          <w:lang w:val="sq-AL"/>
        </w:rPr>
        <w:t>””</w:t>
      </w:r>
      <w:r>
        <w:rPr>
          <w:lang w:val="sq-AL"/>
        </w:rPr>
        <w:t>.</w:t>
      </w:r>
    </w:p>
    <w:p w14:paraId="67E3E85D" w14:textId="764D378E" w:rsidR="005D3103" w:rsidRPr="00C13469" w:rsidRDefault="005D3103" w:rsidP="00AB7C9D">
      <w:pPr>
        <w:numPr>
          <w:ilvl w:val="0"/>
          <w:numId w:val="11"/>
        </w:numPr>
        <w:jc w:val="both"/>
        <w:rPr>
          <w:lang w:val="sq-AL"/>
        </w:rPr>
      </w:pPr>
      <w:r>
        <w:rPr>
          <w:lang w:val="sq-AL"/>
        </w:rPr>
        <w:t xml:space="preserve">Akordimi i fondeve </w:t>
      </w:r>
      <w:r>
        <w:rPr>
          <w:lang w:val="sq-AL"/>
        </w:rPr>
        <w:t xml:space="preserve">në </w:t>
      </w:r>
      <w:r w:rsidRPr="00D857C0">
        <w:rPr>
          <w:lang w:val="sq-AL"/>
        </w:rPr>
        <w:t xml:space="preserve">zbatim të Aktit Normativ nr.3, datë 28.8.2024 </w:t>
      </w:r>
      <w:r w:rsidRPr="00D75291">
        <w:rPr>
          <w:lang w:val="sq-AL"/>
        </w:rPr>
        <w:t>“Për buxhetin e vitit 2024”</w:t>
      </w:r>
      <w:r>
        <w:rPr>
          <w:lang w:val="sq-AL"/>
        </w:rPr>
        <w:t>.</w:t>
      </w:r>
    </w:p>
    <w:p w14:paraId="6BC12649" w14:textId="572B0E0E" w:rsidR="005D3103" w:rsidRPr="00962E4D" w:rsidRDefault="005D3103" w:rsidP="005D3103">
      <w:pPr>
        <w:numPr>
          <w:ilvl w:val="0"/>
          <w:numId w:val="11"/>
        </w:numPr>
        <w:jc w:val="both"/>
      </w:pPr>
      <w:r w:rsidRPr="005D3103">
        <w:rPr>
          <w:lang w:val="sq-AL"/>
        </w:rPr>
        <w:t>A</w:t>
      </w:r>
      <w:r w:rsidR="00AC0B34" w:rsidRPr="005D3103">
        <w:rPr>
          <w:lang w:val="sq-AL"/>
        </w:rPr>
        <w:t>kordimi i fond</w:t>
      </w:r>
      <w:r w:rsidR="00103A73" w:rsidRPr="005D3103">
        <w:rPr>
          <w:lang w:val="sq-AL"/>
        </w:rPr>
        <w:t>e</w:t>
      </w:r>
      <w:r w:rsidR="00AC0B34" w:rsidRPr="005D3103">
        <w:rPr>
          <w:lang w:val="sq-AL"/>
        </w:rPr>
        <w:t xml:space="preserve">ve </w:t>
      </w:r>
      <w:r w:rsidRPr="005D3103">
        <w:rPr>
          <w:lang w:val="sq-AL"/>
        </w:rPr>
        <w:t>n</w:t>
      </w:r>
      <w:r>
        <w:rPr>
          <w:lang w:val="sq-AL"/>
        </w:rPr>
        <w:t>ë</w:t>
      </w:r>
      <w:r w:rsidRPr="005D3103">
        <w:rPr>
          <w:lang w:val="sq-AL"/>
        </w:rPr>
        <w:t xml:space="preserve"> zbatim t</w:t>
      </w:r>
      <w:r>
        <w:rPr>
          <w:lang w:val="sq-AL"/>
        </w:rPr>
        <w:t>ë</w:t>
      </w:r>
      <w:r w:rsidRPr="005D3103">
        <w:rPr>
          <w:lang w:val="sq-AL"/>
        </w:rPr>
        <w:t xml:space="preserve"> Aktit Normativ </w:t>
      </w:r>
      <w:r w:rsidR="005B27B1" w:rsidRPr="005D3103">
        <w:rPr>
          <w:lang w:val="sq-AL"/>
        </w:rPr>
        <w:t xml:space="preserve">nr.5, datë 19.12.2024 “Per disa shtesa dhe ndryshime në ligjin nr.97/2023 “Për buxhetin e vitit 2024” </w:t>
      </w:r>
      <w:r>
        <w:rPr>
          <w:szCs w:val="20"/>
          <w:lang w:val="sq-AL"/>
        </w:rPr>
        <w:t xml:space="preserve">për </w:t>
      </w:r>
      <w:proofErr w:type="spellStart"/>
      <w:r w:rsidRPr="00937324">
        <w:rPr>
          <w:szCs w:val="20"/>
        </w:rPr>
        <w:t>pagesën</w:t>
      </w:r>
      <w:proofErr w:type="spellEnd"/>
      <w:r w:rsidRPr="00937324">
        <w:rPr>
          <w:szCs w:val="20"/>
        </w:rPr>
        <w:t xml:space="preserve"> (</w:t>
      </w:r>
      <w:proofErr w:type="spellStart"/>
      <w:r w:rsidRPr="00937324">
        <w:rPr>
          <w:szCs w:val="20"/>
        </w:rPr>
        <w:t>këstin</w:t>
      </w:r>
      <w:proofErr w:type="spellEnd"/>
      <w:r w:rsidRPr="00937324">
        <w:rPr>
          <w:szCs w:val="20"/>
        </w:rPr>
        <w:t xml:space="preserve">) e </w:t>
      </w:r>
      <w:proofErr w:type="spellStart"/>
      <w:r w:rsidRPr="00937324">
        <w:rPr>
          <w:szCs w:val="20"/>
        </w:rPr>
        <w:t>fundit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të</w:t>
      </w:r>
      <w:proofErr w:type="spellEnd"/>
      <w:r>
        <w:rPr>
          <w:szCs w:val="20"/>
        </w:rPr>
        <w:t xml:space="preserve"> </w:t>
      </w:r>
      <w:proofErr w:type="spellStart"/>
      <w:r w:rsidRPr="00937324">
        <w:rPr>
          <w:szCs w:val="20"/>
        </w:rPr>
        <w:t>diferencës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së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pag</w:t>
      </w:r>
      <w:r>
        <w:rPr>
          <w:szCs w:val="20"/>
        </w:rPr>
        <w:t>ës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së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magjistratit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nga</w:t>
      </w:r>
      <w:proofErr w:type="spellEnd"/>
      <w:r>
        <w:rPr>
          <w:szCs w:val="20"/>
        </w:rPr>
        <w:t xml:space="preserve"> 1 </w:t>
      </w:r>
      <w:proofErr w:type="spellStart"/>
      <w:r>
        <w:rPr>
          <w:szCs w:val="20"/>
        </w:rPr>
        <w:t>janari</w:t>
      </w:r>
      <w:proofErr w:type="spellEnd"/>
      <w:r>
        <w:rPr>
          <w:szCs w:val="20"/>
        </w:rPr>
        <w:t xml:space="preserve"> </w:t>
      </w:r>
      <w:r w:rsidRPr="00937324">
        <w:rPr>
          <w:szCs w:val="20"/>
        </w:rPr>
        <w:t xml:space="preserve">2019 e </w:t>
      </w:r>
      <w:proofErr w:type="spellStart"/>
      <w:r w:rsidRPr="00937324">
        <w:rPr>
          <w:szCs w:val="20"/>
        </w:rPr>
        <w:t>në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vazhdim</w:t>
      </w:r>
      <w:proofErr w:type="spellEnd"/>
      <w:r w:rsidRPr="00937324">
        <w:rPr>
          <w:szCs w:val="20"/>
        </w:rPr>
        <w:t xml:space="preserve">, </w:t>
      </w:r>
      <w:proofErr w:type="spellStart"/>
      <w:r w:rsidRPr="00937324">
        <w:rPr>
          <w:szCs w:val="20"/>
        </w:rPr>
        <w:t>sipas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arsyetimit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të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bërë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nga</w:t>
      </w:r>
      <w:proofErr w:type="spellEnd"/>
      <w:r>
        <w:rPr>
          <w:szCs w:val="20"/>
        </w:rPr>
        <w:t xml:space="preserve"> </w:t>
      </w:r>
      <w:proofErr w:type="spellStart"/>
      <w:r w:rsidRPr="00937324">
        <w:rPr>
          <w:szCs w:val="20"/>
        </w:rPr>
        <w:t>Gjykata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Kushtetuese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në</w:t>
      </w:r>
      <w:proofErr w:type="spellEnd"/>
      <w:r w:rsidRPr="00937324">
        <w:rPr>
          <w:szCs w:val="20"/>
        </w:rPr>
        <w:t xml:space="preserve"> </w:t>
      </w:r>
      <w:proofErr w:type="spellStart"/>
      <w:r w:rsidRPr="00937324">
        <w:rPr>
          <w:szCs w:val="20"/>
        </w:rPr>
        <w:t>vendimin</w:t>
      </w:r>
      <w:proofErr w:type="spellEnd"/>
      <w:r w:rsidRPr="00937324">
        <w:rPr>
          <w:szCs w:val="20"/>
        </w:rPr>
        <w:t xml:space="preserve"> nr.35, </w:t>
      </w:r>
      <w:proofErr w:type="spellStart"/>
      <w:r w:rsidRPr="00937324">
        <w:rPr>
          <w:szCs w:val="20"/>
        </w:rPr>
        <w:t>datë</w:t>
      </w:r>
      <w:proofErr w:type="spellEnd"/>
      <w:r w:rsidRPr="00937324">
        <w:rPr>
          <w:szCs w:val="20"/>
        </w:rPr>
        <w:t xml:space="preserve"> 22.11.2022</w:t>
      </w:r>
    </w:p>
    <w:p w14:paraId="25948D6B" w14:textId="6BE69FED" w:rsidR="00FD6F72" w:rsidRPr="005D3103" w:rsidRDefault="00FD6F72" w:rsidP="005D3103">
      <w:pPr>
        <w:spacing w:line="276" w:lineRule="auto"/>
        <w:ind w:left="720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6316D4A2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E34E5F" w:rsidRPr="00666204">
        <w:rPr>
          <w:color w:val="242424"/>
          <w:bdr w:val="none" w:sz="0" w:space="0" w:color="auto" w:frame="1"/>
          <w:lang w:val="sq-AL" w:eastAsia="sq-AL"/>
        </w:rPr>
        <w:t>12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M të vitit 2024 është bërë në përputhje me afatin e përcaktuar në udhëzimin nr. 14, datë 30.05.2023. </w:t>
      </w:r>
    </w:p>
    <w:p w14:paraId="35000A7E" w14:textId="330B192C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5D3103">
        <w:rPr>
          <w:bCs/>
          <w:lang w:val="sq-AL"/>
        </w:rPr>
        <w:t>KPA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7B0CA210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666204" w:rsidRPr="00C24662">
        <w:rPr>
          <w:sz w:val="24"/>
          <w:szCs w:val="24"/>
          <w:lang w:val="sq-AL"/>
        </w:rPr>
        <w:t>n</w:t>
      </w:r>
      <w:r w:rsidRPr="00C24662">
        <w:rPr>
          <w:sz w:val="24"/>
          <w:szCs w:val="24"/>
          <w:lang w:val="sq-AL"/>
        </w:rPr>
        <w:t xml:space="preserve"> 202</w:t>
      </w:r>
      <w:r w:rsidR="00304F8C" w:rsidRPr="00C24662">
        <w:rPr>
          <w:sz w:val="24"/>
          <w:szCs w:val="24"/>
          <w:lang w:val="sq-AL"/>
        </w:rPr>
        <w:t>4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="00227185">
        <w:rPr>
          <w:bCs/>
          <w:sz w:val="24"/>
          <w:szCs w:val="24"/>
          <w:lang w:val="sq-AL"/>
        </w:rPr>
        <w:t>Kolegjit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Posaç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>m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Apelimit</w:t>
      </w:r>
      <w:r w:rsidRPr="00C24662">
        <w:rPr>
          <w:bCs/>
          <w:sz w:val="24"/>
          <w:szCs w:val="24"/>
          <w:lang w:val="sq-AL"/>
        </w:rPr>
        <w:t>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0AA29BCA" w14:textId="7E1F8097" w:rsidR="002B1A0B" w:rsidRDefault="002B1A0B" w:rsidP="002B1A0B">
      <w:pPr>
        <w:pStyle w:val="ListParagraph"/>
        <w:spacing w:after="120"/>
        <w:ind w:left="0"/>
        <w:jc w:val="both"/>
      </w:pPr>
      <w:r w:rsidRPr="00C24662">
        <w:rPr>
          <w:sz w:val="24"/>
          <w:szCs w:val="24"/>
          <w:lang w:val="sq-AL"/>
        </w:rPr>
        <w:t xml:space="preserve">Linku: </w:t>
      </w:r>
      <w:r w:rsidR="00227185">
        <w:rPr>
          <w:sz w:val="24"/>
          <w:szCs w:val="24"/>
          <w:lang w:val="sq-AL"/>
        </w:rPr>
        <w:tab/>
      </w:r>
      <w:r w:rsidR="00227185">
        <w:rPr>
          <w:sz w:val="24"/>
          <w:szCs w:val="24"/>
          <w:lang w:val="sq-AL"/>
        </w:rPr>
        <w:tab/>
      </w:r>
      <w:hyperlink r:id="rId9" w:history="1">
        <w:r w:rsidR="00227185" w:rsidRPr="00E51E26">
          <w:rPr>
            <w:rStyle w:val="Hyperlink"/>
          </w:rPr>
          <w:t>https://kpa.al/buxheti/</w:t>
        </w:r>
      </w:hyperlink>
    </w:p>
    <w:p w14:paraId="545DA03A" w14:textId="77777777" w:rsidR="00227185" w:rsidRDefault="00227185" w:rsidP="002B1A0B">
      <w:pPr>
        <w:pStyle w:val="ListParagraph"/>
        <w:spacing w:after="120"/>
        <w:ind w:left="0"/>
        <w:jc w:val="both"/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974949">
      <w:pgSz w:w="12240" w:h="15840"/>
      <w:pgMar w:top="1170" w:right="1440" w:bottom="126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73D6" w14:textId="77777777" w:rsidR="00AD7191" w:rsidRDefault="00AD7191" w:rsidP="00974949">
      <w:r>
        <w:separator/>
      </w:r>
    </w:p>
  </w:endnote>
  <w:endnote w:type="continuationSeparator" w:id="0">
    <w:p w14:paraId="208F9289" w14:textId="77777777" w:rsidR="00AD7191" w:rsidRDefault="00AD7191" w:rsidP="009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8665" w14:textId="77777777" w:rsidR="00AD7191" w:rsidRDefault="00AD7191" w:rsidP="00974949">
      <w:r>
        <w:separator/>
      </w:r>
    </w:p>
  </w:footnote>
  <w:footnote w:type="continuationSeparator" w:id="0">
    <w:p w14:paraId="57D05B9E" w14:textId="77777777" w:rsidR="00AD7191" w:rsidRDefault="00AD7191" w:rsidP="0097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8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9"/>
  </w:num>
  <w:num w:numId="7" w16cid:durableId="125977959">
    <w:abstractNumId w:val="7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37B5D"/>
    <w:rsid w:val="00044D53"/>
    <w:rsid w:val="00046FD8"/>
    <w:rsid w:val="000D74C2"/>
    <w:rsid w:val="00100BB6"/>
    <w:rsid w:val="00103A73"/>
    <w:rsid w:val="00142185"/>
    <w:rsid w:val="00185005"/>
    <w:rsid w:val="001871D5"/>
    <w:rsid w:val="001E33E0"/>
    <w:rsid w:val="00227185"/>
    <w:rsid w:val="00276492"/>
    <w:rsid w:val="002A63BD"/>
    <w:rsid w:val="002B1A0B"/>
    <w:rsid w:val="002C718E"/>
    <w:rsid w:val="002F14DE"/>
    <w:rsid w:val="002F2036"/>
    <w:rsid w:val="00304F8C"/>
    <w:rsid w:val="00315C14"/>
    <w:rsid w:val="00322BB9"/>
    <w:rsid w:val="00337F8C"/>
    <w:rsid w:val="003450EC"/>
    <w:rsid w:val="00381298"/>
    <w:rsid w:val="003A4545"/>
    <w:rsid w:val="003C2A69"/>
    <w:rsid w:val="00401391"/>
    <w:rsid w:val="00410C0D"/>
    <w:rsid w:val="00424E8B"/>
    <w:rsid w:val="00434E27"/>
    <w:rsid w:val="004F410C"/>
    <w:rsid w:val="0051173B"/>
    <w:rsid w:val="005B27B1"/>
    <w:rsid w:val="005D3103"/>
    <w:rsid w:val="005E7FA8"/>
    <w:rsid w:val="00617C4B"/>
    <w:rsid w:val="0062321D"/>
    <w:rsid w:val="0065583A"/>
    <w:rsid w:val="00656BF4"/>
    <w:rsid w:val="00666204"/>
    <w:rsid w:val="0069694D"/>
    <w:rsid w:val="006B5DB6"/>
    <w:rsid w:val="006D129A"/>
    <w:rsid w:val="006E0862"/>
    <w:rsid w:val="006F0AD3"/>
    <w:rsid w:val="00712A57"/>
    <w:rsid w:val="00745590"/>
    <w:rsid w:val="00762C28"/>
    <w:rsid w:val="007A2D5A"/>
    <w:rsid w:val="007F2481"/>
    <w:rsid w:val="00831F51"/>
    <w:rsid w:val="0084432D"/>
    <w:rsid w:val="008937CE"/>
    <w:rsid w:val="008A0AF9"/>
    <w:rsid w:val="008A6DFE"/>
    <w:rsid w:val="008B3016"/>
    <w:rsid w:val="008F47F1"/>
    <w:rsid w:val="009155CE"/>
    <w:rsid w:val="00960C25"/>
    <w:rsid w:val="00962CE0"/>
    <w:rsid w:val="0097290D"/>
    <w:rsid w:val="00974949"/>
    <w:rsid w:val="0097777C"/>
    <w:rsid w:val="0099258E"/>
    <w:rsid w:val="009A151E"/>
    <w:rsid w:val="009A7DCC"/>
    <w:rsid w:val="009C3A0B"/>
    <w:rsid w:val="009D19C8"/>
    <w:rsid w:val="009D1DEF"/>
    <w:rsid w:val="009E1239"/>
    <w:rsid w:val="009F0FFE"/>
    <w:rsid w:val="009F33D0"/>
    <w:rsid w:val="009F3BED"/>
    <w:rsid w:val="00A06EC3"/>
    <w:rsid w:val="00A25FE3"/>
    <w:rsid w:val="00A37DB0"/>
    <w:rsid w:val="00A37E33"/>
    <w:rsid w:val="00A561DF"/>
    <w:rsid w:val="00A81555"/>
    <w:rsid w:val="00AA0D62"/>
    <w:rsid w:val="00AB7C9D"/>
    <w:rsid w:val="00AC0B34"/>
    <w:rsid w:val="00AD6828"/>
    <w:rsid w:val="00AD7191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4662"/>
    <w:rsid w:val="00C26AF1"/>
    <w:rsid w:val="00C40227"/>
    <w:rsid w:val="00C545EB"/>
    <w:rsid w:val="00C76101"/>
    <w:rsid w:val="00D4001B"/>
    <w:rsid w:val="00D6129F"/>
    <w:rsid w:val="00D6287A"/>
    <w:rsid w:val="00DA1AE3"/>
    <w:rsid w:val="00DA2BCF"/>
    <w:rsid w:val="00DC042D"/>
    <w:rsid w:val="00DC7BB4"/>
    <w:rsid w:val="00E34E5F"/>
    <w:rsid w:val="00E40852"/>
    <w:rsid w:val="00E64ED8"/>
    <w:rsid w:val="00E91854"/>
    <w:rsid w:val="00EF0483"/>
    <w:rsid w:val="00F14ACB"/>
    <w:rsid w:val="00F32E0D"/>
    <w:rsid w:val="00F36321"/>
    <w:rsid w:val="00F3675D"/>
    <w:rsid w:val="00F92C9E"/>
    <w:rsid w:val="00FD6F7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a.al/buxhe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9</cp:revision>
  <dcterms:created xsi:type="dcterms:W3CDTF">2025-05-05T09:32:00Z</dcterms:created>
  <dcterms:modified xsi:type="dcterms:W3CDTF">2025-05-05T10:38:00Z</dcterms:modified>
</cp:coreProperties>
</file>