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CC1B" w14:textId="77777777" w:rsidR="008A255F" w:rsidRPr="00A017AC" w:rsidRDefault="008A255F" w:rsidP="008A255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1FF3173B" w14:textId="37045288" w:rsidR="008A255F" w:rsidRPr="00A017AC" w:rsidRDefault="00BB2CFD" w:rsidP="00D547A5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MBI RAPORTIN E MONITORIMIT P</w:t>
      </w:r>
      <w:r w:rsidR="00895DCE">
        <w:rPr>
          <w:rFonts w:asciiTheme="majorBidi" w:hAnsiTheme="majorBidi" w:cstheme="majorBidi"/>
          <w:b/>
          <w:lang w:val="sq-AL"/>
        </w:rPr>
        <w:t>Ë</w:t>
      </w:r>
      <w:r>
        <w:rPr>
          <w:rFonts w:asciiTheme="majorBidi" w:hAnsiTheme="majorBidi" w:cstheme="majorBidi"/>
          <w:b/>
          <w:lang w:val="sq-AL"/>
        </w:rPr>
        <w:t>R</w:t>
      </w:r>
      <w:r w:rsidR="00F14D48">
        <w:rPr>
          <w:rFonts w:asciiTheme="majorBidi" w:hAnsiTheme="majorBidi" w:cstheme="majorBidi"/>
          <w:b/>
          <w:lang w:val="sq-AL"/>
        </w:rPr>
        <w:t xml:space="preserve"> 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>viti</w:t>
      </w:r>
      <w:r w:rsidR="00E61ABB">
        <w:rPr>
          <w:rFonts w:asciiTheme="majorBidi" w:hAnsiTheme="majorBidi" w:cstheme="majorBidi"/>
          <w:b/>
          <w:caps/>
          <w:lang w:val="sq-AL"/>
        </w:rPr>
        <w:t>n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 xml:space="preserve"> 20</w:t>
      </w:r>
      <w:r>
        <w:rPr>
          <w:rFonts w:asciiTheme="majorBidi" w:hAnsiTheme="majorBidi" w:cstheme="majorBidi"/>
          <w:b/>
          <w:caps/>
          <w:lang w:val="sq-AL"/>
        </w:rPr>
        <w:t>2</w:t>
      </w:r>
      <w:r w:rsidR="00F14D48">
        <w:rPr>
          <w:rFonts w:asciiTheme="majorBidi" w:hAnsiTheme="majorBidi" w:cstheme="majorBidi"/>
          <w:b/>
          <w:caps/>
          <w:lang w:val="sq-AL"/>
        </w:rPr>
        <w:t>4</w:t>
      </w:r>
    </w:p>
    <w:p w14:paraId="4BCEE9CE" w14:textId="77777777" w:rsidR="008A255F" w:rsidRPr="00A017AC" w:rsidRDefault="008A255F" w:rsidP="008A255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>PËR KËSHILLIN E LARTË GJYQËSOR</w:t>
      </w:r>
    </w:p>
    <w:p w14:paraId="5BEC6697" w14:textId="77777777" w:rsidR="008A255F" w:rsidRPr="00A017AC" w:rsidRDefault="008A255F" w:rsidP="008A255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17289822" w14:textId="77777777" w:rsidR="008A255F" w:rsidRPr="00A017AC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0B610BB3" w14:textId="5C168DB1" w:rsidR="008A255F" w:rsidRDefault="009B16B1" w:rsidP="008A255F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9B16B1">
        <w:rPr>
          <w:lang w:val="sq-AL"/>
        </w:rPr>
        <w:t xml:space="preserve">Fondet buxhetore </w:t>
      </w:r>
      <w:r w:rsidR="00BA6F4B">
        <w:rPr>
          <w:lang w:val="sq-AL"/>
        </w:rPr>
        <w:t>të</w:t>
      </w:r>
      <w:r>
        <w:rPr>
          <w:b/>
          <w:lang w:val="sq-AL"/>
        </w:rPr>
        <w:t xml:space="preserve"> </w:t>
      </w:r>
      <w:r w:rsidR="008A255F" w:rsidRPr="00A017AC">
        <w:rPr>
          <w:b/>
          <w:lang w:val="sq-AL"/>
        </w:rPr>
        <w:t>Këshilli</w:t>
      </w:r>
      <w:r>
        <w:rPr>
          <w:b/>
          <w:lang w:val="sq-AL"/>
        </w:rPr>
        <w:t>t të</w:t>
      </w:r>
      <w:r w:rsidR="008A255F" w:rsidRPr="00A017AC">
        <w:rPr>
          <w:b/>
          <w:lang w:val="sq-AL"/>
        </w:rPr>
        <w:t xml:space="preserve"> Lartë Gjyqësor</w:t>
      </w:r>
      <w:r w:rsidRPr="00762CD6">
        <w:rPr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 w:rsidR="00BB2CFD">
        <w:rPr>
          <w:bCs/>
          <w:lang w:val="sq-AL"/>
        </w:rPr>
        <w:t>për viti</w:t>
      </w:r>
      <w:r w:rsidR="00510FE6">
        <w:rPr>
          <w:bCs/>
          <w:lang w:val="sq-AL"/>
        </w:rPr>
        <w:t>n</w:t>
      </w:r>
      <w:r>
        <w:rPr>
          <w:bCs/>
          <w:lang w:val="sq-AL"/>
        </w:rPr>
        <w:t xml:space="preserve"> 202</w:t>
      </w:r>
      <w:r w:rsidR="004A72D8">
        <w:rPr>
          <w:bCs/>
          <w:lang w:val="sq-AL"/>
        </w:rPr>
        <w:t>4</w:t>
      </w:r>
      <w:r>
        <w:rPr>
          <w:bCs/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>
        <w:rPr>
          <w:bCs/>
          <w:lang w:val="sq-AL"/>
        </w:rPr>
        <w:t>janë miratuar në tre programe buxhetore</w:t>
      </w:r>
      <w:r w:rsidR="008A255F" w:rsidRPr="00A017AC">
        <w:rPr>
          <w:bCs/>
          <w:lang w:val="sq-AL"/>
        </w:rPr>
        <w:t>:</w:t>
      </w:r>
    </w:p>
    <w:p w14:paraId="250A801C" w14:textId="77777777" w:rsidR="008A255F" w:rsidRPr="00A017AC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 xml:space="preserve">Planifikimi, menaxhimi dhe administrimi </w:t>
      </w:r>
    </w:p>
    <w:p w14:paraId="1EE180D9" w14:textId="77777777" w:rsidR="008A255F" w:rsidRPr="009B16B1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>Buxheti Gjyqësor</w:t>
      </w:r>
    </w:p>
    <w:p w14:paraId="003C921D" w14:textId="7B48474F" w:rsidR="00550ADB" w:rsidRPr="00B16680" w:rsidRDefault="009B16B1" w:rsidP="00B16680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line="276" w:lineRule="auto"/>
        <w:jc w:val="both"/>
        <w:outlineLvl w:val="9"/>
        <w:rPr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>Mbështetje pë</w:t>
      </w:r>
      <w:r w:rsidR="00B320A1">
        <w:rPr>
          <w:rFonts w:ascii="Times New Roman" w:hAnsi="Times New Roman" w:cs="Times New Roman"/>
          <w:bCs/>
          <w:lang w:val="sq-AL"/>
        </w:rPr>
        <w:t>r</w:t>
      </w:r>
      <w:r>
        <w:rPr>
          <w:rFonts w:ascii="Times New Roman" w:hAnsi="Times New Roman" w:cs="Times New Roman"/>
          <w:bCs/>
          <w:lang w:val="sq-AL"/>
        </w:rPr>
        <w:t xml:space="preserve"> teknologjinë</w:t>
      </w:r>
      <w:r w:rsidR="00B320A1">
        <w:rPr>
          <w:rFonts w:ascii="Times New Roman" w:hAnsi="Times New Roman" w:cs="Times New Roman"/>
          <w:bCs/>
          <w:lang w:val="sq-AL"/>
        </w:rPr>
        <w:t xml:space="preserve"> e</w:t>
      </w:r>
      <w:r>
        <w:rPr>
          <w:rFonts w:ascii="Times New Roman" w:hAnsi="Times New Roman" w:cs="Times New Roman"/>
          <w:bCs/>
          <w:lang w:val="sq-AL"/>
        </w:rPr>
        <w:t xml:space="preserve"> sistemit të drejtë</w:t>
      </w:r>
      <w:r w:rsidR="00B320A1">
        <w:rPr>
          <w:rFonts w:ascii="Times New Roman" w:hAnsi="Times New Roman" w:cs="Times New Roman"/>
          <w:bCs/>
          <w:lang w:val="sq-AL"/>
        </w:rPr>
        <w:t>sisë</w:t>
      </w:r>
    </w:p>
    <w:p w14:paraId="6844B5ED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b/>
          <w:lang w:val="sq-AL"/>
        </w:rPr>
        <w:t>Në programin “Planifikim, menaxhim dhe administrim</w:t>
      </w:r>
      <w:r w:rsidRPr="00D919EE">
        <w:rPr>
          <w:lang w:val="sq-AL"/>
        </w:rPr>
        <w:t xml:space="preserve">” Qëllimi i Politikës së Programit është </w:t>
      </w:r>
      <w:r w:rsidRPr="00D919EE">
        <w:rPr>
          <w:i/>
          <w:lang w:val="sq-AL"/>
        </w:rPr>
        <w:t>“Përmirësimi i sistemit gjyqësor nëpërmjet vendimmarrjes së Këshillit lidhur me miratimin e akteve nënligjore në zbatim të ligjeve që përbëjnë paketën e reformës në drejtësi si dhe sigurimin e burimeve dhe kapaciteteve financiare të nevojshme”.</w:t>
      </w:r>
    </w:p>
    <w:p w14:paraId="2F0432F2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 xml:space="preserve">Për realizimin e këtij qëllimi është përcaktuar objektivi: </w:t>
      </w:r>
    </w:p>
    <w:p w14:paraId="1368781F" w14:textId="242C5BA3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>Vendosja e standardeve të larta të kapaciteteve njerëzore dhe institucionale të tij dhe përmirësimi i performancës së gjyqësorit në të tre nivelet”</w:t>
      </w:r>
      <w:r w:rsidR="00447909">
        <w:rPr>
          <w:sz w:val="24"/>
          <w:szCs w:val="24"/>
          <w:lang w:val="sq-AL"/>
        </w:rPr>
        <w:t>,</w:t>
      </w:r>
      <w:r w:rsidR="00F415A4">
        <w:rPr>
          <w:sz w:val="24"/>
          <w:szCs w:val="24"/>
          <w:lang w:val="sq-AL"/>
        </w:rPr>
        <w:t xml:space="preserve"> </w:t>
      </w:r>
      <w:r w:rsidRPr="00D919EE">
        <w:rPr>
          <w:sz w:val="24"/>
          <w:szCs w:val="24"/>
          <w:lang w:val="sq-AL"/>
        </w:rPr>
        <w:t xml:space="preserve">me </w:t>
      </w:r>
      <w:r>
        <w:rPr>
          <w:sz w:val="24"/>
          <w:szCs w:val="24"/>
          <w:lang w:val="sq-AL"/>
        </w:rPr>
        <w:t>produktin</w:t>
      </w:r>
      <w:r w:rsidRPr="00D919EE">
        <w:rPr>
          <w:sz w:val="24"/>
          <w:szCs w:val="24"/>
          <w:lang w:val="sq-AL"/>
        </w:rPr>
        <w:t>:</w:t>
      </w:r>
    </w:p>
    <w:p w14:paraId="29D4FC6E" w14:textId="041817A2" w:rsidR="00550ADB" w:rsidRPr="00D919EE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Vendime të miratuara, ku </w:t>
      </w:r>
      <w:r>
        <w:rPr>
          <w:sz w:val="24"/>
          <w:lang w:val="sq-AL"/>
        </w:rPr>
        <w:t>për</w:t>
      </w:r>
      <w:r w:rsidRPr="00895DCE">
        <w:rPr>
          <w:sz w:val="24"/>
          <w:lang w:val="sq-AL"/>
        </w:rPr>
        <w:t xml:space="preserve"> viti</w:t>
      </w:r>
      <w:r w:rsidR="00447909">
        <w:rPr>
          <w:sz w:val="24"/>
          <w:lang w:val="sq-AL"/>
        </w:rPr>
        <w:t>n</w:t>
      </w:r>
      <w:r w:rsidRPr="00895DCE">
        <w:rPr>
          <w:sz w:val="24"/>
          <w:lang w:val="sq-AL"/>
        </w:rPr>
        <w:t xml:space="preserve"> 202</w:t>
      </w:r>
      <w:r>
        <w:rPr>
          <w:sz w:val="24"/>
          <w:lang w:val="sq-AL"/>
        </w:rPr>
        <w:t>4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marrë </w:t>
      </w:r>
      <w:r w:rsidR="00447909">
        <w:rPr>
          <w:sz w:val="24"/>
          <w:szCs w:val="24"/>
          <w:lang w:val="sq-AL"/>
        </w:rPr>
        <w:t>764</w:t>
      </w:r>
      <w:r>
        <w:rPr>
          <w:sz w:val="24"/>
          <w:szCs w:val="24"/>
          <w:lang w:val="sq-AL"/>
        </w:rPr>
        <w:t xml:space="preserve"> vendime ose </w:t>
      </w:r>
      <w:r w:rsidR="00447909">
        <w:rPr>
          <w:sz w:val="24"/>
          <w:szCs w:val="24"/>
          <w:lang w:val="sq-AL"/>
        </w:rPr>
        <w:t>153</w:t>
      </w:r>
      <w:r>
        <w:rPr>
          <w:sz w:val="24"/>
          <w:szCs w:val="24"/>
          <w:lang w:val="sq-AL"/>
        </w:rPr>
        <w:t xml:space="preserve">% e numrit vjetor të vendimeve të parashikuara, shoqëruar me një kosto prej </w:t>
      </w:r>
      <w:r w:rsidR="00447909">
        <w:rPr>
          <w:sz w:val="24"/>
          <w:szCs w:val="24"/>
          <w:lang w:val="sq-AL"/>
        </w:rPr>
        <w:t>308</w:t>
      </w:r>
      <w:r>
        <w:rPr>
          <w:sz w:val="24"/>
          <w:szCs w:val="24"/>
          <w:lang w:val="sq-AL"/>
        </w:rPr>
        <w:t xml:space="preserve"> milionë lekë</w:t>
      </w:r>
      <w:r w:rsidR="00447909">
        <w:rPr>
          <w:sz w:val="24"/>
          <w:szCs w:val="24"/>
          <w:lang w:val="sq-AL"/>
        </w:rPr>
        <w:t>. Me rritjen e numrit t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vendimeve t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marra vihet re se 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>sht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ulur edhe kostoja mesatare</w:t>
      </w:r>
      <w:r w:rsidR="00F415A4">
        <w:rPr>
          <w:sz w:val="24"/>
          <w:szCs w:val="24"/>
          <w:lang w:val="sq-AL"/>
        </w:rPr>
        <w:t xml:space="preserve"> </w:t>
      </w:r>
      <w:r w:rsidR="00447909">
        <w:rPr>
          <w:sz w:val="24"/>
          <w:szCs w:val="24"/>
          <w:lang w:val="sq-AL"/>
        </w:rPr>
        <w:t>p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>r vendim n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krahasim me nj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vit m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par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por edhe n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krahasim me koston mesatare t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planifikuar n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fillim t</w:t>
      </w:r>
      <w:r w:rsidR="005B4C3A">
        <w:rPr>
          <w:sz w:val="24"/>
          <w:szCs w:val="24"/>
          <w:lang w:val="sq-AL"/>
        </w:rPr>
        <w:t>ë</w:t>
      </w:r>
      <w:r w:rsidR="00447909">
        <w:rPr>
          <w:sz w:val="24"/>
          <w:szCs w:val="24"/>
          <w:lang w:val="sq-AL"/>
        </w:rPr>
        <w:t xml:space="preserve"> vitit. </w:t>
      </w:r>
    </w:p>
    <w:p w14:paraId="6AE4C028" w14:textId="54C42FEA" w:rsidR="00550ADB" w:rsidRPr="00D919EE" w:rsidRDefault="00550ADB" w:rsidP="00550ADB">
      <w:pPr>
        <w:tabs>
          <w:tab w:val="left" w:pos="180"/>
        </w:tabs>
        <w:spacing w:before="120" w:after="120"/>
        <w:jc w:val="both"/>
        <w:rPr>
          <w:lang w:val="sq-AL"/>
        </w:rPr>
      </w:pPr>
      <w:r w:rsidRPr="00D919EE">
        <w:rPr>
          <w:rFonts w:asciiTheme="majorBidi" w:hAnsiTheme="majorBidi" w:cstheme="majorBidi"/>
          <w:b/>
          <w:bCs/>
          <w:lang w:val="sq-AL"/>
        </w:rPr>
        <w:t>Në Programin “Buxheti Gjyqësor”</w:t>
      </w:r>
      <w:r w:rsidRPr="007B7FDB">
        <w:rPr>
          <w:rFonts w:asciiTheme="majorBidi" w:hAnsiTheme="majorBidi" w:cstheme="majorBidi"/>
          <w:bCs/>
          <w:lang w:val="sq-AL"/>
        </w:rPr>
        <w:t>,</w:t>
      </w:r>
      <w:r>
        <w:rPr>
          <w:rFonts w:asciiTheme="majorBidi" w:hAnsiTheme="majorBidi" w:cstheme="majorBidi"/>
          <w:bCs/>
          <w:lang w:val="sq-AL"/>
        </w:rPr>
        <w:t xml:space="preserve"> </w:t>
      </w:r>
      <w:r>
        <w:rPr>
          <w:lang w:val="sq-AL"/>
        </w:rPr>
        <w:t>qëllimi i p</w:t>
      </w:r>
      <w:r w:rsidRPr="00D919EE">
        <w:rPr>
          <w:lang w:val="sq-AL"/>
        </w:rPr>
        <w:t xml:space="preserve">olitikës së </w:t>
      </w:r>
      <w:r>
        <w:rPr>
          <w:lang w:val="sq-AL"/>
        </w:rPr>
        <w:t>p</w:t>
      </w:r>
      <w:r w:rsidRPr="00D919EE">
        <w:rPr>
          <w:lang w:val="sq-AL"/>
        </w:rPr>
        <w:t xml:space="preserve">rogramit është </w:t>
      </w:r>
      <w:r w:rsidRPr="00D919EE">
        <w:rPr>
          <w:i/>
          <w:lang w:val="sq-AL"/>
        </w:rPr>
        <w:t>“Ofrimi efikas i shërbimeve dhe punë më e mirë në gjykatat e 3 niveleve”.</w:t>
      </w:r>
      <w:r w:rsidRPr="00D919EE">
        <w:rPr>
          <w:lang w:val="sq-AL"/>
        </w:rPr>
        <w:t xml:space="preserve"> </w:t>
      </w:r>
    </w:p>
    <w:p w14:paraId="64ACA136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objektivi:</w:t>
      </w:r>
    </w:p>
    <w:p w14:paraId="2C2F016F" w14:textId="0FF5E986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 xml:space="preserve">Përmirësimi i ofrimit të shërbimeve përmes novacionit dhe forcimit të strukturave dhe sistemeve të teknologjisë, që zhvillojnë koherencën, efikasitetin dhe efektshmërinë institucionale, </w:t>
      </w:r>
      <w:r>
        <w:rPr>
          <w:sz w:val="24"/>
          <w:szCs w:val="24"/>
          <w:lang w:val="sq-AL"/>
        </w:rPr>
        <w:t>ku produkti kryesor është</w:t>
      </w:r>
      <w:r w:rsidRPr="009C7C6E">
        <w:rPr>
          <w:sz w:val="24"/>
          <w:szCs w:val="24"/>
          <w:lang w:val="sq-AL"/>
        </w:rPr>
        <w:t>:</w:t>
      </w:r>
      <w:r w:rsidRPr="00D919EE">
        <w:rPr>
          <w:sz w:val="24"/>
          <w:szCs w:val="24"/>
          <w:lang w:val="sq-AL"/>
        </w:rPr>
        <w:t xml:space="preserve"> </w:t>
      </w:r>
    </w:p>
    <w:p w14:paraId="2256CF46" w14:textId="51FC94CD" w:rsidR="00550ADB" w:rsidRPr="00B261B8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Çështje të gjykuara, ku </w:t>
      </w:r>
      <w:r>
        <w:rPr>
          <w:sz w:val="24"/>
          <w:lang w:val="sq-AL"/>
        </w:rPr>
        <w:t>për</w:t>
      </w:r>
      <w:r w:rsidRPr="00895DCE">
        <w:rPr>
          <w:sz w:val="24"/>
          <w:lang w:val="sq-AL"/>
        </w:rPr>
        <w:t xml:space="preserve"> viti</w:t>
      </w:r>
      <w:r w:rsidR="00F415A4">
        <w:rPr>
          <w:sz w:val="24"/>
          <w:lang w:val="sq-AL"/>
        </w:rPr>
        <w:t>n</w:t>
      </w:r>
      <w:r w:rsidRPr="00895DCE">
        <w:rPr>
          <w:sz w:val="24"/>
          <w:lang w:val="sq-AL"/>
        </w:rPr>
        <w:t xml:space="preserve"> 202</w:t>
      </w:r>
      <w:r>
        <w:rPr>
          <w:sz w:val="24"/>
          <w:lang w:val="sq-AL"/>
        </w:rPr>
        <w:t>4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realizuar </w:t>
      </w:r>
      <w:r w:rsidR="00F415A4">
        <w:rPr>
          <w:sz w:val="24"/>
          <w:szCs w:val="24"/>
          <w:lang w:val="sq-AL"/>
        </w:rPr>
        <w:t>128,812</w:t>
      </w:r>
      <w:r>
        <w:rPr>
          <w:sz w:val="24"/>
          <w:szCs w:val="24"/>
          <w:lang w:val="sq-AL"/>
        </w:rPr>
        <w:t xml:space="preserve"> çështje ose </w:t>
      </w:r>
      <w:r w:rsidR="00F415A4">
        <w:rPr>
          <w:sz w:val="24"/>
          <w:szCs w:val="24"/>
          <w:lang w:val="sq-AL"/>
        </w:rPr>
        <w:t>87</w:t>
      </w:r>
      <w:r>
        <w:rPr>
          <w:sz w:val="24"/>
          <w:szCs w:val="24"/>
          <w:lang w:val="sq-AL"/>
        </w:rPr>
        <w:t xml:space="preserve">% e çështjeve të parashikuara, shoqëruar me një kosto prej </w:t>
      </w:r>
      <w:r w:rsidR="00F415A4">
        <w:rPr>
          <w:sz w:val="24"/>
          <w:szCs w:val="24"/>
          <w:lang w:val="sq-AL"/>
        </w:rPr>
        <w:t>4</w:t>
      </w:r>
      <w:r>
        <w:rPr>
          <w:sz w:val="24"/>
          <w:szCs w:val="24"/>
          <w:lang w:val="sq-AL"/>
        </w:rPr>
        <w:t>,</w:t>
      </w:r>
      <w:r w:rsidR="00F415A4">
        <w:rPr>
          <w:sz w:val="24"/>
          <w:szCs w:val="24"/>
          <w:lang w:val="sq-AL"/>
        </w:rPr>
        <w:t>115</w:t>
      </w:r>
      <w:r>
        <w:rPr>
          <w:sz w:val="24"/>
          <w:szCs w:val="24"/>
          <w:lang w:val="sq-AL"/>
        </w:rPr>
        <w:t xml:space="preserve"> milionë lekë.</w:t>
      </w:r>
      <w:r w:rsidR="00F415A4">
        <w:rPr>
          <w:sz w:val="24"/>
          <w:szCs w:val="24"/>
          <w:lang w:val="sq-AL"/>
        </w:rPr>
        <w:t xml:space="preserve"> Mosrealizimi i produktit lidhet me vakancat n</w:t>
      </w:r>
      <w:r w:rsidR="005B4C3A">
        <w:rPr>
          <w:sz w:val="24"/>
          <w:szCs w:val="24"/>
          <w:lang w:val="sq-AL"/>
        </w:rPr>
        <w:t>ë</w:t>
      </w:r>
      <w:r w:rsidR="00F415A4">
        <w:rPr>
          <w:sz w:val="24"/>
          <w:szCs w:val="24"/>
          <w:lang w:val="sq-AL"/>
        </w:rPr>
        <w:t xml:space="preserve"> sistemin gjyq</w:t>
      </w:r>
      <w:r w:rsidR="005B4C3A">
        <w:rPr>
          <w:sz w:val="24"/>
          <w:szCs w:val="24"/>
          <w:lang w:val="sq-AL"/>
        </w:rPr>
        <w:t>ë</w:t>
      </w:r>
      <w:r w:rsidR="00F415A4">
        <w:rPr>
          <w:sz w:val="24"/>
          <w:szCs w:val="24"/>
          <w:lang w:val="sq-AL"/>
        </w:rPr>
        <w:t xml:space="preserve">sor. </w:t>
      </w:r>
    </w:p>
    <w:p w14:paraId="66607748" w14:textId="3DE21C6E" w:rsidR="00550ADB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>
        <w:rPr>
          <w:b/>
          <w:lang w:val="sq-AL"/>
        </w:rPr>
        <w:t xml:space="preserve">Programi </w:t>
      </w:r>
      <w:r w:rsidRPr="00D919EE">
        <w:rPr>
          <w:b/>
          <w:lang w:val="sq-AL"/>
        </w:rPr>
        <w:t>buxhetor “Mbështetje për teknologjinë e sistemit të drejtësisë”</w:t>
      </w:r>
      <w:r w:rsidRPr="00D919EE">
        <w:rPr>
          <w:lang w:val="sq-AL"/>
        </w:rPr>
        <w:t>, sipas raportit të institucionit  ka për qëllim: “Përcaktim</w:t>
      </w:r>
      <w:r>
        <w:rPr>
          <w:lang w:val="sq-AL"/>
        </w:rPr>
        <w:t>i</w:t>
      </w:r>
      <w:r w:rsidRPr="00D919EE">
        <w:rPr>
          <w:lang w:val="sq-AL"/>
        </w:rPr>
        <w:t>n e prioriteteve, politikave dhe standarteve, në lidhje me sistemet e teknologjisë së informacionit në sistemin e drejtësisë”.</w:t>
      </w:r>
    </w:p>
    <w:p w14:paraId="62D29D9B" w14:textId="77777777" w:rsidR="00550ADB" w:rsidRPr="00684914" w:rsidRDefault="00550ADB" w:rsidP="00550ADB">
      <w:pPr>
        <w:tabs>
          <w:tab w:val="left" w:pos="2160"/>
        </w:tabs>
        <w:spacing w:line="276" w:lineRule="auto"/>
        <w:jc w:val="both"/>
        <w:rPr>
          <w:sz w:val="10"/>
          <w:lang w:val="sq-AL"/>
        </w:rPr>
      </w:pPr>
    </w:p>
    <w:p w14:paraId="59EF5326" w14:textId="7FD23256" w:rsidR="00550ADB" w:rsidRPr="00D919EE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si objektiv:</w:t>
      </w:r>
    </w:p>
    <w:p w14:paraId="6E2B9929" w14:textId="62B1081E" w:rsidR="00550ADB" w:rsidRPr="00B16680" w:rsidRDefault="00550ADB" w:rsidP="00B16680">
      <w:pPr>
        <w:pStyle w:val="ListParagraph"/>
        <w:numPr>
          <w:ilvl w:val="0"/>
          <w:numId w:val="6"/>
        </w:numPr>
        <w:tabs>
          <w:tab w:val="left" w:pos="2160"/>
        </w:tabs>
        <w:spacing w:after="240" w:line="276" w:lineRule="auto"/>
        <w:jc w:val="both"/>
        <w:rPr>
          <w:sz w:val="24"/>
          <w:lang w:val="sq-AL"/>
        </w:rPr>
      </w:pPr>
      <w:r w:rsidRPr="00D919EE">
        <w:rPr>
          <w:sz w:val="24"/>
          <w:lang w:val="sq-AL"/>
        </w:rPr>
        <w:t>Angazhimi i QTI – së, për garantimin e arritjes së standarteve të BE për teknologjinë e informacionit dhe komunikimit” me tregues performance:</w:t>
      </w:r>
    </w:p>
    <w:p w14:paraId="04DADFF0" w14:textId="3781EF1B" w:rsidR="00550ADB" w:rsidRPr="00B16680" w:rsidRDefault="00550ADB" w:rsidP="00550ADB">
      <w:pPr>
        <w:pStyle w:val="ListParagraph"/>
        <w:numPr>
          <w:ilvl w:val="0"/>
          <w:numId w:val="4"/>
        </w:numPr>
        <w:tabs>
          <w:tab w:val="left" w:pos="2160"/>
        </w:tabs>
        <w:spacing w:before="120" w:after="120" w:line="276" w:lineRule="auto"/>
        <w:jc w:val="both"/>
        <w:rPr>
          <w:lang w:val="sq-AL"/>
        </w:rPr>
      </w:pPr>
      <w:r w:rsidRPr="00895DCE">
        <w:rPr>
          <w:sz w:val="24"/>
          <w:lang w:val="sq-AL"/>
        </w:rPr>
        <w:lastRenderedPageBreak/>
        <w:t xml:space="preserve">Përmirësimi i sistemeve të teknologjisë së informacionit në sistemin e drejtësisë, ku </w:t>
      </w:r>
      <w:r>
        <w:rPr>
          <w:sz w:val="24"/>
          <w:lang w:val="sq-AL"/>
        </w:rPr>
        <w:t>për</w:t>
      </w:r>
      <w:r w:rsidR="00F415A4">
        <w:rPr>
          <w:sz w:val="24"/>
          <w:lang w:val="sq-AL"/>
        </w:rPr>
        <w:t>gjat</w:t>
      </w:r>
      <w:r w:rsidR="005B4C3A">
        <w:rPr>
          <w:sz w:val="24"/>
          <w:lang w:val="sq-AL"/>
        </w:rPr>
        <w:t>ë</w:t>
      </w:r>
      <w:r w:rsidRPr="00895DCE">
        <w:rPr>
          <w:sz w:val="24"/>
          <w:lang w:val="sq-AL"/>
        </w:rPr>
        <w:t xml:space="preserve"> viti</w:t>
      </w:r>
      <w:r w:rsidR="00F415A4">
        <w:rPr>
          <w:sz w:val="24"/>
          <w:lang w:val="sq-AL"/>
        </w:rPr>
        <w:t>t</w:t>
      </w:r>
      <w:r w:rsidRPr="00895DCE">
        <w:rPr>
          <w:sz w:val="24"/>
          <w:lang w:val="sq-AL"/>
        </w:rPr>
        <w:t xml:space="preserve"> 202</w:t>
      </w:r>
      <w:r>
        <w:rPr>
          <w:sz w:val="24"/>
          <w:lang w:val="sq-AL"/>
        </w:rPr>
        <w:t>4,</w:t>
      </w:r>
      <w:r w:rsidR="00F415A4">
        <w:rPr>
          <w:sz w:val="24"/>
          <w:lang w:val="sq-AL"/>
        </w:rPr>
        <w:t xml:space="preserve"> </w:t>
      </w:r>
      <w:r>
        <w:rPr>
          <w:sz w:val="24"/>
          <w:lang w:val="sq-AL"/>
        </w:rPr>
        <w:t>janë miratuar 1</w:t>
      </w:r>
      <w:r w:rsidR="005B4C3A">
        <w:rPr>
          <w:sz w:val="24"/>
          <w:lang w:val="sq-AL"/>
        </w:rPr>
        <w:t>4</w:t>
      </w:r>
      <w:r>
        <w:rPr>
          <w:sz w:val="24"/>
          <w:lang w:val="sq-AL"/>
        </w:rPr>
        <w:t xml:space="preserve"> akte nga 20 të parashikuara ose </w:t>
      </w:r>
      <w:r w:rsidR="005B4C3A">
        <w:rPr>
          <w:sz w:val="24"/>
          <w:lang w:val="sq-AL"/>
        </w:rPr>
        <w:t>70</w:t>
      </w:r>
      <w:r>
        <w:rPr>
          <w:sz w:val="24"/>
          <w:lang w:val="sq-AL"/>
        </w:rPr>
        <w:t xml:space="preserve">% e planit, shoqëruar me një kosto prej </w:t>
      </w:r>
      <w:r w:rsidR="005B4C3A">
        <w:rPr>
          <w:sz w:val="24"/>
          <w:lang w:val="sq-AL"/>
        </w:rPr>
        <w:t>12</w:t>
      </w:r>
      <w:r>
        <w:rPr>
          <w:sz w:val="24"/>
          <w:lang w:val="sq-AL"/>
        </w:rPr>
        <w:t>.</w:t>
      </w:r>
      <w:r w:rsidR="005B4C3A">
        <w:rPr>
          <w:sz w:val="24"/>
          <w:lang w:val="sq-AL"/>
        </w:rPr>
        <w:t>9</w:t>
      </w:r>
      <w:r>
        <w:rPr>
          <w:sz w:val="24"/>
          <w:lang w:val="sq-AL"/>
        </w:rPr>
        <w:t xml:space="preserve"> milionë lekë</w:t>
      </w:r>
      <w:r w:rsidR="005B4C3A">
        <w:rPr>
          <w:sz w:val="24"/>
          <w:lang w:val="sq-AL"/>
        </w:rPr>
        <w:t xml:space="preserve"> apo</w:t>
      </w:r>
      <w:r w:rsidR="00C63D70">
        <w:rPr>
          <w:sz w:val="24"/>
          <w:lang w:val="sq-AL"/>
        </w:rPr>
        <w:t xml:space="preserve"> </w:t>
      </w:r>
      <w:r w:rsidR="005B4C3A">
        <w:rPr>
          <w:sz w:val="24"/>
          <w:lang w:val="sq-AL"/>
        </w:rPr>
        <w:t>76% e fondve të planifikuara për këtë qëllim.</w:t>
      </w:r>
    </w:p>
    <w:p w14:paraId="2824230A" w14:textId="36537571" w:rsidR="00AB33C3" w:rsidRPr="00AB33C3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Cs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7D88525B" w14:textId="71CC786C" w:rsidR="00AB33C3" w:rsidRDefault="00AB33C3" w:rsidP="00AB33C3">
      <w:pPr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2024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 paraqitet si më poshtë:</w:t>
      </w:r>
    </w:p>
    <w:p w14:paraId="23F33B45" w14:textId="77777777" w:rsidR="00AB33C3" w:rsidRDefault="00AB33C3" w:rsidP="00AB33C3">
      <w:pPr>
        <w:ind w:left="-720" w:firstLine="720"/>
        <w:rPr>
          <w:i/>
          <w:iCs/>
          <w:lang w:val="sq-AL"/>
        </w:rPr>
      </w:pPr>
    </w:p>
    <w:p w14:paraId="743C781D" w14:textId="622E43FD" w:rsidR="00AB33C3" w:rsidRDefault="00AB33C3" w:rsidP="00AB33C3">
      <w:pPr>
        <w:ind w:left="-720" w:firstLine="720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lek)</w:t>
      </w:r>
    </w:p>
    <w:p w14:paraId="1EF96F44" w14:textId="77777777" w:rsidR="00AB33C3" w:rsidRDefault="00AB33C3" w:rsidP="00AB33C3">
      <w:pPr>
        <w:ind w:left="-720" w:firstLine="720"/>
        <w:rPr>
          <w:i/>
          <w:iCs/>
          <w:lang w:val="sq-AL"/>
        </w:rPr>
      </w:pPr>
    </w:p>
    <w:p w14:paraId="720306B7" w14:textId="3D696A61" w:rsidR="00AB33C3" w:rsidRDefault="00B10A0E" w:rsidP="00AB33C3">
      <w:pPr>
        <w:ind w:left="-180"/>
        <w:rPr>
          <w:i/>
          <w:iCs/>
          <w:lang w:val="sq-AL"/>
        </w:rPr>
      </w:pPr>
      <w:r w:rsidRPr="00B10A0E">
        <w:rPr>
          <w:noProof/>
        </w:rPr>
        <w:drawing>
          <wp:inline distT="0" distB="0" distL="0" distR="0" wp14:anchorId="609AB600" wp14:editId="417FAFEE">
            <wp:extent cx="6612940" cy="2237552"/>
            <wp:effectExtent l="0" t="0" r="0" b="0"/>
            <wp:docPr id="85457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3" cy="226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F677" w14:textId="77777777" w:rsidR="00AB33C3" w:rsidRPr="00EA0447" w:rsidRDefault="00AB33C3" w:rsidP="00B10A0E">
      <w:pPr>
        <w:rPr>
          <w:i/>
          <w:iCs/>
          <w:lang w:val="sq-AL"/>
        </w:rPr>
      </w:pPr>
    </w:p>
    <w:p w14:paraId="1E8445EC" w14:textId="403A2CE5" w:rsidR="00AB33C3" w:rsidRPr="005C6D0D" w:rsidRDefault="00AB33C3" w:rsidP="00AB33C3">
      <w:pPr>
        <w:spacing w:after="120"/>
        <w:jc w:val="both"/>
        <w:rPr>
          <w:lang w:val="sq-AL"/>
        </w:rPr>
      </w:pPr>
      <w:bookmarkStart w:id="0" w:name="_Hlk196727849"/>
      <w:proofErr w:type="spellStart"/>
      <w:r>
        <w:rPr>
          <w:spacing w:val="-2"/>
        </w:rPr>
        <w:t>Për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lartë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rezulton</w:t>
      </w:r>
      <w:proofErr w:type="spellEnd"/>
      <w:r>
        <w:rPr>
          <w:spacing w:val="-2"/>
        </w:rPr>
        <w:t xml:space="preserve"> se, </w:t>
      </w:r>
      <w:proofErr w:type="spellStart"/>
      <w:r>
        <w:rPr>
          <w:spacing w:val="-2"/>
        </w:rPr>
        <w:t>r</w:t>
      </w:r>
      <w:r w:rsidRPr="001B0540">
        <w:t>ealizimi</w:t>
      </w:r>
      <w:proofErr w:type="spellEnd"/>
      <w:r w:rsidRPr="001B0540">
        <w:t xml:space="preserve"> </w:t>
      </w:r>
      <w:proofErr w:type="spellStart"/>
      <w:r w:rsidRPr="001B0540">
        <w:t>faktik</w:t>
      </w:r>
      <w:proofErr w:type="spellEnd"/>
      <w:r w:rsidRPr="001B0540"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</w:t>
      </w:r>
      <w:r w:rsidR="00A36A9A">
        <w:t>ë</w:t>
      </w:r>
      <w:r>
        <w:t>shillin</w:t>
      </w:r>
      <w:proofErr w:type="spellEnd"/>
      <w:r>
        <w:t xml:space="preserve"> e </w:t>
      </w:r>
      <w:proofErr w:type="spellStart"/>
      <w:r>
        <w:t>Lart</w:t>
      </w:r>
      <w:r w:rsidR="00A36A9A">
        <w:t>ë</w:t>
      </w:r>
      <w:proofErr w:type="spellEnd"/>
      <w:r>
        <w:t xml:space="preserve"> </w:t>
      </w:r>
      <w:proofErr w:type="spellStart"/>
      <w:r>
        <w:t>Gjyq</w:t>
      </w:r>
      <w:r w:rsidR="00A36A9A">
        <w:t>ë</w:t>
      </w:r>
      <w:r>
        <w:t>sor</w:t>
      </w:r>
      <w:proofErr w:type="spellEnd"/>
      <w:r>
        <w:t xml:space="preserve"> (KLGJ) </w:t>
      </w:r>
      <w:proofErr w:type="spellStart"/>
      <w:r>
        <w:t>është</w:t>
      </w:r>
      <w:proofErr w:type="spellEnd"/>
      <w:r w:rsidRPr="001B0540">
        <w:t xml:space="preserve"> </w:t>
      </w:r>
      <w:r>
        <w:rPr>
          <w:color w:val="000000"/>
        </w:rPr>
        <w:t xml:space="preserve">4.7 </w:t>
      </w:r>
      <w:proofErr w:type="spellStart"/>
      <w:r w:rsidRPr="001B0540">
        <w:rPr>
          <w:color w:val="000000"/>
        </w:rPr>
        <w:t>miliard</w:t>
      </w:r>
      <w:proofErr w:type="spellEnd"/>
      <w:r w:rsidRPr="001B0540">
        <w:t xml:space="preserve"> </w:t>
      </w:r>
      <w:proofErr w:type="spellStart"/>
      <w:r w:rsidRPr="001B0540">
        <w:t>lekë</w:t>
      </w:r>
      <w:proofErr w:type="spellEnd"/>
      <w:r>
        <w:t xml:space="preserve"> apo </w:t>
      </w:r>
      <w:proofErr w:type="spellStart"/>
      <w:r>
        <w:t>rreth</w:t>
      </w:r>
      <w:proofErr w:type="spellEnd"/>
      <w:r>
        <w:t xml:space="preserve"> 96%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95%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, </w:t>
      </w:r>
      <w:proofErr w:type="spellStart"/>
      <w:r>
        <w:t>pra</w:t>
      </w:r>
      <w:proofErr w:type="spellEnd"/>
      <w:r>
        <w:t xml:space="preserve"> </w:t>
      </w:r>
      <w:proofErr w:type="spellStart"/>
      <w:r>
        <w:t>paraqitet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normal </w:t>
      </w:r>
      <w:proofErr w:type="spellStart"/>
      <w:r>
        <w:t>përgjatë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</w:t>
      </w:r>
      <w:r w:rsidR="00A74EBD">
        <w:t>4</w:t>
      </w:r>
      <w:r>
        <w:t xml:space="preserve">. </w:t>
      </w:r>
      <w:proofErr w:type="spellStart"/>
      <w:r>
        <w:t>Realizimi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karahasuar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vit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, </w:t>
      </w:r>
      <w:proofErr w:type="spellStart"/>
      <w:r w:rsidR="00A74EBD">
        <w:t>mbetet</w:t>
      </w:r>
      <w:proofErr w:type="spellEnd"/>
      <w:r w:rsidR="00A74EBD">
        <w:t xml:space="preserve"> </w:t>
      </w:r>
      <w:proofErr w:type="spellStart"/>
      <w:r w:rsidR="00A74EBD">
        <w:t>pothuajse</w:t>
      </w:r>
      <w:proofErr w:type="spellEnd"/>
      <w:r w:rsidR="00A74EBD">
        <w:t xml:space="preserve"> </w:t>
      </w:r>
      <w:proofErr w:type="spellStart"/>
      <w:r w:rsidR="00A74EBD">
        <w:t>n</w:t>
      </w:r>
      <w:r w:rsidR="00A36A9A">
        <w:t>ë</w:t>
      </w:r>
      <w:proofErr w:type="spellEnd"/>
      <w:r w:rsidR="00A74EBD">
        <w:t xml:space="preserve"> </w:t>
      </w:r>
      <w:proofErr w:type="spellStart"/>
      <w:r w:rsidR="00A74EBD">
        <w:t>t</w:t>
      </w:r>
      <w:r w:rsidR="00A36A9A">
        <w:t>ë</w:t>
      </w:r>
      <w:proofErr w:type="spellEnd"/>
      <w:r w:rsidR="00A74EBD">
        <w:t xml:space="preserve"> </w:t>
      </w:r>
      <w:proofErr w:type="spellStart"/>
      <w:r w:rsidR="00A74EBD">
        <w:t>nj</w:t>
      </w:r>
      <w:r w:rsidR="00A36A9A">
        <w:t>ë</w:t>
      </w:r>
      <w:r w:rsidR="00A74EBD">
        <w:t>jtat</w:t>
      </w:r>
      <w:proofErr w:type="spellEnd"/>
      <w:r w:rsidR="00A74EBD">
        <w:t xml:space="preserve"> </w:t>
      </w:r>
      <w:proofErr w:type="spellStart"/>
      <w:r w:rsidR="00A74EBD">
        <w:t>nivele</w:t>
      </w:r>
      <w:proofErr w:type="spellEnd"/>
      <w:r w:rsidR="00A74EBD">
        <w:t xml:space="preserve"> me </w:t>
      </w:r>
      <w:proofErr w:type="spellStart"/>
      <w:r w:rsidR="00A74EBD">
        <w:t>nj</w:t>
      </w:r>
      <w:r w:rsidR="00A36A9A">
        <w:t>ë</w:t>
      </w:r>
      <w:proofErr w:type="spellEnd"/>
      <w:r w:rsidR="00A74EBD">
        <w:t xml:space="preserve"> </w:t>
      </w:r>
      <w:proofErr w:type="spellStart"/>
      <w:r w:rsidR="00A74EBD">
        <w:t>rritje</w:t>
      </w:r>
      <w:proofErr w:type="spellEnd"/>
      <w:r w:rsidR="00A74EBD">
        <w:t xml:space="preserve"> </w:t>
      </w:r>
      <w:proofErr w:type="spellStart"/>
      <w:r w:rsidR="00210837">
        <w:t>t</w:t>
      </w:r>
      <w:r w:rsidR="00A36A9A">
        <w:t>ë</w:t>
      </w:r>
      <w:proofErr w:type="spellEnd"/>
      <w:r w:rsidR="00210837">
        <w:t xml:space="preserve"> </w:t>
      </w:r>
      <w:proofErr w:type="spellStart"/>
      <w:r w:rsidR="00210837">
        <w:t>leht</w:t>
      </w:r>
      <w:r w:rsidR="00A36A9A">
        <w:t>ë</w:t>
      </w:r>
      <w:proofErr w:type="spellEnd"/>
      <w:r w:rsidR="00210837">
        <w:t xml:space="preserve"> </w:t>
      </w:r>
      <w:proofErr w:type="spellStart"/>
      <w:r w:rsidR="00A74EBD">
        <w:t>p</w:t>
      </w:r>
      <w:r w:rsidR="00A36A9A">
        <w:t>ë</w:t>
      </w:r>
      <w:r w:rsidR="00A74EBD">
        <w:t>r</w:t>
      </w:r>
      <w:proofErr w:type="spellEnd"/>
      <w:r w:rsidR="00A74EBD">
        <w:t xml:space="preserve"> </w:t>
      </w:r>
      <w:proofErr w:type="spellStart"/>
      <w:r w:rsidR="00A74EBD">
        <w:t>vet</w:t>
      </w:r>
      <w:r w:rsidR="00A36A9A">
        <w:t>ë</w:t>
      </w:r>
      <w:r w:rsidR="00A74EBD">
        <w:t>m</w:t>
      </w:r>
      <w:proofErr w:type="spellEnd"/>
      <w:r w:rsidR="00A74EBD">
        <w:t xml:space="preserve"> </w:t>
      </w:r>
      <w:proofErr w:type="spellStart"/>
      <w:r w:rsidR="00A74EBD">
        <w:t>rreth</w:t>
      </w:r>
      <w:proofErr w:type="spellEnd"/>
      <w:r w:rsidRPr="001B0540">
        <w:t xml:space="preserve"> </w:t>
      </w:r>
      <w:r>
        <w:t>1</w:t>
      </w:r>
      <w:r w:rsidR="00A74EBD">
        <w:t>.6</w:t>
      </w:r>
      <w:r>
        <w:t>%</w:t>
      </w:r>
      <w:r w:rsidRPr="001B0540">
        <w:t>.</w:t>
      </w:r>
      <w:r>
        <w:t xml:space="preserve"> </w:t>
      </w:r>
      <w:bookmarkEnd w:id="0"/>
    </w:p>
    <w:p w14:paraId="537B388A" w14:textId="3D0D4B1C" w:rsidR="00AB33C3" w:rsidRPr="005C6D0D" w:rsidRDefault="00AB33C3" w:rsidP="00AB33C3">
      <w:pPr>
        <w:spacing w:before="240" w:after="120"/>
        <w:jc w:val="both"/>
        <w:rPr>
          <w:lang w:val="sq-AL"/>
        </w:rPr>
      </w:pPr>
      <w:r>
        <w:rPr>
          <w:lang w:val="sq-AL"/>
        </w:rPr>
        <w:t>Lidhur me s</w:t>
      </w:r>
      <w:r w:rsidRPr="005C6D0D">
        <w:rPr>
          <w:lang w:val="sq-AL"/>
        </w:rPr>
        <w:t>truktur</w:t>
      </w:r>
      <w:r>
        <w:rPr>
          <w:lang w:val="sq-AL"/>
        </w:rPr>
        <w:t>ën</w:t>
      </w:r>
      <w:r w:rsidRPr="005C6D0D">
        <w:rPr>
          <w:lang w:val="sq-AL"/>
        </w:rPr>
        <w:t xml:space="preserve"> e shpenzimeve për çdo program sipas ligjit të buxhetit për vitin 2024, planit të ndryshuar të buxhetit, si dhe realizimit për vitin 2024</w:t>
      </w:r>
      <w:r>
        <w:rPr>
          <w:lang w:val="sq-AL"/>
        </w:rPr>
        <w:t xml:space="preserve">, </w:t>
      </w:r>
      <w:r w:rsidRPr="005C6D0D">
        <w:rPr>
          <w:lang w:val="sq-AL"/>
        </w:rPr>
        <w:t>vërejm</w:t>
      </w:r>
      <w:r>
        <w:rPr>
          <w:lang w:val="sq-AL"/>
        </w:rPr>
        <w:t>ë</w:t>
      </w:r>
      <w:r w:rsidRPr="005C6D0D">
        <w:rPr>
          <w:lang w:val="sq-AL"/>
        </w:rPr>
        <w:t xml:space="preserve"> që </w:t>
      </w:r>
      <w:r w:rsidR="001E415D">
        <w:rPr>
          <w:lang w:val="sq-AL"/>
        </w:rPr>
        <w:t>p</w:t>
      </w:r>
      <w:r w:rsidR="00A36A9A">
        <w:rPr>
          <w:lang w:val="sq-AL"/>
        </w:rPr>
        <w:t>ë</w:t>
      </w:r>
      <w:r w:rsidR="001E415D">
        <w:rPr>
          <w:lang w:val="sq-AL"/>
        </w:rPr>
        <w:t>r programet e KLGJ struktura e shpenzimeve ka mbetur pothuajse e pandryshuar. Prgami me pesh</w:t>
      </w:r>
      <w:r w:rsidR="00A36A9A">
        <w:rPr>
          <w:lang w:val="sq-AL"/>
        </w:rPr>
        <w:t>ë</w:t>
      </w:r>
      <w:r w:rsidR="001E415D">
        <w:rPr>
          <w:lang w:val="sq-AL"/>
        </w:rPr>
        <w:t>n m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madhe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shpenzimeve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planifikuara dhe atyre faktike </w:t>
      </w:r>
      <w:r w:rsidR="00A36A9A">
        <w:rPr>
          <w:lang w:val="sq-AL"/>
        </w:rPr>
        <w:t>ë</w:t>
      </w:r>
      <w:r w:rsidR="001E415D">
        <w:rPr>
          <w:lang w:val="sq-AL"/>
        </w:rPr>
        <w:t>sht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“Buxheti Gjyq</w:t>
      </w:r>
      <w:r w:rsidR="00A36A9A">
        <w:rPr>
          <w:lang w:val="sq-AL"/>
        </w:rPr>
        <w:t>ë</w:t>
      </w:r>
      <w:r w:rsidR="001E415D">
        <w:rPr>
          <w:lang w:val="sq-AL"/>
        </w:rPr>
        <w:t>sor”  me rreth 92%.</w:t>
      </w:r>
    </w:p>
    <w:p w14:paraId="3934DCC0" w14:textId="3A9188FF" w:rsidR="00AB33C3" w:rsidRPr="00C93054" w:rsidRDefault="00AB33C3" w:rsidP="00AB33C3">
      <w:pPr>
        <w:spacing w:after="120"/>
        <w:jc w:val="both"/>
      </w:pPr>
      <w:proofErr w:type="spellStart"/>
      <w:r w:rsidRPr="00C93054">
        <w:t>Bu</w:t>
      </w:r>
      <w:r w:rsidRPr="00C93054">
        <w:rPr>
          <w:spacing w:val="2"/>
        </w:rPr>
        <w:t>x</w:t>
      </w:r>
      <w:r w:rsidRPr="00C93054">
        <w:t>h</w:t>
      </w:r>
      <w:r w:rsidRPr="00C93054">
        <w:rPr>
          <w:spacing w:val="-1"/>
        </w:rPr>
        <w:t>e</w:t>
      </w:r>
      <w:r w:rsidRPr="00C93054">
        <w:t>ti</w:t>
      </w:r>
      <w:proofErr w:type="spellEnd"/>
      <w:r w:rsidRPr="00C93054">
        <w:t xml:space="preserve"> </w:t>
      </w:r>
      <w:proofErr w:type="spellStart"/>
      <w:r w:rsidRPr="00C93054">
        <w:t>vjetor</w:t>
      </w:r>
      <w:proofErr w:type="spellEnd"/>
      <w:r w:rsidRPr="00C93054">
        <w:t xml:space="preserve"> </w:t>
      </w:r>
      <w:proofErr w:type="spellStart"/>
      <w:r w:rsidRPr="00C93054">
        <w:t>fillestar</w:t>
      </w:r>
      <w:proofErr w:type="spellEnd"/>
      <w:r w:rsidRPr="00C93054">
        <w:t xml:space="preserve"> </w:t>
      </w:r>
      <w:proofErr w:type="spellStart"/>
      <w:r w:rsidRPr="00C93054">
        <w:t>i</w:t>
      </w:r>
      <w:proofErr w:type="spellEnd"/>
      <w:r w:rsidRPr="00C93054">
        <w:t xml:space="preserve"> </w:t>
      </w:r>
      <w:r w:rsidR="00284AF7">
        <w:t>KLGJ</w:t>
      </w:r>
      <w:r w:rsidRPr="00C93054">
        <w:t xml:space="preserve"> u </w:t>
      </w:r>
      <w:proofErr w:type="spellStart"/>
      <w:r w:rsidRPr="00C93054">
        <w:t>rishikua</w:t>
      </w:r>
      <w:proofErr w:type="spellEnd"/>
      <w:r w:rsidRPr="00C93054">
        <w:t xml:space="preserve"> </w:t>
      </w:r>
      <w:proofErr w:type="spellStart"/>
      <w:r w:rsidRPr="00C93054">
        <w:t>n</w:t>
      </w:r>
      <w:r w:rsidR="00A36A9A">
        <w:t>ë</w:t>
      </w:r>
      <w:proofErr w:type="spellEnd"/>
      <w:r w:rsidR="00284AF7">
        <w:t xml:space="preserve"> </w:t>
      </w:r>
      <w:proofErr w:type="spellStart"/>
      <w:r w:rsidR="00284AF7">
        <w:t>ulje</w:t>
      </w:r>
      <w:proofErr w:type="spellEnd"/>
      <w:r w:rsidR="00284AF7">
        <w:t xml:space="preserve"> </w:t>
      </w:r>
      <w:proofErr w:type="spellStart"/>
      <w:r w:rsidR="00284AF7">
        <w:t>t</w:t>
      </w:r>
      <w:r w:rsidR="00A36A9A">
        <w:t>ë</w:t>
      </w:r>
      <w:proofErr w:type="spellEnd"/>
      <w:r w:rsidR="00284AF7">
        <w:t xml:space="preserve"> </w:t>
      </w:r>
      <w:proofErr w:type="spellStart"/>
      <w:r w:rsidR="00284AF7">
        <w:t>leht</w:t>
      </w:r>
      <w:r w:rsidR="00A36A9A">
        <w:t>ë</w:t>
      </w:r>
      <w:proofErr w:type="spellEnd"/>
      <w:r w:rsidR="00284AF7">
        <w:t xml:space="preserve"> </w:t>
      </w:r>
      <w:proofErr w:type="spellStart"/>
      <w:r w:rsidR="00284AF7">
        <w:t>prej</w:t>
      </w:r>
      <w:proofErr w:type="spellEnd"/>
      <w:r w:rsidR="00284AF7">
        <w:t xml:space="preserve"> </w:t>
      </w:r>
      <w:proofErr w:type="spellStart"/>
      <w:r w:rsidRPr="00C93054">
        <w:t>rreth</w:t>
      </w:r>
      <w:proofErr w:type="spellEnd"/>
      <w:r w:rsidRPr="00C93054">
        <w:t xml:space="preserve"> 1% </w:t>
      </w:r>
      <w:proofErr w:type="spellStart"/>
      <w:r w:rsidRPr="00C93054">
        <w:t>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nëpërmjet</w:t>
      </w:r>
      <w:proofErr w:type="spellEnd"/>
      <w:r w:rsidRPr="00C93054">
        <w:t xml:space="preserve"> </w:t>
      </w:r>
      <w:proofErr w:type="spellStart"/>
      <w:r w:rsidRPr="00C93054">
        <w:t>akteve</w:t>
      </w:r>
      <w:proofErr w:type="spellEnd"/>
      <w:r w:rsidRPr="00C93054">
        <w:t xml:space="preserve"> normative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rishikimin</w:t>
      </w:r>
      <w:proofErr w:type="spellEnd"/>
      <w:r w:rsidRPr="00C93054">
        <w:t xml:space="preserve"> e </w:t>
      </w:r>
      <w:proofErr w:type="spellStart"/>
      <w:r w:rsidRPr="00C93054">
        <w:t>buxhetit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krahasim</w:t>
      </w:r>
      <w:proofErr w:type="spellEnd"/>
      <w:r>
        <w:t xml:space="preserve"> me </w:t>
      </w:r>
      <w:proofErr w:type="spellStart"/>
      <w:r>
        <w:t>planin</w:t>
      </w:r>
      <w:proofErr w:type="spellEnd"/>
      <w:r>
        <w:t xml:space="preserve"> </w:t>
      </w:r>
      <w:proofErr w:type="spellStart"/>
      <w:r>
        <w:t>fillestar</w:t>
      </w:r>
      <w:proofErr w:type="spellEnd"/>
      <w:r w:rsidRPr="00C93054">
        <w:t xml:space="preserve">. </w:t>
      </w:r>
      <w:proofErr w:type="spellStart"/>
      <w:r w:rsidRPr="00C93054">
        <w:t>Ndryshimet</w:t>
      </w:r>
      <w:proofErr w:type="spellEnd"/>
      <w:r w:rsidRPr="00C93054">
        <w:t xml:space="preserve"> e </w:t>
      </w:r>
      <w:proofErr w:type="spellStart"/>
      <w:r w:rsidRPr="00C93054">
        <w:t>ndodhura</w:t>
      </w:r>
      <w:proofErr w:type="spellEnd"/>
      <w:r w:rsidRPr="00C93054">
        <w:t xml:space="preserve"> </w:t>
      </w:r>
      <w:proofErr w:type="spellStart"/>
      <w:r w:rsidRPr="00C93054">
        <w:t>përgjatë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Pr="00C93054">
        <w:t>mënyrë</w:t>
      </w:r>
      <w:proofErr w:type="spellEnd"/>
      <w:r w:rsidRPr="00C93054">
        <w:t xml:space="preserve"> </w:t>
      </w:r>
      <w:proofErr w:type="spellStart"/>
      <w:r w:rsidRPr="00C93054">
        <w:t>më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detajuar</w:t>
      </w:r>
      <w:proofErr w:type="spellEnd"/>
      <w:r w:rsidRPr="00C93054">
        <w:t xml:space="preserve"> </w:t>
      </w:r>
      <w:proofErr w:type="spellStart"/>
      <w:r w:rsidRPr="00C93054">
        <w:t>paraqiten</w:t>
      </w:r>
      <w:proofErr w:type="spellEnd"/>
      <w:r w:rsidRPr="00C93054">
        <w:t xml:space="preserve"> </w:t>
      </w:r>
      <w:proofErr w:type="spellStart"/>
      <w:r w:rsidRPr="00C93054">
        <w:t>sa</w:t>
      </w:r>
      <w:proofErr w:type="spellEnd"/>
      <w:r w:rsidRPr="00C93054">
        <w:t xml:space="preserve"> </w:t>
      </w:r>
      <w:proofErr w:type="spellStart"/>
      <w:r w:rsidRPr="00C93054">
        <w:t>vijon</w:t>
      </w:r>
      <w:proofErr w:type="spellEnd"/>
      <w:r w:rsidRPr="00C93054">
        <w:t>:</w:t>
      </w:r>
    </w:p>
    <w:p w14:paraId="3BA67314" w14:textId="77777777" w:rsidR="00AB33C3" w:rsidRPr="00C13469" w:rsidRDefault="00AB33C3" w:rsidP="00AB33C3">
      <w:pPr>
        <w:numPr>
          <w:ilvl w:val="0"/>
          <w:numId w:val="17"/>
        </w:numPr>
        <w:jc w:val="both"/>
        <w:rPr>
          <w:lang w:val="sq-AL"/>
        </w:rPr>
      </w:pPr>
      <w:r w:rsidRPr="00C13469">
        <w:rPr>
          <w:lang w:val="sq-AL"/>
        </w:rPr>
        <w:t xml:space="preserve">Akordim i fondit të veçantë në zbatim të </w:t>
      </w:r>
      <w:proofErr w:type="spellStart"/>
      <w:r w:rsidRPr="00C13469">
        <w:t>udhëzimit</w:t>
      </w:r>
      <w:proofErr w:type="spellEnd"/>
      <w:r w:rsidRPr="00C13469">
        <w:t xml:space="preserve"> </w:t>
      </w:r>
      <w:proofErr w:type="spellStart"/>
      <w:r w:rsidRPr="00C13469">
        <w:t>plotësues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Ministrit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Financave</w:t>
      </w:r>
      <w:proofErr w:type="spellEnd"/>
      <w:r w:rsidRPr="00C13469">
        <w:t xml:space="preserve">, nr. 1, </w:t>
      </w:r>
      <w:proofErr w:type="spellStart"/>
      <w:r w:rsidRPr="00C13469">
        <w:t>datë</w:t>
      </w:r>
      <w:proofErr w:type="spellEnd"/>
      <w:r w:rsidRPr="00C13469">
        <w:t xml:space="preserve"> 24.01.2024, “</w:t>
      </w:r>
      <w:proofErr w:type="spellStart"/>
      <w:r w:rsidRPr="00C13469">
        <w:t>Për</w:t>
      </w:r>
      <w:proofErr w:type="spellEnd"/>
      <w:r w:rsidRPr="00C13469">
        <w:t xml:space="preserve"> </w:t>
      </w:r>
      <w:proofErr w:type="spellStart"/>
      <w:r w:rsidRPr="00C13469">
        <w:t>zbatimin</w:t>
      </w:r>
      <w:proofErr w:type="spellEnd"/>
      <w:r w:rsidRPr="00C13469">
        <w:t xml:space="preserve"> e </w:t>
      </w:r>
      <w:proofErr w:type="spellStart"/>
      <w:r w:rsidRPr="00C13469">
        <w:t>buxhetit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vitit</w:t>
      </w:r>
      <w:proofErr w:type="spellEnd"/>
      <w:r w:rsidRPr="00C13469">
        <w:t xml:space="preserve"> 2024”. </w:t>
      </w:r>
    </w:p>
    <w:p w14:paraId="7B99AABE" w14:textId="5DD29EBA" w:rsidR="00AB33C3" w:rsidRPr="00305119" w:rsidRDefault="00AB33C3" w:rsidP="00AB33C3">
      <w:pPr>
        <w:numPr>
          <w:ilvl w:val="0"/>
          <w:numId w:val="17"/>
        </w:numPr>
        <w:jc w:val="both"/>
        <w:rPr>
          <w:lang w:val="sq-AL"/>
        </w:rPr>
      </w:pPr>
      <w:r w:rsidRPr="00305119">
        <w:rPr>
          <w:lang w:val="sq-AL"/>
        </w:rPr>
        <w:t xml:space="preserve">Akordim i fondeve me qëllim përballimin e efekteve financiare në zbatim të VKM nr.421, datë 26.06.2024 </w:t>
      </w:r>
      <w:r w:rsidRPr="00305119">
        <w:rPr>
          <w:i/>
          <w:iCs/>
          <w:lang w:val="sq-AL"/>
        </w:rPr>
        <w:t>Për disa shtesa dhe ndryshime në Vendimin e Këshillit të Ministrave nr. 325, datë 31.5.2023 “Për miratimin e strukturës së pagave, niveleve të pagave dhe shtesave të tjera mbi pagë të Zëvendësministrit, Funksionarëve të Kabineteve, Prefektit, Nënprefektit, Nëpunësve Civilë dhe Nëpunësve në disa institucione të administratës publike</w:t>
      </w:r>
      <w:r w:rsidRPr="00305119">
        <w:rPr>
          <w:lang w:val="sq-AL"/>
        </w:rPr>
        <w:t>””, VKM nr.422, datë 26.06.2024 “</w:t>
      </w:r>
      <w:r w:rsidRPr="00305119">
        <w:rPr>
          <w:i/>
          <w:iCs/>
          <w:lang w:val="sq-AL"/>
        </w:rPr>
        <w:t>Për një ndryshim në Vendimin nr. 326, datë 31.5.2023 të Këshillit të Ministrave, “Për pagat e punonjësve mbështetës dhe punonjësve të tjerë të specialiteteve të ndryshme në disa institucione të administratës publike</w:t>
      </w:r>
      <w:r w:rsidRPr="00305119">
        <w:rPr>
          <w:lang w:val="sq-AL"/>
        </w:rPr>
        <w:t>””,</w:t>
      </w:r>
    </w:p>
    <w:p w14:paraId="51382B1E" w14:textId="246C440F" w:rsidR="00AB33C3" w:rsidRDefault="00CA088E" w:rsidP="00AB33C3">
      <w:pPr>
        <w:numPr>
          <w:ilvl w:val="0"/>
          <w:numId w:val="17"/>
        </w:numPr>
        <w:jc w:val="both"/>
      </w:pPr>
      <w:r>
        <w:rPr>
          <w:lang w:val="sq-AL"/>
        </w:rPr>
        <w:lastRenderedPageBreak/>
        <w:t>Pak</w:t>
      </w:r>
      <w:r w:rsidR="00A36A9A">
        <w:rPr>
          <w:lang w:val="sq-AL"/>
        </w:rPr>
        <w:t>ë</w:t>
      </w:r>
      <w:r>
        <w:rPr>
          <w:lang w:val="sq-AL"/>
        </w:rPr>
        <w:t>simi i fondve</w:t>
      </w:r>
      <w:r w:rsidR="00AB33C3" w:rsidRPr="00D857C0">
        <w:rPr>
          <w:lang w:val="sq-AL"/>
        </w:rPr>
        <w:t xml:space="preserve"> në zbatim të Aktit Normativ nr.3, datë 28.8.2024 </w:t>
      </w:r>
      <w:r>
        <w:rPr>
          <w:lang w:val="sq-AL"/>
        </w:rPr>
        <w:t xml:space="preserve">dhe </w:t>
      </w:r>
      <w:r w:rsidRPr="00D75291">
        <w:rPr>
          <w:lang w:val="sq-AL"/>
        </w:rPr>
        <w:t>Aktit Normativ nr.5, datë 19.12.2024 “Per disa shtesa dhe ndryshime në ligjin nr.97/2023 “Për buxhetin e vitit 2024”</w:t>
      </w:r>
      <w:r w:rsidRPr="00D857C0">
        <w:rPr>
          <w:lang w:val="sq-AL"/>
        </w:rPr>
        <w:t xml:space="preserve"> </w:t>
      </w:r>
      <w:proofErr w:type="spellStart"/>
      <w:r w:rsidR="00AB33C3">
        <w:t>për</w:t>
      </w:r>
      <w:proofErr w:type="spellEnd"/>
      <w:r w:rsidR="00AB33C3">
        <w:t xml:space="preserve"> </w:t>
      </w:r>
      <w:proofErr w:type="spellStart"/>
      <w:r>
        <w:t>arsye</w:t>
      </w:r>
      <w:proofErr w:type="spellEnd"/>
      <w:r>
        <w:t xml:space="preserve"> </w:t>
      </w:r>
      <w:proofErr w:type="spellStart"/>
      <w:r>
        <w:t>t</w:t>
      </w:r>
      <w:r w:rsidR="00A36A9A">
        <w:t>ë</w:t>
      </w:r>
      <w:proofErr w:type="spellEnd"/>
      <w:r>
        <w:t xml:space="preserve"> </w:t>
      </w:r>
      <w:proofErr w:type="spellStart"/>
      <w:r w:rsidR="00AB33C3">
        <w:t>mosrealizim</w:t>
      </w:r>
      <w:r>
        <w:t>it</w:t>
      </w:r>
      <w:proofErr w:type="spellEnd"/>
      <w:r>
        <w:t xml:space="preserve"> </w:t>
      </w:r>
      <w:proofErr w:type="spellStart"/>
      <w:r>
        <w:t>t</w:t>
      </w:r>
      <w:r w:rsidR="00A36A9A">
        <w:t>ë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 w:rsidR="00AB33C3">
        <w:t>sipas</w:t>
      </w:r>
      <w:proofErr w:type="spellEnd"/>
      <w:r w:rsidR="00AB33C3">
        <w:t xml:space="preserve"> </w:t>
      </w:r>
      <w:proofErr w:type="spellStart"/>
      <w:r w:rsidR="00AB33C3">
        <w:t>planit</w:t>
      </w:r>
      <w:proofErr w:type="spellEnd"/>
      <w:r w:rsidR="00AB33C3">
        <w:t xml:space="preserve"> </w:t>
      </w:r>
      <w:proofErr w:type="spellStart"/>
      <w:r w:rsidR="00AB33C3">
        <w:t>për</w:t>
      </w:r>
      <w:proofErr w:type="spellEnd"/>
      <w:r w:rsidR="00AB33C3">
        <w:t xml:space="preserve"> </w:t>
      </w:r>
      <w:proofErr w:type="spellStart"/>
      <w:r w:rsidR="00AB33C3">
        <w:t>periudhën</w:t>
      </w:r>
      <w:proofErr w:type="spellEnd"/>
      <w:r w:rsidR="00AB33C3">
        <w:t xml:space="preserve">. </w:t>
      </w:r>
    </w:p>
    <w:p w14:paraId="69A6C4C6" w14:textId="0BEAB904" w:rsidR="00CA088E" w:rsidRPr="00962E4D" w:rsidRDefault="00CA088E" w:rsidP="00AB33C3">
      <w:pPr>
        <w:numPr>
          <w:ilvl w:val="0"/>
          <w:numId w:val="17"/>
        </w:numPr>
        <w:jc w:val="both"/>
      </w:pPr>
      <w:proofErr w:type="spellStart"/>
      <w:r>
        <w:t>Akordimi</w:t>
      </w:r>
      <w:proofErr w:type="spellEnd"/>
      <w:r>
        <w:t xml:space="preserve"> </w:t>
      </w:r>
      <w:proofErr w:type="spellStart"/>
      <w:r>
        <w:t>fondi</w:t>
      </w:r>
      <w:proofErr w:type="spellEnd"/>
      <w:r>
        <w:t xml:space="preserve"> </w:t>
      </w:r>
      <w:proofErr w:type="spellStart"/>
      <w:r w:rsidR="007E3519">
        <w:t>n</w:t>
      </w:r>
      <w:r w:rsidR="00A36A9A">
        <w:t>ë</w:t>
      </w:r>
      <w:proofErr w:type="spellEnd"/>
      <w:r w:rsidR="007E3519">
        <w:t xml:space="preserve"> </w:t>
      </w:r>
      <w:proofErr w:type="spellStart"/>
      <w:r w:rsidR="007E3519">
        <w:t>vler</w:t>
      </w:r>
      <w:r w:rsidR="00A36A9A">
        <w:t>ë</w:t>
      </w:r>
      <w:r w:rsidR="007E3519">
        <w:t>n</w:t>
      </w:r>
      <w:proofErr w:type="spellEnd"/>
      <w:r w:rsidR="007E3519">
        <w:t xml:space="preserve"> </w:t>
      </w:r>
      <w:proofErr w:type="spellStart"/>
      <w:r w:rsidR="007E3519">
        <w:t>prej</w:t>
      </w:r>
      <w:proofErr w:type="spellEnd"/>
      <w:r w:rsidR="007E3519">
        <w:t xml:space="preserve"> 92.4 </w:t>
      </w:r>
      <w:proofErr w:type="spellStart"/>
      <w:r w:rsidR="007E3519">
        <w:t>milion</w:t>
      </w:r>
      <w:r w:rsidR="00A36A9A">
        <w:t>ë</w:t>
      </w:r>
      <w:proofErr w:type="spellEnd"/>
      <w:r w:rsidR="007E3519">
        <w:t xml:space="preserve"> </w:t>
      </w:r>
      <w:proofErr w:type="spellStart"/>
      <w:r w:rsidR="007E3519">
        <w:t>lek</w:t>
      </w:r>
      <w:r w:rsidR="00A36A9A">
        <w:t>ë</w:t>
      </w:r>
      <w:proofErr w:type="spellEnd"/>
      <w:r w:rsidR="007E3519">
        <w:t xml:space="preserve"> </w:t>
      </w:r>
      <w:proofErr w:type="spellStart"/>
      <w:r w:rsidR="007E3519">
        <w:t>n</w:t>
      </w:r>
      <w:r w:rsidR="00A36A9A">
        <w:t>ë</w:t>
      </w:r>
      <w:r w:rsidR="007E3519">
        <w:t>p</w:t>
      </w:r>
      <w:r w:rsidR="00A36A9A">
        <w:t>ë</w:t>
      </w:r>
      <w:r w:rsidR="007E3519">
        <w:t>rmjet</w:t>
      </w:r>
      <w:proofErr w:type="spellEnd"/>
      <w:r w:rsidR="007E3519">
        <w:t xml:space="preserve"> AN 5/2024 </w:t>
      </w:r>
      <w:r w:rsidR="007E3519">
        <w:rPr>
          <w:szCs w:val="20"/>
          <w:lang w:val="sq-AL"/>
        </w:rPr>
        <w:t xml:space="preserve">për </w:t>
      </w:r>
      <w:proofErr w:type="spellStart"/>
      <w:r w:rsidR="007E3519" w:rsidRPr="00937324">
        <w:rPr>
          <w:szCs w:val="20"/>
        </w:rPr>
        <w:t>pagesën</w:t>
      </w:r>
      <w:proofErr w:type="spellEnd"/>
      <w:r w:rsidR="007E3519" w:rsidRPr="00937324">
        <w:rPr>
          <w:szCs w:val="20"/>
        </w:rPr>
        <w:t xml:space="preserve"> (</w:t>
      </w:r>
      <w:proofErr w:type="spellStart"/>
      <w:r w:rsidR="007E3519" w:rsidRPr="00937324">
        <w:rPr>
          <w:szCs w:val="20"/>
        </w:rPr>
        <w:t>këstin</w:t>
      </w:r>
      <w:proofErr w:type="spellEnd"/>
      <w:r w:rsidR="007E3519" w:rsidRPr="00937324">
        <w:rPr>
          <w:szCs w:val="20"/>
        </w:rPr>
        <w:t xml:space="preserve">) e </w:t>
      </w:r>
      <w:proofErr w:type="spellStart"/>
      <w:r w:rsidR="007E3519" w:rsidRPr="00937324">
        <w:rPr>
          <w:szCs w:val="20"/>
        </w:rPr>
        <w:t>fundit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të</w:t>
      </w:r>
      <w:proofErr w:type="spellEnd"/>
      <w:r w:rsidR="007E3519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diferencës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së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pag</w:t>
      </w:r>
      <w:r w:rsidR="007E3519">
        <w:rPr>
          <w:szCs w:val="20"/>
        </w:rPr>
        <w:t>ës</w:t>
      </w:r>
      <w:proofErr w:type="spellEnd"/>
      <w:r w:rsidR="007E3519">
        <w:rPr>
          <w:szCs w:val="20"/>
        </w:rPr>
        <w:t xml:space="preserve"> </w:t>
      </w:r>
      <w:proofErr w:type="spellStart"/>
      <w:r w:rsidR="007E3519">
        <w:rPr>
          <w:szCs w:val="20"/>
        </w:rPr>
        <w:t>së</w:t>
      </w:r>
      <w:proofErr w:type="spellEnd"/>
      <w:r w:rsidR="007E3519">
        <w:rPr>
          <w:szCs w:val="20"/>
        </w:rPr>
        <w:t xml:space="preserve"> </w:t>
      </w:r>
      <w:proofErr w:type="spellStart"/>
      <w:r w:rsidR="007E3519">
        <w:rPr>
          <w:szCs w:val="20"/>
        </w:rPr>
        <w:t>magjistratit</w:t>
      </w:r>
      <w:proofErr w:type="spellEnd"/>
      <w:r w:rsidR="007E3519">
        <w:rPr>
          <w:szCs w:val="20"/>
        </w:rPr>
        <w:t xml:space="preserve"> </w:t>
      </w:r>
      <w:proofErr w:type="spellStart"/>
      <w:r w:rsidR="007E3519">
        <w:rPr>
          <w:szCs w:val="20"/>
        </w:rPr>
        <w:t>nga</w:t>
      </w:r>
      <w:proofErr w:type="spellEnd"/>
      <w:r w:rsidR="007E3519">
        <w:rPr>
          <w:szCs w:val="20"/>
        </w:rPr>
        <w:t xml:space="preserve"> 1 </w:t>
      </w:r>
      <w:proofErr w:type="spellStart"/>
      <w:r w:rsidR="007E3519">
        <w:rPr>
          <w:szCs w:val="20"/>
        </w:rPr>
        <w:t>janari</w:t>
      </w:r>
      <w:proofErr w:type="spellEnd"/>
      <w:r w:rsidR="007E3519">
        <w:rPr>
          <w:szCs w:val="20"/>
        </w:rPr>
        <w:t xml:space="preserve"> </w:t>
      </w:r>
      <w:r w:rsidR="007E3519" w:rsidRPr="00937324">
        <w:rPr>
          <w:szCs w:val="20"/>
        </w:rPr>
        <w:t xml:space="preserve">2019 e </w:t>
      </w:r>
      <w:proofErr w:type="spellStart"/>
      <w:r w:rsidR="007E3519" w:rsidRPr="00937324">
        <w:rPr>
          <w:szCs w:val="20"/>
        </w:rPr>
        <w:t>në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vazhdim</w:t>
      </w:r>
      <w:proofErr w:type="spellEnd"/>
      <w:r w:rsidR="007E3519" w:rsidRPr="00937324">
        <w:rPr>
          <w:szCs w:val="20"/>
        </w:rPr>
        <w:t xml:space="preserve">, </w:t>
      </w:r>
      <w:proofErr w:type="spellStart"/>
      <w:r w:rsidR="007E3519" w:rsidRPr="00937324">
        <w:rPr>
          <w:szCs w:val="20"/>
        </w:rPr>
        <w:t>sipas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arsyetimit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të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bërë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nga</w:t>
      </w:r>
      <w:proofErr w:type="spellEnd"/>
      <w:r w:rsidR="007E3519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Gjykata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Kushtetuese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në</w:t>
      </w:r>
      <w:proofErr w:type="spellEnd"/>
      <w:r w:rsidR="007E3519" w:rsidRPr="00937324">
        <w:rPr>
          <w:szCs w:val="20"/>
        </w:rPr>
        <w:t xml:space="preserve"> </w:t>
      </w:r>
      <w:proofErr w:type="spellStart"/>
      <w:r w:rsidR="007E3519" w:rsidRPr="00937324">
        <w:rPr>
          <w:szCs w:val="20"/>
        </w:rPr>
        <w:t>vendimin</w:t>
      </w:r>
      <w:proofErr w:type="spellEnd"/>
      <w:r w:rsidR="007E3519" w:rsidRPr="00937324">
        <w:rPr>
          <w:szCs w:val="20"/>
        </w:rPr>
        <w:t xml:space="preserve"> nr.35, </w:t>
      </w:r>
      <w:proofErr w:type="spellStart"/>
      <w:r w:rsidR="007E3519" w:rsidRPr="00937324">
        <w:rPr>
          <w:szCs w:val="20"/>
        </w:rPr>
        <w:t>datë</w:t>
      </w:r>
      <w:proofErr w:type="spellEnd"/>
      <w:r w:rsidR="007E3519" w:rsidRPr="00937324">
        <w:rPr>
          <w:szCs w:val="20"/>
        </w:rPr>
        <w:t xml:space="preserve"> 22.11.2022</w:t>
      </w:r>
    </w:p>
    <w:p w14:paraId="29DFD55F" w14:textId="77777777" w:rsidR="007E3519" w:rsidRPr="007E3519" w:rsidRDefault="00AB33C3" w:rsidP="007E3519">
      <w:pPr>
        <w:numPr>
          <w:ilvl w:val="0"/>
          <w:numId w:val="17"/>
        </w:numPr>
        <w:jc w:val="both"/>
      </w:pPr>
      <w:proofErr w:type="spellStart"/>
      <w:r w:rsidRPr="00D75291">
        <w:t>Akordim</w:t>
      </w:r>
      <w:proofErr w:type="spellEnd"/>
      <w:r w:rsidRPr="00D75291">
        <w:t xml:space="preserve"> </w:t>
      </w:r>
      <w:proofErr w:type="spellStart"/>
      <w:r w:rsidRPr="00D75291">
        <w:t>fondi</w:t>
      </w:r>
      <w:proofErr w:type="spellEnd"/>
      <w:r w:rsidRPr="00D75291">
        <w:t xml:space="preserve"> </w:t>
      </w:r>
      <w:proofErr w:type="spellStart"/>
      <w:r w:rsidRPr="00D75291">
        <w:t>në</w:t>
      </w:r>
      <w:proofErr w:type="spellEnd"/>
      <w:r w:rsidRPr="00D75291">
        <w:t xml:space="preserve"> </w:t>
      </w:r>
      <w:proofErr w:type="spellStart"/>
      <w:r w:rsidRPr="00D75291">
        <w:t>zbatim</w:t>
      </w:r>
      <w:proofErr w:type="spellEnd"/>
      <w:r w:rsidRPr="00D75291">
        <w:t xml:space="preserve"> </w:t>
      </w:r>
      <w:proofErr w:type="spellStart"/>
      <w:r w:rsidRPr="00D75291">
        <w:t>të</w:t>
      </w:r>
      <w:proofErr w:type="spellEnd"/>
      <w:r w:rsidRPr="00D75291">
        <w:t xml:space="preserve"> VKM </w:t>
      </w:r>
      <w:r w:rsidRPr="00D75291">
        <w:rPr>
          <w:lang w:val="sq-AL"/>
        </w:rPr>
        <w:t>nr. 846, datë 26.12.2024 “Për dhënien e një ndihme të menjëhershme financiare për punonjësit mbështetës të qeverisjes qendrore”</w:t>
      </w:r>
      <w:r w:rsidR="007E3519">
        <w:rPr>
          <w:lang w:val="sq-AL"/>
        </w:rPr>
        <w:t>.</w:t>
      </w:r>
    </w:p>
    <w:p w14:paraId="1697BE1E" w14:textId="5C01CCCC" w:rsidR="00051358" w:rsidRPr="00945B8E" w:rsidRDefault="007E3519" w:rsidP="00051358">
      <w:pPr>
        <w:numPr>
          <w:ilvl w:val="0"/>
          <w:numId w:val="17"/>
        </w:numPr>
        <w:jc w:val="both"/>
        <w:rPr>
          <w:lang w:val="sq-AL"/>
        </w:rPr>
      </w:pPr>
      <w:r w:rsidRPr="0080104A">
        <w:rPr>
          <w:lang w:val="sq-AL"/>
        </w:rPr>
        <w:t>Akordim fondi me q</w:t>
      </w:r>
      <w:r w:rsidR="00A36A9A" w:rsidRPr="0080104A">
        <w:rPr>
          <w:lang w:val="sq-AL"/>
        </w:rPr>
        <w:t>ë</w:t>
      </w:r>
      <w:r w:rsidRPr="0080104A">
        <w:rPr>
          <w:lang w:val="sq-AL"/>
        </w:rPr>
        <w:t>llim kryerjen e pagesave p</w:t>
      </w:r>
      <w:r w:rsidR="00A36A9A" w:rsidRPr="0080104A">
        <w:rPr>
          <w:lang w:val="sq-AL"/>
        </w:rPr>
        <w:t>ë</w:t>
      </w:r>
      <w:r w:rsidRPr="0080104A">
        <w:rPr>
          <w:lang w:val="sq-AL"/>
        </w:rPr>
        <w:t xml:space="preserve">r për ish funksionarët që përfitojnë pagesë pas </w:t>
      </w:r>
      <w:r w:rsidR="00051358" w:rsidRPr="00945B8E">
        <w:rPr>
          <w:lang w:val="sq-AL"/>
        </w:rPr>
        <w:t>ndërprejes së funksionit të fundit si subjekt të ligjit nr. 8097, datë 21.03.1996</w:t>
      </w:r>
      <w:r w:rsidR="00051358" w:rsidRPr="00945B8E">
        <w:rPr>
          <w:i/>
          <w:lang w:val="sq-AL"/>
        </w:rPr>
        <w:t xml:space="preserve"> “Për pensionet shtetërore suplementare të personave që kryejnë funksione kushtetuese dhe të punonjësve të shtetit”, </w:t>
      </w:r>
      <w:r w:rsidR="00051358" w:rsidRPr="00945B8E">
        <w:rPr>
          <w:lang w:val="sq-AL"/>
        </w:rPr>
        <w:t>i ndryshuar.</w:t>
      </w:r>
      <w:r w:rsidR="00051358" w:rsidRPr="00945B8E">
        <w:rPr>
          <w:b/>
          <w:lang w:val="sq-AL"/>
        </w:rPr>
        <w:t xml:space="preserve"> </w:t>
      </w:r>
    </w:p>
    <w:p w14:paraId="1D9D5229" w14:textId="56654868" w:rsidR="00322710" w:rsidRPr="0080104A" w:rsidRDefault="00322710" w:rsidP="00051358">
      <w:pPr>
        <w:spacing w:after="120"/>
        <w:ind w:left="360"/>
        <w:jc w:val="both"/>
        <w:rPr>
          <w:lang w:val="sq-AL"/>
        </w:rPr>
      </w:pPr>
    </w:p>
    <w:p w14:paraId="7241DE74" w14:textId="7CC7F20A" w:rsidR="00AB33C3" w:rsidRPr="002F3EBA" w:rsidRDefault="00AB33C3" w:rsidP="00AB33C3">
      <w:pPr>
        <w:spacing w:after="120"/>
        <w:jc w:val="both"/>
        <w:rPr>
          <w:lang w:val="sq-AL"/>
        </w:rPr>
      </w:pPr>
      <w:r>
        <w:rPr>
          <w:lang w:val="sq-AL"/>
        </w:rPr>
        <w:t>S</w:t>
      </w:r>
      <w:r w:rsidRPr="005C6D0D">
        <w:rPr>
          <w:lang w:val="sq-AL"/>
        </w:rPr>
        <w:t xml:space="preserve">ituata në lidhje me realizimin e </w:t>
      </w:r>
      <w:r w:rsidRPr="00EA0447">
        <w:rPr>
          <w:lang w:val="sq-AL"/>
        </w:rPr>
        <w:t xml:space="preserve">shpenzimeve të buxhetit, </w:t>
      </w:r>
      <w:r>
        <w:rPr>
          <w:lang w:val="sq-AL"/>
        </w:rPr>
        <w:t xml:space="preserve">sipas klasifikimit ekonomik </w:t>
      </w:r>
      <w:r w:rsidRPr="00EA0447">
        <w:rPr>
          <w:lang w:val="sq-AL"/>
        </w:rPr>
        <w:t>paraqitet si më poshtë:</w:t>
      </w:r>
    </w:p>
    <w:p w14:paraId="64000498" w14:textId="77777777" w:rsidR="00AB33C3" w:rsidRDefault="00AB33C3" w:rsidP="00AB33C3">
      <w:pPr>
        <w:spacing w:after="120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</w:t>
      </w:r>
      <w:r w:rsidRPr="00835D83">
        <w:rPr>
          <w:i/>
          <w:iCs/>
          <w:lang w:val="sq-AL"/>
        </w:rPr>
        <w:t>abela</w:t>
      </w:r>
      <w:r>
        <w:rPr>
          <w:i/>
          <w:iCs/>
          <w:lang w:val="sq-AL"/>
        </w:rPr>
        <w:t>:</w:t>
      </w:r>
      <w:r w:rsidRPr="00835D83">
        <w:rPr>
          <w:i/>
          <w:iCs/>
          <w:lang w:val="sq-AL"/>
        </w:rPr>
        <w:t xml:space="preserve"> Realizimi i shpenzimeve sipas klasifikimit ekonomik (n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lek)</w:t>
      </w:r>
    </w:p>
    <w:p w14:paraId="30A8032F" w14:textId="7DF9F951" w:rsidR="00AB33C3" w:rsidRDefault="00B10A0E" w:rsidP="00AB33C3">
      <w:pPr>
        <w:spacing w:after="120"/>
        <w:jc w:val="both"/>
        <w:rPr>
          <w:i/>
          <w:iCs/>
          <w:lang w:val="sq-AL"/>
        </w:rPr>
      </w:pPr>
      <w:r w:rsidRPr="00B10A0E">
        <w:rPr>
          <w:noProof/>
        </w:rPr>
        <w:drawing>
          <wp:inline distT="0" distB="0" distL="0" distR="0" wp14:anchorId="017EC0F6" wp14:editId="0945500A">
            <wp:extent cx="6671462" cy="4008120"/>
            <wp:effectExtent l="0" t="0" r="0" b="0"/>
            <wp:docPr id="168408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447" cy="40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DCCD" w14:textId="77777777" w:rsidR="00AB33C3" w:rsidRPr="005426BA" w:rsidRDefault="00AB33C3" w:rsidP="00AB33C3">
      <w:pPr>
        <w:spacing w:after="120"/>
        <w:jc w:val="both"/>
        <w:rPr>
          <w:lang w:val="sq-AL"/>
        </w:rPr>
      </w:pPr>
    </w:p>
    <w:p w14:paraId="43FC64CE" w14:textId="3AF8E5D5" w:rsidR="00AB33C3" w:rsidRPr="005C6D0D" w:rsidRDefault="00AB33C3" w:rsidP="00AB33C3">
      <w:pPr>
        <w:spacing w:after="120"/>
        <w:jc w:val="both"/>
        <w:rPr>
          <w:lang w:val="sq-AL"/>
        </w:rPr>
      </w:pPr>
      <w:proofErr w:type="spellStart"/>
      <w:r w:rsidRPr="00A85FD8">
        <w:rPr>
          <w:spacing w:val="-2"/>
        </w:rPr>
        <w:t>Për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sa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më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lartë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rezulton</w:t>
      </w:r>
      <w:proofErr w:type="spellEnd"/>
      <w:r w:rsidRPr="00A85FD8">
        <w:rPr>
          <w:spacing w:val="-2"/>
        </w:rPr>
        <w:t xml:space="preserve"> se, </w:t>
      </w:r>
      <w:proofErr w:type="spellStart"/>
      <w:r>
        <w:rPr>
          <w:spacing w:val="-2"/>
        </w:rPr>
        <w:t>s</w:t>
      </w:r>
      <w:r>
        <w:t>hpenzimet</w:t>
      </w:r>
      <w:proofErr w:type="spellEnd"/>
      <w:r>
        <w:t xml:space="preserve"> </w:t>
      </w:r>
      <w:proofErr w:type="spellStart"/>
      <w:r>
        <w:t>korrente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9</w:t>
      </w:r>
      <w:r w:rsidR="003D025D">
        <w:t>7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me </w:t>
      </w:r>
      <w:proofErr w:type="spellStart"/>
      <w:r>
        <w:t>ndryshime</w:t>
      </w:r>
      <w:proofErr w:type="spellEnd"/>
      <w:r>
        <w:t xml:space="preserve"> </w:t>
      </w:r>
      <w:proofErr w:type="spellStart"/>
      <w:r w:rsidR="003D025D">
        <w:t>si</w:t>
      </w:r>
      <w:proofErr w:type="spellEnd"/>
      <w:r w:rsidR="003D025D">
        <w:t xml:space="preserve"> </w:t>
      </w:r>
      <w:proofErr w:type="spellStart"/>
      <w:r w:rsidR="003D025D">
        <w:t>dhe</w:t>
      </w:r>
      <w:proofErr w:type="spellEnd"/>
      <w:r w:rsidR="003D025D">
        <w:t xml:space="preserve">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 w:rsidR="003D025D">
        <w:rPr>
          <w:lang w:val="sq-AL"/>
        </w:rPr>
        <w:t>88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me ndryshime për vitin </w:t>
      </w:r>
      <w:r w:rsidRPr="005C6D0D">
        <w:rPr>
          <w:lang w:val="sq-AL"/>
        </w:rPr>
        <w:t>2024</w:t>
      </w:r>
      <w:r>
        <w:rPr>
          <w:lang w:val="sq-AL"/>
        </w:rPr>
        <w:t xml:space="preserve"> apo 78% kundrejt planit fillestar për vitin 2024.</w:t>
      </w:r>
    </w:p>
    <w:p w14:paraId="44B41A9D" w14:textId="39FABD5A" w:rsidR="00AB33C3" w:rsidRPr="007F29D8" w:rsidRDefault="00AB33C3" w:rsidP="00AB33C3">
      <w:pPr>
        <w:spacing w:after="120"/>
        <w:jc w:val="both"/>
        <w:rPr>
          <w:spacing w:val="-2"/>
        </w:rPr>
      </w:pPr>
      <w:proofErr w:type="spellStart"/>
      <w:r>
        <w:rPr>
          <w:spacing w:val="-2"/>
        </w:rPr>
        <w:t>S</w:t>
      </w:r>
      <w:r w:rsidRPr="00A85FD8">
        <w:rPr>
          <w:spacing w:val="-2"/>
        </w:rPr>
        <w:t>hpenzimet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korente</w:t>
      </w:r>
      <w:proofErr w:type="spellEnd"/>
      <w:r w:rsidRPr="00A85FD8">
        <w:rPr>
          <w:spacing w:val="-2"/>
        </w:rPr>
        <w:t xml:space="preserve">, </w:t>
      </w:r>
      <w:proofErr w:type="spellStart"/>
      <w:r w:rsidRPr="00A85FD8">
        <w:rPr>
          <w:spacing w:val="-2"/>
        </w:rPr>
        <w:t>konkretisht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shpenzimet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p</w:t>
      </w:r>
      <w:r>
        <w:rPr>
          <w:spacing w:val="-2"/>
        </w:rPr>
        <w:t>ë</w:t>
      </w:r>
      <w:r w:rsidRPr="00A85FD8">
        <w:rPr>
          <w:spacing w:val="-2"/>
        </w:rPr>
        <w:t>r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paga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zën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peshën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më</w:t>
      </w:r>
      <w:proofErr w:type="spellEnd"/>
      <w:r w:rsidRPr="00A85FD8">
        <w:rPr>
          <w:spacing w:val="-2"/>
        </w:rPr>
        <w:t xml:space="preserve"> </w:t>
      </w:r>
      <w:proofErr w:type="spellStart"/>
      <w:r w:rsidRPr="00A85FD8">
        <w:rPr>
          <w:spacing w:val="-2"/>
        </w:rPr>
        <w:t>të</w:t>
      </w:r>
      <w:proofErr w:type="spellEnd"/>
      <w:r w:rsidRPr="00A85F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madhe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të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shpenzimeve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të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planifikuar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dhe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faktike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për</w:t>
      </w:r>
      <w:proofErr w:type="spellEnd"/>
      <w:r w:rsidRPr="007F29D8">
        <w:rPr>
          <w:spacing w:val="-2"/>
        </w:rPr>
        <w:t xml:space="preserve"> </w:t>
      </w:r>
      <w:r w:rsidR="003D025D">
        <w:rPr>
          <w:spacing w:val="-2"/>
        </w:rPr>
        <w:t>KLGJ</w:t>
      </w:r>
      <w:r w:rsidRPr="007F29D8">
        <w:rPr>
          <w:spacing w:val="-2"/>
        </w:rPr>
        <w:t xml:space="preserve"> me </w:t>
      </w:r>
      <w:proofErr w:type="spellStart"/>
      <w:r w:rsidRPr="007F29D8">
        <w:rPr>
          <w:spacing w:val="-2"/>
        </w:rPr>
        <w:t>rreth</w:t>
      </w:r>
      <w:proofErr w:type="spellEnd"/>
      <w:r w:rsidRPr="007F29D8">
        <w:rPr>
          <w:spacing w:val="-2"/>
        </w:rPr>
        <w:t xml:space="preserve"> </w:t>
      </w:r>
      <w:r w:rsidR="003D025D">
        <w:rPr>
          <w:spacing w:val="-2"/>
        </w:rPr>
        <w:t>67</w:t>
      </w:r>
      <w:r w:rsidRPr="007F29D8">
        <w:rPr>
          <w:spacing w:val="-2"/>
        </w:rPr>
        <w:t>%.</w:t>
      </w:r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Realizimi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i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fondeve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të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pagave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dhe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kontributeve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të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lastRenderedPageBreak/>
        <w:t>sigurimeve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kundrejtë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planint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fillestar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është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përkatësisht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rreth</w:t>
      </w:r>
      <w:proofErr w:type="spellEnd"/>
      <w:r w:rsidR="008B06CE">
        <w:rPr>
          <w:spacing w:val="-2"/>
        </w:rPr>
        <w:t xml:space="preserve"> 92% </w:t>
      </w:r>
      <w:proofErr w:type="spellStart"/>
      <w:r w:rsidR="008B06CE">
        <w:rPr>
          <w:spacing w:val="-2"/>
        </w:rPr>
        <w:t>dhe</w:t>
      </w:r>
      <w:proofErr w:type="spellEnd"/>
      <w:r w:rsidR="008B06CE">
        <w:rPr>
          <w:spacing w:val="-2"/>
        </w:rPr>
        <w:t xml:space="preserve"> 86% </w:t>
      </w:r>
      <w:proofErr w:type="spellStart"/>
      <w:r w:rsidR="008B06CE">
        <w:rPr>
          <w:spacing w:val="-2"/>
        </w:rPr>
        <w:t>për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shkak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të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vakancave</w:t>
      </w:r>
      <w:proofErr w:type="spellEnd"/>
      <w:r w:rsidR="008B06CE">
        <w:rPr>
          <w:spacing w:val="-2"/>
        </w:rPr>
        <w:t xml:space="preserve"> </w:t>
      </w:r>
      <w:proofErr w:type="spellStart"/>
      <w:r w:rsidR="008B06CE">
        <w:rPr>
          <w:spacing w:val="-2"/>
        </w:rPr>
        <w:t>në</w:t>
      </w:r>
      <w:proofErr w:type="spellEnd"/>
      <w:r w:rsidR="008B06CE">
        <w:rPr>
          <w:spacing w:val="-2"/>
        </w:rPr>
        <w:t xml:space="preserve"> systemin </w:t>
      </w:r>
      <w:proofErr w:type="spellStart"/>
      <w:r w:rsidR="008B06CE">
        <w:rPr>
          <w:spacing w:val="-2"/>
        </w:rPr>
        <w:t>gjyqësor</w:t>
      </w:r>
      <w:proofErr w:type="spellEnd"/>
      <w:r w:rsidR="008B06CE">
        <w:rPr>
          <w:spacing w:val="-2"/>
        </w:rPr>
        <w:t xml:space="preserve">. </w:t>
      </w:r>
    </w:p>
    <w:p w14:paraId="4C6DC277" w14:textId="2BD68914" w:rsidR="00AB33C3" w:rsidRDefault="00AB33C3" w:rsidP="00AB33C3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 w:rsidRPr="007F29D8">
        <w:rPr>
          <w:spacing w:val="-2"/>
        </w:rPr>
        <w:t xml:space="preserve">, </w:t>
      </w:r>
      <w:proofErr w:type="spellStart"/>
      <w:r w:rsidRPr="007F29D8">
        <w:rPr>
          <w:spacing w:val="-2"/>
        </w:rPr>
        <w:t>shpenzimet</w:t>
      </w:r>
      <w:proofErr w:type="spellEnd"/>
      <w:r w:rsidRPr="007F29D8">
        <w:rPr>
          <w:spacing w:val="-2"/>
        </w:rPr>
        <w:t xml:space="preserve"> e </w:t>
      </w:r>
      <w:proofErr w:type="spellStart"/>
      <w:r w:rsidRPr="007F29D8">
        <w:rPr>
          <w:spacing w:val="-2"/>
        </w:rPr>
        <w:t>personelit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paraqiten</w:t>
      </w:r>
      <w:proofErr w:type="spellEnd"/>
      <w:r w:rsidRPr="007F29D8">
        <w:rPr>
          <w:spacing w:val="-2"/>
        </w:rPr>
        <w:t xml:space="preserve"> me </w:t>
      </w:r>
      <w:proofErr w:type="spellStart"/>
      <w:r w:rsidRPr="007F29D8">
        <w:rPr>
          <w:spacing w:val="-2"/>
        </w:rPr>
        <w:t>një</w:t>
      </w:r>
      <w:proofErr w:type="spellEnd"/>
      <w:r w:rsidRPr="007F29D8">
        <w:rPr>
          <w:spacing w:val="-2"/>
        </w:rPr>
        <w:t xml:space="preserve"> </w:t>
      </w:r>
      <w:proofErr w:type="spellStart"/>
      <w:r w:rsidR="008B06CE">
        <w:rPr>
          <w:spacing w:val="-2"/>
        </w:rPr>
        <w:t>ulje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prej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rreth</w:t>
      </w:r>
      <w:proofErr w:type="spellEnd"/>
      <w:r w:rsidRPr="007F29D8">
        <w:rPr>
          <w:spacing w:val="-2"/>
        </w:rPr>
        <w:t xml:space="preserve"> </w:t>
      </w:r>
      <w:r w:rsidR="003D025D">
        <w:rPr>
          <w:spacing w:val="-2"/>
        </w:rPr>
        <w:t>6</w:t>
      </w:r>
      <w:r w:rsidRPr="007F29D8">
        <w:rPr>
          <w:spacing w:val="-2"/>
        </w:rPr>
        <w:t xml:space="preserve">% </w:t>
      </w:r>
      <w:proofErr w:type="spellStart"/>
      <w:r w:rsidRPr="007F29D8">
        <w:rPr>
          <w:spacing w:val="-2"/>
        </w:rPr>
        <w:t>në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krahasim</w:t>
      </w:r>
      <w:proofErr w:type="spellEnd"/>
      <w:r w:rsidRPr="007F29D8">
        <w:rPr>
          <w:spacing w:val="-2"/>
        </w:rPr>
        <w:t xml:space="preserve"> me </w:t>
      </w:r>
      <w:proofErr w:type="spellStart"/>
      <w:r w:rsidRPr="007F29D8">
        <w:rPr>
          <w:spacing w:val="-2"/>
        </w:rPr>
        <w:t>një</w:t>
      </w:r>
      <w:proofErr w:type="spellEnd"/>
      <w:r w:rsidRPr="007F29D8">
        <w:rPr>
          <w:spacing w:val="-2"/>
        </w:rPr>
        <w:t xml:space="preserve"> vit </w:t>
      </w:r>
      <w:proofErr w:type="spellStart"/>
      <w:r w:rsidRPr="007F29D8">
        <w:rPr>
          <w:spacing w:val="-2"/>
        </w:rPr>
        <w:t>më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parë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ku</w:t>
      </w:r>
      <w:proofErr w:type="spellEnd"/>
      <w:r w:rsidRPr="007F29D8">
        <w:rPr>
          <w:spacing w:val="-2"/>
        </w:rPr>
        <w:t xml:space="preserve"> ka </w:t>
      </w:r>
      <w:proofErr w:type="spellStart"/>
      <w:r w:rsidRPr="007F29D8">
        <w:rPr>
          <w:spacing w:val="-2"/>
        </w:rPr>
        <w:t>ndikuar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rritja</w:t>
      </w:r>
      <w:proofErr w:type="spellEnd"/>
      <w:r w:rsidRPr="007F29D8">
        <w:rPr>
          <w:spacing w:val="-2"/>
        </w:rPr>
        <w:t xml:space="preserve"> e </w:t>
      </w:r>
      <w:proofErr w:type="spellStart"/>
      <w:r w:rsidRPr="007F29D8">
        <w:rPr>
          <w:spacing w:val="-2"/>
        </w:rPr>
        <w:t>pagave</w:t>
      </w:r>
      <w:proofErr w:type="spellEnd"/>
      <w:r w:rsidRPr="007F29D8">
        <w:rPr>
          <w:spacing w:val="-2"/>
        </w:rPr>
        <w:t xml:space="preserve">; </w:t>
      </w:r>
      <w:proofErr w:type="spellStart"/>
      <w:r w:rsidRPr="007F29D8">
        <w:rPr>
          <w:spacing w:val="-2"/>
        </w:rPr>
        <w:t>zëri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mallra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dhe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shërbime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paraqitet</w:t>
      </w:r>
      <w:proofErr w:type="spellEnd"/>
      <w:r w:rsidRPr="007F29D8">
        <w:rPr>
          <w:spacing w:val="-2"/>
        </w:rPr>
        <w:t xml:space="preserve"> me </w:t>
      </w:r>
      <w:proofErr w:type="spellStart"/>
      <w:r w:rsidRPr="007F29D8">
        <w:rPr>
          <w:spacing w:val="-2"/>
        </w:rPr>
        <w:t>rritje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prej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rreth</w:t>
      </w:r>
      <w:proofErr w:type="spellEnd"/>
      <w:r w:rsidRPr="007F29D8">
        <w:rPr>
          <w:spacing w:val="-2"/>
        </w:rPr>
        <w:t xml:space="preserve"> </w:t>
      </w:r>
      <w:r w:rsidR="003D025D">
        <w:rPr>
          <w:spacing w:val="-2"/>
        </w:rPr>
        <w:t>33</w:t>
      </w:r>
      <w:r w:rsidRPr="007F29D8">
        <w:rPr>
          <w:spacing w:val="-2"/>
        </w:rPr>
        <w:t xml:space="preserve">% </w:t>
      </w:r>
      <w:proofErr w:type="spellStart"/>
      <w:r w:rsidRPr="007F29D8">
        <w:rPr>
          <w:spacing w:val="-2"/>
        </w:rPr>
        <w:t>në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krahasim</w:t>
      </w:r>
      <w:proofErr w:type="spellEnd"/>
      <w:r w:rsidRPr="007F29D8">
        <w:rPr>
          <w:spacing w:val="-2"/>
        </w:rPr>
        <w:t xml:space="preserve"> me </w:t>
      </w:r>
      <w:proofErr w:type="spellStart"/>
      <w:r w:rsidRPr="007F29D8">
        <w:rPr>
          <w:spacing w:val="-2"/>
        </w:rPr>
        <w:t>një</w:t>
      </w:r>
      <w:proofErr w:type="spellEnd"/>
      <w:r w:rsidRPr="007F29D8">
        <w:rPr>
          <w:spacing w:val="-2"/>
        </w:rPr>
        <w:t xml:space="preserve"> vit </w:t>
      </w:r>
      <w:proofErr w:type="spellStart"/>
      <w:r w:rsidRPr="007F29D8">
        <w:rPr>
          <w:spacing w:val="-2"/>
        </w:rPr>
        <w:t>më</w:t>
      </w:r>
      <w:proofErr w:type="spellEnd"/>
      <w:r w:rsidRPr="007F29D8">
        <w:rPr>
          <w:spacing w:val="-2"/>
        </w:rPr>
        <w:t xml:space="preserve"> </w:t>
      </w:r>
      <w:r w:rsidR="003D025D">
        <w:rPr>
          <w:spacing w:val="-2"/>
        </w:rPr>
        <w:t xml:space="preserve">pare </w:t>
      </w:r>
      <w:proofErr w:type="spellStart"/>
      <w:r w:rsidR="003D025D">
        <w:rPr>
          <w:spacing w:val="-2"/>
        </w:rPr>
        <w:t>ku</w:t>
      </w:r>
      <w:proofErr w:type="spellEnd"/>
      <w:r w:rsidR="003D025D">
        <w:rPr>
          <w:spacing w:val="-2"/>
        </w:rPr>
        <w:t xml:space="preserve"> ka </w:t>
      </w:r>
      <w:proofErr w:type="spellStart"/>
      <w:r w:rsidR="003D025D">
        <w:rPr>
          <w:spacing w:val="-2"/>
        </w:rPr>
        <w:t>ndikuar</w:t>
      </w:r>
      <w:proofErr w:type="spellEnd"/>
      <w:r w:rsidR="003D025D">
        <w:rPr>
          <w:spacing w:val="-2"/>
        </w:rPr>
        <w:t xml:space="preserve"> </w:t>
      </w:r>
      <w:proofErr w:type="spellStart"/>
      <w:r w:rsidR="003D025D">
        <w:rPr>
          <w:spacing w:val="-2"/>
        </w:rPr>
        <w:t>akordimi</w:t>
      </w:r>
      <w:proofErr w:type="spellEnd"/>
      <w:r w:rsidR="003D025D">
        <w:rPr>
          <w:spacing w:val="-2"/>
        </w:rPr>
        <w:t xml:space="preserve"> </w:t>
      </w:r>
      <w:proofErr w:type="spellStart"/>
      <w:r w:rsidR="003D025D">
        <w:rPr>
          <w:spacing w:val="-2"/>
        </w:rPr>
        <w:t>i</w:t>
      </w:r>
      <w:proofErr w:type="spellEnd"/>
      <w:r w:rsidR="003D025D">
        <w:rPr>
          <w:spacing w:val="-2"/>
        </w:rPr>
        <w:t xml:space="preserve"> </w:t>
      </w:r>
      <w:proofErr w:type="spellStart"/>
      <w:r w:rsidR="003D025D">
        <w:rPr>
          <w:spacing w:val="-2"/>
        </w:rPr>
        <w:t>fondeve</w:t>
      </w:r>
      <w:proofErr w:type="spellEnd"/>
      <w:r w:rsidR="003D025D">
        <w:rPr>
          <w:spacing w:val="-2"/>
        </w:rPr>
        <w:t xml:space="preserve"> </w:t>
      </w:r>
      <w:proofErr w:type="spellStart"/>
      <w:r w:rsidR="003D025D">
        <w:rPr>
          <w:spacing w:val="-2"/>
        </w:rPr>
        <w:t>shtes</w:t>
      </w:r>
      <w:r w:rsidR="00A36A9A">
        <w:rPr>
          <w:spacing w:val="-2"/>
        </w:rPr>
        <w:t>ë</w:t>
      </w:r>
      <w:proofErr w:type="spellEnd"/>
      <w:r w:rsidR="003D025D">
        <w:rPr>
          <w:spacing w:val="-2"/>
        </w:rPr>
        <w:t xml:space="preserve"> me </w:t>
      </w:r>
      <w:proofErr w:type="spellStart"/>
      <w:r w:rsidR="003D025D">
        <w:rPr>
          <w:spacing w:val="-2"/>
        </w:rPr>
        <w:t>q</w:t>
      </w:r>
      <w:r w:rsidR="00A36A9A">
        <w:rPr>
          <w:spacing w:val="-2"/>
        </w:rPr>
        <w:t>ë</w:t>
      </w:r>
      <w:r w:rsidR="003D025D">
        <w:rPr>
          <w:spacing w:val="-2"/>
        </w:rPr>
        <w:t>llim</w:t>
      </w:r>
      <w:proofErr w:type="spellEnd"/>
      <w:r w:rsidR="003D025D">
        <w:rPr>
          <w:spacing w:val="-2"/>
        </w:rPr>
        <w:t xml:space="preserve"> </w:t>
      </w:r>
      <w:proofErr w:type="spellStart"/>
      <w:r w:rsidR="003D025D" w:rsidRPr="00937324">
        <w:rPr>
          <w:szCs w:val="20"/>
        </w:rPr>
        <w:t>pagesën</w:t>
      </w:r>
      <w:proofErr w:type="spellEnd"/>
      <w:r w:rsidR="003D025D" w:rsidRPr="00937324">
        <w:rPr>
          <w:szCs w:val="20"/>
        </w:rPr>
        <w:t xml:space="preserve"> (</w:t>
      </w:r>
      <w:proofErr w:type="spellStart"/>
      <w:r w:rsidR="003D025D" w:rsidRPr="00937324">
        <w:rPr>
          <w:szCs w:val="20"/>
        </w:rPr>
        <w:t>këstin</w:t>
      </w:r>
      <w:proofErr w:type="spellEnd"/>
      <w:r w:rsidR="003D025D" w:rsidRPr="00937324">
        <w:rPr>
          <w:szCs w:val="20"/>
        </w:rPr>
        <w:t xml:space="preserve">) e </w:t>
      </w:r>
      <w:proofErr w:type="spellStart"/>
      <w:r w:rsidR="003D025D" w:rsidRPr="00937324">
        <w:rPr>
          <w:szCs w:val="20"/>
        </w:rPr>
        <w:t>fundit</w:t>
      </w:r>
      <w:proofErr w:type="spellEnd"/>
      <w:r w:rsidR="003D025D" w:rsidRPr="00937324">
        <w:rPr>
          <w:szCs w:val="20"/>
        </w:rPr>
        <w:t xml:space="preserve"> </w:t>
      </w:r>
      <w:proofErr w:type="spellStart"/>
      <w:r w:rsidR="003D025D" w:rsidRPr="00937324">
        <w:rPr>
          <w:szCs w:val="20"/>
        </w:rPr>
        <w:t>të</w:t>
      </w:r>
      <w:proofErr w:type="spellEnd"/>
      <w:r w:rsidR="003D025D">
        <w:rPr>
          <w:szCs w:val="20"/>
        </w:rPr>
        <w:t xml:space="preserve"> </w:t>
      </w:r>
      <w:proofErr w:type="spellStart"/>
      <w:r w:rsidR="003D025D" w:rsidRPr="00937324">
        <w:rPr>
          <w:szCs w:val="20"/>
        </w:rPr>
        <w:t>diferencës</w:t>
      </w:r>
      <w:proofErr w:type="spellEnd"/>
      <w:r w:rsidR="003D025D" w:rsidRPr="00937324">
        <w:rPr>
          <w:szCs w:val="20"/>
        </w:rPr>
        <w:t xml:space="preserve"> </w:t>
      </w:r>
      <w:proofErr w:type="spellStart"/>
      <w:r w:rsidR="003D025D" w:rsidRPr="00937324">
        <w:rPr>
          <w:szCs w:val="20"/>
        </w:rPr>
        <w:t>së</w:t>
      </w:r>
      <w:proofErr w:type="spellEnd"/>
      <w:r w:rsidR="003D025D" w:rsidRPr="00937324">
        <w:rPr>
          <w:szCs w:val="20"/>
        </w:rPr>
        <w:t xml:space="preserve"> </w:t>
      </w:r>
      <w:proofErr w:type="spellStart"/>
      <w:r w:rsidR="003D025D" w:rsidRPr="00937324">
        <w:rPr>
          <w:szCs w:val="20"/>
        </w:rPr>
        <w:t>pag</w:t>
      </w:r>
      <w:r w:rsidR="003D025D">
        <w:rPr>
          <w:szCs w:val="20"/>
        </w:rPr>
        <w:t>ës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së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magjistratit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sipas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Vendimit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t</w:t>
      </w:r>
      <w:r w:rsidR="00A36A9A">
        <w:rPr>
          <w:szCs w:val="20"/>
        </w:rPr>
        <w:t>ë</w:t>
      </w:r>
      <w:proofErr w:type="spellEnd"/>
      <w:r w:rsidR="003D025D">
        <w:rPr>
          <w:szCs w:val="20"/>
        </w:rPr>
        <w:t xml:space="preserve"> </w:t>
      </w:r>
      <w:proofErr w:type="spellStart"/>
      <w:r w:rsidR="003D025D" w:rsidRPr="00937324">
        <w:rPr>
          <w:szCs w:val="20"/>
        </w:rPr>
        <w:t>Gjykat</w:t>
      </w:r>
      <w:r w:rsidR="00A36A9A">
        <w:rPr>
          <w:szCs w:val="20"/>
        </w:rPr>
        <w:t>ë</w:t>
      </w:r>
      <w:r w:rsidR="003D025D">
        <w:rPr>
          <w:szCs w:val="20"/>
        </w:rPr>
        <w:t>s</w:t>
      </w:r>
      <w:proofErr w:type="spellEnd"/>
      <w:r w:rsidR="003D025D" w:rsidRPr="00937324">
        <w:rPr>
          <w:szCs w:val="20"/>
        </w:rPr>
        <w:t xml:space="preserve"> </w:t>
      </w:r>
      <w:proofErr w:type="spellStart"/>
      <w:r w:rsidR="003D025D" w:rsidRPr="00937324">
        <w:rPr>
          <w:szCs w:val="20"/>
        </w:rPr>
        <w:t>Kushtetuese</w:t>
      </w:r>
      <w:proofErr w:type="spellEnd"/>
      <w:r w:rsidR="003D025D" w:rsidRPr="00937324">
        <w:rPr>
          <w:szCs w:val="20"/>
        </w:rPr>
        <w:t xml:space="preserve"> nr.35, </w:t>
      </w:r>
      <w:proofErr w:type="spellStart"/>
      <w:r w:rsidR="003D025D" w:rsidRPr="00937324">
        <w:rPr>
          <w:szCs w:val="20"/>
        </w:rPr>
        <w:t>datë</w:t>
      </w:r>
      <w:proofErr w:type="spellEnd"/>
      <w:r w:rsidR="003D025D" w:rsidRPr="00937324">
        <w:rPr>
          <w:szCs w:val="20"/>
        </w:rPr>
        <w:t xml:space="preserve"> 22.11.2022</w:t>
      </w:r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si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dhe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rialokimin</w:t>
      </w:r>
      <w:proofErr w:type="spellEnd"/>
      <w:r w:rsidR="003D025D">
        <w:rPr>
          <w:szCs w:val="20"/>
        </w:rPr>
        <w:t xml:space="preserve"> e </w:t>
      </w:r>
      <w:proofErr w:type="spellStart"/>
      <w:r w:rsidR="003D025D">
        <w:rPr>
          <w:szCs w:val="20"/>
        </w:rPr>
        <w:t>miratuar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p</w:t>
      </w:r>
      <w:r w:rsidR="00A36A9A">
        <w:rPr>
          <w:szCs w:val="20"/>
        </w:rPr>
        <w:t>ë</w:t>
      </w:r>
      <w:r w:rsidR="003D025D">
        <w:rPr>
          <w:szCs w:val="20"/>
        </w:rPr>
        <w:t>rgjat</w:t>
      </w:r>
      <w:r w:rsidR="00A36A9A">
        <w:rPr>
          <w:szCs w:val="20"/>
        </w:rPr>
        <w:t>ë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vitit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kryes</w:t>
      </w:r>
      <w:r w:rsidR="00751218">
        <w:rPr>
          <w:szCs w:val="20"/>
        </w:rPr>
        <w:t>i</w:t>
      </w:r>
      <w:r w:rsidR="003D025D">
        <w:rPr>
          <w:szCs w:val="20"/>
        </w:rPr>
        <w:t>sht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p</w:t>
      </w:r>
      <w:r w:rsidR="00A36A9A">
        <w:rPr>
          <w:szCs w:val="20"/>
        </w:rPr>
        <w:t>ë</w:t>
      </w:r>
      <w:r w:rsidR="003D025D">
        <w:rPr>
          <w:szCs w:val="20"/>
        </w:rPr>
        <w:t>r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ekzekutimin</w:t>
      </w:r>
      <w:proofErr w:type="spellEnd"/>
      <w:r w:rsidR="003D025D">
        <w:rPr>
          <w:szCs w:val="20"/>
        </w:rPr>
        <w:t xml:space="preserve"> e </w:t>
      </w:r>
      <w:proofErr w:type="spellStart"/>
      <w:r w:rsidR="003D025D">
        <w:rPr>
          <w:szCs w:val="20"/>
        </w:rPr>
        <w:t>vendimeve</w:t>
      </w:r>
      <w:proofErr w:type="spellEnd"/>
      <w:r w:rsidR="003D025D">
        <w:rPr>
          <w:szCs w:val="20"/>
        </w:rPr>
        <w:t xml:space="preserve"> </w:t>
      </w:r>
      <w:proofErr w:type="spellStart"/>
      <w:r w:rsidR="003D025D">
        <w:rPr>
          <w:szCs w:val="20"/>
        </w:rPr>
        <w:t>gjyq</w:t>
      </w:r>
      <w:r w:rsidR="00A36A9A">
        <w:rPr>
          <w:szCs w:val="20"/>
        </w:rPr>
        <w:t>ë</w:t>
      </w:r>
      <w:r w:rsidR="003D025D">
        <w:rPr>
          <w:szCs w:val="20"/>
        </w:rPr>
        <w:t>sore</w:t>
      </w:r>
      <w:proofErr w:type="spellEnd"/>
      <w:r w:rsidR="00751218">
        <w:rPr>
          <w:spacing w:val="-2"/>
        </w:rPr>
        <w:t xml:space="preserve">. </w:t>
      </w: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shpenzimet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kapitale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paraqiten</w:t>
      </w:r>
      <w:proofErr w:type="spellEnd"/>
      <w:r w:rsidRPr="007F29D8">
        <w:rPr>
          <w:spacing w:val="-2"/>
        </w:rPr>
        <w:t xml:space="preserve"> </w:t>
      </w:r>
      <w:r>
        <w:rPr>
          <w:spacing w:val="-2"/>
        </w:rPr>
        <w:t xml:space="preserve">me </w:t>
      </w:r>
      <w:proofErr w:type="spellStart"/>
      <w:r w:rsidR="00751218">
        <w:rPr>
          <w:spacing w:val="-2"/>
        </w:rPr>
        <w:t>ulje</w:t>
      </w:r>
      <w:proofErr w:type="spellEnd"/>
      <w:r w:rsidR="00751218">
        <w:rPr>
          <w:spacing w:val="-2"/>
        </w:rPr>
        <w:t xml:space="preserve"> </w:t>
      </w:r>
      <w:proofErr w:type="spellStart"/>
      <w:r>
        <w:rPr>
          <w:spacing w:val="-2"/>
        </w:rPr>
        <w:t>rreth</w:t>
      </w:r>
      <w:proofErr w:type="spellEnd"/>
      <w:r>
        <w:rPr>
          <w:spacing w:val="-2"/>
        </w:rPr>
        <w:t xml:space="preserve"> </w:t>
      </w:r>
      <w:r w:rsidR="00751218">
        <w:rPr>
          <w:spacing w:val="-2"/>
        </w:rPr>
        <w:t>12</w:t>
      </w:r>
      <w:r>
        <w:rPr>
          <w:spacing w:val="-2"/>
        </w:rPr>
        <w:t>%</w:t>
      </w:r>
      <w:r w:rsidRPr="007F29D8">
        <w:rPr>
          <w:spacing w:val="-2"/>
        </w:rPr>
        <w:t xml:space="preserve">. </w:t>
      </w:r>
    </w:p>
    <w:p w14:paraId="530E438E" w14:textId="77777777" w:rsidR="008A255F" w:rsidRPr="00D919EE" w:rsidRDefault="008A255F" w:rsidP="008A255F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65427CD8" w14:textId="77777777" w:rsidR="008A255F" w:rsidRPr="00D919EE" w:rsidRDefault="008A255F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D919EE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35B6BDC1" w14:textId="1DF18FE3" w:rsidR="00F03459" w:rsidRDefault="00292901" w:rsidP="00F03459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 xml:space="preserve">Vlerësojmë që përmbajtja e anekseve është paraqitur sipas formateve 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 xml:space="preserve">dhe brenda afatit </w:t>
      </w: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>të përcaktuara në Udhëzimin nr. nr. 14, datë 30.05.2023 “Për procedurat standarde të monitorimit të buxhetit në njësitë e Qeverisjes Qendrore”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>.</w:t>
      </w:r>
    </w:p>
    <w:p w14:paraId="776CB03E" w14:textId="77777777" w:rsidR="00F03459" w:rsidRPr="00F03459" w:rsidRDefault="00F03459" w:rsidP="00F03459">
      <w:pPr>
        <w:pStyle w:val="ListParagraph"/>
        <w:tabs>
          <w:tab w:val="left" w:pos="2160"/>
        </w:tabs>
        <w:spacing w:line="276" w:lineRule="auto"/>
        <w:ind w:left="54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7A59FFD2" w14:textId="4778712C" w:rsidR="00CB656D" w:rsidRDefault="001E5036" w:rsidP="00A36A9A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>Lidhur me cilësi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n</w:t>
      </w: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ë së përmbajtjes së raportit </w:t>
      </w:r>
      <w:r w:rsidR="00612663"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për treguesit e performancës në nivel qëllimi dhe objektivi 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vler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sojm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se n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relacionin e Raportit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Monitorimit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rcjell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KLGJ paraqitet nj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analiz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rgjithshme duke paraqitur argumenta mbi realizimin tyre. </w:t>
      </w:r>
    </w:p>
    <w:p w14:paraId="27BB1AF2" w14:textId="77777777" w:rsidR="00A36A9A" w:rsidRPr="00A36A9A" w:rsidRDefault="00A36A9A" w:rsidP="00A36A9A">
      <w:pPr>
        <w:pStyle w:val="ListParagrap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22B47D86" w14:textId="77777777" w:rsidR="00A36A9A" w:rsidRPr="00A36A9A" w:rsidRDefault="00A36A9A" w:rsidP="00A36A9A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69B813B2" w14:textId="77777777" w:rsidR="00CB656D" w:rsidRPr="00A36A9A" w:rsidRDefault="00CB656D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A36A9A">
        <w:rPr>
          <w:rFonts w:asciiTheme="majorBidi" w:hAnsiTheme="majorBidi" w:cstheme="majorBidi"/>
          <w:b/>
          <w:lang w:val="sq-AL"/>
        </w:rPr>
        <w:t xml:space="preserve">Publikimi </w:t>
      </w:r>
    </w:p>
    <w:p w14:paraId="55D88FF8" w14:textId="16AC5D53" w:rsidR="00CB656D" w:rsidRDefault="00CB656D" w:rsidP="00CB656D">
      <w:pPr>
        <w:jc w:val="both"/>
        <w:rPr>
          <w:lang w:val="sq-AL"/>
        </w:rPr>
      </w:pPr>
      <w:r w:rsidRPr="009E2602">
        <w:rPr>
          <w:lang w:val="sq-AL"/>
        </w:rPr>
        <w:t xml:space="preserve">Raporti i Monitorimit </w:t>
      </w:r>
      <w:r w:rsidR="007D1FD0">
        <w:rPr>
          <w:lang w:val="sq-AL"/>
        </w:rPr>
        <w:t>për</w:t>
      </w:r>
      <w:r w:rsidR="007D1FD0" w:rsidRPr="00895DCE">
        <w:rPr>
          <w:lang w:val="sq-AL"/>
        </w:rPr>
        <w:t xml:space="preserve"> viti</w:t>
      </w:r>
      <w:r w:rsidR="00F513AF">
        <w:rPr>
          <w:lang w:val="sq-AL"/>
        </w:rPr>
        <w:t>n</w:t>
      </w:r>
      <w:r w:rsidR="007D1FD0" w:rsidRPr="00895DCE">
        <w:rPr>
          <w:lang w:val="sq-AL"/>
        </w:rPr>
        <w:t xml:space="preserve"> 202</w:t>
      </w:r>
      <w:r w:rsidR="007D1FD0">
        <w:rPr>
          <w:lang w:val="sq-AL"/>
        </w:rPr>
        <w:t>4</w:t>
      </w:r>
      <w:r w:rsidRPr="009E2602">
        <w:rPr>
          <w:lang w:val="sq-AL"/>
        </w:rPr>
        <w:t xml:space="preserve">, është publikuar në faqen zyrtare të </w:t>
      </w:r>
      <w:r>
        <w:rPr>
          <w:lang w:val="sq-AL"/>
        </w:rPr>
        <w:t>Këshillit të Lartë Gjyqësor.</w:t>
      </w:r>
      <w:r w:rsidR="007D1FD0">
        <w:rPr>
          <w:lang w:val="sq-AL"/>
        </w:rPr>
        <w:t xml:space="preserve"> </w:t>
      </w:r>
    </w:p>
    <w:p w14:paraId="7018040B" w14:textId="77777777" w:rsidR="00CB656D" w:rsidRDefault="00CB656D" w:rsidP="00CB656D">
      <w:pPr>
        <w:jc w:val="both"/>
        <w:rPr>
          <w:lang w:val="sq-AL"/>
        </w:rPr>
      </w:pPr>
    </w:p>
    <w:p w14:paraId="61F8B276" w14:textId="26DEC404" w:rsidR="003E6FCB" w:rsidRDefault="00CB656D" w:rsidP="003E6FCB">
      <w:pPr>
        <w:jc w:val="both"/>
        <w:rPr>
          <w:lang w:val="sq-AL"/>
        </w:rPr>
      </w:pPr>
      <w:r>
        <w:rPr>
          <w:lang w:val="sq-AL"/>
        </w:rPr>
        <w:t xml:space="preserve">Linku: </w:t>
      </w:r>
      <w:hyperlink r:id="rId7" w:history="1">
        <w:r w:rsidR="003E6FCB" w:rsidRPr="003E6FCB">
          <w:rPr>
            <w:rStyle w:val="Hyperlink"/>
          </w:rPr>
          <w:t>raporti-vjetor-i-monitorimit-të-buxhetit-për-vitin-2024.pdf</w:t>
        </w:r>
      </w:hyperlink>
    </w:p>
    <w:p w14:paraId="5341C3B7" w14:textId="77777777" w:rsidR="003E6FCB" w:rsidRDefault="003E6FCB" w:rsidP="003E6FCB">
      <w:pPr>
        <w:jc w:val="both"/>
      </w:pPr>
    </w:p>
    <w:p w14:paraId="112FD948" w14:textId="77777777" w:rsidR="003E6FCB" w:rsidRPr="003E6FCB" w:rsidRDefault="003E6FCB" w:rsidP="003E6FCB">
      <w:pPr>
        <w:jc w:val="both"/>
      </w:pPr>
    </w:p>
    <w:p w14:paraId="646009DD" w14:textId="1CE33375" w:rsidR="00CB656D" w:rsidRDefault="00CB656D" w:rsidP="00CB656D">
      <w:pPr>
        <w:jc w:val="both"/>
      </w:pPr>
    </w:p>
    <w:p w14:paraId="53674477" w14:textId="77777777" w:rsidR="00354E1F" w:rsidRDefault="00354E1F" w:rsidP="00CB656D">
      <w:pPr>
        <w:jc w:val="both"/>
      </w:pPr>
    </w:p>
    <w:p w14:paraId="3BBA79A0" w14:textId="77777777" w:rsidR="00354E1F" w:rsidRDefault="00354E1F" w:rsidP="00CB656D">
      <w:pPr>
        <w:jc w:val="both"/>
      </w:pPr>
    </w:p>
    <w:p w14:paraId="7BD8B448" w14:textId="77777777" w:rsidR="00B261B8" w:rsidRPr="00CB656D" w:rsidRDefault="00B261B8" w:rsidP="00CB656D">
      <w:pPr>
        <w:jc w:val="both"/>
        <w:rPr>
          <w:lang w:val="sq-AL"/>
        </w:rPr>
      </w:pPr>
    </w:p>
    <w:p w14:paraId="43892119" w14:textId="77777777" w:rsidR="00CB656D" w:rsidRPr="000E5D47" w:rsidRDefault="00CB656D" w:rsidP="00CB656D">
      <w:pPr>
        <w:tabs>
          <w:tab w:val="left" w:pos="2160"/>
        </w:tabs>
        <w:spacing w:before="240"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7EC78821" w14:textId="77777777" w:rsidR="00FA5540" w:rsidRPr="000E5D47" w:rsidRDefault="00FA5540">
      <w:pPr>
        <w:tabs>
          <w:tab w:val="left" w:pos="2160"/>
        </w:tabs>
        <w:spacing w:before="240" w:line="276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FA5540" w:rsidRPr="000E5D47" w:rsidSect="00AB33C3">
      <w:pgSz w:w="12240" w:h="15840"/>
      <w:pgMar w:top="117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97948EA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156EF9"/>
    <w:multiLevelType w:val="hybridMultilevel"/>
    <w:tmpl w:val="ECF291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A7891"/>
    <w:multiLevelType w:val="hybridMultilevel"/>
    <w:tmpl w:val="2A545C48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57A51"/>
    <w:multiLevelType w:val="hybridMultilevel"/>
    <w:tmpl w:val="BDEC7610"/>
    <w:lvl w:ilvl="0" w:tplc="169CBAF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7D4374B"/>
    <w:multiLevelType w:val="hybridMultilevel"/>
    <w:tmpl w:val="ECA4D4B0"/>
    <w:lvl w:ilvl="0" w:tplc="C87CCA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B8841C4"/>
    <w:multiLevelType w:val="hybridMultilevel"/>
    <w:tmpl w:val="F490F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FF7"/>
    <w:multiLevelType w:val="hybridMultilevel"/>
    <w:tmpl w:val="0E1492A2"/>
    <w:lvl w:ilvl="0" w:tplc="F12CB6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76746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964029">
    <w:abstractNumId w:val="4"/>
  </w:num>
  <w:num w:numId="2" w16cid:durableId="1681423035">
    <w:abstractNumId w:val="14"/>
  </w:num>
  <w:num w:numId="3" w16cid:durableId="1983004210">
    <w:abstractNumId w:val="1"/>
  </w:num>
  <w:num w:numId="4" w16cid:durableId="2126347322">
    <w:abstractNumId w:val="10"/>
  </w:num>
  <w:num w:numId="5" w16cid:durableId="2088265792">
    <w:abstractNumId w:val="15"/>
  </w:num>
  <w:num w:numId="6" w16cid:durableId="416824533">
    <w:abstractNumId w:val="12"/>
  </w:num>
  <w:num w:numId="7" w16cid:durableId="334302488">
    <w:abstractNumId w:val="8"/>
  </w:num>
  <w:num w:numId="8" w16cid:durableId="1712876495">
    <w:abstractNumId w:val="7"/>
  </w:num>
  <w:num w:numId="9" w16cid:durableId="469631863">
    <w:abstractNumId w:val="11"/>
  </w:num>
  <w:num w:numId="10" w16cid:durableId="18314451">
    <w:abstractNumId w:val="5"/>
  </w:num>
  <w:num w:numId="11" w16cid:durableId="2100980450">
    <w:abstractNumId w:val="6"/>
  </w:num>
  <w:num w:numId="12" w16cid:durableId="1012297958">
    <w:abstractNumId w:val="5"/>
  </w:num>
  <w:num w:numId="13" w16cid:durableId="2029865866">
    <w:abstractNumId w:val="3"/>
  </w:num>
  <w:num w:numId="14" w16cid:durableId="1164517940">
    <w:abstractNumId w:val="2"/>
  </w:num>
  <w:num w:numId="15" w16cid:durableId="1844281045">
    <w:abstractNumId w:val="13"/>
  </w:num>
  <w:num w:numId="16" w16cid:durableId="44187385">
    <w:abstractNumId w:val="9"/>
  </w:num>
  <w:num w:numId="17" w16cid:durableId="29545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6D"/>
    <w:rsid w:val="00012B6D"/>
    <w:rsid w:val="00014467"/>
    <w:rsid w:val="0005097A"/>
    <w:rsid w:val="00051358"/>
    <w:rsid w:val="00066039"/>
    <w:rsid w:val="00067E01"/>
    <w:rsid w:val="0007025E"/>
    <w:rsid w:val="000A0015"/>
    <w:rsid w:val="000A3AB7"/>
    <w:rsid w:val="000A3EB5"/>
    <w:rsid w:val="000D4067"/>
    <w:rsid w:val="000D5342"/>
    <w:rsid w:val="000E5D47"/>
    <w:rsid w:val="001431E7"/>
    <w:rsid w:val="00153243"/>
    <w:rsid w:val="00156932"/>
    <w:rsid w:val="00157F93"/>
    <w:rsid w:val="00160986"/>
    <w:rsid w:val="00180C69"/>
    <w:rsid w:val="001C7B6F"/>
    <w:rsid w:val="001E415D"/>
    <w:rsid w:val="001E5036"/>
    <w:rsid w:val="001F02FA"/>
    <w:rsid w:val="00210837"/>
    <w:rsid w:val="002149E5"/>
    <w:rsid w:val="00215AB0"/>
    <w:rsid w:val="002242B4"/>
    <w:rsid w:val="00255238"/>
    <w:rsid w:val="00284AF7"/>
    <w:rsid w:val="00292901"/>
    <w:rsid w:val="00292956"/>
    <w:rsid w:val="00297037"/>
    <w:rsid w:val="002978C9"/>
    <w:rsid w:val="002D3351"/>
    <w:rsid w:val="002D6B92"/>
    <w:rsid w:val="002E5330"/>
    <w:rsid w:val="002E6E45"/>
    <w:rsid w:val="002F128B"/>
    <w:rsid w:val="0031220D"/>
    <w:rsid w:val="003202D4"/>
    <w:rsid w:val="00322710"/>
    <w:rsid w:val="00323755"/>
    <w:rsid w:val="00354E1F"/>
    <w:rsid w:val="00360579"/>
    <w:rsid w:val="00387601"/>
    <w:rsid w:val="003D025D"/>
    <w:rsid w:val="003D327C"/>
    <w:rsid w:val="003E6479"/>
    <w:rsid w:val="003E6FCB"/>
    <w:rsid w:val="004015A1"/>
    <w:rsid w:val="004270EF"/>
    <w:rsid w:val="00430525"/>
    <w:rsid w:val="004306B2"/>
    <w:rsid w:val="0043571C"/>
    <w:rsid w:val="00447473"/>
    <w:rsid w:val="00447909"/>
    <w:rsid w:val="0046701E"/>
    <w:rsid w:val="0047599C"/>
    <w:rsid w:val="00484B2C"/>
    <w:rsid w:val="00490F07"/>
    <w:rsid w:val="004A2B7A"/>
    <w:rsid w:val="004A72D8"/>
    <w:rsid w:val="004D2601"/>
    <w:rsid w:val="004E061B"/>
    <w:rsid w:val="00510FE6"/>
    <w:rsid w:val="00524991"/>
    <w:rsid w:val="00524BEF"/>
    <w:rsid w:val="00545997"/>
    <w:rsid w:val="00550ADB"/>
    <w:rsid w:val="00555E91"/>
    <w:rsid w:val="00567449"/>
    <w:rsid w:val="005740BD"/>
    <w:rsid w:val="005742B3"/>
    <w:rsid w:val="005809B0"/>
    <w:rsid w:val="00597C3C"/>
    <w:rsid w:val="005A2C02"/>
    <w:rsid w:val="005B3348"/>
    <w:rsid w:val="005B3C2C"/>
    <w:rsid w:val="005B4C3A"/>
    <w:rsid w:val="005C6E03"/>
    <w:rsid w:val="005E78F0"/>
    <w:rsid w:val="00612663"/>
    <w:rsid w:val="00616243"/>
    <w:rsid w:val="0065583A"/>
    <w:rsid w:val="00656910"/>
    <w:rsid w:val="006757E2"/>
    <w:rsid w:val="00684914"/>
    <w:rsid w:val="00695E1F"/>
    <w:rsid w:val="006A2184"/>
    <w:rsid w:val="006E4B97"/>
    <w:rsid w:val="0072547A"/>
    <w:rsid w:val="00727F51"/>
    <w:rsid w:val="00751218"/>
    <w:rsid w:val="007571C0"/>
    <w:rsid w:val="00762CD6"/>
    <w:rsid w:val="00763AB3"/>
    <w:rsid w:val="007B7FDB"/>
    <w:rsid w:val="007D1FD0"/>
    <w:rsid w:val="007E10E5"/>
    <w:rsid w:val="007E3519"/>
    <w:rsid w:val="0080104A"/>
    <w:rsid w:val="00806F45"/>
    <w:rsid w:val="00815519"/>
    <w:rsid w:val="0082635F"/>
    <w:rsid w:val="0083112C"/>
    <w:rsid w:val="0084432D"/>
    <w:rsid w:val="008462C9"/>
    <w:rsid w:val="00881E48"/>
    <w:rsid w:val="008927CE"/>
    <w:rsid w:val="00893A1F"/>
    <w:rsid w:val="00895DCE"/>
    <w:rsid w:val="008A255F"/>
    <w:rsid w:val="008A6D15"/>
    <w:rsid w:val="008B06CE"/>
    <w:rsid w:val="008D67F1"/>
    <w:rsid w:val="008E068E"/>
    <w:rsid w:val="008E6E04"/>
    <w:rsid w:val="008F1260"/>
    <w:rsid w:val="008F6E81"/>
    <w:rsid w:val="009171F6"/>
    <w:rsid w:val="009413E9"/>
    <w:rsid w:val="0097569D"/>
    <w:rsid w:val="00990612"/>
    <w:rsid w:val="00990978"/>
    <w:rsid w:val="009915F6"/>
    <w:rsid w:val="009941B1"/>
    <w:rsid w:val="009A6102"/>
    <w:rsid w:val="009B16B1"/>
    <w:rsid w:val="009B72B7"/>
    <w:rsid w:val="009C12CF"/>
    <w:rsid w:val="009C7C6E"/>
    <w:rsid w:val="009E7794"/>
    <w:rsid w:val="00A30EBD"/>
    <w:rsid w:val="00A317BF"/>
    <w:rsid w:val="00A36A9A"/>
    <w:rsid w:val="00A5155C"/>
    <w:rsid w:val="00A74EBD"/>
    <w:rsid w:val="00A81F9C"/>
    <w:rsid w:val="00A86849"/>
    <w:rsid w:val="00A87333"/>
    <w:rsid w:val="00AA1334"/>
    <w:rsid w:val="00AB15AC"/>
    <w:rsid w:val="00AB298E"/>
    <w:rsid w:val="00AB33C3"/>
    <w:rsid w:val="00AC0D4A"/>
    <w:rsid w:val="00AC3A20"/>
    <w:rsid w:val="00AD5A66"/>
    <w:rsid w:val="00B10A0E"/>
    <w:rsid w:val="00B1561D"/>
    <w:rsid w:val="00B16680"/>
    <w:rsid w:val="00B23ABD"/>
    <w:rsid w:val="00B261B8"/>
    <w:rsid w:val="00B320A1"/>
    <w:rsid w:val="00B43F53"/>
    <w:rsid w:val="00B460A4"/>
    <w:rsid w:val="00B50A4B"/>
    <w:rsid w:val="00BA6778"/>
    <w:rsid w:val="00BA6F4B"/>
    <w:rsid w:val="00BB0A79"/>
    <w:rsid w:val="00BB2CFD"/>
    <w:rsid w:val="00BB36B5"/>
    <w:rsid w:val="00BC174C"/>
    <w:rsid w:val="00BC7275"/>
    <w:rsid w:val="00BE6B56"/>
    <w:rsid w:val="00C57BE5"/>
    <w:rsid w:val="00C63D70"/>
    <w:rsid w:val="00C7217D"/>
    <w:rsid w:val="00C82CCC"/>
    <w:rsid w:val="00C86686"/>
    <w:rsid w:val="00C94FBC"/>
    <w:rsid w:val="00CA088E"/>
    <w:rsid w:val="00CA4CF1"/>
    <w:rsid w:val="00CB656D"/>
    <w:rsid w:val="00CC11F0"/>
    <w:rsid w:val="00CD757C"/>
    <w:rsid w:val="00D27EFA"/>
    <w:rsid w:val="00D36352"/>
    <w:rsid w:val="00D4344C"/>
    <w:rsid w:val="00D547A5"/>
    <w:rsid w:val="00D5785C"/>
    <w:rsid w:val="00D91643"/>
    <w:rsid w:val="00D919EE"/>
    <w:rsid w:val="00D92EDB"/>
    <w:rsid w:val="00DA1E87"/>
    <w:rsid w:val="00DA5CF8"/>
    <w:rsid w:val="00DA7D00"/>
    <w:rsid w:val="00DD15A4"/>
    <w:rsid w:val="00DD2BCD"/>
    <w:rsid w:val="00E026F0"/>
    <w:rsid w:val="00E0324C"/>
    <w:rsid w:val="00E23B6F"/>
    <w:rsid w:val="00E406C4"/>
    <w:rsid w:val="00E44D82"/>
    <w:rsid w:val="00E61ABB"/>
    <w:rsid w:val="00E7057B"/>
    <w:rsid w:val="00E75031"/>
    <w:rsid w:val="00E8660D"/>
    <w:rsid w:val="00E947AF"/>
    <w:rsid w:val="00ED2858"/>
    <w:rsid w:val="00EE0338"/>
    <w:rsid w:val="00EE1716"/>
    <w:rsid w:val="00F03459"/>
    <w:rsid w:val="00F041A4"/>
    <w:rsid w:val="00F14D48"/>
    <w:rsid w:val="00F20697"/>
    <w:rsid w:val="00F40FE1"/>
    <w:rsid w:val="00F415A4"/>
    <w:rsid w:val="00F513AF"/>
    <w:rsid w:val="00F53435"/>
    <w:rsid w:val="00F57A3A"/>
    <w:rsid w:val="00F60603"/>
    <w:rsid w:val="00F64793"/>
    <w:rsid w:val="00F77402"/>
    <w:rsid w:val="00F9461A"/>
    <w:rsid w:val="00FA5540"/>
    <w:rsid w:val="00FB0B4D"/>
    <w:rsid w:val="00FB35B8"/>
    <w:rsid w:val="00FB6FD1"/>
    <w:rsid w:val="00FD7207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A3A3"/>
  <w15:docId w15:val="{92B52AE2-3C7B-4AE3-8C54-68B2E59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8A255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8A25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locked/>
    <w:rsid w:val="008A255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8A255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8A255F"/>
    <w:rPr>
      <w:rFonts w:ascii="Times New Roman" w:eastAsia="MS Mincho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0D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5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F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gj.al/media/r3shi05g/raporti-vjetor-i-monitorimit-t%C3%AB-buxhetit-p%C3%ABr-vitin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22</cp:revision>
  <dcterms:created xsi:type="dcterms:W3CDTF">2025-04-29T07:59:00Z</dcterms:created>
  <dcterms:modified xsi:type="dcterms:W3CDTF">2025-05-05T11:37:00Z</dcterms:modified>
</cp:coreProperties>
</file>