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248EF" w14:textId="4FE25108" w:rsidR="0073210B" w:rsidRPr="00B76C9D" w:rsidRDefault="0073210B" w:rsidP="0073210B">
      <w:pPr>
        <w:jc w:val="center"/>
        <w:rPr>
          <w:rFonts w:ascii="Times New Roman" w:eastAsia="Calibri" w:hAnsi="Times New Roman" w:cs="Times New Roman"/>
          <w:b/>
          <w:sz w:val="24"/>
          <w:szCs w:val="24"/>
          <w:lang w:val="sq-AL"/>
        </w:rPr>
      </w:pPr>
      <w:r w:rsidRPr="00B76C9D">
        <w:rPr>
          <w:rFonts w:ascii="Times New Roman" w:eastAsia="Calibri" w:hAnsi="Times New Roman" w:cs="Times New Roman"/>
          <w:b/>
          <w:sz w:val="24"/>
          <w:szCs w:val="24"/>
          <w:lang w:val="sq-AL"/>
        </w:rPr>
        <w:t xml:space="preserve">KOMENTE DHE REKOMANDIME MBI RAPORTIN E MONITORIMIT TË </w:t>
      </w:r>
      <w:r w:rsidR="005D0F2B" w:rsidRPr="00B76C9D">
        <w:rPr>
          <w:rFonts w:ascii="Times New Roman" w:eastAsia="Calibri" w:hAnsi="Times New Roman" w:cs="Times New Roman"/>
          <w:b/>
          <w:sz w:val="24"/>
          <w:szCs w:val="24"/>
          <w:lang w:val="sq-AL"/>
        </w:rPr>
        <w:t>12</w:t>
      </w:r>
      <w:r w:rsidR="00A12634" w:rsidRPr="00B76C9D">
        <w:rPr>
          <w:rFonts w:ascii="Times New Roman" w:eastAsia="Calibri" w:hAnsi="Times New Roman" w:cs="Times New Roman"/>
          <w:b/>
          <w:sz w:val="24"/>
          <w:szCs w:val="24"/>
          <w:lang w:val="sq-AL"/>
        </w:rPr>
        <w:t xml:space="preserve"> </w:t>
      </w:r>
      <w:r w:rsidR="005970B6" w:rsidRPr="00B76C9D">
        <w:rPr>
          <w:rFonts w:ascii="Times New Roman" w:eastAsia="Calibri" w:hAnsi="Times New Roman" w:cs="Times New Roman"/>
          <w:b/>
          <w:sz w:val="24"/>
          <w:szCs w:val="24"/>
          <w:lang w:val="sq-AL"/>
        </w:rPr>
        <w:t xml:space="preserve">MUJORIT TË </w:t>
      </w:r>
      <w:r w:rsidR="00107B81" w:rsidRPr="00B76C9D">
        <w:rPr>
          <w:rFonts w:ascii="Times New Roman" w:eastAsia="Calibri" w:hAnsi="Times New Roman" w:cs="Times New Roman"/>
          <w:b/>
          <w:sz w:val="24"/>
          <w:szCs w:val="24"/>
          <w:lang w:val="sq-AL"/>
        </w:rPr>
        <w:t xml:space="preserve"> </w:t>
      </w:r>
      <w:r w:rsidRPr="00B76C9D">
        <w:rPr>
          <w:rFonts w:ascii="Times New Roman" w:eastAsia="Calibri" w:hAnsi="Times New Roman" w:cs="Times New Roman"/>
          <w:b/>
          <w:sz w:val="24"/>
          <w:szCs w:val="24"/>
          <w:lang w:val="sq-AL"/>
        </w:rPr>
        <w:t>VITIT 20</w:t>
      </w:r>
      <w:r w:rsidR="002347B6" w:rsidRPr="00B76C9D">
        <w:rPr>
          <w:rFonts w:ascii="Times New Roman" w:eastAsia="Calibri" w:hAnsi="Times New Roman" w:cs="Times New Roman"/>
          <w:b/>
          <w:sz w:val="24"/>
          <w:szCs w:val="24"/>
          <w:lang w:val="sq-AL"/>
        </w:rPr>
        <w:t>2</w:t>
      </w:r>
      <w:r w:rsidR="00A12634" w:rsidRPr="00B76C9D">
        <w:rPr>
          <w:rFonts w:ascii="Times New Roman" w:eastAsia="Calibri" w:hAnsi="Times New Roman" w:cs="Times New Roman"/>
          <w:b/>
          <w:sz w:val="24"/>
          <w:szCs w:val="24"/>
          <w:lang w:val="sq-AL"/>
        </w:rPr>
        <w:t>4</w:t>
      </w:r>
      <w:r w:rsidR="002615F0" w:rsidRPr="00B76C9D">
        <w:rPr>
          <w:rFonts w:ascii="Times New Roman" w:eastAsia="Calibri" w:hAnsi="Times New Roman" w:cs="Times New Roman"/>
          <w:b/>
          <w:sz w:val="24"/>
          <w:szCs w:val="24"/>
          <w:lang w:val="sq-AL"/>
        </w:rPr>
        <w:t xml:space="preserve"> </w:t>
      </w:r>
      <w:r w:rsidRPr="00B76C9D">
        <w:rPr>
          <w:rFonts w:ascii="Times New Roman" w:eastAsia="Calibri" w:hAnsi="Times New Roman" w:cs="Times New Roman"/>
          <w:b/>
          <w:sz w:val="24"/>
          <w:szCs w:val="24"/>
          <w:lang w:val="sq-AL"/>
        </w:rPr>
        <w:t xml:space="preserve">PËR </w:t>
      </w:r>
      <w:r w:rsidR="006D521B" w:rsidRPr="00B76C9D">
        <w:rPr>
          <w:rFonts w:ascii="Times New Roman" w:eastAsia="Calibri" w:hAnsi="Times New Roman" w:cs="Times New Roman"/>
          <w:b/>
          <w:sz w:val="24"/>
          <w:szCs w:val="24"/>
          <w:lang w:val="sq-AL"/>
        </w:rPr>
        <w:t>GJYKAT</w:t>
      </w:r>
      <w:r w:rsidR="00C24DB4" w:rsidRPr="00B76C9D">
        <w:rPr>
          <w:rFonts w:ascii="Times New Roman" w:eastAsia="Calibri" w:hAnsi="Times New Roman" w:cs="Times New Roman"/>
          <w:b/>
          <w:sz w:val="24"/>
          <w:szCs w:val="24"/>
          <w:lang w:val="sq-AL"/>
        </w:rPr>
        <w:t>Ë</w:t>
      </w:r>
      <w:r w:rsidR="006D521B" w:rsidRPr="00B76C9D">
        <w:rPr>
          <w:rFonts w:ascii="Times New Roman" w:eastAsia="Calibri" w:hAnsi="Times New Roman" w:cs="Times New Roman"/>
          <w:b/>
          <w:sz w:val="24"/>
          <w:szCs w:val="24"/>
          <w:lang w:val="sq-AL"/>
        </w:rPr>
        <w:t>N KUSHTETUESE</w:t>
      </w:r>
    </w:p>
    <w:p w14:paraId="3404BEE2" w14:textId="77777777" w:rsidR="0073210B" w:rsidRPr="00B76C9D" w:rsidRDefault="0073210B" w:rsidP="0073210B">
      <w:pPr>
        <w:numPr>
          <w:ilvl w:val="0"/>
          <w:numId w:val="3"/>
        </w:numPr>
        <w:ind w:left="810" w:hanging="450"/>
        <w:jc w:val="both"/>
        <w:rPr>
          <w:rFonts w:ascii="Times New Roman" w:eastAsia="Calibri" w:hAnsi="Times New Roman" w:cs="Times New Roman"/>
          <w:b/>
          <w:sz w:val="24"/>
          <w:szCs w:val="24"/>
          <w:lang w:val="sq-AL"/>
        </w:rPr>
      </w:pPr>
      <w:r w:rsidRPr="00B76C9D">
        <w:rPr>
          <w:rFonts w:ascii="Times New Roman" w:eastAsia="Calibri" w:hAnsi="Times New Roman" w:cs="Times New Roman"/>
          <w:b/>
          <w:sz w:val="24"/>
          <w:szCs w:val="24"/>
          <w:lang w:val="sq-AL"/>
        </w:rPr>
        <w:t>Vlerësim i përgjithshëm i qëllimeve dhe objektivave të politikës si dhe performanca e  produkteve kryesore</w:t>
      </w:r>
    </w:p>
    <w:p w14:paraId="63E111EF" w14:textId="40D8C2A2" w:rsidR="00D87450" w:rsidRPr="00B76C9D" w:rsidRDefault="00D87450" w:rsidP="00D87450">
      <w:pPr>
        <w:widowControl w:val="0"/>
        <w:spacing w:after="0" w:line="240" w:lineRule="auto"/>
        <w:jc w:val="both"/>
        <w:rPr>
          <w:rFonts w:ascii="Times New Roman" w:eastAsia="Calibri" w:hAnsi="Times New Roman" w:cs="Times New Roman"/>
          <w:sz w:val="24"/>
          <w:szCs w:val="24"/>
          <w:lang w:val="sq-AL"/>
        </w:rPr>
      </w:pPr>
      <w:r w:rsidRPr="00B76C9D">
        <w:rPr>
          <w:rFonts w:ascii="Times New Roman" w:eastAsia="Calibri" w:hAnsi="Times New Roman" w:cs="Times New Roman"/>
          <w:sz w:val="24"/>
          <w:szCs w:val="24"/>
          <w:lang w:val="sq-AL"/>
        </w:rPr>
        <w:t>Qëllimi i politikës së programit është: “Realizimi i veprimtarisë gjyqësore kushtetuese për garantimin e respektimit të Kushtetutës dhe interpretimit përfundimtar të saj, zgjidhja e mosmarrëveshjeve kushtetuese në lidhje me ndarjen e pushteteve, amkesat e individëve, lidhur me cënimin e të drejtave kushtetuese, etj, nepërmjet një procesi të drejtë ligjor dhe transparent.</w:t>
      </w:r>
    </w:p>
    <w:p w14:paraId="58609161" w14:textId="77777777" w:rsidR="00D87450" w:rsidRPr="00B76C9D" w:rsidRDefault="00D87450" w:rsidP="00D87450">
      <w:pPr>
        <w:jc w:val="both"/>
        <w:rPr>
          <w:rFonts w:ascii="Times New Roman" w:eastAsia="Calibri" w:hAnsi="Times New Roman" w:cs="Times New Roman"/>
          <w:b/>
          <w:sz w:val="24"/>
          <w:szCs w:val="24"/>
          <w:lang w:val="sq-AL"/>
        </w:rPr>
      </w:pPr>
    </w:p>
    <w:p w14:paraId="035E4338" w14:textId="22534437" w:rsidR="0073210B" w:rsidRPr="00B76C9D" w:rsidRDefault="0073210B" w:rsidP="0073210B">
      <w:pPr>
        <w:jc w:val="both"/>
        <w:rPr>
          <w:rFonts w:ascii="Times New Roman" w:eastAsia="Calibri" w:hAnsi="Times New Roman" w:cs="Times New Roman"/>
          <w:sz w:val="24"/>
          <w:szCs w:val="24"/>
          <w:lang w:val="sq-AL"/>
        </w:rPr>
      </w:pPr>
      <w:r w:rsidRPr="00B76C9D">
        <w:rPr>
          <w:rFonts w:ascii="Times New Roman" w:eastAsia="Calibri" w:hAnsi="Times New Roman" w:cs="Times New Roman"/>
          <w:color w:val="000000"/>
          <w:sz w:val="24"/>
          <w:szCs w:val="24"/>
          <w:lang w:val="sq-AL"/>
        </w:rPr>
        <w:t>Programi për të cilin ky institucion administron fondet për vitin 202</w:t>
      </w:r>
      <w:r w:rsidR="00A12634" w:rsidRPr="00B76C9D">
        <w:rPr>
          <w:rFonts w:ascii="Times New Roman" w:eastAsia="Calibri" w:hAnsi="Times New Roman" w:cs="Times New Roman"/>
          <w:color w:val="000000"/>
          <w:sz w:val="24"/>
          <w:szCs w:val="24"/>
          <w:lang w:val="sq-AL"/>
        </w:rPr>
        <w:t>4</w:t>
      </w:r>
      <w:r w:rsidR="00D87450" w:rsidRPr="00B76C9D">
        <w:rPr>
          <w:rFonts w:ascii="Times New Roman" w:eastAsia="Calibri" w:hAnsi="Times New Roman" w:cs="Times New Roman"/>
          <w:color w:val="000000"/>
          <w:sz w:val="24"/>
          <w:szCs w:val="24"/>
          <w:lang w:val="sq-AL"/>
        </w:rPr>
        <w:t>, i cili ka objektiv realizimin e proceseve gjyqësore të drejta dhe të hapura në mbrojtje të kushtetutës dhe lirive e të drejtave themlore të njeriut është:</w:t>
      </w:r>
    </w:p>
    <w:p w14:paraId="5B91405F" w14:textId="77777777" w:rsidR="00E52CD6" w:rsidRPr="00B76C9D" w:rsidRDefault="0073210B" w:rsidP="00B67AC9">
      <w:pPr>
        <w:pStyle w:val="ListParagraph"/>
        <w:widowControl w:val="0"/>
        <w:numPr>
          <w:ilvl w:val="0"/>
          <w:numId w:val="15"/>
        </w:numPr>
        <w:spacing w:after="0" w:line="240" w:lineRule="auto"/>
        <w:jc w:val="both"/>
        <w:rPr>
          <w:rFonts w:ascii="Times New Roman" w:eastAsia="Calibri" w:hAnsi="Times New Roman" w:cs="Times New Roman"/>
          <w:sz w:val="24"/>
          <w:szCs w:val="24"/>
          <w:lang w:val="sq-AL"/>
        </w:rPr>
      </w:pPr>
      <w:r w:rsidRPr="00B76C9D">
        <w:rPr>
          <w:rFonts w:ascii="Times New Roman" w:eastAsia="Calibri" w:hAnsi="Times New Roman" w:cs="Times New Roman"/>
          <w:b/>
          <w:bCs/>
          <w:sz w:val="24"/>
          <w:szCs w:val="24"/>
          <w:lang w:val="sq-AL"/>
        </w:rPr>
        <w:t>Programi “</w:t>
      </w:r>
      <w:r w:rsidR="006D521B" w:rsidRPr="00B76C9D">
        <w:rPr>
          <w:rFonts w:ascii="Times New Roman" w:eastAsia="Calibri" w:hAnsi="Times New Roman" w:cs="Times New Roman"/>
          <w:b/>
          <w:bCs/>
          <w:sz w:val="24"/>
          <w:szCs w:val="24"/>
          <w:lang w:val="sq-AL"/>
        </w:rPr>
        <w:t>Veprimtaria gjyq</w:t>
      </w:r>
      <w:r w:rsidR="008B3D1F" w:rsidRPr="00B76C9D">
        <w:rPr>
          <w:rFonts w:ascii="Times New Roman" w:eastAsia="Calibri" w:hAnsi="Times New Roman" w:cs="Times New Roman"/>
          <w:b/>
          <w:bCs/>
          <w:sz w:val="24"/>
          <w:szCs w:val="24"/>
          <w:lang w:val="sq-AL"/>
        </w:rPr>
        <w:t>ë</w:t>
      </w:r>
      <w:r w:rsidR="006D521B" w:rsidRPr="00B76C9D">
        <w:rPr>
          <w:rFonts w:ascii="Times New Roman" w:eastAsia="Calibri" w:hAnsi="Times New Roman" w:cs="Times New Roman"/>
          <w:b/>
          <w:bCs/>
          <w:sz w:val="24"/>
          <w:szCs w:val="24"/>
          <w:lang w:val="sq-AL"/>
        </w:rPr>
        <w:t>sore kushtetuese</w:t>
      </w:r>
      <w:r w:rsidRPr="00B76C9D">
        <w:rPr>
          <w:rFonts w:ascii="Times New Roman" w:eastAsia="Calibri" w:hAnsi="Times New Roman" w:cs="Times New Roman"/>
          <w:sz w:val="24"/>
          <w:szCs w:val="24"/>
          <w:lang w:val="sq-AL"/>
        </w:rPr>
        <w:t>”</w:t>
      </w:r>
    </w:p>
    <w:p w14:paraId="737313F7" w14:textId="77777777" w:rsidR="00C07AED" w:rsidRPr="00B76C9D" w:rsidRDefault="00C07AED" w:rsidP="00E52CD6">
      <w:pPr>
        <w:widowControl w:val="0"/>
        <w:spacing w:after="0" w:line="240" w:lineRule="auto"/>
        <w:jc w:val="both"/>
        <w:rPr>
          <w:rFonts w:ascii="Times New Roman" w:eastAsia="Calibri" w:hAnsi="Times New Roman" w:cs="Times New Roman"/>
          <w:color w:val="000000"/>
          <w:sz w:val="24"/>
          <w:szCs w:val="24"/>
          <w:lang w:val="sq-AL"/>
        </w:rPr>
      </w:pPr>
    </w:p>
    <w:p w14:paraId="6CE0DA11" w14:textId="5D30F71B" w:rsidR="00C07AED" w:rsidRPr="00B76C9D" w:rsidRDefault="00C07AED" w:rsidP="00C07AED">
      <w:pPr>
        <w:widowControl w:val="0"/>
        <w:spacing w:after="0" w:line="240" w:lineRule="auto"/>
        <w:jc w:val="both"/>
        <w:rPr>
          <w:rFonts w:ascii="Times New Roman" w:eastAsia="Calibri" w:hAnsi="Times New Roman" w:cs="Times New Roman"/>
          <w:sz w:val="24"/>
          <w:szCs w:val="24"/>
          <w:lang w:val="sq-AL"/>
        </w:rPr>
      </w:pPr>
      <w:r w:rsidRPr="00B76C9D">
        <w:rPr>
          <w:rFonts w:ascii="Times New Roman" w:eastAsia="Calibri" w:hAnsi="Times New Roman" w:cs="Times New Roman"/>
          <w:sz w:val="24"/>
          <w:szCs w:val="24"/>
          <w:lang w:val="sq-AL"/>
        </w:rPr>
        <w:t>P</w:t>
      </w:r>
      <w:r w:rsidR="00014DB7" w:rsidRPr="00B76C9D">
        <w:rPr>
          <w:rFonts w:ascii="Times New Roman" w:eastAsia="Calibri" w:hAnsi="Times New Roman" w:cs="Times New Roman"/>
          <w:sz w:val="24"/>
          <w:szCs w:val="24"/>
          <w:lang w:val="sq-AL"/>
        </w:rPr>
        <w:t>ë</w:t>
      </w:r>
      <w:r w:rsidRPr="00B76C9D">
        <w:rPr>
          <w:rFonts w:ascii="Times New Roman" w:eastAsia="Calibri" w:hAnsi="Times New Roman" w:cs="Times New Roman"/>
          <w:sz w:val="24"/>
          <w:szCs w:val="24"/>
          <w:lang w:val="sq-AL"/>
        </w:rPr>
        <w:t>r realizimin e q</w:t>
      </w:r>
      <w:r w:rsidR="00014DB7" w:rsidRPr="00B76C9D">
        <w:rPr>
          <w:rFonts w:ascii="Times New Roman" w:eastAsia="Calibri" w:hAnsi="Times New Roman" w:cs="Times New Roman"/>
          <w:sz w:val="24"/>
          <w:szCs w:val="24"/>
          <w:lang w:val="sq-AL"/>
        </w:rPr>
        <w:t>ë</w:t>
      </w:r>
      <w:r w:rsidRPr="00B76C9D">
        <w:rPr>
          <w:rFonts w:ascii="Times New Roman" w:eastAsia="Calibri" w:hAnsi="Times New Roman" w:cs="Times New Roman"/>
          <w:sz w:val="24"/>
          <w:szCs w:val="24"/>
          <w:lang w:val="sq-AL"/>
        </w:rPr>
        <w:t>llimit t</w:t>
      </w:r>
      <w:r w:rsidR="00014DB7" w:rsidRPr="00B76C9D">
        <w:rPr>
          <w:rFonts w:ascii="Times New Roman" w:eastAsia="Calibri" w:hAnsi="Times New Roman" w:cs="Times New Roman"/>
          <w:sz w:val="24"/>
          <w:szCs w:val="24"/>
          <w:lang w:val="sq-AL"/>
        </w:rPr>
        <w:t>ë</w:t>
      </w:r>
      <w:r w:rsidRPr="00B76C9D">
        <w:rPr>
          <w:rFonts w:ascii="Times New Roman" w:eastAsia="Calibri" w:hAnsi="Times New Roman" w:cs="Times New Roman"/>
          <w:sz w:val="24"/>
          <w:szCs w:val="24"/>
          <w:lang w:val="sq-AL"/>
        </w:rPr>
        <w:t xml:space="preserve"> programit kan</w:t>
      </w:r>
      <w:r w:rsidR="00014DB7" w:rsidRPr="00B76C9D">
        <w:rPr>
          <w:rFonts w:ascii="Times New Roman" w:eastAsia="Calibri" w:hAnsi="Times New Roman" w:cs="Times New Roman"/>
          <w:sz w:val="24"/>
          <w:szCs w:val="24"/>
          <w:lang w:val="sq-AL"/>
        </w:rPr>
        <w:t>ë</w:t>
      </w:r>
      <w:r w:rsidRPr="00B76C9D">
        <w:rPr>
          <w:rFonts w:ascii="Times New Roman" w:eastAsia="Calibri" w:hAnsi="Times New Roman" w:cs="Times New Roman"/>
          <w:sz w:val="24"/>
          <w:szCs w:val="24"/>
          <w:lang w:val="sq-AL"/>
        </w:rPr>
        <w:t xml:space="preserve"> kontribuar produktet si m</w:t>
      </w:r>
      <w:r w:rsidR="00014DB7" w:rsidRPr="00B76C9D">
        <w:rPr>
          <w:rFonts w:ascii="Times New Roman" w:eastAsia="Calibri" w:hAnsi="Times New Roman" w:cs="Times New Roman"/>
          <w:sz w:val="24"/>
          <w:szCs w:val="24"/>
          <w:lang w:val="sq-AL"/>
        </w:rPr>
        <w:t>ë</w:t>
      </w:r>
      <w:r w:rsidRPr="00B76C9D">
        <w:rPr>
          <w:rFonts w:ascii="Times New Roman" w:eastAsia="Calibri" w:hAnsi="Times New Roman" w:cs="Times New Roman"/>
          <w:sz w:val="24"/>
          <w:szCs w:val="24"/>
          <w:lang w:val="sq-AL"/>
        </w:rPr>
        <w:t xml:space="preserve"> posht</w:t>
      </w:r>
      <w:r w:rsidR="00014DB7" w:rsidRPr="00B76C9D">
        <w:rPr>
          <w:rFonts w:ascii="Times New Roman" w:eastAsia="Calibri" w:hAnsi="Times New Roman" w:cs="Times New Roman"/>
          <w:sz w:val="24"/>
          <w:szCs w:val="24"/>
          <w:lang w:val="sq-AL"/>
        </w:rPr>
        <w:t>ë</w:t>
      </w:r>
      <w:r w:rsidRPr="00B76C9D">
        <w:rPr>
          <w:rFonts w:ascii="Times New Roman" w:eastAsia="Calibri" w:hAnsi="Times New Roman" w:cs="Times New Roman"/>
          <w:sz w:val="24"/>
          <w:szCs w:val="24"/>
          <w:lang w:val="sq-AL"/>
        </w:rPr>
        <w:t>:</w:t>
      </w:r>
    </w:p>
    <w:p w14:paraId="091AB863" w14:textId="14786FCC" w:rsidR="00C07AED" w:rsidRPr="00B76C9D" w:rsidRDefault="00C07AED" w:rsidP="00C07AED">
      <w:pPr>
        <w:pStyle w:val="ListParagraph"/>
        <w:widowControl w:val="0"/>
        <w:numPr>
          <w:ilvl w:val="0"/>
          <w:numId w:val="16"/>
        </w:numPr>
        <w:spacing w:after="0" w:line="240" w:lineRule="auto"/>
        <w:jc w:val="both"/>
        <w:rPr>
          <w:rFonts w:ascii="Times New Roman" w:eastAsia="Calibri" w:hAnsi="Times New Roman" w:cs="Times New Roman"/>
          <w:sz w:val="24"/>
          <w:szCs w:val="24"/>
          <w:lang w:val="sq-AL"/>
        </w:rPr>
      </w:pPr>
      <w:r w:rsidRPr="00B76C9D">
        <w:rPr>
          <w:rFonts w:ascii="Times New Roman" w:eastAsia="Calibri" w:hAnsi="Times New Roman" w:cs="Times New Roman"/>
          <w:sz w:val="24"/>
          <w:szCs w:val="24"/>
          <w:lang w:val="sq-AL"/>
        </w:rPr>
        <w:t xml:space="preserve">Janë marrë 408 vendime, </w:t>
      </w:r>
      <w:r w:rsidR="00E27DC1">
        <w:rPr>
          <w:rFonts w:ascii="Times New Roman" w:eastAsia="Calibri" w:hAnsi="Times New Roman" w:cs="Times New Roman"/>
          <w:sz w:val="24"/>
          <w:szCs w:val="24"/>
          <w:lang w:val="sq-AL"/>
        </w:rPr>
        <w:t xml:space="preserve">nga 400 të planifikuara, </w:t>
      </w:r>
      <w:r w:rsidRPr="00B76C9D">
        <w:rPr>
          <w:rFonts w:ascii="Times New Roman" w:eastAsia="Calibri" w:hAnsi="Times New Roman" w:cs="Times New Roman"/>
          <w:sz w:val="24"/>
          <w:szCs w:val="24"/>
          <w:lang w:val="sq-AL"/>
        </w:rPr>
        <w:t>me kosto një prej 266.6 milionë lekë.</w:t>
      </w:r>
    </w:p>
    <w:p w14:paraId="61206B54" w14:textId="77777777" w:rsidR="00C07AED" w:rsidRPr="00B76C9D" w:rsidRDefault="00C07AED" w:rsidP="00C07AED">
      <w:pPr>
        <w:jc w:val="both"/>
        <w:rPr>
          <w:rFonts w:ascii="Times New Roman" w:eastAsia="Calibri" w:hAnsi="Times New Roman" w:cs="Times New Roman"/>
          <w:sz w:val="24"/>
          <w:szCs w:val="24"/>
          <w:lang w:val="sq-AL"/>
        </w:rPr>
      </w:pPr>
      <w:r w:rsidRPr="00B76C9D">
        <w:rPr>
          <w:rFonts w:ascii="Times New Roman" w:eastAsia="Calibri" w:hAnsi="Times New Roman" w:cs="Times New Roman"/>
          <w:sz w:val="24"/>
          <w:szCs w:val="24"/>
          <w:lang w:val="sq-AL"/>
        </w:rPr>
        <w:t>Përsa i përket zërit të shpenzimeve kapitale, janë realizuar produktet si më poshtë:</w:t>
      </w:r>
    </w:p>
    <w:p w14:paraId="33C26CA7" w14:textId="77777777" w:rsidR="00C07AED" w:rsidRPr="00B76C9D" w:rsidRDefault="00C07AED" w:rsidP="00C07AED">
      <w:pPr>
        <w:pStyle w:val="NoSpacing"/>
        <w:rPr>
          <w:rFonts w:ascii="Times New Roman" w:hAnsi="Times New Roman" w:cs="Times New Roman"/>
          <w:sz w:val="24"/>
          <w:szCs w:val="24"/>
          <w:lang w:val="sq-AL"/>
        </w:rPr>
      </w:pPr>
      <w:r w:rsidRPr="00B76C9D">
        <w:rPr>
          <w:rFonts w:ascii="Times New Roman" w:hAnsi="Times New Roman" w:cs="Times New Roman"/>
          <w:sz w:val="24"/>
          <w:szCs w:val="24"/>
          <w:lang w:val="sq-AL"/>
        </w:rPr>
        <w:t>-Projekti “</w:t>
      </w:r>
      <w:r w:rsidRPr="00B76C9D">
        <w:rPr>
          <w:rFonts w:ascii="Times New Roman" w:hAnsi="Times New Roman" w:cs="Times New Roman"/>
          <w:i/>
          <w:iCs/>
          <w:sz w:val="24"/>
          <w:szCs w:val="24"/>
          <w:lang w:val="sq-AL"/>
        </w:rPr>
        <w:t>Blerje Automjete</w:t>
      </w:r>
      <w:r w:rsidRPr="00B76C9D">
        <w:rPr>
          <w:rFonts w:ascii="Times New Roman" w:hAnsi="Times New Roman" w:cs="Times New Roman"/>
          <w:sz w:val="24"/>
          <w:szCs w:val="24"/>
          <w:lang w:val="sq-AL"/>
        </w:rPr>
        <w:t>”, në vlerën 18.8 milionë lekë, realizuar plotësisht.</w:t>
      </w:r>
    </w:p>
    <w:p w14:paraId="44CF152A" w14:textId="77777777" w:rsidR="00C07AED" w:rsidRPr="00B76C9D" w:rsidRDefault="00C07AED" w:rsidP="00C07AED">
      <w:pPr>
        <w:pStyle w:val="NoSpacing"/>
        <w:rPr>
          <w:rFonts w:ascii="Times New Roman" w:hAnsi="Times New Roman" w:cs="Times New Roman"/>
          <w:sz w:val="24"/>
          <w:szCs w:val="24"/>
          <w:lang w:val="sq-AL"/>
        </w:rPr>
      </w:pPr>
      <w:r w:rsidRPr="00B76C9D">
        <w:rPr>
          <w:rFonts w:ascii="Times New Roman" w:hAnsi="Times New Roman" w:cs="Times New Roman"/>
          <w:sz w:val="24"/>
          <w:szCs w:val="24"/>
          <w:lang w:val="sq-AL"/>
        </w:rPr>
        <w:t>-Projekti Investimit: “</w:t>
      </w:r>
      <w:r w:rsidRPr="00B76C9D">
        <w:rPr>
          <w:rFonts w:ascii="Times New Roman" w:hAnsi="Times New Roman" w:cs="Times New Roman"/>
          <w:i/>
          <w:iCs/>
          <w:sz w:val="24"/>
          <w:szCs w:val="24"/>
          <w:lang w:val="sq-AL"/>
        </w:rPr>
        <w:t>Rikonstruksion godine</w:t>
      </w:r>
      <w:r w:rsidRPr="00B76C9D">
        <w:rPr>
          <w:rFonts w:ascii="Times New Roman" w:hAnsi="Times New Roman" w:cs="Times New Roman"/>
          <w:sz w:val="24"/>
          <w:szCs w:val="24"/>
          <w:lang w:val="sq-AL"/>
        </w:rPr>
        <w:t xml:space="preserve">”, në vlerën 8.9 milionë lekë. </w:t>
      </w:r>
    </w:p>
    <w:p w14:paraId="576BC592" w14:textId="77777777" w:rsidR="00C07AED" w:rsidRPr="00B76C9D" w:rsidRDefault="00C07AED" w:rsidP="00C07AED">
      <w:pPr>
        <w:pStyle w:val="NoSpacing"/>
        <w:rPr>
          <w:rFonts w:ascii="Times New Roman" w:hAnsi="Times New Roman" w:cs="Times New Roman"/>
          <w:sz w:val="24"/>
          <w:szCs w:val="24"/>
          <w:lang w:val="sq-AL"/>
        </w:rPr>
      </w:pPr>
      <w:r w:rsidRPr="00B76C9D">
        <w:rPr>
          <w:rFonts w:ascii="Times New Roman" w:hAnsi="Times New Roman" w:cs="Times New Roman"/>
          <w:sz w:val="24"/>
          <w:szCs w:val="24"/>
          <w:lang w:val="sq-AL"/>
        </w:rPr>
        <w:t>-Projekti “Informatizim i veprimtarisë”, në vlerën 3.6 milionë lekë.</w:t>
      </w:r>
    </w:p>
    <w:p w14:paraId="3017A59B" w14:textId="77777777" w:rsidR="00C07AED" w:rsidRPr="00B76C9D" w:rsidRDefault="00C07AED" w:rsidP="00E52CD6">
      <w:pPr>
        <w:widowControl w:val="0"/>
        <w:spacing w:after="0" w:line="240" w:lineRule="auto"/>
        <w:jc w:val="both"/>
        <w:rPr>
          <w:rFonts w:ascii="Times New Roman" w:eastAsia="Calibri" w:hAnsi="Times New Roman" w:cs="Times New Roman"/>
          <w:color w:val="000000"/>
          <w:sz w:val="24"/>
          <w:szCs w:val="24"/>
          <w:lang w:val="sq-AL"/>
        </w:rPr>
      </w:pPr>
    </w:p>
    <w:p w14:paraId="24B2728A" w14:textId="77777777" w:rsidR="00C07AED" w:rsidRPr="00B76C9D" w:rsidRDefault="00C07AED" w:rsidP="00E52CD6">
      <w:pPr>
        <w:widowControl w:val="0"/>
        <w:spacing w:after="0" w:line="240" w:lineRule="auto"/>
        <w:jc w:val="both"/>
        <w:rPr>
          <w:rFonts w:ascii="Times New Roman" w:eastAsia="Calibri" w:hAnsi="Times New Roman" w:cs="Times New Roman"/>
          <w:color w:val="000000"/>
          <w:sz w:val="24"/>
          <w:szCs w:val="24"/>
          <w:lang w:val="sq-AL"/>
        </w:rPr>
      </w:pPr>
    </w:p>
    <w:p w14:paraId="1A80D481" w14:textId="77777777" w:rsidR="008475AF" w:rsidRPr="00B76C9D" w:rsidRDefault="008475AF" w:rsidP="00B67AC9">
      <w:pPr>
        <w:widowControl w:val="0"/>
        <w:spacing w:after="0" w:line="240" w:lineRule="auto"/>
        <w:jc w:val="both"/>
        <w:rPr>
          <w:rFonts w:ascii="Times New Roman" w:eastAsia="Calibri" w:hAnsi="Times New Roman" w:cs="Times New Roman"/>
          <w:color w:val="000000"/>
          <w:sz w:val="24"/>
          <w:szCs w:val="24"/>
          <w:lang w:val="sq-AL"/>
        </w:rPr>
      </w:pPr>
    </w:p>
    <w:p w14:paraId="60094A38" w14:textId="77777777" w:rsidR="00B67AC9" w:rsidRPr="00B76C9D" w:rsidRDefault="00B67AC9" w:rsidP="00E52CD6">
      <w:pPr>
        <w:widowControl w:val="0"/>
        <w:spacing w:after="0" w:line="240" w:lineRule="auto"/>
        <w:jc w:val="both"/>
        <w:rPr>
          <w:rFonts w:ascii="Times New Roman" w:eastAsia="Calibri" w:hAnsi="Times New Roman" w:cs="Times New Roman"/>
          <w:lang w:val="sq-AL"/>
        </w:rPr>
      </w:pPr>
    </w:p>
    <w:p w14:paraId="7750D6CA" w14:textId="0C1ACBC4" w:rsidR="00313C04" w:rsidRPr="00B76C9D" w:rsidRDefault="0073210B" w:rsidP="00313C04">
      <w:pPr>
        <w:numPr>
          <w:ilvl w:val="0"/>
          <w:numId w:val="3"/>
        </w:numPr>
        <w:jc w:val="both"/>
        <w:rPr>
          <w:rFonts w:ascii="Times New Roman" w:eastAsia="Calibri" w:hAnsi="Times New Roman" w:cs="Times New Roman"/>
          <w:lang w:val="sq-AL"/>
        </w:rPr>
      </w:pPr>
      <w:r w:rsidRPr="00B76C9D">
        <w:rPr>
          <w:rFonts w:ascii="Times New Roman" w:eastAsia="Calibri" w:hAnsi="Times New Roman" w:cs="Times New Roman"/>
          <w:lang w:val="sq-AL"/>
        </w:rPr>
        <w:t>“</w:t>
      </w:r>
      <w:r w:rsidRPr="00B76C9D">
        <w:rPr>
          <w:rFonts w:ascii="Times New Roman" w:eastAsia="Calibri" w:hAnsi="Times New Roman" w:cs="Times New Roman"/>
          <w:b/>
          <w:lang w:val="sq-AL"/>
        </w:rPr>
        <w:t>Karakteristika kryesore të performancës së shpenzimeve</w:t>
      </w:r>
      <w:r w:rsidRPr="00B76C9D">
        <w:rPr>
          <w:rFonts w:ascii="Times New Roman" w:eastAsia="Calibri" w:hAnsi="Times New Roman" w:cs="Times New Roman"/>
          <w:lang w:val="sq-AL"/>
        </w:rPr>
        <w:t>”</w:t>
      </w:r>
    </w:p>
    <w:p w14:paraId="6B98FC00" w14:textId="7D627773" w:rsidR="00C07AED" w:rsidRPr="00B76C9D" w:rsidRDefault="0073210B" w:rsidP="0073210B">
      <w:pPr>
        <w:jc w:val="both"/>
        <w:rPr>
          <w:rFonts w:ascii="Times New Roman" w:eastAsia="Calibri" w:hAnsi="Times New Roman" w:cs="Times New Roman"/>
          <w:sz w:val="24"/>
          <w:szCs w:val="24"/>
          <w:lang w:val="sq-AL"/>
        </w:rPr>
      </w:pPr>
      <w:r w:rsidRPr="00B76C9D">
        <w:rPr>
          <w:rFonts w:ascii="Times New Roman" w:eastAsia="Calibri" w:hAnsi="Times New Roman" w:cs="Times New Roman"/>
          <w:sz w:val="24"/>
          <w:szCs w:val="24"/>
          <w:lang w:val="sq-AL"/>
        </w:rPr>
        <w:t>Në fund të</w:t>
      </w:r>
      <w:r w:rsidR="00A12634" w:rsidRPr="00B76C9D">
        <w:rPr>
          <w:rFonts w:ascii="Times New Roman" w:eastAsia="Calibri" w:hAnsi="Times New Roman" w:cs="Times New Roman"/>
          <w:sz w:val="24"/>
          <w:szCs w:val="24"/>
          <w:lang w:val="sq-AL"/>
        </w:rPr>
        <w:t xml:space="preserve"> </w:t>
      </w:r>
      <w:r w:rsidR="00540428" w:rsidRPr="00B76C9D">
        <w:rPr>
          <w:rFonts w:ascii="Times New Roman" w:eastAsia="Calibri" w:hAnsi="Times New Roman" w:cs="Times New Roman"/>
          <w:sz w:val="24"/>
          <w:szCs w:val="24"/>
          <w:lang w:val="sq-AL"/>
        </w:rPr>
        <w:t>12</w:t>
      </w:r>
      <w:r w:rsidR="00A12634" w:rsidRPr="00B76C9D">
        <w:rPr>
          <w:rFonts w:ascii="Times New Roman" w:eastAsia="Calibri" w:hAnsi="Times New Roman" w:cs="Times New Roman"/>
          <w:sz w:val="24"/>
          <w:szCs w:val="24"/>
          <w:lang w:val="sq-AL"/>
        </w:rPr>
        <w:t xml:space="preserve"> mujorit t</w:t>
      </w:r>
      <w:r w:rsidR="00E91174" w:rsidRPr="00B76C9D">
        <w:rPr>
          <w:rFonts w:ascii="Times New Roman" w:eastAsia="Calibri" w:hAnsi="Times New Roman" w:cs="Times New Roman"/>
          <w:sz w:val="24"/>
          <w:szCs w:val="24"/>
          <w:lang w:val="sq-AL"/>
        </w:rPr>
        <w:t>ë</w:t>
      </w:r>
      <w:r w:rsidRPr="00B76C9D">
        <w:rPr>
          <w:rFonts w:ascii="Times New Roman" w:eastAsia="Calibri" w:hAnsi="Times New Roman" w:cs="Times New Roman"/>
          <w:sz w:val="24"/>
          <w:szCs w:val="24"/>
          <w:lang w:val="sq-AL"/>
        </w:rPr>
        <w:t xml:space="preserve"> vitit 20</w:t>
      </w:r>
      <w:r w:rsidR="00E829B7" w:rsidRPr="00B76C9D">
        <w:rPr>
          <w:rFonts w:ascii="Times New Roman" w:eastAsia="Calibri" w:hAnsi="Times New Roman" w:cs="Times New Roman"/>
          <w:sz w:val="24"/>
          <w:szCs w:val="24"/>
          <w:lang w:val="sq-AL"/>
        </w:rPr>
        <w:t>2</w:t>
      </w:r>
      <w:r w:rsidR="00A12634" w:rsidRPr="00B76C9D">
        <w:rPr>
          <w:rFonts w:ascii="Times New Roman" w:eastAsia="Calibri" w:hAnsi="Times New Roman" w:cs="Times New Roman"/>
          <w:sz w:val="24"/>
          <w:szCs w:val="24"/>
          <w:lang w:val="sq-AL"/>
        </w:rPr>
        <w:t>4</w:t>
      </w:r>
      <w:r w:rsidRPr="00B76C9D">
        <w:rPr>
          <w:rFonts w:ascii="Times New Roman" w:eastAsia="Calibri" w:hAnsi="Times New Roman" w:cs="Times New Roman"/>
          <w:sz w:val="24"/>
          <w:szCs w:val="24"/>
          <w:lang w:val="sq-AL"/>
        </w:rPr>
        <w:t xml:space="preserve">, situata në lidhje me realizimin e shpenzimeve të buxhetit, krahasuar me planin </w:t>
      </w:r>
      <w:r w:rsidR="00030698" w:rsidRPr="00B76C9D">
        <w:rPr>
          <w:rFonts w:ascii="Times New Roman" w:eastAsia="Calibri" w:hAnsi="Times New Roman" w:cs="Times New Roman"/>
          <w:sz w:val="24"/>
          <w:szCs w:val="24"/>
          <w:lang w:val="sq-AL"/>
        </w:rPr>
        <w:t>vjetor</w:t>
      </w:r>
      <w:r w:rsidR="00313C04" w:rsidRPr="00B76C9D">
        <w:rPr>
          <w:rFonts w:ascii="Times New Roman" w:eastAsia="Calibri" w:hAnsi="Times New Roman" w:cs="Times New Roman"/>
          <w:sz w:val="24"/>
          <w:szCs w:val="24"/>
          <w:lang w:val="sq-AL"/>
        </w:rPr>
        <w:t xml:space="preserve"> fillestar dhe at</w:t>
      </w:r>
      <w:r w:rsidR="00014DB7" w:rsidRPr="00B76C9D">
        <w:rPr>
          <w:rFonts w:ascii="Times New Roman" w:eastAsia="Calibri" w:hAnsi="Times New Roman" w:cs="Times New Roman"/>
          <w:sz w:val="24"/>
          <w:szCs w:val="24"/>
          <w:lang w:val="sq-AL"/>
        </w:rPr>
        <w:t>ë</w:t>
      </w:r>
      <w:r w:rsidR="00313C04" w:rsidRPr="00B76C9D">
        <w:rPr>
          <w:rFonts w:ascii="Times New Roman" w:eastAsia="Calibri" w:hAnsi="Times New Roman" w:cs="Times New Roman"/>
          <w:sz w:val="24"/>
          <w:szCs w:val="24"/>
          <w:lang w:val="sq-AL"/>
        </w:rPr>
        <w:t xml:space="preserve"> t</w:t>
      </w:r>
      <w:r w:rsidR="00014DB7" w:rsidRPr="00B76C9D">
        <w:rPr>
          <w:rFonts w:ascii="Times New Roman" w:eastAsia="Calibri" w:hAnsi="Times New Roman" w:cs="Times New Roman"/>
          <w:sz w:val="24"/>
          <w:szCs w:val="24"/>
          <w:lang w:val="sq-AL"/>
        </w:rPr>
        <w:t>ë</w:t>
      </w:r>
      <w:r w:rsidR="00313C04" w:rsidRPr="00B76C9D">
        <w:rPr>
          <w:rFonts w:ascii="Times New Roman" w:eastAsia="Calibri" w:hAnsi="Times New Roman" w:cs="Times New Roman"/>
          <w:sz w:val="24"/>
          <w:szCs w:val="24"/>
          <w:lang w:val="sq-AL"/>
        </w:rPr>
        <w:t xml:space="preserve"> rishikuar p</w:t>
      </w:r>
      <w:r w:rsidR="00014DB7" w:rsidRPr="00B76C9D">
        <w:rPr>
          <w:rFonts w:ascii="Times New Roman" w:eastAsia="Calibri" w:hAnsi="Times New Roman" w:cs="Times New Roman"/>
          <w:sz w:val="24"/>
          <w:szCs w:val="24"/>
          <w:lang w:val="sq-AL"/>
        </w:rPr>
        <w:t>ë</w:t>
      </w:r>
      <w:r w:rsidR="00313C04" w:rsidRPr="00B76C9D">
        <w:rPr>
          <w:rFonts w:ascii="Times New Roman" w:eastAsia="Calibri" w:hAnsi="Times New Roman" w:cs="Times New Roman"/>
          <w:sz w:val="24"/>
          <w:szCs w:val="24"/>
          <w:lang w:val="sq-AL"/>
        </w:rPr>
        <w:t>r</w:t>
      </w:r>
      <w:r w:rsidR="00E829B7" w:rsidRPr="00B76C9D">
        <w:rPr>
          <w:rFonts w:ascii="Times New Roman" w:eastAsia="Calibri" w:hAnsi="Times New Roman" w:cs="Times New Roman"/>
          <w:sz w:val="24"/>
          <w:szCs w:val="24"/>
          <w:lang w:val="sq-AL"/>
        </w:rPr>
        <w:t xml:space="preserve"> 202</w:t>
      </w:r>
      <w:r w:rsidR="00A12634" w:rsidRPr="00B76C9D">
        <w:rPr>
          <w:rFonts w:ascii="Times New Roman" w:eastAsia="Calibri" w:hAnsi="Times New Roman" w:cs="Times New Roman"/>
          <w:sz w:val="24"/>
          <w:szCs w:val="24"/>
          <w:lang w:val="sq-AL"/>
        </w:rPr>
        <w:t>4</w:t>
      </w:r>
      <w:r w:rsidRPr="00B76C9D">
        <w:rPr>
          <w:rFonts w:ascii="Times New Roman" w:eastAsia="Calibri" w:hAnsi="Times New Roman" w:cs="Times New Roman"/>
          <w:sz w:val="24"/>
          <w:szCs w:val="24"/>
          <w:u w:val="single"/>
          <w:lang w:val="sq-AL"/>
        </w:rPr>
        <w:t>,</w:t>
      </w:r>
      <w:r w:rsidRPr="00B76C9D">
        <w:rPr>
          <w:rFonts w:ascii="Times New Roman" w:eastAsia="Calibri" w:hAnsi="Times New Roman" w:cs="Times New Roman"/>
          <w:sz w:val="24"/>
          <w:szCs w:val="24"/>
          <w:lang w:val="sq-AL"/>
        </w:rPr>
        <w:t xml:space="preserve"> </w:t>
      </w:r>
      <w:r w:rsidR="00C07AED" w:rsidRPr="00B76C9D">
        <w:rPr>
          <w:rFonts w:ascii="Times New Roman" w:eastAsia="Calibri" w:hAnsi="Times New Roman" w:cs="Times New Roman"/>
          <w:sz w:val="24"/>
          <w:szCs w:val="24"/>
          <w:lang w:val="sq-AL"/>
        </w:rPr>
        <w:t xml:space="preserve"> n</w:t>
      </w:r>
      <w:r w:rsidR="00014DB7" w:rsidRPr="00B76C9D">
        <w:rPr>
          <w:rFonts w:ascii="Times New Roman" w:eastAsia="Calibri" w:hAnsi="Times New Roman" w:cs="Times New Roman"/>
          <w:sz w:val="24"/>
          <w:szCs w:val="24"/>
          <w:lang w:val="sq-AL"/>
        </w:rPr>
        <w:t>ë</w:t>
      </w:r>
      <w:r w:rsidR="00C07AED" w:rsidRPr="00B76C9D">
        <w:rPr>
          <w:rFonts w:ascii="Times New Roman" w:eastAsia="Calibri" w:hAnsi="Times New Roman" w:cs="Times New Roman"/>
          <w:sz w:val="24"/>
          <w:szCs w:val="24"/>
          <w:lang w:val="sq-AL"/>
        </w:rPr>
        <w:t xml:space="preserve"> nivel programi</w:t>
      </w:r>
      <w:r w:rsidR="00B76C9D" w:rsidRPr="00B76C9D">
        <w:rPr>
          <w:rFonts w:ascii="Times New Roman" w:eastAsia="Calibri" w:hAnsi="Times New Roman" w:cs="Times New Roman"/>
          <w:sz w:val="24"/>
          <w:szCs w:val="24"/>
          <w:lang w:val="sq-AL"/>
        </w:rPr>
        <w:t xml:space="preserve"> </w:t>
      </w:r>
      <w:r w:rsidR="00C07AED" w:rsidRPr="00B76C9D">
        <w:rPr>
          <w:rFonts w:ascii="Times New Roman" w:eastAsia="Calibri" w:hAnsi="Times New Roman" w:cs="Times New Roman"/>
          <w:sz w:val="24"/>
          <w:szCs w:val="24"/>
          <w:lang w:val="sq-AL"/>
        </w:rPr>
        <w:t>dhe artikulli</w:t>
      </w:r>
      <w:r w:rsidR="00B76C9D" w:rsidRPr="00B76C9D">
        <w:rPr>
          <w:rFonts w:ascii="Times New Roman" w:eastAsia="Calibri" w:hAnsi="Times New Roman" w:cs="Times New Roman"/>
          <w:sz w:val="24"/>
          <w:szCs w:val="24"/>
          <w:lang w:val="sq-AL"/>
        </w:rPr>
        <w:t>,</w:t>
      </w:r>
      <w:r w:rsidR="00C07AED" w:rsidRPr="00B76C9D">
        <w:rPr>
          <w:rFonts w:ascii="Times New Roman" w:eastAsia="Calibri" w:hAnsi="Times New Roman" w:cs="Times New Roman"/>
          <w:sz w:val="24"/>
          <w:szCs w:val="24"/>
          <w:lang w:val="sq-AL"/>
        </w:rPr>
        <w:t xml:space="preserve"> </w:t>
      </w:r>
      <w:r w:rsidRPr="00B76C9D">
        <w:rPr>
          <w:rFonts w:ascii="Times New Roman" w:eastAsia="Calibri" w:hAnsi="Times New Roman" w:cs="Times New Roman"/>
          <w:sz w:val="24"/>
          <w:szCs w:val="24"/>
          <w:lang w:val="sq-AL"/>
        </w:rPr>
        <w:t>sipas të dhënave faktike të siguruara nga s</w:t>
      </w:r>
      <w:r w:rsidR="00C07AED" w:rsidRPr="00B76C9D">
        <w:rPr>
          <w:rFonts w:ascii="Times New Roman" w:eastAsia="Calibri" w:hAnsi="Times New Roman" w:cs="Times New Roman"/>
          <w:sz w:val="24"/>
          <w:szCs w:val="24"/>
          <w:lang w:val="sq-AL"/>
        </w:rPr>
        <w:t>i</w:t>
      </w:r>
      <w:r w:rsidRPr="00B76C9D">
        <w:rPr>
          <w:rFonts w:ascii="Times New Roman" w:eastAsia="Calibri" w:hAnsi="Times New Roman" w:cs="Times New Roman"/>
          <w:sz w:val="24"/>
          <w:szCs w:val="24"/>
          <w:lang w:val="sq-AL"/>
        </w:rPr>
        <w:t>stemi informat</w:t>
      </w:r>
      <w:r w:rsidR="00C07AED" w:rsidRPr="00B76C9D">
        <w:rPr>
          <w:rFonts w:ascii="Times New Roman" w:eastAsia="Calibri" w:hAnsi="Times New Roman" w:cs="Times New Roman"/>
          <w:sz w:val="24"/>
          <w:szCs w:val="24"/>
          <w:lang w:val="sq-AL"/>
        </w:rPr>
        <w:t>ik</w:t>
      </w:r>
      <w:r w:rsidRPr="00B76C9D">
        <w:rPr>
          <w:rFonts w:ascii="Times New Roman" w:eastAsia="Calibri" w:hAnsi="Times New Roman" w:cs="Times New Roman"/>
          <w:sz w:val="24"/>
          <w:szCs w:val="24"/>
          <w:lang w:val="sq-AL"/>
        </w:rPr>
        <w:t xml:space="preserve"> financiar i qeverisë, paraqitet si më poshtë:</w:t>
      </w:r>
    </w:p>
    <w:p w14:paraId="7C6842D9" w14:textId="77777777" w:rsidR="00C07AED" w:rsidRPr="00B76C9D" w:rsidRDefault="00C07AED" w:rsidP="0073210B">
      <w:pPr>
        <w:jc w:val="both"/>
        <w:rPr>
          <w:rFonts w:ascii="Times New Roman" w:eastAsia="Calibri" w:hAnsi="Times New Roman" w:cs="Times New Roman"/>
          <w:sz w:val="24"/>
          <w:szCs w:val="24"/>
          <w:lang w:val="sq-AL"/>
        </w:rPr>
      </w:pPr>
    </w:p>
    <w:p w14:paraId="62E97CC7" w14:textId="77777777" w:rsidR="00014DB7" w:rsidRPr="00B76C9D" w:rsidRDefault="00014DB7" w:rsidP="0073210B">
      <w:pPr>
        <w:jc w:val="both"/>
        <w:rPr>
          <w:rFonts w:ascii="Times New Roman" w:eastAsia="Calibri" w:hAnsi="Times New Roman" w:cs="Times New Roman"/>
          <w:sz w:val="24"/>
          <w:szCs w:val="24"/>
          <w:lang w:val="sq-AL"/>
        </w:rPr>
      </w:pPr>
    </w:p>
    <w:p w14:paraId="5E09D5BC" w14:textId="77777777" w:rsidR="00014DB7" w:rsidRPr="00B76C9D" w:rsidRDefault="00014DB7" w:rsidP="0073210B">
      <w:pPr>
        <w:jc w:val="both"/>
        <w:rPr>
          <w:rFonts w:ascii="Times New Roman" w:eastAsia="Calibri" w:hAnsi="Times New Roman" w:cs="Times New Roman"/>
          <w:sz w:val="24"/>
          <w:szCs w:val="24"/>
          <w:lang w:val="sq-AL"/>
        </w:rPr>
      </w:pPr>
    </w:p>
    <w:p w14:paraId="17572788" w14:textId="77777777" w:rsidR="00014DB7" w:rsidRPr="00B76C9D" w:rsidRDefault="00014DB7" w:rsidP="0073210B">
      <w:pPr>
        <w:jc w:val="both"/>
        <w:rPr>
          <w:rFonts w:ascii="Times New Roman" w:eastAsia="Calibri" w:hAnsi="Times New Roman" w:cs="Times New Roman"/>
          <w:sz w:val="24"/>
          <w:szCs w:val="24"/>
          <w:lang w:val="sq-AL"/>
        </w:rPr>
      </w:pPr>
    </w:p>
    <w:p w14:paraId="22E23898" w14:textId="77777777" w:rsidR="00014DB7" w:rsidRPr="00B76C9D" w:rsidRDefault="00014DB7" w:rsidP="0073210B">
      <w:pPr>
        <w:jc w:val="both"/>
        <w:rPr>
          <w:rFonts w:ascii="Times New Roman" w:eastAsia="Calibri" w:hAnsi="Times New Roman" w:cs="Times New Roman"/>
          <w:sz w:val="24"/>
          <w:szCs w:val="24"/>
          <w:lang w:val="sq-AL"/>
        </w:rPr>
      </w:pPr>
    </w:p>
    <w:p w14:paraId="6ED6F1E3" w14:textId="77777777" w:rsidR="00014DB7" w:rsidRPr="00B76C9D" w:rsidRDefault="00014DB7" w:rsidP="0073210B">
      <w:pPr>
        <w:jc w:val="both"/>
        <w:rPr>
          <w:rFonts w:ascii="Times New Roman" w:eastAsia="Calibri" w:hAnsi="Times New Roman" w:cs="Times New Roman"/>
          <w:sz w:val="24"/>
          <w:szCs w:val="24"/>
          <w:lang w:val="sq-AL"/>
        </w:rPr>
      </w:pPr>
    </w:p>
    <w:p w14:paraId="7A274E97" w14:textId="77777777" w:rsidR="00014DB7" w:rsidRPr="00B76C9D" w:rsidRDefault="00014DB7" w:rsidP="0073210B">
      <w:pPr>
        <w:jc w:val="both"/>
        <w:rPr>
          <w:rFonts w:ascii="Times New Roman" w:eastAsia="Calibri" w:hAnsi="Times New Roman" w:cs="Times New Roman"/>
          <w:sz w:val="24"/>
          <w:szCs w:val="24"/>
          <w:lang w:val="sq-AL"/>
        </w:rPr>
      </w:pPr>
    </w:p>
    <w:p w14:paraId="2069F3EA" w14:textId="1F76FB35" w:rsidR="00C07AED" w:rsidRPr="00B76C9D" w:rsidRDefault="00C07AED" w:rsidP="0073210B">
      <w:pPr>
        <w:jc w:val="both"/>
        <w:rPr>
          <w:rFonts w:ascii="Times New Roman" w:eastAsia="Calibri" w:hAnsi="Times New Roman" w:cs="Times New Roman"/>
          <w:i/>
          <w:iCs/>
          <w:sz w:val="24"/>
          <w:szCs w:val="24"/>
          <w:lang w:val="sq-AL"/>
        </w:rPr>
      </w:pPr>
      <w:r w:rsidRPr="00B76C9D">
        <w:rPr>
          <w:rFonts w:ascii="Times New Roman" w:eastAsia="Calibri" w:hAnsi="Times New Roman" w:cs="Times New Roman"/>
          <w:i/>
          <w:iCs/>
          <w:sz w:val="24"/>
          <w:szCs w:val="24"/>
          <w:lang w:val="sq-AL"/>
        </w:rPr>
        <w:t>Tabela Realizimi i shpenzimeve sipas programeve dhe klasifikimit ekonomik (në mijë lekë)</w:t>
      </w:r>
    </w:p>
    <w:p w14:paraId="13305847" w14:textId="3EDD4F99" w:rsidR="00C07AED" w:rsidRPr="00B76C9D" w:rsidRDefault="00C07AED" w:rsidP="0073210B">
      <w:pPr>
        <w:jc w:val="both"/>
        <w:rPr>
          <w:rFonts w:ascii="Times New Roman" w:eastAsia="Calibri" w:hAnsi="Times New Roman" w:cs="Times New Roman"/>
          <w:sz w:val="24"/>
          <w:szCs w:val="24"/>
          <w:lang w:val="sq-AL"/>
        </w:rPr>
      </w:pPr>
      <w:r w:rsidRPr="00B76C9D">
        <w:rPr>
          <w:rFonts w:ascii="Times New Roman" w:eastAsia="Calibri" w:hAnsi="Times New Roman" w:cs="Times New Roman"/>
          <w:noProof/>
          <w:sz w:val="24"/>
          <w:szCs w:val="24"/>
          <w:lang w:val="sq-AL"/>
        </w:rPr>
        <w:drawing>
          <wp:inline distT="0" distB="0" distL="0" distR="0" wp14:anchorId="0FB8A5C0" wp14:editId="1A407751">
            <wp:extent cx="6019800" cy="4000553"/>
            <wp:effectExtent l="0" t="0" r="0" b="0"/>
            <wp:docPr id="2106094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020" cy="4000699"/>
                    </a:xfrm>
                    <a:prstGeom prst="rect">
                      <a:avLst/>
                    </a:prstGeom>
                    <a:noFill/>
                  </pic:spPr>
                </pic:pic>
              </a:graphicData>
            </a:graphic>
          </wp:inline>
        </w:drawing>
      </w:r>
    </w:p>
    <w:p w14:paraId="0DADEFBC" w14:textId="771A863F" w:rsidR="00C07AED" w:rsidRPr="00B76C9D" w:rsidRDefault="00C07AED" w:rsidP="00C07AED">
      <w:pPr>
        <w:widowControl w:val="0"/>
        <w:spacing w:after="0" w:line="240" w:lineRule="auto"/>
        <w:jc w:val="both"/>
        <w:rPr>
          <w:rFonts w:ascii="Times New Roman" w:eastAsia="Calibri" w:hAnsi="Times New Roman" w:cs="Times New Roman"/>
          <w:color w:val="000000"/>
          <w:sz w:val="24"/>
          <w:szCs w:val="24"/>
          <w:lang w:val="sq-AL"/>
        </w:rPr>
      </w:pPr>
      <w:r w:rsidRPr="00B76C9D">
        <w:rPr>
          <w:rFonts w:ascii="Times New Roman" w:eastAsia="Calibri" w:hAnsi="Times New Roman" w:cs="Times New Roman"/>
          <w:color w:val="000000"/>
          <w:sz w:val="24"/>
          <w:szCs w:val="24"/>
          <w:lang w:val="sq-AL"/>
        </w:rPr>
        <w:t xml:space="preserve">Pra siç shihet nga të dhënat e tabelës së mësipërme plani i shpenzimeve të buxhetit në total, për këtë institucion, për 12 mujorin e vitit 2024, është realizuar në rreth </w:t>
      </w:r>
      <w:r w:rsidR="008202A3" w:rsidRPr="00B76C9D">
        <w:rPr>
          <w:rFonts w:ascii="Times New Roman" w:eastAsia="Calibri" w:hAnsi="Times New Roman" w:cs="Times New Roman"/>
          <w:color w:val="000000"/>
          <w:sz w:val="24"/>
          <w:szCs w:val="24"/>
          <w:lang w:val="sq-AL"/>
        </w:rPr>
        <w:t>100</w:t>
      </w:r>
      <w:r w:rsidRPr="00B76C9D">
        <w:rPr>
          <w:rFonts w:ascii="Times New Roman" w:eastAsia="Calibri" w:hAnsi="Times New Roman" w:cs="Times New Roman"/>
          <w:color w:val="000000"/>
          <w:sz w:val="24"/>
          <w:szCs w:val="24"/>
          <w:lang w:val="sq-AL"/>
        </w:rPr>
        <w:t xml:space="preserve">% të planit vjetor të rishikuar dhe </w:t>
      </w:r>
      <w:r w:rsidR="008202A3" w:rsidRPr="00B76C9D">
        <w:rPr>
          <w:rFonts w:ascii="Times New Roman" w:eastAsia="Calibri" w:hAnsi="Times New Roman" w:cs="Times New Roman"/>
          <w:color w:val="000000"/>
          <w:sz w:val="24"/>
          <w:szCs w:val="24"/>
          <w:lang w:val="sq-AL"/>
        </w:rPr>
        <w:t xml:space="preserve">125% </w:t>
      </w:r>
      <w:r w:rsidRPr="00B76C9D">
        <w:rPr>
          <w:rFonts w:ascii="Times New Roman" w:eastAsia="Calibri" w:hAnsi="Times New Roman" w:cs="Times New Roman"/>
          <w:color w:val="000000"/>
          <w:sz w:val="24"/>
          <w:szCs w:val="24"/>
          <w:lang w:val="sq-AL"/>
        </w:rPr>
        <w:t>atij  fillestar</w:t>
      </w:r>
      <w:r w:rsidR="008202A3" w:rsidRPr="00B76C9D">
        <w:rPr>
          <w:rFonts w:ascii="Times New Roman" w:eastAsia="Calibri" w:hAnsi="Times New Roman" w:cs="Times New Roman"/>
          <w:color w:val="000000"/>
          <w:sz w:val="24"/>
          <w:szCs w:val="24"/>
          <w:lang w:val="sq-AL"/>
        </w:rPr>
        <w:t>.</w:t>
      </w:r>
    </w:p>
    <w:p w14:paraId="582C2C86" w14:textId="60D4F903" w:rsidR="008202A3" w:rsidRPr="00B76C9D" w:rsidRDefault="00C07AED" w:rsidP="00C07AED">
      <w:pPr>
        <w:widowControl w:val="0"/>
        <w:spacing w:after="0" w:line="240" w:lineRule="auto"/>
        <w:jc w:val="both"/>
        <w:rPr>
          <w:rFonts w:ascii="Times New Roman" w:eastAsia="Calibri" w:hAnsi="Times New Roman" w:cs="Times New Roman"/>
          <w:color w:val="000000"/>
          <w:sz w:val="24"/>
          <w:szCs w:val="24"/>
          <w:lang w:val="sq-AL"/>
        </w:rPr>
      </w:pPr>
      <w:r w:rsidRPr="00B76C9D">
        <w:rPr>
          <w:rFonts w:ascii="Times New Roman" w:eastAsia="Calibri" w:hAnsi="Times New Roman" w:cs="Times New Roman"/>
          <w:color w:val="000000"/>
          <w:sz w:val="24"/>
          <w:szCs w:val="24"/>
          <w:lang w:val="sq-AL"/>
        </w:rPr>
        <w:t>Shpenzimet korrente në total për këtë institucion, janë realizuar në rreth 9</w:t>
      </w:r>
      <w:r w:rsidR="003E5E3D" w:rsidRPr="00B76C9D">
        <w:rPr>
          <w:rFonts w:ascii="Times New Roman" w:eastAsia="Calibri" w:hAnsi="Times New Roman" w:cs="Times New Roman"/>
          <w:color w:val="000000"/>
          <w:sz w:val="24"/>
          <w:szCs w:val="24"/>
          <w:lang w:val="sq-AL"/>
        </w:rPr>
        <w:t>9</w:t>
      </w:r>
      <w:r w:rsidRPr="00B76C9D">
        <w:rPr>
          <w:rFonts w:ascii="Times New Roman" w:eastAsia="Calibri" w:hAnsi="Times New Roman" w:cs="Times New Roman"/>
          <w:color w:val="000000"/>
          <w:sz w:val="24"/>
          <w:szCs w:val="24"/>
          <w:lang w:val="sq-AL"/>
        </w:rPr>
        <w:t xml:space="preserve">% të planit vjetor të rishikuar dhe </w:t>
      </w:r>
      <w:r w:rsidR="003E5E3D" w:rsidRPr="00B76C9D">
        <w:rPr>
          <w:rFonts w:ascii="Times New Roman" w:eastAsia="Calibri" w:hAnsi="Times New Roman" w:cs="Times New Roman"/>
          <w:color w:val="000000"/>
          <w:sz w:val="24"/>
          <w:szCs w:val="24"/>
          <w:lang w:val="sq-AL"/>
        </w:rPr>
        <w:t>127</w:t>
      </w:r>
      <w:r w:rsidRPr="00B76C9D">
        <w:rPr>
          <w:rFonts w:ascii="Times New Roman" w:eastAsia="Calibri" w:hAnsi="Times New Roman" w:cs="Times New Roman"/>
          <w:color w:val="000000"/>
          <w:sz w:val="24"/>
          <w:szCs w:val="24"/>
          <w:lang w:val="sq-AL"/>
        </w:rPr>
        <w:t>% të planit fillestar.</w:t>
      </w:r>
      <w:r w:rsidR="008202A3" w:rsidRPr="00B76C9D">
        <w:rPr>
          <w:rFonts w:ascii="Times New Roman" w:eastAsia="Calibri" w:hAnsi="Times New Roman" w:cs="Times New Roman"/>
          <w:color w:val="000000"/>
          <w:sz w:val="24"/>
          <w:szCs w:val="24"/>
          <w:lang w:val="sq-AL"/>
        </w:rPr>
        <w:t>Institucioni ka realizuar performanc</w:t>
      </w:r>
      <w:r w:rsidR="00014DB7" w:rsidRPr="00B76C9D">
        <w:rPr>
          <w:rFonts w:ascii="Times New Roman" w:eastAsia="Calibri" w:hAnsi="Times New Roman" w:cs="Times New Roman"/>
          <w:color w:val="000000"/>
          <w:sz w:val="24"/>
          <w:szCs w:val="24"/>
          <w:lang w:val="sq-AL"/>
        </w:rPr>
        <w:t>ë</w:t>
      </w:r>
      <w:r w:rsidR="008202A3" w:rsidRPr="00B76C9D">
        <w:rPr>
          <w:rFonts w:ascii="Times New Roman" w:eastAsia="Calibri" w:hAnsi="Times New Roman" w:cs="Times New Roman"/>
          <w:color w:val="000000"/>
          <w:sz w:val="24"/>
          <w:szCs w:val="24"/>
          <w:lang w:val="sq-AL"/>
        </w:rPr>
        <w:t xml:space="preserve"> t</w:t>
      </w:r>
      <w:r w:rsidR="00014DB7" w:rsidRPr="00B76C9D">
        <w:rPr>
          <w:rFonts w:ascii="Times New Roman" w:eastAsia="Calibri" w:hAnsi="Times New Roman" w:cs="Times New Roman"/>
          <w:color w:val="000000"/>
          <w:sz w:val="24"/>
          <w:szCs w:val="24"/>
          <w:lang w:val="sq-AL"/>
        </w:rPr>
        <w:t>ë</w:t>
      </w:r>
      <w:r w:rsidR="008202A3" w:rsidRPr="00B76C9D">
        <w:rPr>
          <w:rFonts w:ascii="Times New Roman" w:eastAsia="Calibri" w:hAnsi="Times New Roman" w:cs="Times New Roman"/>
          <w:color w:val="000000"/>
          <w:sz w:val="24"/>
          <w:szCs w:val="24"/>
          <w:lang w:val="sq-AL"/>
        </w:rPr>
        <w:t xml:space="preserve"> mir</w:t>
      </w:r>
      <w:r w:rsidR="00B76C9D">
        <w:rPr>
          <w:rFonts w:ascii="Times New Roman" w:eastAsia="Calibri" w:hAnsi="Times New Roman" w:cs="Times New Roman"/>
          <w:color w:val="000000"/>
          <w:sz w:val="24"/>
          <w:szCs w:val="24"/>
          <w:lang w:val="sq-AL"/>
        </w:rPr>
        <w:t>ë</w:t>
      </w:r>
      <w:r w:rsidR="008202A3" w:rsidRPr="00B76C9D">
        <w:rPr>
          <w:rFonts w:ascii="Times New Roman" w:eastAsia="Calibri" w:hAnsi="Times New Roman" w:cs="Times New Roman"/>
          <w:color w:val="000000"/>
          <w:sz w:val="24"/>
          <w:szCs w:val="24"/>
          <w:lang w:val="sq-AL"/>
        </w:rPr>
        <w:t xml:space="preserve"> financiare.</w:t>
      </w:r>
    </w:p>
    <w:p w14:paraId="06DD47BD" w14:textId="77777777" w:rsidR="008202A3" w:rsidRPr="00B76C9D" w:rsidRDefault="008202A3" w:rsidP="00C07AED">
      <w:pPr>
        <w:widowControl w:val="0"/>
        <w:spacing w:after="0" w:line="240" w:lineRule="auto"/>
        <w:jc w:val="both"/>
        <w:rPr>
          <w:rFonts w:ascii="Times New Roman" w:eastAsia="Calibri" w:hAnsi="Times New Roman" w:cs="Times New Roman"/>
          <w:color w:val="000000"/>
          <w:sz w:val="24"/>
          <w:szCs w:val="24"/>
          <w:lang w:val="sq-AL"/>
        </w:rPr>
      </w:pPr>
    </w:p>
    <w:p w14:paraId="64D2ACB4" w14:textId="1B7C7E68" w:rsidR="00C07AED" w:rsidRPr="00B76C9D" w:rsidRDefault="00C07AED" w:rsidP="00C07AED">
      <w:pPr>
        <w:widowControl w:val="0"/>
        <w:spacing w:after="0" w:line="240" w:lineRule="auto"/>
        <w:jc w:val="both"/>
        <w:rPr>
          <w:rFonts w:ascii="Times New Roman" w:eastAsia="Calibri" w:hAnsi="Times New Roman" w:cs="Times New Roman"/>
          <w:color w:val="000000"/>
          <w:sz w:val="24"/>
          <w:szCs w:val="24"/>
          <w:lang w:val="sq-AL"/>
        </w:rPr>
      </w:pPr>
      <w:r w:rsidRPr="00B76C9D">
        <w:rPr>
          <w:rFonts w:ascii="Times New Roman" w:eastAsia="Calibri" w:hAnsi="Times New Roman" w:cs="Times New Roman"/>
          <w:color w:val="000000"/>
          <w:sz w:val="24"/>
          <w:szCs w:val="24"/>
          <w:lang w:val="sq-AL"/>
        </w:rPr>
        <w:t xml:space="preserve"> Ndërsa shpenzime për investime janë realizuar në masën </w:t>
      </w:r>
      <w:r w:rsidR="003E5E3D" w:rsidRPr="00B76C9D">
        <w:rPr>
          <w:rFonts w:ascii="Times New Roman" w:eastAsia="Calibri" w:hAnsi="Times New Roman" w:cs="Times New Roman"/>
          <w:color w:val="000000"/>
          <w:sz w:val="24"/>
          <w:szCs w:val="24"/>
          <w:lang w:val="sq-AL"/>
        </w:rPr>
        <w:t>106</w:t>
      </w:r>
      <w:r w:rsidRPr="00B76C9D">
        <w:rPr>
          <w:rFonts w:ascii="Times New Roman" w:eastAsia="Calibri" w:hAnsi="Times New Roman" w:cs="Times New Roman"/>
          <w:color w:val="000000"/>
          <w:sz w:val="24"/>
          <w:szCs w:val="24"/>
          <w:lang w:val="sq-AL"/>
        </w:rPr>
        <w:t xml:space="preserve">% të planit të rishikuar dhe </w:t>
      </w:r>
      <w:r w:rsidR="003E5E3D" w:rsidRPr="00B76C9D">
        <w:rPr>
          <w:rFonts w:ascii="Times New Roman" w:eastAsia="Calibri" w:hAnsi="Times New Roman" w:cs="Times New Roman"/>
          <w:color w:val="000000"/>
          <w:sz w:val="24"/>
          <w:szCs w:val="24"/>
          <w:lang w:val="sq-AL"/>
        </w:rPr>
        <w:t>111% t</w:t>
      </w:r>
      <w:r w:rsidR="00014DB7" w:rsidRPr="00B76C9D">
        <w:rPr>
          <w:rFonts w:ascii="Times New Roman" w:eastAsia="Calibri" w:hAnsi="Times New Roman" w:cs="Times New Roman"/>
          <w:color w:val="000000"/>
          <w:sz w:val="24"/>
          <w:szCs w:val="24"/>
          <w:lang w:val="sq-AL"/>
        </w:rPr>
        <w:t>ë</w:t>
      </w:r>
      <w:r w:rsidR="003E5E3D" w:rsidRPr="00B76C9D">
        <w:rPr>
          <w:rFonts w:ascii="Times New Roman" w:eastAsia="Calibri" w:hAnsi="Times New Roman" w:cs="Times New Roman"/>
          <w:color w:val="000000"/>
          <w:sz w:val="24"/>
          <w:szCs w:val="24"/>
          <w:lang w:val="sq-AL"/>
        </w:rPr>
        <w:t xml:space="preserve"> p</w:t>
      </w:r>
      <w:r w:rsidR="008202A3" w:rsidRPr="00B76C9D">
        <w:rPr>
          <w:rFonts w:ascii="Times New Roman" w:eastAsia="Calibri" w:hAnsi="Times New Roman" w:cs="Times New Roman"/>
          <w:color w:val="000000"/>
          <w:sz w:val="24"/>
          <w:szCs w:val="24"/>
          <w:lang w:val="sq-AL"/>
        </w:rPr>
        <w:t xml:space="preserve">lanit </w:t>
      </w:r>
      <w:r w:rsidRPr="00B76C9D">
        <w:rPr>
          <w:rFonts w:ascii="Times New Roman" w:eastAsia="Calibri" w:hAnsi="Times New Roman" w:cs="Times New Roman"/>
          <w:color w:val="000000"/>
          <w:sz w:val="24"/>
          <w:szCs w:val="24"/>
          <w:lang w:val="sq-AL"/>
        </w:rPr>
        <w:t>fillestar</w:t>
      </w:r>
      <w:r w:rsidR="003E5E3D" w:rsidRPr="00B76C9D">
        <w:rPr>
          <w:rFonts w:ascii="Times New Roman" w:eastAsia="Calibri" w:hAnsi="Times New Roman" w:cs="Times New Roman"/>
          <w:color w:val="000000"/>
          <w:sz w:val="24"/>
          <w:szCs w:val="24"/>
          <w:lang w:val="sq-AL"/>
        </w:rPr>
        <w:t>.</w:t>
      </w:r>
      <w:r w:rsidR="008202A3" w:rsidRPr="00B76C9D">
        <w:rPr>
          <w:rFonts w:ascii="Times New Roman" w:eastAsia="Calibri" w:hAnsi="Times New Roman" w:cs="Times New Roman"/>
          <w:color w:val="000000"/>
          <w:sz w:val="24"/>
          <w:szCs w:val="24"/>
          <w:lang w:val="sq-AL"/>
        </w:rPr>
        <w:t xml:space="preserve"> </w:t>
      </w:r>
    </w:p>
    <w:p w14:paraId="69CCC7CF" w14:textId="77777777" w:rsidR="008202A3" w:rsidRPr="00B76C9D" w:rsidRDefault="008202A3" w:rsidP="00C07AED">
      <w:pPr>
        <w:widowControl w:val="0"/>
        <w:spacing w:after="0" w:line="240" w:lineRule="auto"/>
        <w:jc w:val="both"/>
        <w:rPr>
          <w:rFonts w:ascii="Times New Roman" w:eastAsia="Calibri" w:hAnsi="Times New Roman" w:cs="Times New Roman"/>
          <w:color w:val="000000"/>
          <w:sz w:val="24"/>
          <w:szCs w:val="24"/>
          <w:lang w:val="sq-AL"/>
        </w:rPr>
      </w:pPr>
    </w:p>
    <w:p w14:paraId="38D99BA4" w14:textId="3AD9D905" w:rsidR="008202A3" w:rsidRPr="00B76C9D" w:rsidRDefault="008202A3" w:rsidP="00C07AED">
      <w:pPr>
        <w:widowControl w:val="0"/>
        <w:spacing w:after="0" w:line="240" w:lineRule="auto"/>
        <w:jc w:val="both"/>
        <w:rPr>
          <w:rFonts w:ascii="Times New Roman" w:eastAsia="Calibri" w:hAnsi="Times New Roman" w:cs="Times New Roman"/>
          <w:color w:val="000000"/>
          <w:sz w:val="24"/>
          <w:szCs w:val="24"/>
          <w:lang w:val="sq-AL"/>
        </w:rPr>
      </w:pPr>
      <w:r w:rsidRPr="00B76C9D">
        <w:rPr>
          <w:rFonts w:ascii="Times New Roman" w:eastAsia="Calibri" w:hAnsi="Times New Roman" w:cs="Times New Roman"/>
          <w:color w:val="000000"/>
          <w:sz w:val="24"/>
          <w:szCs w:val="24"/>
          <w:lang w:val="sq-AL"/>
        </w:rPr>
        <w:t>Megjithatë, duhet patur parasysh që realizimi i shpenzimeve kapitale shfaqet  në masën 106%, pasi plani i shpenzimeve kapitale me financim të huaj është në masën 1.5 milionë  lekë, ndërkohë shpenzimet kapitale faktike me financim të huaj janë në vlerën 5.1 milionë lekë, për të cilin duhej rregulluar plani i buxhetit referuar disbursimeve të pritshme.</w:t>
      </w:r>
    </w:p>
    <w:p w14:paraId="3DA65C6B" w14:textId="77777777" w:rsidR="008202A3" w:rsidRPr="00B76C9D" w:rsidRDefault="008202A3" w:rsidP="00C07AED">
      <w:pPr>
        <w:widowControl w:val="0"/>
        <w:spacing w:after="0" w:line="240" w:lineRule="auto"/>
        <w:jc w:val="both"/>
        <w:rPr>
          <w:rFonts w:ascii="Times New Roman" w:eastAsia="Calibri" w:hAnsi="Times New Roman" w:cs="Times New Roman"/>
          <w:color w:val="000000"/>
          <w:sz w:val="24"/>
          <w:szCs w:val="24"/>
          <w:lang w:val="sq-AL"/>
        </w:rPr>
      </w:pPr>
    </w:p>
    <w:p w14:paraId="3306F9F1" w14:textId="6B0A72A7" w:rsidR="00C07AED" w:rsidRPr="00B76C9D" w:rsidRDefault="00C07AED" w:rsidP="0073210B">
      <w:pPr>
        <w:jc w:val="both"/>
        <w:rPr>
          <w:rFonts w:ascii="Times New Roman" w:eastAsia="Calibri" w:hAnsi="Times New Roman" w:cs="Times New Roman"/>
          <w:sz w:val="24"/>
          <w:szCs w:val="24"/>
          <w:lang w:val="sq-AL"/>
        </w:rPr>
      </w:pPr>
      <w:r w:rsidRPr="00B76C9D">
        <w:rPr>
          <w:rFonts w:ascii="Times New Roman" w:eastAsia="Calibri" w:hAnsi="Times New Roman" w:cs="Times New Roman"/>
          <w:sz w:val="24"/>
          <w:szCs w:val="24"/>
          <w:lang w:val="sq-AL"/>
        </w:rPr>
        <w:t>Lidhur me informacionin mbi volumin dhe madhësinë e ndryshimit të buxhetit,</w:t>
      </w:r>
      <w:r w:rsidRPr="00B76C9D">
        <w:rPr>
          <w:lang w:val="sq-AL"/>
        </w:rPr>
        <w:t xml:space="preserve"> </w:t>
      </w:r>
      <w:r w:rsidRPr="00B76C9D">
        <w:rPr>
          <w:rFonts w:ascii="Times New Roman" w:eastAsia="Calibri" w:hAnsi="Times New Roman" w:cs="Times New Roman"/>
          <w:sz w:val="24"/>
          <w:szCs w:val="24"/>
          <w:lang w:val="sq-AL"/>
        </w:rPr>
        <w:t>v</w:t>
      </w:r>
      <w:r w:rsidR="00014DB7" w:rsidRPr="00B76C9D">
        <w:rPr>
          <w:rFonts w:ascii="Times New Roman" w:eastAsia="Calibri" w:hAnsi="Times New Roman" w:cs="Times New Roman"/>
          <w:sz w:val="24"/>
          <w:szCs w:val="24"/>
          <w:lang w:val="sq-AL"/>
        </w:rPr>
        <w:t>ë</w:t>
      </w:r>
      <w:r w:rsidRPr="00B76C9D">
        <w:rPr>
          <w:rFonts w:ascii="Times New Roman" w:eastAsia="Calibri" w:hAnsi="Times New Roman" w:cs="Times New Roman"/>
          <w:sz w:val="24"/>
          <w:szCs w:val="24"/>
          <w:lang w:val="sq-AL"/>
        </w:rPr>
        <w:t>rejm</w:t>
      </w:r>
      <w:r w:rsidR="00014DB7" w:rsidRPr="00B76C9D">
        <w:rPr>
          <w:rFonts w:ascii="Times New Roman" w:eastAsia="Calibri" w:hAnsi="Times New Roman" w:cs="Times New Roman"/>
          <w:sz w:val="24"/>
          <w:szCs w:val="24"/>
          <w:lang w:val="sq-AL"/>
        </w:rPr>
        <w:t>ë</w:t>
      </w:r>
      <w:r w:rsidRPr="00B76C9D">
        <w:rPr>
          <w:rFonts w:ascii="Times New Roman" w:eastAsia="Calibri" w:hAnsi="Times New Roman" w:cs="Times New Roman"/>
          <w:sz w:val="24"/>
          <w:szCs w:val="24"/>
          <w:lang w:val="sq-AL"/>
        </w:rPr>
        <w:t xml:space="preserve"> se në krahasim me ligjin fillestar plani ka ndryshime në vlerën 62,547 mijë lekë, nga të cilat  345 mijë lekë akordim i fondit të veçantë për vitin 2024; 255 mijë lekë akordim fondi i veçantë për shpërblimin e punonjësve mbështetës në zbatim të VKM  nr.846, datë 26.12.2024; 30,000 mijë </w:t>
      </w:r>
      <w:r w:rsidRPr="00B76C9D">
        <w:rPr>
          <w:rFonts w:ascii="Times New Roman" w:eastAsia="Calibri" w:hAnsi="Times New Roman" w:cs="Times New Roman"/>
          <w:sz w:val="24"/>
          <w:szCs w:val="24"/>
          <w:lang w:val="sq-AL"/>
        </w:rPr>
        <w:lastRenderedPageBreak/>
        <w:t>lekë akorduar me Aktin Normativ nr.5, datë 19.12.2024 për diferencën e pagës së gjyqtarëve dhe këshilltarëve ligjore; 8,100 mijë lekë kontigjencë për rritjen e pagave; 846 mijë lekë shpërblim i menjëhershëm, shtesë fondi  në zërin paga 15,500mijë lëkë; 1,500 mijë lekë shtuar plan financim i huaj.</w:t>
      </w:r>
    </w:p>
    <w:p w14:paraId="5C130A26" w14:textId="77777777" w:rsidR="007C2E0D" w:rsidRPr="00B76C9D" w:rsidRDefault="007C2E0D" w:rsidP="007C2E0D">
      <w:pPr>
        <w:pStyle w:val="NoSpacing"/>
        <w:rPr>
          <w:rFonts w:ascii="Times New Roman" w:eastAsia="Calibri" w:hAnsi="Times New Roman" w:cs="Times New Roman"/>
          <w:sz w:val="24"/>
          <w:szCs w:val="24"/>
          <w:lang w:val="sq-AL"/>
        </w:rPr>
      </w:pPr>
    </w:p>
    <w:p w14:paraId="01C6E3A0" w14:textId="79CCC5AE" w:rsidR="0073210B" w:rsidRPr="00B76C9D" w:rsidRDefault="0073210B" w:rsidP="008B3D1F">
      <w:pPr>
        <w:jc w:val="both"/>
        <w:rPr>
          <w:rFonts w:ascii="Times New Roman" w:eastAsia="Calibri" w:hAnsi="Times New Roman" w:cs="Times New Roman"/>
          <w:sz w:val="24"/>
          <w:szCs w:val="24"/>
          <w:lang w:val="sq-AL"/>
        </w:rPr>
      </w:pPr>
      <w:r w:rsidRPr="00B76C9D">
        <w:rPr>
          <w:rFonts w:ascii="Times New Roman" w:eastAsia="Calibri" w:hAnsi="Times New Roman" w:cs="Times New Roman"/>
          <w:b/>
          <w:sz w:val="24"/>
          <w:szCs w:val="24"/>
          <w:lang w:val="sq-AL"/>
        </w:rPr>
        <w:t xml:space="preserve">Komente dhe rekomandime </w:t>
      </w:r>
    </w:p>
    <w:p w14:paraId="7EB092F7" w14:textId="45633E07" w:rsidR="003A0B7F" w:rsidRPr="00B76C9D" w:rsidRDefault="003A0B7F" w:rsidP="003A0B7F">
      <w:pPr>
        <w:pStyle w:val="ListParagraph"/>
        <w:numPr>
          <w:ilvl w:val="0"/>
          <w:numId w:val="6"/>
        </w:numPr>
        <w:jc w:val="both"/>
        <w:rPr>
          <w:rFonts w:ascii="Times New Roman" w:eastAsia="Calibri" w:hAnsi="Times New Roman" w:cs="Times New Roman"/>
          <w:sz w:val="24"/>
          <w:szCs w:val="24"/>
          <w:lang w:val="sq-AL"/>
        </w:rPr>
      </w:pPr>
      <w:bookmarkStart w:id="0" w:name="_Hlk165983808"/>
      <w:r w:rsidRPr="00B76C9D">
        <w:rPr>
          <w:rFonts w:ascii="Times New Roman" w:eastAsia="Calibri" w:hAnsi="Times New Roman" w:cs="Times New Roman"/>
          <w:sz w:val="24"/>
          <w:szCs w:val="24"/>
          <w:lang w:val="sq-AL"/>
        </w:rPr>
        <w:t xml:space="preserve">Theksojmë se paraqitja e informacionit si dhe të dhënat e raportuara në raportin e monitorimit </w:t>
      </w:r>
      <w:r w:rsidR="00402AE7" w:rsidRPr="00B76C9D">
        <w:rPr>
          <w:rFonts w:ascii="Times New Roman" w:eastAsia="Calibri" w:hAnsi="Times New Roman" w:cs="Times New Roman"/>
          <w:sz w:val="24"/>
          <w:szCs w:val="24"/>
          <w:lang w:val="sq-AL"/>
        </w:rPr>
        <w:t>ë</w:t>
      </w:r>
      <w:r w:rsidR="00260DE6" w:rsidRPr="00B76C9D">
        <w:rPr>
          <w:rFonts w:ascii="Times New Roman" w:eastAsia="Calibri" w:hAnsi="Times New Roman" w:cs="Times New Roman"/>
          <w:sz w:val="24"/>
          <w:szCs w:val="24"/>
          <w:lang w:val="sq-AL"/>
        </w:rPr>
        <w:t>sht</w:t>
      </w:r>
      <w:r w:rsidR="00402AE7" w:rsidRPr="00B76C9D">
        <w:rPr>
          <w:rFonts w:ascii="Times New Roman" w:eastAsia="Calibri" w:hAnsi="Times New Roman" w:cs="Times New Roman"/>
          <w:sz w:val="24"/>
          <w:szCs w:val="24"/>
          <w:lang w:val="sq-AL"/>
        </w:rPr>
        <w:t>ë</w:t>
      </w:r>
      <w:r w:rsidR="00260DE6" w:rsidRPr="00B76C9D">
        <w:rPr>
          <w:rFonts w:ascii="Times New Roman" w:eastAsia="Calibri" w:hAnsi="Times New Roman" w:cs="Times New Roman"/>
          <w:sz w:val="24"/>
          <w:szCs w:val="24"/>
          <w:lang w:val="sq-AL"/>
        </w:rPr>
        <w:t xml:space="preserve"> </w:t>
      </w:r>
      <w:r w:rsidR="004D068D" w:rsidRPr="00B76C9D">
        <w:rPr>
          <w:rFonts w:ascii="Times New Roman" w:eastAsia="Calibri" w:hAnsi="Times New Roman" w:cs="Times New Roman"/>
          <w:sz w:val="24"/>
          <w:szCs w:val="24"/>
          <w:lang w:val="sq-AL"/>
        </w:rPr>
        <w:t>b</w:t>
      </w:r>
      <w:r w:rsidR="008202A3" w:rsidRPr="00B76C9D">
        <w:rPr>
          <w:rFonts w:ascii="Times New Roman" w:eastAsia="Calibri" w:hAnsi="Times New Roman" w:cs="Times New Roman"/>
          <w:sz w:val="24"/>
          <w:szCs w:val="24"/>
          <w:lang w:val="sq-AL"/>
        </w:rPr>
        <w:t>ë</w:t>
      </w:r>
      <w:r w:rsidR="004D068D" w:rsidRPr="00B76C9D">
        <w:rPr>
          <w:rFonts w:ascii="Times New Roman" w:eastAsia="Calibri" w:hAnsi="Times New Roman" w:cs="Times New Roman"/>
          <w:sz w:val="24"/>
          <w:szCs w:val="24"/>
          <w:lang w:val="sq-AL"/>
        </w:rPr>
        <w:t>r</w:t>
      </w:r>
      <w:r w:rsidR="008202A3" w:rsidRPr="00B76C9D">
        <w:rPr>
          <w:rFonts w:ascii="Times New Roman" w:eastAsia="Calibri" w:hAnsi="Times New Roman" w:cs="Times New Roman"/>
          <w:sz w:val="24"/>
          <w:szCs w:val="24"/>
          <w:lang w:val="sq-AL"/>
        </w:rPr>
        <w:t>ë</w:t>
      </w:r>
      <w:r w:rsidR="004D068D" w:rsidRPr="00B76C9D">
        <w:rPr>
          <w:rFonts w:ascii="Times New Roman" w:eastAsia="Calibri" w:hAnsi="Times New Roman" w:cs="Times New Roman"/>
          <w:sz w:val="24"/>
          <w:szCs w:val="24"/>
          <w:lang w:val="sq-AL"/>
        </w:rPr>
        <w:t xml:space="preserve"> pjes</w:t>
      </w:r>
      <w:r w:rsidR="008202A3" w:rsidRPr="00B76C9D">
        <w:rPr>
          <w:rFonts w:ascii="Times New Roman" w:eastAsia="Calibri" w:hAnsi="Times New Roman" w:cs="Times New Roman"/>
          <w:sz w:val="24"/>
          <w:szCs w:val="24"/>
          <w:lang w:val="sq-AL"/>
        </w:rPr>
        <w:t>ë</w:t>
      </w:r>
      <w:r w:rsidR="004D068D" w:rsidRPr="00B76C9D">
        <w:rPr>
          <w:rFonts w:ascii="Times New Roman" w:eastAsia="Calibri" w:hAnsi="Times New Roman" w:cs="Times New Roman"/>
          <w:sz w:val="24"/>
          <w:szCs w:val="24"/>
          <w:lang w:val="sq-AL"/>
        </w:rPr>
        <w:t xml:space="preserve">risht </w:t>
      </w:r>
      <w:r w:rsidR="00260DE6" w:rsidRPr="00B76C9D">
        <w:rPr>
          <w:rFonts w:ascii="Times New Roman" w:eastAsia="Calibri" w:hAnsi="Times New Roman" w:cs="Times New Roman"/>
          <w:sz w:val="24"/>
          <w:szCs w:val="24"/>
          <w:lang w:val="sq-AL"/>
        </w:rPr>
        <w:t>n</w:t>
      </w:r>
      <w:r w:rsidR="00402AE7" w:rsidRPr="00B76C9D">
        <w:rPr>
          <w:rFonts w:ascii="Times New Roman" w:eastAsia="Calibri" w:hAnsi="Times New Roman" w:cs="Times New Roman"/>
          <w:sz w:val="24"/>
          <w:szCs w:val="24"/>
          <w:lang w:val="sq-AL"/>
        </w:rPr>
        <w:t>ë</w:t>
      </w:r>
      <w:r w:rsidR="00260DE6" w:rsidRPr="00B76C9D">
        <w:rPr>
          <w:rFonts w:ascii="Times New Roman" w:eastAsia="Calibri" w:hAnsi="Times New Roman" w:cs="Times New Roman"/>
          <w:sz w:val="24"/>
          <w:szCs w:val="24"/>
          <w:lang w:val="sq-AL"/>
        </w:rPr>
        <w:t xml:space="preserve"> p</w:t>
      </w:r>
      <w:r w:rsidR="00402AE7" w:rsidRPr="00B76C9D">
        <w:rPr>
          <w:rFonts w:ascii="Times New Roman" w:eastAsia="Calibri" w:hAnsi="Times New Roman" w:cs="Times New Roman"/>
          <w:sz w:val="24"/>
          <w:szCs w:val="24"/>
          <w:lang w:val="sq-AL"/>
        </w:rPr>
        <w:t>ë</w:t>
      </w:r>
      <w:r w:rsidR="00260DE6" w:rsidRPr="00B76C9D">
        <w:rPr>
          <w:rFonts w:ascii="Times New Roman" w:eastAsia="Calibri" w:hAnsi="Times New Roman" w:cs="Times New Roman"/>
          <w:sz w:val="24"/>
          <w:szCs w:val="24"/>
          <w:lang w:val="sq-AL"/>
        </w:rPr>
        <w:t xml:space="preserve">rputhje </w:t>
      </w:r>
      <w:r w:rsidRPr="00B76C9D">
        <w:rPr>
          <w:rFonts w:ascii="Times New Roman" w:eastAsia="Calibri" w:hAnsi="Times New Roman" w:cs="Times New Roman"/>
          <w:sz w:val="24"/>
          <w:szCs w:val="24"/>
          <w:lang w:val="sq-AL"/>
        </w:rPr>
        <w:t xml:space="preserve">me përcaktimet e bëra në Udhëzimin nr. 14, datë 30.05.2023 “Për procedurat standarde të monitorimit të buxhetit në njësitë e Qeverisjes Qendrore”, </w:t>
      </w:r>
      <w:r w:rsidR="00374978" w:rsidRPr="00B76C9D">
        <w:rPr>
          <w:rFonts w:ascii="Times New Roman" w:eastAsia="Calibri" w:hAnsi="Times New Roman" w:cs="Times New Roman"/>
          <w:sz w:val="24"/>
          <w:szCs w:val="24"/>
          <w:lang w:val="sq-AL"/>
        </w:rPr>
        <w:t>p</w:t>
      </w:r>
      <w:r w:rsidR="004D068D" w:rsidRPr="00B76C9D">
        <w:rPr>
          <w:rFonts w:ascii="Times New Roman" w:eastAsia="Calibri" w:hAnsi="Times New Roman" w:cs="Times New Roman"/>
          <w:sz w:val="24"/>
          <w:szCs w:val="24"/>
          <w:lang w:val="sq-AL"/>
        </w:rPr>
        <w:t>asi</w:t>
      </w:r>
      <w:r w:rsidR="00374978" w:rsidRPr="00B76C9D">
        <w:rPr>
          <w:rFonts w:ascii="Times New Roman" w:eastAsia="Calibri" w:hAnsi="Times New Roman" w:cs="Times New Roman"/>
          <w:sz w:val="24"/>
          <w:szCs w:val="24"/>
          <w:lang w:val="sq-AL"/>
        </w:rPr>
        <w:t xml:space="preserve"> në këto formate  në hard copy nuk janë pasqyruar të dhënat lidhur me financimin e huaj,</w:t>
      </w:r>
      <w:r w:rsidR="00FF2CCF" w:rsidRPr="00B76C9D">
        <w:rPr>
          <w:rFonts w:ascii="Times New Roman" w:eastAsia="Calibri" w:hAnsi="Times New Roman" w:cs="Times New Roman"/>
          <w:sz w:val="24"/>
          <w:szCs w:val="24"/>
          <w:lang w:val="sq-AL"/>
        </w:rPr>
        <w:t xml:space="preserve"> sipas</w:t>
      </w:r>
      <w:r w:rsidR="00971B9F" w:rsidRPr="00B76C9D">
        <w:rPr>
          <w:rFonts w:ascii="Times New Roman" w:eastAsia="Calibri" w:hAnsi="Times New Roman" w:cs="Times New Roman"/>
          <w:sz w:val="24"/>
          <w:szCs w:val="24"/>
          <w:lang w:val="sq-AL"/>
        </w:rPr>
        <w:t xml:space="preserve"> form</w:t>
      </w:r>
      <w:r w:rsidR="004D068D" w:rsidRPr="00B76C9D">
        <w:rPr>
          <w:rFonts w:ascii="Times New Roman" w:eastAsia="Calibri" w:hAnsi="Times New Roman" w:cs="Times New Roman"/>
          <w:sz w:val="24"/>
          <w:szCs w:val="24"/>
          <w:lang w:val="sq-AL"/>
        </w:rPr>
        <w:t>a</w:t>
      </w:r>
      <w:r w:rsidR="00971B9F" w:rsidRPr="00B76C9D">
        <w:rPr>
          <w:rFonts w:ascii="Times New Roman" w:eastAsia="Calibri" w:hAnsi="Times New Roman" w:cs="Times New Roman"/>
          <w:sz w:val="24"/>
          <w:szCs w:val="24"/>
          <w:lang w:val="sq-AL"/>
        </w:rPr>
        <w:t>teve</w:t>
      </w:r>
      <w:r w:rsidR="00FF2CCF" w:rsidRPr="00B76C9D">
        <w:rPr>
          <w:rFonts w:ascii="Times New Roman" w:eastAsia="Calibri" w:hAnsi="Times New Roman" w:cs="Times New Roman"/>
          <w:sz w:val="24"/>
          <w:szCs w:val="24"/>
          <w:lang w:val="sq-AL"/>
        </w:rPr>
        <w:t xml:space="preserve"> AFMIS,</w:t>
      </w:r>
      <w:r w:rsidR="00374978" w:rsidRPr="00B76C9D">
        <w:rPr>
          <w:rFonts w:ascii="Times New Roman" w:eastAsia="Calibri" w:hAnsi="Times New Roman" w:cs="Times New Roman"/>
          <w:sz w:val="24"/>
          <w:szCs w:val="24"/>
          <w:lang w:val="sq-AL"/>
        </w:rPr>
        <w:t xml:space="preserve"> duk</w:t>
      </w:r>
      <w:r w:rsidR="00D8371A" w:rsidRPr="00B76C9D">
        <w:rPr>
          <w:rFonts w:ascii="Times New Roman" w:eastAsia="Calibri" w:hAnsi="Times New Roman" w:cs="Times New Roman"/>
          <w:sz w:val="24"/>
          <w:szCs w:val="24"/>
          <w:lang w:val="sq-AL"/>
        </w:rPr>
        <w:t>e</w:t>
      </w:r>
      <w:r w:rsidR="00374978" w:rsidRPr="00B76C9D">
        <w:rPr>
          <w:rFonts w:ascii="Times New Roman" w:eastAsia="Calibri" w:hAnsi="Times New Roman" w:cs="Times New Roman"/>
          <w:sz w:val="24"/>
          <w:szCs w:val="24"/>
          <w:lang w:val="sq-AL"/>
        </w:rPr>
        <w:t xml:space="preserve"> ndikuar në paraqit</w:t>
      </w:r>
      <w:r w:rsidR="00FF2CCF" w:rsidRPr="00B76C9D">
        <w:rPr>
          <w:rFonts w:ascii="Times New Roman" w:eastAsia="Calibri" w:hAnsi="Times New Roman" w:cs="Times New Roman"/>
          <w:sz w:val="24"/>
          <w:szCs w:val="24"/>
          <w:lang w:val="sq-AL"/>
        </w:rPr>
        <w:t>jen</w:t>
      </w:r>
      <w:r w:rsidR="00374978" w:rsidRPr="00B76C9D">
        <w:rPr>
          <w:rFonts w:ascii="Times New Roman" w:eastAsia="Calibri" w:hAnsi="Times New Roman" w:cs="Times New Roman"/>
          <w:sz w:val="24"/>
          <w:szCs w:val="24"/>
          <w:lang w:val="sq-AL"/>
        </w:rPr>
        <w:t xml:space="preserve"> e performancës</w:t>
      </w:r>
      <w:r w:rsidR="00D8371A" w:rsidRPr="00B76C9D">
        <w:rPr>
          <w:rFonts w:ascii="Times New Roman" w:eastAsia="Calibri" w:hAnsi="Times New Roman" w:cs="Times New Roman"/>
          <w:sz w:val="24"/>
          <w:szCs w:val="24"/>
          <w:lang w:val="sq-AL"/>
        </w:rPr>
        <w:t xml:space="preserve"> së programit</w:t>
      </w:r>
      <w:r w:rsidR="004D068D" w:rsidRPr="00B76C9D">
        <w:rPr>
          <w:rFonts w:ascii="Times New Roman" w:eastAsia="Calibri" w:hAnsi="Times New Roman" w:cs="Times New Roman"/>
          <w:sz w:val="24"/>
          <w:szCs w:val="24"/>
          <w:lang w:val="sq-AL"/>
        </w:rPr>
        <w:t xml:space="preserve"> si dhe nuk është paraqitur aneksi 4</w:t>
      </w:r>
      <w:r w:rsidR="008202A3" w:rsidRPr="00B76C9D">
        <w:rPr>
          <w:rFonts w:ascii="Times New Roman" w:eastAsia="Calibri" w:hAnsi="Times New Roman" w:cs="Times New Roman"/>
          <w:sz w:val="24"/>
          <w:szCs w:val="24"/>
          <w:lang w:val="sq-AL"/>
        </w:rPr>
        <w:t xml:space="preserve"> lidhur me realizimin e treguesve t</w:t>
      </w:r>
      <w:r w:rsidR="00014DB7" w:rsidRPr="00B76C9D">
        <w:rPr>
          <w:rFonts w:ascii="Times New Roman" w:eastAsia="Calibri" w:hAnsi="Times New Roman" w:cs="Times New Roman"/>
          <w:sz w:val="24"/>
          <w:szCs w:val="24"/>
          <w:lang w:val="sq-AL"/>
        </w:rPr>
        <w:t>ë</w:t>
      </w:r>
      <w:r w:rsidR="008202A3" w:rsidRPr="00B76C9D">
        <w:rPr>
          <w:rFonts w:ascii="Times New Roman" w:eastAsia="Calibri" w:hAnsi="Times New Roman" w:cs="Times New Roman"/>
          <w:sz w:val="24"/>
          <w:szCs w:val="24"/>
          <w:lang w:val="sq-AL"/>
        </w:rPr>
        <w:t xml:space="preserve"> p</w:t>
      </w:r>
      <w:r w:rsidR="00014DB7" w:rsidRPr="00B76C9D">
        <w:rPr>
          <w:rFonts w:ascii="Times New Roman" w:eastAsia="Calibri" w:hAnsi="Times New Roman" w:cs="Times New Roman"/>
          <w:sz w:val="24"/>
          <w:szCs w:val="24"/>
          <w:lang w:val="sq-AL"/>
        </w:rPr>
        <w:t>ë</w:t>
      </w:r>
      <w:r w:rsidR="008202A3" w:rsidRPr="00B76C9D">
        <w:rPr>
          <w:rFonts w:ascii="Times New Roman" w:eastAsia="Calibri" w:hAnsi="Times New Roman" w:cs="Times New Roman"/>
          <w:sz w:val="24"/>
          <w:szCs w:val="24"/>
          <w:lang w:val="sq-AL"/>
        </w:rPr>
        <w:t>rformanc</w:t>
      </w:r>
      <w:r w:rsidR="00014DB7" w:rsidRPr="00B76C9D">
        <w:rPr>
          <w:rFonts w:ascii="Times New Roman" w:eastAsia="Calibri" w:hAnsi="Times New Roman" w:cs="Times New Roman"/>
          <w:sz w:val="24"/>
          <w:szCs w:val="24"/>
          <w:lang w:val="sq-AL"/>
        </w:rPr>
        <w:t>ë</w:t>
      </w:r>
      <w:r w:rsidR="008202A3" w:rsidRPr="00B76C9D">
        <w:rPr>
          <w:rFonts w:ascii="Times New Roman" w:eastAsia="Calibri" w:hAnsi="Times New Roman" w:cs="Times New Roman"/>
          <w:sz w:val="24"/>
          <w:szCs w:val="24"/>
          <w:lang w:val="sq-AL"/>
        </w:rPr>
        <w:t>s.</w:t>
      </w:r>
    </w:p>
    <w:p w14:paraId="408EE42A" w14:textId="5747CEB3" w:rsidR="003A0B7F" w:rsidRPr="00B76C9D" w:rsidRDefault="008202A3" w:rsidP="008202A3">
      <w:pPr>
        <w:jc w:val="both"/>
        <w:rPr>
          <w:rFonts w:ascii="Times New Roman" w:hAnsi="Times New Roman"/>
          <w:bCs/>
          <w:sz w:val="24"/>
          <w:szCs w:val="24"/>
          <w:lang w:val="sq-AL"/>
        </w:rPr>
      </w:pPr>
      <w:r w:rsidRPr="00B76C9D">
        <w:rPr>
          <w:rFonts w:ascii="Times New Roman" w:eastAsia="Calibri" w:hAnsi="Times New Roman" w:cs="Times New Roman"/>
          <w:sz w:val="24"/>
          <w:szCs w:val="24"/>
          <w:lang w:val="sq-AL"/>
        </w:rPr>
        <w:t xml:space="preserve">              </w:t>
      </w:r>
      <w:r w:rsidR="00C848FE" w:rsidRPr="00B76C9D">
        <w:rPr>
          <w:rFonts w:ascii="Times New Roman" w:hAnsi="Times New Roman"/>
          <w:bCs/>
          <w:sz w:val="24"/>
          <w:szCs w:val="24"/>
          <w:lang w:val="sq-AL"/>
        </w:rPr>
        <w:t>L</w:t>
      </w:r>
      <w:r w:rsidR="003A0B7F" w:rsidRPr="00B76C9D">
        <w:rPr>
          <w:rFonts w:ascii="Times New Roman" w:hAnsi="Times New Roman"/>
          <w:bCs/>
          <w:sz w:val="24"/>
          <w:szCs w:val="24"/>
          <w:lang w:val="sq-AL"/>
        </w:rPr>
        <w:t>idhur me përdorimin e informacionit të siguruar nga sistemi AFMIS vihet re se:</w:t>
      </w:r>
    </w:p>
    <w:p w14:paraId="00306C54" w14:textId="6B1C8A66" w:rsidR="00837614" w:rsidRPr="00B76C9D" w:rsidRDefault="00837614" w:rsidP="00837614">
      <w:pPr>
        <w:pStyle w:val="ListParagraph"/>
        <w:spacing w:after="0"/>
        <w:ind w:left="1440"/>
        <w:jc w:val="both"/>
        <w:rPr>
          <w:rFonts w:ascii="Times New Roman" w:hAnsi="Times New Roman"/>
          <w:bCs/>
          <w:sz w:val="24"/>
          <w:szCs w:val="24"/>
          <w:lang w:val="sq-AL"/>
        </w:rPr>
      </w:pPr>
      <w:r w:rsidRPr="00B76C9D">
        <w:rPr>
          <w:rFonts w:ascii="Times New Roman" w:hAnsi="Times New Roman"/>
          <w:bCs/>
          <w:sz w:val="24"/>
          <w:szCs w:val="24"/>
          <w:lang w:val="sq-AL"/>
        </w:rPr>
        <w:t>-</w:t>
      </w:r>
      <w:r w:rsidR="003A0B7F" w:rsidRPr="00B76C9D">
        <w:rPr>
          <w:rFonts w:ascii="Times New Roman" w:hAnsi="Times New Roman"/>
          <w:bCs/>
          <w:sz w:val="24"/>
          <w:szCs w:val="24"/>
          <w:lang w:val="sq-AL"/>
        </w:rPr>
        <w:t>Nga ana</w:t>
      </w:r>
      <w:r w:rsidR="008B3D1F" w:rsidRPr="00B76C9D">
        <w:rPr>
          <w:rFonts w:ascii="Times New Roman" w:hAnsi="Times New Roman"/>
          <w:bCs/>
          <w:sz w:val="24"/>
          <w:szCs w:val="24"/>
          <w:lang w:val="sq-AL"/>
        </w:rPr>
        <w:t xml:space="preserve"> e Gjykat</w:t>
      </w:r>
      <w:r w:rsidR="00C24DB4" w:rsidRPr="00B76C9D">
        <w:rPr>
          <w:rFonts w:ascii="Times New Roman" w:hAnsi="Times New Roman"/>
          <w:bCs/>
          <w:sz w:val="24"/>
          <w:szCs w:val="24"/>
          <w:lang w:val="sq-AL"/>
        </w:rPr>
        <w:t>ë</w:t>
      </w:r>
      <w:r w:rsidR="008B3D1F" w:rsidRPr="00B76C9D">
        <w:rPr>
          <w:rFonts w:ascii="Times New Roman" w:hAnsi="Times New Roman"/>
          <w:bCs/>
          <w:sz w:val="24"/>
          <w:szCs w:val="24"/>
          <w:lang w:val="sq-AL"/>
        </w:rPr>
        <w:t xml:space="preserve">s Kushtetuese </w:t>
      </w:r>
      <w:r w:rsidR="003A0B7F" w:rsidRPr="00B76C9D">
        <w:rPr>
          <w:rFonts w:ascii="Times New Roman" w:hAnsi="Times New Roman"/>
          <w:bCs/>
          <w:sz w:val="24"/>
          <w:szCs w:val="24"/>
          <w:lang w:val="sq-AL"/>
        </w:rPr>
        <w:t>janë plotësuar vlerat faktike për sasi</w:t>
      </w:r>
      <w:r w:rsidR="001B05CC" w:rsidRPr="00B76C9D">
        <w:rPr>
          <w:rFonts w:ascii="Times New Roman" w:hAnsi="Times New Roman"/>
          <w:bCs/>
          <w:sz w:val="24"/>
          <w:szCs w:val="24"/>
          <w:lang w:val="sq-AL"/>
        </w:rPr>
        <w:t>t</w:t>
      </w:r>
      <w:r w:rsidR="003A0B7F" w:rsidRPr="00B76C9D">
        <w:rPr>
          <w:rFonts w:ascii="Times New Roman" w:hAnsi="Times New Roman"/>
          <w:bCs/>
          <w:sz w:val="24"/>
          <w:szCs w:val="24"/>
          <w:lang w:val="sq-AL"/>
        </w:rPr>
        <w:t>ë e produkteve në modulin BPPM, raporti nr.16</w:t>
      </w:r>
      <w:r w:rsidR="00F5053B" w:rsidRPr="00B76C9D">
        <w:rPr>
          <w:rFonts w:ascii="Times New Roman" w:hAnsi="Times New Roman"/>
          <w:bCs/>
          <w:sz w:val="24"/>
          <w:szCs w:val="24"/>
          <w:lang w:val="sq-AL"/>
        </w:rPr>
        <w:t xml:space="preserve">. </w:t>
      </w:r>
    </w:p>
    <w:p w14:paraId="18CF15A8" w14:textId="3183C5DD" w:rsidR="00AC60BB" w:rsidRPr="00B76C9D" w:rsidRDefault="001B2B37" w:rsidP="00F60BFA">
      <w:pPr>
        <w:pStyle w:val="ListParagraph"/>
        <w:numPr>
          <w:ilvl w:val="0"/>
          <w:numId w:val="6"/>
        </w:numPr>
        <w:spacing w:after="0"/>
        <w:jc w:val="both"/>
        <w:rPr>
          <w:rFonts w:ascii="Times New Roman" w:hAnsi="Times New Roman"/>
          <w:bCs/>
          <w:sz w:val="24"/>
          <w:szCs w:val="24"/>
          <w:lang w:val="sq-AL"/>
        </w:rPr>
      </w:pPr>
      <w:r w:rsidRPr="00B76C9D">
        <w:rPr>
          <w:rFonts w:ascii="Times New Roman" w:hAnsi="Times New Roman"/>
          <w:bCs/>
          <w:sz w:val="24"/>
          <w:szCs w:val="24"/>
          <w:lang w:val="sq-AL"/>
        </w:rPr>
        <w:t xml:space="preserve">Paraqitja e raportit të monitorimit për periudhën </w:t>
      </w:r>
      <w:r w:rsidR="00374978" w:rsidRPr="00B76C9D">
        <w:rPr>
          <w:rFonts w:ascii="Times New Roman" w:hAnsi="Times New Roman"/>
          <w:bCs/>
          <w:sz w:val="24"/>
          <w:szCs w:val="24"/>
          <w:lang w:val="sq-AL"/>
        </w:rPr>
        <w:t>12</w:t>
      </w:r>
      <w:r w:rsidRPr="00B76C9D">
        <w:rPr>
          <w:rFonts w:ascii="Times New Roman" w:hAnsi="Times New Roman"/>
          <w:bCs/>
          <w:sz w:val="24"/>
          <w:szCs w:val="24"/>
          <w:lang w:val="sq-AL"/>
        </w:rPr>
        <w:t>M të vitit 202</w:t>
      </w:r>
      <w:r w:rsidR="00C848FE" w:rsidRPr="00B76C9D">
        <w:rPr>
          <w:rFonts w:ascii="Times New Roman" w:hAnsi="Times New Roman"/>
          <w:bCs/>
          <w:sz w:val="24"/>
          <w:szCs w:val="24"/>
          <w:lang w:val="sq-AL"/>
        </w:rPr>
        <w:t>4</w:t>
      </w:r>
      <w:r w:rsidRPr="00B76C9D">
        <w:rPr>
          <w:rFonts w:ascii="Times New Roman" w:hAnsi="Times New Roman"/>
          <w:bCs/>
          <w:sz w:val="24"/>
          <w:szCs w:val="24"/>
          <w:lang w:val="sq-AL"/>
        </w:rPr>
        <w:t xml:space="preserve"> nga </w:t>
      </w:r>
      <w:r w:rsidR="008B3D1F" w:rsidRPr="00B76C9D">
        <w:rPr>
          <w:rFonts w:ascii="Times New Roman" w:hAnsi="Times New Roman"/>
          <w:bCs/>
          <w:sz w:val="24"/>
          <w:szCs w:val="24"/>
          <w:lang w:val="sq-AL"/>
        </w:rPr>
        <w:t xml:space="preserve">GJK </w:t>
      </w:r>
      <w:r w:rsidRPr="00B76C9D">
        <w:rPr>
          <w:rFonts w:ascii="Times New Roman" w:hAnsi="Times New Roman"/>
          <w:bCs/>
          <w:sz w:val="24"/>
          <w:szCs w:val="24"/>
          <w:lang w:val="sq-AL"/>
        </w:rPr>
        <w:t>është bërë në përputhje me afatin e përcaktuar në udhëzimin nr. 14, datë 30.05.2023</w:t>
      </w:r>
      <w:r w:rsidR="00AC60BB" w:rsidRPr="00B76C9D">
        <w:rPr>
          <w:rFonts w:ascii="Times New Roman" w:hAnsi="Times New Roman"/>
          <w:bCs/>
          <w:sz w:val="24"/>
          <w:szCs w:val="24"/>
          <w:lang w:val="sq-AL"/>
        </w:rPr>
        <w:t>.</w:t>
      </w:r>
    </w:p>
    <w:p w14:paraId="0FC38B64" w14:textId="4583E47A" w:rsidR="003A0B7F" w:rsidRPr="00B76C9D" w:rsidRDefault="003A0B7F" w:rsidP="00AC60BB">
      <w:pPr>
        <w:pStyle w:val="ListParagraph"/>
        <w:spacing w:after="0"/>
        <w:ind w:left="1440"/>
        <w:jc w:val="both"/>
        <w:rPr>
          <w:rFonts w:ascii="Times New Roman" w:hAnsi="Times New Roman"/>
          <w:bCs/>
          <w:sz w:val="24"/>
          <w:szCs w:val="24"/>
          <w:lang w:val="sq-AL"/>
        </w:rPr>
      </w:pPr>
    </w:p>
    <w:p w14:paraId="2EE68D96" w14:textId="33B0D806" w:rsidR="008647ED" w:rsidRPr="00B76C9D" w:rsidRDefault="008647ED" w:rsidP="00285521">
      <w:pPr>
        <w:pStyle w:val="ListParagraph"/>
        <w:numPr>
          <w:ilvl w:val="0"/>
          <w:numId w:val="6"/>
        </w:numPr>
        <w:spacing w:after="0"/>
        <w:jc w:val="both"/>
        <w:rPr>
          <w:rFonts w:ascii="Times New Roman" w:hAnsi="Times New Roman"/>
          <w:bCs/>
          <w:sz w:val="24"/>
          <w:szCs w:val="24"/>
          <w:lang w:val="sq-AL"/>
        </w:rPr>
      </w:pPr>
      <w:r w:rsidRPr="00B76C9D">
        <w:rPr>
          <w:rFonts w:ascii="Times New Roman" w:hAnsi="Times New Roman"/>
          <w:bCs/>
          <w:sz w:val="24"/>
          <w:szCs w:val="24"/>
          <w:lang w:val="sq-AL"/>
        </w:rPr>
        <w:t>Esht</w:t>
      </w:r>
      <w:r w:rsidR="00AC60BB" w:rsidRPr="00B76C9D">
        <w:rPr>
          <w:rFonts w:ascii="Times New Roman" w:hAnsi="Times New Roman"/>
          <w:bCs/>
          <w:sz w:val="24"/>
          <w:szCs w:val="24"/>
          <w:lang w:val="sq-AL"/>
        </w:rPr>
        <w:t>ë</w:t>
      </w:r>
      <w:r w:rsidRPr="00B76C9D">
        <w:rPr>
          <w:rFonts w:ascii="Times New Roman" w:hAnsi="Times New Roman"/>
          <w:bCs/>
          <w:sz w:val="24"/>
          <w:szCs w:val="24"/>
          <w:lang w:val="sq-AL"/>
        </w:rPr>
        <w:t xml:space="preserve"> paraqitur informacion lidhur me numrin e punonjësve buxhetore të miratuar në Ligjin e Buxhetit vjetor, me numri faktik të  punonjësve</w:t>
      </w:r>
      <w:r w:rsidR="008202A3" w:rsidRPr="00B76C9D">
        <w:rPr>
          <w:rFonts w:ascii="Times New Roman" w:hAnsi="Times New Roman"/>
          <w:bCs/>
          <w:sz w:val="24"/>
          <w:szCs w:val="24"/>
          <w:lang w:val="sq-AL"/>
        </w:rPr>
        <w:t>.</w:t>
      </w:r>
    </w:p>
    <w:p w14:paraId="3D38F83A" w14:textId="5D2C62E5" w:rsidR="000719F7" w:rsidRPr="00B76C9D" w:rsidRDefault="000719F7" w:rsidP="000719F7">
      <w:pPr>
        <w:pStyle w:val="ListParagraph"/>
        <w:numPr>
          <w:ilvl w:val="0"/>
          <w:numId w:val="6"/>
        </w:numPr>
        <w:spacing w:after="0"/>
        <w:jc w:val="both"/>
        <w:rPr>
          <w:rFonts w:ascii="Times New Roman" w:hAnsi="Times New Roman"/>
          <w:bCs/>
          <w:sz w:val="24"/>
          <w:szCs w:val="24"/>
          <w:lang w:val="sq-AL"/>
        </w:rPr>
      </w:pPr>
      <w:r w:rsidRPr="00B76C9D">
        <w:rPr>
          <w:rFonts w:ascii="Times New Roman" w:hAnsi="Times New Roman"/>
          <w:bCs/>
          <w:sz w:val="24"/>
          <w:szCs w:val="24"/>
          <w:lang w:val="sq-AL"/>
        </w:rPr>
        <w:t xml:space="preserve"> Lidhur me përmirësimin e cilësisë së përmbajtjes së raportit të monitorimit rekomandojmë:</w:t>
      </w:r>
    </w:p>
    <w:p w14:paraId="4D979067" w14:textId="77777777" w:rsidR="000719F7" w:rsidRPr="00B76C9D" w:rsidRDefault="000719F7" w:rsidP="000719F7">
      <w:pPr>
        <w:pStyle w:val="ListParagraph"/>
        <w:spacing w:after="0"/>
        <w:ind w:left="1440"/>
        <w:jc w:val="both"/>
        <w:rPr>
          <w:rFonts w:ascii="Times New Roman" w:hAnsi="Times New Roman"/>
          <w:bCs/>
          <w:sz w:val="24"/>
          <w:szCs w:val="24"/>
          <w:lang w:val="sq-AL"/>
        </w:rPr>
      </w:pPr>
    </w:p>
    <w:p w14:paraId="31D58C3B" w14:textId="128FB714" w:rsidR="00374978" w:rsidRPr="00B76C9D" w:rsidRDefault="000719F7" w:rsidP="00971B9F">
      <w:pPr>
        <w:pStyle w:val="ListParagraph"/>
        <w:numPr>
          <w:ilvl w:val="0"/>
          <w:numId w:val="18"/>
        </w:numPr>
        <w:spacing w:after="0"/>
        <w:jc w:val="both"/>
        <w:rPr>
          <w:rFonts w:ascii="Times New Roman" w:hAnsi="Times New Roman"/>
          <w:bCs/>
          <w:sz w:val="24"/>
          <w:szCs w:val="24"/>
          <w:lang w:val="sq-AL"/>
        </w:rPr>
      </w:pPr>
      <w:r w:rsidRPr="00B76C9D">
        <w:rPr>
          <w:rFonts w:ascii="Times New Roman" w:hAnsi="Times New Roman"/>
          <w:bCs/>
          <w:sz w:val="24"/>
          <w:szCs w:val="24"/>
          <w:lang w:val="sq-AL"/>
        </w:rPr>
        <w:t>Për treguesit e performancës në nivel qëllimi  dhe treguesit e performancës në nivel objektivi të shfaqura në aneksin 4 “Raporti i realizimit të treguesve të performancës së programit”, rekomandojmë përcaktimin e njësisë matëse në kolonën përkatëse</w:t>
      </w:r>
      <w:r w:rsidR="00971B9F" w:rsidRPr="00B76C9D">
        <w:rPr>
          <w:rFonts w:ascii="Times New Roman" w:hAnsi="Times New Roman"/>
          <w:bCs/>
          <w:sz w:val="24"/>
          <w:szCs w:val="24"/>
          <w:lang w:val="sq-AL"/>
        </w:rPr>
        <w:t xml:space="preserve"> si dhe t</w:t>
      </w:r>
      <w:r w:rsidR="00782203" w:rsidRPr="00B76C9D">
        <w:rPr>
          <w:rFonts w:ascii="Times New Roman" w:hAnsi="Times New Roman"/>
          <w:bCs/>
          <w:sz w:val="24"/>
          <w:szCs w:val="24"/>
          <w:lang w:val="sq-AL"/>
        </w:rPr>
        <w:t>ë</w:t>
      </w:r>
      <w:r w:rsidR="00971B9F" w:rsidRPr="00B76C9D">
        <w:rPr>
          <w:rFonts w:ascii="Times New Roman" w:hAnsi="Times New Roman"/>
          <w:bCs/>
          <w:sz w:val="24"/>
          <w:szCs w:val="24"/>
          <w:lang w:val="sq-AL"/>
        </w:rPr>
        <w:t xml:space="preserve"> </w:t>
      </w:r>
      <w:r w:rsidR="00374978" w:rsidRPr="00B76C9D">
        <w:rPr>
          <w:rFonts w:ascii="Times New Roman" w:hAnsi="Times New Roman"/>
          <w:bCs/>
          <w:sz w:val="24"/>
          <w:szCs w:val="24"/>
          <w:lang w:val="sq-AL"/>
        </w:rPr>
        <w:t xml:space="preserve">paraqitet </w:t>
      </w:r>
      <w:r w:rsidR="00D8371A" w:rsidRPr="00B76C9D">
        <w:rPr>
          <w:rFonts w:ascii="Times New Roman" w:hAnsi="Times New Roman"/>
          <w:bCs/>
          <w:sz w:val="24"/>
          <w:szCs w:val="24"/>
          <w:lang w:val="sq-AL"/>
        </w:rPr>
        <w:t>një an</w:t>
      </w:r>
      <w:r w:rsidR="00F5745A" w:rsidRPr="00B76C9D">
        <w:rPr>
          <w:rFonts w:ascii="Times New Roman" w:hAnsi="Times New Roman"/>
          <w:bCs/>
          <w:sz w:val="24"/>
          <w:szCs w:val="24"/>
          <w:lang w:val="sq-AL"/>
        </w:rPr>
        <w:t>a</w:t>
      </w:r>
      <w:r w:rsidR="00D8371A" w:rsidRPr="00B76C9D">
        <w:rPr>
          <w:rFonts w:ascii="Times New Roman" w:hAnsi="Times New Roman"/>
          <w:bCs/>
          <w:sz w:val="24"/>
          <w:szCs w:val="24"/>
          <w:lang w:val="sq-AL"/>
        </w:rPr>
        <w:t xml:space="preserve">lizë </w:t>
      </w:r>
      <w:r w:rsidR="00374978" w:rsidRPr="00B76C9D">
        <w:rPr>
          <w:rFonts w:ascii="Times New Roman" w:hAnsi="Times New Roman"/>
          <w:bCs/>
          <w:sz w:val="24"/>
          <w:szCs w:val="24"/>
          <w:lang w:val="sq-AL"/>
        </w:rPr>
        <w:t xml:space="preserve">lidhur me </w:t>
      </w:r>
      <w:r w:rsidR="00FF2CCF" w:rsidRPr="00B76C9D">
        <w:rPr>
          <w:rFonts w:ascii="Times New Roman" w:hAnsi="Times New Roman"/>
          <w:bCs/>
          <w:sz w:val="24"/>
          <w:szCs w:val="24"/>
          <w:lang w:val="sq-AL"/>
        </w:rPr>
        <w:t>performanc</w:t>
      </w:r>
      <w:r w:rsidR="00D8371A" w:rsidRPr="00B76C9D">
        <w:rPr>
          <w:rFonts w:ascii="Times New Roman" w:hAnsi="Times New Roman"/>
          <w:bCs/>
          <w:sz w:val="24"/>
          <w:szCs w:val="24"/>
          <w:lang w:val="sq-AL"/>
        </w:rPr>
        <w:t>ë</w:t>
      </w:r>
      <w:r w:rsidR="00FF2CCF" w:rsidRPr="00B76C9D">
        <w:rPr>
          <w:rFonts w:ascii="Times New Roman" w:hAnsi="Times New Roman"/>
          <w:bCs/>
          <w:sz w:val="24"/>
          <w:szCs w:val="24"/>
          <w:lang w:val="sq-AL"/>
        </w:rPr>
        <w:t>n e objektivave, bazuar n</w:t>
      </w:r>
      <w:r w:rsidR="00D8371A" w:rsidRPr="00B76C9D">
        <w:rPr>
          <w:rFonts w:ascii="Times New Roman" w:hAnsi="Times New Roman"/>
          <w:bCs/>
          <w:sz w:val="24"/>
          <w:szCs w:val="24"/>
          <w:lang w:val="sq-AL"/>
        </w:rPr>
        <w:t>ë</w:t>
      </w:r>
      <w:r w:rsidR="00FF2CCF" w:rsidRPr="00B76C9D">
        <w:rPr>
          <w:rFonts w:ascii="Times New Roman" w:hAnsi="Times New Roman"/>
          <w:bCs/>
          <w:sz w:val="24"/>
          <w:szCs w:val="24"/>
          <w:lang w:val="sq-AL"/>
        </w:rPr>
        <w:t xml:space="preserve"> treguesit e performanc</w:t>
      </w:r>
      <w:r w:rsidR="00D8371A" w:rsidRPr="00B76C9D">
        <w:rPr>
          <w:rFonts w:ascii="Times New Roman" w:hAnsi="Times New Roman"/>
          <w:bCs/>
          <w:sz w:val="24"/>
          <w:szCs w:val="24"/>
          <w:lang w:val="sq-AL"/>
        </w:rPr>
        <w:t>ë</w:t>
      </w:r>
      <w:r w:rsidR="00FF2CCF" w:rsidRPr="00B76C9D">
        <w:rPr>
          <w:rFonts w:ascii="Times New Roman" w:hAnsi="Times New Roman"/>
          <w:bCs/>
          <w:sz w:val="24"/>
          <w:szCs w:val="24"/>
          <w:lang w:val="sq-AL"/>
        </w:rPr>
        <w:t>s</w:t>
      </w:r>
      <w:r w:rsidR="00971B9F" w:rsidRPr="00B76C9D">
        <w:rPr>
          <w:rFonts w:ascii="Times New Roman" w:hAnsi="Times New Roman"/>
          <w:bCs/>
          <w:sz w:val="24"/>
          <w:szCs w:val="24"/>
          <w:lang w:val="sq-AL"/>
        </w:rPr>
        <w:t>.</w:t>
      </w:r>
    </w:p>
    <w:p w14:paraId="2B828348" w14:textId="5C8F5E46" w:rsidR="00374978" w:rsidRPr="00B76C9D" w:rsidRDefault="00D8371A" w:rsidP="00374978">
      <w:pPr>
        <w:pStyle w:val="ListParagraph"/>
        <w:spacing w:after="0"/>
        <w:ind w:left="1860"/>
        <w:jc w:val="both"/>
        <w:rPr>
          <w:rFonts w:ascii="Times New Roman" w:hAnsi="Times New Roman"/>
          <w:bCs/>
          <w:sz w:val="24"/>
          <w:szCs w:val="24"/>
          <w:lang w:val="sq-AL"/>
        </w:rPr>
      </w:pPr>
      <w:r w:rsidRPr="00B76C9D">
        <w:rPr>
          <w:rFonts w:ascii="Times New Roman" w:hAnsi="Times New Roman"/>
          <w:bCs/>
          <w:sz w:val="24"/>
          <w:szCs w:val="24"/>
          <w:lang w:val="sq-AL"/>
        </w:rPr>
        <w:t>.</w:t>
      </w:r>
    </w:p>
    <w:p w14:paraId="777316F5" w14:textId="01F0768C" w:rsidR="000719F7" w:rsidRPr="00B76C9D" w:rsidRDefault="000719F7" w:rsidP="000719F7">
      <w:pPr>
        <w:pStyle w:val="ListParagraph"/>
        <w:spacing w:after="0"/>
        <w:ind w:left="1440"/>
        <w:jc w:val="both"/>
        <w:rPr>
          <w:rFonts w:ascii="Times New Roman" w:hAnsi="Times New Roman"/>
          <w:bCs/>
          <w:sz w:val="24"/>
          <w:szCs w:val="24"/>
          <w:lang w:val="sq-AL"/>
        </w:rPr>
      </w:pPr>
    </w:p>
    <w:p w14:paraId="27585D6C" w14:textId="2D336125" w:rsidR="00FF7299" w:rsidRPr="00B76C9D" w:rsidRDefault="00024F9A" w:rsidP="008E6F1D">
      <w:pPr>
        <w:pStyle w:val="ListParagraph"/>
        <w:numPr>
          <w:ilvl w:val="0"/>
          <w:numId w:val="6"/>
        </w:numPr>
        <w:spacing w:after="0"/>
        <w:jc w:val="both"/>
        <w:rPr>
          <w:sz w:val="24"/>
          <w:szCs w:val="24"/>
          <w:lang w:val="sq-AL"/>
        </w:rPr>
      </w:pPr>
      <w:r w:rsidRPr="00B76C9D">
        <w:rPr>
          <w:rFonts w:ascii="Times New Roman" w:eastAsia="Calibri" w:hAnsi="Times New Roman" w:cs="Times New Roman"/>
          <w:sz w:val="24"/>
          <w:szCs w:val="24"/>
          <w:lang w:val="sq-AL"/>
        </w:rPr>
        <w:t xml:space="preserve">Raporti i Monitorimit për </w:t>
      </w:r>
      <w:r w:rsidR="00374978" w:rsidRPr="00B76C9D">
        <w:rPr>
          <w:rFonts w:ascii="Times New Roman" w:eastAsia="Calibri" w:hAnsi="Times New Roman" w:cs="Times New Roman"/>
          <w:sz w:val="24"/>
          <w:szCs w:val="24"/>
          <w:lang w:val="sq-AL"/>
        </w:rPr>
        <w:t xml:space="preserve">12 </w:t>
      </w:r>
      <w:r w:rsidR="00E829B7" w:rsidRPr="00B76C9D">
        <w:rPr>
          <w:rFonts w:ascii="Times New Roman" w:eastAsia="Calibri" w:hAnsi="Times New Roman" w:cs="Times New Roman"/>
          <w:sz w:val="24"/>
          <w:szCs w:val="24"/>
          <w:lang w:val="sq-AL"/>
        </w:rPr>
        <w:t>mujorin e vitit 202</w:t>
      </w:r>
      <w:r w:rsidR="00C848FE" w:rsidRPr="00B76C9D">
        <w:rPr>
          <w:rFonts w:ascii="Times New Roman" w:eastAsia="Calibri" w:hAnsi="Times New Roman" w:cs="Times New Roman"/>
          <w:sz w:val="24"/>
          <w:szCs w:val="24"/>
          <w:lang w:val="sq-AL"/>
        </w:rPr>
        <w:t>4</w:t>
      </w:r>
      <w:r w:rsidR="0073210B" w:rsidRPr="00B76C9D">
        <w:rPr>
          <w:rFonts w:ascii="Times New Roman" w:eastAsia="Calibri" w:hAnsi="Times New Roman" w:cs="Times New Roman"/>
          <w:sz w:val="24"/>
          <w:szCs w:val="24"/>
          <w:lang w:val="sq-AL"/>
        </w:rPr>
        <w:t>,</w:t>
      </w:r>
      <w:r w:rsidR="00FF7299" w:rsidRPr="00B76C9D">
        <w:rPr>
          <w:rFonts w:ascii="Times New Roman" w:eastAsia="Calibri" w:hAnsi="Times New Roman" w:cs="Times New Roman"/>
          <w:sz w:val="24"/>
          <w:szCs w:val="24"/>
          <w:lang w:val="sq-AL"/>
        </w:rPr>
        <w:t xml:space="preserve"> nuk</w:t>
      </w:r>
      <w:r w:rsidR="003A0B7F" w:rsidRPr="00B76C9D">
        <w:rPr>
          <w:rFonts w:ascii="Times New Roman" w:eastAsia="Calibri" w:hAnsi="Times New Roman" w:cs="Times New Roman"/>
          <w:sz w:val="24"/>
          <w:szCs w:val="24"/>
          <w:lang w:val="sq-AL"/>
        </w:rPr>
        <w:t xml:space="preserve"> </w:t>
      </w:r>
      <w:r w:rsidR="0073210B" w:rsidRPr="00B76C9D">
        <w:rPr>
          <w:rFonts w:ascii="Times New Roman" w:eastAsia="Calibri" w:hAnsi="Times New Roman" w:cs="Times New Roman"/>
          <w:sz w:val="24"/>
          <w:szCs w:val="24"/>
          <w:lang w:val="sq-AL"/>
        </w:rPr>
        <w:t xml:space="preserve">është publikuar në faqen zyrtare të </w:t>
      </w:r>
      <w:r w:rsidR="00FF7299" w:rsidRPr="00B76C9D">
        <w:rPr>
          <w:rFonts w:ascii="Times New Roman" w:eastAsia="Calibri" w:hAnsi="Times New Roman" w:cs="Times New Roman"/>
          <w:sz w:val="24"/>
          <w:szCs w:val="24"/>
          <w:lang w:val="sq-AL"/>
        </w:rPr>
        <w:t>Gjykat</w:t>
      </w:r>
      <w:r w:rsidR="00C24DB4" w:rsidRPr="00B76C9D">
        <w:rPr>
          <w:rFonts w:ascii="Times New Roman" w:eastAsia="Calibri" w:hAnsi="Times New Roman" w:cs="Times New Roman"/>
          <w:sz w:val="24"/>
          <w:szCs w:val="24"/>
          <w:lang w:val="sq-AL"/>
        </w:rPr>
        <w:t>ë</w:t>
      </w:r>
      <w:r w:rsidR="00FF7299" w:rsidRPr="00B76C9D">
        <w:rPr>
          <w:rFonts w:ascii="Times New Roman" w:eastAsia="Calibri" w:hAnsi="Times New Roman" w:cs="Times New Roman"/>
          <w:sz w:val="24"/>
          <w:szCs w:val="24"/>
          <w:lang w:val="sq-AL"/>
        </w:rPr>
        <w:t>s Kushtetuese.</w:t>
      </w:r>
    </w:p>
    <w:p w14:paraId="5E4F27D7" w14:textId="2E5FB7F4" w:rsidR="00374978" w:rsidRPr="00B76C9D" w:rsidRDefault="00BC7F2A" w:rsidP="00FD52DB">
      <w:pPr>
        <w:pStyle w:val="ListParagraph"/>
        <w:spacing w:after="0"/>
        <w:ind w:left="1440"/>
        <w:jc w:val="both"/>
        <w:rPr>
          <w:rFonts w:ascii="Times New Roman" w:eastAsia="Times New Roman" w:hAnsi="Times New Roman" w:cs="Times New Roman"/>
          <w:color w:val="548DD4" w:themeColor="text2" w:themeTint="99"/>
          <w:sz w:val="24"/>
          <w:szCs w:val="24"/>
          <w:lang w:val="sq-AL"/>
        </w:rPr>
      </w:pPr>
      <w:r w:rsidRPr="00B76C9D">
        <w:rPr>
          <w:rFonts w:ascii="Times New Roman" w:eastAsia="Times New Roman" w:hAnsi="Times New Roman" w:cs="Times New Roman"/>
          <w:sz w:val="24"/>
          <w:szCs w:val="24"/>
          <w:lang w:val="sq-AL"/>
        </w:rPr>
        <w:t>Linku:</w:t>
      </w:r>
      <w:bookmarkEnd w:id="0"/>
      <w:r w:rsidR="00374978" w:rsidRPr="00B76C9D">
        <w:rPr>
          <w:rFonts w:ascii="Times New Roman" w:eastAsia="Times New Roman" w:hAnsi="Times New Roman" w:cs="Times New Roman"/>
          <w:color w:val="548DD4" w:themeColor="text2" w:themeTint="99"/>
          <w:sz w:val="24"/>
          <w:szCs w:val="24"/>
          <w:lang w:val="sq-AL"/>
        </w:rPr>
        <w:t>https://</w:t>
      </w:r>
      <w:r w:rsidR="00014DB7" w:rsidRPr="00B76C9D">
        <w:rPr>
          <w:rFonts w:ascii="Times New Roman" w:eastAsia="Times New Roman" w:hAnsi="Times New Roman" w:cs="Times New Roman"/>
          <w:color w:val="548DD4" w:themeColor="text2" w:themeTint="99"/>
          <w:sz w:val="24"/>
          <w:szCs w:val="24"/>
          <w:lang w:val="sq-AL"/>
        </w:rPr>
        <w:t>ëëë</w:t>
      </w:r>
      <w:r w:rsidR="00374978" w:rsidRPr="00B76C9D">
        <w:rPr>
          <w:rFonts w:ascii="Times New Roman" w:eastAsia="Times New Roman" w:hAnsi="Times New Roman" w:cs="Times New Roman"/>
          <w:color w:val="548DD4" w:themeColor="text2" w:themeTint="99"/>
          <w:sz w:val="24"/>
          <w:szCs w:val="24"/>
          <w:lang w:val="sq-AL"/>
        </w:rPr>
        <w:t>.gjk.gov.al/</w:t>
      </w:r>
      <w:r w:rsidR="00B27213" w:rsidRPr="00B76C9D">
        <w:rPr>
          <w:rFonts w:ascii="Times New Roman" w:eastAsia="Times New Roman" w:hAnsi="Times New Roman" w:cs="Times New Roman"/>
          <w:color w:val="548DD4" w:themeColor="text2" w:themeTint="99"/>
          <w:sz w:val="24"/>
          <w:szCs w:val="24"/>
          <w:lang w:val="sq-AL"/>
        </w:rPr>
        <w:t>ë</w:t>
      </w:r>
      <w:r w:rsidR="00374978" w:rsidRPr="00B76C9D">
        <w:rPr>
          <w:rFonts w:ascii="Times New Roman" w:eastAsia="Times New Roman" w:hAnsi="Times New Roman" w:cs="Times New Roman"/>
          <w:color w:val="548DD4" w:themeColor="text2" w:themeTint="99"/>
          <w:sz w:val="24"/>
          <w:szCs w:val="24"/>
          <w:lang w:val="sq-AL"/>
        </w:rPr>
        <w:t>eb/Informacion_mbi_buxhetin_dhe_te_dhenat_financiare_te_Gjykates_Kushtetuese_2041_1.php</w:t>
      </w:r>
    </w:p>
    <w:p w14:paraId="4503282A" w14:textId="77777777" w:rsidR="00374978" w:rsidRPr="00B76C9D" w:rsidRDefault="00374978" w:rsidP="00FD52DB">
      <w:pPr>
        <w:pStyle w:val="ListParagraph"/>
        <w:spacing w:after="0"/>
        <w:ind w:left="1440"/>
        <w:jc w:val="both"/>
        <w:rPr>
          <w:rFonts w:ascii="Times New Roman" w:eastAsia="Times New Roman" w:hAnsi="Times New Roman" w:cs="Times New Roman"/>
          <w:color w:val="548DD4" w:themeColor="text2" w:themeTint="99"/>
          <w:sz w:val="24"/>
          <w:szCs w:val="24"/>
          <w:lang w:val="sq-AL"/>
        </w:rPr>
      </w:pPr>
    </w:p>
    <w:sectPr w:rsidR="00374978" w:rsidRPr="00B76C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77F09" w14:textId="77777777" w:rsidR="00664B62" w:rsidRDefault="00664B62" w:rsidP="00C07AED">
      <w:pPr>
        <w:spacing w:after="0" w:line="240" w:lineRule="auto"/>
      </w:pPr>
      <w:r>
        <w:separator/>
      </w:r>
    </w:p>
  </w:endnote>
  <w:endnote w:type="continuationSeparator" w:id="0">
    <w:p w14:paraId="5F9E8755" w14:textId="77777777" w:rsidR="00664B62" w:rsidRDefault="00664B62" w:rsidP="00C0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EFD4F" w14:textId="77777777" w:rsidR="00664B62" w:rsidRDefault="00664B62" w:rsidP="00C07AED">
      <w:pPr>
        <w:spacing w:after="0" w:line="240" w:lineRule="auto"/>
      </w:pPr>
      <w:r>
        <w:separator/>
      </w:r>
    </w:p>
  </w:footnote>
  <w:footnote w:type="continuationSeparator" w:id="0">
    <w:p w14:paraId="195B2FA7" w14:textId="77777777" w:rsidR="00664B62" w:rsidRDefault="00664B62" w:rsidP="00C07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A69266"/>
    <w:lvl w:ilvl="0">
      <w:start w:val="1"/>
      <w:numFmt w:val="bullet"/>
      <w:pStyle w:val="List2"/>
      <w:lvlText w:val=""/>
      <w:lvlJc w:val="left"/>
      <w:pPr>
        <w:tabs>
          <w:tab w:val="num" w:pos="1080"/>
        </w:tabs>
        <w:ind w:left="1080" w:hanging="360"/>
      </w:pPr>
      <w:rPr>
        <w:rFonts w:ascii="Wingdings" w:hAnsi="Wingdings" w:hint="default"/>
        <w:b/>
        <w:i w:val="0"/>
        <w:color w:val="auto"/>
      </w:rPr>
    </w:lvl>
  </w:abstractNum>
  <w:abstractNum w:abstractNumId="1" w15:restartNumberingAfterBreak="0">
    <w:nsid w:val="00ED2BD4"/>
    <w:multiLevelType w:val="hybridMultilevel"/>
    <w:tmpl w:val="613A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30E"/>
    <w:multiLevelType w:val="hybridMultilevel"/>
    <w:tmpl w:val="AD1C859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C4B3C00"/>
    <w:multiLevelType w:val="hybridMultilevel"/>
    <w:tmpl w:val="CBEC9CA6"/>
    <w:lvl w:ilvl="0" w:tplc="0409000B">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20767536"/>
    <w:multiLevelType w:val="hybridMultilevel"/>
    <w:tmpl w:val="07745C2A"/>
    <w:lvl w:ilvl="0" w:tplc="92483C42">
      <w:start w:val="1"/>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30A6C"/>
    <w:multiLevelType w:val="hybridMultilevel"/>
    <w:tmpl w:val="1DA82A22"/>
    <w:lvl w:ilvl="0" w:tplc="BBEE13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02CB5"/>
    <w:multiLevelType w:val="hybridMultilevel"/>
    <w:tmpl w:val="6C0CA3B8"/>
    <w:lvl w:ilvl="0" w:tplc="B9AA26C2">
      <w:start w:val="1"/>
      <w:numFmt w:val="decimal"/>
      <w:pStyle w:val="BodyText"/>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F337874"/>
    <w:multiLevelType w:val="hybridMultilevel"/>
    <w:tmpl w:val="B6A2F79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4A2411A1"/>
    <w:multiLevelType w:val="hybridMultilevel"/>
    <w:tmpl w:val="0D0C0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279FE"/>
    <w:multiLevelType w:val="hybridMultilevel"/>
    <w:tmpl w:val="80EC7D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905AF0"/>
    <w:multiLevelType w:val="hybridMultilevel"/>
    <w:tmpl w:val="E56E5A30"/>
    <w:lvl w:ilvl="0" w:tplc="92483C42">
      <w:start w:val="1"/>
      <w:numFmt w:val="bullet"/>
      <w:lvlText w:val="-"/>
      <w:lvlJc w:val="left"/>
      <w:pPr>
        <w:ind w:left="2160" w:hanging="360"/>
      </w:pPr>
      <w:rPr>
        <w:rFonts w:ascii="Bookman Old Style" w:eastAsia="Calibri" w:hAnsi="Bookman Old Styl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85D20D0"/>
    <w:multiLevelType w:val="hybridMultilevel"/>
    <w:tmpl w:val="83E68CAA"/>
    <w:lvl w:ilvl="0" w:tplc="FC4EBE22">
      <w:start w:val="1"/>
      <w:numFmt w:val="upperRoman"/>
      <w:lvlText w:val="%1."/>
      <w:lvlJc w:val="left"/>
      <w:pPr>
        <w:tabs>
          <w:tab w:val="num" w:pos="-900"/>
        </w:tabs>
        <w:ind w:left="540" w:hanging="360"/>
      </w:pPr>
      <w:rPr>
        <w:rFonts w:hint="default"/>
        <w:b/>
      </w:rPr>
    </w:lvl>
    <w:lvl w:ilvl="1" w:tplc="C1B6D4D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1080"/>
        </w:tabs>
        <w:ind w:left="1080" w:hanging="180"/>
      </w:pPr>
    </w:lvl>
    <w:lvl w:ilvl="3" w:tplc="12FC92CE">
      <w:start w:val="1"/>
      <w:numFmt w:val="lowerLetter"/>
      <w:lvlText w:val="%4."/>
      <w:lvlJc w:val="left"/>
      <w:pPr>
        <w:ind w:left="720" w:hanging="360"/>
      </w:pPr>
      <w:rPr>
        <w:rFonts w:hint="default"/>
      </w:rPr>
    </w:lvl>
    <w:lvl w:ilvl="4" w:tplc="50A07C94">
      <w:start w:val="53"/>
      <w:numFmt w:val="bullet"/>
      <w:lvlText w:val="-"/>
      <w:lvlJc w:val="left"/>
      <w:pPr>
        <w:ind w:left="720" w:hanging="360"/>
      </w:pPr>
      <w:rPr>
        <w:rFonts w:ascii="Times New Roman" w:eastAsia="SimSun" w:hAnsi="Times New Roman" w:cs="Times New Roman"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59803E2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921698"/>
    <w:multiLevelType w:val="hybridMultilevel"/>
    <w:tmpl w:val="6C32405A"/>
    <w:lvl w:ilvl="0" w:tplc="0BEA86F2">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6BA4CF1"/>
    <w:multiLevelType w:val="hybridMultilevel"/>
    <w:tmpl w:val="E5DCE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21FF7"/>
    <w:multiLevelType w:val="hybridMultilevel"/>
    <w:tmpl w:val="7E0648F8"/>
    <w:lvl w:ilvl="0" w:tplc="A0F8F8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31BB6"/>
    <w:multiLevelType w:val="hybridMultilevel"/>
    <w:tmpl w:val="81F6180C"/>
    <w:lvl w:ilvl="0" w:tplc="854AEAFA">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E5A2150"/>
    <w:multiLevelType w:val="hybridMultilevel"/>
    <w:tmpl w:val="7DD017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8760379">
    <w:abstractNumId w:val="12"/>
  </w:num>
  <w:num w:numId="2" w16cid:durableId="1897469438">
    <w:abstractNumId w:val="3"/>
  </w:num>
  <w:num w:numId="3" w16cid:durableId="819075097">
    <w:abstractNumId w:val="15"/>
  </w:num>
  <w:num w:numId="4" w16cid:durableId="72163991">
    <w:abstractNumId w:val="5"/>
  </w:num>
  <w:num w:numId="5" w16cid:durableId="264732582">
    <w:abstractNumId w:val="4"/>
  </w:num>
  <w:num w:numId="6" w16cid:durableId="98181404">
    <w:abstractNumId w:val="17"/>
  </w:num>
  <w:num w:numId="7" w16cid:durableId="2103796939">
    <w:abstractNumId w:val="9"/>
  </w:num>
  <w:num w:numId="8" w16cid:durableId="1614366868">
    <w:abstractNumId w:val="1"/>
  </w:num>
  <w:num w:numId="9" w16cid:durableId="1604723906">
    <w:abstractNumId w:val="10"/>
  </w:num>
  <w:num w:numId="10" w16cid:durableId="1326516614">
    <w:abstractNumId w:val="16"/>
  </w:num>
  <w:num w:numId="11" w16cid:durableId="247738436">
    <w:abstractNumId w:val="6"/>
  </w:num>
  <w:num w:numId="12" w16cid:durableId="1830897732">
    <w:abstractNumId w:val="0"/>
  </w:num>
  <w:num w:numId="13" w16cid:durableId="391925720">
    <w:abstractNumId w:val="11"/>
  </w:num>
  <w:num w:numId="14" w16cid:durableId="1328285929">
    <w:abstractNumId w:val="14"/>
  </w:num>
  <w:num w:numId="15" w16cid:durableId="1658654096">
    <w:abstractNumId w:val="13"/>
  </w:num>
  <w:num w:numId="16" w16cid:durableId="1874808318">
    <w:abstractNumId w:val="8"/>
  </w:num>
  <w:num w:numId="17" w16cid:durableId="1045062579">
    <w:abstractNumId w:val="2"/>
  </w:num>
  <w:num w:numId="18" w16cid:durableId="350111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7"/>
    <w:rsid w:val="00014DB7"/>
    <w:rsid w:val="000154EB"/>
    <w:rsid w:val="000201AF"/>
    <w:rsid w:val="00024F9A"/>
    <w:rsid w:val="00030698"/>
    <w:rsid w:val="000374B4"/>
    <w:rsid w:val="000530CE"/>
    <w:rsid w:val="000719F7"/>
    <w:rsid w:val="000D7EFB"/>
    <w:rsid w:val="000F35A4"/>
    <w:rsid w:val="00107B81"/>
    <w:rsid w:val="0011250A"/>
    <w:rsid w:val="00126473"/>
    <w:rsid w:val="0013560F"/>
    <w:rsid w:val="00142CF3"/>
    <w:rsid w:val="00167F00"/>
    <w:rsid w:val="00193218"/>
    <w:rsid w:val="00197551"/>
    <w:rsid w:val="001A5059"/>
    <w:rsid w:val="001A73DC"/>
    <w:rsid w:val="001B05CC"/>
    <w:rsid w:val="001B2B37"/>
    <w:rsid w:val="001C79C4"/>
    <w:rsid w:val="001E319E"/>
    <w:rsid w:val="001F4F35"/>
    <w:rsid w:val="0023144E"/>
    <w:rsid w:val="002347B6"/>
    <w:rsid w:val="00255C40"/>
    <w:rsid w:val="00260DE6"/>
    <w:rsid w:val="002615F0"/>
    <w:rsid w:val="00273570"/>
    <w:rsid w:val="002758A0"/>
    <w:rsid w:val="00284FCC"/>
    <w:rsid w:val="00287B19"/>
    <w:rsid w:val="00292BD6"/>
    <w:rsid w:val="002B6F3B"/>
    <w:rsid w:val="002C1E06"/>
    <w:rsid w:val="002C611B"/>
    <w:rsid w:val="002C695D"/>
    <w:rsid w:val="002F6493"/>
    <w:rsid w:val="00313C04"/>
    <w:rsid w:val="003201B9"/>
    <w:rsid w:val="00327B87"/>
    <w:rsid w:val="00374978"/>
    <w:rsid w:val="003806A8"/>
    <w:rsid w:val="003A0B7F"/>
    <w:rsid w:val="003C6B2D"/>
    <w:rsid w:val="003E5E3D"/>
    <w:rsid w:val="00402AE7"/>
    <w:rsid w:val="00442A03"/>
    <w:rsid w:val="00451EDE"/>
    <w:rsid w:val="00453395"/>
    <w:rsid w:val="004634EE"/>
    <w:rsid w:val="0048605F"/>
    <w:rsid w:val="00492FD4"/>
    <w:rsid w:val="004974B1"/>
    <w:rsid w:val="004A07DB"/>
    <w:rsid w:val="004D068D"/>
    <w:rsid w:val="004E7956"/>
    <w:rsid w:val="004E7E0C"/>
    <w:rsid w:val="005363CE"/>
    <w:rsid w:val="00540428"/>
    <w:rsid w:val="00555092"/>
    <w:rsid w:val="00563E09"/>
    <w:rsid w:val="00587C0F"/>
    <w:rsid w:val="005970B6"/>
    <w:rsid w:val="005D0F2B"/>
    <w:rsid w:val="005D3E9E"/>
    <w:rsid w:val="005E4D1C"/>
    <w:rsid w:val="006323A7"/>
    <w:rsid w:val="006401E6"/>
    <w:rsid w:val="0065214C"/>
    <w:rsid w:val="00664B62"/>
    <w:rsid w:val="006679F9"/>
    <w:rsid w:val="006866E7"/>
    <w:rsid w:val="006931AC"/>
    <w:rsid w:val="006B1DB5"/>
    <w:rsid w:val="006D521B"/>
    <w:rsid w:val="00700627"/>
    <w:rsid w:val="0073210B"/>
    <w:rsid w:val="00735A13"/>
    <w:rsid w:val="00782203"/>
    <w:rsid w:val="007844BD"/>
    <w:rsid w:val="00790A14"/>
    <w:rsid w:val="00792057"/>
    <w:rsid w:val="007C2E0D"/>
    <w:rsid w:val="007D663D"/>
    <w:rsid w:val="008024D5"/>
    <w:rsid w:val="008160EE"/>
    <w:rsid w:val="008202A3"/>
    <w:rsid w:val="00820D5F"/>
    <w:rsid w:val="00824C67"/>
    <w:rsid w:val="00837614"/>
    <w:rsid w:val="008411DE"/>
    <w:rsid w:val="008421B6"/>
    <w:rsid w:val="008475AF"/>
    <w:rsid w:val="00857978"/>
    <w:rsid w:val="008647ED"/>
    <w:rsid w:val="00892A29"/>
    <w:rsid w:val="008A2182"/>
    <w:rsid w:val="008B3D1F"/>
    <w:rsid w:val="008C315D"/>
    <w:rsid w:val="008C5B18"/>
    <w:rsid w:val="008E186A"/>
    <w:rsid w:val="008E2625"/>
    <w:rsid w:val="008F70A5"/>
    <w:rsid w:val="00971B9F"/>
    <w:rsid w:val="009921BF"/>
    <w:rsid w:val="009D6CD0"/>
    <w:rsid w:val="009F4C7C"/>
    <w:rsid w:val="00A05BE6"/>
    <w:rsid w:val="00A12634"/>
    <w:rsid w:val="00A523B6"/>
    <w:rsid w:val="00A52635"/>
    <w:rsid w:val="00A557A3"/>
    <w:rsid w:val="00A65DD1"/>
    <w:rsid w:val="00A80AD7"/>
    <w:rsid w:val="00A86BD9"/>
    <w:rsid w:val="00AB3732"/>
    <w:rsid w:val="00AC60BB"/>
    <w:rsid w:val="00AF370E"/>
    <w:rsid w:val="00B27213"/>
    <w:rsid w:val="00B33A3A"/>
    <w:rsid w:val="00B67AC9"/>
    <w:rsid w:val="00B76C9D"/>
    <w:rsid w:val="00B82140"/>
    <w:rsid w:val="00BC7F2A"/>
    <w:rsid w:val="00BD60EF"/>
    <w:rsid w:val="00BD7852"/>
    <w:rsid w:val="00C07AED"/>
    <w:rsid w:val="00C20CFC"/>
    <w:rsid w:val="00C24B76"/>
    <w:rsid w:val="00C24DB4"/>
    <w:rsid w:val="00C836FB"/>
    <w:rsid w:val="00C848FE"/>
    <w:rsid w:val="00C97400"/>
    <w:rsid w:val="00CC2F9D"/>
    <w:rsid w:val="00CC47C8"/>
    <w:rsid w:val="00CD0725"/>
    <w:rsid w:val="00CF09C3"/>
    <w:rsid w:val="00CF3000"/>
    <w:rsid w:val="00CF3A36"/>
    <w:rsid w:val="00D07CA1"/>
    <w:rsid w:val="00D35374"/>
    <w:rsid w:val="00D8169D"/>
    <w:rsid w:val="00D81D98"/>
    <w:rsid w:val="00D8371A"/>
    <w:rsid w:val="00D87450"/>
    <w:rsid w:val="00D97CD9"/>
    <w:rsid w:val="00DC30FD"/>
    <w:rsid w:val="00DC3C73"/>
    <w:rsid w:val="00DD4E92"/>
    <w:rsid w:val="00E27DC1"/>
    <w:rsid w:val="00E45DC8"/>
    <w:rsid w:val="00E52CD6"/>
    <w:rsid w:val="00E54118"/>
    <w:rsid w:val="00E54481"/>
    <w:rsid w:val="00E66209"/>
    <w:rsid w:val="00E829B7"/>
    <w:rsid w:val="00E86960"/>
    <w:rsid w:val="00E91174"/>
    <w:rsid w:val="00E92A23"/>
    <w:rsid w:val="00EA5CB4"/>
    <w:rsid w:val="00EE0F29"/>
    <w:rsid w:val="00F0443B"/>
    <w:rsid w:val="00F213E4"/>
    <w:rsid w:val="00F5053B"/>
    <w:rsid w:val="00F5745A"/>
    <w:rsid w:val="00F7147A"/>
    <w:rsid w:val="00FA3E92"/>
    <w:rsid w:val="00FD52DB"/>
    <w:rsid w:val="00FE10E2"/>
    <w:rsid w:val="00FE512E"/>
    <w:rsid w:val="00FE7651"/>
    <w:rsid w:val="00FF2CCF"/>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3EBE"/>
  <w15:docId w15:val="{4FEC296A-BFC6-4D93-9C3E-942931C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D1C"/>
    <w:pPr>
      <w:ind w:left="720"/>
      <w:contextualSpacing/>
    </w:pPr>
  </w:style>
  <w:style w:type="character" w:styleId="Hyperlink">
    <w:name w:val="Hyperlink"/>
    <w:basedOn w:val="DefaultParagraphFont"/>
    <w:uiPriority w:val="99"/>
    <w:unhideWhenUsed/>
    <w:rsid w:val="00BC7F2A"/>
    <w:rPr>
      <w:color w:val="0000FF"/>
      <w:u w:val="single"/>
    </w:rPr>
  </w:style>
  <w:style w:type="character" w:styleId="UnresolvedMention">
    <w:name w:val="Unresolved Mention"/>
    <w:basedOn w:val="DefaultParagraphFont"/>
    <w:uiPriority w:val="99"/>
    <w:semiHidden/>
    <w:unhideWhenUsed/>
    <w:rsid w:val="00BC7F2A"/>
    <w:rPr>
      <w:color w:val="605E5C"/>
      <w:shd w:val="clear" w:color="auto" w:fill="E1DFDD"/>
    </w:rPr>
  </w:style>
  <w:style w:type="paragraph" w:styleId="BodyText">
    <w:name w:val="Body Text"/>
    <w:basedOn w:val="Normal"/>
    <w:link w:val="BodyTextChar"/>
    <w:rsid w:val="00FE7651"/>
    <w:pPr>
      <w:numPr>
        <w:numId w:val="11"/>
      </w:numPr>
      <w:spacing w:after="120" w:line="240" w:lineRule="auto"/>
      <w:jc w:val="both"/>
    </w:pPr>
    <w:rPr>
      <w:rFonts w:ascii="Times New Roman" w:eastAsia="Times New Roman" w:hAnsi="Times New Roman" w:cs="Times New Roman"/>
      <w:szCs w:val="24"/>
      <w:lang w:val="en-GB" w:eastAsia="fr-FR"/>
    </w:rPr>
  </w:style>
  <w:style w:type="character" w:customStyle="1" w:styleId="BodyTextChar">
    <w:name w:val="Body Text Char"/>
    <w:basedOn w:val="DefaultParagraphFont"/>
    <w:link w:val="BodyText"/>
    <w:rsid w:val="00FE7651"/>
    <w:rPr>
      <w:rFonts w:ascii="Times New Roman" w:eastAsia="Times New Roman" w:hAnsi="Times New Roman" w:cs="Times New Roman"/>
      <w:szCs w:val="24"/>
      <w:lang w:val="en-GB" w:eastAsia="fr-FR"/>
    </w:rPr>
  </w:style>
  <w:style w:type="paragraph" w:customStyle="1" w:styleId="List2">
    <w:name w:val="List2"/>
    <w:basedOn w:val="ListBullet"/>
    <w:next w:val="BodyText"/>
    <w:rsid w:val="00FE7651"/>
    <w:pPr>
      <w:numPr>
        <w:numId w:val="12"/>
      </w:numPr>
      <w:tabs>
        <w:tab w:val="clear" w:pos="1080"/>
      </w:tabs>
      <w:spacing w:after="0" w:line="240" w:lineRule="auto"/>
      <w:ind w:left="1440"/>
      <w:contextualSpacing w:val="0"/>
    </w:pPr>
    <w:rPr>
      <w:rFonts w:ascii="Times New Roman" w:eastAsia="Times New Roman" w:hAnsi="Times New Roman" w:cs="Times New Roman"/>
      <w:sz w:val="24"/>
      <w:szCs w:val="24"/>
      <w:lang w:val="en-GB" w:eastAsia="fr-FR"/>
    </w:rPr>
  </w:style>
  <w:style w:type="paragraph" w:styleId="ListBullet">
    <w:name w:val="List Bullet"/>
    <w:basedOn w:val="Normal"/>
    <w:uiPriority w:val="99"/>
    <w:semiHidden/>
    <w:unhideWhenUsed/>
    <w:rsid w:val="00FE7651"/>
    <w:pPr>
      <w:tabs>
        <w:tab w:val="num" w:pos="720"/>
      </w:tabs>
      <w:ind w:left="720" w:hanging="360"/>
      <w:contextualSpacing/>
    </w:pPr>
  </w:style>
  <w:style w:type="character" w:styleId="FollowedHyperlink">
    <w:name w:val="FollowedHyperlink"/>
    <w:basedOn w:val="DefaultParagraphFont"/>
    <w:uiPriority w:val="99"/>
    <w:semiHidden/>
    <w:unhideWhenUsed/>
    <w:rsid w:val="00C848FE"/>
    <w:rPr>
      <w:color w:val="800080" w:themeColor="followedHyperlink"/>
      <w:u w:val="single"/>
    </w:rPr>
  </w:style>
  <w:style w:type="character" w:customStyle="1" w:styleId="x1a">
    <w:name w:val="x1a"/>
    <w:basedOn w:val="DefaultParagraphFont"/>
    <w:rsid w:val="0013560F"/>
  </w:style>
  <w:style w:type="paragraph" w:styleId="NoSpacing">
    <w:name w:val="No Spacing"/>
    <w:uiPriority w:val="1"/>
    <w:qFormat/>
    <w:rsid w:val="00B33A3A"/>
    <w:pPr>
      <w:spacing w:after="0" w:line="240" w:lineRule="auto"/>
    </w:pPr>
  </w:style>
  <w:style w:type="paragraph" w:styleId="Header">
    <w:name w:val="header"/>
    <w:basedOn w:val="Normal"/>
    <w:link w:val="HeaderChar"/>
    <w:uiPriority w:val="99"/>
    <w:unhideWhenUsed/>
    <w:rsid w:val="00C07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AED"/>
  </w:style>
  <w:style w:type="paragraph" w:styleId="Footer">
    <w:name w:val="footer"/>
    <w:basedOn w:val="Normal"/>
    <w:link w:val="FooterChar"/>
    <w:uiPriority w:val="99"/>
    <w:unhideWhenUsed/>
    <w:rsid w:val="00C07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9469">
      <w:bodyDiv w:val="1"/>
      <w:marLeft w:val="0"/>
      <w:marRight w:val="0"/>
      <w:marTop w:val="0"/>
      <w:marBottom w:val="0"/>
      <w:divBdr>
        <w:top w:val="none" w:sz="0" w:space="0" w:color="auto"/>
        <w:left w:val="none" w:sz="0" w:space="0" w:color="auto"/>
        <w:bottom w:val="none" w:sz="0" w:space="0" w:color="auto"/>
        <w:right w:val="none" w:sz="0" w:space="0" w:color="auto"/>
      </w:divBdr>
    </w:div>
    <w:div w:id="182864426">
      <w:bodyDiv w:val="1"/>
      <w:marLeft w:val="0"/>
      <w:marRight w:val="0"/>
      <w:marTop w:val="0"/>
      <w:marBottom w:val="0"/>
      <w:divBdr>
        <w:top w:val="none" w:sz="0" w:space="0" w:color="auto"/>
        <w:left w:val="none" w:sz="0" w:space="0" w:color="auto"/>
        <w:bottom w:val="none" w:sz="0" w:space="0" w:color="auto"/>
        <w:right w:val="none" w:sz="0" w:space="0" w:color="auto"/>
      </w:divBdr>
    </w:div>
    <w:div w:id="200243732">
      <w:bodyDiv w:val="1"/>
      <w:marLeft w:val="0"/>
      <w:marRight w:val="0"/>
      <w:marTop w:val="0"/>
      <w:marBottom w:val="0"/>
      <w:divBdr>
        <w:top w:val="none" w:sz="0" w:space="0" w:color="auto"/>
        <w:left w:val="none" w:sz="0" w:space="0" w:color="auto"/>
        <w:bottom w:val="none" w:sz="0" w:space="0" w:color="auto"/>
        <w:right w:val="none" w:sz="0" w:space="0" w:color="auto"/>
      </w:divBdr>
    </w:div>
    <w:div w:id="306665720">
      <w:bodyDiv w:val="1"/>
      <w:marLeft w:val="0"/>
      <w:marRight w:val="0"/>
      <w:marTop w:val="0"/>
      <w:marBottom w:val="0"/>
      <w:divBdr>
        <w:top w:val="none" w:sz="0" w:space="0" w:color="auto"/>
        <w:left w:val="none" w:sz="0" w:space="0" w:color="auto"/>
        <w:bottom w:val="none" w:sz="0" w:space="0" w:color="auto"/>
        <w:right w:val="none" w:sz="0" w:space="0" w:color="auto"/>
      </w:divBdr>
    </w:div>
    <w:div w:id="344290797">
      <w:bodyDiv w:val="1"/>
      <w:marLeft w:val="0"/>
      <w:marRight w:val="0"/>
      <w:marTop w:val="0"/>
      <w:marBottom w:val="0"/>
      <w:divBdr>
        <w:top w:val="none" w:sz="0" w:space="0" w:color="auto"/>
        <w:left w:val="none" w:sz="0" w:space="0" w:color="auto"/>
        <w:bottom w:val="none" w:sz="0" w:space="0" w:color="auto"/>
        <w:right w:val="none" w:sz="0" w:space="0" w:color="auto"/>
      </w:divBdr>
    </w:div>
    <w:div w:id="413167530">
      <w:bodyDiv w:val="1"/>
      <w:marLeft w:val="0"/>
      <w:marRight w:val="0"/>
      <w:marTop w:val="0"/>
      <w:marBottom w:val="0"/>
      <w:divBdr>
        <w:top w:val="none" w:sz="0" w:space="0" w:color="auto"/>
        <w:left w:val="none" w:sz="0" w:space="0" w:color="auto"/>
        <w:bottom w:val="none" w:sz="0" w:space="0" w:color="auto"/>
        <w:right w:val="none" w:sz="0" w:space="0" w:color="auto"/>
      </w:divBdr>
    </w:div>
    <w:div w:id="545798731">
      <w:bodyDiv w:val="1"/>
      <w:marLeft w:val="0"/>
      <w:marRight w:val="0"/>
      <w:marTop w:val="0"/>
      <w:marBottom w:val="0"/>
      <w:divBdr>
        <w:top w:val="none" w:sz="0" w:space="0" w:color="auto"/>
        <w:left w:val="none" w:sz="0" w:space="0" w:color="auto"/>
        <w:bottom w:val="none" w:sz="0" w:space="0" w:color="auto"/>
        <w:right w:val="none" w:sz="0" w:space="0" w:color="auto"/>
      </w:divBdr>
    </w:div>
    <w:div w:id="974945168">
      <w:bodyDiv w:val="1"/>
      <w:marLeft w:val="0"/>
      <w:marRight w:val="0"/>
      <w:marTop w:val="0"/>
      <w:marBottom w:val="0"/>
      <w:divBdr>
        <w:top w:val="none" w:sz="0" w:space="0" w:color="auto"/>
        <w:left w:val="none" w:sz="0" w:space="0" w:color="auto"/>
        <w:bottom w:val="none" w:sz="0" w:space="0" w:color="auto"/>
        <w:right w:val="none" w:sz="0" w:space="0" w:color="auto"/>
      </w:divBdr>
    </w:div>
    <w:div w:id="1399861470">
      <w:bodyDiv w:val="1"/>
      <w:marLeft w:val="0"/>
      <w:marRight w:val="0"/>
      <w:marTop w:val="0"/>
      <w:marBottom w:val="0"/>
      <w:divBdr>
        <w:top w:val="none" w:sz="0" w:space="0" w:color="auto"/>
        <w:left w:val="none" w:sz="0" w:space="0" w:color="auto"/>
        <w:bottom w:val="none" w:sz="0" w:space="0" w:color="auto"/>
        <w:right w:val="none" w:sz="0" w:space="0" w:color="auto"/>
      </w:divBdr>
    </w:div>
    <w:div w:id="1545871410">
      <w:bodyDiv w:val="1"/>
      <w:marLeft w:val="0"/>
      <w:marRight w:val="0"/>
      <w:marTop w:val="0"/>
      <w:marBottom w:val="0"/>
      <w:divBdr>
        <w:top w:val="none" w:sz="0" w:space="0" w:color="auto"/>
        <w:left w:val="none" w:sz="0" w:space="0" w:color="auto"/>
        <w:bottom w:val="none" w:sz="0" w:space="0" w:color="auto"/>
        <w:right w:val="none" w:sz="0" w:space="0" w:color="auto"/>
      </w:divBdr>
    </w:div>
    <w:div w:id="1647781718">
      <w:bodyDiv w:val="1"/>
      <w:marLeft w:val="0"/>
      <w:marRight w:val="0"/>
      <w:marTop w:val="0"/>
      <w:marBottom w:val="0"/>
      <w:divBdr>
        <w:top w:val="none" w:sz="0" w:space="0" w:color="auto"/>
        <w:left w:val="none" w:sz="0" w:space="0" w:color="auto"/>
        <w:bottom w:val="none" w:sz="0" w:space="0" w:color="auto"/>
        <w:right w:val="none" w:sz="0" w:space="0" w:color="auto"/>
      </w:divBdr>
    </w:div>
    <w:div w:id="1812556749">
      <w:bodyDiv w:val="1"/>
      <w:marLeft w:val="0"/>
      <w:marRight w:val="0"/>
      <w:marTop w:val="0"/>
      <w:marBottom w:val="0"/>
      <w:divBdr>
        <w:top w:val="none" w:sz="0" w:space="0" w:color="auto"/>
        <w:left w:val="none" w:sz="0" w:space="0" w:color="auto"/>
        <w:bottom w:val="none" w:sz="0" w:space="0" w:color="auto"/>
        <w:right w:val="none" w:sz="0" w:space="0" w:color="auto"/>
      </w:divBdr>
    </w:div>
    <w:div w:id="19647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C1A9-3CFB-4B42-8BA8-5CC18F50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ledjana gjoni</dc:creator>
  <cp:keywords/>
  <dc:description/>
  <cp:lastModifiedBy>Esmeralda Ahmetaj</cp:lastModifiedBy>
  <cp:revision>181</cp:revision>
  <dcterms:created xsi:type="dcterms:W3CDTF">2024-09-20T09:08:00Z</dcterms:created>
  <dcterms:modified xsi:type="dcterms:W3CDTF">2025-04-29T13:16:00Z</dcterms:modified>
</cp:coreProperties>
</file>