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5A3E65A" w14:textId="52C8CC79" w:rsidR="001E4D3D" w:rsidRPr="001E4D3D" w:rsidRDefault="001E4D3D" w:rsidP="006B497C">
      <w:pPr>
        <w:tabs>
          <w:tab w:val="left" w:pos="2730"/>
        </w:tabs>
        <w:spacing w:after="0" w:line="276" w:lineRule="auto"/>
        <w:rPr>
          <w:rFonts w:ascii="Times New Roman" w:eastAsia="Calibri" w:hAnsi="Times New Roman" w:cs="Times New Roman"/>
          <w:sz w:val="32"/>
          <w:szCs w:val="32"/>
          <w:lang w:val="sq-AL"/>
        </w:rPr>
      </w:pPr>
      <w:r w:rsidRPr="001E4D3D">
        <w:rPr>
          <w:rFonts w:ascii="Times New Roman" w:eastAsia="Calibri" w:hAnsi="Times New Roman" w:cs="Times New Roman"/>
          <w:noProof/>
          <w:sz w:val="32"/>
          <w:szCs w:val="32"/>
        </w:rPr>
        <mc:AlternateContent>
          <mc:Choice Requires="wps">
            <w:drawing>
              <wp:anchor distT="0" distB="0" distL="114300" distR="114300" simplePos="0" relativeHeight="251660288" behindDoc="0" locked="0" layoutInCell="1" allowOverlap="1" wp14:anchorId="0159FC49" wp14:editId="07D3FA39">
                <wp:simplePos x="0" y="0"/>
                <wp:positionH relativeFrom="margin">
                  <wp:align>right</wp:align>
                </wp:positionH>
                <wp:positionV relativeFrom="paragraph">
                  <wp:posOffset>571500</wp:posOffset>
                </wp:positionV>
                <wp:extent cx="252476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476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00429E" id="_x0000_t32" coordsize="21600,21600" o:spt="32" o:oned="t" path="m,l21600,21600e" filled="f">
                <v:path arrowok="t" fillok="f" o:connecttype="none"/>
                <o:lock v:ext="edit" shapetype="t"/>
              </v:shapetype>
              <v:shape id="AutoShape 5" o:spid="_x0000_s1026" type="#_x0000_t32" style="position:absolute;margin-left:147.6pt;margin-top:45pt;width:198.8pt;height:0;flip:x;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" strokeweight="1.25pt">
                <w10:wrap anchorx="margin"/>
              </v:shape>
            </w:pict>
          </mc:Fallback>
        </mc:AlternateContent>
      </w:r>
      <w:r w:rsidRPr="001E4D3D">
        <w:rPr>
          <w:rFonts w:ascii="Times New Roman" w:eastAsia="Calibri" w:hAnsi="Times New Roman" w:cs="Times New Roman"/>
          <w:noProof/>
          <w:sz w:val="32"/>
          <w:szCs w:val="32"/>
        </w:rPr>
        <mc:AlternateContent>
          <mc:Choice Requires="wps">
            <w:drawing>
              <wp:anchor distT="0" distB="0" distL="114300" distR="114300" simplePos="0" relativeHeight="251659264" behindDoc="0" locked="0" layoutInCell="1" allowOverlap="1" wp14:anchorId="7478004B" wp14:editId="00B4F921">
                <wp:simplePos x="0" y="0"/>
                <wp:positionH relativeFrom="margin">
                  <wp:align>left</wp:align>
                </wp:positionH>
                <wp:positionV relativeFrom="paragraph">
                  <wp:posOffset>563245</wp:posOffset>
                </wp:positionV>
                <wp:extent cx="260858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580" cy="0"/>
                        </a:xfrm>
                        <a:prstGeom prst="straightConnector1">
                          <a:avLst/>
                        </a:prstGeom>
                        <a:noFill/>
                        <a:ln w="19050">
                          <a:solidFill>
                            <a:sysClr val="windowText" lastClr="000000">
                              <a:lumMod val="95000"/>
                              <a:lumOff val="500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72DFE" id="AutoShape 4" o:spid="_x0000_s1026" type="#_x0000_t32" style="position:absolute;margin-left:0;margin-top:44.35pt;width:205.4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" strokecolor="#0d0d0d" strokeweight="1.5pt">
                <v:shadow color="#7f7f7f [1601]" opacity=".5" offset="1pt"/>
                <w10:wrap anchorx="margin"/>
              </v:shape>
            </w:pict>
          </mc:Fallback>
        </mc:AlternateContent>
      </w:r>
      <w:r>
        <w:rPr>
          <w:rFonts w:ascii="Times New Roman" w:eastAsia="Calibri" w:hAnsi="Times New Roman" w:cs="Times New Roman"/>
          <w:sz w:val="32"/>
          <w:szCs w:val="32"/>
          <w:lang w:val="sq-AL"/>
        </w:rPr>
        <w:t xml:space="preserve">                                   </w:t>
      </w:r>
      <w:r w:rsidR="001403D1">
        <w:rPr>
          <w:rFonts w:ascii="Times New Roman" w:eastAsia="Calibri" w:hAnsi="Times New Roman" w:cs="Times New Roman"/>
          <w:sz w:val="32"/>
          <w:szCs w:val="32"/>
          <w:lang w:val="sq-AL"/>
        </w:rPr>
        <w:t xml:space="preserve">         </w:t>
      </w:r>
      <w:r>
        <w:rPr>
          <w:rFonts w:ascii="Times New Roman" w:eastAsia="Calibri" w:hAnsi="Times New Roman" w:cs="Times New Roman"/>
          <w:sz w:val="32"/>
          <w:szCs w:val="32"/>
          <w:lang w:val="sq-AL"/>
        </w:rPr>
        <w:t xml:space="preserve">       </w:t>
      </w:r>
      <w:r w:rsidRPr="001E4D3D">
        <w:rPr>
          <w:rFonts w:ascii="Times New Roman" w:eastAsia="Calibri" w:hAnsi="Times New Roman" w:cs="Times New Roman"/>
          <w:noProof/>
          <w:sz w:val="32"/>
          <w:szCs w:val="32"/>
        </w:rPr>
        <w:drawing>
          <wp:inline distT="0" distB="0" distL="0" distR="0" wp14:anchorId="377991F4" wp14:editId="4DE11B00">
            <wp:extent cx="489585" cy="680357"/>
            <wp:effectExtent l="0" t="0" r="0" b="0"/>
            <wp:docPr id="1929355592" name="Picture 1929355592" descr="A black and white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emble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502" cy="685800"/>
                    </a:xfrm>
                    <a:prstGeom prst="rect">
                      <a:avLst/>
                    </a:prstGeom>
                    <a:noFill/>
                    <a:ln>
                      <a:noFill/>
                    </a:ln>
                  </pic:spPr>
                </pic:pic>
              </a:graphicData>
            </a:graphic>
          </wp:inline>
        </w:drawing>
      </w:r>
    </w:p>
    <w:p w14:paraId="6BC8C8E2" w14:textId="77777777" w:rsidR="001E4D3D" w:rsidRPr="006B497C" w:rsidRDefault="001E4D3D" w:rsidP="006B497C">
      <w:pPr>
        <w:spacing w:after="0" w:line="276" w:lineRule="auto"/>
        <w:jc w:val="center"/>
        <w:rPr>
          <w:rFonts w:ascii="Times New Roman" w:eastAsia="Calibri" w:hAnsi="Times New Roman" w:cs="Times New Roman"/>
          <w:b/>
          <w:sz w:val="24"/>
          <w:szCs w:val="24"/>
          <w:lang w:val="it-IT"/>
        </w:rPr>
      </w:pPr>
      <w:r w:rsidRPr="006B497C">
        <w:rPr>
          <w:rFonts w:ascii="Times New Roman" w:eastAsia="Calibri" w:hAnsi="Times New Roman" w:cs="Times New Roman"/>
          <w:b/>
          <w:sz w:val="24"/>
          <w:szCs w:val="24"/>
          <w:lang w:val="it-IT"/>
        </w:rPr>
        <w:t>REPUBLIKA E SHQIPËRISË</w:t>
      </w:r>
    </w:p>
    <w:p w14:paraId="10CF7D2A" w14:textId="77777777" w:rsidR="001E4D3D" w:rsidRPr="006B497C" w:rsidRDefault="001E4D3D" w:rsidP="006B497C">
      <w:pPr>
        <w:spacing w:after="0" w:line="276" w:lineRule="auto"/>
        <w:jc w:val="center"/>
        <w:rPr>
          <w:rFonts w:ascii="Times New Roman" w:eastAsia="Calibri" w:hAnsi="Times New Roman" w:cs="Times New Roman"/>
          <w:b/>
          <w:sz w:val="24"/>
          <w:szCs w:val="24"/>
          <w:lang w:val="it-IT"/>
        </w:rPr>
      </w:pPr>
      <w:r w:rsidRPr="006B497C">
        <w:rPr>
          <w:rFonts w:ascii="Times New Roman" w:eastAsia="Calibri" w:hAnsi="Times New Roman" w:cs="Times New Roman"/>
          <w:b/>
          <w:sz w:val="24"/>
          <w:szCs w:val="24"/>
          <w:lang w:val="it-IT"/>
        </w:rPr>
        <w:t>MINISTRIA E FINANCAVE</w:t>
      </w:r>
    </w:p>
    <w:p w14:paraId="553CE6D0" w14:textId="77777777" w:rsidR="001E4D3D" w:rsidRPr="006B497C" w:rsidRDefault="001E4D3D">
      <w:pPr>
        <w:rPr>
          <w:lang w:val="it-IT"/>
        </w:rPr>
      </w:pPr>
    </w:p>
    <w:p w14:paraId="4D89A134" w14:textId="77777777" w:rsidR="001E4D3D" w:rsidRPr="006B497C" w:rsidRDefault="001E4D3D">
      <w:pPr>
        <w:rPr>
          <w:lang w:val="it-IT"/>
        </w:rPr>
      </w:pPr>
    </w:p>
    <w:p w14:paraId="1E7F6E03" w14:textId="77777777" w:rsidR="001E4D3D" w:rsidRPr="006B497C" w:rsidRDefault="001E4D3D">
      <w:pPr>
        <w:rPr>
          <w:lang w:val="it-IT"/>
        </w:rPr>
      </w:pPr>
    </w:p>
    <w:p w14:paraId="7DBEF697" w14:textId="77777777" w:rsidR="001E4D3D" w:rsidRPr="006B497C" w:rsidRDefault="001E4D3D">
      <w:pPr>
        <w:rPr>
          <w:lang w:val="it-IT"/>
        </w:rPr>
      </w:pPr>
    </w:p>
    <w:p w14:paraId="3B976C42" w14:textId="77777777" w:rsidR="001E4D3D" w:rsidRPr="006B497C" w:rsidRDefault="001E4D3D" w:rsidP="006B497C">
      <w:pPr>
        <w:spacing w:line="360" w:lineRule="auto"/>
        <w:rPr>
          <w:lang w:val="it-IT"/>
        </w:rPr>
      </w:pPr>
    </w:p>
    <w:p w14:paraId="02065D5E" w14:textId="3B2104D5" w:rsidR="001E4D3D" w:rsidRPr="006B497C" w:rsidRDefault="001E4D3D" w:rsidP="006B497C">
      <w:pPr>
        <w:spacing w:after="0" w:line="360" w:lineRule="auto"/>
        <w:jc w:val="center"/>
        <w:rPr>
          <w:rFonts w:ascii="Times New Roman" w:eastAsia="SimSun" w:hAnsi="Times New Roman" w:cs="Times New Roman"/>
          <w:b/>
          <w:sz w:val="40"/>
          <w:szCs w:val="40"/>
          <w:lang w:val="it-IT"/>
        </w:rPr>
      </w:pPr>
      <w:r w:rsidRPr="006B497C">
        <w:rPr>
          <w:rFonts w:ascii="Times New Roman" w:eastAsia="SimSun" w:hAnsi="Times New Roman" w:cs="Times New Roman"/>
          <w:b/>
          <w:sz w:val="40"/>
          <w:szCs w:val="40"/>
          <w:lang w:val="it-IT"/>
        </w:rPr>
        <w:t>RAPORT MONITORIMI</w:t>
      </w:r>
    </w:p>
    <w:p w14:paraId="6F09ED9B" w14:textId="626ECECD" w:rsidR="001E4D3D" w:rsidRPr="006B497C" w:rsidRDefault="001E4D3D" w:rsidP="006B497C">
      <w:pPr>
        <w:spacing w:after="0" w:line="360" w:lineRule="auto"/>
        <w:jc w:val="center"/>
        <w:rPr>
          <w:rFonts w:ascii="Times New Roman" w:eastAsia="SimSun" w:hAnsi="Times New Roman" w:cs="Times New Roman"/>
          <w:b/>
          <w:sz w:val="40"/>
          <w:szCs w:val="40"/>
          <w:lang w:val="it-IT"/>
        </w:rPr>
      </w:pPr>
      <w:r w:rsidRPr="006B497C">
        <w:rPr>
          <w:rFonts w:ascii="Times New Roman" w:eastAsia="SimSun" w:hAnsi="Times New Roman" w:cs="Times New Roman"/>
          <w:b/>
          <w:sz w:val="40"/>
          <w:szCs w:val="40"/>
          <w:lang w:val="it-IT"/>
        </w:rPr>
        <w:t>I ZBATIMIT TË PLANIT TË INTEGRITETIT</w:t>
      </w:r>
    </w:p>
    <w:p w14:paraId="6AED36A0" w14:textId="77777777" w:rsidR="001E4D3D" w:rsidRPr="006B497C" w:rsidRDefault="001E4D3D" w:rsidP="006B497C">
      <w:pPr>
        <w:spacing w:after="0" w:line="360" w:lineRule="auto"/>
        <w:jc w:val="center"/>
        <w:rPr>
          <w:rFonts w:ascii="Times New Roman" w:eastAsia="SimSun" w:hAnsi="Times New Roman" w:cs="Times New Roman"/>
          <w:b/>
          <w:sz w:val="40"/>
          <w:szCs w:val="40"/>
          <w:lang w:val="it-IT"/>
        </w:rPr>
      </w:pPr>
      <w:r w:rsidRPr="006B497C">
        <w:rPr>
          <w:rFonts w:ascii="Times New Roman" w:eastAsia="SimSun" w:hAnsi="Times New Roman" w:cs="Times New Roman"/>
          <w:b/>
          <w:sz w:val="40"/>
          <w:szCs w:val="40"/>
          <w:lang w:val="it-IT"/>
        </w:rPr>
        <w:t>TË MINISTRISË SË FINANCAVE</w:t>
      </w:r>
    </w:p>
    <w:p w14:paraId="4F88D0E3" w14:textId="43E24A3C" w:rsidR="001E4D3D" w:rsidRPr="00D72424" w:rsidRDefault="001E4D3D" w:rsidP="001403D1">
      <w:pPr>
        <w:spacing w:after="0" w:line="360" w:lineRule="auto"/>
        <w:jc w:val="center"/>
        <w:rPr>
          <w:rFonts w:ascii="Times New Roman" w:eastAsia="SimSun" w:hAnsi="Times New Roman" w:cs="Times New Roman"/>
          <w:b/>
          <w:sz w:val="40"/>
          <w:szCs w:val="40"/>
          <w:lang w:val="it-IT"/>
        </w:rPr>
      </w:pPr>
      <w:r w:rsidRPr="00B47CEF">
        <w:rPr>
          <w:rFonts w:ascii="Times New Roman" w:eastAsia="SimSun" w:hAnsi="Times New Roman" w:cs="Times New Roman"/>
          <w:b/>
          <w:sz w:val="40"/>
          <w:szCs w:val="40"/>
          <w:lang w:val="it-IT"/>
        </w:rPr>
        <w:t xml:space="preserve">PËR </w:t>
      </w:r>
      <w:r w:rsidR="001403D1">
        <w:rPr>
          <w:rFonts w:ascii="Times New Roman" w:eastAsia="SimSun" w:hAnsi="Times New Roman" w:cs="Times New Roman"/>
          <w:b/>
          <w:sz w:val="40"/>
          <w:szCs w:val="40"/>
          <w:lang w:val="it-IT"/>
        </w:rPr>
        <w:t xml:space="preserve">VITIN </w:t>
      </w:r>
      <w:r w:rsidRPr="00D72424">
        <w:rPr>
          <w:rFonts w:ascii="Times New Roman" w:eastAsia="SimSun" w:hAnsi="Times New Roman" w:cs="Times New Roman"/>
          <w:b/>
          <w:sz w:val="40"/>
          <w:szCs w:val="40"/>
          <w:lang w:val="it-IT"/>
        </w:rPr>
        <w:t>2024</w:t>
      </w:r>
    </w:p>
    <w:p w14:paraId="4EC283CF" w14:textId="77777777" w:rsidR="001E4D3D" w:rsidRPr="00D72424" w:rsidRDefault="001E4D3D" w:rsidP="001E4D3D">
      <w:pPr>
        <w:spacing w:line="278" w:lineRule="auto"/>
        <w:jc w:val="center"/>
        <w:rPr>
          <w:kern w:val="2"/>
          <w:sz w:val="24"/>
          <w:szCs w:val="24"/>
          <w:lang w:val="it-IT"/>
          <w14:ligatures w14:val="standardContextual"/>
        </w:rPr>
      </w:pPr>
    </w:p>
    <w:p w14:paraId="012BD782" w14:textId="77777777" w:rsidR="001E4D3D" w:rsidRPr="00D72424" w:rsidRDefault="001E4D3D">
      <w:pPr>
        <w:rPr>
          <w:lang w:val="it-IT"/>
        </w:rPr>
      </w:pPr>
    </w:p>
    <w:p w14:paraId="4687EA58" w14:textId="77777777" w:rsidR="001E4D3D" w:rsidRPr="00D72424" w:rsidRDefault="001E4D3D">
      <w:pPr>
        <w:rPr>
          <w:lang w:val="it-IT"/>
        </w:rPr>
      </w:pPr>
    </w:p>
    <w:p w14:paraId="220AB7DF" w14:textId="77777777" w:rsidR="001E4D3D" w:rsidRPr="00D72424" w:rsidRDefault="001E4D3D">
      <w:pPr>
        <w:rPr>
          <w:lang w:val="it-IT"/>
        </w:rPr>
      </w:pPr>
    </w:p>
    <w:p w14:paraId="003ADDB0" w14:textId="77777777" w:rsidR="001E4D3D" w:rsidRPr="00D72424" w:rsidRDefault="001E4D3D">
      <w:pPr>
        <w:rPr>
          <w:lang w:val="it-IT"/>
        </w:rPr>
      </w:pPr>
    </w:p>
    <w:p w14:paraId="4D6F89F0" w14:textId="77777777" w:rsidR="001E4D3D" w:rsidRPr="00D72424" w:rsidRDefault="001E4D3D">
      <w:pPr>
        <w:rPr>
          <w:lang w:val="it-IT"/>
        </w:rPr>
      </w:pPr>
    </w:p>
    <w:p w14:paraId="15E0A3B8" w14:textId="77777777" w:rsidR="001E4D3D" w:rsidRPr="00D72424" w:rsidRDefault="001E4D3D">
      <w:pPr>
        <w:rPr>
          <w:lang w:val="it-IT"/>
        </w:rPr>
      </w:pPr>
    </w:p>
    <w:p w14:paraId="171775FB" w14:textId="77777777" w:rsidR="001E4D3D" w:rsidRPr="00D72424" w:rsidRDefault="001E4D3D">
      <w:pPr>
        <w:rPr>
          <w:lang w:val="it-IT"/>
        </w:rPr>
      </w:pPr>
    </w:p>
    <w:p w14:paraId="31D9D4EA" w14:textId="77777777" w:rsidR="001E4D3D" w:rsidRPr="00D72424" w:rsidRDefault="001E4D3D">
      <w:pPr>
        <w:rPr>
          <w:lang w:val="it-IT"/>
        </w:rPr>
      </w:pPr>
    </w:p>
    <w:p w14:paraId="36227771" w14:textId="77777777" w:rsidR="001E4D3D" w:rsidRPr="00D72424" w:rsidRDefault="001E4D3D">
      <w:pPr>
        <w:rPr>
          <w:lang w:val="it-IT"/>
        </w:rPr>
      </w:pPr>
    </w:p>
    <w:p w14:paraId="1A9B6A86" w14:textId="77777777" w:rsidR="001E4D3D" w:rsidRPr="00D72424" w:rsidRDefault="001E4D3D">
      <w:pPr>
        <w:rPr>
          <w:lang w:val="it-IT"/>
        </w:rPr>
      </w:pPr>
    </w:p>
    <w:p w14:paraId="0B94AAF7" w14:textId="77777777" w:rsidR="001E4D3D" w:rsidRPr="00D72424" w:rsidRDefault="001E4D3D">
      <w:pPr>
        <w:rPr>
          <w:lang w:val="it-IT"/>
        </w:rPr>
      </w:pPr>
    </w:p>
    <w:p w14:paraId="088E9ECD" w14:textId="77777777" w:rsidR="001E4D3D" w:rsidRPr="00D72424" w:rsidRDefault="001E4D3D">
      <w:pPr>
        <w:rPr>
          <w:lang w:val="it-IT"/>
        </w:rPr>
      </w:pPr>
    </w:p>
    <w:p w14:paraId="1DD7A009" w14:textId="77777777" w:rsidR="00D72424" w:rsidRDefault="00D72424">
      <w:pPr>
        <w:rPr>
          <w:lang w:val="it-IT"/>
        </w:rPr>
      </w:pPr>
    </w:p>
    <w:p w14:paraId="03CED4B1" w14:textId="77777777" w:rsidR="00D72424" w:rsidRPr="00D72424" w:rsidRDefault="00D72424">
      <w:pPr>
        <w:rPr>
          <w:lang w:val="it-IT"/>
        </w:rPr>
      </w:pPr>
    </w:p>
    <w:p w14:paraId="5F465E93" w14:textId="2878F380" w:rsidR="001E4D3D" w:rsidRPr="00D72424" w:rsidRDefault="001E4D3D" w:rsidP="001E4D3D">
      <w:pPr>
        <w:spacing w:after="177" w:line="237" w:lineRule="auto"/>
        <w:ind w:right="-15"/>
        <w:rPr>
          <w:rFonts w:ascii="Times New Roman" w:hAnsi="Times New Roman" w:cs="Times New Roman"/>
          <w:b/>
          <w:kern w:val="2"/>
          <w:sz w:val="28"/>
          <w:szCs w:val="28"/>
          <w:lang w:val="it-IT"/>
          <w14:ligatures w14:val="standardContextual"/>
        </w:rPr>
      </w:pPr>
      <w:r w:rsidRPr="00AB15C4">
        <w:rPr>
          <w:noProof/>
          <w:sz w:val="28"/>
          <w:szCs w:val="28"/>
        </w:rPr>
        <w:lastRenderedPageBreak/>
        <mc:AlternateContent>
          <mc:Choice Requires="wps">
            <w:drawing>
              <wp:anchor distT="0" distB="0" distL="114300" distR="114300" simplePos="0" relativeHeight="251665408" behindDoc="0" locked="0" layoutInCell="1" allowOverlap="1" wp14:anchorId="0324C19B" wp14:editId="69852A72">
                <wp:simplePos x="0" y="0"/>
                <wp:positionH relativeFrom="margin">
                  <wp:posOffset>-38100</wp:posOffset>
                </wp:positionH>
                <wp:positionV relativeFrom="paragraph">
                  <wp:posOffset>230505</wp:posOffset>
                </wp:positionV>
                <wp:extent cx="4000500" cy="45085"/>
                <wp:effectExtent l="0" t="0" r="0" b="0"/>
                <wp:wrapNone/>
                <wp:docPr id="164882646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45085"/>
                        </a:xfrm>
                        <a:prstGeom prst="round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372D78" id="Rectangle: Rounded Corners 1" o:spid="_x0000_s1026" style="position:absolute;margin-left:-3pt;margin-top:18.15pt;width:315pt;height: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" fillcolor="black [3213]" stroked="f" strokeweight="1pt">
                <v:stroke joinstyle="miter"/>
                <w10:wrap anchorx="margin"/>
              </v:roundrect>
            </w:pict>
          </mc:Fallback>
        </mc:AlternateContent>
      </w:r>
      <w:r w:rsidRPr="00D72424">
        <w:rPr>
          <w:rFonts w:ascii="Times New Roman" w:hAnsi="Times New Roman" w:cs="Times New Roman"/>
          <w:b/>
          <w:kern w:val="2"/>
          <w:sz w:val="28"/>
          <w:szCs w:val="28"/>
          <w:lang w:val="it-IT"/>
          <w14:ligatures w14:val="standardContextual"/>
        </w:rPr>
        <w:t>TABELA E PËRMBAJTJES</w:t>
      </w:r>
    </w:p>
    <w:p w14:paraId="19993AA6" w14:textId="77777777" w:rsidR="001E4D3D" w:rsidRPr="00D72424" w:rsidRDefault="001E4D3D" w:rsidP="001E4D3D">
      <w:pPr>
        <w:spacing w:after="177" w:line="237" w:lineRule="auto"/>
        <w:ind w:right="-15"/>
        <w:rPr>
          <w:rFonts w:ascii="Times New Roman" w:hAnsi="Times New Roman" w:cs="Times New Roman"/>
          <w:b/>
          <w:kern w:val="2"/>
          <w:lang w:val="it-IT"/>
          <w14:ligatures w14:val="standardContextual"/>
        </w:rPr>
      </w:pPr>
    </w:p>
    <w:p w14:paraId="64DC2A18"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kern w:val="2"/>
          <w:sz w:val="28"/>
          <w:szCs w:val="28"/>
          <w14:ligatures w14:val="standardContextual"/>
        </w:rPr>
      </w:pPr>
      <w:r w:rsidRPr="001E4D3D">
        <w:rPr>
          <w:rFonts w:ascii="Times New Roman" w:eastAsia="Times New Roman" w:hAnsi="Times New Roman" w:cs="Times New Roman"/>
          <w:b/>
          <w:color w:val="000000"/>
          <w:kern w:val="2"/>
          <w:sz w:val="28"/>
          <w:szCs w:val="28"/>
          <w14:ligatures w14:val="standardContextual"/>
        </w:rPr>
        <w:t>PËRMBLEDHJE EKZEKUTIVE</w:t>
      </w:r>
    </w:p>
    <w:p w14:paraId="3A135701"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sz w:val="28"/>
          <w:szCs w:val="28"/>
        </w:rPr>
      </w:pPr>
      <w:r w:rsidRPr="001E4D3D">
        <w:rPr>
          <w:rFonts w:ascii="Times New Roman" w:eastAsia="Times New Roman" w:hAnsi="Times New Roman" w:cs="Times New Roman"/>
          <w:b/>
          <w:color w:val="000000"/>
          <w:sz w:val="28"/>
          <w:szCs w:val="28"/>
        </w:rPr>
        <w:t>QASJA VLERËSUESE</w:t>
      </w:r>
    </w:p>
    <w:p w14:paraId="73D3F59A"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sz w:val="28"/>
          <w:szCs w:val="28"/>
        </w:rPr>
      </w:pPr>
      <w:r w:rsidRPr="001E4D3D">
        <w:rPr>
          <w:rFonts w:ascii="Times New Roman" w:eastAsia="Times New Roman" w:hAnsi="Times New Roman" w:cs="Times New Roman"/>
          <w:b/>
          <w:color w:val="000000"/>
          <w:sz w:val="28"/>
          <w:szCs w:val="28"/>
        </w:rPr>
        <w:t xml:space="preserve">METODOLOGJIA E MONITORIMIT  </w:t>
      </w:r>
    </w:p>
    <w:p w14:paraId="0FFD530F"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sz w:val="28"/>
          <w:szCs w:val="28"/>
        </w:rPr>
      </w:pPr>
      <w:r w:rsidRPr="001E4D3D">
        <w:rPr>
          <w:rFonts w:ascii="Times New Roman" w:eastAsia="Times New Roman" w:hAnsi="Times New Roman" w:cs="Times New Roman"/>
          <w:b/>
          <w:color w:val="000000"/>
          <w:sz w:val="28"/>
          <w:szCs w:val="28"/>
        </w:rPr>
        <w:t xml:space="preserve">GJETJET E RAPORTIT  </w:t>
      </w:r>
    </w:p>
    <w:p w14:paraId="103DC097" w14:textId="757CF4D3"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b/>
          <w:color w:val="000000"/>
          <w:sz w:val="28"/>
          <w:szCs w:val="28"/>
        </w:rPr>
      </w:pPr>
      <w:r w:rsidRPr="001E4D3D">
        <w:rPr>
          <w:rFonts w:ascii="Times New Roman" w:eastAsia="Times New Roman" w:hAnsi="Times New Roman" w:cs="Times New Roman"/>
          <w:b/>
          <w:color w:val="000000"/>
          <w:sz w:val="28"/>
          <w:szCs w:val="28"/>
        </w:rPr>
        <w:t>KONKLUZIONE DHE REKOMANDIME</w:t>
      </w:r>
    </w:p>
    <w:p w14:paraId="06249214" w14:textId="77777777" w:rsidR="001E4D3D" w:rsidRPr="001E4D3D" w:rsidRDefault="001E4D3D" w:rsidP="001E4D3D">
      <w:pPr>
        <w:numPr>
          <w:ilvl w:val="0"/>
          <w:numId w:val="1"/>
        </w:numPr>
        <w:spacing w:after="177" w:line="480" w:lineRule="auto"/>
        <w:ind w:right="-15"/>
        <w:contextualSpacing/>
        <w:rPr>
          <w:rFonts w:ascii="Times New Roman" w:eastAsia="Times New Roman" w:hAnsi="Times New Roman" w:cs="Times New Roman"/>
          <w:color w:val="000000"/>
          <w:sz w:val="28"/>
          <w:szCs w:val="28"/>
        </w:rPr>
      </w:pPr>
      <w:r w:rsidRPr="001E4D3D">
        <w:rPr>
          <w:rFonts w:ascii="Times New Roman" w:eastAsia="Times New Roman" w:hAnsi="Times New Roman" w:cs="Times New Roman"/>
          <w:b/>
          <w:color w:val="000000"/>
          <w:sz w:val="28"/>
          <w:szCs w:val="28"/>
        </w:rPr>
        <w:t xml:space="preserve">ANEKS </w:t>
      </w:r>
    </w:p>
    <w:p w14:paraId="416C3FF9" w14:textId="77777777" w:rsidR="001E4D3D" w:rsidRPr="001E4D3D" w:rsidRDefault="001E4D3D" w:rsidP="001E4D3D">
      <w:pPr>
        <w:spacing w:after="177" w:line="360" w:lineRule="auto"/>
        <w:ind w:right="-15"/>
        <w:contextualSpacing/>
        <w:rPr>
          <w:rFonts w:ascii="Times New Roman" w:eastAsia="Times New Roman" w:hAnsi="Times New Roman" w:cs="Times New Roman"/>
          <w:b/>
          <w:color w:val="000000"/>
          <w:sz w:val="28"/>
          <w:szCs w:val="28"/>
        </w:rPr>
      </w:pPr>
    </w:p>
    <w:p w14:paraId="6677CB1D"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57888B68"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4473AD92"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57CB86B6"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17B46634"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667FB249"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0E4746F8"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73CE5965"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4BFBABA5"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19AEAF79"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3D6E434C"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28F8D480"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3DA212E6"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780DE3B1"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35F819F5"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64B704A1"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0DEB76FE" w14:textId="77777777" w:rsidR="001E4D3D" w:rsidRDefault="001E4D3D" w:rsidP="001E4D3D">
      <w:pPr>
        <w:spacing w:after="177" w:line="237" w:lineRule="auto"/>
        <w:ind w:right="-15"/>
        <w:rPr>
          <w:rFonts w:ascii="Times New Roman" w:hAnsi="Times New Roman" w:cs="Times New Roman"/>
          <w:b/>
          <w:kern w:val="2"/>
          <w:sz w:val="28"/>
          <w:szCs w:val="28"/>
          <w:lang w:val="pt-BR"/>
          <w14:ligatures w14:val="standardContextual"/>
        </w:rPr>
      </w:pPr>
    </w:p>
    <w:p w14:paraId="41F10173" w14:textId="77777777" w:rsidR="000E5901" w:rsidRDefault="000E5901" w:rsidP="001E4D3D">
      <w:pPr>
        <w:spacing w:after="177" w:line="237" w:lineRule="auto"/>
        <w:ind w:right="-15"/>
        <w:rPr>
          <w:rFonts w:ascii="Times New Roman" w:hAnsi="Times New Roman" w:cs="Times New Roman"/>
          <w:b/>
          <w:kern w:val="2"/>
          <w:sz w:val="28"/>
          <w:szCs w:val="28"/>
          <w:lang w:val="pt-BR"/>
          <w14:ligatures w14:val="standardContextual"/>
        </w:rPr>
      </w:pPr>
    </w:p>
    <w:p w14:paraId="269A2C87" w14:textId="01072122" w:rsidR="001E4D3D" w:rsidRPr="00737B35" w:rsidRDefault="001E4D3D" w:rsidP="00D576D5">
      <w:pPr>
        <w:pStyle w:val="ListParagraph"/>
        <w:numPr>
          <w:ilvl w:val="0"/>
          <w:numId w:val="3"/>
        </w:numPr>
        <w:spacing w:after="0" w:line="276" w:lineRule="auto"/>
        <w:ind w:right="-15"/>
        <w:jc w:val="both"/>
        <w:rPr>
          <w:rFonts w:ascii="Times New Roman" w:hAnsi="Times New Roman" w:cs="Times New Roman"/>
          <w:b/>
          <w:bCs/>
          <w:sz w:val="24"/>
          <w:szCs w:val="24"/>
        </w:rPr>
      </w:pPr>
      <w:r w:rsidRPr="00737B35">
        <w:rPr>
          <w:rFonts w:ascii="Times New Roman" w:hAnsi="Times New Roman" w:cs="Times New Roman"/>
          <w:b/>
          <w:bCs/>
          <w:sz w:val="24"/>
          <w:szCs w:val="24"/>
          <w:lang w:val="pt-BR"/>
        </w:rPr>
        <w:t>PËRMBLEDHJE EKZEKUTIVE</w:t>
      </w:r>
    </w:p>
    <w:p w14:paraId="53BD87D3" w14:textId="77777777" w:rsidR="00D576D5" w:rsidRDefault="00D576D5"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p>
    <w:p w14:paraId="4BE733F3" w14:textId="2A207792" w:rsidR="00295802" w:rsidRPr="00737B35" w:rsidRDefault="001E4D3D"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Plani Integritetit përbën një instrument të luftës kundër korrupsionit, i cili i shërben institucionit nё identifikimin, vlerësimin dhe parandalimin e tërësisë së risqeve që cenojnë integritetin. Forcimi i integritetit dhe miratimi i masave sistematike antikorrupsion janë të rëndësishme në kuadër të reformave të administratës publike, për arsye se nëpërmjet tyre synohet të garantohet një administratë publike profesionale, me etikë, integritet dhe performa</w:t>
      </w:r>
      <w:r w:rsidR="00D82859">
        <w:rPr>
          <w:rFonts w:ascii="Times New Roman" w:hAnsi="Times New Roman" w:cs="Times New Roman"/>
          <w:kern w:val="2"/>
          <w:sz w:val="24"/>
          <w:szCs w:val="24"/>
          <w:lang w:val="sq-AL"/>
          <w14:ligatures w14:val="standardContextual"/>
        </w:rPr>
        <w:t>n</w:t>
      </w:r>
      <w:r w:rsidRPr="001E4D3D">
        <w:rPr>
          <w:rFonts w:ascii="Times New Roman" w:hAnsi="Times New Roman" w:cs="Times New Roman"/>
          <w:kern w:val="2"/>
          <w:sz w:val="24"/>
          <w:szCs w:val="24"/>
          <w:lang w:val="sq-AL"/>
          <w14:ligatures w14:val="standardContextual"/>
        </w:rPr>
        <w:t xml:space="preserve">cë të lartë. </w:t>
      </w:r>
    </w:p>
    <w:p w14:paraId="2A5FDBC2" w14:textId="77777777" w:rsidR="00295802" w:rsidRDefault="00295802"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p>
    <w:p w14:paraId="7E1884C1" w14:textId="7A417373" w:rsidR="00295802" w:rsidRDefault="001E4D3D"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Plani Integritetit të Ministrisë së Financave për vitet 2024-2026, përfshin një analizë të vlerësimit të risqeve të integritetit në institucion, si dhe parashikon masa konkrete për zbatim, me qëllim përmirësimin e efikasitetit, transparencës, llogaridhënies, rritjen e besueshmërisë publike, si dhe arritjen e objektivave strategjike e specifike tё institucionit. Identifikimi dhe vlerësimi i risqeve është kryer kryesisht në fushën e menaxhimit financiar</w:t>
      </w:r>
      <w:r w:rsidR="00E81C49">
        <w:rPr>
          <w:rFonts w:ascii="Times New Roman" w:hAnsi="Times New Roman" w:cs="Times New Roman"/>
          <w:kern w:val="2"/>
          <w:sz w:val="24"/>
          <w:szCs w:val="24"/>
          <w:lang w:val="sq-AL"/>
          <w14:ligatures w14:val="standardContextual"/>
        </w:rPr>
        <w:t xml:space="preserve">, </w:t>
      </w:r>
      <w:r w:rsidRPr="001E4D3D">
        <w:rPr>
          <w:rFonts w:ascii="Times New Roman" w:hAnsi="Times New Roman" w:cs="Times New Roman"/>
          <w:kern w:val="2"/>
          <w:sz w:val="24"/>
          <w:szCs w:val="24"/>
          <w:lang w:val="sq-AL"/>
          <w14:ligatures w14:val="standardContextual"/>
        </w:rPr>
        <w:t>transparencës</w:t>
      </w:r>
      <w:r w:rsidR="00E81C49">
        <w:rPr>
          <w:rFonts w:ascii="Times New Roman" w:hAnsi="Times New Roman" w:cs="Times New Roman"/>
          <w:kern w:val="2"/>
          <w:sz w:val="24"/>
          <w:szCs w:val="24"/>
          <w:lang w:val="sq-AL"/>
          <w14:ligatures w14:val="standardContextual"/>
        </w:rPr>
        <w:t xml:space="preserve">, </w:t>
      </w:r>
      <w:r w:rsidRPr="001E4D3D">
        <w:rPr>
          <w:rFonts w:ascii="Times New Roman" w:hAnsi="Times New Roman" w:cs="Times New Roman"/>
          <w:kern w:val="2"/>
          <w:sz w:val="24"/>
          <w:szCs w:val="24"/>
          <w:lang w:val="sq-AL"/>
          <w14:ligatures w14:val="standardContextual"/>
        </w:rPr>
        <w:t>burimeve njerëzore</w:t>
      </w:r>
      <w:r w:rsidR="00E81C49">
        <w:rPr>
          <w:rFonts w:ascii="Times New Roman" w:hAnsi="Times New Roman" w:cs="Times New Roman"/>
          <w:kern w:val="2"/>
          <w:sz w:val="24"/>
          <w:szCs w:val="24"/>
          <w:lang w:val="sq-AL"/>
          <w14:ligatures w14:val="standardContextual"/>
        </w:rPr>
        <w:t xml:space="preserve">, </w:t>
      </w:r>
      <w:r w:rsidRPr="001E4D3D">
        <w:rPr>
          <w:rFonts w:ascii="Times New Roman" w:hAnsi="Times New Roman" w:cs="Times New Roman"/>
          <w:kern w:val="2"/>
          <w:sz w:val="24"/>
          <w:szCs w:val="24"/>
          <w:lang w:val="sq-AL"/>
          <w14:ligatures w14:val="standardContextual"/>
        </w:rPr>
        <w:t>konsultimit publik</w:t>
      </w:r>
      <w:r w:rsidR="00E81C49">
        <w:rPr>
          <w:rFonts w:ascii="Times New Roman" w:hAnsi="Times New Roman" w:cs="Times New Roman"/>
          <w:kern w:val="2"/>
          <w:sz w:val="24"/>
          <w:szCs w:val="24"/>
          <w:lang w:val="sq-AL"/>
          <w14:ligatures w14:val="standardContextual"/>
        </w:rPr>
        <w:t xml:space="preserve">, </w:t>
      </w:r>
      <w:r w:rsidRPr="001E4D3D">
        <w:rPr>
          <w:rFonts w:ascii="Times New Roman" w:hAnsi="Times New Roman" w:cs="Times New Roman"/>
          <w:kern w:val="2"/>
          <w:sz w:val="24"/>
          <w:szCs w:val="24"/>
          <w:lang w:val="sq-AL"/>
          <w14:ligatures w14:val="standardContextual"/>
        </w:rPr>
        <w:t xml:space="preserve">si dhe fusha të tjera të veprimtarisë së institucionit. </w:t>
      </w:r>
    </w:p>
    <w:p w14:paraId="46325613" w14:textId="77777777" w:rsidR="00295802" w:rsidRDefault="00295802" w:rsidP="00D576D5">
      <w:pPr>
        <w:spacing w:afterLines="100" w:after="240" w:line="276" w:lineRule="auto"/>
        <w:contextualSpacing/>
        <w:jc w:val="both"/>
        <w:rPr>
          <w:rFonts w:ascii="Times New Roman" w:hAnsi="Times New Roman" w:cs="Times New Roman"/>
          <w:kern w:val="2"/>
          <w:sz w:val="24"/>
          <w:szCs w:val="24"/>
          <w:lang w:val="sq-AL"/>
          <w14:ligatures w14:val="standardContextual"/>
        </w:rPr>
      </w:pPr>
    </w:p>
    <w:p w14:paraId="67833A04" w14:textId="0DA9CD36" w:rsidR="00295802" w:rsidRDefault="001E4D3D" w:rsidP="00D576D5">
      <w:pPr>
        <w:spacing w:after="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 xml:space="preserve">Objektivat që synohet të arrihen nëpërmjet Planit të Integritetit janë si vijon: </w:t>
      </w:r>
    </w:p>
    <w:p w14:paraId="50985DED" w14:textId="77777777" w:rsidR="00D576D5" w:rsidRDefault="00D576D5" w:rsidP="00D576D5">
      <w:pPr>
        <w:spacing w:after="0" w:line="276" w:lineRule="auto"/>
        <w:contextualSpacing/>
        <w:jc w:val="both"/>
        <w:rPr>
          <w:rFonts w:ascii="Times New Roman" w:hAnsi="Times New Roman" w:cs="Times New Roman"/>
          <w:kern w:val="2"/>
          <w:sz w:val="24"/>
          <w:szCs w:val="24"/>
          <w:lang w:val="sq-AL"/>
          <w14:ligatures w14:val="standardContextual"/>
        </w:rPr>
      </w:pPr>
    </w:p>
    <w:p w14:paraId="4A524E00" w14:textId="77777777" w:rsidR="00295802" w:rsidRDefault="001E4D3D" w:rsidP="00D576D5">
      <w:pPr>
        <w:pStyle w:val="ListParagraph"/>
        <w:numPr>
          <w:ilvl w:val="0"/>
          <w:numId w:val="2"/>
        </w:numPr>
        <w:spacing w:after="0" w:line="276" w:lineRule="auto"/>
        <w:jc w:val="both"/>
        <w:rPr>
          <w:rFonts w:ascii="Times New Roman" w:hAnsi="Times New Roman" w:cs="Times New Roman"/>
          <w:kern w:val="2"/>
          <w:sz w:val="24"/>
          <w:szCs w:val="24"/>
          <w:lang w:val="sq-AL"/>
          <w14:ligatures w14:val="standardContextual"/>
        </w:rPr>
      </w:pPr>
      <w:r w:rsidRPr="00295802">
        <w:rPr>
          <w:rFonts w:ascii="Times New Roman" w:hAnsi="Times New Roman" w:cs="Times New Roman"/>
          <w:kern w:val="2"/>
          <w:sz w:val="24"/>
          <w:szCs w:val="24"/>
          <w:lang w:val="sq-AL"/>
          <w14:ligatures w14:val="standardContextual"/>
        </w:rPr>
        <w:t xml:space="preserve">Forcimi i transparencës </w:t>
      </w:r>
      <w:r w:rsidRPr="00D576D5">
        <w:rPr>
          <w:rFonts w:ascii="Times New Roman" w:hAnsi="Times New Roman" w:cs="Times New Roman"/>
          <w:kern w:val="2"/>
          <w:sz w:val="24"/>
          <w:szCs w:val="24"/>
          <w:lang w:val="sq-AL"/>
          <w14:ligatures w14:val="standardContextual"/>
        </w:rPr>
        <w:t>dhe monitorimi i vazhdueshëm,</w:t>
      </w:r>
      <w:r w:rsidRPr="00295802">
        <w:rPr>
          <w:rFonts w:ascii="Times New Roman" w:hAnsi="Times New Roman" w:cs="Times New Roman"/>
          <w:kern w:val="2"/>
          <w:sz w:val="24"/>
          <w:szCs w:val="24"/>
          <w:lang w:val="sq-AL"/>
          <w14:ligatures w14:val="standardContextual"/>
        </w:rPr>
        <w:t xml:space="preserve"> duke siguruar rritjen e besueshmërisë publike;</w:t>
      </w:r>
    </w:p>
    <w:p w14:paraId="1272135A" w14:textId="77777777" w:rsidR="00295802" w:rsidRDefault="001E4D3D" w:rsidP="00D576D5">
      <w:pPr>
        <w:pStyle w:val="ListParagraph"/>
        <w:numPr>
          <w:ilvl w:val="0"/>
          <w:numId w:val="2"/>
        </w:numPr>
        <w:spacing w:after="0" w:line="276" w:lineRule="auto"/>
        <w:jc w:val="both"/>
        <w:rPr>
          <w:rFonts w:ascii="Times New Roman" w:hAnsi="Times New Roman" w:cs="Times New Roman"/>
          <w:kern w:val="2"/>
          <w:sz w:val="24"/>
          <w:szCs w:val="24"/>
          <w:lang w:val="sq-AL"/>
          <w14:ligatures w14:val="standardContextual"/>
        </w:rPr>
      </w:pPr>
      <w:r w:rsidRPr="00295802">
        <w:rPr>
          <w:rFonts w:ascii="Times New Roman" w:hAnsi="Times New Roman" w:cs="Times New Roman"/>
          <w:kern w:val="2"/>
          <w:sz w:val="24"/>
          <w:szCs w:val="24"/>
          <w:lang w:val="sq-AL"/>
          <w14:ligatures w14:val="standardContextual"/>
        </w:rPr>
        <w:t xml:space="preserve">Burime njerëzore të kualifikuara, të qëndrueshme dhe me trajnime të përshtatshme për t’i rezistuar shkeljeve të integritetit; </w:t>
      </w:r>
    </w:p>
    <w:p w14:paraId="307BFA3B" w14:textId="58B271F4" w:rsidR="00D576D5" w:rsidRPr="00D576D5" w:rsidRDefault="001E4D3D" w:rsidP="00D576D5">
      <w:pPr>
        <w:pStyle w:val="ListParagraph"/>
        <w:numPr>
          <w:ilvl w:val="0"/>
          <w:numId w:val="2"/>
        </w:numPr>
        <w:spacing w:after="0" w:line="276" w:lineRule="auto"/>
        <w:jc w:val="both"/>
        <w:rPr>
          <w:rFonts w:ascii="Times New Roman" w:hAnsi="Times New Roman" w:cs="Times New Roman"/>
          <w:kern w:val="2"/>
          <w:sz w:val="24"/>
          <w:szCs w:val="24"/>
          <w:lang w:val="sq-AL"/>
          <w14:ligatures w14:val="standardContextual"/>
        </w:rPr>
      </w:pPr>
      <w:r w:rsidRPr="00295802">
        <w:rPr>
          <w:rFonts w:ascii="Times New Roman" w:hAnsi="Times New Roman" w:cs="Times New Roman"/>
          <w:kern w:val="2"/>
          <w:sz w:val="24"/>
          <w:szCs w:val="24"/>
          <w:lang w:val="pt-BR"/>
          <w14:ligatures w14:val="standardContextual"/>
        </w:rPr>
        <w:t>Përmirësimi i kuadrit rregullator, me qëllim forcimin e integritetit në institucion.</w:t>
      </w:r>
    </w:p>
    <w:p w14:paraId="53EE336C" w14:textId="77777777" w:rsidR="00D576D5" w:rsidRPr="00D576D5" w:rsidRDefault="00D576D5" w:rsidP="00D576D5">
      <w:pPr>
        <w:pStyle w:val="ListParagraph"/>
        <w:spacing w:after="0" w:line="276" w:lineRule="auto"/>
        <w:ind w:left="630"/>
        <w:jc w:val="both"/>
        <w:rPr>
          <w:rFonts w:ascii="Times New Roman" w:hAnsi="Times New Roman" w:cs="Times New Roman"/>
          <w:kern w:val="2"/>
          <w:sz w:val="24"/>
          <w:szCs w:val="24"/>
          <w:lang w:val="sq-AL"/>
          <w14:ligatures w14:val="standardContextual"/>
        </w:rPr>
      </w:pPr>
    </w:p>
    <w:p w14:paraId="54A377EB" w14:textId="2BA94D4B" w:rsidR="00295802" w:rsidRDefault="001E4D3D" w:rsidP="00D576D5">
      <w:pPr>
        <w:spacing w:after="0" w:line="276" w:lineRule="auto"/>
        <w:jc w:val="both"/>
        <w:rPr>
          <w:rFonts w:ascii="Times New Roman" w:hAnsi="Times New Roman" w:cs="Times New Roman"/>
          <w:kern w:val="2"/>
          <w:sz w:val="24"/>
          <w:szCs w:val="24"/>
          <w:lang w:val="sq-AL"/>
          <w14:ligatures w14:val="standardContextual"/>
        </w:rPr>
      </w:pPr>
      <w:r w:rsidRPr="00D576D5">
        <w:rPr>
          <w:rFonts w:ascii="Times New Roman" w:hAnsi="Times New Roman" w:cs="Times New Roman"/>
          <w:kern w:val="2"/>
          <w:sz w:val="24"/>
          <w:szCs w:val="24"/>
          <w:lang w:val="sq-AL"/>
          <w14:ligatures w14:val="standardContextual"/>
        </w:rPr>
        <w:t>Në përputhje me Kreun X të Planit të Integritetit, si dhe me Metodologjinë e Monitorimit të Planit për Institucionet e Qeverisjes Qendrore, Ministria e Financave ka hartuar Raportin e monitorimit për</w:t>
      </w:r>
      <w:r w:rsidR="00D72424">
        <w:rPr>
          <w:rFonts w:ascii="Times New Roman" w:hAnsi="Times New Roman" w:cs="Times New Roman"/>
          <w:kern w:val="2"/>
          <w:sz w:val="24"/>
          <w:szCs w:val="24"/>
          <w:lang w:val="sq-AL"/>
          <w14:ligatures w14:val="standardContextual"/>
        </w:rPr>
        <w:t xml:space="preserve"> vitin </w:t>
      </w:r>
      <w:r w:rsidRPr="00D576D5">
        <w:rPr>
          <w:rFonts w:ascii="Times New Roman" w:hAnsi="Times New Roman" w:cs="Times New Roman"/>
          <w:kern w:val="2"/>
          <w:sz w:val="24"/>
          <w:szCs w:val="24"/>
          <w:lang w:val="sq-AL"/>
          <w14:ligatures w14:val="standardContextual"/>
        </w:rPr>
        <w:t>2024, mbështetur në të dhëna të verifikueshme dhe transparente. Mon</w:t>
      </w:r>
      <w:r w:rsidR="00681DFC">
        <w:rPr>
          <w:rFonts w:ascii="Times New Roman" w:hAnsi="Times New Roman" w:cs="Times New Roman"/>
          <w:kern w:val="2"/>
          <w:sz w:val="24"/>
          <w:szCs w:val="24"/>
          <w:lang w:val="sq-AL"/>
          <w14:ligatures w14:val="standardContextual"/>
        </w:rPr>
        <w:t>i</w:t>
      </w:r>
      <w:r w:rsidRPr="00D576D5">
        <w:rPr>
          <w:rFonts w:ascii="Times New Roman" w:hAnsi="Times New Roman" w:cs="Times New Roman"/>
          <w:kern w:val="2"/>
          <w:sz w:val="24"/>
          <w:szCs w:val="24"/>
          <w:lang w:val="sq-AL"/>
          <w14:ligatures w14:val="standardContextual"/>
        </w:rPr>
        <w:t xml:space="preserve">torimi i Planit të Integritetit është një fazë e rëndësishme, për arsye se shërben për të vlerësuar nëse risqet e identifikuara janë menaxhuar në mënyrë të efektive, si dhe për të konstatuar nëse janë realizuar aktivitetet dhe masat e parashikuara në planin e veprimit. </w:t>
      </w:r>
    </w:p>
    <w:p w14:paraId="15CF643C" w14:textId="77777777" w:rsidR="00D576D5" w:rsidRDefault="00D576D5" w:rsidP="00D576D5">
      <w:pPr>
        <w:spacing w:after="0" w:line="276" w:lineRule="auto"/>
        <w:jc w:val="both"/>
        <w:rPr>
          <w:rFonts w:ascii="Times New Roman" w:hAnsi="Times New Roman" w:cs="Times New Roman"/>
          <w:kern w:val="2"/>
          <w:sz w:val="24"/>
          <w:szCs w:val="24"/>
          <w:lang w:val="sq-AL"/>
          <w14:ligatures w14:val="standardContextual"/>
        </w:rPr>
      </w:pPr>
    </w:p>
    <w:p w14:paraId="38F9741D" w14:textId="19FD5782" w:rsidR="001E4D3D" w:rsidRDefault="001E4D3D" w:rsidP="00D576D5">
      <w:pPr>
        <w:spacing w:after="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 xml:space="preserve">Raporti monitorimit të Planit të Integritetit për </w:t>
      </w:r>
      <w:r w:rsidR="00D72424">
        <w:rPr>
          <w:rFonts w:ascii="Times New Roman" w:hAnsi="Times New Roman" w:cs="Times New Roman"/>
          <w:kern w:val="2"/>
          <w:sz w:val="24"/>
          <w:szCs w:val="24"/>
          <w:lang w:val="sq-AL"/>
          <w14:ligatures w14:val="standardContextual"/>
        </w:rPr>
        <w:t xml:space="preserve">vitin </w:t>
      </w:r>
      <w:r w:rsidRPr="001E4D3D">
        <w:rPr>
          <w:rFonts w:ascii="Times New Roman" w:hAnsi="Times New Roman" w:cs="Times New Roman"/>
          <w:kern w:val="2"/>
          <w:sz w:val="24"/>
          <w:szCs w:val="24"/>
          <w:lang w:val="sq-AL"/>
          <w14:ligatures w14:val="standardContextual"/>
        </w:rPr>
        <w:t>2024, jep të dhëna mbi zbatimin e objektivave dhe masave të parashikuara për periudhën e kërkuar, progresin e zhvilluar në kuadër të rritjes së trasparencës, si dhe masat e ndërmarra për plotësimin dhe rishikimin e legjislacionit në fuqi, me qëllim përmirësimin dhe forcimin e integritetit.</w:t>
      </w:r>
    </w:p>
    <w:p w14:paraId="04F9084F" w14:textId="77777777" w:rsidR="00D576D5" w:rsidRPr="001E4D3D" w:rsidRDefault="00D576D5" w:rsidP="00D576D5">
      <w:pPr>
        <w:spacing w:after="0" w:line="276" w:lineRule="auto"/>
        <w:contextualSpacing/>
        <w:jc w:val="both"/>
        <w:rPr>
          <w:rFonts w:ascii="Times New Roman" w:hAnsi="Times New Roman" w:cs="Times New Roman"/>
          <w:kern w:val="2"/>
          <w:sz w:val="24"/>
          <w:szCs w:val="24"/>
          <w:lang w:val="sq-AL"/>
          <w14:ligatures w14:val="standardContextual"/>
        </w:rPr>
      </w:pPr>
    </w:p>
    <w:p w14:paraId="54E85181" w14:textId="7597C3F9" w:rsidR="001E4D3D" w:rsidRPr="001E4D3D" w:rsidRDefault="001E4D3D" w:rsidP="00D576D5">
      <w:pPr>
        <w:spacing w:after="0" w:line="276" w:lineRule="auto"/>
        <w:contextualSpacing/>
        <w:jc w:val="both"/>
        <w:rPr>
          <w:rFonts w:ascii="Times New Roman" w:hAnsi="Times New Roman" w:cs="Times New Roman"/>
          <w:kern w:val="2"/>
          <w:sz w:val="24"/>
          <w:szCs w:val="24"/>
          <w:lang w:val="sq-AL"/>
          <w14:ligatures w14:val="standardContextual"/>
        </w:rPr>
      </w:pPr>
      <w:r w:rsidRPr="001E4D3D">
        <w:rPr>
          <w:rFonts w:ascii="Times New Roman" w:hAnsi="Times New Roman" w:cs="Times New Roman"/>
          <w:kern w:val="2"/>
          <w:sz w:val="24"/>
          <w:szCs w:val="24"/>
          <w:lang w:val="sq-AL"/>
          <w14:ligatures w14:val="standardContextual"/>
        </w:rPr>
        <w:t>Në Planin e Integritetit për vitin 2024, janë parashikuar për zbatim 1</w:t>
      </w:r>
      <w:r w:rsidR="007F4BDC">
        <w:rPr>
          <w:rFonts w:ascii="Times New Roman" w:hAnsi="Times New Roman" w:cs="Times New Roman"/>
          <w:kern w:val="2"/>
          <w:sz w:val="24"/>
          <w:szCs w:val="24"/>
          <w:lang w:val="sq-AL"/>
          <w14:ligatures w14:val="standardContextual"/>
        </w:rPr>
        <w:t>3</w:t>
      </w:r>
      <w:r w:rsidRPr="001E4D3D">
        <w:rPr>
          <w:rFonts w:ascii="Times New Roman" w:hAnsi="Times New Roman" w:cs="Times New Roman"/>
          <w:kern w:val="2"/>
          <w:sz w:val="24"/>
          <w:szCs w:val="24"/>
          <w:lang w:val="sq-AL"/>
          <w14:ligatures w14:val="standardContextual"/>
        </w:rPr>
        <w:t xml:space="preserve"> masa, </w:t>
      </w:r>
      <w:r w:rsidR="00BA1A7C">
        <w:rPr>
          <w:rFonts w:ascii="Times New Roman" w:hAnsi="Times New Roman" w:cs="Times New Roman"/>
          <w:kern w:val="2"/>
          <w:sz w:val="24"/>
          <w:szCs w:val="24"/>
          <w:lang w:val="sq-AL"/>
          <w14:ligatures w14:val="standardContextual"/>
        </w:rPr>
        <w:t xml:space="preserve">ku </w:t>
      </w:r>
      <w:r w:rsidRPr="00BA1A7C">
        <w:rPr>
          <w:rFonts w:ascii="Times New Roman" w:hAnsi="Times New Roman" w:cs="Times New Roman"/>
          <w:kern w:val="2"/>
          <w:sz w:val="24"/>
          <w:szCs w:val="24"/>
          <w:lang w:val="sq-AL"/>
          <w14:ligatures w14:val="standardContextual"/>
        </w:rPr>
        <w:t xml:space="preserve">rezulton se janë zbatuar </w:t>
      </w:r>
      <w:r w:rsidR="006B4366" w:rsidRPr="00BA1A7C">
        <w:rPr>
          <w:rFonts w:ascii="Times New Roman" w:hAnsi="Times New Roman" w:cs="Times New Roman"/>
          <w:kern w:val="2"/>
          <w:sz w:val="24"/>
          <w:szCs w:val="24"/>
          <w:lang w:val="sq-AL"/>
          <w14:ligatures w14:val="standardContextual"/>
        </w:rPr>
        <w:t>të gjitha masat.</w:t>
      </w:r>
      <w:r w:rsidR="006B4366">
        <w:rPr>
          <w:rFonts w:ascii="Times New Roman" w:hAnsi="Times New Roman" w:cs="Times New Roman"/>
          <w:kern w:val="2"/>
          <w:sz w:val="24"/>
          <w:szCs w:val="24"/>
          <w:lang w:val="sq-AL"/>
          <w14:ligatures w14:val="standardContextual"/>
        </w:rPr>
        <w:t xml:space="preserve"> </w:t>
      </w:r>
    </w:p>
    <w:p w14:paraId="2E8D76DA" w14:textId="77777777" w:rsidR="00295802" w:rsidRDefault="00295802" w:rsidP="00295802">
      <w:pPr>
        <w:spacing w:afterLines="100" w:after="240" w:line="276" w:lineRule="auto"/>
        <w:ind w:right="-15"/>
        <w:contextualSpacing/>
        <w:jc w:val="both"/>
        <w:rPr>
          <w:rFonts w:ascii="Times New Roman" w:hAnsi="Times New Roman" w:cs="Times New Roman"/>
          <w:b/>
          <w:kern w:val="2"/>
          <w:sz w:val="24"/>
          <w:szCs w:val="24"/>
          <w:lang w:val="sq-AL"/>
          <w14:ligatures w14:val="standardContextual"/>
        </w:rPr>
      </w:pPr>
    </w:p>
    <w:p w14:paraId="0E90650E" w14:textId="77777777" w:rsidR="00E81C49" w:rsidRDefault="00E81C49" w:rsidP="00295802">
      <w:pPr>
        <w:spacing w:afterLines="100" w:after="240" w:line="276" w:lineRule="auto"/>
        <w:ind w:right="-15"/>
        <w:contextualSpacing/>
        <w:jc w:val="both"/>
        <w:rPr>
          <w:rFonts w:ascii="Times New Roman" w:hAnsi="Times New Roman" w:cs="Times New Roman"/>
          <w:b/>
          <w:kern w:val="2"/>
          <w:sz w:val="24"/>
          <w:szCs w:val="24"/>
          <w:lang w:val="sq-AL"/>
          <w14:ligatures w14:val="standardContextual"/>
        </w:rPr>
      </w:pPr>
    </w:p>
    <w:p w14:paraId="51140977" w14:textId="77777777" w:rsidR="001B2A3C" w:rsidRDefault="001B2A3C" w:rsidP="00295802">
      <w:pPr>
        <w:spacing w:afterLines="100" w:after="240" w:line="276" w:lineRule="auto"/>
        <w:ind w:right="-15"/>
        <w:contextualSpacing/>
        <w:jc w:val="both"/>
        <w:rPr>
          <w:rFonts w:ascii="Times New Roman" w:hAnsi="Times New Roman" w:cs="Times New Roman"/>
          <w:b/>
          <w:kern w:val="2"/>
          <w:sz w:val="24"/>
          <w:szCs w:val="24"/>
          <w:lang w:val="sq-AL"/>
          <w14:ligatures w14:val="standardContextual"/>
        </w:rPr>
      </w:pPr>
    </w:p>
    <w:p w14:paraId="7AAB60B6" w14:textId="77777777" w:rsidR="000E5901" w:rsidRDefault="000E5901" w:rsidP="00295802">
      <w:pPr>
        <w:spacing w:afterLines="100" w:after="240" w:line="276" w:lineRule="auto"/>
        <w:ind w:right="-15"/>
        <w:contextualSpacing/>
        <w:jc w:val="both"/>
        <w:rPr>
          <w:rFonts w:ascii="Times New Roman" w:hAnsi="Times New Roman" w:cs="Times New Roman"/>
          <w:b/>
          <w:kern w:val="2"/>
          <w:sz w:val="24"/>
          <w:szCs w:val="24"/>
          <w:lang w:val="sq-AL"/>
          <w14:ligatures w14:val="standardContextual"/>
        </w:rPr>
      </w:pPr>
    </w:p>
    <w:p w14:paraId="41FB53A9" w14:textId="3AF9B144" w:rsidR="00295802" w:rsidRDefault="00295802" w:rsidP="00C8275C">
      <w:pPr>
        <w:pStyle w:val="ListParagraph"/>
        <w:numPr>
          <w:ilvl w:val="0"/>
          <w:numId w:val="3"/>
        </w:numPr>
        <w:spacing w:after="0" w:line="276" w:lineRule="auto"/>
        <w:ind w:right="-15"/>
        <w:jc w:val="both"/>
        <w:rPr>
          <w:rFonts w:ascii="Times New Roman" w:hAnsi="Times New Roman" w:cs="Times New Roman"/>
          <w:b/>
          <w:color w:val="000000" w:themeColor="text1"/>
          <w:sz w:val="24"/>
          <w:szCs w:val="24"/>
          <w:lang w:val="sq-AL"/>
        </w:rPr>
      </w:pPr>
      <w:r w:rsidRPr="00737B35">
        <w:rPr>
          <w:rFonts w:ascii="Times New Roman" w:hAnsi="Times New Roman" w:cs="Times New Roman"/>
          <w:b/>
          <w:color w:val="000000" w:themeColor="text1"/>
          <w:sz w:val="24"/>
          <w:szCs w:val="24"/>
          <w:lang w:val="sq-AL"/>
        </w:rPr>
        <w:t>QASJA VLERËSUESE</w:t>
      </w:r>
    </w:p>
    <w:p w14:paraId="3B312E4E" w14:textId="77777777" w:rsidR="00C8275C" w:rsidRPr="00737B35" w:rsidRDefault="00C8275C" w:rsidP="00C8275C">
      <w:pPr>
        <w:pStyle w:val="ListParagraph"/>
        <w:spacing w:after="0" w:line="276" w:lineRule="auto"/>
        <w:ind w:left="1080" w:right="-15"/>
        <w:jc w:val="both"/>
        <w:rPr>
          <w:rFonts w:ascii="Times New Roman" w:hAnsi="Times New Roman" w:cs="Times New Roman"/>
          <w:b/>
          <w:color w:val="000000" w:themeColor="text1"/>
          <w:sz w:val="24"/>
          <w:szCs w:val="24"/>
          <w:lang w:val="sq-AL"/>
        </w:rPr>
      </w:pPr>
    </w:p>
    <w:p w14:paraId="67F4F746" w14:textId="5330AB47" w:rsidR="00737B35" w:rsidRDefault="00737B35" w:rsidP="00C8275C">
      <w:pPr>
        <w:spacing w:after="0" w:line="276" w:lineRule="auto"/>
        <w:jc w:val="both"/>
        <w:rPr>
          <w:rFonts w:ascii="Times New Roman" w:hAnsi="Times New Roman" w:cs="Times New Roman"/>
          <w:sz w:val="24"/>
          <w:szCs w:val="24"/>
          <w:lang w:val="sq-AL"/>
        </w:rPr>
      </w:pPr>
      <w:bookmarkStart w:id="1" w:name="_Hlk175052095"/>
      <w:r w:rsidRPr="00737B35">
        <w:rPr>
          <w:rFonts w:ascii="Times New Roman" w:hAnsi="Times New Roman" w:cs="Times New Roman"/>
          <w:sz w:val="24"/>
          <w:szCs w:val="24"/>
          <w:lang w:val="sq-AL"/>
        </w:rPr>
        <w:t>Raporti monitorimit të zbatimit të Planit të Integritetit përmban një analizë të përgjithshme të performancës institucionale për t’i rezistuar shkeljeve të integritetit, ku përcaktohet niveli i realizimit të masave të parashikuara në plan, si dhe hapat konkretë që janë ndërmarrë nga drejtoritë përgjegjëse për përmbushjen e tyre brenda afatit.</w:t>
      </w:r>
    </w:p>
    <w:p w14:paraId="317476E0" w14:textId="77777777" w:rsidR="00C8275C" w:rsidRPr="00737B35" w:rsidRDefault="00C8275C" w:rsidP="00C8275C">
      <w:pPr>
        <w:spacing w:after="0" w:line="276" w:lineRule="auto"/>
        <w:jc w:val="both"/>
        <w:rPr>
          <w:rFonts w:ascii="Times New Roman" w:hAnsi="Times New Roman" w:cs="Times New Roman"/>
          <w:sz w:val="24"/>
          <w:szCs w:val="24"/>
          <w:lang w:val="sq-AL"/>
        </w:rPr>
      </w:pPr>
    </w:p>
    <w:bookmarkEnd w:id="1"/>
    <w:p w14:paraId="6AF3F2E8" w14:textId="02897118" w:rsidR="00737B35" w:rsidRDefault="00737B35" w:rsidP="00C8275C">
      <w:pPr>
        <w:pStyle w:val="ListParagraph"/>
        <w:numPr>
          <w:ilvl w:val="0"/>
          <w:numId w:val="3"/>
        </w:numPr>
        <w:spacing w:after="0" w:line="276" w:lineRule="auto"/>
        <w:ind w:right="-15"/>
        <w:jc w:val="both"/>
        <w:rPr>
          <w:rFonts w:ascii="Times New Roman" w:hAnsi="Times New Roman" w:cs="Times New Roman"/>
          <w:b/>
          <w:color w:val="000000" w:themeColor="text1"/>
          <w:sz w:val="24"/>
          <w:szCs w:val="24"/>
          <w:lang w:val="sq-AL"/>
        </w:rPr>
      </w:pPr>
      <w:r w:rsidRPr="00737B35">
        <w:rPr>
          <w:rFonts w:ascii="Times New Roman" w:hAnsi="Times New Roman" w:cs="Times New Roman"/>
          <w:b/>
          <w:color w:val="000000" w:themeColor="text1"/>
          <w:sz w:val="24"/>
          <w:szCs w:val="24"/>
          <w:lang w:val="sq-AL"/>
        </w:rPr>
        <w:t>METODOLOGJIA E VLERËSIMIT</w:t>
      </w:r>
    </w:p>
    <w:p w14:paraId="73CD1474" w14:textId="77777777" w:rsidR="00C8275C" w:rsidRPr="00737B35" w:rsidRDefault="00C8275C" w:rsidP="00C8275C">
      <w:pPr>
        <w:pStyle w:val="ListParagraph"/>
        <w:spacing w:after="0" w:line="276" w:lineRule="auto"/>
        <w:ind w:left="1080" w:right="-15"/>
        <w:jc w:val="both"/>
        <w:rPr>
          <w:rFonts w:ascii="Times New Roman" w:hAnsi="Times New Roman" w:cs="Times New Roman"/>
          <w:b/>
          <w:color w:val="000000" w:themeColor="text1"/>
          <w:sz w:val="24"/>
          <w:szCs w:val="24"/>
          <w:lang w:val="sq-AL"/>
        </w:rPr>
      </w:pPr>
    </w:p>
    <w:p w14:paraId="7A2D9AC4" w14:textId="6226CE70" w:rsidR="00737B35" w:rsidRPr="00737B35" w:rsidRDefault="00737B35" w:rsidP="00C8275C">
      <w:pPr>
        <w:spacing w:after="0" w:line="276" w:lineRule="auto"/>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Raporti monitorimit është hartuar në bazë të kontributit të drejtorive përgjegjëse të Ministrisë së Financave, për të cilat ka patur të parashikuara masa për zbatim për periudhën e kërkuar. Secila drejtori ka raportuar mbi statusin e realizimit të masave, nëse janë realizuar plotësisht</w:t>
      </w:r>
      <w:r w:rsidR="005C3021">
        <w:rPr>
          <w:rFonts w:ascii="Times New Roman" w:hAnsi="Times New Roman" w:cs="Times New Roman"/>
          <w:kern w:val="2"/>
          <w:sz w:val="24"/>
          <w:szCs w:val="24"/>
          <w:lang w:val="sq-AL"/>
          <w14:ligatures w14:val="standardContextual"/>
        </w:rPr>
        <w:t xml:space="preserve">, </w:t>
      </w:r>
      <w:r w:rsidRPr="00737B35">
        <w:rPr>
          <w:rFonts w:ascii="Times New Roman" w:hAnsi="Times New Roman" w:cs="Times New Roman"/>
          <w:kern w:val="2"/>
          <w:sz w:val="24"/>
          <w:szCs w:val="24"/>
          <w:lang w:val="sq-AL"/>
          <w14:ligatures w14:val="standardContextual"/>
        </w:rPr>
        <w:t>vijojnë të jenë në proces dhe veprimet konkrete që janë ndërmarr</w:t>
      </w:r>
      <w:r w:rsidR="006B4366">
        <w:rPr>
          <w:rFonts w:ascii="Times New Roman" w:hAnsi="Times New Roman" w:cs="Times New Roman"/>
          <w:kern w:val="2"/>
          <w:sz w:val="24"/>
          <w:szCs w:val="24"/>
          <w:lang w:val="sq-AL"/>
          <w14:ligatures w14:val="standardContextual"/>
        </w:rPr>
        <w:t>ë</w:t>
      </w:r>
      <w:r w:rsidRPr="00737B35">
        <w:rPr>
          <w:rFonts w:ascii="Times New Roman" w:hAnsi="Times New Roman" w:cs="Times New Roman"/>
          <w:kern w:val="2"/>
          <w:sz w:val="24"/>
          <w:szCs w:val="24"/>
          <w:lang w:val="sq-AL"/>
          <w14:ligatures w14:val="standardContextual"/>
        </w:rPr>
        <w:t xml:space="preserve"> për përmbushjen e tyre. Të dhënat e këtij raporti janë mbledhur nga Koordinatori i Integritetit, në përmbushje të rolit të tij, si personi i cakuar për hartimin e Raportit të monitorimit. </w:t>
      </w:r>
    </w:p>
    <w:p w14:paraId="429743B2" w14:textId="77777777" w:rsidR="00737B35" w:rsidRPr="00737B35" w:rsidRDefault="00737B35" w:rsidP="00C8275C">
      <w:pPr>
        <w:spacing w:after="0" w:line="276" w:lineRule="auto"/>
        <w:jc w:val="both"/>
        <w:rPr>
          <w:rFonts w:ascii="Times New Roman" w:hAnsi="Times New Roman" w:cs="Times New Roman"/>
          <w:kern w:val="2"/>
          <w:sz w:val="24"/>
          <w:szCs w:val="24"/>
          <w:lang w:val="sq-AL"/>
          <w14:ligatures w14:val="standardContextual"/>
        </w:rPr>
      </w:pPr>
    </w:p>
    <w:p w14:paraId="400CCC1F" w14:textId="77777777" w:rsidR="00737B35" w:rsidRDefault="00737B35" w:rsidP="006A6B01">
      <w:pPr>
        <w:spacing w:after="0" w:line="276" w:lineRule="auto"/>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Drejtoritë/personat përgjegjës që kanë raportuar janë si më poshtë vijon:</w:t>
      </w:r>
    </w:p>
    <w:p w14:paraId="53B0F8E4" w14:textId="77777777" w:rsidR="00C8275C" w:rsidRPr="00737B35" w:rsidRDefault="00C8275C" w:rsidP="006A6B01">
      <w:pPr>
        <w:spacing w:after="0" w:line="276" w:lineRule="auto"/>
        <w:jc w:val="both"/>
        <w:rPr>
          <w:rFonts w:ascii="Times New Roman" w:hAnsi="Times New Roman" w:cs="Times New Roman"/>
          <w:kern w:val="2"/>
          <w:sz w:val="24"/>
          <w:szCs w:val="24"/>
          <w:lang w:val="sq-AL"/>
          <w14:ligatures w14:val="standardContextual"/>
        </w:rPr>
      </w:pPr>
    </w:p>
    <w:p w14:paraId="45FF8D8A" w14:textId="77777777" w:rsidR="00737B35" w:rsidRDefault="00737B35" w:rsidP="006A6B01">
      <w:pPr>
        <w:numPr>
          <w:ilvl w:val="0"/>
          <w:numId w:val="4"/>
        </w:numPr>
        <w:spacing w:after="0" w:line="276" w:lineRule="auto"/>
        <w:contextualSpacing/>
        <w:jc w:val="both"/>
        <w:rPr>
          <w:rFonts w:ascii="Times New Roman" w:hAnsi="Times New Roman" w:cs="Times New Roman"/>
          <w:bCs/>
          <w:kern w:val="2"/>
          <w:sz w:val="24"/>
          <w:szCs w:val="24"/>
          <w:lang w:val="sq-AL"/>
          <w14:ligatures w14:val="standardContextual"/>
        </w:rPr>
      </w:pPr>
      <w:r w:rsidRPr="00956FE5">
        <w:rPr>
          <w:rFonts w:ascii="Times New Roman" w:hAnsi="Times New Roman" w:cs="Times New Roman"/>
          <w:bCs/>
          <w:kern w:val="2"/>
          <w:sz w:val="24"/>
          <w:szCs w:val="24"/>
          <w:lang w:val="sq-AL"/>
          <w14:ligatures w14:val="standardContextual"/>
        </w:rPr>
        <w:t>Drejtoria e Përgjithshme e Borxhit Shtetëror;</w:t>
      </w:r>
    </w:p>
    <w:p w14:paraId="75B61D68" w14:textId="77777777" w:rsidR="001B2A3C" w:rsidRPr="001B2A3C" w:rsidRDefault="001B2A3C" w:rsidP="001B2A3C">
      <w:pPr>
        <w:numPr>
          <w:ilvl w:val="0"/>
          <w:numId w:val="4"/>
        </w:numPr>
        <w:spacing w:after="0" w:line="276" w:lineRule="auto"/>
        <w:jc w:val="both"/>
        <w:rPr>
          <w:rFonts w:ascii="Times New Roman" w:hAnsi="Times New Roman" w:cs="Times New Roman"/>
          <w:kern w:val="2"/>
          <w:sz w:val="24"/>
          <w:szCs w:val="24"/>
          <w:lang w:val="sq-AL"/>
          <w14:ligatures w14:val="standardContextual"/>
        </w:rPr>
      </w:pPr>
      <w:r w:rsidRPr="00956FE5">
        <w:rPr>
          <w:rFonts w:ascii="Times New Roman" w:eastAsiaTheme="majorEastAsia" w:hAnsi="Times New Roman" w:cs="Times New Roman"/>
          <w:kern w:val="2"/>
          <w:sz w:val="24"/>
          <w:szCs w:val="24"/>
          <w:lang w:val="sq-AL"/>
          <w14:ligatures w14:val="standardContextual"/>
        </w:rPr>
        <w:t>Drejtoria e Marrëveshjeve të Sigurimit të Ndihmës së Huaj;</w:t>
      </w:r>
    </w:p>
    <w:p w14:paraId="2E585F29" w14:textId="2F3D0261" w:rsidR="001B2A3C" w:rsidRPr="000E5901" w:rsidRDefault="001B2A3C" w:rsidP="001B2A3C">
      <w:pPr>
        <w:numPr>
          <w:ilvl w:val="0"/>
          <w:numId w:val="4"/>
        </w:numPr>
        <w:spacing w:after="0" w:line="276" w:lineRule="auto"/>
        <w:jc w:val="both"/>
        <w:rPr>
          <w:rFonts w:ascii="Times New Roman" w:hAnsi="Times New Roman" w:cs="Times New Roman"/>
          <w:kern w:val="2"/>
          <w:sz w:val="24"/>
          <w:szCs w:val="24"/>
          <w:lang w:val="sq-AL"/>
          <w14:ligatures w14:val="standardContextual"/>
        </w:rPr>
      </w:pPr>
      <w:r w:rsidRPr="000E5901">
        <w:rPr>
          <w:rFonts w:ascii="Times New Roman" w:eastAsiaTheme="majorEastAsia" w:hAnsi="Times New Roman" w:cs="Times New Roman"/>
          <w:kern w:val="2"/>
          <w:sz w:val="24"/>
          <w:szCs w:val="24"/>
          <w:lang w:val="sq-AL"/>
          <w14:ligatures w14:val="standardContextual"/>
        </w:rPr>
        <w:t>Drejtoria e Strategjisë, Regjistrimit, Shërbimit dhe Raportimit të Treguesve të Borxhit;</w:t>
      </w:r>
    </w:p>
    <w:p w14:paraId="77E5BD86" w14:textId="77777777" w:rsidR="00737B35" w:rsidRPr="001B2A3C" w:rsidRDefault="00737B35" w:rsidP="006A6B01">
      <w:pPr>
        <w:numPr>
          <w:ilvl w:val="0"/>
          <w:numId w:val="4"/>
        </w:numPr>
        <w:spacing w:after="0" w:line="276" w:lineRule="auto"/>
        <w:jc w:val="both"/>
        <w:rPr>
          <w:rFonts w:ascii="Times New Roman" w:hAnsi="Times New Roman" w:cs="Times New Roman"/>
          <w:kern w:val="2"/>
          <w:sz w:val="24"/>
          <w:szCs w:val="24"/>
          <w14:ligatures w14:val="standardContextual"/>
        </w:rPr>
      </w:pPr>
      <w:r w:rsidRPr="00956FE5">
        <w:rPr>
          <w:rFonts w:ascii="Times New Roman" w:hAnsi="Times New Roman" w:cs="Times New Roman"/>
          <w:color w:val="000000"/>
          <w:kern w:val="2"/>
          <w:sz w:val="24"/>
          <w:szCs w:val="24"/>
          <w:lang w:val="sv-SE"/>
          <w14:ligatures w14:val="standardContextual"/>
        </w:rPr>
        <w:t>Drejtoria e Apelimit Tatimor;</w:t>
      </w:r>
    </w:p>
    <w:p w14:paraId="44E56C0B" w14:textId="3F63DAD7" w:rsidR="001B2A3C" w:rsidRPr="001B2A3C" w:rsidRDefault="001B2A3C" w:rsidP="001B2A3C">
      <w:pPr>
        <w:numPr>
          <w:ilvl w:val="0"/>
          <w:numId w:val="4"/>
        </w:numPr>
        <w:spacing w:after="0" w:line="276" w:lineRule="auto"/>
        <w:jc w:val="both"/>
        <w:rPr>
          <w:rFonts w:ascii="Times New Roman" w:hAnsi="Times New Roman" w:cs="Times New Roman"/>
          <w:kern w:val="2"/>
          <w:sz w:val="24"/>
          <w:szCs w:val="24"/>
          <w14:ligatures w14:val="standardContextual"/>
        </w:rPr>
      </w:pPr>
      <w:r w:rsidRPr="00956FE5">
        <w:rPr>
          <w:rFonts w:ascii="Times New Roman" w:eastAsiaTheme="majorEastAsia" w:hAnsi="Times New Roman" w:cs="Times New Roman"/>
          <w:kern w:val="2"/>
          <w:sz w:val="24"/>
          <w:szCs w:val="24"/>
          <w:lang w:val="sq-AL"/>
          <w14:ligatures w14:val="standardContextual"/>
        </w:rPr>
        <w:t>Drejtoria e Harmonizimit të Menaxhimit Financiar, Kontrollit dhe Kontabilitetit</w:t>
      </w:r>
      <w:r w:rsidR="00FC45D5">
        <w:rPr>
          <w:rFonts w:ascii="Times New Roman" w:eastAsiaTheme="majorEastAsia" w:hAnsi="Times New Roman" w:cs="Times New Roman"/>
          <w:kern w:val="2"/>
          <w:sz w:val="24"/>
          <w:szCs w:val="24"/>
          <w:lang w:val="sq-AL"/>
          <w14:ligatures w14:val="standardContextual"/>
        </w:rPr>
        <w:t>;</w:t>
      </w:r>
    </w:p>
    <w:p w14:paraId="43A4A814" w14:textId="77777777" w:rsidR="00737B35" w:rsidRPr="00956FE5" w:rsidRDefault="00737B35" w:rsidP="006A6B01">
      <w:pPr>
        <w:numPr>
          <w:ilvl w:val="0"/>
          <w:numId w:val="4"/>
        </w:numPr>
        <w:spacing w:after="0" w:line="276" w:lineRule="auto"/>
        <w:jc w:val="both"/>
        <w:rPr>
          <w:rFonts w:ascii="Times New Roman" w:hAnsi="Times New Roman" w:cs="Times New Roman"/>
          <w:kern w:val="2"/>
          <w:sz w:val="24"/>
          <w:szCs w:val="24"/>
          <w14:ligatures w14:val="standardContextual"/>
        </w:rPr>
      </w:pPr>
      <w:r w:rsidRPr="00956FE5">
        <w:rPr>
          <w:rFonts w:ascii="Times New Roman" w:eastAsia="Calibri" w:hAnsi="Times New Roman" w:cs="Times New Roman"/>
          <w:bCs/>
          <w:kern w:val="2"/>
          <w:sz w:val="24"/>
          <w:szCs w:val="24"/>
          <w:lang w:val="sq-AL"/>
          <w14:ligatures w14:val="standardContextual"/>
        </w:rPr>
        <w:t>Drejtoria Mbështetëse e Zyrtarit Kombëtar Autorizues;</w:t>
      </w:r>
    </w:p>
    <w:p w14:paraId="1ED0DE69" w14:textId="77777777" w:rsidR="00737B35" w:rsidRPr="00956FE5" w:rsidRDefault="00737B35" w:rsidP="006A6B01">
      <w:pPr>
        <w:numPr>
          <w:ilvl w:val="0"/>
          <w:numId w:val="4"/>
        </w:numPr>
        <w:spacing w:after="0" w:line="276" w:lineRule="auto"/>
        <w:jc w:val="both"/>
        <w:rPr>
          <w:rFonts w:ascii="Times New Roman" w:hAnsi="Times New Roman" w:cs="Times New Roman"/>
          <w:kern w:val="2"/>
          <w:sz w:val="24"/>
          <w:szCs w:val="24"/>
          <w:lang w:val="pt-BR"/>
          <w14:ligatures w14:val="standardContextual"/>
        </w:rPr>
      </w:pPr>
      <w:r w:rsidRPr="00956FE5">
        <w:rPr>
          <w:rFonts w:ascii="Times New Roman" w:eastAsia="Calibri" w:hAnsi="Times New Roman" w:cs="Times New Roman"/>
          <w:kern w:val="2"/>
          <w:sz w:val="24"/>
          <w:szCs w:val="24"/>
          <w:lang w:val="sv-SE"/>
          <w14:ligatures w14:val="standardContextual"/>
        </w:rPr>
        <w:t>Drejtoria e Avokatit të Tatimpaguesit;</w:t>
      </w:r>
    </w:p>
    <w:p w14:paraId="76A471D3" w14:textId="77777777" w:rsidR="00737B35" w:rsidRPr="00956FE5" w:rsidRDefault="00737B35" w:rsidP="006A6B01">
      <w:pPr>
        <w:numPr>
          <w:ilvl w:val="0"/>
          <w:numId w:val="4"/>
        </w:numPr>
        <w:spacing w:after="0" w:line="276" w:lineRule="auto"/>
        <w:jc w:val="both"/>
        <w:rPr>
          <w:rFonts w:ascii="Times New Roman" w:hAnsi="Times New Roman" w:cs="Times New Roman"/>
          <w:kern w:val="2"/>
          <w:sz w:val="24"/>
          <w:szCs w:val="24"/>
          <w:lang w:val="it-IT"/>
          <w14:ligatures w14:val="standardContextual"/>
        </w:rPr>
      </w:pPr>
      <w:r w:rsidRPr="00956FE5">
        <w:rPr>
          <w:rFonts w:ascii="Times New Roman" w:eastAsiaTheme="majorEastAsia" w:hAnsi="Times New Roman" w:cs="Times New Roman"/>
          <w:kern w:val="2"/>
          <w:sz w:val="24"/>
          <w:szCs w:val="24"/>
          <w:lang w:val="sq-AL"/>
          <w14:ligatures w14:val="standardContextual"/>
        </w:rPr>
        <w:t>Drejtoria e Menaxhimit të Burimeve Njerëzore;</w:t>
      </w:r>
      <w:r w:rsidRPr="00956FE5">
        <w:rPr>
          <w:rFonts w:ascii="Times New Roman" w:hAnsi="Times New Roman" w:cs="Times New Roman"/>
          <w:kern w:val="2"/>
          <w:sz w:val="24"/>
          <w:szCs w:val="24"/>
          <w:lang w:val="it-IT"/>
          <w14:ligatures w14:val="standardContextual"/>
        </w:rPr>
        <w:t xml:space="preserve"> </w:t>
      </w:r>
    </w:p>
    <w:p w14:paraId="1DAFA976" w14:textId="77777777" w:rsidR="00737B35" w:rsidRPr="00956FE5" w:rsidRDefault="00737B35" w:rsidP="006A6B01">
      <w:pPr>
        <w:numPr>
          <w:ilvl w:val="0"/>
          <w:numId w:val="4"/>
        </w:numPr>
        <w:spacing w:after="0" w:line="276" w:lineRule="auto"/>
        <w:jc w:val="both"/>
        <w:rPr>
          <w:rFonts w:ascii="Times New Roman" w:hAnsi="Times New Roman" w:cs="Times New Roman"/>
          <w:kern w:val="2"/>
          <w:sz w:val="24"/>
          <w:szCs w:val="24"/>
          <w:lang w:val="it-IT"/>
          <w14:ligatures w14:val="standardContextual"/>
        </w:rPr>
      </w:pPr>
      <w:r w:rsidRPr="00956FE5">
        <w:rPr>
          <w:rFonts w:ascii="Times New Roman" w:hAnsi="Times New Roman" w:cs="Times New Roman"/>
          <w:kern w:val="2"/>
          <w:sz w:val="24"/>
          <w:szCs w:val="24"/>
          <w:lang w:val="it-IT"/>
          <w14:ligatures w14:val="standardContextual"/>
        </w:rPr>
        <w:t>Koordinatori për Konsultimin Publik;</w:t>
      </w:r>
    </w:p>
    <w:p w14:paraId="0D3DCE32" w14:textId="77777777" w:rsidR="00737B35" w:rsidRPr="00956FE5" w:rsidRDefault="00737B35" w:rsidP="006A6B01">
      <w:pPr>
        <w:numPr>
          <w:ilvl w:val="0"/>
          <w:numId w:val="4"/>
        </w:numPr>
        <w:spacing w:after="0" w:line="276" w:lineRule="auto"/>
        <w:jc w:val="both"/>
        <w:rPr>
          <w:rFonts w:ascii="Times New Roman" w:hAnsi="Times New Roman" w:cs="Times New Roman"/>
          <w:kern w:val="2"/>
          <w:sz w:val="24"/>
          <w:szCs w:val="24"/>
          <w14:ligatures w14:val="standardContextual"/>
        </w:rPr>
      </w:pPr>
      <w:r w:rsidRPr="00956FE5">
        <w:rPr>
          <w:rFonts w:ascii="Times New Roman" w:hAnsi="Times New Roman" w:cs="Times New Roman"/>
          <w:kern w:val="2"/>
          <w:sz w:val="24"/>
          <w:szCs w:val="24"/>
          <w:lang w:val="sv-SE"/>
          <w14:ligatures w14:val="standardContextual"/>
        </w:rPr>
        <w:t>Drejtoria e Procesimit te Biznesit.</w:t>
      </w:r>
    </w:p>
    <w:p w14:paraId="6D8B65CB" w14:textId="77777777" w:rsidR="00737B35" w:rsidRPr="00BE52C1" w:rsidRDefault="00737B35" w:rsidP="006A6B01">
      <w:pPr>
        <w:spacing w:after="0" w:line="276" w:lineRule="auto"/>
        <w:ind w:right="-15"/>
        <w:jc w:val="both"/>
        <w:rPr>
          <w:rFonts w:ascii="Times New Roman" w:hAnsi="Times New Roman" w:cs="Times New Roman"/>
          <w:b/>
          <w:color w:val="000000" w:themeColor="text1"/>
          <w:sz w:val="24"/>
          <w:szCs w:val="24"/>
          <w:lang w:val="sq-AL"/>
        </w:rPr>
      </w:pPr>
    </w:p>
    <w:p w14:paraId="5E0DF910" w14:textId="5FD6C30F" w:rsidR="00C8275C" w:rsidRPr="006A6B01" w:rsidRDefault="00737B35" w:rsidP="006A6B01">
      <w:pPr>
        <w:pStyle w:val="ListParagraph"/>
        <w:numPr>
          <w:ilvl w:val="0"/>
          <w:numId w:val="3"/>
        </w:numPr>
        <w:spacing w:after="0" w:line="276" w:lineRule="auto"/>
        <w:ind w:right="-15"/>
        <w:jc w:val="both"/>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 xml:space="preserve">GJETJET E RAPORTIT </w:t>
      </w:r>
    </w:p>
    <w:p w14:paraId="63B8A63E" w14:textId="77777777" w:rsidR="006A6B01" w:rsidRDefault="006A6B01" w:rsidP="006A6B01">
      <w:pPr>
        <w:spacing w:after="0" w:line="276" w:lineRule="auto"/>
        <w:jc w:val="both"/>
        <w:rPr>
          <w:rFonts w:ascii="Times New Roman" w:eastAsia="SimSun" w:hAnsi="Times New Roman" w:cs="Times New Roman"/>
          <w:kern w:val="2"/>
          <w:sz w:val="24"/>
          <w:szCs w:val="24"/>
          <w:lang w:val="sq-AL"/>
          <w14:ligatures w14:val="standardContextual"/>
        </w:rPr>
      </w:pPr>
    </w:p>
    <w:p w14:paraId="2F28A06F" w14:textId="35DC6919" w:rsidR="00737B35" w:rsidRDefault="00737B35" w:rsidP="006A6B01">
      <w:pPr>
        <w:spacing w:after="0" w:line="276" w:lineRule="auto"/>
        <w:jc w:val="both"/>
        <w:rPr>
          <w:rFonts w:ascii="Times New Roman" w:eastAsia="SimSun" w:hAnsi="Times New Roman" w:cs="Times New Roman"/>
          <w:kern w:val="2"/>
          <w:sz w:val="24"/>
          <w:szCs w:val="24"/>
          <w:lang w:val="sq-AL"/>
          <w14:ligatures w14:val="standardContextual"/>
        </w:rPr>
      </w:pPr>
      <w:r w:rsidRPr="00737B35">
        <w:rPr>
          <w:rFonts w:ascii="Times New Roman" w:eastAsia="SimSun" w:hAnsi="Times New Roman" w:cs="Times New Roman"/>
          <w:kern w:val="2"/>
          <w:sz w:val="24"/>
          <w:szCs w:val="24"/>
          <w:lang w:val="sq-AL"/>
          <w14:ligatures w14:val="standardContextual"/>
        </w:rPr>
        <w:t xml:space="preserve">Monitorimi i zbatimit të masave të parashikuara në Planin e Integritetit është një hap i rëndësishëm për të garantuar integritetin institucional. Konkretisht nëpërmjet hartimit të raportit të monitorimit synohet: </w:t>
      </w:r>
    </w:p>
    <w:p w14:paraId="269A5C87" w14:textId="77777777" w:rsidR="00C8275C" w:rsidRPr="00737B35" w:rsidRDefault="00C8275C" w:rsidP="006A6B01">
      <w:pPr>
        <w:spacing w:after="0" w:line="276" w:lineRule="auto"/>
        <w:jc w:val="both"/>
        <w:rPr>
          <w:rFonts w:ascii="Times New Roman" w:eastAsia="SimSun" w:hAnsi="Times New Roman" w:cs="Times New Roman"/>
          <w:kern w:val="2"/>
          <w:sz w:val="24"/>
          <w:szCs w:val="24"/>
          <w:lang w:val="sq-AL"/>
          <w14:ligatures w14:val="standardContextual"/>
        </w:rPr>
      </w:pPr>
    </w:p>
    <w:p w14:paraId="449F969E" w14:textId="297DB181" w:rsidR="00737B35" w:rsidRPr="00737B35" w:rsidRDefault="00737B35" w:rsidP="006A6B01">
      <w:pPr>
        <w:numPr>
          <w:ilvl w:val="0"/>
          <w:numId w:val="4"/>
        </w:numPr>
        <w:spacing w:after="0" w:line="276" w:lineRule="auto"/>
        <w:contextualSpacing/>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Mbikëqyrja e vazhdueshme e nivelit të zbatimit të masave të parashikuara në plan</w:t>
      </w:r>
      <w:r w:rsidR="00B35782">
        <w:rPr>
          <w:rFonts w:ascii="Times New Roman" w:hAnsi="Times New Roman" w:cs="Times New Roman"/>
          <w:kern w:val="2"/>
          <w:sz w:val="24"/>
          <w:szCs w:val="24"/>
          <w:lang w:val="sq-AL"/>
          <w14:ligatures w14:val="standardContextual"/>
        </w:rPr>
        <w:t>;</w:t>
      </w:r>
    </w:p>
    <w:p w14:paraId="39621280" w14:textId="75367FDB" w:rsidR="00737B35" w:rsidRPr="00737B35" w:rsidRDefault="00737B35" w:rsidP="006A6B01">
      <w:pPr>
        <w:numPr>
          <w:ilvl w:val="0"/>
          <w:numId w:val="4"/>
        </w:numPr>
        <w:spacing w:after="0" w:line="276" w:lineRule="auto"/>
        <w:contextualSpacing/>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Forcimi i llogaridhënies publike dhe transparencës në institucion, për të siguruar rritjen e besueshmërisë publike</w:t>
      </w:r>
      <w:r w:rsidR="00B35782">
        <w:rPr>
          <w:rFonts w:ascii="Times New Roman" w:hAnsi="Times New Roman" w:cs="Times New Roman"/>
          <w:kern w:val="2"/>
          <w:sz w:val="24"/>
          <w:szCs w:val="24"/>
          <w:lang w:val="sq-AL"/>
          <w14:ligatures w14:val="standardContextual"/>
        </w:rPr>
        <w:t>;</w:t>
      </w:r>
    </w:p>
    <w:p w14:paraId="026C8FF2" w14:textId="03709B80" w:rsidR="00737B35" w:rsidRPr="00737B35" w:rsidRDefault="00737B35" w:rsidP="006A6B01">
      <w:pPr>
        <w:numPr>
          <w:ilvl w:val="0"/>
          <w:numId w:val="4"/>
        </w:numPr>
        <w:spacing w:after="0" w:line="276" w:lineRule="auto"/>
        <w:contextualSpacing/>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Rishikimi dhe plotësimi i vazhdueshëm i legjislacionit ligjor në fuqi, me qëllim përmirësimin dhe forcimin e integritetit.</w:t>
      </w:r>
      <w:r w:rsidR="005F725C">
        <w:rPr>
          <w:rFonts w:ascii="Times New Roman" w:hAnsi="Times New Roman" w:cs="Times New Roman"/>
          <w:kern w:val="2"/>
          <w:sz w:val="24"/>
          <w:szCs w:val="24"/>
          <w:lang w:val="sq-AL"/>
          <w14:ligatures w14:val="standardContextual"/>
        </w:rPr>
        <w:t xml:space="preserve">                  </w:t>
      </w:r>
    </w:p>
    <w:p w14:paraId="19E0A4FB" w14:textId="77777777" w:rsidR="00703224" w:rsidRDefault="00703224" w:rsidP="003B3E0F">
      <w:pPr>
        <w:spacing w:after="0" w:line="276" w:lineRule="auto"/>
        <w:contextualSpacing/>
        <w:jc w:val="both"/>
        <w:rPr>
          <w:rFonts w:ascii="Times New Roman" w:hAnsi="Times New Roman" w:cs="Times New Roman"/>
          <w:kern w:val="2"/>
          <w:sz w:val="24"/>
          <w:szCs w:val="24"/>
          <w:lang w:val="sq-AL"/>
          <w14:ligatures w14:val="standardContextual"/>
        </w:rPr>
      </w:pPr>
    </w:p>
    <w:p w14:paraId="7CEF9FF9" w14:textId="77777777" w:rsidR="00703224" w:rsidRDefault="00703224" w:rsidP="003B3E0F">
      <w:pPr>
        <w:spacing w:after="0" w:line="276" w:lineRule="auto"/>
        <w:contextualSpacing/>
        <w:jc w:val="both"/>
        <w:rPr>
          <w:rFonts w:ascii="Times New Roman" w:hAnsi="Times New Roman" w:cs="Times New Roman"/>
          <w:kern w:val="2"/>
          <w:sz w:val="24"/>
          <w:szCs w:val="24"/>
          <w:lang w:val="sq-AL"/>
          <w14:ligatures w14:val="standardContextual"/>
        </w:rPr>
      </w:pPr>
    </w:p>
    <w:p w14:paraId="16AE8251" w14:textId="77777777" w:rsidR="00703224" w:rsidRPr="00737B35" w:rsidRDefault="00703224" w:rsidP="003B3E0F">
      <w:pPr>
        <w:spacing w:after="0" w:line="276" w:lineRule="auto"/>
        <w:contextualSpacing/>
        <w:jc w:val="both"/>
        <w:rPr>
          <w:rFonts w:ascii="Times New Roman" w:hAnsi="Times New Roman" w:cs="Times New Roman"/>
          <w:kern w:val="2"/>
          <w:sz w:val="24"/>
          <w:szCs w:val="24"/>
          <w:lang w:val="sq-AL"/>
          <w14:ligatures w14:val="standardContextual"/>
        </w:rPr>
      </w:pPr>
    </w:p>
    <w:p w14:paraId="7E3971AE" w14:textId="36A6461B" w:rsidR="00737B35" w:rsidRDefault="00737B35" w:rsidP="006A6B01">
      <w:pPr>
        <w:spacing w:after="0" w:line="276" w:lineRule="auto"/>
        <w:jc w:val="both"/>
        <w:rPr>
          <w:rFonts w:ascii="Times New Roman" w:eastAsia="SimSun" w:hAnsi="Times New Roman" w:cs="Times New Roman"/>
          <w:b/>
          <w:kern w:val="2"/>
          <w:sz w:val="24"/>
          <w:szCs w:val="24"/>
          <w:lang w:val="sq-AL"/>
          <w14:ligatures w14:val="standardContextual"/>
        </w:rPr>
      </w:pPr>
      <w:r w:rsidRPr="00737B35">
        <w:rPr>
          <w:rFonts w:ascii="Times New Roman" w:eastAsia="SimSun" w:hAnsi="Times New Roman" w:cs="Times New Roman"/>
          <w:b/>
          <w:kern w:val="2"/>
          <w:sz w:val="24"/>
          <w:szCs w:val="24"/>
          <w:lang w:val="sq-AL"/>
          <w14:ligatures w14:val="standardContextual"/>
        </w:rPr>
        <w:t xml:space="preserve">Nga të dhënat e drejtorive raportuese të </w:t>
      </w:r>
      <w:r w:rsidR="006A6B01">
        <w:rPr>
          <w:rFonts w:ascii="Times New Roman" w:eastAsia="SimSun" w:hAnsi="Times New Roman" w:cs="Times New Roman"/>
          <w:b/>
          <w:kern w:val="2"/>
          <w:sz w:val="24"/>
          <w:szCs w:val="24"/>
          <w:lang w:val="sq-AL"/>
          <w14:ligatures w14:val="standardContextual"/>
        </w:rPr>
        <w:t xml:space="preserve">Ministrisë së Financave, </w:t>
      </w:r>
      <w:r w:rsidRPr="00737B35">
        <w:rPr>
          <w:rFonts w:ascii="Times New Roman" w:eastAsia="SimSun" w:hAnsi="Times New Roman" w:cs="Times New Roman"/>
          <w:b/>
          <w:kern w:val="2"/>
          <w:sz w:val="24"/>
          <w:szCs w:val="24"/>
          <w:lang w:val="sq-AL"/>
          <w14:ligatures w14:val="standardContextual"/>
        </w:rPr>
        <w:t xml:space="preserve">rezulton se: </w:t>
      </w:r>
    </w:p>
    <w:p w14:paraId="45C54CBE" w14:textId="77777777" w:rsidR="00C8275C" w:rsidRPr="00737B35"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03C14AB0" w14:textId="5F974B4E" w:rsidR="00737B35" w:rsidRPr="00737B35" w:rsidRDefault="00737B35" w:rsidP="00737B35">
      <w:pPr>
        <w:spacing w:line="276" w:lineRule="auto"/>
        <w:jc w:val="both"/>
        <w:rPr>
          <w:rFonts w:ascii="Times New Roman" w:eastAsia="Times New Roman" w:hAnsi="Times New Roman" w:cs="Times New Roman"/>
          <w:color w:val="000000"/>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 xml:space="preserve">Në Planin e Integritetit, për vitin 2024 janë parashikuar për zbatim </w:t>
      </w:r>
      <w:r w:rsidRPr="00BA1A7C">
        <w:rPr>
          <w:rFonts w:ascii="Times New Roman" w:hAnsi="Times New Roman" w:cs="Times New Roman"/>
          <w:kern w:val="2"/>
          <w:sz w:val="24"/>
          <w:szCs w:val="24"/>
          <w:lang w:val="sq-AL"/>
          <w14:ligatures w14:val="standardContextual"/>
        </w:rPr>
        <w:t>1</w:t>
      </w:r>
      <w:r w:rsidR="007F4BDC" w:rsidRPr="00BA1A7C">
        <w:rPr>
          <w:rFonts w:ascii="Times New Roman" w:hAnsi="Times New Roman" w:cs="Times New Roman"/>
          <w:kern w:val="2"/>
          <w:sz w:val="24"/>
          <w:szCs w:val="24"/>
          <w:lang w:val="sq-AL"/>
          <w14:ligatures w14:val="standardContextual"/>
        </w:rPr>
        <w:t>3</w:t>
      </w:r>
      <w:r w:rsidRPr="00BA1A7C">
        <w:rPr>
          <w:rFonts w:ascii="Times New Roman" w:hAnsi="Times New Roman" w:cs="Times New Roman"/>
          <w:kern w:val="2"/>
          <w:sz w:val="24"/>
          <w:szCs w:val="24"/>
          <w:lang w:val="sq-AL"/>
          <w14:ligatures w14:val="standardContextual"/>
        </w:rPr>
        <w:t xml:space="preserve"> masa, </w:t>
      </w:r>
      <w:r w:rsidR="00BA1A7C">
        <w:rPr>
          <w:rFonts w:ascii="Times New Roman" w:hAnsi="Times New Roman" w:cs="Times New Roman"/>
          <w:kern w:val="2"/>
          <w:sz w:val="24"/>
          <w:szCs w:val="24"/>
          <w:lang w:val="sq-AL"/>
          <w14:ligatures w14:val="standardContextual"/>
        </w:rPr>
        <w:t xml:space="preserve">ku rezulton </w:t>
      </w:r>
      <w:r w:rsidR="00980A0A" w:rsidRPr="00BA1A7C">
        <w:rPr>
          <w:rFonts w:ascii="Times New Roman" w:hAnsi="Times New Roman" w:cs="Times New Roman"/>
          <w:kern w:val="2"/>
          <w:sz w:val="24"/>
          <w:szCs w:val="24"/>
          <w:lang w:val="sq-AL"/>
          <w14:ligatures w14:val="standardContextual"/>
        </w:rPr>
        <w:t>se janë zbatuar të gjitha masat.</w:t>
      </w:r>
    </w:p>
    <w:p w14:paraId="21175F69" w14:textId="69C881FE" w:rsidR="00737B35" w:rsidRPr="00737B35" w:rsidRDefault="00737B35" w:rsidP="00737B35">
      <w:pPr>
        <w:spacing w:afterLines="100" w:after="240" w:line="276" w:lineRule="auto"/>
        <w:ind w:right="-15"/>
        <w:jc w:val="both"/>
        <w:rPr>
          <w:rFonts w:ascii="Times New Roman" w:hAnsi="Times New Roman" w:cs="Times New Roman"/>
          <w:b/>
          <w:color w:val="000000" w:themeColor="text1"/>
          <w:sz w:val="24"/>
          <w:szCs w:val="24"/>
          <w:lang w:val="sq-AL"/>
        </w:rPr>
      </w:pPr>
      <w:r w:rsidRPr="00BD2F73">
        <w:rPr>
          <w:noProof/>
        </w:rPr>
        <w:drawing>
          <wp:anchor distT="0" distB="0" distL="114300" distR="114300" simplePos="0" relativeHeight="251667456" behindDoc="0" locked="0" layoutInCell="1" allowOverlap="1" wp14:anchorId="37A7C58A" wp14:editId="556C2AE5">
            <wp:simplePos x="0" y="0"/>
            <wp:positionH relativeFrom="column">
              <wp:posOffset>0</wp:posOffset>
            </wp:positionH>
            <wp:positionV relativeFrom="paragraph">
              <wp:posOffset>352425</wp:posOffset>
            </wp:positionV>
            <wp:extent cx="4829175" cy="3086100"/>
            <wp:effectExtent l="0" t="0" r="9525" b="0"/>
            <wp:wrapSquare wrapText="bothSides"/>
            <wp:docPr id="555742054" name="Chart 5557420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74C63A6" w14:textId="77777777" w:rsidR="00295802" w:rsidRPr="001E4D3D" w:rsidRDefault="00295802" w:rsidP="00295802">
      <w:pPr>
        <w:spacing w:afterLines="100" w:after="240" w:line="276" w:lineRule="auto"/>
        <w:ind w:right="-15"/>
        <w:contextualSpacing/>
        <w:jc w:val="both"/>
        <w:rPr>
          <w:rFonts w:ascii="Times New Roman" w:hAnsi="Times New Roman" w:cs="Times New Roman"/>
          <w:b/>
          <w:kern w:val="2"/>
          <w:sz w:val="24"/>
          <w:szCs w:val="24"/>
          <w:lang w:val="sq-AL"/>
          <w14:ligatures w14:val="standardContextual"/>
        </w:rPr>
      </w:pPr>
    </w:p>
    <w:p w14:paraId="6585CCE6" w14:textId="77777777" w:rsidR="001E4D3D" w:rsidRDefault="001E4D3D" w:rsidP="00295802">
      <w:pPr>
        <w:spacing w:line="276" w:lineRule="auto"/>
        <w:rPr>
          <w:lang w:val="sq-AL"/>
        </w:rPr>
      </w:pPr>
    </w:p>
    <w:p w14:paraId="56C0431E" w14:textId="77777777" w:rsidR="00737B35" w:rsidRDefault="00737B35" w:rsidP="00295802">
      <w:pPr>
        <w:spacing w:line="276" w:lineRule="auto"/>
        <w:rPr>
          <w:lang w:val="sq-AL"/>
        </w:rPr>
      </w:pPr>
    </w:p>
    <w:p w14:paraId="0DA44656" w14:textId="38EFFCF8" w:rsidR="00737B35" w:rsidRDefault="00737B35" w:rsidP="00295802">
      <w:pPr>
        <w:spacing w:line="276" w:lineRule="auto"/>
        <w:rPr>
          <w:lang w:val="sq-AL"/>
        </w:rPr>
      </w:pPr>
    </w:p>
    <w:p w14:paraId="79F5FAC4" w14:textId="06BD2332" w:rsidR="00737B35" w:rsidRDefault="00737B35" w:rsidP="00295802">
      <w:pPr>
        <w:spacing w:line="276" w:lineRule="auto"/>
        <w:rPr>
          <w:lang w:val="sq-AL"/>
        </w:rPr>
      </w:pPr>
    </w:p>
    <w:p w14:paraId="26EC21E8" w14:textId="77777777" w:rsidR="00737B35" w:rsidRDefault="00737B35" w:rsidP="00295802">
      <w:pPr>
        <w:spacing w:line="276" w:lineRule="auto"/>
        <w:rPr>
          <w:lang w:val="sq-AL"/>
        </w:rPr>
      </w:pPr>
    </w:p>
    <w:p w14:paraId="0DDFD998" w14:textId="77777777" w:rsidR="00737B35" w:rsidRDefault="00737B35" w:rsidP="00295802">
      <w:pPr>
        <w:spacing w:line="276" w:lineRule="auto"/>
        <w:rPr>
          <w:lang w:val="sq-AL"/>
        </w:rPr>
      </w:pPr>
    </w:p>
    <w:p w14:paraId="4BEEDC62" w14:textId="77777777" w:rsidR="00737B35" w:rsidRDefault="00737B35" w:rsidP="00295802">
      <w:pPr>
        <w:spacing w:line="276" w:lineRule="auto"/>
        <w:rPr>
          <w:lang w:val="sq-AL"/>
        </w:rPr>
      </w:pPr>
    </w:p>
    <w:p w14:paraId="28C99AED" w14:textId="77777777" w:rsidR="00737B35" w:rsidRDefault="00737B35" w:rsidP="00295802">
      <w:pPr>
        <w:spacing w:line="276" w:lineRule="auto"/>
        <w:rPr>
          <w:lang w:val="sq-AL"/>
        </w:rPr>
      </w:pPr>
    </w:p>
    <w:p w14:paraId="6B2DCBA3" w14:textId="77777777" w:rsidR="00737B35" w:rsidRDefault="00737B35" w:rsidP="00295802">
      <w:pPr>
        <w:spacing w:line="276" w:lineRule="auto"/>
        <w:rPr>
          <w:lang w:val="sq-AL"/>
        </w:rPr>
      </w:pPr>
    </w:p>
    <w:p w14:paraId="6B81129F" w14:textId="77777777" w:rsidR="00737B35" w:rsidRDefault="00737B35" w:rsidP="00295802">
      <w:pPr>
        <w:spacing w:line="276" w:lineRule="auto"/>
        <w:rPr>
          <w:lang w:val="sq-AL"/>
        </w:rPr>
      </w:pPr>
    </w:p>
    <w:p w14:paraId="0F99BDA6" w14:textId="77777777" w:rsidR="00737B35" w:rsidRPr="001B2A3C" w:rsidRDefault="00737B35" w:rsidP="003B3E0F">
      <w:pPr>
        <w:spacing w:line="276" w:lineRule="auto"/>
        <w:rPr>
          <w:rFonts w:ascii="Times New Roman" w:hAnsi="Times New Roman" w:cs="Times New Roman"/>
          <w:sz w:val="28"/>
          <w:szCs w:val="28"/>
          <w:lang w:val="sq-AL"/>
        </w:rPr>
      </w:pPr>
    </w:p>
    <w:p w14:paraId="44D5364F" w14:textId="35594567" w:rsidR="00737B35" w:rsidRDefault="00737B35" w:rsidP="006A6B01">
      <w:pPr>
        <w:spacing w:after="0" w:line="276" w:lineRule="auto"/>
        <w:jc w:val="center"/>
        <w:rPr>
          <w:rFonts w:ascii="Times New Roman" w:hAnsi="Times New Roman" w:cs="Times New Roman"/>
          <w:b/>
          <w:bCs/>
          <w:kern w:val="2"/>
          <w:sz w:val="24"/>
          <w:szCs w:val="24"/>
          <w:lang w:val="sq-AL"/>
          <w14:ligatures w14:val="standardContextual"/>
        </w:rPr>
      </w:pPr>
      <w:r w:rsidRPr="00737B35">
        <w:rPr>
          <w:rFonts w:ascii="Times New Roman" w:hAnsi="Times New Roman" w:cs="Times New Roman"/>
          <w:b/>
          <w:bCs/>
          <w:kern w:val="2"/>
          <w:sz w:val="24"/>
          <w:szCs w:val="24"/>
          <w:lang w:val="sq-AL"/>
          <w14:ligatures w14:val="standardContextual"/>
        </w:rPr>
        <w:t xml:space="preserve">OBJEKTIVI </w:t>
      </w:r>
      <w:r w:rsidR="001B2A3C">
        <w:rPr>
          <w:rFonts w:ascii="Times New Roman" w:hAnsi="Times New Roman" w:cs="Times New Roman"/>
          <w:b/>
          <w:bCs/>
          <w:kern w:val="2"/>
          <w:sz w:val="24"/>
          <w:szCs w:val="24"/>
          <w:lang w:val="sq-AL"/>
          <w14:ligatures w14:val="standardContextual"/>
        </w:rPr>
        <w:t>1</w:t>
      </w:r>
    </w:p>
    <w:p w14:paraId="60A4EA2F" w14:textId="77777777" w:rsidR="001B2A3C" w:rsidRPr="001B2A3C" w:rsidRDefault="001B2A3C" w:rsidP="006A6B01">
      <w:pPr>
        <w:spacing w:after="0" w:line="276" w:lineRule="auto"/>
        <w:jc w:val="center"/>
        <w:rPr>
          <w:rFonts w:ascii="Times New Roman" w:hAnsi="Times New Roman" w:cs="Times New Roman"/>
          <w:b/>
          <w:bCs/>
          <w:kern w:val="2"/>
          <w:sz w:val="24"/>
          <w:szCs w:val="24"/>
          <w:lang w:val="sq-AL"/>
          <w14:ligatures w14:val="standardContextual"/>
        </w:rPr>
      </w:pPr>
    </w:p>
    <w:p w14:paraId="62FF844A" w14:textId="7AB87517" w:rsidR="001B2A3C" w:rsidRDefault="001B2A3C" w:rsidP="001B2A3C">
      <w:pPr>
        <w:spacing w:after="0" w:line="276" w:lineRule="auto"/>
        <w:jc w:val="center"/>
        <w:rPr>
          <w:rFonts w:ascii="Times New Roman" w:hAnsi="Times New Roman" w:cs="Times New Roman"/>
          <w:b/>
          <w:bCs/>
          <w:color w:val="000000" w:themeColor="text1"/>
          <w:kern w:val="2"/>
          <w:sz w:val="24"/>
          <w:szCs w:val="24"/>
          <w:lang w:val="sq-AL"/>
          <w14:ligatures w14:val="standardContextual"/>
        </w:rPr>
      </w:pPr>
      <w:r w:rsidRPr="001B2A3C">
        <w:rPr>
          <w:rFonts w:ascii="Times New Roman" w:hAnsi="Times New Roman" w:cs="Times New Roman"/>
          <w:b/>
          <w:bCs/>
          <w:kern w:val="2"/>
          <w:sz w:val="24"/>
          <w:szCs w:val="24"/>
          <w:lang w:val="sq-AL"/>
          <w14:ligatures w14:val="standardContextual"/>
        </w:rPr>
        <w:t>“</w:t>
      </w:r>
      <w:r w:rsidRPr="001B2A3C">
        <w:rPr>
          <w:rFonts w:ascii="Times New Roman" w:hAnsi="Times New Roman" w:cs="Times New Roman"/>
          <w:b/>
          <w:bCs/>
          <w:color w:val="000000" w:themeColor="text1"/>
          <w:kern w:val="2"/>
          <w:sz w:val="24"/>
          <w:szCs w:val="24"/>
          <w:lang w:val="sq-AL"/>
          <w14:ligatures w14:val="standardContextual"/>
        </w:rPr>
        <w:t>FORCIMI I TRANSPARENCËS DHE MONITORIMI I VAZHDUESHËM,</w:t>
      </w:r>
    </w:p>
    <w:p w14:paraId="526D0B68" w14:textId="0C1D818C" w:rsidR="00C8275C" w:rsidRPr="001B2A3C" w:rsidRDefault="001B2A3C" w:rsidP="001B2A3C">
      <w:pPr>
        <w:spacing w:after="0" w:line="276" w:lineRule="auto"/>
        <w:jc w:val="center"/>
        <w:rPr>
          <w:rFonts w:ascii="Times New Roman" w:hAnsi="Times New Roman" w:cs="Times New Roman"/>
          <w:b/>
          <w:bCs/>
          <w:color w:val="000000" w:themeColor="text1"/>
          <w:kern w:val="2"/>
          <w:sz w:val="24"/>
          <w:szCs w:val="24"/>
          <w:lang w:val="sq-AL"/>
          <w14:ligatures w14:val="standardContextual"/>
        </w:rPr>
      </w:pPr>
      <w:r w:rsidRPr="001B2A3C">
        <w:rPr>
          <w:rFonts w:ascii="Times New Roman" w:hAnsi="Times New Roman" w:cs="Times New Roman"/>
          <w:b/>
          <w:bCs/>
          <w:color w:val="000000" w:themeColor="text1"/>
          <w:kern w:val="2"/>
          <w:sz w:val="24"/>
          <w:szCs w:val="24"/>
          <w:lang w:val="sq-AL"/>
          <w14:ligatures w14:val="standardContextual"/>
        </w:rPr>
        <w:t>DUKE SIGURUAR NIVELIN MË TË LARTË TË TRANSPARENCËS PËR PUBLIKUN”</w:t>
      </w:r>
    </w:p>
    <w:p w14:paraId="1DEE5610" w14:textId="77777777" w:rsidR="00C8275C" w:rsidRPr="001B2A3C" w:rsidRDefault="00C8275C" w:rsidP="00C8275C">
      <w:pPr>
        <w:spacing w:after="0" w:line="276" w:lineRule="auto"/>
        <w:jc w:val="center"/>
        <w:rPr>
          <w:rFonts w:ascii="Times New Roman" w:hAnsi="Times New Roman" w:cs="Times New Roman"/>
          <w:b/>
          <w:bCs/>
          <w:color w:val="000000" w:themeColor="text1"/>
          <w:kern w:val="2"/>
          <w:sz w:val="28"/>
          <w:szCs w:val="28"/>
          <w:lang w:val="sq-AL"/>
          <w14:ligatures w14:val="standardContextual"/>
        </w:rPr>
      </w:pPr>
    </w:p>
    <w:p w14:paraId="376EB926" w14:textId="13E2B14C" w:rsidR="00C8275C" w:rsidRDefault="00737B35" w:rsidP="0063193C">
      <w:pPr>
        <w:spacing w:after="0" w:line="276" w:lineRule="auto"/>
        <w:jc w:val="both"/>
        <w:rPr>
          <w:rFonts w:ascii="Times New Roman" w:hAnsi="Times New Roman" w:cs="Times New Roman"/>
          <w:b/>
          <w:bCs/>
          <w:color w:val="000000" w:themeColor="text1"/>
          <w:kern w:val="2"/>
          <w:sz w:val="24"/>
          <w:szCs w:val="24"/>
          <w:lang w:val="sq-AL"/>
          <w14:ligatures w14:val="standardContextual"/>
        </w:rPr>
      </w:pPr>
      <w:r w:rsidRPr="00FC45D5">
        <w:rPr>
          <w:rFonts w:ascii="Times New Roman" w:hAnsi="Times New Roman" w:cs="Times New Roman"/>
          <w:i/>
          <w:iCs/>
          <w:kern w:val="2"/>
          <w:sz w:val="24"/>
          <w:szCs w:val="24"/>
          <w:lang w:val="sq-AL"/>
          <w14:ligatures w14:val="standardContextual"/>
        </w:rPr>
        <w:t>“</w:t>
      </w:r>
      <w:r w:rsidRPr="00FC45D5">
        <w:rPr>
          <w:rFonts w:ascii="Times New Roman" w:hAnsi="Times New Roman" w:cs="Times New Roman"/>
          <w:i/>
          <w:iCs/>
          <w:color w:val="000000" w:themeColor="text1"/>
          <w:kern w:val="2"/>
          <w:sz w:val="24"/>
          <w:szCs w:val="24"/>
          <w:lang w:val="sq-AL"/>
          <w14:ligatures w14:val="standardContextual"/>
        </w:rPr>
        <w:t>Forcimi i transparencës dhe monitorimi i vazhdueshëm, duke siguruar nivelin më të lartë të transparencës për publikun”</w:t>
      </w:r>
      <w:r w:rsidR="001B2A3C">
        <w:rPr>
          <w:rFonts w:ascii="Times New Roman" w:hAnsi="Times New Roman" w:cs="Times New Roman"/>
          <w:color w:val="000000" w:themeColor="text1"/>
          <w:kern w:val="2"/>
          <w:sz w:val="24"/>
          <w:szCs w:val="24"/>
          <w:lang w:val="sq-AL"/>
          <w14:ligatures w14:val="standardContextual"/>
        </w:rPr>
        <w:t xml:space="preserve"> </w:t>
      </w:r>
      <w:r w:rsidRPr="00737B35">
        <w:rPr>
          <w:rFonts w:ascii="Times New Roman" w:hAnsi="Times New Roman" w:cs="Times New Roman"/>
          <w:kern w:val="2"/>
          <w:sz w:val="24"/>
          <w:szCs w:val="24"/>
          <w:lang w:val="sq-AL"/>
          <w14:ligatures w14:val="standardContextual"/>
        </w:rPr>
        <w:t>përbën një ndër objektivat kryesor që synohet të përmbushet. Ky objektiv paraqet një rëndësi thelbësore, për arsye se nëpërmjet një procesi transparent, garantohet llogaridhënia dhe rritet besueshmëria publike mbi veprimtarinë e institucionit.</w:t>
      </w:r>
    </w:p>
    <w:p w14:paraId="79A9F268" w14:textId="77777777" w:rsidR="00C8275C" w:rsidRDefault="00C8275C" w:rsidP="00C8275C">
      <w:pPr>
        <w:spacing w:after="0" w:line="276" w:lineRule="auto"/>
        <w:jc w:val="both"/>
        <w:rPr>
          <w:rFonts w:ascii="Times New Roman" w:hAnsi="Times New Roman" w:cs="Times New Roman"/>
          <w:b/>
          <w:bCs/>
          <w:color w:val="000000" w:themeColor="text1"/>
          <w:kern w:val="2"/>
          <w:sz w:val="24"/>
          <w:szCs w:val="24"/>
          <w:lang w:val="sq-AL"/>
          <w14:ligatures w14:val="standardContextual"/>
        </w:rPr>
      </w:pPr>
    </w:p>
    <w:p w14:paraId="189F5E5A" w14:textId="2DC1AA2B" w:rsidR="00C8275C" w:rsidRPr="00C8275C" w:rsidRDefault="00737B35" w:rsidP="00C8275C">
      <w:pPr>
        <w:spacing w:after="0" w:line="276" w:lineRule="auto"/>
        <w:jc w:val="both"/>
        <w:rPr>
          <w:rFonts w:ascii="Times New Roman" w:hAnsi="Times New Roman" w:cs="Times New Roman"/>
          <w:b/>
          <w:bCs/>
          <w:color w:val="000000" w:themeColor="text1"/>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 xml:space="preserve">Me qëllim përmbushjen e këtij objektivi gjatë periudhës raportuese, </w:t>
      </w:r>
      <w:r w:rsidRPr="00737B35">
        <w:rPr>
          <w:rFonts w:ascii="Times New Roman" w:hAnsi="Times New Roman" w:cs="Times New Roman"/>
          <w:color w:val="000000" w:themeColor="text1"/>
          <w:kern w:val="2"/>
          <w:sz w:val="24"/>
          <w:szCs w:val="24"/>
          <w:lang w:val="sq-AL"/>
          <w14:ligatures w14:val="standardContextual"/>
        </w:rPr>
        <w:t xml:space="preserve">janë realizuar masat si vijon: </w:t>
      </w:r>
    </w:p>
    <w:p w14:paraId="4A3465CF" w14:textId="77777777" w:rsidR="00C8275C" w:rsidRPr="00737B35" w:rsidRDefault="00C8275C" w:rsidP="00C8275C">
      <w:pPr>
        <w:spacing w:after="0" w:line="276" w:lineRule="auto"/>
        <w:jc w:val="both"/>
        <w:rPr>
          <w:rFonts w:ascii="Times New Roman" w:hAnsi="Times New Roman" w:cs="Times New Roman"/>
          <w:color w:val="000000" w:themeColor="text1"/>
          <w:kern w:val="2"/>
          <w:sz w:val="14"/>
          <w:szCs w:val="14"/>
          <w:lang w:val="sq-AL"/>
          <w14:ligatures w14:val="standardContextual"/>
        </w:rPr>
      </w:pPr>
    </w:p>
    <w:p w14:paraId="3325949C" w14:textId="66F7B8BA" w:rsidR="00737B35" w:rsidRPr="00737B35" w:rsidRDefault="00737B35" w:rsidP="00C8275C">
      <w:pPr>
        <w:numPr>
          <w:ilvl w:val="0"/>
          <w:numId w:val="6"/>
        </w:numPr>
        <w:spacing w:after="0" w:line="276" w:lineRule="auto"/>
        <w:contextualSpacing/>
        <w:jc w:val="both"/>
        <w:rPr>
          <w:rFonts w:ascii="Times New Roman" w:eastAsia="Times New Roman" w:hAnsi="Times New Roman" w:cs="Times New Roman"/>
          <w:bCs/>
          <w:kern w:val="2"/>
          <w:sz w:val="24"/>
          <w:szCs w:val="24"/>
          <w:lang w:val="sq-AL" w:eastAsia="en-GB"/>
          <w14:ligatures w14:val="standardContextual"/>
        </w:rPr>
      </w:pPr>
      <w:r w:rsidRPr="00737B35">
        <w:rPr>
          <w:rFonts w:ascii="Times New Roman" w:eastAsia="Times New Roman" w:hAnsi="Times New Roman" w:cs="Times New Roman"/>
          <w:bCs/>
          <w:kern w:val="2"/>
          <w:sz w:val="24"/>
          <w:szCs w:val="24"/>
          <w:lang w:val="sq-AL" w:eastAsia="en-GB"/>
          <w14:ligatures w14:val="standardContextual"/>
        </w:rPr>
        <w:t>Hartimi i Raportit të Konsultimit Publik</w:t>
      </w:r>
      <w:r w:rsidR="001B2A3C">
        <w:rPr>
          <w:rFonts w:ascii="Times New Roman" w:eastAsia="Times New Roman" w:hAnsi="Times New Roman" w:cs="Times New Roman"/>
          <w:bCs/>
          <w:kern w:val="2"/>
          <w:sz w:val="24"/>
          <w:szCs w:val="24"/>
          <w:lang w:val="sq-AL" w:eastAsia="en-GB"/>
          <w14:ligatures w14:val="standardContextual"/>
        </w:rPr>
        <w:t xml:space="preserve"> për vitin 2024</w:t>
      </w:r>
      <w:r w:rsidR="00B35782">
        <w:rPr>
          <w:rFonts w:ascii="Times New Roman" w:eastAsia="Times New Roman" w:hAnsi="Times New Roman" w:cs="Times New Roman"/>
          <w:bCs/>
          <w:kern w:val="2"/>
          <w:sz w:val="24"/>
          <w:szCs w:val="24"/>
          <w:lang w:val="sq-AL" w:eastAsia="en-GB"/>
          <w14:ligatures w14:val="standardContextual"/>
        </w:rPr>
        <w:t>;</w:t>
      </w:r>
    </w:p>
    <w:p w14:paraId="2AA7D965" w14:textId="77777777" w:rsidR="00737B35" w:rsidRPr="003B3E0F" w:rsidRDefault="00737B35" w:rsidP="00C8275C">
      <w:pPr>
        <w:numPr>
          <w:ilvl w:val="0"/>
          <w:numId w:val="6"/>
        </w:numPr>
        <w:spacing w:after="0" w:line="276" w:lineRule="auto"/>
        <w:contextualSpacing/>
        <w:jc w:val="both"/>
        <w:rPr>
          <w:rFonts w:ascii="Times New Roman" w:eastAsia="Times New Roman" w:hAnsi="Times New Roman" w:cs="Times New Roman"/>
          <w:bCs/>
          <w:kern w:val="2"/>
          <w:sz w:val="24"/>
          <w:szCs w:val="24"/>
          <w:lang w:val="sq-AL" w:eastAsia="en-GB"/>
          <w14:ligatures w14:val="standardContextual"/>
        </w:rPr>
      </w:pPr>
      <w:r w:rsidRPr="00737B35">
        <w:rPr>
          <w:rFonts w:ascii="Times New Roman" w:eastAsia="Times New Roman" w:hAnsi="Times New Roman" w:cs="Times New Roman"/>
          <w:bCs/>
          <w:kern w:val="2"/>
          <w:sz w:val="24"/>
          <w:szCs w:val="24"/>
          <w:lang w:val="it-IT" w:eastAsia="en-GB"/>
          <w14:ligatures w14:val="standardContextual"/>
        </w:rPr>
        <w:t xml:space="preserve">Diversifikimi i metodave të konsultimit publik. </w:t>
      </w:r>
      <w:r w:rsidRPr="00737B35">
        <w:rPr>
          <w:rFonts w:ascii="Times New Roman" w:eastAsia="Times New Roman" w:hAnsi="Times New Roman" w:cs="Times New Roman"/>
          <w:bCs/>
          <w:kern w:val="2"/>
          <w:sz w:val="24"/>
          <w:szCs w:val="24"/>
          <w:lang w:val="pt-BR" w:eastAsia="en-GB"/>
          <w14:ligatures w14:val="standardContextual"/>
        </w:rPr>
        <w:t>(Masa nr.1, e objektivit nr.1)</w:t>
      </w:r>
    </w:p>
    <w:p w14:paraId="7ECDC403" w14:textId="77777777" w:rsidR="003B3E0F" w:rsidRPr="00737B35" w:rsidRDefault="003B3E0F" w:rsidP="003B3E0F">
      <w:pPr>
        <w:spacing w:after="0" w:line="276" w:lineRule="auto"/>
        <w:ind w:left="540"/>
        <w:contextualSpacing/>
        <w:jc w:val="both"/>
        <w:rPr>
          <w:rFonts w:ascii="Times New Roman" w:eastAsia="Times New Roman" w:hAnsi="Times New Roman" w:cs="Times New Roman"/>
          <w:bCs/>
          <w:kern w:val="2"/>
          <w:sz w:val="24"/>
          <w:szCs w:val="24"/>
          <w:lang w:val="sq-AL" w:eastAsia="en-GB"/>
          <w14:ligatures w14:val="standardContextual"/>
        </w:rPr>
      </w:pPr>
    </w:p>
    <w:p w14:paraId="23000A3D" w14:textId="77777777" w:rsidR="001B2A3C" w:rsidRDefault="001B2A3C" w:rsidP="00C8275C">
      <w:pPr>
        <w:spacing w:after="0" w:line="276" w:lineRule="auto"/>
        <w:jc w:val="both"/>
        <w:rPr>
          <w:rFonts w:ascii="Times New Roman" w:hAnsi="Times New Roman" w:cs="Times New Roman"/>
          <w:kern w:val="2"/>
          <w:sz w:val="24"/>
          <w:szCs w:val="24"/>
          <w:lang w:val="sq-AL"/>
          <w14:ligatures w14:val="standardContextual"/>
        </w:rPr>
      </w:pPr>
    </w:p>
    <w:p w14:paraId="667F3BF4" w14:textId="56A214AD" w:rsidR="00737B35" w:rsidRDefault="00737B35" w:rsidP="00C8275C">
      <w:pPr>
        <w:spacing w:after="0" w:line="276" w:lineRule="auto"/>
        <w:jc w:val="both"/>
        <w:rPr>
          <w:rFonts w:ascii="Times New Roman" w:hAnsi="Times New Roman" w:cs="Times New Roman"/>
          <w:kern w:val="2"/>
          <w:sz w:val="24"/>
          <w:szCs w:val="24"/>
          <w:lang w:val="sq-AL"/>
          <w14:ligatures w14:val="standardContextual"/>
        </w:rPr>
      </w:pPr>
      <w:r w:rsidRPr="00FC45D5">
        <w:rPr>
          <w:rFonts w:ascii="Times New Roman" w:hAnsi="Times New Roman" w:cs="Times New Roman"/>
          <w:kern w:val="2"/>
          <w:sz w:val="24"/>
          <w:szCs w:val="24"/>
          <w:lang w:val="sq-AL"/>
          <w14:ligatures w14:val="standardContextual"/>
        </w:rPr>
        <w:lastRenderedPageBreak/>
        <w:t>Ministria e Financave ka hartuar Raportin e Konsultimit Publik për viti</w:t>
      </w:r>
      <w:r w:rsidR="00B127A6" w:rsidRPr="00FC45D5">
        <w:rPr>
          <w:rFonts w:ascii="Times New Roman" w:hAnsi="Times New Roman" w:cs="Times New Roman"/>
          <w:kern w:val="2"/>
          <w:sz w:val="24"/>
          <w:szCs w:val="24"/>
          <w:lang w:val="sq-AL"/>
          <w14:ligatures w14:val="standardContextual"/>
        </w:rPr>
        <w:t>n</w:t>
      </w:r>
      <w:r w:rsidRPr="00FC45D5">
        <w:rPr>
          <w:rFonts w:ascii="Times New Roman" w:hAnsi="Times New Roman" w:cs="Times New Roman"/>
          <w:kern w:val="2"/>
          <w:sz w:val="24"/>
          <w:szCs w:val="24"/>
          <w:lang w:val="sq-AL"/>
          <w14:ligatures w14:val="standardContextual"/>
        </w:rPr>
        <w:t xml:space="preserve"> 2024, i cili është publikuar në Regjistrin Elektronik të Njoftimit dhe Konsultimit Publik në linkun si vijon:</w:t>
      </w:r>
      <w:r w:rsidRPr="00737B35">
        <w:rPr>
          <w:rFonts w:ascii="Times New Roman" w:hAnsi="Times New Roman" w:cs="Times New Roman"/>
          <w:kern w:val="2"/>
          <w:sz w:val="24"/>
          <w:szCs w:val="24"/>
          <w:lang w:val="sq-AL"/>
          <w14:ligatures w14:val="standardContextual"/>
        </w:rPr>
        <w:t xml:space="preserve"> </w:t>
      </w:r>
      <w:hyperlink r:id="rId10" w:history="1">
        <w:r w:rsidRPr="00737B35">
          <w:rPr>
            <w:rFonts w:ascii="Times New Roman" w:hAnsi="Times New Roman" w:cs="Times New Roman"/>
            <w:color w:val="467886" w:themeColor="hyperlink"/>
            <w:kern w:val="2"/>
            <w:sz w:val="24"/>
            <w:szCs w:val="24"/>
            <w:u w:val="single"/>
            <w:lang w:val="sq-AL"/>
            <w14:ligatures w14:val="standardContextual"/>
          </w:rPr>
          <w:t>https://konsultimipublik.gov.al/Konsultime/InstitucionReports/4</w:t>
        </w:r>
      </w:hyperlink>
      <w:r w:rsidRPr="00737B35">
        <w:rPr>
          <w:rFonts w:ascii="Times New Roman" w:hAnsi="Times New Roman" w:cs="Times New Roman"/>
          <w:kern w:val="2"/>
          <w:sz w:val="24"/>
          <w:szCs w:val="24"/>
          <w:lang w:val="sq-AL"/>
          <w14:ligatures w14:val="standardContextual"/>
        </w:rPr>
        <w:t xml:space="preserve"> </w:t>
      </w:r>
    </w:p>
    <w:p w14:paraId="27629A57" w14:textId="77777777" w:rsidR="009C7460" w:rsidRPr="00737B35" w:rsidRDefault="009C7460" w:rsidP="00C8275C">
      <w:pPr>
        <w:spacing w:after="0" w:line="276" w:lineRule="auto"/>
        <w:jc w:val="both"/>
        <w:rPr>
          <w:rFonts w:ascii="Times New Roman" w:hAnsi="Times New Roman" w:cs="Times New Roman"/>
          <w:kern w:val="2"/>
          <w:sz w:val="24"/>
          <w:szCs w:val="24"/>
          <w:lang w:val="sq-AL"/>
          <w14:ligatures w14:val="standardContextual"/>
        </w:rPr>
      </w:pPr>
    </w:p>
    <w:p w14:paraId="56DF3C26" w14:textId="2B47D31B" w:rsidR="003A0D6E" w:rsidRDefault="00737B35" w:rsidP="001B2A3C">
      <w:pPr>
        <w:spacing w:after="0" w:line="276" w:lineRule="auto"/>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 xml:space="preserve">Ministria e Financave ka realizuar konsultime publike për projektaktet në zbatim të nenit 1 të ligjit nr.146/2014 </w:t>
      </w:r>
      <w:r w:rsidRPr="001B2A3C">
        <w:rPr>
          <w:rFonts w:ascii="Times New Roman" w:hAnsi="Times New Roman" w:cs="Times New Roman"/>
          <w:kern w:val="2"/>
          <w:sz w:val="24"/>
          <w:szCs w:val="24"/>
          <w:lang w:val="sq-AL"/>
          <w14:ligatures w14:val="standardContextual"/>
        </w:rPr>
        <w:t>“Për Njoftimin dhe Konsultimin Publik”,</w:t>
      </w:r>
      <w:r w:rsidRPr="00737B35">
        <w:rPr>
          <w:rFonts w:ascii="Times New Roman" w:hAnsi="Times New Roman" w:cs="Times New Roman"/>
          <w:kern w:val="2"/>
          <w:sz w:val="24"/>
          <w:szCs w:val="24"/>
          <w:lang w:val="sq-AL"/>
          <w14:ligatures w14:val="standardContextual"/>
        </w:rPr>
        <w:t xml:space="preserve"> i cili përcakton procesin e konsultimit publik për projektligjet dhe projektdokumentet strategjike kombëtare. </w:t>
      </w:r>
    </w:p>
    <w:p w14:paraId="2126A64A" w14:textId="77777777" w:rsidR="00484011" w:rsidRDefault="00484011" w:rsidP="001B2A3C">
      <w:pPr>
        <w:spacing w:after="19" w:line="276" w:lineRule="auto"/>
        <w:jc w:val="both"/>
        <w:rPr>
          <w:rFonts w:ascii="Times New Roman" w:hAnsi="Times New Roman" w:cs="Times New Roman"/>
          <w:kern w:val="2"/>
          <w:sz w:val="24"/>
          <w:szCs w:val="24"/>
          <w:lang w:val="sq-AL"/>
          <w14:ligatures w14:val="standardContextual"/>
        </w:rPr>
      </w:pPr>
    </w:p>
    <w:p w14:paraId="20D01B3C" w14:textId="1EBF930E" w:rsidR="00B127A6" w:rsidRDefault="00B127A6" w:rsidP="001B2A3C">
      <w:pPr>
        <w:spacing w:after="19" w:line="276" w:lineRule="auto"/>
        <w:jc w:val="both"/>
        <w:rPr>
          <w:rFonts w:ascii="Times New Roman" w:hAnsi="Times New Roman" w:cs="Times New Roman"/>
          <w:kern w:val="2"/>
          <w:sz w:val="24"/>
          <w:szCs w:val="24"/>
          <w:lang w:val="sq-AL"/>
          <w14:ligatures w14:val="standardContextual"/>
        </w:rPr>
      </w:pPr>
      <w:r>
        <w:rPr>
          <w:rFonts w:ascii="Times New Roman" w:hAnsi="Times New Roman" w:cs="Times New Roman"/>
          <w:kern w:val="2"/>
          <w:sz w:val="24"/>
          <w:szCs w:val="24"/>
          <w:lang w:val="sq-AL"/>
          <w14:ligatures w14:val="standardContextual"/>
        </w:rPr>
        <w:t xml:space="preserve">Në vitin 2024 janë miratuar në total 88 akte, nga të cilat </w:t>
      </w:r>
      <w:r w:rsidR="008917AA">
        <w:rPr>
          <w:rFonts w:ascii="Times New Roman" w:hAnsi="Times New Roman" w:cs="Times New Roman"/>
          <w:kern w:val="2"/>
          <w:sz w:val="24"/>
          <w:szCs w:val="24"/>
          <w:lang w:val="sq-AL"/>
          <w14:ligatures w14:val="standardContextual"/>
        </w:rPr>
        <w:t>6 akte ishin objekt konsultimi publik, ndërsa pjesa tjetër e akteve të miratuara, mbështetur në parashikimet e ligjit nr.146/2014 “Për njoftimin dhe konsultimin publik”, nuk janë objekt konsultimi publik.</w:t>
      </w:r>
    </w:p>
    <w:p w14:paraId="60A9FCD5" w14:textId="77777777" w:rsidR="00B127A6" w:rsidRDefault="00B127A6" w:rsidP="00B4080A">
      <w:pPr>
        <w:spacing w:after="19" w:line="276" w:lineRule="auto"/>
        <w:jc w:val="both"/>
        <w:rPr>
          <w:rFonts w:ascii="Times New Roman" w:hAnsi="Times New Roman" w:cs="Times New Roman"/>
          <w:kern w:val="2"/>
          <w:sz w:val="24"/>
          <w:szCs w:val="24"/>
          <w:lang w:val="sq-AL"/>
          <w14:ligatures w14:val="standardContextual"/>
        </w:rPr>
      </w:pPr>
    </w:p>
    <w:p w14:paraId="7F3193C4" w14:textId="60FF5FCB" w:rsidR="000C7E36" w:rsidRPr="00BC4618" w:rsidRDefault="00693281" w:rsidP="000C7E36">
      <w:pPr>
        <w:spacing w:after="19" w:line="276" w:lineRule="auto"/>
        <w:jc w:val="both"/>
        <w:rPr>
          <w:rFonts w:ascii="Times New Roman" w:hAnsi="Times New Roman" w:cs="Times New Roman"/>
          <w:b/>
          <w:bCs/>
          <w:sz w:val="24"/>
          <w:szCs w:val="24"/>
          <w:u w:val="single"/>
          <w:lang w:val="sq-AL"/>
        </w:rPr>
      </w:pPr>
      <w:r w:rsidRPr="00BC4618">
        <w:rPr>
          <w:rFonts w:ascii="Times New Roman" w:hAnsi="Times New Roman" w:cs="Times New Roman"/>
          <w:b/>
          <w:bCs/>
          <w:sz w:val="24"/>
          <w:szCs w:val="24"/>
          <w:u w:val="single"/>
          <w:lang w:val="sq-AL"/>
        </w:rPr>
        <w:t>K</w:t>
      </w:r>
      <w:r w:rsidR="008153B8" w:rsidRPr="00BC4618">
        <w:rPr>
          <w:rFonts w:ascii="Times New Roman" w:hAnsi="Times New Roman" w:cs="Times New Roman"/>
          <w:b/>
          <w:bCs/>
          <w:sz w:val="24"/>
          <w:szCs w:val="24"/>
          <w:u w:val="single"/>
          <w:lang w:val="sq-AL"/>
        </w:rPr>
        <w:t xml:space="preserve">onsultimi publik është realizuar për </w:t>
      </w:r>
      <w:r w:rsidR="008917AA">
        <w:rPr>
          <w:rFonts w:ascii="Times New Roman" w:hAnsi="Times New Roman" w:cs="Times New Roman"/>
          <w:b/>
          <w:bCs/>
          <w:sz w:val="24"/>
          <w:szCs w:val="24"/>
          <w:u w:val="single"/>
          <w:lang w:val="sq-AL"/>
        </w:rPr>
        <w:t>6</w:t>
      </w:r>
      <w:r w:rsidR="00BC4618" w:rsidRPr="00BC4618">
        <w:rPr>
          <w:rFonts w:ascii="Times New Roman" w:hAnsi="Times New Roman" w:cs="Times New Roman"/>
          <w:b/>
          <w:bCs/>
          <w:sz w:val="24"/>
          <w:szCs w:val="24"/>
          <w:u w:val="single"/>
          <w:lang w:val="sq-AL"/>
        </w:rPr>
        <w:t xml:space="preserve"> </w:t>
      </w:r>
      <w:r w:rsidR="008153B8" w:rsidRPr="00BC4618">
        <w:rPr>
          <w:rFonts w:ascii="Times New Roman" w:hAnsi="Times New Roman" w:cs="Times New Roman"/>
          <w:b/>
          <w:bCs/>
          <w:sz w:val="24"/>
          <w:szCs w:val="24"/>
          <w:u w:val="single"/>
          <w:lang w:val="sq-AL"/>
        </w:rPr>
        <w:t>aktet</w:t>
      </w:r>
      <w:r w:rsidR="00BC4618" w:rsidRPr="00BC4618">
        <w:rPr>
          <w:rFonts w:ascii="Times New Roman" w:hAnsi="Times New Roman" w:cs="Times New Roman"/>
          <w:b/>
          <w:bCs/>
          <w:sz w:val="24"/>
          <w:szCs w:val="24"/>
          <w:u w:val="single"/>
          <w:lang w:val="sq-AL"/>
        </w:rPr>
        <w:t xml:space="preserve"> </w:t>
      </w:r>
      <w:r w:rsidR="008153B8" w:rsidRPr="00BC4618">
        <w:rPr>
          <w:rFonts w:ascii="Times New Roman" w:hAnsi="Times New Roman" w:cs="Times New Roman"/>
          <w:b/>
          <w:bCs/>
          <w:sz w:val="24"/>
          <w:szCs w:val="24"/>
          <w:u w:val="single"/>
          <w:lang w:val="sq-AL"/>
        </w:rPr>
        <w:t xml:space="preserve">si vijon: </w:t>
      </w:r>
    </w:p>
    <w:p w14:paraId="18A8614A" w14:textId="77777777" w:rsidR="000C7E36" w:rsidRDefault="000C7E36" w:rsidP="000C7E36">
      <w:pPr>
        <w:spacing w:after="19" w:line="276" w:lineRule="auto"/>
        <w:jc w:val="both"/>
        <w:rPr>
          <w:rFonts w:ascii="Times New Roman" w:hAnsi="Times New Roman" w:cs="Times New Roman"/>
          <w:sz w:val="24"/>
          <w:szCs w:val="24"/>
          <w:lang w:val="sq-AL"/>
        </w:rPr>
      </w:pPr>
    </w:p>
    <w:p w14:paraId="0B74D42C" w14:textId="1ED54B0E" w:rsidR="000C7E36" w:rsidRPr="001B2A3C" w:rsidRDefault="000C7E36" w:rsidP="008917AA">
      <w:pPr>
        <w:pStyle w:val="ListParagraph"/>
        <w:numPr>
          <w:ilvl w:val="0"/>
          <w:numId w:val="17"/>
        </w:numPr>
        <w:spacing w:after="0" w:line="276" w:lineRule="auto"/>
        <w:ind w:left="907" w:right="11"/>
        <w:jc w:val="both"/>
        <w:rPr>
          <w:rFonts w:ascii="Times New Roman" w:hAnsi="Times New Roman" w:cs="Times New Roman"/>
          <w:sz w:val="24"/>
          <w:szCs w:val="24"/>
          <w:lang w:val="sq-AL"/>
        </w:rPr>
      </w:pPr>
      <w:r w:rsidRPr="001B2A3C">
        <w:rPr>
          <w:rFonts w:ascii="Times New Roman" w:hAnsi="Times New Roman" w:cs="Times New Roman"/>
          <w:sz w:val="24"/>
          <w:szCs w:val="24"/>
          <w:lang w:val="sq-AL"/>
        </w:rPr>
        <w:t>Ligji</w:t>
      </w:r>
      <w:r w:rsidR="008153B8" w:rsidRPr="001B2A3C">
        <w:rPr>
          <w:rFonts w:ascii="Times New Roman" w:hAnsi="Times New Roman" w:cs="Times New Roman"/>
          <w:sz w:val="24"/>
          <w:szCs w:val="24"/>
          <w:lang w:val="sq-AL"/>
        </w:rPr>
        <w:t>n</w:t>
      </w:r>
      <w:r w:rsidRPr="001B2A3C">
        <w:rPr>
          <w:rFonts w:ascii="Times New Roman" w:hAnsi="Times New Roman" w:cs="Times New Roman"/>
          <w:sz w:val="24"/>
          <w:szCs w:val="24"/>
          <w:lang w:val="sq-AL"/>
        </w:rPr>
        <w:t xml:space="preserve"> "Për disa ndryshime në </w:t>
      </w:r>
      <w:r w:rsidR="007F4BDC" w:rsidRPr="001B2A3C">
        <w:rPr>
          <w:rFonts w:ascii="Times New Roman" w:hAnsi="Times New Roman" w:cs="Times New Roman"/>
          <w:sz w:val="24"/>
          <w:szCs w:val="24"/>
          <w:lang w:val="sq-AL"/>
        </w:rPr>
        <w:t>l</w:t>
      </w:r>
      <w:r w:rsidRPr="001B2A3C">
        <w:rPr>
          <w:rFonts w:ascii="Times New Roman" w:hAnsi="Times New Roman" w:cs="Times New Roman"/>
          <w:sz w:val="24"/>
          <w:szCs w:val="24"/>
          <w:lang w:val="sq-AL"/>
        </w:rPr>
        <w:t xml:space="preserve">igjin nr. 61/2012 “Për </w:t>
      </w:r>
      <w:r w:rsidR="007F4BDC" w:rsidRPr="001B2A3C">
        <w:rPr>
          <w:rFonts w:ascii="Times New Roman" w:hAnsi="Times New Roman" w:cs="Times New Roman"/>
          <w:sz w:val="24"/>
          <w:szCs w:val="24"/>
          <w:lang w:val="sq-AL"/>
        </w:rPr>
        <w:t>a</w:t>
      </w:r>
      <w:r w:rsidRPr="001B2A3C">
        <w:rPr>
          <w:rFonts w:ascii="Times New Roman" w:hAnsi="Times New Roman" w:cs="Times New Roman"/>
          <w:sz w:val="24"/>
          <w:szCs w:val="24"/>
          <w:lang w:val="sq-AL"/>
        </w:rPr>
        <w:t>kcizat në Republikën e Shqipërisë”, i ndryshuar;</w:t>
      </w:r>
    </w:p>
    <w:p w14:paraId="1BFC5FDF" w14:textId="0CB6B28D" w:rsidR="000C7E36" w:rsidRPr="001B2A3C" w:rsidRDefault="000C7E36" w:rsidP="008917AA">
      <w:pPr>
        <w:pStyle w:val="ListParagraph"/>
        <w:numPr>
          <w:ilvl w:val="0"/>
          <w:numId w:val="17"/>
        </w:numPr>
        <w:spacing w:after="0" w:line="276" w:lineRule="auto"/>
        <w:ind w:left="907" w:right="11"/>
        <w:jc w:val="both"/>
        <w:rPr>
          <w:rFonts w:ascii="Times New Roman" w:hAnsi="Times New Roman" w:cs="Times New Roman"/>
          <w:sz w:val="24"/>
          <w:szCs w:val="24"/>
          <w:lang w:val="it-IT"/>
        </w:rPr>
      </w:pPr>
      <w:r w:rsidRPr="001B2A3C">
        <w:rPr>
          <w:rFonts w:ascii="Times New Roman" w:hAnsi="Times New Roman" w:cs="Times New Roman"/>
          <w:sz w:val="24"/>
          <w:szCs w:val="24"/>
          <w:lang w:val="sq-AL"/>
        </w:rPr>
        <w:t>V</w:t>
      </w:r>
      <w:r w:rsidRPr="001B2A3C">
        <w:rPr>
          <w:rFonts w:ascii="Times New Roman" w:hAnsi="Times New Roman" w:cs="Times New Roman"/>
          <w:sz w:val="24"/>
          <w:szCs w:val="24"/>
          <w:lang w:val="it-IT"/>
        </w:rPr>
        <w:t>endimi</w:t>
      </w:r>
      <w:r w:rsidR="008153B8" w:rsidRPr="001B2A3C">
        <w:rPr>
          <w:rFonts w:ascii="Times New Roman" w:hAnsi="Times New Roman" w:cs="Times New Roman"/>
          <w:sz w:val="24"/>
          <w:szCs w:val="24"/>
          <w:lang w:val="it-IT"/>
        </w:rPr>
        <w:t>n e</w:t>
      </w:r>
      <w:r w:rsidRPr="001B2A3C">
        <w:rPr>
          <w:rFonts w:ascii="Times New Roman" w:hAnsi="Times New Roman" w:cs="Times New Roman"/>
          <w:sz w:val="24"/>
          <w:szCs w:val="24"/>
          <w:lang w:val="it-IT"/>
        </w:rPr>
        <w:t xml:space="preserve"> Këshillit të Ministrave "Për miratimin e Strategjisë Sektoriale për Menaxhimin e Financave Publike 2023-2030";</w:t>
      </w:r>
    </w:p>
    <w:p w14:paraId="3BF6B738" w14:textId="2F09EDF7" w:rsidR="000C7E36" w:rsidRPr="001B2A3C" w:rsidRDefault="000C7E36" w:rsidP="008917AA">
      <w:pPr>
        <w:pStyle w:val="ListParagraph"/>
        <w:numPr>
          <w:ilvl w:val="0"/>
          <w:numId w:val="17"/>
        </w:numPr>
        <w:spacing w:after="0" w:line="276" w:lineRule="auto"/>
        <w:ind w:left="907" w:right="11"/>
        <w:jc w:val="both"/>
        <w:rPr>
          <w:rFonts w:ascii="Times New Roman" w:hAnsi="Times New Roman" w:cs="Times New Roman"/>
          <w:sz w:val="24"/>
          <w:szCs w:val="24"/>
          <w:lang w:val="it-IT"/>
        </w:rPr>
      </w:pPr>
      <w:r w:rsidRPr="001B2A3C">
        <w:rPr>
          <w:rFonts w:ascii="Times New Roman" w:hAnsi="Times New Roman" w:cs="Times New Roman"/>
          <w:sz w:val="24"/>
          <w:szCs w:val="24"/>
          <w:lang w:val="sq-AL"/>
        </w:rPr>
        <w:t>V</w:t>
      </w:r>
      <w:r w:rsidRPr="001B2A3C">
        <w:rPr>
          <w:rFonts w:ascii="Times New Roman" w:hAnsi="Times New Roman" w:cs="Times New Roman"/>
          <w:sz w:val="24"/>
          <w:szCs w:val="24"/>
          <w:lang w:val="it-IT"/>
        </w:rPr>
        <w:t>endimi</w:t>
      </w:r>
      <w:r w:rsidR="008153B8" w:rsidRPr="001B2A3C">
        <w:rPr>
          <w:rFonts w:ascii="Times New Roman" w:hAnsi="Times New Roman" w:cs="Times New Roman"/>
          <w:sz w:val="24"/>
          <w:szCs w:val="24"/>
          <w:lang w:val="it-IT"/>
        </w:rPr>
        <w:t>n e</w:t>
      </w:r>
      <w:r w:rsidRPr="001B2A3C">
        <w:rPr>
          <w:rFonts w:ascii="Times New Roman" w:hAnsi="Times New Roman" w:cs="Times New Roman"/>
          <w:sz w:val="24"/>
          <w:szCs w:val="24"/>
          <w:lang w:val="it-IT"/>
        </w:rPr>
        <w:t xml:space="preserve"> Këshillit të Ministrave “Për miratimin e Programit të Reformave Ekonomike 2024-2026”</w:t>
      </w:r>
      <w:r w:rsidR="001B2A3C">
        <w:rPr>
          <w:rFonts w:ascii="Times New Roman" w:hAnsi="Times New Roman" w:cs="Times New Roman"/>
          <w:sz w:val="24"/>
          <w:szCs w:val="24"/>
          <w:lang w:val="it-IT"/>
        </w:rPr>
        <w:t>;</w:t>
      </w:r>
    </w:p>
    <w:p w14:paraId="2C5ABA4E" w14:textId="02F077FA" w:rsidR="008917AA" w:rsidRPr="001B2A3C" w:rsidRDefault="008917AA" w:rsidP="008917AA">
      <w:pPr>
        <w:pStyle w:val="ListParagraph"/>
        <w:numPr>
          <w:ilvl w:val="0"/>
          <w:numId w:val="17"/>
        </w:numPr>
        <w:spacing w:after="0" w:line="276" w:lineRule="auto"/>
        <w:ind w:left="907"/>
        <w:jc w:val="both"/>
        <w:rPr>
          <w:rFonts w:ascii="Times New Roman" w:eastAsia="Times New Roman" w:hAnsi="Times New Roman" w:cs="Times New Roman"/>
          <w:color w:val="000000"/>
          <w:sz w:val="24"/>
          <w:szCs w:val="24"/>
          <w:lang w:val="sq-AL"/>
        </w:rPr>
      </w:pPr>
      <w:bookmarkStart w:id="2" w:name="_Hlk188000651"/>
      <w:r w:rsidRPr="001B2A3C">
        <w:rPr>
          <w:rFonts w:ascii="Times New Roman" w:eastAsia="Times New Roman" w:hAnsi="Times New Roman" w:cs="Times New Roman"/>
          <w:color w:val="000000"/>
          <w:sz w:val="24"/>
          <w:szCs w:val="24"/>
          <w:lang w:val="sq-AL"/>
        </w:rPr>
        <w:t>Ligjin “Për disa shtesa dhe ndryshime në ligjin nr.10091, datë 05.03.2009 “Për auditimin ligjor, organizimin e profesionit të audituesit ligjor dhe të kontabilistit të miratuar</w:t>
      </w:r>
      <w:r w:rsidR="001B2A3C">
        <w:rPr>
          <w:rFonts w:ascii="Times New Roman" w:eastAsia="Times New Roman" w:hAnsi="Times New Roman" w:cs="Times New Roman"/>
          <w:color w:val="000000"/>
          <w:sz w:val="24"/>
          <w:szCs w:val="24"/>
          <w:lang w:val="sq-AL"/>
        </w:rPr>
        <w:t>”</w:t>
      </w:r>
      <w:r w:rsidRPr="001B2A3C">
        <w:rPr>
          <w:rFonts w:ascii="Times New Roman" w:eastAsia="Times New Roman" w:hAnsi="Times New Roman" w:cs="Times New Roman"/>
          <w:color w:val="000000"/>
          <w:sz w:val="24"/>
          <w:szCs w:val="24"/>
          <w:lang w:val="sq-AL"/>
        </w:rPr>
        <w:t>, i ndryshuar;</w:t>
      </w:r>
    </w:p>
    <w:p w14:paraId="6B63A3D6" w14:textId="7D218F5F" w:rsidR="008917AA" w:rsidRPr="001B2A3C" w:rsidRDefault="008917AA" w:rsidP="008917AA">
      <w:pPr>
        <w:numPr>
          <w:ilvl w:val="0"/>
          <w:numId w:val="17"/>
        </w:numPr>
        <w:spacing w:after="0" w:line="276" w:lineRule="auto"/>
        <w:ind w:left="907" w:right="11"/>
        <w:jc w:val="both"/>
        <w:rPr>
          <w:rFonts w:ascii="Times New Roman" w:eastAsia="Times New Roman" w:hAnsi="Times New Roman" w:cs="Times New Roman"/>
          <w:color w:val="000000"/>
          <w:sz w:val="24"/>
          <w:szCs w:val="24"/>
          <w:lang w:val="sq-AL"/>
        </w:rPr>
      </w:pPr>
      <w:bookmarkStart w:id="3" w:name="_Hlk188001554"/>
      <w:bookmarkStart w:id="4" w:name="_Hlk187239933"/>
      <w:bookmarkEnd w:id="2"/>
      <w:r w:rsidRPr="001B2A3C">
        <w:rPr>
          <w:rFonts w:ascii="Times New Roman" w:eastAsia="Times New Roman" w:hAnsi="Times New Roman" w:cs="Times New Roman"/>
          <w:color w:val="000000"/>
          <w:sz w:val="24"/>
          <w:szCs w:val="24"/>
          <w:lang w:val="sq-AL"/>
        </w:rPr>
        <w:t>Vendimin e Këshillit të Ministrave “Për miratimin e Strategjisë Afatmesme të të Ardhurave dhe planit të veprimit 2024-2027</w:t>
      </w:r>
      <w:bookmarkEnd w:id="3"/>
      <w:r w:rsidRPr="001B2A3C">
        <w:rPr>
          <w:rFonts w:ascii="Times New Roman" w:eastAsia="Times New Roman" w:hAnsi="Times New Roman" w:cs="Times New Roman"/>
          <w:color w:val="000000"/>
          <w:sz w:val="24"/>
          <w:szCs w:val="24"/>
          <w:lang w:val="sq-AL"/>
        </w:rPr>
        <w:t>”;</w:t>
      </w:r>
    </w:p>
    <w:p w14:paraId="68914486" w14:textId="188B390B" w:rsidR="008917AA" w:rsidRPr="001B2A3C" w:rsidRDefault="008917AA" w:rsidP="008917AA">
      <w:pPr>
        <w:numPr>
          <w:ilvl w:val="0"/>
          <w:numId w:val="17"/>
        </w:numPr>
        <w:spacing w:after="0" w:line="276" w:lineRule="auto"/>
        <w:ind w:left="907" w:right="11"/>
        <w:jc w:val="both"/>
        <w:rPr>
          <w:rFonts w:ascii="Times New Roman" w:eastAsia="Times New Roman" w:hAnsi="Times New Roman" w:cs="Times New Roman"/>
          <w:color w:val="000000"/>
          <w:sz w:val="24"/>
          <w:szCs w:val="24"/>
          <w:lang w:val="sq-AL"/>
        </w:rPr>
      </w:pPr>
      <w:bookmarkStart w:id="5" w:name="_Hlk187239991"/>
      <w:bookmarkEnd w:id="4"/>
      <w:r w:rsidRPr="001B2A3C">
        <w:rPr>
          <w:rFonts w:ascii="Times New Roman" w:eastAsia="Times New Roman" w:hAnsi="Times New Roman" w:cs="Times New Roman"/>
          <w:color w:val="000000"/>
          <w:sz w:val="24"/>
          <w:szCs w:val="24"/>
          <w:lang w:val="sq-AL"/>
        </w:rPr>
        <w:t>Ligji</w:t>
      </w:r>
      <w:bookmarkStart w:id="6" w:name="_Hlk188001394"/>
      <w:r w:rsidRPr="001B2A3C">
        <w:rPr>
          <w:rFonts w:ascii="Times New Roman" w:eastAsia="Times New Roman" w:hAnsi="Times New Roman" w:cs="Times New Roman"/>
          <w:color w:val="000000"/>
          <w:sz w:val="24"/>
          <w:szCs w:val="24"/>
          <w:lang w:val="sq-AL"/>
        </w:rPr>
        <w:t>n “Për disa shtesa dhe ndryshime në ligjin nr. 52/2014 “Për veprimtarinë e sigurimit dhe risigurimit”.</w:t>
      </w:r>
    </w:p>
    <w:bookmarkEnd w:id="5"/>
    <w:bookmarkEnd w:id="6"/>
    <w:p w14:paraId="30E34DAE" w14:textId="77777777" w:rsidR="00EB477D" w:rsidRPr="008917AA" w:rsidRDefault="00EB477D" w:rsidP="008917AA">
      <w:pPr>
        <w:pStyle w:val="ListParagraph"/>
        <w:spacing w:after="0" w:line="276" w:lineRule="auto"/>
        <w:ind w:left="900" w:right="11"/>
        <w:jc w:val="both"/>
        <w:rPr>
          <w:rFonts w:ascii="Times New Roman" w:hAnsi="Times New Roman" w:cs="Times New Roman"/>
          <w:sz w:val="24"/>
          <w:szCs w:val="24"/>
          <w:lang w:val="sq-AL"/>
        </w:rPr>
      </w:pPr>
    </w:p>
    <w:p w14:paraId="74C99D95" w14:textId="56EC7562" w:rsidR="00BE30BF" w:rsidRDefault="00693281" w:rsidP="000C7E36">
      <w:pPr>
        <w:spacing w:after="0" w:line="276" w:lineRule="auto"/>
        <w:jc w:val="both"/>
        <w:rPr>
          <w:rFonts w:ascii="Times New Roman" w:hAnsi="Times New Roman" w:cs="Times New Roman"/>
          <w:kern w:val="2"/>
          <w:sz w:val="24"/>
          <w:szCs w:val="24"/>
          <w:lang w:val="sq-AL"/>
          <w14:ligatures w14:val="standardContextual"/>
        </w:rPr>
      </w:pPr>
      <w:r>
        <w:rPr>
          <w:rFonts w:ascii="Times New Roman" w:hAnsi="Times New Roman" w:cs="Times New Roman"/>
          <w:kern w:val="2"/>
          <w:sz w:val="24"/>
          <w:szCs w:val="24"/>
          <w:lang w:val="sq-AL"/>
          <w14:ligatures w14:val="standardContextual"/>
        </w:rPr>
        <w:t>Sipas të dhënave të Raportit të Konsultimit Publik, a</w:t>
      </w:r>
      <w:r w:rsidR="00EB477D">
        <w:rPr>
          <w:rFonts w:ascii="Times New Roman" w:hAnsi="Times New Roman" w:cs="Times New Roman"/>
          <w:kern w:val="2"/>
          <w:sz w:val="24"/>
          <w:szCs w:val="24"/>
          <w:lang w:val="sq-AL"/>
          <w14:ligatures w14:val="standardContextual"/>
        </w:rPr>
        <w:t xml:space="preserve">ktet </w:t>
      </w:r>
      <w:r w:rsidR="00B4080A" w:rsidRPr="000C7E36">
        <w:rPr>
          <w:rFonts w:ascii="Times New Roman" w:hAnsi="Times New Roman" w:cs="Times New Roman"/>
          <w:sz w:val="24"/>
          <w:szCs w:val="24"/>
          <w:lang w:val="sq-AL"/>
        </w:rPr>
        <w:t xml:space="preserve">janë konsultuar në masën 100% nëpërmjet metodave konsultative si: </w:t>
      </w:r>
      <w:r w:rsidR="00B4080A" w:rsidRPr="000C7E36">
        <w:rPr>
          <w:rFonts w:ascii="Times New Roman" w:hAnsi="Times New Roman" w:cs="Times New Roman"/>
          <w:kern w:val="2"/>
          <w:sz w:val="24"/>
          <w:szCs w:val="24"/>
          <w:lang w:val="sq-AL"/>
          <w14:ligatures w14:val="standardContextual"/>
        </w:rPr>
        <w:t xml:space="preserve">konsultimi nëpërmjet takimeve konsultative </w:t>
      </w:r>
      <w:r w:rsidR="00B4080A" w:rsidRPr="000C7E36">
        <w:rPr>
          <w:rFonts w:ascii="Times New Roman" w:hAnsi="Times New Roman" w:cs="Times New Roman"/>
          <w:sz w:val="24"/>
          <w:szCs w:val="24"/>
          <w:lang w:val="sq-AL"/>
        </w:rPr>
        <w:t xml:space="preserve">me grupe të ndryshme të interesit dhe në masën </w:t>
      </w:r>
      <w:r w:rsidR="008917AA">
        <w:rPr>
          <w:rFonts w:ascii="Times New Roman" w:hAnsi="Times New Roman" w:cs="Times New Roman"/>
          <w:sz w:val="24"/>
          <w:szCs w:val="24"/>
          <w:lang w:val="sq-AL"/>
        </w:rPr>
        <w:t>83</w:t>
      </w:r>
      <w:r w:rsidR="00B4080A" w:rsidRPr="000C7E36">
        <w:rPr>
          <w:rFonts w:ascii="Times New Roman" w:hAnsi="Times New Roman" w:cs="Times New Roman"/>
          <w:sz w:val="24"/>
          <w:szCs w:val="24"/>
          <w:lang w:val="sq-AL"/>
        </w:rPr>
        <w:t>% nëpërmjet</w:t>
      </w:r>
      <w:r w:rsidR="00EB477D">
        <w:rPr>
          <w:rFonts w:ascii="Times New Roman" w:hAnsi="Times New Roman" w:cs="Times New Roman"/>
          <w:sz w:val="24"/>
          <w:szCs w:val="24"/>
          <w:lang w:val="sq-AL"/>
        </w:rPr>
        <w:t xml:space="preserve"> </w:t>
      </w:r>
      <w:r w:rsidR="00B4080A" w:rsidRPr="000C7E36">
        <w:rPr>
          <w:rFonts w:ascii="Times New Roman" w:hAnsi="Times New Roman" w:cs="Times New Roman"/>
          <w:sz w:val="24"/>
          <w:szCs w:val="24"/>
          <w:lang w:val="sq-AL"/>
        </w:rPr>
        <w:t xml:space="preserve">publikimit në </w:t>
      </w:r>
      <w:r w:rsidR="00B4080A" w:rsidRPr="000C7E36">
        <w:rPr>
          <w:rFonts w:ascii="Times New Roman" w:hAnsi="Times New Roman" w:cs="Times New Roman"/>
          <w:kern w:val="2"/>
          <w:sz w:val="24"/>
          <w:szCs w:val="24"/>
          <w:lang w:val="sq-AL"/>
          <w14:ligatures w14:val="standardContextual"/>
        </w:rPr>
        <w:t>Regjistrin Elektronik të Njoftimit dhe Konsultimit Publik</w:t>
      </w:r>
      <w:r w:rsidR="000C7E36" w:rsidRPr="000C7E36">
        <w:rPr>
          <w:rFonts w:ascii="Times New Roman" w:hAnsi="Times New Roman" w:cs="Times New Roman"/>
          <w:kern w:val="2"/>
          <w:sz w:val="24"/>
          <w:szCs w:val="24"/>
          <w:lang w:val="sq-AL"/>
          <w14:ligatures w14:val="standardContextual"/>
        </w:rPr>
        <w:t xml:space="preserve">. </w:t>
      </w:r>
    </w:p>
    <w:p w14:paraId="38F6D02E" w14:textId="77777777" w:rsidR="00BE30BF" w:rsidRPr="001B2A3C" w:rsidRDefault="00BE30BF" w:rsidP="000C7E36">
      <w:pPr>
        <w:spacing w:after="0" w:line="276" w:lineRule="auto"/>
        <w:jc w:val="both"/>
        <w:rPr>
          <w:rFonts w:ascii="Times New Roman" w:hAnsi="Times New Roman" w:cs="Times New Roman"/>
          <w:b/>
          <w:bCs/>
          <w:kern w:val="2"/>
          <w:sz w:val="24"/>
          <w:szCs w:val="24"/>
          <w:u w:val="single"/>
          <w:lang w:val="sq-AL"/>
          <w14:ligatures w14:val="standardContextual"/>
        </w:rPr>
      </w:pPr>
    </w:p>
    <w:p w14:paraId="0A86EE30" w14:textId="4408BDC0" w:rsidR="00023273" w:rsidRPr="0063193C" w:rsidRDefault="00EB477D" w:rsidP="0063193C">
      <w:pPr>
        <w:spacing w:after="0" w:line="276" w:lineRule="auto"/>
        <w:jc w:val="both"/>
        <w:rPr>
          <w:rFonts w:ascii="Times New Roman" w:hAnsi="Times New Roman" w:cs="Times New Roman"/>
          <w:b/>
          <w:bCs/>
          <w:sz w:val="24"/>
          <w:szCs w:val="24"/>
          <w:u w:val="single"/>
          <w:lang w:val="sq-AL"/>
        </w:rPr>
      </w:pPr>
      <w:r w:rsidRPr="0063193C">
        <w:rPr>
          <w:rFonts w:ascii="Times New Roman" w:hAnsi="Times New Roman" w:cs="Times New Roman"/>
          <w:b/>
          <w:bCs/>
          <w:kern w:val="2"/>
          <w:sz w:val="24"/>
          <w:szCs w:val="24"/>
          <w:u w:val="single"/>
          <w:lang w:val="sq-AL"/>
          <w14:ligatures w14:val="standardContextual"/>
        </w:rPr>
        <w:t>Konkretisht</w:t>
      </w:r>
      <w:r w:rsidR="00BC4618" w:rsidRPr="0063193C">
        <w:rPr>
          <w:rFonts w:ascii="Times New Roman" w:hAnsi="Times New Roman" w:cs="Times New Roman"/>
          <w:b/>
          <w:bCs/>
          <w:kern w:val="2"/>
          <w:sz w:val="24"/>
          <w:szCs w:val="24"/>
          <w:u w:val="single"/>
          <w:lang w:val="sq-AL"/>
          <w14:ligatures w14:val="standardContextual"/>
        </w:rPr>
        <w:t>,</w:t>
      </w:r>
      <w:r w:rsidRPr="0063193C">
        <w:rPr>
          <w:rFonts w:ascii="Times New Roman" w:hAnsi="Times New Roman" w:cs="Times New Roman"/>
          <w:b/>
          <w:bCs/>
          <w:kern w:val="2"/>
          <w:sz w:val="24"/>
          <w:szCs w:val="24"/>
          <w:u w:val="single"/>
          <w:lang w:val="sq-AL"/>
          <w14:ligatures w14:val="standardContextual"/>
        </w:rPr>
        <w:t xml:space="preserve"> </w:t>
      </w:r>
      <w:r w:rsidR="00023273" w:rsidRPr="0063193C">
        <w:rPr>
          <w:rFonts w:ascii="Times New Roman" w:hAnsi="Times New Roman" w:cs="Times New Roman"/>
          <w:b/>
          <w:bCs/>
          <w:sz w:val="24"/>
          <w:szCs w:val="24"/>
          <w:u w:val="single"/>
          <w:lang w:val="sq-AL"/>
        </w:rPr>
        <w:t xml:space="preserve">metodat e përdorura të konsultimit publik janë si vijon: </w:t>
      </w:r>
    </w:p>
    <w:p w14:paraId="024EE6F1" w14:textId="77777777" w:rsidR="00C31B50" w:rsidRPr="001B2A3C" w:rsidRDefault="00C31B50" w:rsidP="00023273">
      <w:pPr>
        <w:spacing w:after="0" w:line="276" w:lineRule="auto"/>
        <w:jc w:val="both"/>
        <w:rPr>
          <w:rFonts w:ascii="Times New Roman" w:hAnsi="Times New Roman" w:cs="Times New Roman"/>
          <w:sz w:val="24"/>
          <w:szCs w:val="24"/>
          <w:lang w:val="sq-AL"/>
        </w:rPr>
      </w:pPr>
    </w:p>
    <w:p w14:paraId="294D1F1F" w14:textId="45235CF6" w:rsidR="00C31B50" w:rsidRPr="0063193C" w:rsidRDefault="00C31B50" w:rsidP="0063193C">
      <w:pPr>
        <w:spacing w:after="0" w:line="276" w:lineRule="auto"/>
        <w:jc w:val="both"/>
        <w:rPr>
          <w:rFonts w:ascii="Times New Roman" w:hAnsi="Times New Roman" w:cs="Times New Roman"/>
          <w:b/>
          <w:bCs/>
          <w:kern w:val="2"/>
          <w:sz w:val="24"/>
          <w:szCs w:val="24"/>
          <w:lang w:val="sq-AL"/>
          <w14:ligatures w14:val="standardContextual"/>
        </w:rPr>
      </w:pPr>
      <w:r w:rsidRPr="0063193C">
        <w:rPr>
          <w:rFonts w:ascii="Times New Roman" w:hAnsi="Times New Roman" w:cs="Times New Roman"/>
          <w:b/>
          <w:bCs/>
          <w:kern w:val="2"/>
          <w:sz w:val="24"/>
          <w:szCs w:val="24"/>
          <w:lang w:val="sq-AL"/>
          <w14:ligatures w14:val="standardContextual"/>
        </w:rPr>
        <w:t xml:space="preserve">Regjistri Elektronik i Njoftimit dhe Konsultimit Publik është aplikuar për </w:t>
      </w:r>
      <w:r w:rsidR="000103DF" w:rsidRPr="0063193C">
        <w:rPr>
          <w:rFonts w:ascii="Times New Roman" w:hAnsi="Times New Roman" w:cs="Times New Roman"/>
          <w:b/>
          <w:bCs/>
          <w:kern w:val="2"/>
          <w:sz w:val="24"/>
          <w:szCs w:val="24"/>
          <w:lang w:val="sq-AL"/>
          <w14:ligatures w14:val="standardContextual"/>
        </w:rPr>
        <w:t>5</w:t>
      </w:r>
      <w:r w:rsidRPr="0063193C">
        <w:rPr>
          <w:rFonts w:ascii="Times New Roman" w:hAnsi="Times New Roman" w:cs="Times New Roman"/>
          <w:b/>
          <w:bCs/>
          <w:kern w:val="2"/>
          <w:sz w:val="24"/>
          <w:szCs w:val="24"/>
          <w:lang w:val="sq-AL"/>
          <w14:ligatures w14:val="standardContextual"/>
        </w:rPr>
        <w:t xml:space="preserve"> akte:</w:t>
      </w:r>
    </w:p>
    <w:p w14:paraId="66215F2D" w14:textId="77777777" w:rsidR="00C31B50" w:rsidRPr="00BC4618" w:rsidRDefault="00C31B50" w:rsidP="00023273">
      <w:pPr>
        <w:spacing w:after="0" w:line="276" w:lineRule="auto"/>
        <w:jc w:val="both"/>
        <w:rPr>
          <w:rFonts w:ascii="Times New Roman" w:hAnsi="Times New Roman" w:cs="Times New Roman"/>
          <w:sz w:val="24"/>
          <w:szCs w:val="24"/>
          <w:lang w:val="sq-AL"/>
        </w:rPr>
      </w:pPr>
    </w:p>
    <w:p w14:paraId="3666AFC1" w14:textId="78B2B45F" w:rsidR="00C31B50" w:rsidRPr="001B2A3C" w:rsidRDefault="00C31B50" w:rsidP="000103DF">
      <w:pPr>
        <w:pStyle w:val="ListParagraph"/>
        <w:numPr>
          <w:ilvl w:val="0"/>
          <w:numId w:val="22"/>
        </w:numPr>
        <w:spacing w:after="0" w:line="276" w:lineRule="auto"/>
        <w:ind w:right="11"/>
        <w:jc w:val="both"/>
        <w:rPr>
          <w:rFonts w:ascii="Times New Roman" w:hAnsi="Times New Roman" w:cs="Times New Roman"/>
          <w:sz w:val="24"/>
          <w:szCs w:val="24"/>
          <w:lang w:val="sq-AL"/>
        </w:rPr>
      </w:pPr>
      <w:r w:rsidRPr="001B2A3C">
        <w:rPr>
          <w:rFonts w:ascii="Times New Roman" w:hAnsi="Times New Roman" w:cs="Times New Roman"/>
          <w:sz w:val="24"/>
          <w:szCs w:val="24"/>
          <w:lang w:val="sq-AL"/>
        </w:rPr>
        <w:t>Ligji</w:t>
      </w:r>
      <w:r w:rsidR="00484011" w:rsidRPr="001B2A3C">
        <w:rPr>
          <w:rFonts w:ascii="Times New Roman" w:hAnsi="Times New Roman" w:cs="Times New Roman"/>
          <w:sz w:val="24"/>
          <w:szCs w:val="24"/>
          <w:lang w:val="sq-AL"/>
        </w:rPr>
        <w:t>n “</w:t>
      </w:r>
      <w:r w:rsidRPr="001B2A3C">
        <w:rPr>
          <w:rFonts w:ascii="Times New Roman" w:hAnsi="Times New Roman" w:cs="Times New Roman"/>
          <w:sz w:val="24"/>
          <w:szCs w:val="24"/>
          <w:lang w:val="sq-AL"/>
        </w:rPr>
        <w:t xml:space="preserve">Për disa ndryshime në </w:t>
      </w:r>
      <w:r w:rsidR="007F4BDC" w:rsidRPr="001B2A3C">
        <w:rPr>
          <w:rFonts w:ascii="Times New Roman" w:hAnsi="Times New Roman" w:cs="Times New Roman"/>
          <w:sz w:val="24"/>
          <w:szCs w:val="24"/>
          <w:lang w:val="sq-AL"/>
        </w:rPr>
        <w:t>l</w:t>
      </w:r>
      <w:r w:rsidRPr="001B2A3C">
        <w:rPr>
          <w:rFonts w:ascii="Times New Roman" w:hAnsi="Times New Roman" w:cs="Times New Roman"/>
          <w:sz w:val="24"/>
          <w:szCs w:val="24"/>
          <w:lang w:val="sq-AL"/>
        </w:rPr>
        <w:t xml:space="preserve">igjin nr. 61/2012 “Për </w:t>
      </w:r>
      <w:r w:rsidR="007F4BDC" w:rsidRPr="001B2A3C">
        <w:rPr>
          <w:rFonts w:ascii="Times New Roman" w:hAnsi="Times New Roman" w:cs="Times New Roman"/>
          <w:sz w:val="24"/>
          <w:szCs w:val="24"/>
          <w:lang w:val="sq-AL"/>
        </w:rPr>
        <w:t>a</w:t>
      </w:r>
      <w:r w:rsidRPr="001B2A3C">
        <w:rPr>
          <w:rFonts w:ascii="Times New Roman" w:hAnsi="Times New Roman" w:cs="Times New Roman"/>
          <w:sz w:val="24"/>
          <w:szCs w:val="24"/>
          <w:lang w:val="sq-AL"/>
        </w:rPr>
        <w:t>kcizat në Republikën e Shqipërisë”, i ndryshuar;</w:t>
      </w:r>
    </w:p>
    <w:p w14:paraId="1C714A1E" w14:textId="02AF4A06" w:rsidR="00C31B50" w:rsidRPr="001B2A3C" w:rsidRDefault="00C31B50" w:rsidP="00C31B50">
      <w:pPr>
        <w:pStyle w:val="ListParagraph"/>
        <w:numPr>
          <w:ilvl w:val="0"/>
          <w:numId w:val="22"/>
        </w:numPr>
        <w:spacing w:after="0" w:line="276" w:lineRule="auto"/>
        <w:ind w:right="11"/>
        <w:jc w:val="both"/>
        <w:rPr>
          <w:rFonts w:ascii="Times New Roman" w:hAnsi="Times New Roman" w:cs="Times New Roman"/>
          <w:sz w:val="24"/>
          <w:szCs w:val="24"/>
          <w:lang w:val="it-IT"/>
        </w:rPr>
      </w:pPr>
      <w:r w:rsidRPr="001B2A3C">
        <w:rPr>
          <w:rFonts w:ascii="Times New Roman" w:hAnsi="Times New Roman" w:cs="Times New Roman"/>
          <w:sz w:val="24"/>
          <w:szCs w:val="24"/>
          <w:lang w:val="sq-AL"/>
        </w:rPr>
        <w:t>V</w:t>
      </w:r>
      <w:r w:rsidRPr="001B2A3C">
        <w:rPr>
          <w:rFonts w:ascii="Times New Roman" w:hAnsi="Times New Roman" w:cs="Times New Roman"/>
          <w:sz w:val="24"/>
          <w:szCs w:val="24"/>
          <w:lang w:val="it-IT"/>
        </w:rPr>
        <w:t>endimi</w:t>
      </w:r>
      <w:r w:rsidR="00484011" w:rsidRPr="001B2A3C">
        <w:rPr>
          <w:rFonts w:ascii="Times New Roman" w:hAnsi="Times New Roman" w:cs="Times New Roman"/>
          <w:sz w:val="24"/>
          <w:szCs w:val="24"/>
          <w:lang w:val="it-IT"/>
        </w:rPr>
        <w:t>n e</w:t>
      </w:r>
      <w:r w:rsidRPr="001B2A3C">
        <w:rPr>
          <w:rFonts w:ascii="Times New Roman" w:hAnsi="Times New Roman" w:cs="Times New Roman"/>
          <w:sz w:val="24"/>
          <w:szCs w:val="24"/>
          <w:lang w:val="it-IT"/>
        </w:rPr>
        <w:t xml:space="preserve"> Këshillit të Ministrave "Për miratimin e Strategjisë Sektoriale për Menaxhimin e Financave Publike 2023-2030"</w:t>
      </w:r>
      <w:r w:rsidR="001B2A3C">
        <w:rPr>
          <w:rFonts w:ascii="Times New Roman" w:hAnsi="Times New Roman" w:cs="Times New Roman"/>
          <w:sz w:val="24"/>
          <w:szCs w:val="24"/>
          <w:lang w:val="it-IT"/>
        </w:rPr>
        <w:t>;</w:t>
      </w:r>
    </w:p>
    <w:p w14:paraId="199138DB" w14:textId="142D5AED" w:rsidR="000103DF" w:rsidRPr="001B2A3C" w:rsidRDefault="000103DF" w:rsidP="000103DF">
      <w:pPr>
        <w:pStyle w:val="ListParagraph"/>
        <w:numPr>
          <w:ilvl w:val="0"/>
          <w:numId w:val="22"/>
        </w:numPr>
        <w:spacing w:after="0" w:line="276" w:lineRule="auto"/>
        <w:jc w:val="both"/>
        <w:rPr>
          <w:rFonts w:ascii="Times New Roman" w:eastAsia="Times New Roman" w:hAnsi="Times New Roman" w:cs="Times New Roman"/>
          <w:color w:val="000000"/>
          <w:sz w:val="24"/>
          <w:szCs w:val="24"/>
          <w:lang w:val="sq-AL"/>
        </w:rPr>
      </w:pPr>
      <w:r w:rsidRPr="001B2A3C">
        <w:rPr>
          <w:rFonts w:ascii="Times New Roman" w:eastAsia="Times New Roman" w:hAnsi="Times New Roman" w:cs="Times New Roman"/>
          <w:color w:val="000000"/>
          <w:sz w:val="24"/>
          <w:szCs w:val="24"/>
          <w:lang w:val="sq-AL"/>
        </w:rPr>
        <w:lastRenderedPageBreak/>
        <w:t>Ligjin “Për disa shtesa dhe ndryshime në ligjin nr.10091, datë 05.03.2009 “Për auditimin ligjor, organizimin e profesionit të audituesit ligjor dhe të kontabilistit të miratuar</w:t>
      </w:r>
      <w:r w:rsidR="001B2A3C">
        <w:rPr>
          <w:rFonts w:ascii="Times New Roman" w:eastAsia="Times New Roman" w:hAnsi="Times New Roman" w:cs="Times New Roman"/>
          <w:color w:val="000000"/>
          <w:sz w:val="24"/>
          <w:szCs w:val="24"/>
          <w:lang w:val="sq-AL"/>
        </w:rPr>
        <w:t>”</w:t>
      </w:r>
      <w:r w:rsidRPr="001B2A3C">
        <w:rPr>
          <w:rFonts w:ascii="Times New Roman" w:eastAsia="Times New Roman" w:hAnsi="Times New Roman" w:cs="Times New Roman"/>
          <w:color w:val="000000"/>
          <w:sz w:val="24"/>
          <w:szCs w:val="24"/>
          <w:lang w:val="sq-AL"/>
        </w:rPr>
        <w:t>, i ndryshuar;</w:t>
      </w:r>
    </w:p>
    <w:p w14:paraId="733EE400" w14:textId="41D137FA" w:rsidR="000103DF" w:rsidRPr="001B2A3C" w:rsidRDefault="000103DF" w:rsidP="000103DF">
      <w:pPr>
        <w:numPr>
          <w:ilvl w:val="0"/>
          <w:numId w:val="22"/>
        </w:numPr>
        <w:spacing w:after="0" w:line="276" w:lineRule="auto"/>
        <w:ind w:right="11"/>
        <w:jc w:val="both"/>
        <w:rPr>
          <w:rFonts w:ascii="Times New Roman" w:eastAsia="Times New Roman" w:hAnsi="Times New Roman" w:cs="Times New Roman"/>
          <w:color w:val="000000"/>
          <w:sz w:val="24"/>
          <w:szCs w:val="24"/>
          <w:lang w:val="sq-AL"/>
        </w:rPr>
      </w:pPr>
      <w:r w:rsidRPr="001B2A3C">
        <w:rPr>
          <w:rFonts w:ascii="Times New Roman" w:eastAsia="Times New Roman" w:hAnsi="Times New Roman" w:cs="Times New Roman"/>
          <w:color w:val="000000"/>
          <w:sz w:val="24"/>
          <w:szCs w:val="24"/>
          <w:lang w:val="sq-AL"/>
        </w:rPr>
        <w:t>Vendimin e Këshillit të Ministrave “Për miratimin e Strategjisë Afatmesme të të Ardhurave dhe planit të veprimit 2024-2027”;</w:t>
      </w:r>
    </w:p>
    <w:p w14:paraId="4EBDC7EA" w14:textId="77777777" w:rsidR="000103DF" w:rsidRPr="001B2A3C" w:rsidRDefault="000103DF" w:rsidP="000103DF">
      <w:pPr>
        <w:numPr>
          <w:ilvl w:val="0"/>
          <w:numId w:val="22"/>
        </w:numPr>
        <w:spacing w:after="0" w:line="276" w:lineRule="auto"/>
        <w:ind w:right="11"/>
        <w:jc w:val="both"/>
        <w:rPr>
          <w:rFonts w:ascii="Times New Roman" w:eastAsia="Times New Roman" w:hAnsi="Times New Roman" w:cs="Times New Roman"/>
          <w:color w:val="000000"/>
          <w:sz w:val="24"/>
          <w:szCs w:val="24"/>
          <w:lang w:val="sq-AL"/>
        </w:rPr>
      </w:pPr>
      <w:r w:rsidRPr="001B2A3C">
        <w:rPr>
          <w:rFonts w:ascii="Times New Roman" w:eastAsia="Times New Roman" w:hAnsi="Times New Roman" w:cs="Times New Roman"/>
          <w:color w:val="000000"/>
          <w:sz w:val="24"/>
          <w:szCs w:val="24"/>
          <w:lang w:val="sq-AL"/>
        </w:rPr>
        <w:t>Ligjin “Për disa shtesa dhe ndryshime në ligjin nr. 52/2014 “Për veprimtarinë e sigurimit dhe risigurimit”.</w:t>
      </w:r>
    </w:p>
    <w:p w14:paraId="2D6D9212" w14:textId="77777777" w:rsidR="00484011" w:rsidRPr="000103DF" w:rsidRDefault="00484011" w:rsidP="000103DF">
      <w:pPr>
        <w:spacing w:after="0" w:line="276" w:lineRule="auto"/>
        <w:ind w:right="11"/>
        <w:jc w:val="both"/>
        <w:rPr>
          <w:rFonts w:ascii="Times New Roman" w:hAnsi="Times New Roman" w:cs="Times New Roman"/>
          <w:sz w:val="24"/>
          <w:szCs w:val="24"/>
          <w:lang w:val="sq-AL"/>
        </w:rPr>
      </w:pPr>
    </w:p>
    <w:p w14:paraId="271FB03A" w14:textId="5A348009" w:rsidR="00484011" w:rsidRPr="0063193C" w:rsidRDefault="00484011" w:rsidP="001B2A3C">
      <w:pPr>
        <w:spacing w:after="0" w:line="276" w:lineRule="auto"/>
        <w:jc w:val="both"/>
        <w:rPr>
          <w:rFonts w:ascii="Times New Roman" w:hAnsi="Times New Roman" w:cs="Times New Roman"/>
          <w:b/>
          <w:bCs/>
          <w:kern w:val="2"/>
          <w:sz w:val="24"/>
          <w:szCs w:val="24"/>
          <w:lang w:val="sq-AL"/>
          <w14:ligatures w14:val="standardContextual"/>
        </w:rPr>
      </w:pPr>
      <w:r w:rsidRPr="0063193C">
        <w:rPr>
          <w:rFonts w:ascii="Times New Roman" w:hAnsi="Times New Roman" w:cs="Times New Roman"/>
          <w:b/>
          <w:bCs/>
          <w:kern w:val="2"/>
          <w:sz w:val="24"/>
          <w:szCs w:val="24"/>
          <w:lang w:val="sq-AL"/>
          <w14:ligatures w14:val="standardContextual"/>
        </w:rPr>
        <w:t xml:space="preserve">Konsultimi nëpërmjet postës elektronike është aplikuar për </w:t>
      </w:r>
      <w:r w:rsidR="0047140A" w:rsidRPr="0063193C">
        <w:rPr>
          <w:rFonts w:ascii="Times New Roman" w:hAnsi="Times New Roman" w:cs="Times New Roman"/>
          <w:b/>
          <w:bCs/>
          <w:kern w:val="2"/>
          <w:sz w:val="24"/>
          <w:szCs w:val="24"/>
          <w:lang w:val="sq-AL"/>
          <w14:ligatures w14:val="standardContextual"/>
        </w:rPr>
        <w:t>4</w:t>
      </w:r>
      <w:r w:rsidRPr="0063193C">
        <w:rPr>
          <w:rFonts w:ascii="Times New Roman" w:hAnsi="Times New Roman" w:cs="Times New Roman"/>
          <w:b/>
          <w:bCs/>
          <w:kern w:val="2"/>
          <w:sz w:val="24"/>
          <w:szCs w:val="24"/>
          <w:lang w:val="sq-AL"/>
          <w14:ligatures w14:val="standardContextual"/>
        </w:rPr>
        <w:t xml:space="preserve"> akte:</w:t>
      </w:r>
    </w:p>
    <w:p w14:paraId="5C5764E8" w14:textId="77777777" w:rsidR="00484011" w:rsidRPr="001B2A3C" w:rsidRDefault="00484011" w:rsidP="00484011">
      <w:pPr>
        <w:pStyle w:val="ListParagraph"/>
        <w:spacing w:after="0" w:line="276" w:lineRule="auto"/>
        <w:jc w:val="both"/>
        <w:rPr>
          <w:rFonts w:ascii="Times New Roman" w:hAnsi="Times New Roman" w:cs="Times New Roman"/>
          <w:kern w:val="2"/>
          <w:sz w:val="24"/>
          <w:szCs w:val="24"/>
          <w:u w:val="single"/>
          <w:lang w:val="sq-AL"/>
          <w14:ligatures w14:val="standardContextual"/>
        </w:rPr>
      </w:pPr>
    </w:p>
    <w:p w14:paraId="082E548A" w14:textId="4264045F" w:rsidR="00C832A0" w:rsidRPr="001B2A3C" w:rsidRDefault="00C832A0" w:rsidP="00C832A0">
      <w:pPr>
        <w:pStyle w:val="ListParagraph"/>
        <w:numPr>
          <w:ilvl w:val="0"/>
          <w:numId w:val="32"/>
        </w:numPr>
        <w:spacing w:after="0" w:line="276" w:lineRule="auto"/>
        <w:ind w:right="11"/>
        <w:jc w:val="both"/>
        <w:rPr>
          <w:rFonts w:ascii="Times New Roman" w:hAnsi="Times New Roman" w:cs="Times New Roman"/>
          <w:sz w:val="24"/>
          <w:szCs w:val="24"/>
          <w:lang w:val="sq-AL"/>
        </w:rPr>
      </w:pPr>
      <w:r w:rsidRPr="001B2A3C">
        <w:rPr>
          <w:rFonts w:ascii="Times New Roman" w:hAnsi="Times New Roman" w:cs="Times New Roman"/>
          <w:sz w:val="24"/>
          <w:szCs w:val="24"/>
          <w:lang w:val="sq-AL"/>
        </w:rPr>
        <w:t xml:space="preserve">Ligjin </w:t>
      </w:r>
      <w:r w:rsidR="00FC45D5">
        <w:rPr>
          <w:rFonts w:ascii="Times New Roman" w:hAnsi="Times New Roman" w:cs="Times New Roman"/>
          <w:sz w:val="24"/>
          <w:szCs w:val="24"/>
          <w:lang w:val="sq-AL"/>
        </w:rPr>
        <w:t>“</w:t>
      </w:r>
      <w:r w:rsidRPr="001B2A3C">
        <w:rPr>
          <w:rFonts w:ascii="Times New Roman" w:hAnsi="Times New Roman" w:cs="Times New Roman"/>
          <w:sz w:val="24"/>
          <w:szCs w:val="24"/>
          <w:lang w:val="sq-AL"/>
        </w:rPr>
        <w:t>Për disa ndryshime në ligjin nr. 61/2012 “Për akcizat në Republikën e Shqipërisë”, i ndryshuar;</w:t>
      </w:r>
    </w:p>
    <w:p w14:paraId="746DDA11" w14:textId="31A904B7" w:rsidR="00C832A0" w:rsidRPr="001B2A3C" w:rsidRDefault="00C832A0" w:rsidP="00C832A0">
      <w:pPr>
        <w:pStyle w:val="ListParagraph"/>
        <w:numPr>
          <w:ilvl w:val="0"/>
          <w:numId w:val="32"/>
        </w:numPr>
        <w:spacing w:after="0" w:line="276" w:lineRule="auto"/>
        <w:ind w:right="11"/>
        <w:jc w:val="both"/>
        <w:rPr>
          <w:rFonts w:ascii="Times New Roman" w:hAnsi="Times New Roman" w:cs="Times New Roman"/>
          <w:sz w:val="24"/>
          <w:szCs w:val="24"/>
          <w:lang w:val="sq-AL"/>
        </w:rPr>
      </w:pPr>
      <w:r w:rsidRPr="001B2A3C">
        <w:rPr>
          <w:rFonts w:ascii="Times New Roman" w:hAnsi="Times New Roman" w:cs="Times New Roman"/>
          <w:sz w:val="24"/>
          <w:szCs w:val="24"/>
          <w:lang w:val="sq-AL"/>
        </w:rPr>
        <w:t>V</w:t>
      </w:r>
      <w:r w:rsidRPr="001B2A3C">
        <w:rPr>
          <w:rFonts w:ascii="Times New Roman" w:hAnsi="Times New Roman" w:cs="Times New Roman"/>
          <w:sz w:val="24"/>
          <w:szCs w:val="24"/>
          <w:lang w:val="it-IT"/>
        </w:rPr>
        <w:t xml:space="preserve">endimin e Këshillit të Ministrave </w:t>
      </w:r>
      <w:r w:rsidR="00FC45D5">
        <w:rPr>
          <w:rFonts w:ascii="Times New Roman" w:hAnsi="Times New Roman" w:cs="Times New Roman"/>
          <w:sz w:val="24"/>
          <w:szCs w:val="24"/>
          <w:lang w:val="it-IT"/>
        </w:rPr>
        <w:t>“</w:t>
      </w:r>
      <w:r w:rsidRPr="001B2A3C">
        <w:rPr>
          <w:rFonts w:ascii="Times New Roman" w:hAnsi="Times New Roman" w:cs="Times New Roman"/>
          <w:sz w:val="24"/>
          <w:szCs w:val="24"/>
          <w:lang w:val="it-IT"/>
        </w:rPr>
        <w:t>Për miratimin e Strategjisë Sektoriale për Menaxhimin e Financave Publike 2023-2030";</w:t>
      </w:r>
    </w:p>
    <w:p w14:paraId="3553B743" w14:textId="06D41502" w:rsidR="00C832A0" w:rsidRPr="001B2A3C" w:rsidRDefault="00C832A0" w:rsidP="00C832A0">
      <w:pPr>
        <w:pStyle w:val="ListParagraph"/>
        <w:numPr>
          <w:ilvl w:val="0"/>
          <w:numId w:val="32"/>
        </w:numPr>
        <w:spacing w:after="0" w:line="276" w:lineRule="auto"/>
        <w:ind w:right="11"/>
        <w:jc w:val="both"/>
        <w:rPr>
          <w:rFonts w:ascii="Times New Roman" w:hAnsi="Times New Roman" w:cs="Times New Roman"/>
          <w:sz w:val="24"/>
          <w:szCs w:val="24"/>
          <w:lang w:val="sq-AL"/>
        </w:rPr>
      </w:pPr>
      <w:r w:rsidRPr="001B2A3C">
        <w:rPr>
          <w:rFonts w:ascii="Times New Roman" w:hAnsi="Times New Roman" w:cs="Times New Roman"/>
          <w:sz w:val="24"/>
          <w:szCs w:val="24"/>
          <w:lang w:val="sq-AL"/>
        </w:rPr>
        <w:t>V</w:t>
      </w:r>
      <w:r w:rsidRPr="001B2A3C">
        <w:rPr>
          <w:rFonts w:ascii="Times New Roman" w:hAnsi="Times New Roman" w:cs="Times New Roman"/>
          <w:sz w:val="24"/>
          <w:szCs w:val="24"/>
          <w:lang w:val="it-IT"/>
        </w:rPr>
        <w:t>endimin e Këshillit të Ministrave “Për miratimin e Programit të Reformave Ekonomike 2024-2026”</w:t>
      </w:r>
      <w:r w:rsidR="00BC7149">
        <w:rPr>
          <w:rFonts w:ascii="Times New Roman" w:hAnsi="Times New Roman" w:cs="Times New Roman"/>
          <w:sz w:val="24"/>
          <w:szCs w:val="24"/>
          <w:lang w:val="it-IT"/>
        </w:rPr>
        <w:t>;</w:t>
      </w:r>
    </w:p>
    <w:p w14:paraId="0B60586D" w14:textId="6D5B1330" w:rsidR="00C832A0" w:rsidRPr="001B2A3C" w:rsidRDefault="00C832A0" w:rsidP="00C832A0">
      <w:pPr>
        <w:pStyle w:val="ListParagraph"/>
        <w:numPr>
          <w:ilvl w:val="0"/>
          <w:numId w:val="32"/>
        </w:numPr>
        <w:spacing w:after="0" w:line="276" w:lineRule="auto"/>
        <w:ind w:right="11"/>
        <w:jc w:val="both"/>
        <w:rPr>
          <w:rFonts w:ascii="Times New Roman" w:hAnsi="Times New Roman" w:cs="Times New Roman"/>
          <w:sz w:val="24"/>
          <w:szCs w:val="24"/>
          <w:lang w:val="sq-AL"/>
        </w:rPr>
      </w:pPr>
      <w:r w:rsidRPr="001B2A3C">
        <w:rPr>
          <w:rFonts w:ascii="Times New Roman" w:eastAsia="Times New Roman" w:hAnsi="Times New Roman" w:cs="Times New Roman"/>
          <w:color w:val="000000"/>
          <w:sz w:val="24"/>
          <w:szCs w:val="24"/>
          <w:lang w:val="sq-AL"/>
        </w:rPr>
        <w:t>Vendimin e Këshillit të Ministrave “Për miratimin e Strategjisë Afatmesme të të Ardhurave dhe planit të veprimit 2024-2027”</w:t>
      </w:r>
      <w:r w:rsidR="0047140A" w:rsidRPr="001B2A3C">
        <w:rPr>
          <w:rFonts w:ascii="Times New Roman" w:eastAsia="Times New Roman" w:hAnsi="Times New Roman" w:cs="Times New Roman"/>
          <w:color w:val="000000"/>
          <w:sz w:val="24"/>
          <w:szCs w:val="24"/>
          <w:lang w:val="sq-AL"/>
        </w:rPr>
        <w:t>.</w:t>
      </w:r>
    </w:p>
    <w:p w14:paraId="6FD21485" w14:textId="77777777" w:rsidR="00BC7149" w:rsidRDefault="00BC7149" w:rsidP="00BC7149">
      <w:pPr>
        <w:spacing w:after="0" w:line="276" w:lineRule="auto"/>
        <w:jc w:val="both"/>
        <w:rPr>
          <w:rFonts w:ascii="Times New Roman" w:hAnsi="Times New Roman" w:cs="Times New Roman"/>
          <w:b/>
          <w:bCs/>
          <w:kern w:val="2"/>
          <w:sz w:val="24"/>
          <w:szCs w:val="24"/>
          <w:lang w:val="sq-AL"/>
          <w14:ligatures w14:val="standardContextual"/>
        </w:rPr>
      </w:pPr>
    </w:p>
    <w:p w14:paraId="743F3D6B" w14:textId="435B6B35" w:rsidR="00484011" w:rsidRPr="0063193C" w:rsidRDefault="00484011" w:rsidP="00BC7149">
      <w:pPr>
        <w:spacing w:after="0" w:line="276" w:lineRule="auto"/>
        <w:jc w:val="both"/>
        <w:rPr>
          <w:rFonts w:ascii="Times New Roman" w:hAnsi="Times New Roman" w:cs="Times New Roman"/>
          <w:b/>
          <w:bCs/>
          <w:kern w:val="2"/>
          <w:sz w:val="24"/>
          <w:szCs w:val="24"/>
          <w:lang w:val="sq-AL"/>
          <w14:ligatures w14:val="standardContextual"/>
        </w:rPr>
      </w:pPr>
      <w:r w:rsidRPr="0063193C">
        <w:rPr>
          <w:rFonts w:ascii="Times New Roman" w:hAnsi="Times New Roman" w:cs="Times New Roman"/>
          <w:b/>
          <w:bCs/>
          <w:kern w:val="2"/>
          <w:sz w:val="24"/>
          <w:szCs w:val="24"/>
          <w:lang w:val="sq-AL"/>
          <w14:ligatures w14:val="standardContextual"/>
        </w:rPr>
        <w:t>Konsultim</w:t>
      </w:r>
      <w:r w:rsidR="00BC4618" w:rsidRPr="0063193C">
        <w:rPr>
          <w:rFonts w:ascii="Times New Roman" w:hAnsi="Times New Roman" w:cs="Times New Roman"/>
          <w:b/>
          <w:bCs/>
          <w:kern w:val="2"/>
          <w:sz w:val="24"/>
          <w:szCs w:val="24"/>
          <w:lang w:val="sq-AL"/>
          <w14:ligatures w14:val="standardContextual"/>
        </w:rPr>
        <w:t xml:space="preserve">i </w:t>
      </w:r>
      <w:r w:rsidRPr="0063193C">
        <w:rPr>
          <w:rFonts w:ascii="Times New Roman" w:hAnsi="Times New Roman" w:cs="Times New Roman"/>
          <w:b/>
          <w:bCs/>
          <w:kern w:val="2"/>
          <w:sz w:val="24"/>
          <w:szCs w:val="24"/>
          <w:lang w:val="sq-AL"/>
          <w14:ligatures w14:val="standardContextual"/>
        </w:rPr>
        <w:t>nëpërmjet mekanizmit të g</w:t>
      </w:r>
      <w:r w:rsidR="002F4F99">
        <w:rPr>
          <w:rFonts w:ascii="Times New Roman" w:hAnsi="Times New Roman" w:cs="Times New Roman"/>
          <w:b/>
          <w:bCs/>
          <w:kern w:val="2"/>
          <w:sz w:val="24"/>
          <w:szCs w:val="24"/>
          <w:lang w:val="sq-AL"/>
          <w14:ligatures w14:val="standardContextual"/>
        </w:rPr>
        <w:t>r</w:t>
      </w:r>
      <w:r w:rsidRPr="0063193C">
        <w:rPr>
          <w:rFonts w:ascii="Times New Roman" w:hAnsi="Times New Roman" w:cs="Times New Roman"/>
          <w:b/>
          <w:bCs/>
          <w:kern w:val="2"/>
          <w:sz w:val="24"/>
          <w:szCs w:val="24"/>
          <w:lang w:val="sq-AL"/>
          <w14:ligatures w14:val="standardContextual"/>
        </w:rPr>
        <w:t xml:space="preserve">upeve të menaxhimit të integruara të politikave (IPMG) është aplikuar për </w:t>
      </w:r>
      <w:r w:rsidR="0047140A" w:rsidRPr="0063193C">
        <w:rPr>
          <w:rFonts w:ascii="Times New Roman" w:hAnsi="Times New Roman" w:cs="Times New Roman"/>
          <w:b/>
          <w:bCs/>
          <w:kern w:val="2"/>
          <w:sz w:val="24"/>
          <w:szCs w:val="24"/>
          <w:lang w:val="sq-AL"/>
          <w14:ligatures w14:val="standardContextual"/>
        </w:rPr>
        <w:t>5</w:t>
      </w:r>
      <w:r w:rsidRPr="0063193C">
        <w:rPr>
          <w:rFonts w:ascii="Times New Roman" w:hAnsi="Times New Roman" w:cs="Times New Roman"/>
          <w:b/>
          <w:bCs/>
          <w:kern w:val="2"/>
          <w:sz w:val="24"/>
          <w:szCs w:val="24"/>
          <w:lang w:val="sq-AL"/>
          <w14:ligatures w14:val="standardContextual"/>
        </w:rPr>
        <w:t xml:space="preserve"> akte:</w:t>
      </w:r>
    </w:p>
    <w:p w14:paraId="19FB5441" w14:textId="77777777" w:rsidR="00484011" w:rsidRDefault="00484011" w:rsidP="00484011">
      <w:pPr>
        <w:pStyle w:val="ListParagraph"/>
        <w:spacing w:after="0" w:line="276" w:lineRule="auto"/>
        <w:jc w:val="both"/>
        <w:rPr>
          <w:rFonts w:ascii="Times New Roman" w:hAnsi="Times New Roman" w:cs="Times New Roman"/>
          <w:kern w:val="2"/>
          <w:sz w:val="24"/>
          <w:szCs w:val="24"/>
          <w:lang w:val="sq-AL"/>
          <w14:ligatures w14:val="standardContextual"/>
        </w:rPr>
      </w:pPr>
    </w:p>
    <w:p w14:paraId="311D8019" w14:textId="68343B6A" w:rsidR="0047140A" w:rsidRPr="00BC7149" w:rsidRDefault="0047140A" w:rsidP="007F3C95">
      <w:pPr>
        <w:pStyle w:val="ListParagraph"/>
        <w:numPr>
          <w:ilvl w:val="0"/>
          <w:numId w:val="26"/>
        </w:numPr>
        <w:spacing w:after="0" w:line="276" w:lineRule="auto"/>
        <w:ind w:right="11"/>
        <w:jc w:val="both"/>
        <w:rPr>
          <w:rFonts w:ascii="Times New Roman" w:hAnsi="Times New Roman" w:cs="Times New Roman"/>
          <w:sz w:val="24"/>
          <w:szCs w:val="24"/>
          <w:lang w:val="it-IT"/>
        </w:rPr>
      </w:pPr>
      <w:r w:rsidRPr="00BC7149">
        <w:rPr>
          <w:rFonts w:ascii="Times New Roman" w:hAnsi="Times New Roman" w:cs="Times New Roman"/>
          <w:sz w:val="24"/>
          <w:szCs w:val="24"/>
          <w:lang w:val="sq-AL"/>
        </w:rPr>
        <w:t>V</w:t>
      </w:r>
      <w:r w:rsidRPr="00BC7149">
        <w:rPr>
          <w:rFonts w:ascii="Times New Roman" w:hAnsi="Times New Roman" w:cs="Times New Roman"/>
          <w:sz w:val="24"/>
          <w:szCs w:val="24"/>
          <w:lang w:val="it-IT"/>
        </w:rPr>
        <w:t>endimin e Këshillit të Ministrave "Për miratimin e Strategjisë Sektoriale për Menaxhimin e Financave Publike 2023-2030";</w:t>
      </w:r>
    </w:p>
    <w:p w14:paraId="53C81194" w14:textId="1731D7F0" w:rsidR="0047140A" w:rsidRPr="00BC7149" w:rsidRDefault="0047140A" w:rsidP="0047140A">
      <w:pPr>
        <w:pStyle w:val="ListParagraph"/>
        <w:numPr>
          <w:ilvl w:val="0"/>
          <w:numId w:val="26"/>
        </w:numPr>
        <w:spacing w:after="0" w:line="276" w:lineRule="auto"/>
        <w:ind w:right="11"/>
        <w:jc w:val="both"/>
        <w:rPr>
          <w:rFonts w:ascii="Times New Roman" w:hAnsi="Times New Roman" w:cs="Times New Roman"/>
          <w:sz w:val="24"/>
          <w:szCs w:val="24"/>
          <w:lang w:val="it-IT"/>
        </w:rPr>
      </w:pPr>
      <w:r w:rsidRPr="00BC7149">
        <w:rPr>
          <w:rFonts w:ascii="Times New Roman" w:hAnsi="Times New Roman" w:cs="Times New Roman"/>
          <w:sz w:val="24"/>
          <w:szCs w:val="24"/>
          <w:lang w:val="sq-AL"/>
        </w:rPr>
        <w:t>V</w:t>
      </w:r>
      <w:r w:rsidRPr="00BC7149">
        <w:rPr>
          <w:rFonts w:ascii="Times New Roman" w:hAnsi="Times New Roman" w:cs="Times New Roman"/>
          <w:sz w:val="24"/>
          <w:szCs w:val="24"/>
          <w:lang w:val="it-IT"/>
        </w:rPr>
        <w:t>endimin e Këshillit të Ministrave “Për miratimin e Programit të Reformave Ekonomike 2024-2026”</w:t>
      </w:r>
      <w:r w:rsidR="00BC7149">
        <w:rPr>
          <w:rFonts w:ascii="Times New Roman" w:hAnsi="Times New Roman" w:cs="Times New Roman"/>
          <w:sz w:val="24"/>
          <w:szCs w:val="24"/>
          <w:lang w:val="it-IT"/>
        </w:rPr>
        <w:t>;</w:t>
      </w:r>
    </w:p>
    <w:p w14:paraId="3D573415" w14:textId="133557C7" w:rsidR="0047140A" w:rsidRPr="00BC7149" w:rsidRDefault="0047140A" w:rsidP="0047140A">
      <w:pPr>
        <w:pStyle w:val="ListParagraph"/>
        <w:numPr>
          <w:ilvl w:val="0"/>
          <w:numId w:val="26"/>
        </w:numPr>
        <w:spacing w:after="0" w:line="276" w:lineRule="auto"/>
        <w:jc w:val="both"/>
        <w:rPr>
          <w:rFonts w:ascii="Times New Roman" w:eastAsia="Times New Roman" w:hAnsi="Times New Roman" w:cs="Times New Roman"/>
          <w:color w:val="000000"/>
          <w:sz w:val="24"/>
          <w:szCs w:val="24"/>
          <w:lang w:val="sq-AL"/>
        </w:rPr>
      </w:pPr>
      <w:r w:rsidRPr="00BC7149">
        <w:rPr>
          <w:rFonts w:ascii="Times New Roman" w:eastAsia="Times New Roman" w:hAnsi="Times New Roman" w:cs="Times New Roman"/>
          <w:color w:val="000000"/>
          <w:sz w:val="24"/>
          <w:szCs w:val="24"/>
          <w:lang w:val="sq-AL"/>
        </w:rPr>
        <w:t>Ligjin “Për disa shtesa dhe ndryshime në ligjin nr.10091, datë 05.03.2009 “Për auditimin ligjor, organizimin e profesionit të audituesit ligjor dhe të kontabilistit të miratuar</w:t>
      </w:r>
      <w:r w:rsidR="00BC7149">
        <w:rPr>
          <w:rFonts w:ascii="Times New Roman" w:eastAsia="Times New Roman" w:hAnsi="Times New Roman" w:cs="Times New Roman"/>
          <w:color w:val="000000"/>
          <w:sz w:val="24"/>
          <w:szCs w:val="24"/>
          <w:lang w:val="sq-AL"/>
        </w:rPr>
        <w:t>”</w:t>
      </w:r>
      <w:r w:rsidRPr="00BC7149">
        <w:rPr>
          <w:rFonts w:ascii="Times New Roman" w:eastAsia="Times New Roman" w:hAnsi="Times New Roman" w:cs="Times New Roman"/>
          <w:color w:val="000000"/>
          <w:sz w:val="24"/>
          <w:szCs w:val="24"/>
          <w:lang w:val="sq-AL"/>
        </w:rPr>
        <w:t>, i ndryshuar;</w:t>
      </w:r>
    </w:p>
    <w:p w14:paraId="5575D0E2" w14:textId="1A9BEAC5" w:rsidR="0047140A" w:rsidRPr="00BC7149" w:rsidRDefault="0047140A" w:rsidP="0047140A">
      <w:pPr>
        <w:numPr>
          <w:ilvl w:val="0"/>
          <w:numId w:val="26"/>
        </w:numPr>
        <w:spacing w:after="0" w:line="276" w:lineRule="auto"/>
        <w:ind w:right="11"/>
        <w:jc w:val="both"/>
        <w:rPr>
          <w:rFonts w:ascii="Times New Roman" w:eastAsia="Times New Roman" w:hAnsi="Times New Roman" w:cs="Times New Roman"/>
          <w:color w:val="000000"/>
          <w:sz w:val="24"/>
          <w:szCs w:val="24"/>
          <w:lang w:val="sq-AL"/>
        </w:rPr>
      </w:pPr>
      <w:r w:rsidRPr="00BC7149">
        <w:rPr>
          <w:rFonts w:ascii="Times New Roman" w:eastAsia="Times New Roman" w:hAnsi="Times New Roman" w:cs="Times New Roman"/>
          <w:color w:val="000000"/>
          <w:sz w:val="24"/>
          <w:szCs w:val="24"/>
          <w:lang w:val="sq-AL"/>
        </w:rPr>
        <w:t>Vendimin e Këshillit të Ministrave “Për miratimin e Strategjisë Afatmesme të të Ardhurave dhe planit të veprimit 2024-2027”;</w:t>
      </w:r>
    </w:p>
    <w:p w14:paraId="23DB6457" w14:textId="77777777" w:rsidR="0047140A" w:rsidRPr="00BC7149" w:rsidRDefault="0047140A" w:rsidP="0047140A">
      <w:pPr>
        <w:numPr>
          <w:ilvl w:val="0"/>
          <w:numId w:val="26"/>
        </w:numPr>
        <w:spacing w:after="0" w:line="276" w:lineRule="auto"/>
        <w:ind w:right="11"/>
        <w:jc w:val="both"/>
        <w:rPr>
          <w:rFonts w:ascii="Times New Roman" w:eastAsia="Times New Roman" w:hAnsi="Times New Roman" w:cs="Times New Roman"/>
          <w:color w:val="000000"/>
          <w:sz w:val="24"/>
          <w:szCs w:val="24"/>
          <w:lang w:val="sq-AL"/>
        </w:rPr>
      </w:pPr>
      <w:r w:rsidRPr="00BC7149">
        <w:rPr>
          <w:rFonts w:ascii="Times New Roman" w:eastAsia="Times New Roman" w:hAnsi="Times New Roman" w:cs="Times New Roman"/>
          <w:color w:val="000000"/>
          <w:sz w:val="24"/>
          <w:szCs w:val="24"/>
          <w:lang w:val="sq-AL"/>
        </w:rPr>
        <w:t>Ligjin “Për disa shtesa dhe ndryshime në ligjin nr. 52/2014 “Për veprimtarinë e sigurimit dhe risigurimit”.</w:t>
      </w:r>
    </w:p>
    <w:p w14:paraId="7BB5F475" w14:textId="77777777" w:rsidR="00484011" w:rsidRPr="0047140A" w:rsidRDefault="00484011" w:rsidP="0047140A">
      <w:pPr>
        <w:spacing w:after="0" w:line="276" w:lineRule="auto"/>
        <w:ind w:right="11"/>
        <w:jc w:val="both"/>
        <w:rPr>
          <w:rFonts w:ascii="Times New Roman" w:hAnsi="Times New Roman" w:cs="Times New Roman"/>
          <w:sz w:val="24"/>
          <w:szCs w:val="24"/>
          <w:lang w:val="sq-AL"/>
        </w:rPr>
      </w:pPr>
    </w:p>
    <w:p w14:paraId="0FE34FF4" w14:textId="25BCC44D" w:rsidR="00484011" w:rsidRPr="0063193C" w:rsidRDefault="00484011" w:rsidP="00BC7149">
      <w:pPr>
        <w:spacing w:after="0" w:line="276" w:lineRule="auto"/>
        <w:jc w:val="both"/>
        <w:rPr>
          <w:rFonts w:ascii="Times New Roman" w:hAnsi="Times New Roman" w:cs="Times New Roman"/>
          <w:b/>
          <w:bCs/>
          <w:kern w:val="2"/>
          <w:sz w:val="24"/>
          <w:szCs w:val="24"/>
          <w:lang w:val="sq-AL"/>
          <w14:ligatures w14:val="standardContextual"/>
        </w:rPr>
      </w:pPr>
      <w:r w:rsidRPr="0063193C">
        <w:rPr>
          <w:rFonts w:ascii="Times New Roman" w:hAnsi="Times New Roman" w:cs="Times New Roman"/>
          <w:b/>
          <w:bCs/>
          <w:kern w:val="2"/>
          <w:sz w:val="24"/>
          <w:szCs w:val="24"/>
          <w:lang w:val="sq-AL"/>
          <w14:ligatures w14:val="standardContextual"/>
        </w:rPr>
        <w:t xml:space="preserve">Takimet konsultative janë aplikuar për </w:t>
      </w:r>
      <w:r w:rsidR="000103DF" w:rsidRPr="0063193C">
        <w:rPr>
          <w:rFonts w:ascii="Times New Roman" w:hAnsi="Times New Roman" w:cs="Times New Roman"/>
          <w:b/>
          <w:bCs/>
          <w:kern w:val="2"/>
          <w:sz w:val="24"/>
          <w:szCs w:val="24"/>
          <w:lang w:val="sq-AL"/>
          <w14:ligatures w14:val="standardContextual"/>
        </w:rPr>
        <w:t>6</w:t>
      </w:r>
      <w:r w:rsidRPr="0063193C">
        <w:rPr>
          <w:rFonts w:ascii="Times New Roman" w:hAnsi="Times New Roman" w:cs="Times New Roman"/>
          <w:b/>
          <w:bCs/>
          <w:kern w:val="2"/>
          <w:sz w:val="24"/>
          <w:szCs w:val="24"/>
          <w:lang w:val="sq-AL"/>
          <w14:ligatures w14:val="standardContextual"/>
        </w:rPr>
        <w:t xml:space="preserve"> akte: </w:t>
      </w:r>
    </w:p>
    <w:p w14:paraId="3D219A0E" w14:textId="77777777" w:rsidR="00484011" w:rsidRDefault="00484011" w:rsidP="00484011">
      <w:pPr>
        <w:pStyle w:val="ListParagraph"/>
        <w:spacing w:after="0" w:line="276" w:lineRule="auto"/>
        <w:jc w:val="both"/>
        <w:rPr>
          <w:rFonts w:ascii="Times New Roman" w:hAnsi="Times New Roman" w:cs="Times New Roman"/>
          <w:kern w:val="2"/>
          <w:sz w:val="24"/>
          <w:szCs w:val="24"/>
          <w:lang w:val="sq-AL"/>
          <w14:ligatures w14:val="standardContextual"/>
        </w:rPr>
      </w:pPr>
    </w:p>
    <w:p w14:paraId="2862654B" w14:textId="1DAA9B39" w:rsidR="007F3C95" w:rsidRPr="00BC7149" w:rsidRDefault="000103DF" w:rsidP="007F3C95">
      <w:pPr>
        <w:pStyle w:val="ListParagraph"/>
        <w:numPr>
          <w:ilvl w:val="0"/>
          <w:numId w:val="34"/>
        </w:numPr>
        <w:spacing w:after="0" w:line="276" w:lineRule="auto"/>
        <w:ind w:right="11"/>
        <w:jc w:val="both"/>
        <w:rPr>
          <w:rFonts w:ascii="Times New Roman" w:hAnsi="Times New Roman" w:cs="Times New Roman"/>
          <w:sz w:val="24"/>
          <w:szCs w:val="24"/>
          <w:lang w:val="sq-AL"/>
        </w:rPr>
      </w:pPr>
      <w:r w:rsidRPr="00BC7149">
        <w:rPr>
          <w:rFonts w:ascii="Times New Roman" w:hAnsi="Times New Roman" w:cs="Times New Roman"/>
          <w:sz w:val="24"/>
          <w:szCs w:val="24"/>
          <w:lang w:val="sq-AL"/>
        </w:rPr>
        <w:t xml:space="preserve">Ligjin </w:t>
      </w:r>
      <w:r w:rsidR="00FC45D5">
        <w:rPr>
          <w:rFonts w:ascii="Times New Roman" w:hAnsi="Times New Roman" w:cs="Times New Roman"/>
          <w:sz w:val="24"/>
          <w:szCs w:val="24"/>
          <w:lang w:val="sq-AL"/>
        </w:rPr>
        <w:t>“</w:t>
      </w:r>
      <w:r w:rsidRPr="00BC7149">
        <w:rPr>
          <w:rFonts w:ascii="Times New Roman" w:hAnsi="Times New Roman" w:cs="Times New Roman"/>
          <w:sz w:val="24"/>
          <w:szCs w:val="24"/>
          <w:lang w:val="sq-AL"/>
        </w:rPr>
        <w:t>Për disa ndryshime në ligjin nr. 61/2012 “Për akcizat në Republikën e Shqipërisë”, i ndryshuar;</w:t>
      </w:r>
    </w:p>
    <w:p w14:paraId="1234DC69" w14:textId="342876F2" w:rsidR="007F3C95" w:rsidRPr="00BC7149" w:rsidRDefault="000103DF" w:rsidP="007F3C95">
      <w:pPr>
        <w:pStyle w:val="ListParagraph"/>
        <w:numPr>
          <w:ilvl w:val="0"/>
          <w:numId w:val="34"/>
        </w:numPr>
        <w:spacing w:after="0" w:line="276" w:lineRule="auto"/>
        <w:ind w:right="11"/>
        <w:jc w:val="both"/>
        <w:rPr>
          <w:rFonts w:ascii="Times New Roman" w:hAnsi="Times New Roman" w:cs="Times New Roman"/>
          <w:sz w:val="24"/>
          <w:szCs w:val="24"/>
          <w:lang w:val="sq-AL"/>
        </w:rPr>
      </w:pPr>
      <w:r w:rsidRPr="00BC7149">
        <w:rPr>
          <w:rFonts w:ascii="Times New Roman" w:hAnsi="Times New Roman" w:cs="Times New Roman"/>
          <w:sz w:val="24"/>
          <w:szCs w:val="24"/>
          <w:lang w:val="sq-AL"/>
        </w:rPr>
        <w:t>V</w:t>
      </w:r>
      <w:r w:rsidRPr="00BC7149">
        <w:rPr>
          <w:rFonts w:ascii="Times New Roman" w:hAnsi="Times New Roman" w:cs="Times New Roman"/>
          <w:sz w:val="24"/>
          <w:szCs w:val="24"/>
          <w:lang w:val="it-IT"/>
        </w:rPr>
        <w:t xml:space="preserve">endimin e Këshillit të Ministrave </w:t>
      </w:r>
      <w:r w:rsidR="00FC45D5">
        <w:rPr>
          <w:rFonts w:ascii="Times New Roman" w:hAnsi="Times New Roman" w:cs="Times New Roman"/>
          <w:sz w:val="24"/>
          <w:szCs w:val="24"/>
          <w:lang w:val="it-IT"/>
        </w:rPr>
        <w:t>“</w:t>
      </w:r>
      <w:r w:rsidRPr="00BC7149">
        <w:rPr>
          <w:rFonts w:ascii="Times New Roman" w:hAnsi="Times New Roman" w:cs="Times New Roman"/>
          <w:sz w:val="24"/>
          <w:szCs w:val="24"/>
          <w:lang w:val="it-IT"/>
        </w:rPr>
        <w:t>Për miratimin e Strategjisë Sektoriale për Menaxhimin e Financave Publike 2023-2030</w:t>
      </w:r>
      <w:r w:rsidR="00FC45D5">
        <w:rPr>
          <w:rFonts w:ascii="Times New Roman" w:hAnsi="Times New Roman" w:cs="Times New Roman"/>
          <w:sz w:val="24"/>
          <w:szCs w:val="24"/>
          <w:lang w:val="it-IT"/>
        </w:rPr>
        <w:t>”</w:t>
      </w:r>
      <w:r w:rsidRPr="00BC7149">
        <w:rPr>
          <w:rFonts w:ascii="Times New Roman" w:hAnsi="Times New Roman" w:cs="Times New Roman"/>
          <w:sz w:val="24"/>
          <w:szCs w:val="24"/>
          <w:lang w:val="it-IT"/>
        </w:rPr>
        <w:t>;</w:t>
      </w:r>
    </w:p>
    <w:p w14:paraId="1099360B" w14:textId="7551BAA0" w:rsidR="007F3C95" w:rsidRPr="00BC7149" w:rsidRDefault="000103DF" w:rsidP="007F3C95">
      <w:pPr>
        <w:pStyle w:val="ListParagraph"/>
        <w:numPr>
          <w:ilvl w:val="0"/>
          <w:numId w:val="34"/>
        </w:numPr>
        <w:spacing w:after="0" w:line="276" w:lineRule="auto"/>
        <w:ind w:right="11"/>
        <w:jc w:val="both"/>
        <w:rPr>
          <w:rFonts w:ascii="Times New Roman" w:hAnsi="Times New Roman" w:cs="Times New Roman"/>
          <w:sz w:val="24"/>
          <w:szCs w:val="24"/>
          <w:lang w:val="sq-AL"/>
        </w:rPr>
      </w:pPr>
      <w:r w:rsidRPr="00BC7149">
        <w:rPr>
          <w:rFonts w:ascii="Times New Roman" w:hAnsi="Times New Roman" w:cs="Times New Roman"/>
          <w:sz w:val="24"/>
          <w:szCs w:val="24"/>
          <w:lang w:val="sq-AL"/>
        </w:rPr>
        <w:t>V</w:t>
      </w:r>
      <w:r w:rsidRPr="00BC7149">
        <w:rPr>
          <w:rFonts w:ascii="Times New Roman" w:hAnsi="Times New Roman" w:cs="Times New Roman"/>
          <w:sz w:val="24"/>
          <w:szCs w:val="24"/>
          <w:lang w:val="it-IT"/>
        </w:rPr>
        <w:t>endimin e Këshillit të Ministrave “Për miratimin e Programit të Reformave Ekonomike 2024-2026”</w:t>
      </w:r>
      <w:r w:rsidR="00BC7149">
        <w:rPr>
          <w:rFonts w:ascii="Times New Roman" w:hAnsi="Times New Roman" w:cs="Times New Roman"/>
          <w:sz w:val="24"/>
          <w:szCs w:val="24"/>
          <w:lang w:val="it-IT"/>
        </w:rPr>
        <w:t>;</w:t>
      </w:r>
    </w:p>
    <w:p w14:paraId="2EEF60BD" w14:textId="77777777" w:rsidR="007F3C95" w:rsidRPr="00BC7149" w:rsidRDefault="000103DF" w:rsidP="007F3C95">
      <w:pPr>
        <w:pStyle w:val="ListParagraph"/>
        <w:numPr>
          <w:ilvl w:val="0"/>
          <w:numId w:val="34"/>
        </w:numPr>
        <w:spacing w:after="0" w:line="276" w:lineRule="auto"/>
        <w:ind w:right="11"/>
        <w:jc w:val="both"/>
        <w:rPr>
          <w:rFonts w:ascii="Times New Roman" w:hAnsi="Times New Roman" w:cs="Times New Roman"/>
          <w:sz w:val="24"/>
          <w:szCs w:val="24"/>
          <w:lang w:val="sq-AL"/>
        </w:rPr>
      </w:pPr>
      <w:r w:rsidRPr="00BC7149">
        <w:rPr>
          <w:rFonts w:ascii="Times New Roman" w:eastAsia="Times New Roman" w:hAnsi="Times New Roman" w:cs="Times New Roman"/>
          <w:color w:val="000000"/>
          <w:sz w:val="24"/>
          <w:szCs w:val="24"/>
          <w:lang w:val="sq-AL"/>
        </w:rPr>
        <w:lastRenderedPageBreak/>
        <w:t>Ligjin “Për disa shtesa dhe ndryshime në ligjin nr.10091, datë 05.03.2009 “Për auditimin ligjor, organizimin e profesionit të audituesit ligjor dhe të kontabilistit të miratuar, i ndryshuar”;</w:t>
      </w:r>
    </w:p>
    <w:p w14:paraId="43239C6E" w14:textId="0F67EF65" w:rsidR="007F3C95" w:rsidRPr="00BC7149" w:rsidRDefault="000103DF" w:rsidP="007F3C95">
      <w:pPr>
        <w:pStyle w:val="ListParagraph"/>
        <w:numPr>
          <w:ilvl w:val="0"/>
          <w:numId w:val="34"/>
        </w:numPr>
        <w:spacing w:after="0" w:line="276" w:lineRule="auto"/>
        <w:ind w:right="11"/>
        <w:jc w:val="both"/>
        <w:rPr>
          <w:rFonts w:ascii="Times New Roman" w:hAnsi="Times New Roman" w:cs="Times New Roman"/>
          <w:sz w:val="24"/>
          <w:szCs w:val="24"/>
          <w:lang w:val="sq-AL"/>
        </w:rPr>
      </w:pPr>
      <w:r w:rsidRPr="00BC7149">
        <w:rPr>
          <w:rFonts w:ascii="Times New Roman" w:eastAsia="Times New Roman" w:hAnsi="Times New Roman" w:cs="Times New Roman"/>
          <w:color w:val="000000"/>
          <w:sz w:val="24"/>
          <w:szCs w:val="24"/>
          <w:lang w:val="sq-AL"/>
        </w:rPr>
        <w:t>Vendimin e Këshillit të Ministrave “Për miratimin e Strategjisë Afatmesme të të Ardhurave dhe planit të veprimit 2024-2027”;</w:t>
      </w:r>
    </w:p>
    <w:p w14:paraId="48C42ACD" w14:textId="4CC52B86" w:rsidR="000103DF" w:rsidRPr="00BC7149" w:rsidRDefault="000103DF" w:rsidP="007F3C95">
      <w:pPr>
        <w:pStyle w:val="ListParagraph"/>
        <w:numPr>
          <w:ilvl w:val="0"/>
          <w:numId w:val="34"/>
        </w:numPr>
        <w:spacing w:after="0" w:line="276" w:lineRule="auto"/>
        <w:ind w:right="11"/>
        <w:jc w:val="both"/>
        <w:rPr>
          <w:rFonts w:ascii="Times New Roman" w:hAnsi="Times New Roman" w:cs="Times New Roman"/>
          <w:sz w:val="24"/>
          <w:szCs w:val="24"/>
          <w:lang w:val="sq-AL"/>
        </w:rPr>
      </w:pPr>
      <w:r w:rsidRPr="00BC7149">
        <w:rPr>
          <w:rFonts w:ascii="Times New Roman" w:eastAsia="Times New Roman" w:hAnsi="Times New Roman" w:cs="Times New Roman"/>
          <w:color w:val="000000"/>
          <w:sz w:val="24"/>
          <w:szCs w:val="24"/>
          <w:lang w:val="sq-AL"/>
        </w:rPr>
        <w:t>Ligjin “Për disa shtesa dhe ndryshime në ligjin nr. 52/2014 “Për veprimtarinë e sigurimit dhe risigurimit”.</w:t>
      </w:r>
    </w:p>
    <w:p w14:paraId="5113050F" w14:textId="77777777" w:rsidR="00D776E3" w:rsidRDefault="00D776E3" w:rsidP="00D776E3">
      <w:pPr>
        <w:spacing w:after="0" w:line="276" w:lineRule="auto"/>
        <w:jc w:val="both"/>
        <w:rPr>
          <w:rFonts w:ascii="Times New Roman" w:hAnsi="Times New Roman" w:cs="Times New Roman"/>
          <w:kern w:val="2"/>
          <w:sz w:val="24"/>
          <w:szCs w:val="24"/>
          <w:lang w:val="sq-AL"/>
          <w14:ligatures w14:val="standardContextual"/>
        </w:rPr>
      </w:pPr>
    </w:p>
    <w:p w14:paraId="50E64DE1" w14:textId="77777777" w:rsidR="00AB504B" w:rsidRDefault="00BC4618" w:rsidP="00AB504B">
      <w:pPr>
        <w:spacing w:after="0" w:line="276" w:lineRule="auto"/>
        <w:jc w:val="both"/>
        <w:rPr>
          <w:rFonts w:ascii="Times New Roman" w:hAnsi="Times New Roman" w:cs="Times New Roman"/>
          <w:kern w:val="2"/>
          <w:sz w:val="24"/>
          <w:szCs w:val="24"/>
          <w:lang w:val="sq-AL"/>
          <w14:ligatures w14:val="standardContextual"/>
        </w:rPr>
      </w:pPr>
      <w:r w:rsidRPr="00D776E3">
        <w:rPr>
          <w:rFonts w:ascii="Times New Roman" w:hAnsi="Times New Roman" w:cs="Times New Roman"/>
          <w:kern w:val="2"/>
          <w:sz w:val="24"/>
          <w:szCs w:val="24"/>
          <w:lang w:val="sq-AL"/>
          <w14:ligatures w14:val="standardContextual"/>
        </w:rPr>
        <w:t>Për sa më sipër, është kryer edhe paraqitja grafike e metodave të përdora të konsultimit publik</w:t>
      </w:r>
      <w:r w:rsidR="00AB504B">
        <w:rPr>
          <w:rFonts w:ascii="Times New Roman" w:hAnsi="Times New Roman" w:cs="Times New Roman"/>
          <w:kern w:val="2"/>
          <w:sz w:val="24"/>
          <w:szCs w:val="24"/>
          <w:lang w:val="sq-AL"/>
          <w14:ligatures w14:val="standardContextual"/>
        </w:rPr>
        <w:t xml:space="preserve"> si vijon:</w:t>
      </w:r>
    </w:p>
    <w:p w14:paraId="28CD5374" w14:textId="77777777" w:rsidR="00F5264F" w:rsidRDefault="00F5264F" w:rsidP="00AB504B">
      <w:pPr>
        <w:spacing w:after="0" w:line="276" w:lineRule="auto"/>
        <w:jc w:val="both"/>
        <w:rPr>
          <w:rFonts w:ascii="Times New Roman" w:hAnsi="Times New Roman" w:cs="Times New Roman"/>
          <w:kern w:val="2"/>
          <w:sz w:val="24"/>
          <w:szCs w:val="24"/>
          <w:lang w:val="sq-AL"/>
          <w14:ligatures w14:val="standardContextual"/>
        </w:rPr>
      </w:pPr>
    </w:p>
    <w:p w14:paraId="260A9247" w14:textId="0B3FF0F5" w:rsidR="007F3C95" w:rsidRDefault="007F3C95" w:rsidP="007F3C95">
      <w:pPr>
        <w:spacing w:after="0" w:line="276" w:lineRule="auto"/>
        <w:jc w:val="center"/>
        <w:rPr>
          <w:rFonts w:ascii="Times New Roman" w:hAnsi="Times New Roman" w:cs="Times New Roman"/>
          <w:kern w:val="2"/>
          <w:sz w:val="24"/>
          <w:szCs w:val="24"/>
          <w:lang w:val="sq-AL"/>
          <w14:ligatures w14:val="standardContextual"/>
        </w:rPr>
      </w:pPr>
      <w:r w:rsidRPr="00AD0872">
        <w:rPr>
          <w:rFonts w:ascii="Times New Roman" w:eastAsia="Times New Roman" w:hAnsi="Times New Roman" w:cs="Times New Roman"/>
          <w:noProof/>
          <w:color w:val="000000"/>
          <w:sz w:val="24"/>
          <w:szCs w:val="24"/>
        </w:rPr>
        <w:drawing>
          <wp:inline distT="0" distB="0" distL="0" distR="0" wp14:anchorId="2F0BA8B8" wp14:editId="40C61886">
            <wp:extent cx="4664682" cy="2826689"/>
            <wp:effectExtent l="0" t="0" r="3175" b="12065"/>
            <wp:docPr id="3296926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8006E1" w14:textId="77777777" w:rsidR="00EB477D" w:rsidRPr="00EB477D" w:rsidRDefault="00EB477D" w:rsidP="00F5264F">
      <w:pPr>
        <w:spacing w:after="0" w:line="276" w:lineRule="auto"/>
        <w:rPr>
          <w:rFonts w:ascii="Times New Roman" w:hAnsi="Times New Roman" w:cs="Times New Roman"/>
          <w:b/>
          <w:bCs/>
          <w:sz w:val="24"/>
          <w:szCs w:val="24"/>
          <w:lang w:val="sq-AL"/>
        </w:rPr>
      </w:pPr>
    </w:p>
    <w:p w14:paraId="262B8D7D" w14:textId="77777777" w:rsidR="00EB477D" w:rsidRDefault="00EB477D" w:rsidP="00920ED0">
      <w:pPr>
        <w:spacing w:after="0" w:line="276" w:lineRule="auto"/>
        <w:jc w:val="center"/>
        <w:rPr>
          <w:rFonts w:ascii="Times New Roman" w:hAnsi="Times New Roman" w:cs="Times New Roman"/>
          <w:b/>
          <w:bCs/>
          <w:sz w:val="24"/>
          <w:szCs w:val="24"/>
          <w:lang w:val="sq-AL"/>
        </w:rPr>
      </w:pPr>
      <w:r w:rsidRPr="00EB477D">
        <w:rPr>
          <w:rFonts w:ascii="Times New Roman" w:hAnsi="Times New Roman" w:cs="Times New Roman"/>
          <w:b/>
          <w:bCs/>
          <w:sz w:val="24"/>
          <w:szCs w:val="24"/>
          <w:lang w:val="sq-AL"/>
        </w:rPr>
        <w:t>Paraqitja grafike e metodave të përdorura për konsultimin publik</w:t>
      </w:r>
    </w:p>
    <w:p w14:paraId="1A83EC3D" w14:textId="77777777" w:rsidR="007F4BDC" w:rsidRDefault="007F4BDC" w:rsidP="007F4BDC">
      <w:pPr>
        <w:spacing w:after="0" w:line="276" w:lineRule="auto"/>
        <w:jc w:val="both"/>
        <w:rPr>
          <w:rFonts w:ascii="Times New Roman" w:hAnsi="Times New Roman" w:cs="Times New Roman"/>
          <w:sz w:val="24"/>
          <w:szCs w:val="24"/>
          <w:lang w:val="sq-AL"/>
        </w:rPr>
      </w:pPr>
    </w:p>
    <w:p w14:paraId="089C06C2" w14:textId="77777777" w:rsidR="007F3C95" w:rsidRDefault="007F3C95" w:rsidP="007F4BDC">
      <w:pPr>
        <w:spacing w:after="0" w:line="276" w:lineRule="auto"/>
        <w:jc w:val="both"/>
        <w:rPr>
          <w:rFonts w:ascii="Times New Roman" w:hAnsi="Times New Roman" w:cs="Times New Roman"/>
          <w:sz w:val="24"/>
          <w:szCs w:val="24"/>
          <w:lang w:val="sq-AL"/>
        </w:rPr>
      </w:pPr>
    </w:p>
    <w:p w14:paraId="2FFFBE30" w14:textId="048605EA" w:rsidR="002F5F47" w:rsidRDefault="00674CC8" w:rsidP="00BC7149">
      <w:pPr>
        <w:spacing w:after="0" w:line="276" w:lineRule="auto"/>
        <w:jc w:val="both"/>
        <w:rPr>
          <w:rFonts w:ascii="Times New Roman" w:hAnsi="Times New Roman" w:cs="Times New Roman"/>
          <w:kern w:val="2"/>
          <w:sz w:val="24"/>
          <w:szCs w:val="24"/>
          <w:lang w:val="sq-AL"/>
          <w14:ligatures w14:val="standardContextual"/>
        </w:rPr>
      </w:pPr>
      <w:r w:rsidRPr="00BC7149">
        <w:rPr>
          <w:rFonts w:ascii="Times New Roman" w:hAnsi="Times New Roman" w:cs="Times New Roman"/>
          <w:sz w:val="24"/>
          <w:szCs w:val="24"/>
          <w:lang w:val="sq-AL"/>
        </w:rPr>
        <w:t>Krahasuar me vitet e kaluar</w:t>
      </w:r>
      <w:r w:rsidR="00B35782" w:rsidRPr="00BC7149">
        <w:rPr>
          <w:rFonts w:ascii="Times New Roman" w:hAnsi="Times New Roman" w:cs="Times New Roman"/>
          <w:sz w:val="24"/>
          <w:szCs w:val="24"/>
          <w:lang w:val="sq-AL"/>
        </w:rPr>
        <w:t>a</w:t>
      </w:r>
      <w:r w:rsidR="00CD2CCF" w:rsidRPr="00BC7149">
        <w:rPr>
          <w:rFonts w:ascii="Times New Roman" w:hAnsi="Times New Roman" w:cs="Times New Roman"/>
          <w:sz w:val="24"/>
          <w:szCs w:val="24"/>
          <w:lang w:val="sq-AL"/>
        </w:rPr>
        <w:t xml:space="preserve">, </w:t>
      </w:r>
      <w:r w:rsidR="009339B8" w:rsidRPr="00BC7149">
        <w:rPr>
          <w:rFonts w:ascii="Times New Roman" w:hAnsi="Times New Roman" w:cs="Times New Roman"/>
          <w:sz w:val="24"/>
          <w:szCs w:val="24"/>
          <w:lang w:val="sq-AL"/>
        </w:rPr>
        <w:t>p</w:t>
      </w:r>
      <w:r w:rsidR="00A83EA5" w:rsidRPr="00BC7149">
        <w:rPr>
          <w:rFonts w:ascii="Times New Roman" w:hAnsi="Times New Roman" w:cs="Times New Roman"/>
          <w:sz w:val="24"/>
          <w:szCs w:val="24"/>
          <w:lang w:val="sq-AL"/>
        </w:rPr>
        <w:t>erformanca institucionale e Ministrisë së Financave është</w:t>
      </w:r>
      <w:r w:rsidR="007A09CB" w:rsidRPr="00BC7149">
        <w:rPr>
          <w:rFonts w:ascii="Times New Roman" w:hAnsi="Times New Roman" w:cs="Times New Roman"/>
          <w:sz w:val="24"/>
          <w:szCs w:val="24"/>
          <w:lang w:val="sq-AL"/>
        </w:rPr>
        <w:t xml:space="preserve"> në rritje,</w:t>
      </w:r>
      <w:r w:rsidR="007A09CB">
        <w:rPr>
          <w:rFonts w:ascii="Times New Roman" w:hAnsi="Times New Roman" w:cs="Times New Roman"/>
          <w:sz w:val="24"/>
          <w:szCs w:val="24"/>
          <w:lang w:val="sq-AL"/>
        </w:rPr>
        <w:t xml:space="preserve"> </w:t>
      </w:r>
      <w:r w:rsidR="007F4BDC">
        <w:rPr>
          <w:rFonts w:ascii="Times New Roman" w:hAnsi="Times New Roman" w:cs="Times New Roman"/>
          <w:sz w:val="24"/>
          <w:szCs w:val="24"/>
          <w:lang w:val="sq-AL"/>
        </w:rPr>
        <w:t xml:space="preserve">ku </w:t>
      </w:r>
      <w:r w:rsidR="002F5F47">
        <w:rPr>
          <w:rFonts w:ascii="Times New Roman" w:hAnsi="Times New Roman" w:cs="Times New Roman"/>
          <w:sz w:val="24"/>
          <w:szCs w:val="24"/>
          <w:lang w:val="sq-AL"/>
        </w:rPr>
        <w:t xml:space="preserve">gjatë kësaj periudhe raportimi </w:t>
      </w:r>
      <w:r w:rsidR="002F5F47" w:rsidRPr="001800A7">
        <w:rPr>
          <w:rFonts w:ascii="Times New Roman" w:hAnsi="Times New Roman" w:cs="Times New Roman"/>
          <w:sz w:val="24"/>
          <w:szCs w:val="24"/>
          <w:lang w:val="sq-AL"/>
        </w:rPr>
        <w:t>janë gjeneruar më shumë komente</w:t>
      </w:r>
      <w:r w:rsidR="002F5F47">
        <w:rPr>
          <w:rFonts w:ascii="Times New Roman" w:hAnsi="Times New Roman" w:cs="Times New Roman"/>
          <w:sz w:val="24"/>
          <w:szCs w:val="24"/>
          <w:lang w:val="sq-AL"/>
        </w:rPr>
        <w:t xml:space="preserve">, në total </w:t>
      </w:r>
      <w:r w:rsidR="00787B30">
        <w:rPr>
          <w:rFonts w:ascii="Times New Roman" w:hAnsi="Times New Roman" w:cs="Times New Roman"/>
          <w:sz w:val="24"/>
          <w:szCs w:val="24"/>
          <w:lang w:val="sq-AL"/>
        </w:rPr>
        <w:t>193</w:t>
      </w:r>
      <w:r w:rsidR="002F5F47" w:rsidRPr="001800A7">
        <w:rPr>
          <w:rFonts w:ascii="Times New Roman" w:hAnsi="Times New Roman" w:cs="Times New Roman"/>
          <w:sz w:val="24"/>
          <w:szCs w:val="24"/>
          <w:lang w:val="sq-AL"/>
        </w:rPr>
        <w:t xml:space="preserve"> komente </w:t>
      </w:r>
      <w:r w:rsidR="002F5F47">
        <w:rPr>
          <w:rFonts w:ascii="Times New Roman" w:hAnsi="Times New Roman" w:cs="Times New Roman"/>
          <w:sz w:val="24"/>
          <w:szCs w:val="24"/>
          <w:lang w:val="sq-AL"/>
        </w:rPr>
        <w:t>për</w:t>
      </w:r>
      <w:r w:rsidR="002F5F47" w:rsidRPr="001800A7">
        <w:rPr>
          <w:rFonts w:ascii="Times New Roman" w:hAnsi="Times New Roman" w:cs="Times New Roman"/>
          <w:sz w:val="24"/>
          <w:szCs w:val="24"/>
          <w:lang w:val="sq-AL"/>
        </w:rPr>
        <w:t xml:space="preserve"> </w:t>
      </w:r>
      <w:r w:rsidR="00787B30">
        <w:rPr>
          <w:rFonts w:ascii="Times New Roman" w:hAnsi="Times New Roman" w:cs="Times New Roman"/>
          <w:sz w:val="24"/>
          <w:szCs w:val="24"/>
          <w:lang w:val="sq-AL"/>
        </w:rPr>
        <w:t>6</w:t>
      </w:r>
      <w:r w:rsidR="002F5F47" w:rsidRPr="001800A7">
        <w:rPr>
          <w:rFonts w:ascii="Times New Roman" w:hAnsi="Times New Roman" w:cs="Times New Roman"/>
          <w:sz w:val="24"/>
          <w:szCs w:val="24"/>
          <w:lang w:val="sq-AL"/>
        </w:rPr>
        <w:t xml:space="preserve"> akte objekt konsultimi, ndërsa gjatë vitit 2023 </w:t>
      </w:r>
      <w:r w:rsidR="002F5F47">
        <w:rPr>
          <w:rFonts w:ascii="Times New Roman" w:hAnsi="Times New Roman" w:cs="Times New Roman"/>
          <w:sz w:val="24"/>
          <w:szCs w:val="24"/>
          <w:lang w:val="sq-AL"/>
        </w:rPr>
        <w:t>janë gjeneruar</w:t>
      </w:r>
      <w:r w:rsidR="002F5F47" w:rsidRPr="001800A7">
        <w:rPr>
          <w:rFonts w:ascii="Times New Roman" w:hAnsi="Times New Roman" w:cs="Times New Roman"/>
          <w:sz w:val="24"/>
          <w:szCs w:val="24"/>
          <w:lang w:val="sq-AL"/>
        </w:rPr>
        <w:t xml:space="preserve"> 44</w:t>
      </w:r>
      <w:r w:rsidR="002F5F47">
        <w:rPr>
          <w:rFonts w:ascii="Times New Roman" w:hAnsi="Times New Roman" w:cs="Times New Roman"/>
          <w:sz w:val="24"/>
          <w:szCs w:val="24"/>
          <w:lang w:val="sq-AL"/>
        </w:rPr>
        <w:t xml:space="preserve"> komente</w:t>
      </w:r>
      <w:r w:rsidR="002F5F47" w:rsidRPr="001800A7">
        <w:rPr>
          <w:rFonts w:ascii="Times New Roman" w:hAnsi="Times New Roman" w:cs="Times New Roman"/>
          <w:sz w:val="24"/>
          <w:szCs w:val="24"/>
          <w:lang w:val="sq-AL"/>
        </w:rPr>
        <w:t xml:space="preserve"> për 10 akte</w:t>
      </w:r>
      <w:r w:rsidR="002F5F47">
        <w:rPr>
          <w:rFonts w:ascii="Times New Roman" w:hAnsi="Times New Roman" w:cs="Times New Roman"/>
          <w:sz w:val="24"/>
          <w:szCs w:val="24"/>
          <w:lang w:val="sq-AL"/>
        </w:rPr>
        <w:t xml:space="preserve"> </w:t>
      </w:r>
      <w:r w:rsidR="002F5F47" w:rsidRPr="001800A7">
        <w:rPr>
          <w:rFonts w:ascii="Times New Roman" w:hAnsi="Times New Roman" w:cs="Times New Roman"/>
          <w:sz w:val="24"/>
          <w:szCs w:val="24"/>
          <w:lang w:val="sq-AL"/>
        </w:rPr>
        <w:t>objekt konsultimi publik</w:t>
      </w:r>
      <w:r w:rsidR="002F5F47">
        <w:rPr>
          <w:rFonts w:ascii="Times New Roman" w:hAnsi="Times New Roman" w:cs="Times New Roman"/>
          <w:sz w:val="24"/>
          <w:szCs w:val="24"/>
          <w:lang w:val="sq-AL"/>
        </w:rPr>
        <w:t xml:space="preserve">. </w:t>
      </w:r>
      <w:r w:rsidR="009339B8">
        <w:rPr>
          <w:rFonts w:ascii="Times New Roman" w:hAnsi="Times New Roman" w:cs="Times New Roman"/>
          <w:sz w:val="24"/>
          <w:szCs w:val="24"/>
          <w:lang w:val="sq-AL"/>
        </w:rPr>
        <w:t>Në këtë mënyr</w:t>
      </w:r>
      <w:r w:rsidR="007A09CB">
        <w:rPr>
          <w:rFonts w:ascii="Times New Roman" w:hAnsi="Times New Roman" w:cs="Times New Roman"/>
          <w:sz w:val="24"/>
          <w:szCs w:val="24"/>
          <w:lang w:val="sq-AL"/>
        </w:rPr>
        <w:t>ë evidentohet</w:t>
      </w:r>
      <w:r w:rsidR="009339B8">
        <w:rPr>
          <w:rFonts w:ascii="Times New Roman" w:hAnsi="Times New Roman" w:cs="Times New Roman"/>
          <w:sz w:val="24"/>
          <w:szCs w:val="24"/>
          <w:lang w:val="sq-AL"/>
        </w:rPr>
        <w:t xml:space="preserve"> se është rritur cilësia e menaxhimit të këtij procesi, si dhe </w:t>
      </w:r>
      <w:r w:rsidR="007A09CB">
        <w:rPr>
          <w:rFonts w:ascii="Times New Roman" w:hAnsi="Times New Roman" w:cs="Times New Roman"/>
          <w:kern w:val="2"/>
          <w:sz w:val="24"/>
          <w:szCs w:val="24"/>
          <w:lang w:val="sq-AL"/>
          <w14:ligatures w14:val="standardContextual"/>
        </w:rPr>
        <w:t>d</w:t>
      </w:r>
      <w:r w:rsidR="007A09CB" w:rsidRPr="001800A7">
        <w:rPr>
          <w:rFonts w:ascii="Times New Roman" w:hAnsi="Times New Roman" w:cs="Times New Roman"/>
          <w:kern w:val="2"/>
          <w:sz w:val="24"/>
          <w:szCs w:val="24"/>
          <w:lang w:val="sq-AL"/>
          <w14:ligatures w14:val="standardContextual"/>
        </w:rPr>
        <w:t>igjitalizimi i procesit të konsultimit ka bërë të mundur rritjen e pjesëmarrjes së publikut nëpërmjet Regjistrit Elektronik të Njoftimit dhe Konsultimit Publik.</w:t>
      </w:r>
      <w:r w:rsidR="002F5F47">
        <w:rPr>
          <w:rFonts w:ascii="Times New Roman" w:hAnsi="Times New Roman" w:cs="Times New Roman"/>
          <w:sz w:val="24"/>
          <w:szCs w:val="24"/>
          <w:lang w:val="sq-AL"/>
        </w:rPr>
        <w:t xml:space="preserve"> Për më tepër m</w:t>
      </w:r>
      <w:r w:rsidR="00737B35" w:rsidRPr="001800A7">
        <w:rPr>
          <w:rFonts w:ascii="Times New Roman" w:hAnsi="Times New Roman" w:cs="Times New Roman"/>
          <w:kern w:val="2"/>
          <w:sz w:val="24"/>
          <w:szCs w:val="24"/>
          <w:lang w:val="sq-AL"/>
          <w14:ligatures w14:val="standardContextual"/>
        </w:rPr>
        <w:t>etodat e përzgjedhura për konsultim dhe targetimi i duhur i palëve të interesit ka ndikuar në hartimin e politikave dhe legjislacionit më cilësor, gjithëpërfshirës dhe efikas.</w:t>
      </w:r>
      <w:r w:rsidR="007A09CB">
        <w:rPr>
          <w:rFonts w:ascii="Times New Roman" w:hAnsi="Times New Roman" w:cs="Times New Roman"/>
          <w:kern w:val="2"/>
          <w:sz w:val="24"/>
          <w:szCs w:val="24"/>
          <w:lang w:val="sq-AL"/>
          <w14:ligatures w14:val="standardContextual"/>
        </w:rPr>
        <w:t xml:space="preserve"> </w:t>
      </w:r>
    </w:p>
    <w:p w14:paraId="49D49B1C" w14:textId="77777777" w:rsidR="002F5F47" w:rsidRDefault="002F5F47" w:rsidP="00C8275C">
      <w:pPr>
        <w:spacing w:after="0" w:line="276" w:lineRule="auto"/>
        <w:jc w:val="both"/>
        <w:rPr>
          <w:rFonts w:ascii="Times New Roman" w:hAnsi="Times New Roman" w:cs="Times New Roman"/>
          <w:kern w:val="2"/>
          <w:sz w:val="24"/>
          <w:szCs w:val="24"/>
          <w:lang w:val="sq-AL"/>
          <w14:ligatures w14:val="standardContextual"/>
        </w:rPr>
      </w:pPr>
    </w:p>
    <w:p w14:paraId="0BCA508D" w14:textId="19EA1085" w:rsidR="006A6B01" w:rsidRPr="00BC7149" w:rsidRDefault="007C33B7" w:rsidP="00C8275C">
      <w:pPr>
        <w:spacing w:after="0" w:line="276" w:lineRule="auto"/>
        <w:jc w:val="both"/>
        <w:rPr>
          <w:rFonts w:ascii="Times New Roman" w:hAnsi="Times New Roman" w:cs="Times New Roman"/>
          <w:sz w:val="24"/>
          <w:szCs w:val="24"/>
          <w:lang w:val="sq-AL"/>
        </w:rPr>
      </w:pPr>
      <w:r w:rsidRPr="00737B35">
        <w:rPr>
          <w:rFonts w:ascii="Times New Roman" w:hAnsi="Times New Roman" w:cs="Times New Roman"/>
          <w:kern w:val="2"/>
          <w:sz w:val="24"/>
          <w:szCs w:val="24"/>
          <w:lang w:val="sq-AL"/>
          <w14:ligatures w14:val="standardContextual"/>
        </w:rPr>
        <w:t xml:space="preserve">Përmirësimet në këtë proces janë tregues i zhvillimit të një qasje të integruar për planifikimin </w:t>
      </w:r>
      <w:r w:rsidR="00737B35" w:rsidRPr="00737B35">
        <w:rPr>
          <w:rFonts w:ascii="Times New Roman" w:hAnsi="Times New Roman" w:cs="Times New Roman"/>
          <w:kern w:val="2"/>
          <w:sz w:val="24"/>
          <w:szCs w:val="24"/>
          <w:lang w:val="sq-AL"/>
          <w14:ligatures w14:val="standardContextual"/>
        </w:rPr>
        <w:t>dhe</w:t>
      </w:r>
      <w:r w:rsidR="00BC7149">
        <w:rPr>
          <w:rFonts w:ascii="Times New Roman" w:hAnsi="Times New Roman" w:cs="Times New Roman"/>
          <w:kern w:val="2"/>
          <w:sz w:val="24"/>
          <w:szCs w:val="24"/>
          <w:lang w:val="sq-AL"/>
          <w14:ligatures w14:val="standardContextual"/>
        </w:rPr>
        <w:t xml:space="preserve"> </w:t>
      </w:r>
      <w:r w:rsidR="00737B35" w:rsidRPr="00737B35">
        <w:rPr>
          <w:rFonts w:ascii="Times New Roman" w:hAnsi="Times New Roman" w:cs="Times New Roman"/>
          <w:kern w:val="2"/>
          <w:sz w:val="24"/>
          <w:szCs w:val="24"/>
          <w:lang w:val="sq-AL"/>
          <w14:ligatures w14:val="standardContextual"/>
        </w:rPr>
        <w:t>menaxhimin e konsultimeve publike për projektaktet dhe politikat e Ministrisë</w:t>
      </w:r>
      <w:r w:rsidR="000718AE">
        <w:rPr>
          <w:rFonts w:ascii="Times New Roman" w:hAnsi="Times New Roman" w:cs="Times New Roman"/>
          <w:kern w:val="2"/>
          <w:sz w:val="24"/>
          <w:szCs w:val="24"/>
          <w:lang w:val="sq-AL"/>
          <w14:ligatures w14:val="standardContextual"/>
        </w:rPr>
        <w:t xml:space="preserve"> </w:t>
      </w:r>
      <w:r w:rsidR="00737B35" w:rsidRPr="00737B35">
        <w:rPr>
          <w:rFonts w:ascii="Times New Roman" w:hAnsi="Times New Roman" w:cs="Times New Roman"/>
          <w:kern w:val="2"/>
          <w:sz w:val="24"/>
          <w:szCs w:val="24"/>
          <w:lang w:val="sq-AL"/>
          <w14:ligatures w14:val="standardContextual"/>
        </w:rPr>
        <w:t xml:space="preserve">së Financave, si një hap thelbësor për përmirësimin e transparencës dhe llogaridhënies. </w:t>
      </w:r>
    </w:p>
    <w:p w14:paraId="6448CD01" w14:textId="77777777" w:rsidR="00BC7149" w:rsidRPr="00BC7149" w:rsidRDefault="00BC7149" w:rsidP="002F5F47">
      <w:pPr>
        <w:spacing w:after="0" w:line="276" w:lineRule="auto"/>
        <w:jc w:val="both"/>
        <w:rPr>
          <w:rFonts w:ascii="Times New Roman" w:hAnsi="Times New Roman" w:cs="Times New Roman"/>
          <w:kern w:val="2"/>
          <w:sz w:val="18"/>
          <w:szCs w:val="18"/>
          <w:lang w:val="sq-AL"/>
          <w14:ligatures w14:val="standardContextual"/>
        </w:rPr>
      </w:pPr>
    </w:p>
    <w:p w14:paraId="1B93F5A9" w14:textId="2157B921" w:rsidR="002F5F47" w:rsidRDefault="00737B35" w:rsidP="002F5F47">
      <w:pPr>
        <w:spacing w:after="0" w:line="276" w:lineRule="auto"/>
        <w:jc w:val="both"/>
        <w:rPr>
          <w:rFonts w:ascii="Times New Roman" w:hAnsi="Times New Roman" w:cs="Times New Roman"/>
          <w:kern w:val="2"/>
          <w:sz w:val="24"/>
          <w:szCs w:val="24"/>
          <w:lang w:val="sq-AL"/>
          <w14:ligatures w14:val="standardContextual"/>
        </w:rPr>
      </w:pPr>
      <w:r w:rsidRPr="00737B35">
        <w:rPr>
          <w:rFonts w:ascii="Times New Roman" w:hAnsi="Times New Roman" w:cs="Times New Roman"/>
          <w:kern w:val="2"/>
          <w:sz w:val="24"/>
          <w:szCs w:val="24"/>
          <w:lang w:val="sq-AL"/>
          <w14:ligatures w14:val="standardContextual"/>
        </w:rPr>
        <w:t>Ministria e Financave ka publikuar pas procesit të konsultimit publik të projektakteve</w:t>
      </w:r>
      <w:r w:rsidR="008C61B3">
        <w:rPr>
          <w:rFonts w:ascii="Times New Roman" w:hAnsi="Times New Roman" w:cs="Times New Roman"/>
          <w:kern w:val="2"/>
          <w:sz w:val="24"/>
          <w:szCs w:val="24"/>
          <w:lang w:val="sq-AL"/>
          <w14:ligatures w14:val="standardContextual"/>
        </w:rPr>
        <w:t xml:space="preserve"> </w:t>
      </w:r>
      <w:r w:rsidRPr="00737B35">
        <w:rPr>
          <w:rFonts w:ascii="Times New Roman" w:hAnsi="Times New Roman" w:cs="Times New Roman"/>
          <w:kern w:val="2"/>
          <w:sz w:val="24"/>
          <w:szCs w:val="24"/>
          <w:lang w:val="sq-AL"/>
          <w14:ligatures w14:val="standardContextual"/>
        </w:rPr>
        <w:t>edhe raportet përkatëse individuale për rezultatet e konsultimit publik</w:t>
      </w:r>
      <w:r w:rsidRPr="00737B35">
        <w:rPr>
          <w:rFonts w:ascii="Times New Roman" w:hAnsi="Times New Roman" w:cs="Times New Roman"/>
          <w:kern w:val="2"/>
          <w:sz w:val="24"/>
          <w:szCs w:val="24"/>
          <w:vertAlign w:val="superscript"/>
          <w14:ligatures w14:val="standardContextual"/>
        </w:rPr>
        <w:footnoteReference w:id="1"/>
      </w:r>
      <w:r w:rsidRPr="00737B35">
        <w:rPr>
          <w:rFonts w:ascii="Times New Roman" w:hAnsi="Times New Roman" w:cs="Times New Roman"/>
          <w:kern w:val="2"/>
          <w:sz w:val="24"/>
          <w:szCs w:val="24"/>
          <w:vertAlign w:val="superscript"/>
          <w:lang w:val="sq-AL"/>
          <w14:ligatures w14:val="standardContextual"/>
        </w:rPr>
        <w:t xml:space="preserve"> </w:t>
      </w:r>
      <w:r w:rsidRPr="00737B35">
        <w:rPr>
          <w:rFonts w:ascii="Times New Roman" w:hAnsi="Times New Roman" w:cs="Times New Roman"/>
          <w:kern w:val="2"/>
          <w:sz w:val="24"/>
          <w:szCs w:val="24"/>
          <w:lang w:val="sq-AL"/>
          <w14:ligatures w14:val="standardContextual"/>
        </w:rPr>
        <w:t xml:space="preserve">për secilin projektakt të publikuar në regjistër, duke përmbushur parimin e reagueshmërisë dhe llogaridhënies së këtij procesi. </w:t>
      </w:r>
    </w:p>
    <w:p w14:paraId="039283D2" w14:textId="77777777" w:rsidR="00787B30" w:rsidRPr="002F5F47" w:rsidRDefault="00787B30" w:rsidP="002F5F47">
      <w:pPr>
        <w:spacing w:after="0" w:line="276" w:lineRule="auto"/>
        <w:jc w:val="both"/>
        <w:rPr>
          <w:rFonts w:ascii="Times New Roman" w:hAnsi="Times New Roman" w:cs="Times New Roman"/>
          <w:sz w:val="24"/>
          <w:szCs w:val="24"/>
          <w:lang w:val="sq-AL"/>
        </w:rPr>
      </w:pPr>
    </w:p>
    <w:p w14:paraId="4B3140C7" w14:textId="141C43D5" w:rsidR="001A4469" w:rsidRDefault="00857130" w:rsidP="002A7FEF">
      <w:pPr>
        <w:spacing w:after="0" w:line="276" w:lineRule="auto"/>
        <w:jc w:val="both"/>
        <w:rPr>
          <w:rFonts w:ascii="Times New Roman" w:eastAsia="Times New Roman" w:hAnsi="Times New Roman" w:cs="Times New Roman"/>
          <w:color w:val="000000"/>
          <w:kern w:val="2"/>
          <w:sz w:val="24"/>
          <w:szCs w:val="24"/>
          <w:lang w:val="sv-SE" w:eastAsia="en-GB"/>
          <w14:ligatures w14:val="standardContextual"/>
        </w:rPr>
      </w:pPr>
      <w:r w:rsidRPr="00BC7149">
        <w:rPr>
          <w:rFonts w:ascii="Times New Roman" w:eastAsia="Times New Roman" w:hAnsi="Times New Roman" w:cs="Times New Roman"/>
          <w:color w:val="000000"/>
          <w:kern w:val="2"/>
          <w:sz w:val="24"/>
          <w:szCs w:val="24"/>
          <w:lang w:val="sv-SE" w:eastAsia="en-GB"/>
          <w14:ligatures w14:val="standardContextual"/>
        </w:rPr>
        <w:t>G</w:t>
      </w:r>
      <w:r w:rsidR="00785478" w:rsidRPr="00BC7149">
        <w:rPr>
          <w:rFonts w:ascii="Times New Roman" w:eastAsia="Times New Roman" w:hAnsi="Times New Roman" w:cs="Times New Roman"/>
          <w:color w:val="000000"/>
          <w:kern w:val="2"/>
          <w:sz w:val="24"/>
          <w:szCs w:val="24"/>
          <w:lang w:val="sv-SE" w:eastAsia="en-GB"/>
          <w14:ligatures w14:val="standardContextual"/>
        </w:rPr>
        <w:t xml:space="preserve">jatë </w:t>
      </w:r>
      <w:r w:rsidR="00D72424" w:rsidRPr="00BC7149">
        <w:rPr>
          <w:rFonts w:ascii="Times New Roman" w:eastAsia="Times New Roman" w:hAnsi="Times New Roman" w:cs="Times New Roman"/>
          <w:color w:val="000000"/>
          <w:kern w:val="2"/>
          <w:sz w:val="24"/>
          <w:szCs w:val="24"/>
          <w:lang w:val="sv-SE" w:eastAsia="en-GB"/>
          <w14:ligatures w14:val="standardContextual"/>
        </w:rPr>
        <w:t xml:space="preserve">vitit </w:t>
      </w:r>
      <w:r w:rsidR="00785478" w:rsidRPr="00BC7149">
        <w:rPr>
          <w:rFonts w:ascii="Times New Roman" w:eastAsia="Times New Roman" w:hAnsi="Times New Roman" w:cs="Times New Roman"/>
          <w:color w:val="000000"/>
          <w:kern w:val="2"/>
          <w:sz w:val="24"/>
          <w:szCs w:val="24"/>
          <w:lang w:val="sv-SE" w:eastAsia="en-GB"/>
          <w14:ligatures w14:val="standardContextual"/>
        </w:rPr>
        <w:t>2024, në Drejtorinë e Apelimit Tatimor</w:t>
      </w:r>
      <w:r w:rsidR="00785478" w:rsidRPr="00BC7149">
        <w:rPr>
          <w:rFonts w:ascii="Times New Roman" w:eastAsia="Times New Roman" w:hAnsi="Times New Roman" w:cs="Times New Roman"/>
          <w:b/>
          <w:bCs/>
          <w:color w:val="000000"/>
          <w:kern w:val="2"/>
          <w:sz w:val="24"/>
          <w:szCs w:val="24"/>
          <w:lang w:val="sv-SE" w:eastAsia="en-GB"/>
          <w14:ligatures w14:val="standardContextual"/>
        </w:rPr>
        <w:t xml:space="preserve"> </w:t>
      </w:r>
      <w:r w:rsidR="00785478" w:rsidRPr="00BC7149">
        <w:rPr>
          <w:rFonts w:ascii="Times New Roman" w:eastAsia="Times New Roman" w:hAnsi="Times New Roman" w:cs="Times New Roman"/>
          <w:color w:val="000000"/>
          <w:kern w:val="2"/>
          <w:sz w:val="24"/>
          <w:szCs w:val="24"/>
          <w:lang w:val="sv-SE" w:eastAsia="en-GB"/>
          <w14:ligatures w14:val="standardContextual"/>
        </w:rPr>
        <w:t xml:space="preserve">janë regjistruar </w:t>
      </w:r>
      <w:r w:rsidR="00D72424" w:rsidRPr="00BC7149">
        <w:rPr>
          <w:rFonts w:ascii="Times New Roman" w:eastAsia="Times New Roman" w:hAnsi="Times New Roman" w:cs="Times New Roman"/>
          <w:color w:val="000000"/>
          <w:kern w:val="2"/>
          <w:sz w:val="24"/>
          <w:szCs w:val="24"/>
          <w:lang w:val="sv-SE" w:eastAsia="en-GB"/>
          <w14:ligatures w14:val="standardContextual"/>
        </w:rPr>
        <w:t>1555</w:t>
      </w:r>
      <w:r w:rsidR="00785478" w:rsidRPr="00BC7149">
        <w:rPr>
          <w:rFonts w:ascii="Times New Roman" w:eastAsia="Times New Roman" w:hAnsi="Times New Roman" w:cs="Times New Roman"/>
          <w:color w:val="000000"/>
          <w:kern w:val="2"/>
          <w:sz w:val="24"/>
          <w:szCs w:val="24"/>
          <w:lang w:val="sv-SE" w:eastAsia="en-GB"/>
          <w14:ligatures w14:val="standardContextual"/>
        </w:rPr>
        <w:t xml:space="preserve"> ankime të reja të kategorizuara sipas natyrës së akteve</w:t>
      </w:r>
      <w:r w:rsidR="002A7FEF" w:rsidRPr="00BC7149">
        <w:rPr>
          <w:rFonts w:ascii="Times New Roman" w:eastAsia="Times New Roman" w:hAnsi="Times New Roman" w:cs="Times New Roman"/>
          <w:color w:val="000000"/>
          <w:kern w:val="2"/>
          <w:sz w:val="24"/>
          <w:szCs w:val="24"/>
          <w:lang w:val="sv-SE" w:eastAsia="en-GB"/>
          <w14:ligatures w14:val="standardContextual"/>
        </w:rPr>
        <w:t xml:space="preserve"> </w:t>
      </w:r>
      <w:r w:rsidR="00785478" w:rsidRPr="00BC7149">
        <w:rPr>
          <w:rFonts w:ascii="Times New Roman" w:eastAsia="Times New Roman" w:hAnsi="Times New Roman" w:cs="Times New Roman"/>
          <w:color w:val="000000"/>
          <w:kern w:val="2"/>
          <w:sz w:val="24"/>
          <w:szCs w:val="24"/>
          <w:lang w:val="sv-SE" w:eastAsia="en-GB"/>
          <w14:ligatures w14:val="standardContextual"/>
        </w:rPr>
        <w:t>të ankimuara</w:t>
      </w:r>
      <w:r w:rsidR="00046DAA" w:rsidRPr="00BC7149">
        <w:rPr>
          <w:rFonts w:ascii="Times New Roman" w:eastAsia="Times New Roman" w:hAnsi="Times New Roman" w:cs="Times New Roman"/>
          <w:color w:val="000000"/>
          <w:kern w:val="2"/>
          <w:sz w:val="24"/>
          <w:szCs w:val="24"/>
          <w:lang w:val="sv-SE" w:eastAsia="en-GB"/>
          <w14:ligatures w14:val="standardContextual"/>
        </w:rPr>
        <w:t>,</w:t>
      </w:r>
      <w:r w:rsidR="00785478" w:rsidRPr="00BC7149">
        <w:rPr>
          <w:rFonts w:ascii="Times New Roman" w:eastAsia="Times New Roman" w:hAnsi="Times New Roman" w:cs="Times New Roman"/>
          <w:color w:val="000000"/>
          <w:kern w:val="2"/>
          <w:sz w:val="24"/>
          <w:szCs w:val="24"/>
          <w:lang w:val="sv-SE" w:eastAsia="en-GB"/>
          <w14:ligatures w14:val="standardContextual"/>
        </w:rPr>
        <w:t xml:space="preserve"> si më poshtë</w:t>
      </w:r>
      <w:r w:rsidR="00046DAA" w:rsidRPr="00BC7149">
        <w:rPr>
          <w:rFonts w:ascii="Times New Roman" w:eastAsia="Times New Roman" w:hAnsi="Times New Roman" w:cs="Times New Roman"/>
          <w:color w:val="000000"/>
          <w:kern w:val="2"/>
          <w:sz w:val="24"/>
          <w:szCs w:val="24"/>
          <w:lang w:val="sv-SE" w:eastAsia="en-GB"/>
          <w14:ligatures w14:val="standardContextual"/>
        </w:rPr>
        <w:t xml:space="preserve"> vijon</w:t>
      </w:r>
      <w:r w:rsidR="00785478" w:rsidRPr="00BC7149">
        <w:rPr>
          <w:rFonts w:ascii="Times New Roman" w:eastAsia="Times New Roman" w:hAnsi="Times New Roman" w:cs="Times New Roman"/>
          <w:color w:val="000000"/>
          <w:kern w:val="2"/>
          <w:sz w:val="24"/>
          <w:szCs w:val="24"/>
          <w:lang w:val="sv-SE" w:eastAsia="en-GB"/>
          <w14:ligatures w14:val="standardContextual"/>
        </w:rPr>
        <w:t>:</w:t>
      </w:r>
    </w:p>
    <w:p w14:paraId="5F5C9A74" w14:textId="77777777" w:rsidR="007F4BDC" w:rsidRDefault="007F4BDC" w:rsidP="002A7FEF">
      <w:pPr>
        <w:spacing w:after="0" w:line="276" w:lineRule="auto"/>
        <w:jc w:val="both"/>
        <w:rPr>
          <w:rFonts w:ascii="Times New Roman" w:eastAsia="Times New Roman" w:hAnsi="Times New Roman" w:cs="Times New Roman"/>
          <w:color w:val="000000"/>
          <w:kern w:val="2"/>
          <w:sz w:val="24"/>
          <w:szCs w:val="24"/>
          <w:lang w:val="sv-SE" w:eastAsia="en-GB"/>
          <w14:ligatures w14:val="standardContextual"/>
        </w:rPr>
      </w:pPr>
    </w:p>
    <w:tbl>
      <w:tblPr>
        <w:tblW w:w="847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9"/>
        <w:gridCol w:w="1800"/>
      </w:tblGrid>
      <w:tr w:rsidR="002A7FEF" w:rsidRPr="002A7FEF" w14:paraId="5262ACA0" w14:textId="77777777" w:rsidTr="00800C13">
        <w:trPr>
          <w:trHeight w:val="622"/>
        </w:trPr>
        <w:tc>
          <w:tcPr>
            <w:tcW w:w="6679" w:type="dxa"/>
          </w:tcPr>
          <w:p w14:paraId="27AEB44A" w14:textId="77777777" w:rsidR="00381905" w:rsidRPr="001A4469" w:rsidRDefault="00381905" w:rsidP="002A7FEF">
            <w:pPr>
              <w:spacing w:after="0" w:line="276" w:lineRule="auto"/>
              <w:rPr>
                <w:rFonts w:ascii="Times New Roman" w:hAnsi="Times New Roman" w:cs="Times New Roman"/>
                <w:b/>
                <w:bCs/>
                <w:sz w:val="16"/>
                <w:szCs w:val="16"/>
                <w:lang w:val="sq-AL"/>
              </w:rPr>
            </w:pPr>
          </w:p>
          <w:p w14:paraId="5B8D1070" w14:textId="4A50210F" w:rsidR="00381905" w:rsidRPr="00800C13" w:rsidRDefault="002A7FEF" w:rsidP="002A7FEF">
            <w:pPr>
              <w:spacing w:after="0" w:line="276" w:lineRule="auto"/>
              <w:rPr>
                <w:rFonts w:ascii="Times New Roman" w:hAnsi="Times New Roman" w:cs="Times New Roman"/>
                <w:b/>
                <w:bCs/>
                <w:sz w:val="24"/>
                <w:szCs w:val="24"/>
              </w:rPr>
            </w:pPr>
            <w:r w:rsidRPr="002A7FEF">
              <w:rPr>
                <w:rFonts w:ascii="Times New Roman" w:hAnsi="Times New Roman" w:cs="Times New Roman"/>
                <w:b/>
                <w:bCs/>
                <w:sz w:val="24"/>
                <w:szCs w:val="24"/>
              </w:rPr>
              <w:t>Lloji i ankimit</w:t>
            </w:r>
          </w:p>
        </w:tc>
        <w:tc>
          <w:tcPr>
            <w:tcW w:w="1800" w:type="dxa"/>
          </w:tcPr>
          <w:p w14:paraId="6B45C005" w14:textId="77777777" w:rsidR="00381905" w:rsidRPr="00381905" w:rsidRDefault="00381905" w:rsidP="002A7FEF">
            <w:pPr>
              <w:spacing w:after="0" w:line="276" w:lineRule="auto"/>
              <w:jc w:val="center"/>
              <w:rPr>
                <w:rFonts w:ascii="Times New Roman" w:hAnsi="Times New Roman" w:cs="Times New Roman"/>
                <w:b/>
                <w:bCs/>
                <w:sz w:val="16"/>
                <w:szCs w:val="16"/>
              </w:rPr>
            </w:pPr>
          </w:p>
          <w:p w14:paraId="70FC1DFA" w14:textId="77777777" w:rsidR="002A7FEF" w:rsidRDefault="002A7FEF" w:rsidP="002A7FEF">
            <w:pPr>
              <w:spacing w:after="0" w:line="276" w:lineRule="auto"/>
              <w:jc w:val="center"/>
              <w:rPr>
                <w:rFonts w:ascii="Times New Roman" w:hAnsi="Times New Roman" w:cs="Times New Roman"/>
                <w:b/>
                <w:bCs/>
                <w:sz w:val="24"/>
                <w:szCs w:val="24"/>
              </w:rPr>
            </w:pPr>
            <w:r w:rsidRPr="002A7FEF">
              <w:rPr>
                <w:rFonts w:ascii="Times New Roman" w:hAnsi="Times New Roman" w:cs="Times New Roman"/>
                <w:b/>
                <w:bCs/>
                <w:sz w:val="24"/>
                <w:szCs w:val="24"/>
              </w:rPr>
              <w:t>Numri</w:t>
            </w:r>
          </w:p>
          <w:p w14:paraId="4DBC785F" w14:textId="7447383F" w:rsidR="00381905" w:rsidRPr="00800C13" w:rsidRDefault="00381905" w:rsidP="002A7FEF">
            <w:pPr>
              <w:spacing w:after="0" w:line="276" w:lineRule="auto"/>
              <w:jc w:val="center"/>
              <w:rPr>
                <w:rFonts w:ascii="Times New Roman" w:hAnsi="Times New Roman" w:cs="Times New Roman"/>
                <w:b/>
                <w:bCs/>
                <w:sz w:val="16"/>
                <w:szCs w:val="16"/>
              </w:rPr>
            </w:pPr>
          </w:p>
        </w:tc>
      </w:tr>
      <w:tr w:rsidR="002A7FEF" w:rsidRPr="002A7FEF" w14:paraId="2AA3BEB2" w14:textId="77777777" w:rsidTr="002A7FEF">
        <w:trPr>
          <w:trHeight w:val="532"/>
        </w:trPr>
        <w:tc>
          <w:tcPr>
            <w:tcW w:w="6679" w:type="dxa"/>
          </w:tcPr>
          <w:p w14:paraId="1797AA5D"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Raportet e kontrollit</w:t>
            </w:r>
          </w:p>
          <w:p w14:paraId="2E856758" w14:textId="77777777" w:rsidR="002A7FEF" w:rsidRPr="002A7FEF" w:rsidRDefault="002A7FEF" w:rsidP="002A7FEF">
            <w:pPr>
              <w:spacing w:after="0" w:line="276" w:lineRule="auto"/>
              <w:jc w:val="both"/>
              <w:rPr>
                <w:rFonts w:ascii="Times New Roman" w:hAnsi="Times New Roman" w:cs="Times New Roman"/>
                <w:sz w:val="12"/>
                <w:szCs w:val="12"/>
              </w:rPr>
            </w:pPr>
          </w:p>
        </w:tc>
        <w:tc>
          <w:tcPr>
            <w:tcW w:w="1800" w:type="dxa"/>
          </w:tcPr>
          <w:p w14:paraId="4EDA600D" w14:textId="7F7629D2" w:rsidR="002A7FEF" w:rsidRPr="002A7FEF" w:rsidRDefault="00D72424" w:rsidP="002A7F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289</w:t>
            </w:r>
          </w:p>
        </w:tc>
      </w:tr>
      <w:tr w:rsidR="002A7FEF" w:rsidRPr="002A7FEF" w14:paraId="2303EB7C" w14:textId="77777777" w:rsidTr="002A7FEF">
        <w:trPr>
          <w:trHeight w:val="532"/>
        </w:trPr>
        <w:tc>
          <w:tcPr>
            <w:tcW w:w="6679" w:type="dxa"/>
          </w:tcPr>
          <w:p w14:paraId="539AAE1A"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Gjobat për mosdorëzimin në afat të DIVA-s</w:t>
            </w:r>
          </w:p>
          <w:p w14:paraId="66D782AF" w14:textId="77777777" w:rsidR="002A7FEF" w:rsidRPr="002A7FEF" w:rsidRDefault="002A7FEF" w:rsidP="002A7FEF">
            <w:pPr>
              <w:spacing w:after="0" w:line="276" w:lineRule="auto"/>
              <w:jc w:val="both"/>
              <w:rPr>
                <w:rFonts w:ascii="Times New Roman" w:hAnsi="Times New Roman" w:cs="Times New Roman"/>
                <w:sz w:val="12"/>
                <w:szCs w:val="12"/>
              </w:rPr>
            </w:pPr>
          </w:p>
        </w:tc>
        <w:tc>
          <w:tcPr>
            <w:tcW w:w="1800" w:type="dxa"/>
          </w:tcPr>
          <w:p w14:paraId="74BD7379" w14:textId="1ADC6E51" w:rsidR="002A7FEF" w:rsidRPr="002A7FEF" w:rsidRDefault="00D72424" w:rsidP="002A7F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372</w:t>
            </w:r>
          </w:p>
        </w:tc>
      </w:tr>
      <w:tr w:rsidR="002A7FEF" w:rsidRPr="002A7FEF" w14:paraId="6EFE5B77" w14:textId="77777777" w:rsidTr="002A7FEF">
        <w:trPr>
          <w:trHeight w:val="532"/>
        </w:trPr>
        <w:tc>
          <w:tcPr>
            <w:tcW w:w="6679" w:type="dxa"/>
            <w:vAlign w:val="bottom"/>
          </w:tcPr>
          <w:p w14:paraId="1E1BEBAE"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Shtimi i përgjegjësive tatimore të TVSH-së dhe tatimit mbi fitimin</w:t>
            </w:r>
          </w:p>
          <w:p w14:paraId="686DB7B4" w14:textId="5F0ACC2B" w:rsidR="002A7FEF" w:rsidRPr="002A7FEF" w:rsidRDefault="002A7FEF" w:rsidP="002A7FEF">
            <w:pPr>
              <w:spacing w:after="0" w:line="276" w:lineRule="auto"/>
              <w:jc w:val="both"/>
              <w:rPr>
                <w:rFonts w:ascii="Times New Roman" w:eastAsia="Times New Roman" w:hAnsi="Times New Roman" w:cs="Times New Roman"/>
                <w:color w:val="000000"/>
                <w:sz w:val="12"/>
                <w:szCs w:val="12"/>
                <w:lang w:eastAsia="en-GB"/>
              </w:rPr>
            </w:pPr>
          </w:p>
        </w:tc>
        <w:tc>
          <w:tcPr>
            <w:tcW w:w="1800" w:type="dxa"/>
          </w:tcPr>
          <w:p w14:paraId="542D756B" w14:textId="62C578F5" w:rsidR="002A7FEF" w:rsidRPr="002A7FEF" w:rsidRDefault="00D72424" w:rsidP="002A7F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2A7FEF" w:rsidRPr="002A7FEF" w14:paraId="0B42E7DB" w14:textId="77777777" w:rsidTr="002A7FEF">
        <w:trPr>
          <w:trHeight w:val="442"/>
        </w:trPr>
        <w:tc>
          <w:tcPr>
            <w:tcW w:w="6679" w:type="dxa"/>
          </w:tcPr>
          <w:p w14:paraId="3EA8F4B3"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Gjobat dhe kamatëvonesat e enteve publike</w:t>
            </w:r>
          </w:p>
          <w:p w14:paraId="2F07DD04" w14:textId="6B5A9B8B" w:rsidR="002A7FEF" w:rsidRPr="002A7FEF" w:rsidRDefault="002A7FEF" w:rsidP="002A7FEF">
            <w:pPr>
              <w:spacing w:after="0" w:line="276" w:lineRule="auto"/>
              <w:jc w:val="both"/>
              <w:rPr>
                <w:rFonts w:ascii="Times New Roman" w:hAnsi="Times New Roman" w:cs="Times New Roman"/>
                <w:sz w:val="12"/>
                <w:szCs w:val="12"/>
              </w:rPr>
            </w:pPr>
          </w:p>
        </w:tc>
        <w:tc>
          <w:tcPr>
            <w:tcW w:w="1800" w:type="dxa"/>
          </w:tcPr>
          <w:p w14:paraId="5BB6B4CC" w14:textId="12E419D9" w:rsidR="002A7FEF" w:rsidRPr="002A7FEF" w:rsidRDefault="00D72424" w:rsidP="002A7F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2A7FEF" w:rsidRPr="002A7FEF" w14:paraId="26521408" w14:textId="77777777" w:rsidTr="002A7FEF">
        <w:trPr>
          <w:trHeight w:val="541"/>
        </w:trPr>
        <w:tc>
          <w:tcPr>
            <w:tcW w:w="6679" w:type="dxa"/>
          </w:tcPr>
          <w:p w14:paraId="55BA7407"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Këstet e tatim fitimit dhe gjobat për mospagimin në afat të tyre</w:t>
            </w:r>
          </w:p>
          <w:p w14:paraId="20C565B2" w14:textId="77777777" w:rsidR="002A7FEF" w:rsidRPr="002A7FEF" w:rsidRDefault="002A7FEF" w:rsidP="002A7FEF">
            <w:pPr>
              <w:spacing w:after="0" w:line="276" w:lineRule="auto"/>
              <w:jc w:val="both"/>
              <w:rPr>
                <w:rFonts w:ascii="Times New Roman" w:hAnsi="Times New Roman" w:cs="Times New Roman"/>
                <w:sz w:val="12"/>
                <w:szCs w:val="12"/>
              </w:rPr>
            </w:pPr>
          </w:p>
        </w:tc>
        <w:tc>
          <w:tcPr>
            <w:tcW w:w="1800" w:type="dxa"/>
          </w:tcPr>
          <w:p w14:paraId="4FDB2CCA" w14:textId="5F049F4F" w:rsidR="002A7FEF" w:rsidRPr="002A7FEF" w:rsidRDefault="00D72424" w:rsidP="002A7FE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204</w:t>
            </w:r>
          </w:p>
        </w:tc>
      </w:tr>
      <w:tr w:rsidR="002A7FEF" w:rsidRPr="002A7FEF" w14:paraId="1A693840" w14:textId="77777777" w:rsidTr="002A7FEF">
        <w:trPr>
          <w:trHeight w:val="541"/>
        </w:trPr>
        <w:tc>
          <w:tcPr>
            <w:tcW w:w="6679" w:type="dxa"/>
          </w:tcPr>
          <w:p w14:paraId="047D0A72" w14:textId="77777777" w:rsidR="002A7FEF" w:rsidRDefault="002A7FEF" w:rsidP="002A7FEF">
            <w:pPr>
              <w:spacing w:after="0" w:line="276" w:lineRule="auto"/>
              <w:jc w:val="both"/>
              <w:rPr>
                <w:rFonts w:ascii="Times New Roman" w:eastAsia="Times New Roman" w:hAnsi="Times New Roman" w:cs="Times New Roman"/>
                <w:color w:val="000000"/>
                <w:sz w:val="24"/>
                <w:szCs w:val="24"/>
                <w:lang w:eastAsia="en-GB"/>
              </w:rPr>
            </w:pPr>
            <w:r w:rsidRPr="002A7FEF">
              <w:rPr>
                <w:rFonts w:ascii="Times New Roman" w:eastAsia="Times New Roman" w:hAnsi="Times New Roman" w:cs="Times New Roman"/>
                <w:color w:val="000000"/>
                <w:sz w:val="24"/>
                <w:szCs w:val="24"/>
                <w:lang w:eastAsia="en-GB"/>
              </w:rPr>
              <w:t>Gjoba të tjera (moslëshim fature, mosdeklarim në afat, mosdeklarim të punonjësve, mospagim në afat, etj.)</w:t>
            </w:r>
          </w:p>
          <w:p w14:paraId="35D737CC" w14:textId="77777777" w:rsidR="002A7FEF" w:rsidRPr="002A7FEF" w:rsidRDefault="002A7FEF" w:rsidP="002A7FEF">
            <w:pPr>
              <w:spacing w:after="0" w:line="276" w:lineRule="auto"/>
              <w:jc w:val="both"/>
              <w:rPr>
                <w:rFonts w:ascii="Times New Roman" w:eastAsia="Times New Roman" w:hAnsi="Times New Roman" w:cs="Times New Roman"/>
                <w:color w:val="000000"/>
                <w:sz w:val="12"/>
                <w:szCs w:val="12"/>
                <w:lang w:eastAsia="en-GB"/>
              </w:rPr>
            </w:pPr>
          </w:p>
        </w:tc>
        <w:tc>
          <w:tcPr>
            <w:tcW w:w="1800" w:type="dxa"/>
          </w:tcPr>
          <w:p w14:paraId="1C844C20" w14:textId="59B09FD6" w:rsidR="002A7FEF" w:rsidRPr="002A7FEF" w:rsidRDefault="00D72424" w:rsidP="002A7FEF">
            <w:pPr>
              <w:spacing w:after="0" w:line="276"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505</w:t>
            </w:r>
          </w:p>
        </w:tc>
      </w:tr>
    </w:tbl>
    <w:p w14:paraId="0A673F76" w14:textId="77777777" w:rsidR="007F4BDC" w:rsidRDefault="007F4BDC" w:rsidP="002A7FEF">
      <w:pPr>
        <w:widowControl w:val="0"/>
        <w:shd w:val="clear" w:color="auto" w:fill="FFFFFF" w:themeFill="background1"/>
        <w:spacing w:after="0" w:line="276" w:lineRule="auto"/>
        <w:jc w:val="both"/>
        <w:rPr>
          <w:rFonts w:ascii="Times New Roman" w:eastAsia="Times New Roman" w:hAnsi="Times New Roman" w:cs="Times New Roman"/>
          <w:color w:val="000000"/>
          <w:kern w:val="2"/>
          <w:sz w:val="24"/>
          <w:szCs w:val="24"/>
          <w:lang w:val="sv-SE" w:eastAsia="en-GB"/>
          <w14:ligatures w14:val="standardContextual"/>
        </w:rPr>
      </w:pPr>
    </w:p>
    <w:p w14:paraId="000730F9" w14:textId="76D49F8B" w:rsidR="00785478" w:rsidRPr="009C7460" w:rsidRDefault="00785478" w:rsidP="002A7FEF">
      <w:pPr>
        <w:widowControl w:val="0"/>
        <w:shd w:val="clear" w:color="auto" w:fill="FFFFFF" w:themeFill="background1"/>
        <w:spacing w:after="0" w:line="276" w:lineRule="auto"/>
        <w:jc w:val="both"/>
        <w:rPr>
          <w:rFonts w:ascii="Times New Roman" w:hAnsi="Times New Roman" w:cs="Times New Roman"/>
          <w:sz w:val="24"/>
          <w:szCs w:val="24"/>
          <w:lang w:val="sv-SE"/>
        </w:rPr>
      </w:pPr>
      <w:r w:rsidRPr="009C7460">
        <w:rPr>
          <w:rFonts w:ascii="Times New Roman" w:eastAsia="Times New Roman" w:hAnsi="Times New Roman" w:cs="Times New Roman"/>
          <w:color w:val="000000"/>
          <w:kern w:val="2"/>
          <w:sz w:val="24"/>
          <w:szCs w:val="24"/>
          <w:lang w:val="sv-SE" w:eastAsia="en-GB"/>
          <w14:ligatures w14:val="standardContextual"/>
        </w:rPr>
        <w:t>Drejtoria e Apelimit Tatimor ka</w:t>
      </w:r>
      <w:r w:rsidRPr="009C7460">
        <w:rPr>
          <w:rFonts w:ascii="Times New Roman" w:hAnsi="Times New Roman" w:cs="Times New Roman"/>
          <w:sz w:val="24"/>
          <w:szCs w:val="24"/>
          <w:lang w:val="sv-SE"/>
        </w:rPr>
        <w:t xml:space="preserve"> nxjerrë </w:t>
      </w:r>
      <w:r w:rsidR="00D72424">
        <w:rPr>
          <w:rFonts w:ascii="Times New Roman" w:hAnsi="Times New Roman" w:cs="Times New Roman"/>
          <w:sz w:val="24"/>
          <w:szCs w:val="24"/>
          <w:lang w:val="sv-SE"/>
        </w:rPr>
        <w:t>1299</w:t>
      </w:r>
      <w:r w:rsidR="00857130">
        <w:rPr>
          <w:rFonts w:ascii="Times New Roman" w:hAnsi="Times New Roman" w:cs="Times New Roman"/>
          <w:sz w:val="24"/>
          <w:szCs w:val="24"/>
          <w:lang w:val="sv-SE"/>
        </w:rPr>
        <w:t xml:space="preserve"> </w:t>
      </w:r>
      <w:r w:rsidRPr="009C7460">
        <w:rPr>
          <w:rFonts w:ascii="Times New Roman" w:hAnsi="Times New Roman" w:cs="Times New Roman"/>
          <w:sz w:val="24"/>
          <w:szCs w:val="24"/>
          <w:lang w:val="sv-SE"/>
        </w:rPr>
        <w:t>vendime</w:t>
      </w:r>
      <w:r w:rsidRPr="009C7460">
        <w:rPr>
          <w:rFonts w:ascii="Times New Roman" w:eastAsia="Times New Roman" w:hAnsi="Times New Roman" w:cs="Times New Roman"/>
          <w:color w:val="000000"/>
          <w:kern w:val="2"/>
          <w:sz w:val="24"/>
          <w:szCs w:val="24"/>
          <w:lang w:val="sv-SE" w:eastAsia="en-GB"/>
          <w14:ligatures w14:val="standardContextual"/>
        </w:rPr>
        <w:t xml:space="preserve"> gjatë kësaj periudhe raportimi, </w:t>
      </w:r>
      <w:r w:rsidRPr="009C7460">
        <w:rPr>
          <w:rFonts w:ascii="Times New Roman" w:hAnsi="Times New Roman" w:cs="Times New Roman"/>
          <w:sz w:val="24"/>
          <w:szCs w:val="24"/>
          <w:lang w:val="sv-SE"/>
        </w:rPr>
        <w:t>ku numrin  më të lartë të ankimeve të administruara e përbëjnë rastet e mëposhtme:</w:t>
      </w:r>
    </w:p>
    <w:p w14:paraId="2EEE683F" w14:textId="77777777" w:rsidR="00785478" w:rsidRPr="009C7460" w:rsidRDefault="00785478" w:rsidP="002A7FEF">
      <w:pPr>
        <w:shd w:val="clear" w:color="auto" w:fill="FFFFFF" w:themeFill="background1"/>
        <w:spacing w:after="0" w:line="276" w:lineRule="auto"/>
        <w:jc w:val="both"/>
        <w:rPr>
          <w:rFonts w:ascii="Times New Roman" w:eastAsia="Times New Roman" w:hAnsi="Times New Roman" w:cs="Times New Roman"/>
          <w:color w:val="000000"/>
          <w:kern w:val="2"/>
          <w:sz w:val="24"/>
          <w:szCs w:val="24"/>
          <w:lang w:val="sv-SE" w:eastAsia="en-GB"/>
          <w14:ligatures w14:val="standardContextual"/>
        </w:rPr>
      </w:pPr>
    </w:p>
    <w:p w14:paraId="0B21FDAD" w14:textId="476D603B"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sv-SE"/>
        </w:rPr>
      </w:pPr>
      <w:r w:rsidRPr="009C7460">
        <w:rPr>
          <w:rFonts w:ascii="Times New Roman" w:hAnsi="Times New Roman" w:cs="Times New Roman"/>
          <w:sz w:val="24"/>
          <w:szCs w:val="24"/>
          <w:lang w:val="sv-SE"/>
        </w:rPr>
        <w:t>Ankimet ndaj gjobave për mosdorëzim</w:t>
      </w:r>
      <w:r w:rsidR="00046DAA" w:rsidRPr="009C7460">
        <w:rPr>
          <w:rFonts w:ascii="Times New Roman" w:hAnsi="Times New Roman" w:cs="Times New Roman"/>
          <w:sz w:val="24"/>
          <w:szCs w:val="24"/>
          <w:lang w:val="sv-SE"/>
        </w:rPr>
        <w:t>in</w:t>
      </w:r>
      <w:r w:rsidRPr="009C7460">
        <w:rPr>
          <w:rFonts w:ascii="Times New Roman" w:hAnsi="Times New Roman" w:cs="Times New Roman"/>
          <w:sz w:val="24"/>
          <w:szCs w:val="24"/>
          <w:lang w:val="sv-SE"/>
        </w:rPr>
        <w:t xml:space="preserve"> në afat të deklaratës individuale vjetore të të ardhurave;</w:t>
      </w:r>
    </w:p>
    <w:p w14:paraId="320D8D39" w14:textId="675390D8"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sv-SE"/>
        </w:rPr>
      </w:pPr>
      <w:r w:rsidRPr="009C7460">
        <w:rPr>
          <w:rFonts w:ascii="Times New Roman" w:hAnsi="Times New Roman" w:cs="Times New Roman"/>
          <w:sz w:val="24"/>
          <w:szCs w:val="24"/>
          <w:lang w:val="sv-SE"/>
        </w:rPr>
        <w:t>Ankimet për përcaktimin e kësteve të tatimit mbi fitimin apo tatimit të thjeshtuar mbi fitimin dhe gjobat për mospagimin e tyre;</w:t>
      </w:r>
    </w:p>
    <w:p w14:paraId="4CEF8019" w14:textId="0BE8AF46"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Ndryshimi i përgjegjësive tatimore të tatimpaguesve;</w:t>
      </w:r>
    </w:p>
    <w:p w14:paraId="1B12285C" w14:textId="7D37235E"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Gjobat për pagesë të vonuar dhe kamatëvonesat e aplikuara ndaj enteve publike, në rastet e ndryshimit të listëpagesave;</w:t>
      </w:r>
    </w:p>
    <w:p w14:paraId="22A30CC4" w14:textId="1901FD0C"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Vlerësimet për strukturat akomoduese që kanë aplikuar shkallën e reduktuar të TVSH-së në masën 6 % pa u pajisur me certifikatën e kategorizimit;</w:t>
      </w:r>
    </w:p>
    <w:p w14:paraId="642D8FA5" w14:textId="524B7FB9" w:rsidR="00785478" w:rsidRPr="009C7460" w:rsidRDefault="00785478" w:rsidP="002A7FEF">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Vlerësimet e kryera ndaj tatimpaguesve, të cilët nuk kanë respektuar afatin 2-vjeçar për aplikimin e shmangies së taksimit të dyfishtë për shërbimet e marra nga personat jorezidentë;</w:t>
      </w:r>
    </w:p>
    <w:p w14:paraId="3436AF25" w14:textId="73A1C625" w:rsidR="00BE52C1" w:rsidRDefault="00785478" w:rsidP="00800C13">
      <w:pPr>
        <w:pStyle w:val="ListParagraph"/>
        <w:widowControl w:val="0"/>
        <w:numPr>
          <w:ilvl w:val="0"/>
          <w:numId w:val="27"/>
        </w:numPr>
        <w:shd w:val="clear" w:color="auto" w:fill="FFFFFF" w:themeFill="background1"/>
        <w:spacing w:after="0" w:line="276" w:lineRule="auto"/>
        <w:jc w:val="both"/>
        <w:rPr>
          <w:rFonts w:ascii="Times New Roman" w:hAnsi="Times New Roman" w:cs="Times New Roman"/>
          <w:sz w:val="24"/>
          <w:szCs w:val="24"/>
          <w:lang w:val="it-IT"/>
        </w:rPr>
      </w:pPr>
      <w:r w:rsidRPr="009C7460">
        <w:rPr>
          <w:rFonts w:ascii="Times New Roman" w:hAnsi="Times New Roman" w:cs="Times New Roman"/>
          <w:sz w:val="24"/>
          <w:szCs w:val="24"/>
          <w:lang w:val="it-IT"/>
        </w:rPr>
        <w:t>Vlerësimet e kryera ndaj tatimpaguesve që kryejnë shërbime në fazën e kërkimit të operacioneve hidrokarbure, por kanë marrë vërtetimin nga AKBN përtej afatit 30-ditor.</w:t>
      </w:r>
    </w:p>
    <w:p w14:paraId="23690FB1" w14:textId="77777777" w:rsidR="00243D41" w:rsidRPr="00243D41" w:rsidRDefault="00243D41" w:rsidP="00243D41">
      <w:pPr>
        <w:pStyle w:val="ListParagraph"/>
        <w:widowControl w:val="0"/>
        <w:shd w:val="clear" w:color="auto" w:fill="FFFFFF" w:themeFill="background1"/>
        <w:spacing w:after="0" w:line="276" w:lineRule="auto"/>
        <w:jc w:val="both"/>
        <w:rPr>
          <w:rFonts w:ascii="Times New Roman" w:hAnsi="Times New Roman" w:cs="Times New Roman"/>
          <w:sz w:val="24"/>
          <w:szCs w:val="24"/>
          <w:lang w:val="it-IT"/>
        </w:rPr>
      </w:pPr>
    </w:p>
    <w:p w14:paraId="271B90AD" w14:textId="5E61B024" w:rsidR="00941C9F" w:rsidRDefault="004F049A" w:rsidP="00941C9F">
      <w:pPr>
        <w:pStyle w:val="NormalWeb"/>
        <w:spacing w:before="0" w:beforeAutospacing="0" w:after="0" w:afterAutospacing="0" w:line="276" w:lineRule="auto"/>
        <w:jc w:val="both"/>
        <w:rPr>
          <w:b/>
          <w:bCs/>
          <w:lang w:val="sv-SE"/>
        </w:rPr>
      </w:pPr>
      <w:r w:rsidRPr="00941C9F">
        <w:rPr>
          <w:lang w:val="sv-SE"/>
        </w:rPr>
        <w:t>Gjithashtu</w:t>
      </w:r>
      <w:r w:rsidR="00941C9F" w:rsidRPr="00941C9F">
        <w:rPr>
          <w:lang w:val="sv-SE"/>
        </w:rPr>
        <w:t xml:space="preserve"> për vitin 2024</w:t>
      </w:r>
      <w:r w:rsidR="00FC45D5">
        <w:rPr>
          <w:lang w:val="sv-SE"/>
        </w:rPr>
        <w:t xml:space="preserve">, </w:t>
      </w:r>
      <w:r w:rsidR="00243D41" w:rsidRPr="00941C9F">
        <w:rPr>
          <w:lang w:val="sv-SE"/>
        </w:rPr>
        <w:t>D</w:t>
      </w:r>
      <w:r w:rsidR="000E5901" w:rsidRPr="00941C9F">
        <w:rPr>
          <w:lang w:val="sv-SE"/>
        </w:rPr>
        <w:t xml:space="preserve">rejtoria e Apelimit Tatimor </w:t>
      </w:r>
      <w:r w:rsidR="00FC45D5">
        <w:rPr>
          <w:lang w:val="sv-SE"/>
        </w:rPr>
        <w:t>k</w:t>
      </w:r>
      <w:r w:rsidR="00941C9F" w:rsidRPr="00941C9F">
        <w:rPr>
          <w:lang w:val="sv-SE"/>
        </w:rPr>
        <w:t>a përditësuar</w:t>
      </w:r>
      <w:r w:rsidR="003F738B">
        <w:rPr>
          <w:lang w:val="sv-SE"/>
        </w:rPr>
        <w:t xml:space="preserve"> </w:t>
      </w:r>
      <w:r w:rsidR="00941C9F" w:rsidRPr="00941C9F">
        <w:rPr>
          <w:lang w:val="sv-SE"/>
        </w:rPr>
        <w:t xml:space="preserve">vendimet e publikuara në faqen zyrtare të Ministrisë së Financave, në linkun si vijon: </w:t>
      </w:r>
      <w:r w:rsidR="00941C9F">
        <w:rPr>
          <w:lang w:val="sv-SE"/>
        </w:rPr>
        <w:t xml:space="preserve"> </w:t>
      </w:r>
    </w:p>
    <w:p w14:paraId="54952473" w14:textId="2DF4B673" w:rsidR="00941C9F" w:rsidRDefault="00462157" w:rsidP="00941C9F">
      <w:pPr>
        <w:pStyle w:val="NormalWeb"/>
        <w:spacing w:before="0" w:beforeAutospacing="0" w:after="0" w:afterAutospacing="0" w:line="276" w:lineRule="auto"/>
        <w:jc w:val="both"/>
        <w:rPr>
          <w:lang w:val="sq-AL"/>
        </w:rPr>
      </w:pPr>
      <w:hyperlink r:id="rId12" w:history="1">
        <w:r w:rsidR="00941C9F" w:rsidRPr="00A57D7A">
          <w:rPr>
            <w:rStyle w:val="Hyperlink"/>
            <w:lang w:val="sq-AL"/>
          </w:rPr>
          <w:t>https://financa.gov.al/apelimi-tatimor/</w:t>
        </w:r>
      </w:hyperlink>
    </w:p>
    <w:p w14:paraId="6AC0A481" w14:textId="77777777" w:rsidR="008D134C" w:rsidRPr="008D134C" w:rsidRDefault="008D134C" w:rsidP="00941C9F">
      <w:pPr>
        <w:pStyle w:val="NormalWeb"/>
        <w:spacing w:before="0" w:beforeAutospacing="0" w:after="0" w:afterAutospacing="0" w:line="276" w:lineRule="auto"/>
        <w:jc w:val="both"/>
        <w:rPr>
          <w:rStyle w:val="Hyperlink"/>
          <w:b/>
          <w:bCs/>
          <w:color w:val="auto"/>
          <w:sz w:val="8"/>
          <w:szCs w:val="8"/>
          <w:u w:val="none"/>
          <w:lang w:val="sv-SE"/>
        </w:rPr>
      </w:pPr>
    </w:p>
    <w:p w14:paraId="7DC10EAD" w14:textId="77777777" w:rsidR="009A0191" w:rsidRDefault="009A0191" w:rsidP="009A0191">
      <w:pPr>
        <w:pStyle w:val="NormalWeb"/>
        <w:spacing w:before="0" w:beforeAutospacing="0" w:after="0" w:afterAutospacing="0" w:line="276" w:lineRule="auto"/>
        <w:jc w:val="both"/>
        <w:rPr>
          <w:lang w:val="sq-AL"/>
        </w:rPr>
      </w:pPr>
    </w:p>
    <w:p w14:paraId="6F25F2AF" w14:textId="69512B2A" w:rsidR="009A0191" w:rsidRDefault="008D134C" w:rsidP="00FC45D5">
      <w:pPr>
        <w:pStyle w:val="NormalWeb"/>
        <w:spacing w:before="0" w:beforeAutospacing="0" w:after="0" w:afterAutospacing="0" w:line="276" w:lineRule="auto"/>
        <w:jc w:val="both"/>
        <w:rPr>
          <w:lang w:val="sv-SE"/>
        </w:rPr>
      </w:pPr>
      <w:r w:rsidRPr="00FC45D5">
        <w:rPr>
          <w:lang w:val="sq-AL"/>
        </w:rPr>
        <w:t>Lidhur me masën nr.3 të parashikuar në plan, për publikimin në faqen zyrtare të Ministrisë së Financave të rezultateve të inspektimit financiar, aktualisht kjo masë rezulton e realizuar, p</w:t>
      </w:r>
      <w:r w:rsidR="00FC45D5">
        <w:rPr>
          <w:lang w:val="sq-AL"/>
        </w:rPr>
        <w:t>asi</w:t>
      </w:r>
      <w:r w:rsidRPr="00FC45D5">
        <w:rPr>
          <w:lang w:val="sq-AL"/>
        </w:rPr>
        <w:t xml:space="preserve"> Drejtoria e Inspektimit Financiar ka publikuar Raportin vjetor të vitit 2023, të veprimtarisë së drejtorisë, me treguesit respektiv, si dhe përmbledhjet ekzekutive të çdo inspektimi të kryer për periudhën respektive</w:t>
      </w:r>
      <w:r w:rsidR="00244331" w:rsidRPr="00FC45D5">
        <w:rPr>
          <w:lang w:val="sq-AL"/>
        </w:rPr>
        <w:t xml:space="preserve">. </w:t>
      </w:r>
      <w:r w:rsidR="009A0191" w:rsidRPr="00FC45D5">
        <w:rPr>
          <w:lang w:val="sq-AL"/>
        </w:rPr>
        <w:t>Gjithashtu</w:t>
      </w:r>
      <w:r w:rsidR="009A0191" w:rsidRPr="00FC45D5">
        <w:rPr>
          <w:lang w:val="sv-SE"/>
        </w:rPr>
        <w:t xml:space="preserve"> do të vijohet me publikimin e raportit vjetor për vitin 2024, në zbatim të përcaktimeve të kuadrit ligjor për inspektimin financiar publik.</w:t>
      </w:r>
      <w:r w:rsidR="009A0191">
        <w:rPr>
          <w:lang w:val="sv-SE"/>
        </w:rPr>
        <w:t xml:space="preserve"> </w:t>
      </w:r>
    </w:p>
    <w:p w14:paraId="278B6708" w14:textId="61D7BC52" w:rsidR="008D134C" w:rsidRDefault="008D134C" w:rsidP="00FC45D5">
      <w:pPr>
        <w:pStyle w:val="NormalWeb"/>
        <w:spacing w:before="0" w:beforeAutospacing="0" w:after="0" w:afterAutospacing="0" w:line="276" w:lineRule="auto"/>
        <w:jc w:val="both"/>
        <w:rPr>
          <w:lang w:val="sv-SE"/>
        </w:rPr>
      </w:pPr>
    </w:p>
    <w:p w14:paraId="5DB18738" w14:textId="77777777" w:rsidR="00857130" w:rsidRPr="00BC7149" w:rsidRDefault="00857130" w:rsidP="00857130">
      <w:pPr>
        <w:pStyle w:val="NormalWeb"/>
        <w:spacing w:before="0" w:beforeAutospacing="0" w:after="0" w:afterAutospacing="0" w:line="276" w:lineRule="auto"/>
        <w:jc w:val="both"/>
        <w:rPr>
          <w:sz w:val="28"/>
          <w:szCs w:val="28"/>
          <w:lang w:val="sv-SE"/>
        </w:rPr>
      </w:pPr>
      <w:bookmarkStart w:id="7" w:name="_Hlk176260817"/>
    </w:p>
    <w:bookmarkEnd w:id="7"/>
    <w:p w14:paraId="1F3A6A0A" w14:textId="1C624885" w:rsidR="00C8275C" w:rsidRDefault="00C8275C" w:rsidP="00BC7149">
      <w:pPr>
        <w:spacing w:after="0" w:line="276" w:lineRule="auto"/>
        <w:jc w:val="center"/>
        <w:rPr>
          <w:rFonts w:ascii="Times New Roman" w:hAnsi="Times New Roman" w:cs="Times New Roman"/>
          <w:b/>
          <w:color w:val="000000" w:themeColor="text1"/>
          <w:kern w:val="2"/>
          <w:sz w:val="24"/>
          <w:szCs w:val="24"/>
          <w:lang w:val="sv-SE"/>
          <w14:ligatures w14:val="standardContextual"/>
        </w:rPr>
      </w:pPr>
      <w:r w:rsidRPr="00C8275C">
        <w:rPr>
          <w:rFonts w:ascii="Times New Roman" w:hAnsi="Times New Roman" w:cs="Times New Roman"/>
          <w:b/>
          <w:color w:val="000000" w:themeColor="text1"/>
          <w:kern w:val="2"/>
          <w:sz w:val="24"/>
          <w:szCs w:val="24"/>
          <w:lang w:val="sv-SE"/>
          <w14:ligatures w14:val="standardContextual"/>
        </w:rPr>
        <w:t>OBJEKTIVI</w:t>
      </w:r>
      <w:r w:rsidR="00695E08">
        <w:rPr>
          <w:rFonts w:ascii="Times New Roman" w:hAnsi="Times New Roman" w:cs="Times New Roman"/>
          <w:b/>
          <w:color w:val="000000" w:themeColor="text1"/>
          <w:kern w:val="2"/>
          <w:sz w:val="24"/>
          <w:szCs w:val="24"/>
          <w:lang w:val="sv-SE"/>
          <w14:ligatures w14:val="standardContextual"/>
        </w:rPr>
        <w:t xml:space="preserve"> </w:t>
      </w:r>
      <w:r w:rsidRPr="00C8275C">
        <w:rPr>
          <w:rFonts w:ascii="Times New Roman" w:hAnsi="Times New Roman" w:cs="Times New Roman"/>
          <w:b/>
          <w:color w:val="000000" w:themeColor="text1"/>
          <w:kern w:val="2"/>
          <w:sz w:val="24"/>
          <w:szCs w:val="24"/>
          <w:lang w:val="sv-SE"/>
          <w14:ligatures w14:val="standardContextual"/>
        </w:rPr>
        <w:t>2</w:t>
      </w:r>
    </w:p>
    <w:p w14:paraId="4D18C882" w14:textId="77777777" w:rsidR="00BC7149" w:rsidRPr="00C8275C" w:rsidRDefault="00BC7149" w:rsidP="00BC7149">
      <w:pPr>
        <w:spacing w:after="0" w:line="276" w:lineRule="auto"/>
        <w:jc w:val="center"/>
        <w:rPr>
          <w:rFonts w:ascii="Times New Roman" w:hAnsi="Times New Roman" w:cs="Times New Roman"/>
          <w:b/>
          <w:color w:val="000000" w:themeColor="text1"/>
          <w:kern w:val="2"/>
          <w:sz w:val="24"/>
          <w:szCs w:val="24"/>
          <w:lang w:val="sv-SE"/>
          <w14:ligatures w14:val="standardContextual"/>
        </w:rPr>
      </w:pPr>
    </w:p>
    <w:p w14:paraId="3200B399" w14:textId="77777777" w:rsidR="00BC7149" w:rsidRDefault="00BC7149" w:rsidP="00BC7149">
      <w:pPr>
        <w:spacing w:after="0" w:line="276" w:lineRule="auto"/>
        <w:jc w:val="center"/>
        <w:rPr>
          <w:rFonts w:ascii="Times New Roman" w:hAnsi="Times New Roman" w:cs="Times New Roman"/>
          <w:b/>
          <w:color w:val="000000" w:themeColor="text1"/>
          <w:kern w:val="2"/>
          <w:sz w:val="24"/>
          <w:szCs w:val="24"/>
          <w:lang w:val="sv-SE"/>
          <w14:ligatures w14:val="standardContextual"/>
        </w:rPr>
      </w:pPr>
      <w:r w:rsidRPr="00BC7149">
        <w:rPr>
          <w:rFonts w:ascii="Times New Roman" w:hAnsi="Times New Roman" w:cs="Times New Roman"/>
          <w:b/>
          <w:bCs/>
          <w:kern w:val="2"/>
          <w:sz w:val="24"/>
          <w:szCs w:val="24"/>
          <w:lang w:val="sq-AL"/>
          <w14:ligatures w14:val="standardContextual"/>
        </w:rPr>
        <w:t>“</w:t>
      </w:r>
      <w:r w:rsidRPr="00BC7149">
        <w:rPr>
          <w:rFonts w:ascii="Times New Roman" w:hAnsi="Times New Roman" w:cs="Times New Roman"/>
          <w:b/>
          <w:color w:val="000000" w:themeColor="text1"/>
          <w:kern w:val="2"/>
          <w:sz w:val="24"/>
          <w:szCs w:val="24"/>
          <w:lang w:val="sv-SE"/>
          <w14:ligatures w14:val="standardContextual"/>
        </w:rPr>
        <w:t>BURIME NJERËZORE TË KUALIFIKUARA, TË QËNDRUESHME</w:t>
      </w:r>
    </w:p>
    <w:p w14:paraId="107F737B" w14:textId="1B5F4C59" w:rsidR="00C8275C" w:rsidRPr="00BC7149" w:rsidRDefault="00BC7149" w:rsidP="00BC7149">
      <w:pPr>
        <w:spacing w:after="0" w:line="276" w:lineRule="auto"/>
        <w:jc w:val="center"/>
        <w:rPr>
          <w:rFonts w:ascii="Times New Roman" w:hAnsi="Times New Roman" w:cs="Times New Roman"/>
          <w:b/>
          <w:color w:val="000000" w:themeColor="text1"/>
          <w:kern w:val="2"/>
          <w:sz w:val="24"/>
          <w:szCs w:val="24"/>
          <w:lang w:val="sv-SE"/>
          <w14:ligatures w14:val="standardContextual"/>
        </w:rPr>
      </w:pPr>
      <w:r w:rsidRPr="00BC7149">
        <w:rPr>
          <w:rFonts w:ascii="Times New Roman" w:hAnsi="Times New Roman" w:cs="Times New Roman"/>
          <w:b/>
          <w:color w:val="000000" w:themeColor="text1"/>
          <w:kern w:val="2"/>
          <w:sz w:val="24"/>
          <w:szCs w:val="24"/>
          <w:lang w:val="sv-SE"/>
          <w14:ligatures w14:val="standardContextual"/>
        </w:rPr>
        <w:t xml:space="preserve"> DHE ME TRAJNIME TË PËRSHTATSHME PËR T’I REZISTUAR SHKELJEVE TË INTEGRITETIT”</w:t>
      </w:r>
    </w:p>
    <w:p w14:paraId="46E7B977" w14:textId="77777777" w:rsidR="00C8275C" w:rsidRDefault="00C8275C" w:rsidP="00857130">
      <w:pPr>
        <w:spacing w:after="0" w:line="276" w:lineRule="auto"/>
        <w:jc w:val="both"/>
        <w:rPr>
          <w:rFonts w:ascii="Times New Roman" w:hAnsi="Times New Roman" w:cs="Times New Roman"/>
          <w:b/>
          <w:color w:val="000000" w:themeColor="text1"/>
          <w:kern w:val="2"/>
          <w:sz w:val="24"/>
          <w:szCs w:val="24"/>
          <w:lang w:val="sv-SE"/>
          <w14:ligatures w14:val="standardContextual"/>
        </w:rPr>
      </w:pPr>
    </w:p>
    <w:p w14:paraId="04A60810" w14:textId="44570A6A" w:rsid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Forcimi i sistemit të menaxhimit të burimeve njerëzore në institucion është shumë i rëndësishëm për një administratë publike efikase, transparente dhe të përgjegjshme në të gjitha nivelet. Në këtë drejtim, synohet të garantohet një proces transparent për plotësimin e vendeve vakan</w:t>
      </w:r>
      <w:r w:rsidR="00ED25CF">
        <w:rPr>
          <w:rFonts w:ascii="Times New Roman" w:hAnsi="Times New Roman" w:cs="Times New Roman"/>
          <w:kern w:val="2"/>
          <w:sz w:val="24"/>
          <w:szCs w:val="24"/>
          <w:lang w:val="sv-SE"/>
          <w14:ligatures w14:val="standardContextual"/>
        </w:rPr>
        <w:t>t</w:t>
      </w:r>
      <w:r w:rsidRPr="00C8275C">
        <w:rPr>
          <w:rFonts w:ascii="Times New Roman" w:hAnsi="Times New Roman" w:cs="Times New Roman"/>
          <w:kern w:val="2"/>
          <w:sz w:val="24"/>
          <w:szCs w:val="24"/>
          <w:lang w:val="sv-SE"/>
          <w14:ligatures w14:val="standardContextual"/>
        </w:rPr>
        <w:t xml:space="preserve">e, duke u mbështetur në parimet e shanseve të barabarta, mosdiskriminimit, meritës, profesionalizmit dhe paanësisë politike. </w:t>
      </w:r>
    </w:p>
    <w:p w14:paraId="5F7186D9" w14:textId="77777777" w:rsid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p>
    <w:p w14:paraId="74F6F9DF" w14:textId="29ECE186" w:rsidR="00C8275C" w:rsidRPr="00C8275C" w:rsidRDefault="00C8275C" w:rsidP="00C8275C">
      <w:pPr>
        <w:spacing w:after="0" w:line="276" w:lineRule="auto"/>
        <w:jc w:val="both"/>
        <w:rPr>
          <w:rFonts w:ascii="Times New Roman" w:hAnsi="Times New Roman" w:cs="Times New Roman"/>
          <w:b/>
          <w:color w:val="000000" w:themeColor="text1"/>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 xml:space="preserve">Gjithashtu nëpërmjet këtij objektivi synohet kryerja e trajnimeve të vazhdueshme me qëllim </w:t>
      </w:r>
      <w:r w:rsidRPr="00C8275C">
        <w:rPr>
          <w:rFonts w:ascii="Times New Roman" w:eastAsia="Times New Roman" w:hAnsi="Times New Roman" w:cs="Times New Roman"/>
          <w:color w:val="000000" w:themeColor="text1"/>
          <w:kern w:val="2"/>
          <w:sz w:val="24"/>
          <w:szCs w:val="24"/>
          <w:lang w:val="sv-SE" w:eastAsia="en-GB"/>
          <w14:ligatures w14:val="standardContextual"/>
        </w:rPr>
        <w:t>forcimin e integritetit të punonjësve, njohja me rregullat e etikës si dhe përmirësimi i njohurive të punonjësve, sipas fushës së veprimtarisë së ministrisë</w:t>
      </w:r>
      <w:r>
        <w:rPr>
          <w:rFonts w:ascii="Times New Roman" w:eastAsia="Times New Roman" w:hAnsi="Times New Roman" w:cs="Times New Roman"/>
          <w:color w:val="000000" w:themeColor="text1"/>
          <w:kern w:val="2"/>
          <w:sz w:val="24"/>
          <w:szCs w:val="24"/>
          <w:lang w:val="sv-SE" w:eastAsia="en-GB"/>
          <w14:ligatures w14:val="standardContextual"/>
        </w:rPr>
        <w:t>.</w:t>
      </w:r>
      <w:r w:rsidRPr="00C8275C">
        <w:rPr>
          <w:rFonts w:ascii="Times New Roman" w:eastAsia="Times New Roman" w:hAnsi="Times New Roman" w:cs="Times New Roman"/>
          <w:color w:val="000000" w:themeColor="text1"/>
          <w:kern w:val="2"/>
          <w:sz w:val="24"/>
          <w:szCs w:val="24"/>
          <w:lang w:val="sv-SE" w:eastAsia="en-GB"/>
          <w14:ligatures w14:val="standardContextual"/>
        </w:rPr>
        <w:t xml:space="preserve"> </w:t>
      </w:r>
      <w:r w:rsidRPr="00C8275C">
        <w:rPr>
          <w:rFonts w:ascii="Times New Roman" w:hAnsi="Times New Roman" w:cs="Times New Roman"/>
          <w:color w:val="000000" w:themeColor="text1"/>
          <w:kern w:val="2"/>
          <w:sz w:val="24"/>
          <w:szCs w:val="24"/>
          <w:lang w:val="sv-SE"/>
          <w14:ligatures w14:val="standardContextual"/>
        </w:rPr>
        <w:t>Me qëllim përmbushjen e këtij objektivi</w:t>
      </w:r>
      <w:r>
        <w:rPr>
          <w:rFonts w:ascii="Times New Roman" w:hAnsi="Times New Roman" w:cs="Times New Roman"/>
          <w:color w:val="000000" w:themeColor="text1"/>
          <w:kern w:val="2"/>
          <w:sz w:val="24"/>
          <w:szCs w:val="24"/>
          <w:lang w:val="sv-SE"/>
          <w14:ligatures w14:val="standardContextual"/>
        </w:rPr>
        <w:t xml:space="preserve"> </w:t>
      </w:r>
      <w:r w:rsidRPr="00C8275C">
        <w:rPr>
          <w:rFonts w:ascii="Times New Roman" w:hAnsi="Times New Roman" w:cs="Times New Roman"/>
          <w:color w:val="000000" w:themeColor="text1"/>
          <w:kern w:val="2"/>
          <w:sz w:val="24"/>
          <w:szCs w:val="24"/>
          <w:lang w:val="sv-SE"/>
          <w14:ligatures w14:val="standardContextual"/>
        </w:rPr>
        <w:t>gjatë periudhës raportuese, janë realizuar masat si vijon:</w:t>
      </w:r>
    </w:p>
    <w:p w14:paraId="1ABBAD30" w14:textId="77777777" w:rsidR="00C8275C" w:rsidRPr="00C8275C" w:rsidRDefault="00C8275C" w:rsidP="00C8275C">
      <w:pPr>
        <w:spacing w:after="0" w:line="276" w:lineRule="auto"/>
        <w:jc w:val="both"/>
        <w:rPr>
          <w:rFonts w:ascii="Times New Roman" w:hAnsi="Times New Roman" w:cs="Times New Roman"/>
          <w:color w:val="000000" w:themeColor="text1"/>
          <w:kern w:val="2"/>
          <w:sz w:val="24"/>
          <w:szCs w:val="24"/>
          <w:lang w:val="sv-SE"/>
          <w14:ligatures w14:val="standardContextual"/>
        </w:rPr>
      </w:pPr>
    </w:p>
    <w:p w14:paraId="524B9262" w14:textId="2A2653AA" w:rsidR="0094381C" w:rsidRPr="00695E08" w:rsidRDefault="00C8275C" w:rsidP="00C8275C">
      <w:pPr>
        <w:spacing w:after="0" w:line="276" w:lineRule="auto"/>
        <w:jc w:val="both"/>
        <w:rPr>
          <w:rFonts w:ascii="Times New Roman" w:eastAsia="Times New Roman" w:hAnsi="Times New Roman" w:cs="Times New Roman"/>
          <w:color w:val="000000"/>
          <w:sz w:val="24"/>
          <w:szCs w:val="24"/>
          <w:lang w:val="sv-SE"/>
        </w:rPr>
      </w:pPr>
      <w:r w:rsidRPr="00C8275C">
        <w:rPr>
          <w:rFonts w:ascii="Times New Roman" w:eastAsia="Times New Roman" w:hAnsi="Times New Roman" w:cs="Times New Roman"/>
          <w:color w:val="000000"/>
          <w:sz w:val="24"/>
          <w:szCs w:val="24"/>
          <w:lang w:val="sv-SE"/>
        </w:rPr>
        <w:t xml:space="preserve">Është realizuar masa nr.1 e planit lidhur me zhvillimin e trajnimeve për legjislacionin tatimor, kryesisht në rastet e ndryshimeve ligjore. </w:t>
      </w:r>
      <w:r w:rsidR="0094381C">
        <w:rPr>
          <w:rFonts w:ascii="Times New Roman" w:eastAsia="Times New Roman" w:hAnsi="Times New Roman" w:cs="Times New Roman"/>
          <w:color w:val="000000"/>
          <w:sz w:val="24"/>
          <w:szCs w:val="24"/>
          <w:lang w:val="sv-SE"/>
        </w:rPr>
        <w:t xml:space="preserve">Gjatë vitit 2024 </w:t>
      </w:r>
      <w:r w:rsidRPr="00C8275C">
        <w:rPr>
          <w:rFonts w:ascii="Times New Roman" w:eastAsia="Times New Roman" w:hAnsi="Times New Roman" w:cs="Times New Roman"/>
          <w:color w:val="000000"/>
          <w:sz w:val="24"/>
          <w:szCs w:val="24"/>
          <w:lang w:val="sv-SE"/>
        </w:rPr>
        <w:t>Drejtoria e Apelimit Tatimor në bashkëpunim me Qendrën e Trajnimit të Administratës Tatimore dhe Doganore (QTATD) ka realizuar trajnim</w:t>
      </w:r>
      <w:r w:rsidR="0094381C">
        <w:rPr>
          <w:rFonts w:ascii="Times New Roman" w:eastAsia="Times New Roman" w:hAnsi="Times New Roman" w:cs="Times New Roman"/>
          <w:color w:val="000000"/>
          <w:sz w:val="24"/>
          <w:szCs w:val="24"/>
          <w:lang w:val="sv-SE"/>
        </w:rPr>
        <w:t>et</w:t>
      </w:r>
      <w:r w:rsidRPr="00C8275C">
        <w:rPr>
          <w:rFonts w:ascii="Times New Roman" w:eastAsia="Times New Roman" w:hAnsi="Times New Roman" w:cs="Times New Roman"/>
          <w:color w:val="000000"/>
          <w:sz w:val="24"/>
          <w:szCs w:val="24"/>
          <w:lang w:val="sv-SE"/>
        </w:rPr>
        <w:t xml:space="preserve"> </w:t>
      </w:r>
      <w:r w:rsidR="0094381C">
        <w:rPr>
          <w:rFonts w:ascii="Times New Roman" w:eastAsia="Times New Roman" w:hAnsi="Times New Roman" w:cs="Times New Roman"/>
          <w:color w:val="000000"/>
          <w:sz w:val="24"/>
          <w:szCs w:val="24"/>
          <w:lang w:val="sv-SE"/>
        </w:rPr>
        <w:t xml:space="preserve">me temë </w:t>
      </w:r>
      <w:r w:rsidRPr="00C8275C">
        <w:rPr>
          <w:rFonts w:ascii="Times New Roman" w:eastAsia="Times New Roman" w:hAnsi="Times New Roman" w:cs="Times New Roman"/>
          <w:color w:val="000000"/>
          <w:sz w:val="24"/>
          <w:szCs w:val="24"/>
          <w:lang w:val="sv-SE"/>
        </w:rPr>
        <w:t>ligji</w:t>
      </w:r>
      <w:r w:rsidR="008864DB">
        <w:rPr>
          <w:rFonts w:ascii="Times New Roman" w:eastAsia="Times New Roman" w:hAnsi="Times New Roman" w:cs="Times New Roman"/>
          <w:color w:val="000000"/>
          <w:sz w:val="24"/>
          <w:szCs w:val="24"/>
          <w:lang w:val="sv-SE"/>
        </w:rPr>
        <w:t>n</w:t>
      </w:r>
      <w:r w:rsidRPr="00C8275C">
        <w:rPr>
          <w:rFonts w:ascii="Times New Roman" w:eastAsia="Times New Roman" w:hAnsi="Times New Roman" w:cs="Times New Roman"/>
          <w:color w:val="000000"/>
          <w:sz w:val="24"/>
          <w:szCs w:val="24"/>
          <w:lang w:val="sv-SE"/>
        </w:rPr>
        <w:t xml:space="preserve"> nr.29/2023 </w:t>
      </w:r>
      <w:r w:rsidRPr="00695E08">
        <w:rPr>
          <w:rFonts w:ascii="Times New Roman" w:eastAsia="Times New Roman" w:hAnsi="Times New Roman" w:cs="Times New Roman"/>
          <w:color w:val="000000"/>
          <w:sz w:val="24"/>
          <w:szCs w:val="24"/>
          <w:lang w:val="sv-SE"/>
        </w:rPr>
        <w:t xml:space="preserve">“Për Tatimin mbi të Ardhurat”, </w:t>
      </w:r>
      <w:r w:rsidR="008864DB" w:rsidRPr="00695E08">
        <w:rPr>
          <w:rFonts w:ascii="Times New Roman" w:eastAsia="Times New Roman" w:hAnsi="Times New Roman" w:cs="Times New Roman"/>
          <w:color w:val="000000"/>
          <w:sz w:val="24"/>
          <w:szCs w:val="24"/>
          <w:lang w:val="sv-SE"/>
        </w:rPr>
        <w:t>të</w:t>
      </w:r>
      <w:r w:rsidRPr="00695E08">
        <w:rPr>
          <w:rFonts w:ascii="Times New Roman" w:eastAsia="Times New Roman" w:hAnsi="Times New Roman" w:cs="Times New Roman"/>
          <w:color w:val="000000"/>
          <w:sz w:val="24"/>
          <w:szCs w:val="24"/>
          <w:lang w:val="sv-SE"/>
        </w:rPr>
        <w:t xml:space="preserve"> ndryshuar</w:t>
      </w:r>
      <w:r w:rsidR="0094381C" w:rsidRPr="00695E08">
        <w:rPr>
          <w:rFonts w:ascii="Times New Roman" w:eastAsia="Times New Roman" w:hAnsi="Times New Roman" w:cs="Times New Roman"/>
          <w:color w:val="000000"/>
          <w:sz w:val="24"/>
          <w:szCs w:val="24"/>
          <w:lang w:val="sv-SE"/>
        </w:rPr>
        <w:t xml:space="preserve">, në datat si më poshtë vijon: </w:t>
      </w:r>
    </w:p>
    <w:p w14:paraId="2EE15C84" w14:textId="77777777" w:rsidR="00F337F8" w:rsidRPr="00F337F8" w:rsidRDefault="00F337F8" w:rsidP="00C8275C">
      <w:pPr>
        <w:spacing w:after="0" w:line="276" w:lineRule="auto"/>
        <w:jc w:val="both"/>
        <w:rPr>
          <w:rFonts w:ascii="Times New Roman" w:eastAsia="Times New Roman" w:hAnsi="Times New Roman" w:cs="Times New Roman"/>
          <w:color w:val="000000"/>
          <w:sz w:val="16"/>
          <w:szCs w:val="16"/>
          <w:lang w:val="sv-SE"/>
        </w:rPr>
      </w:pPr>
    </w:p>
    <w:p w14:paraId="71596A80" w14:textId="77777777" w:rsidR="00F337F8" w:rsidRDefault="0094381C" w:rsidP="00C8275C">
      <w:pPr>
        <w:pStyle w:val="ListParagraph"/>
        <w:numPr>
          <w:ilvl w:val="0"/>
          <w:numId w:val="30"/>
        </w:numPr>
        <w:spacing w:after="0" w:line="276" w:lineRule="auto"/>
        <w:jc w:val="both"/>
        <w:rPr>
          <w:rFonts w:ascii="Times New Roman" w:eastAsia="Times New Roman" w:hAnsi="Times New Roman" w:cs="Times New Roman"/>
          <w:color w:val="000000"/>
          <w:sz w:val="24"/>
          <w:szCs w:val="24"/>
          <w:lang w:val="sv-SE"/>
        </w:rPr>
      </w:pPr>
      <w:r w:rsidRPr="00F337F8">
        <w:rPr>
          <w:rFonts w:ascii="Times New Roman" w:eastAsia="Times New Roman" w:hAnsi="Times New Roman" w:cs="Times New Roman"/>
          <w:color w:val="000000"/>
          <w:sz w:val="24"/>
          <w:szCs w:val="24"/>
          <w:lang w:val="sv-SE"/>
        </w:rPr>
        <w:t>19.02.2024;</w:t>
      </w:r>
    </w:p>
    <w:p w14:paraId="34511DD8" w14:textId="26F2C4E8" w:rsidR="00F337F8" w:rsidRDefault="0094381C" w:rsidP="00C8275C">
      <w:pPr>
        <w:pStyle w:val="ListParagraph"/>
        <w:numPr>
          <w:ilvl w:val="0"/>
          <w:numId w:val="30"/>
        </w:numPr>
        <w:spacing w:after="0" w:line="276" w:lineRule="auto"/>
        <w:jc w:val="both"/>
        <w:rPr>
          <w:rFonts w:ascii="Times New Roman" w:eastAsia="Times New Roman" w:hAnsi="Times New Roman" w:cs="Times New Roman"/>
          <w:color w:val="000000"/>
          <w:sz w:val="24"/>
          <w:szCs w:val="24"/>
          <w:lang w:val="sv-SE"/>
        </w:rPr>
      </w:pPr>
      <w:r w:rsidRPr="00F337F8">
        <w:rPr>
          <w:rFonts w:ascii="Times New Roman" w:eastAsia="Times New Roman" w:hAnsi="Times New Roman" w:cs="Times New Roman"/>
          <w:color w:val="000000"/>
          <w:sz w:val="24"/>
          <w:szCs w:val="24"/>
          <w:lang w:val="sv-SE"/>
        </w:rPr>
        <w:t>22.02.2024 – 23.02.2024</w:t>
      </w:r>
      <w:r w:rsidR="00F337F8">
        <w:rPr>
          <w:rFonts w:ascii="Times New Roman" w:eastAsia="Times New Roman" w:hAnsi="Times New Roman" w:cs="Times New Roman"/>
          <w:color w:val="000000"/>
          <w:sz w:val="24"/>
          <w:szCs w:val="24"/>
          <w:lang w:val="sv-SE"/>
        </w:rPr>
        <w:t>;</w:t>
      </w:r>
    </w:p>
    <w:p w14:paraId="5D3B4188" w14:textId="77777777" w:rsidR="00F337F8" w:rsidRDefault="0094381C" w:rsidP="00C8275C">
      <w:pPr>
        <w:pStyle w:val="ListParagraph"/>
        <w:numPr>
          <w:ilvl w:val="0"/>
          <w:numId w:val="30"/>
        </w:numPr>
        <w:spacing w:after="0" w:line="276" w:lineRule="auto"/>
        <w:jc w:val="both"/>
        <w:rPr>
          <w:rFonts w:ascii="Times New Roman" w:eastAsia="Times New Roman" w:hAnsi="Times New Roman" w:cs="Times New Roman"/>
          <w:color w:val="000000"/>
          <w:sz w:val="24"/>
          <w:szCs w:val="24"/>
          <w:lang w:val="sv-SE"/>
        </w:rPr>
      </w:pPr>
      <w:r w:rsidRPr="00F337F8">
        <w:rPr>
          <w:rFonts w:ascii="Times New Roman" w:eastAsia="Times New Roman" w:hAnsi="Times New Roman" w:cs="Times New Roman"/>
          <w:color w:val="000000"/>
          <w:sz w:val="24"/>
          <w:szCs w:val="24"/>
          <w:lang w:val="sv-SE"/>
        </w:rPr>
        <w:t>26.02.2024</w:t>
      </w:r>
      <w:r w:rsidR="00F337F8">
        <w:rPr>
          <w:rFonts w:ascii="Times New Roman" w:eastAsia="Times New Roman" w:hAnsi="Times New Roman" w:cs="Times New Roman"/>
          <w:color w:val="000000"/>
          <w:sz w:val="24"/>
          <w:szCs w:val="24"/>
          <w:lang w:val="sv-SE"/>
        </w:rPr>
        <w:t>;</w:t>
      </w:r>
    </w:p>
    <w:p w14:paraId="4517C18D" w14:textId="6F48F711" w:rsidR="0094381C" w:rsidRPr="00F337F8" w:rsidRDefault="0094381C" w:rsidP="00C8275C">
      <w:pPr>
        <w:pStyle w:val="ListParagraph"/>
        <w:numPr>
          <w:ilvl w:val="0"/>
          <w:numId w:val="30"/>
        </w:numPr>
        <w:spacing w:after="0" w:line="276" w:lineRule="auto"/>
        <w:jc w:val="both"/>
        <w:rPr>
          <w:rFonts w:ascii="Times New Roman" w:eastAsia="Times New Roman" w:hAnsi="Times New Roman" w:cs="Times New Roman"/>
          <w:color w:val="000000"/>
          <w:sz w:val="24"/>
          <w:szCs w:val="24"/>
          <w:lang w:val="sv-SE"/>
        </w:rPr>
      </w:pPr>
      <w:r w:rsidRPr="00F337F8">
        <w:rPr>
          <w:rFonts w:ascii="Times New Roman" w:eastAsia="Times New Roman" w:hAnsi="Times New Roman" w:cs="Times New Roman"/>
          <w:color w:val="000000"/>
          <w:sz w:val="24"/>
          <w:szCs w:val="24"/>
          <w:lang w:val="sv-SE"/>
        </w:rPr>
        <w:t>21.05.2024 – 22.05.2024</w:t>
      </w:r>
    </w:p>
    <w:p w14:paraId="19C6094A" w14:textId="77777777" w:rsidR="0094381C" w:rsidRDefault="0094381C" w:rsidP="00C8275C">
      <w:pPr>
        <w:spacing w:after="0" w:line="276" w:lineRule="auto"/>
        <w:jc w:val="both"/>
        <w:rPr>
          <w:rFonts w:ascii="Times New Roman" w:eastAsia="Times New Roman" w:hAnsi="Times New Roman" w:cs="Times New Roman"/>
          <w:color w:val="000000"/>
          <w:sz w:val="24"/>
          <w:szCs w:val="24"/>
          <w:lang w:val="sv-SE"/>
        </w:rPr>
      </w:pPr>
    </w:p>
    <w:p w14:paraId="4A77A0A2" w14:textId="56FB3CAF" w:rsidR="003F738B" w:rsidRPr="00FC45D5" w:rsidRDefault="00FB4487" w:rsidP="00FB4487">
      <w:pPr>
        <w:spacing w:after="0" w:line="276" w:lineRule="auto"/>
        <w:jc w:val="both"/>
        <w:rPr>
          <w:rFonts w:ascii="Times New Roman" w:eastAsia="Calibri" w:hAnsi="Times New Roman" w:cs="Times New Roman"/>
          <w:bCs/>
          <w:sz w:val="24"/>
          <w:szCs w:val="24"/>
          <w:lang w:val="sq-AL"/>
        </w:rPr>
      </w:pPr>
      <w:bookmarkStart w:id="8" w:name="_Hlk175821236"/>
      <w:r w:rsidRPr="00FC45D5">
        <w:rPr>
          <w:rFonts w:ascii="Times New Roman" w:eastAsia="Times New Roman" w:hAnsi="Times New Roman" w:cs="Times New Roman"/>
          <w:color w:val="000000"/>
          <w:sz w:val="24"/>
          <w:szCs w:val="24"/>
          <w:lang w:val="sv-SE"/>
        </w:rPr>
        <w:lastRenderedPageBreak/>
        <w:t>Gjatë periudhës së raportimit është përmbushur masa nr.3 e planit, ku janë plotësuar 4 vende vakan</w:t>
      </w:r>
      <w:r w:rsidR="00ED25CF" w:rsidRPr="00FC45D5">
        <w:rPr>
          <w:rFonts w:ascii="Times New Roman" w:eastAsia="Times New Roman" w:hAnsi="Times New Roman" w:cs="Times New Roman"/>
          <w:color w:val="000000"/>
          <w:sz w:val="24"/>
          <w:szCs w:val="24"/>
          <w:lang w:val="sv-SE"/>
        </w:rPr>
        <w:t>t</w:t>
      </w:r>
      <w:r w:rsidRPr="00FC45D5">
        <w:rPr>
          <w:rFonts w:ascii="Times New Roman" w:eastAsia="Times New Roman" w:hAnsi="Times New Roman" w:cs="Times New Roman"/>
          <w:color w:val="000000"/>
          <w:sz w:val="24"/>
          <w:szCs w:val="24"/>
          <w:lang w:val="sv-SE"/>
        </w:rPr>
        <w:t xml:space="preserve">e në Drejtorinë </w:t>
      </w:r>
      <w:r w:rsidRPr="00FC45D5">
        <w:rPr>
          <w:rFonts w:ascii="Times New Roman" w:eastAsia="Calibri" w:hAnsi="Times New Roman" w:cs="Times New Roman"/>
          <w:sz w:val="24"/>
          <w:szCs w:val="24"/>
          <w:lang w:val="sq-AL"/>
        </w:rPr>
        <w:t>Mbështetëse të Zyrtarit Kombëtar Autorizues</w:t>
      </w:r>
      <w:r w:rsidR="003F738B" w:rsidRPr="00FC45D5">
        <w:rPr>
          <w:rFonts w:ascii="Times New Roman" w:eastAsia="Calibri" w:hAnsi="Times New Roman" w:cs="Times New Roman"/>
          <w:bCs/>
          <w:sz w:val="24"/>
          <w:szCs w:val="24"/>
          <w:lang w:val="sq-AL"/>
        </w:rPr>
        <w:t>. Për shkak të ristrukturimit të institucionit</w:t>
      </w:r>
      <w:r w:rsidR="00A21450" w:rsidRPr="00FC45D5">
        <w:rPr>
          <w:rFonts w:ascii="Times New Roman" w:eastAsia="Calibri" w:hAnsi="Times New Roman" w:cs="Times New Roman"/>
          <w:bCs/>
          <w:sz w:val="24"/>
          <w:szCs w:val="24"/>
          <w:lang w:val="sq-AL"/>
        </w:rPr>
        <w:t>,</w:t>
      </w:r>
      <w:r w:rsidR="003F738B" w:rsidRPr="00FC45D5">
        <w:rPr>
          <w:rFonts w:ascii="Times New Roman" w:eastAsia="Calibri" w:hAnsi="Times New Roman" w:cs="Times New Roman"/>
          <w:bCs/>
          <w:sz w:val="24"/>
          <w:szCs w:val="24"/>
          <w:lang w:val="sq-AL"/>
        </w:rPr>
        <w:t xml:space="preserve"> </w:t>
      </w:r>
      <w:r w:rsidR="00A21450" w:rsidRPr="00FC45D5">
        <w:rPr>
          <w:rFonts w:ascii="Times New Roman" w:eastAsia="Calibri" w:hAnsi="Times New Roman" w:cs="Times New Roman"/>
          <w:bCs/>
          <w:sz w:val="24"/>
          <w:szCs w:val="24"/>
          <w:lang w:val="sq-AL"/>
        </w:rPr>
        <w:t>nga 2</w:t>
      </w:r>
      <w:r w:rsidR="00FC45D5" w:rsidRPr="00FC45D5">
        <w:rPr>
          <w:rFonts w:ascii="Times New Roman" w:eastAsia="Calibri" w:hAnsi="Times New Roman" w:cs="Times New Roman"/>
          <w:bCs/>
          <w:sz w:val="24"/>
          <w:szCs w:val="24"/>
          <w:lang w:val="sq-AL"/>
        </w:rPr>
        <w:t xml:space="preserve"> </w:t>
      </w:r>
      <w:r w:rsidR="003F738B" w:rsidRPr="00FC45D5">
        <w:rPr>
          <w:rFonts w:ascii="Times New Roman" w:eastAsia="Calibri" w:hAnsi="Times New Roman" w:cs="Times New Roman"/>
          <w:bCs/>
          <w:sz w:val="24"/>
          <w:szCs w:val="24"/>
          <w:lang w:val="sq-AL"/>
        </w:rPr>
        <w:t>vende vakante</w:t>
      </w:r>
      <w:r w:rsidR="00A21450" w:rsidRPr="00FC45D5">
        <w:rPr>
          <w:rFonts w:ascii="Times New Roman" w:eastAsia="Calibri" w:hAnsi="Times New Roman" w:cs="Times New Roman"/>
          <w:bCs/>
          <w:sz w:val="24"/>
          <w:szCs w:val="24"/>
          <w:lang w:val="sq-AL"/>
        </w:rPr>
        <w:t xml:space="preserve"> që rezultojnë në këtë drejtori, </w:t>
      </w:r>
      <w:r w:rsidR="003F738B" w:rsidRPr="00FC45D5">
        <w:rPr>
          <w:rFonts w:ascii="Times New Roman" w:eastAsia="Calibri" w:hAnsi="Times New Roman" w:cs="Times New Roman"/>
          <w:bCs/>
          <w:sz w:val="24"/>
          <w:szCs w:val="24"/>
          <w:lang w:val="sq-AL"/>
        </w:rPr>
        <w:t xml:space="preserve">gjatë muajit dhjetor 2024 është </w:t>
      </w:r>
      <w:r w:rsidR="008D134C" w:rsidRPr="00FC45D5">
        <w:rPr>
          <w:rFonts w:ascii="Times New Roman" w:eastAsia="Calibri" w:hAnsi="Times New Roman" w:cs="Times New Roman"/>
          <w:bCs/>
          <w:sz w:val="24"/>
          <w:szCs w:val="24"/>
          <w:lang w:val="sq-AL"/>
        </w:rPr>
        <w:t xml:space="preserve">shpallur </w:t>
      </w:r>
      <w:r w:rsidR="003F738B" w:rsidRPr="00FC45D5">
        <w:rPr>
          <w:rFonts w:ascii="Times New Roman" w:eastAsia="Calibri" w:hAnsi="Times New Roman" w:cs="Times New Roman"/>
          <w:bCs/>
          <w:sz w:val="24"/>
          <w:szCs w:val="24"/>
          <w:lang w:val="sq-AL"/>
        </w:rPr>
        <w:t>thirrja për plot</w:t>
      </w:r>
      <w:r w:rsidR="00A21450" w:rsidRPr="00FC45D5">
        <w:rPr>
          <w:rFonts w:ascii="Times New Roman" w:eastAsia="Calibri" w:hAnsi="Times New Roman" w:cs="Times New Roman"/>
          <w:bCs/>
          <w:sz w:val="24"/>
          <w:szCs w:val="24"/>
          <w:lang w:val="sq-AL"/>
        </w:rPr>
        <w:t>ësimin e</w:t>
      </w:r>
      <w:r w:rsidR="003F738B" w:rsidRPr="00FC45D5">
        <w:rPr>
          <w:rFonts w:ascii="Times New Roman" w:eastAsia="Calibri" w:hAnsi="Times New Roman" w:cs="Times New Roman"/>
          <w:bCs/>
          <w:sz w:val="24"/>
          <w:szCs w:val="24"/>
          <w:lang w:val="sq-AL"/>
        </w:rPr>
        <w:t xml:space="preserve"> 1 </w:t>
      </w:r>
      <w:r w:rsidR="00A21450" w:rsidRPr="00FC45D5">
        <w:rPr>
          <w:rFonts w:ascii="Times New Roman" w:eastAsia="Calibri" w:hAnsi="Times New Roman" w:cs="Times New Roman"/>
          <w:bCs/>
          <w:sz w:val="24"/>
          <w:szCs w:val="24"/>
          <w:lang w:val="sq-AL"/>
        </w:rPr>
        <w:t xml:space="preserve">vendi vakant në pozicionin </w:t>
      </w:r>
      <w:r w:rsidR="003F738B" w:rsidRPr="00FC45D5">
        <w:rPr>
          <w:rFonts w:ascii="Times New Roman" w:eastAsia="Calibri" w:hAnsi="Times New Roman" w:cs="Times New Roman"/>
          <w:bCs/>
          <w:sz w:val="24"/>
          <w:szCs w:val="24"/>
          <w:lang w:val="sq-AL"/>
        </w:rPr>
        <w:t xml:space="preserve"> </w:t>
      </w:r>
      <w:r w:rsidR="00A21450" w:rsidRPr="00FC45D5">
        <w:rPr>
          <w:rFonts w:ascii="Times New Roman" w:eastAsia="Calibri" w:hAnsi="Times New Roman" w:cs="Times New Roman"/>
          <w:bCs/>
          <w:sz w:val="24"/>
          <w:szCs w:val="24"/>
          <w:lang w:val="sq-AL"/>
        </w:rPr>
        <w:t>“</w:t>
      </w:r>
      <w:r w:rsidR="00244331" w:rsidRPr="00FC45D5">
        <w:rPr>
          <w:rFonts w:ascii="Times New Roman" w:eastAsia="Calibri" w:hAnsi="Times New Roman" w:cs="Times New Roman"/>
          <w:bCs/>
          <w:sz w:val="24"/>
          <w:szCs w:val="24"/>
          <w:lang w:val="sq-AL"/>
        </w:rPr>
        <w:t>S</w:t>
      </w:r>
      <w:r w:rsidR="003F738B" w:rsidRPr="00FC45D5">
        <w:rPr>
          <w:rFonts w:ascii="Times New Roman" w:eastAsia="Calibri" w:hAnsi="Times New Roman" w:cs="Times New Roman"/>
          <w:bCs/>
          <w:sz w:val="24"/>
          <w:szCs w:val="24"/>
          <w:lang w:val="sq-AL"/>
        </w:rPr>
        <w:t>pecialist në sektorin IPARD</w:t>
      </w:r>
      <w:r w:rsidR="00A21450" w:rsidRPr="00FC45D5">
        <w:rPr>
          <w:rFonts w:ascii="Times New Roman" w:eastAsia="Calibri" w:hAnsi="Times New Roman" w:cs="Times New Roman"/>
          <w:bCs/>
          <w:sz w:val="24"/>
          <w:szCs w:val="24"/>
          <w:lang w:val="sq-AL"/>
        </w:rPr>
        <w:t>”</w:t>
      </w:r>
      <w:r w:rsidR="003F738B" w:rsidRPr="00FC45D5">
        <w:rPr>
          <w:rFonts w:ascii="Times New Roman" w:eastAsia="Calibri" w:hAnsi="Times New Roman" w:cs="Times New Roman"/>
          <w:bCs/>
          <w:sz w:val="24"/>
          <w:szCs w:val="24"/>
          <w:lang w:val="sq-AL"/>
        </w:rPr>
        <w:t xml:space="preserve">. </w:t>
      </w:r>
    </w:p>
    <w:p w14:paraId="23636A70" w14:textId="77777777" w:rsidR="008D134C" w:rsidRPr="008D134C" w:rsidRDefault="008D134C" w:rsidP="00FB4487">
      <w:pPr>
        <w:spacing w:after="0" w:line="276" w:lineRule="auto"/>
        <w:jc w:val="both"/>
        <w:rPr>
          <w:rFonts w:ascii="Times New Roman" w:eastAsia="Calibri" w:hAnsi="Times New Roman" w:cs="Times New Roman"/>
          <w:bCs/>
          <w:sz w:val="24"/>
          <w:szCs w:val="24"/>
          <w:lang w:val="sq-AL"/>
        </w:rPr>
      </w:pPr>
    </w:p>
    <w:p w14:paraId="4DBEEFAF" w14:textId="0DB427FB" w:rsidR="008D134C" w:rsidRDefault="009A0191" w:rsidP="003F738B">
      <w:pPr>
        <w:spacing w:after="0" w:line="276" w:lineRule="auto"/>
        <w:jc w:val="both"/>
        <w:rPr>
          <w:rFonts w:ascii="Times New Roman" w:eastAsia="Times New Roman" w:hAnsi="Times New Roman" w:cs="Times New Roman"/>
          <w:b/>
          <w:bCs/>
          <w:sz w:val="24"/>
          <w:szCs w:val="24"/>
          <w:lang w:val="sv-SE"/>
        </w:rPr>
      </w:pPr>
      <w:r>
        <w:rPr>
          <w:rFonts w:ascii="Times New Roman" w:eastAsia="Times New Roman" w:hAnsi="Times New Roman" w:cs="Times New Roman"/>
          <w:sz w:val="24"/>
          <w:szCs w:val="24"/>
          <w:lang w:val="sv-SE"/>
        </w:rPr>
        <w:t>Për sa më sipër, n</w:t>
      </w:r>
      <w:r w:rsidR="003F738B" w:rsidRPr="008D134C">
        <w:rPr>
          <w:rFonts w:ascii="Times New Roman" w:eastAsia="Times New Roman" w:hAnsi="Times New Roman" w:cs="Times New Roman"/>
          <w:sz w:val="24"/>
          <w:szCs w:val="24"/>
          <w:lang w:val="sv-SE"/>
        </w:rPr>
        <w:t>ë faqen zyrtare të Departamentit të Administratës Publike janë publikuar thirrjet për shpalljen e  4</w:t>
      </w:r>
      <w:r w:rsidR="008D134C">
        <w:rPr>
          <w:rFonts w:ascii="Times New Roman" w:eastAsia="Times New Roman" w:hAnsi="Times New Roman" w:cs="Times New Roman"/>
          <w:sz w:val="24"/>
          <w:szCs w:val="24"/>
          <w:lang w:val="sv-SE"/>
        </w:rPr>
        <w:t xml:space="preserve"> </w:t>
      </w:r>
      <w:r w:rsidR="003F738B" w:rsidRPr="008D134C">
        <w:rPr>
          <w:rFonts w:ascii="Times New Roman" w:eastAsia="Times New Roman" w:hAnsi="Times New Roman" w:cs="Times New Roman"/>
          <w:sz w:val="24"/>
          <w:szCs w:val="24"/>
          <w:lang w:val="sv-SE"/>
        </w:rPr>
        <w:t>vendeve vakante në muajin prill 2024 dhe 1</w:t>
      </w:r>
      <w:r w:rsidR="008D134C">
        <w:rPr>
          <w:rFonts w:ascii="Times New Roman" w:eastAsia="Times New Roman" w:hAnsi="Times New Roman" w:cs="Times New Roman"/>
          <w:sz w:val="24"/>
          <w:szCs w:val="24"/>
          <w:lang w:val="sv-SE"/>
        </w:rPr>
        <w:t xml:space="preserve"> </w:t>
      </w:r>
      <w:r w:rsidR="00FC45D5">
        <w:rPr>
          <w:rFonts w:ascii="Times New Roman" w:eastAsia="Times New Roman" w:hAnsi="Times New Roman" w:cs="Times New Roman"/>
          <w:sz w:val="24"/>
          <w:szCs w:val="24"/>
          <w:lang w:val="sv-SE"/>
        </w:rPr>
        <w:t>vendi vakant</w:t>
      </w:r>
      <w:r w:rsidR="003F738B" w:rsidRPr="008D134C">
        <w:rPr>
          <w:rFonts w:ascii="Times New Roman" w:eastAsia="Times New Roman" w:hAnsi="Times New Roman" w:cs="Times New Roman"/>
          <w:sz w:val="24"/>
          <w:szCs w:val="24"/>
          <w:lang w:val="sv-SE"/>
        </w:rPr>
        <w:t xml:space="preserve"> në </w:t>
      </w:r>
      <w:r w:rsidR="00244331">
        <w:rPr>
          <w:rFonts w:ascii="Times New Roman" w:eastAsia="Times New Roman" w:hAnsi="Times New Roman" w:cs="Times New Roman"/>
          <w:sz w:val="24"/>
          <w:szCs w:val="24"/>
          <w:lang w:val="sv-SE"/>
        </w:rPr>
        <w:t xml:space="preserve">muajin </w:t>
      </w:r>
      <w:r w:rsidR="008D134C">
        <w:rPr>
          <w:rFonts w:ascii="Times New Roman" w:eastAsia="Times New Roman" w:hAnsi="Times New Roman" w:cs="Times New Roman"/>
          <w:sz w:val="24"/>
          <w:szCs w:val="24"/>
          <w:lang w:val="sv-SE"/>
        </w:rPr>
        <w:t>d</w:t>
      </w:r>
      <w:r w:rsidR="003F738B" w:rsidRPr="008D134C">
        <w:rPr>
          <w:rFonts w:ascii="Times New Roman" w:eastAsia="Times New Roman" w:hAnsi="Times New Roman" w:cs="Times New Roman"/>
          <w:sz w:val="24"/>
          <w:szCs w:val="24"/>
          <w:lang w:val="sv-SE"/>
        </w:rPr>
        <w:t>hjetor 2024,</w:t>
      </w:r>
      <w:r>
        <w:rPr>
          <w:rFonts w:ascii="Times New Roman" w:eastAsia="Times New Roman" w:hAnsi="Times New Roman" w:cs="Times New Roman"/>
          <w:sz w:val="24"/>
          <w:szCs w:val="24"/>
          <w:lang w:val="sv-SE"/>
        </w:rPr>
        <w:t xml:space="preserve"> </w:t>
      </w:r>
      <w:r w:rsidR="008D134C">
        <w:rPr>
          <w:rFonts w:ascii="Times New Roman" w:eastAsia="Times New Roman" w:hAnsi="Times New Roman" w:cs="Times New Roman"/>
          <w:sz w:val="24"/>
          <w:szCs w:val="24"/>
          <w:lang w:val="sv-SE"/>
        </w:rPr>
        <w:t xml:space="preserve">ku janë </w:t>
      </w:r>
      <w:r w:rsidR="003F738B" w:rsidRPr="008D134C">
        <w:rPr>
          <w:rFonts w:ascii="Times New Roman" w:eastAsia="Times New Roman" w:hAnsi="Times New Roman" w:cs="Times New Roman"/>
          <w:sz w:val="24"/>
          <w:szCs w:val="24"/>
          <w:lang w:val="sv-SE"/>
        </w:rPr>
        <w:t xml:space="preserve">përcaktuar kriteret për lëvizjen paralele, pranim në shërbimin civil, dokumentacionin që duhet të dorëzohet dhe afatin e dorëzimit. </w:t>
      </w:r>
      <w:r w:rsidR="003F738B" w:rsidRPr="008D134C">
        <w:rPr>
          <w:rFonts w:ascii="Times New Roman" w:eastAsia="SimSun" w:hAnsi="Times New Roman" w:cs="Times New Roman"/>
          <w:sz w:val="24"/>
          <w:szCs w:val="24"/>
          <w:lang w:val="sv-SE"/>
        </w:rPr>
        <w:t xml:space="preserve">Linku në të cilin janë publikuar në mënyrë transparente të gjitha njoftimet që nga faza e parë e </w:t>
      </w:r>
      <w:r w:rsidR="003F738B" w:rsidRPr="008D134C">
        <w:rPr>
          <w:rFonts w:ascii="Times New Roman" w:eastAsia="Times New Roman" w:hAnsi="Times New Roman" w:cs="Times New Roman"/>
          <w:sz w:val="24"/>
          <w:szCs w:val="24"/>
          <w:lang w:val="sv-SE"/>
        </w:rPr>
        <w:t>shpalljes së vendeve vakante, deri në fazën përfundimtare është si vijon</w:t>
      </w:r>
      <w:r w:rsidR="003F738B" w:rsidRPr="008D134C">
        <w:rPr>
          <w:rFonts w:ascii="Times New Roman" w:eastAsia="Times New Roman" w:hAnsi="Times New Roman" w:cs="Times New Roman"/>
          <w:b/>
          <w:bCs/>
          <w:sz w:val="24"/>
          <w:szCs w:val="24"/>
          <w:lang w:val="sv-SE"/>
        </w:rPr>
        <w:t xml:space="preserve">:  </w:t>
      </w:r>
    </w:p>
    <w:p w14:paraId="69D96E48" w14:textId="3E07D68F" w:rsidR="003F738B" w:rsidRPr="008D134C" w:rsidRDefault="003F738B" w:rsidP="003F738B">
      <w:pPr>
        <w:spacing w:after="0" w:line="276" w:lineRule="auto"/>
        <w:jc w:val="both"/>
        <w:rPr>
          <w:rFonts w:ascii="Times New Roman" w:eastAsia="Times New Roman" w:hAnsi="Times New Roman" w:cs="Times New Roman"/>
          <w:color w:val="000000"/>
          <w:sz w:val="24"/>
          <w:szCs w:val="24"/>
          <w:lang w:val="sv-SE"/>
        </w:rPr>
      </w:pPr>
      <w:r w:rsidRPr="008D134C">
        <w:rPr>
          <w:rFonts w:ascii="Times New Roman" w:eastAsia="Times New Roman" w:hAnsi="Times New Roman" w:cs="Times New Roman"/>
          <w:b/>
          <w:bCs/>
          <w:sz w:val="24"/>
          <w:szCs w:val="24"/>
          <w:lang w:val="sv-SE"/>
        </w:rPr>
        <w:t xml:space="preserve"> </w:t>
      </w:r>
    </w:p>
    <w:p w14:paraId="5568BF9C" w14:textId="77777777" w:rsidR="003F738B" w:rsidRPr="008D134C" w:rsidRDefault="00462157" w:rsidP="003F738B">
      <w:pPr>
        <w:spacing w:after="0" w:line="276" w:lineRule="auto"/>
        <w:jc w:val="both"/>
        <w:rPr>
          <w:rFonts w:ascii="Times New Roman" w:eastAsia="Times New Roman" w:hAnsi="Times New Roman" w:cs="Times New Roman"/>
          <w:color w:val="4C94D8" w:themeColor="text2" w:themeTint="80"/>
          <w:sz w:val="24"/>
          <w:szCs w:val="24"/>
          <w:lang w:val="sv-SE"/>
        </w:rPr>
      </w:pPr>
      <w:hyperlink r:id="rId13" w:history="1">
        <w:r w:rsidR="003F738B" w:rsidRPr="008D134C">
          <w:rPr>
            <w:rFonts w:ascii="Times New Roman" w:eastAsia="Times New Roman" w:hAnsi="Times New Roman" w:cs="Times New Roman"/>
            <w:color w:val="4C94D8" w:themeColor="text2" w:themeTint="80"/>
            <w:sz w:val="24"/>
            <w:szCs w:val="24"/>
            <w:u w:val="single"/>
            <w:lang w:val="sv-SE"/>
          </w:rPr>
          <w:t>https://rekrutimi.administrata.al/shpalljet/shfaq/4790</w:t>
        </w:r>
      </w:hyperlink>
    </w:p>
    <w:p w14:paraId="2E8B9C63" w14:textId="77777777" w:rsidR="003F738B" w:rsidRPr="008D134C" w:rsidRDefault="00462157" w:rsidP="003F738B">
      <w:pPr>
        <w:spacing w:after="0" w:line="276" w:lineRule="auto"/>
        <w:jc w:val="both"/>
        <w:rPr>
          <w:rFonts w:ascii="Times New Roman" w:eastAsia="Times New Roman" w:hAnsi="Times New Roman" w:cs="Times New Roman"/>
          <w:color w:val="4C94D8" w:themeColor="text2" w:themeTint="80"/>
          <w:sz w:val="24"/>
          <w:szCs w:val="24"/>
          <w:lang w:val="sv-SE"/>
        </w:rPr>
      </w:pPr>
      <w:hyperlink r:id="rId14" w:history="1">
        <w:r w:rsidR="003F738B" w:rsidRPr="008D134C">
          <w:rPr>
            <w:rStyle w:val="Hyperlink"/>
            <w:rFonts w:ascii="Times New Roman" w:eastAsia="Times New Roman" w:hAnsi="Times New Roman" w:cs="Times New Roman"/>
            <w:color w:val="4C94D8" w:themeColor="text2" w:themeTint="80"/>
            <w:sz w:val="24"/>
            <w:szCs w:val="24"/>
            <w:lang w:val="sv-SE"/>
          </w:rPr>
          <w:t>https://rekrutimi.administrata.al/shpalljet/shfaq/4790/1/3</w:t>
        </w:r>
      </w:hyperlink>
      <w:r w:rsidR="003F738B" w:rsidRPr="008D134C">
        <w:rPr>
          <w:rFonts w:ascii="Times New Roman" w:eastAsia="Times New Roman" w:hAnsi="Times New Roman" w:cs="Times New Roman"/>
          <w:color w:val="4C94D8" w:themeColor="text2" w:themeTint="80"/>
          <w:sz w:val="24"/>
          <w:szCs w:val="24"/>
          <w:lang w:val="sv-SE"/>
        </w:rPr>
        <w:t xml:space="preserve">   </w:t>
      </w:r>
      <w:hyperlink r:id="rId15" w:history="1">
        <w:r w:rsidR="003F738B" w:rsidRPr="008D134C">
          <w:rPr>
            <w:rStyle w:val="Hyperlink"/>
            <w:rFonts w:ascii="Times New Roman" w:eastAsia="Times New Roman" w:hAnsi="Times New Roman" w:cs="Times New Roman"/>
            <w:color w:val="4C94D8" w:themeColor="text2" w:themeTint="80"/>
            <w:sz w:val="24"/>
            <w:szCs w:val="24"/>
            <w:lang w:val="sv-SE"/>
          </w:rPr>
          <w:t>https://rekrutimi.administrata.al/shpalljet/shfaq/4790/2/6</w:t>
        </w:r>
      </w:hyperlink>
      <w:r w:rsidR="003F738B" w:rsidRPr="008D134C">
        <w:rPr>
          <w:rFonts w:ascii="Times New Roman" w:eastAsia="Times New Roman" w:hAnsi="Times New Roman" w:cs="Times New Roman"/>
          <w:color w:val="4C94D8" w:themeColor="text2" w:themeTint="80"/>
          <w:sz w:val="24"/>
          <w:szCs w:val="24"/>
          <w:lang w:val="sv-SE"/>
        </w:rPr>
        <w:t xml:space="preserve"> </w:t>
      </w:r>
    </w:p>
    <w:p w14:paraId="3CFB5E34" w14:textId="77777777" w:rsidR="003F738B" w:rsidRPr="008D134C" w:rsidRDefault="00462157" w:rsidP="003F738B">
      <w:pPr>
        <w:spacing w:after="0" w:line="276" w:lineRule="auto"/>
        <w:jc w:val="both"/>
        <w:rPr>
          <w:rFonts w:ascii="Times New Roman" w:eastAsia="Times New Roman" w:hAnsi="Times New Roman" w:cs="Times New Roman"/>
          <w:color w:val="4C94D8" w:themeColor="text2" w:themeTint="80"/>
          <w:sz w:val="24"/>
          <w:szCs w:val="24"/>
          <w:lang w:val="sv-SE"/>
        </w:rPr>
      </w:pPr>
      <w:hyperlink r:id="rId16" w:history="1">
        <w:r w:rsidR="003F738B" w:rsidRPr="008D134C">
          <w:rPr>
            <w:rStyle w:val="Hyperlink"/>
            <w:rFonts w:ascii="Times New Roman" w:eastAsia="Times New Roman" w:hAnsi="Times New Roman" w:cs="Times New Roman"/>
            <w:color w:val="4C94D8" w:themeColor="text2" w:themeTint="80"/>
            <w:sz w:val="24"/>
            <w:szCs w:val="24"/>
            <w:lang w:val="sv-SE"/>
          </w:rPr>
          <w:t>https://rekrutimi.administrata.al/shpalljet/shfaq/4790/2/7</w:t>
        </w:r>
      </w:hyperlink>
      <w:r w:rsidR="003F738B" w:rsidRPr="008D134C">
        <w:rPr>
          <w:rFonts w:ascii="Times New Roman" w:eastAsia="Times New Roman" w:hAnsi="Times New Roman" w:cs="Times New Roman"/>
          <w:color w:val="4C94D8" w:themeColor="text2" w:themeTint="80"/>
          <w:sz w:val="24"/>
          <w:szCs w:val="24"/>
          <w:lang w:val="sv-SE"/>
        </w:rPr>
        <w:t xml:space="preserve"> </w:t>
      </w:r>
    </w:p>
    <w:p w14:paraId="1259BB5F" w14:textId="77777777" w:rsidR="003F738B" w:rsidRPr="008D134C" w:rsidRDefault="00462157" w:rsidP="003F738B">
      <w:pPr>
        <w:spacing w:after="0" w:line="276" w:lineRule="auto"/>
        <w:jc w:val="both"/>
        <w:rPr>
          <w:rFonts w:ascii="Times New Roman" w:eastAsia="Times New Roman" w:hAnsi="Times New Roman" w:cs="Times New Roman"/>
          <w:color w:val="4C94D8" w:themeColor="text2" w:themeTint="80"/>
          <w:sz w:val="24"/>
          <w:szCs w:val="24"/>
          <w:lang w:val="sv-SE"/>
        </w:rPr>
      </w:pPr>
      <w:hyperlink r:id="rId17" w:history="1">
        <w:r w:rsidR="003F738B" w:rsidRPr="008D134C">
          <w:rPr>
            <w:rStyle w:val="Hyperlink"/>
            <w:rFonts w:ascii="Times New Roman" w:eastAsia="Times New Roman" w:hAnsi="Times New Roman" w:cs="Times New Roman"/>
            <w:color w:val="4C94D8" w:themeColor="text2" w:themeTint="80"/>
            <w:sz w:val="24"/>
            <w:szCs w:val="24"/>
            <w:lang w:val="sv-SE"/>
          </w:rPr>
          <w:t>https://rekrutimi.administrata.al/shpalljet</w:t>
        </w:r>
      </w:hyperlink>
    </w:p>
    <w:p w14:paraId="1775F41F" w14:textId="77777777" w:rsidR="003F738B" w:rsidRPr="008D134C" w:rsidRDefault="00462157" w:rsidP="003F738B">
      <w:pPr>
        <w:spacing w:after="0" w:line="276" w:lineRule="auto"/>
        <w:jc w:val="both"/>
        <w:rPr>
          <w:rFonts w:ascii="Times New Roman" w:eastAsia="Times New Roman" w:hAnsi="Times New Roman" w:cs="Times New Roman"/>
          <w:color w:val="4C94D8" w:themeColor="text2" w:themeTint="80"/>
          <w:sz w:val="24"/>
          <w:szCs w:val="24"/>
          <w:lang w:val="sv-SE"/>
        </w:rPr>
      </w:pPr>
      <w:hyperlink r:id="rId18" w:history="1">
        <w:r w:rsidR="003F738B" w:rsidRPr="008D134C">
          <w:rPr>
            <w:rStyle w:val="Hyperlink"/>
            <w:rFonts w:ascii="Times New Roman" w:eastAsia="Times New Roman" w:hAnsi="Times New Roman" w:cs="Times New Roman"/>
            <w:color w:val="4C94D8" w:themeColor="text2" w:themeTint="80"/>
            <w:sz w:val="24"/>
            <w:szCs w:val="24"/>
            <w:lang w:val="sv-SE"/>
          </w:rPr>
          <w:t>https://rekrutimi.administrata.al/shpalljet/shfaq/4791/1/3</w:t>
        </w:r>
      </w:hyperlink>
    </w:p>
    <w:p w14:paraId="2322FD1D" w14:textId="77777777" w:rsidR="003F738B" w:rsidRPr="008D134C" w:rsidRDefault="00462157" w:rsidP="003F738B">
      <w:pPr>
        <w:spacing w:after="0" w:line="276" w:lineRule="auto"/>
        <w:jc w:val="both"/>
        <w:rPr>
          <w:rFonts w:ascii="Times New Roman" w:eastAsia="Times New Roman" w:hAnsi="Times New Roman" w:cs="Times New Roman"/>
          <w:color w:val="4C94D8" w:themeColor="text2" w:themeTint="80"/>
          <w:sz w:val="24"/>
          <w:szCs w:val="24"/>
          <w:lang w:val="sv-SE"/>
        </w:rPr>
      </w:pPr>
      <w:hyperlink r:id="rId19" w:history="1">
        <w:r w:rsidR="003F738B" w:rsidRPr="008D134C">
          <w:rPr>
            <w:rFonts w:ascii="Times New Roman" w:eastAsia="Times New Roman" w:hAnsi="Times New Roman" w:cs="Times New Roman"/>
            <w:color w:val="4C94D8" w:themeColor="text2" w:themeTint="80"/>
            <w:sz w:val="24"/>
            <w:szCs w:val="24"/>
            <w:u w:val="single"/>
            <w:lang w:val="sv-SE"/>
          </w:rPr>
          <w:t>https://rekrutimi.administrata.al/shpalljet/shfaq/4791/2/6</w:t>
        </w:r>
      </w:hyperlink>
    </w:p>
    <w:p w14:paraId="10550FB0" w14:textId="77777777" w:rsidR="003F738B" w:rsidRPr="008D134C" w:rsidRDefault="00462157" w:rsidP="003F738B">
      <w:pPr>
        <w:spacing w:after="0" w:line="276" w:lineRule="auto"/>
        <w:jc w:val="both"/>
        <w:rPr>
          <w:rStyle w:val="Hyperlink"/>
          <w:rFonts w:ascii="Times New Roman" w:eastAsia="Times New Roman" w:hAnsi="Times New Roman" w:cs="Times New Roman"/>
          <w:color w:val="4C94D8" w:themeColor="text2" w:themeTint="80"/>
          <w:sz w:val="24"/>
          <w:szCs w:val="24"/>
          <w:lang w:val="sv-SE"/>
        </w:rPr>
      </w:pPr>
      <w:hyperlink r:id="rId20" w:history="1">
        <w:r w:rsidR="003F738B" w:rsidRPr="008D134C">
          <w:rPr>
            <w:rStyle w:val="Hyperlink"/>
            <w:rFonts w:ascii="Times New Roman" w:eastAsia="Times New Roman" w:hAnsi="Times New Roman" w:cs="Times New Roman"/>
            <w:color w:val="4C94D8" w:themeColor="text2" w:themeTint="80"/>
            <w:sz w:val="24"/>
            <w:szCs w:val="24"/>
            <w:lang w:val="sv-SE"/>
          </w:rPr>
          <w:t>https://rekrutimi.administrata.al/shpalljet/shfaq/4791/2/7</w:t>
        </w:r>
      </w:hyperlink>
    </w:p>
    <w:p w14:paraId="7742C53E" w14:textId="0905C17B" w:rsidR="00FB4487" w:rsidRPr="008D134C" w:rsidRDefault="00462157" w:rsidP="008D134C">
      <w:pPr>
        <w:spacing w:after="0" w:line="276" w:lineRule="auto"/>
        <w:jc w:val="both"/>
        <w:rPr>
          <w:rFonts w:ascii="Times New Roman" w:eastAsia="Times New Roman" w:hAnsi="Times New Roman" w:cs="Times New Roman"/>
          <w:color w:val="4C94D8" w:themeColor="text2" w:themeTint="80"/>
          <w:sz w:val="24"/>
          <w:szCs w:val="24"/>
          <w:lang w:val="sv-SE"/>
        </w:rPr>
      </w:pPr>
      <w:hyperlink r:id="rId21" w:history="1">
        <w:r w:rsidR="008D134C" w:rsidRPr="00A57D7A">
          <w:rPr>
            <w:rStyle w:val="Hyperlink"/>
            <w:rFonts w:ascii="Times New Roman" w:eastAsia="Times New Roman" w:hAnsi="Times New Roman" w:cs="Times New Roman"/>
            <w:sz w:val="24"/>
            <w:szCs w:val="24"/>
            <w:lang w:val="sv-SE"/>
          </w:rPr>
          <w:t>https://rekrutimi.administrata.al/shpalljet/shfaq/6373</w:t>
        </w:r>
      </w:hyperlink>
      <w:r w:rsidR="008D134C">
        <w:rPr>
          <w:rFonts w:ascii="Times New Roman" w:eastAsia="Times New Roman" w:hAnsi="Times New Roman" w:cs="Times New Roman"/>
          <w:color w:val="4C94D8" w:themeColor="text2" w:themeTint="80"/>
          <w:sz w:val="24"/>
          <w:szCs w:val="24"/>
          <w:lang w:val="sv-SE"/>
        </w:rPr>
        <w:t xml:space="preserve"> </w:t>
      </w:r>
      <w:r w:rsidR="008D134C" w:rsidRPr="008D134C">
        <w:rPr>
          <w:rFonts w:ascii="Times New Roman" w:eastAsia="Times New Roman" w:hAnsi="Times New Roman" w:cs="Times New Roman"/>
          <w:color w:val="4C94D8" w:themeColor="text2" w:themeTint="80"/>
          <w:sz w:val="24"/>
          <w:szCs w:val="24"/>
          <w:lang w:val="sv-SE"/>
        </w:rPr>
        <w:t xml:space="preserve"> </w:t>
      </w:r>
      <w:bookmarkEnd w:id="8"/>
    </w:p>
    <w:p w14:paraId="54ADC8D0" w14:textId="77777777" w:rsidR="00C8275C" w:rsidRPr="00C8275C" w:rsidRDefault="00C8275C" w:rsidP="00C8275C">
      <w:pPr>
        <w:spacing w:after="0" w:line="276" w:lineRule="auto"/>
        <w:jc w:val="both"/>
        <w:rPr>
          <w:rFonts w:ascii="Times New Roman" w:eastAsia="Times New Roman" w:hAnsi="Times New Roman" w:cs="Times New Roman"/>
          <w:color w:val="000000"/>
          <w:sz w:val="24"/>
          <w:szCs w:val="24"/>
          <w:lang w:val="sv-SE"/>
        </w:rPr>
      </w:pPr>
    </w:p>
    <w:p w14:paraId="29FDC395" w14:textId="77777777" w:rsidR="00C8275C" w:rsidRDefault="00C8275C" w:rsidP="00C8275C">
      <w:pPr>
        <w:spacing w:after="0" w:line="276" w:lineRule="auto"/>
        <w:jc w:val="both"/>
        <w:rPr>
          <w:rFonts w:ascii="Times New Roman" w:eastAsiaTheme="majorEastAsia" w:hAnsi="Times New Roman" w:cs="Times New Roman"/>
          <w:kern w:val="2"/>
          <w:sz w:val="24"/>
          <w:szCs w:val="24"/>
          <w:lang w:val="sv-SE"/>
          <w14:ligatures w14:val="standardContextual"/>
        </w:rPr>
      </w:pPr>
      <w:r w:rsidRPr="00C8275C">
        <w:rPr>
          <w:rFonts w:ascii="Times New Roman" w:eastAsia="Calibri" w:hAnsi="Times New Roman" w:cs="Times New Roman"/>
          <w:bCs/>
          <w:kern w:val="2"/>
          <w:sz w:val="24"/>
          <w:szCs w:val="24"/>
          <w:lang w:val="sq-AL"/>
          <w14:ligatures w14:val="standardContextual"/>
        </w:rPr>
        <w:t xml:space="preserve">Është realizuar masa nr.4 e </w:t>
      </w:r>
      <w:r w:rsidRPr="00695E08">
        <w:rPr>
          <w:rFonts w:ascii="Times New Roman" w:eastAsia="Calibri" w:hAnsi="Times New Roman" w:cs="Times New Roman"/>
          <w:bCs/>
          <w:kern w:val="2"/>
          <w:sz w:val="24"/>
          <w:szCs w:val="24"/>
          <w:lang w:val="sq-AL"/>
          <w14:ligatures w14:val="standardContextual"/>
        </w:rPr>
        <w:t>planit “</w:t>
      </w:r>
      <w:r w:rsidRPr="00695E08">
        <w:rPr>
          <w:rFonts w:ascii="Times New Roman" w:hAnsi="Times New Roman" w:cs="Times New Roman"/>
          <w:kern w:val="2"/>
          <w:sz w:val="24"/>
          <w:szCs w:val="24"/>
          <w:lang w:val="sq-AL"/>
          <w14:ligatures w14:val="standardContextual"/>
        </w:rPr>
        <w:t>Trajnime periodike për etikën dhe antikorrupsionin për anëtarët e kabinetit pranë ministrit”</w:t>
      </w:r>
      <w:r w:rsidRPr="00695E08">
        <w:rPr>
          <w:rFonts w:ascii="Times New Roman" w:eastAsia="Calibri" w:hAnsi="Times New Roman" w:cs="Times New Roman"/>
          <w:bCs/>
          <w:kern w:val="2"/>
          <w:sz w:val="24"/>
          <w:szCs w:val="24"/>
          <w:lang w:val="sq-AL"/>
          <w14:ligatures w14:val="standardContextual"/>
        </w:rPr>
        <w:t xml:space="preserve">, </w:t>
      </w:r>
      <w:r w:rsidRPr="00695E08">
        <w:rPr>
          <w:rFonts w:ascii="Times New Roman" w:hAnsi="Times New Roman" w:cs="Times New Roman"/>
          <w:kern w:val="2"/>
          <w:sz w:val="24"/>
          <w:szCs w:val="24"/>
          <w:lang w:val="sq-AL"/>
          <w14:ligatures w14:val="standardContextual"/>
        </w:rPr>
        <w:t>që përbën një nga rekomandimet prioritare të përcjella për zbatim nga Grupi Shteteve Kundër Korrupsionit (GRECO). Procesi për k</w:t>
      </w:r>
      <w:r w:rsidRPr="00695E08">
        <w:rPr>
          <w:rFonts w:ascii="Times New Roman" w:eastAsiaTheme="majorEastAsia" w:hAnsi="Times New Roman" w:cs="Times New Roman"/>
          <w:kern w:val="2"/>
          <w:sz w:val="24"/>
          <w:szCs w:val="24"/>
          <w:lang w:val="sv-SE"/>
          <w14:ligatures w14:val="standardContextual"/>
        </w:rPr>
        <w:t xml:space="preserve">ryerjen e trajnimeve periodike për etikën dhe antikorrupsionin për anëtarët e kabinetit pranë ministrit është bashkërenduar me Shkollën Shqiptare të Administratës Publike, ku gjatë muajit prill 2024 është zhvilluar trajnimi </w:t>
      </w:r>
      <w:r w:rsidRPr="00695E08">
        <w:rPr>
          <w:rFonts w:ascii="Times New Roman" w:hAnsi="Times New Roman" w:cs="Times New Roman"/>
          <w:color w:val="000000"/>
          <w:kern w:val="2"/>
          <w:sz w:val="24"/>
          <w:szCs w:val="24"/>
          <w:lang w:val="sv-SE"/>
          <w14:ligatures w14:val="standardContextual"/>
        </w:rPr>
        <w:t>“</w:t>
      </w:r>
      <w:r w:rsidRPr="00695E08">
        <w:rPr>
          <w:rFonts w:ascii="Times New Roman" w:eastAsiaTheme="majorEastAsia" w:hAnsi="Times New Roman" w:cs="Times New Roman"/>
          <w:kern w:val="2"/>
          <w:sz w:val="24"/>
          <w:szCs w:val="24"/>
          <w:lang w:val="sv-SE"/>
          <w14:ligatures w14:val="standardContextual"/>
        </w:rPr>
        <w:t xml:space="preserve">Etika dhe integriteti në administratën publike”. Gjithashtu, në bashkëpunim me Shkollën Shqiptare të Administratës Publike (ASPA) është kërkuar zhvillimi i trajnimeve të mëtejshme për anëtarët e kabinetit.  </w:t>
      </w:r>
    </w:p>
    <w:p w14:paraId="483810A0" w14:textId="77777777" w:rsidR="00C8275C" w:rsidRPr="00C8275C"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0744F3D0" w14:textId="36A317AB" w:rsid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r w:rsidRPr="00956FE5">
        <w:rPr>
          <w:rFonts w:ascii="Times New Roman" w:hAnsi="Times New Roman" w:cs="Times New Roman"/>
          <w:kern w:val="2"/>
          <w:sz w:val="24"/>
          <w:szCs w:val="24"/>
          <w:lang w:val="sv-SE"/>
          <w14:ligatures w14:val="standardContextual"/>
        </w:rPr>
        <w:t xml:space="preserve">Drejtoria e Procesimit të Biznesit </w:t>
      </w:r>
      <w:r w:rsidRPr="00956FE5">
        <w:rPr>
          <w:rFonts w:ascii="Times New Roman" w:hAnsi="Times New Roman" w:cs="Times New Roman"/>
          <w:kern w:val="2"/>
          <w:sz w:val="24"/>
          <w:szCs w:val="24"/>
          <w:lang w:val="sq-AL"/>
          <w14:ligatures w14:val="standardContextual"/>
        </w:rPr>
        <w:t>g</w:t>
      </w:r>
      <w:r w:rsidRPr="00956FE5">
        <w:rPr>
          <w:rFonts w:ascii="Times New Roman" w:hAnsi="Times New Roman" w:cs="Times New Roman"/>
          <w:kern w:val="2"/>
          <w:sz w:val="24"/>
          <w:szCs w:val="24"/>
          <w:lang w:val="sv-SE"/>
          <w14:ligatures w14:val="standardContextual"/>
        </w:rPr>
        <w:t>jatë</w:t>
      </w:r>
      <w:r w:rsidRPr="00C8275C">
        <w:rPr>
          <w:rFonts w:ascii="Times New Roman" w:hAnsi="Times New Roman" w:cs="Times New Roman"/>
          <w:kern w:val="2"/>
          <w:sz w:val="24"/>
          <w:szCs w:val="24"/>
          <w:lang w:val="sv-SE"/>
          <w14:ligatures w14:val="standardContextual"/>
        </w:rPr>
        <w:t xml:space="preserve"> periudhës së raportimit ka realizuar trajnime për përdorimin e Modulit të Aseteve Fikse në </w:t>
      </w:r>
      <w:r w:rsidRPr="00C8275C">
        <w:rPr>
          <w:rFonts w:ascii="Times New Roman" w:eastAsia="Calibri" w:hAnsi="Times New Roman" w:cs="Times New Roman"/>
          <w:bCs/>
          <w:iCs/>
          <w:kern w:val="2"/>
          <w:sz w:val="24"/>
          <w:szCs w:val="24"/>
          <w:lang w:val="sv-SE"/>
          <w14:ligatures w14:val="standardContextual"/>
        </w:rPr>
        <w:t>Sistemin Informatik Financiar të Qeverisë</w:t>
      </w:r>
      <w:r w:rsidRPr="00C8275C">
        <w:rPr>
          <w:rFonts w:ascii="Times New Roman" w:hAnsi="Times New Roman" w:cs="Times New Roman"/>
          <w:kern w:val="2"/>
          <w:sz w:val="24"/>
          <w:szCs w:val="24"/>
          <w:lang w:val="sv-SE"/>
          <w14:ligatures w14:val="standardContextual"/>
        </w:rPr>
        <w:t xml:space="preserve"> (SIFQ), për stafin e disa institucioneve me akses të drejtpërdrejtë në SIFQ, si për shembull: Bashkinë Tiranë, Bashkinë Elbasan, </w:t>
      </w:r>
      <w:r w:rsidR="00B61EC3">
        <w:rPr>
          <w:rFonts w:ascii="Times New Roman" w:hAnsi="Times New Roman" w:cs="Times New Roman"/>
          <w:kern w:val="2"/>
          <w:sz w:val="24"/>
          <w:szCs w:val="24"/>
          <w:lang w:val="sv-SE"/>
          <w14:ligatures w14:val="standardContextual"/>
        </w:rPr>
        <w:t xml:space="preserve">Ministrinë e Infrastrukturës dhe Energjisë, </w:t>
      </w:r>
      <w:r w:rsidRPr="00C8275C">
        <w:rPr>
          <w:rFonts w:ascii="Times New Roman" w:hAnsi="Times New Roman" w:cs="Times New Roman"/>
          <w:kern w:val="2"/>
          <w:sz w:val="24"/>
          <w:szCs w:val="24"/>
          <w:lang w:val="sv-SE"/>
          <w14:ligatures w14:val="standardContextual"/>
        </w:rPr>
        <w:t xml:space="preserve">Agjencinë Kombëtare të Ujësjellës Kanalizime. Në total gjatë </w:t>
      </w:r>
      <w:r w:rsidR="00B61EC3">
        <w:rPr>
          <w:rFonts w:ascii="Times New Roman" w:hAnsi="Times New Roman" w:cs="Times New Roman"/>
          <w:kern w:val="2"/>
          <w:sz w:val="24"/>
          <w:szCs w:val="24"/>
          <w:lang w:val="sv-SE"/>
          <w14:ligatures w14:val="standardContextual"/>
        </w:rPr>
        <w:t xml:space="preserve">vitit 2024 </w:t>
      </w:r>
      <w:r w:rsidRPr="00C8275C">
        <w:rPr>
          <w:rFonts w:ascii="Times New Roman" w:hAnsi="Times New Roman" w:cs="Times New Roman"/>
          <w:kern w:val="2"/>
          <w:sz w:val="24"/>
          <w:szCs w:val="24"/>
          <w:lang w:val="sv-SE"/>
          <w14:ligatures w14:val="standardContextual"/>
        </w:rPr>
        <w:t xml:space="preserve">janë trajnuar </w:t>
      </w:r>
      <w:r w:rsidR="00B61EC3">
        <w:rPr>
          <w:rFonts w:ascii="Times New Roman" w:hAnsi="Times New Roman" w:cs="Times New Roman"/>
          <w:kern w:val="2"/>
          <w:sz w:val="24"/>
          <w:szCs w:val="24"/>
          <w:lang w:val="sv-SE"/>
          <w14:ligatures w14:val="standardContextual"/>
        </w:rPr>
        <w:t>12</w:t>
      </w:r>
      <w:r w:rsidRPr="00C8275C">
        <w:rPr>
          <w:rFonts w:ascii="Times New Roman" w:hAnsi="Times New Roman" w:cs="Times New Roman"/>
          <w:kern w:val="2"/>
          <w:sz w:val="24"/>
          <w:szCs w:val="24"/>
          <w:lang w:val="sv-SE"/>
          <w14:ligatures w14:val="standardContextual"/>
        </w:rPr>
        <w:t xml:space="preserve"> përdorues</w:t>
      </w:r>
      <w:r w:rsidR="00B61EC3">
        <w:rPr>
          <w:rFonts w:ascii="Times New Roman" w:hAnsi="Times New Roman" w:cs="Times New Roman"/>
          <w:kern w:val="2"/>
          <w:sz w:val="24"/>
          <w:szCs w:val="24"/>
          <w:lang w:val="sv-SE"/>
          <w14:ligatures w14:val="standardContextual"/>
        </w:rPr>
        <w:t xml:space="preserve">, ku 7 </w:t>
      </w:r>
      <w:r w:rsidR="00244331">
        <w:rPr>
          <w:rFonts w:ascii="Times New Roman" w:hAnsi="Times New Roman" w:cs="Times New Roman"/>
          <w:kern w:val="2"/>
          <w:sz w:val="24"/>
          <w:szCs w:val="24"/>
          <w:lang w:val="sv-SE"/>
          <w14:ligatures w14:val="standardContextual"/>
        </w:rPr>
        <w:t xml:space="preserve">përdorues </w:t>
      </w:r>
      <w:r w:rsidR="00B61EC3">
        <w:rPr>
          <w:rFonts w:ascii="Times New Roman" w:hAnsi="Times New Roman" w:cs="Times New Roman"/>
          <w:kern w:val="2"/>
          <w:sz w:val="24"/>
          <w:szCs w:val="24"/>
          <w:lang w:val="sv-SE"/>
          <w14:ligatures w14:val="standardContextual"/>
        </w:rPr>
        <w:t xml:space="preserve">janë trajnuar gjatë periudhës janar-qershor dhe 5 </w:t>
      </w:r>
      <w:r w:rsidR="00244331">
        <w:rPr>
          <w:rFonts w:ascii="Times New Roman" w:hAnsi="Times New Roman" w:cs="Times New Roman"/>
          <w:kern w:val="2"/>
          <w:sz w:val="24"/>
          <w:szCs w:val="24"/>
          <w:lang w:val="sv-SE"/>
          <w14:ligatures w14:val="standardContextual"/>
        </w:rPr>
        <w:t xml:space="preserve">përdorues </w:t>
      </w:r>
      <w:r w:rsidR="00B61EC3">
        <w:rPr>
          <w:rFonts w:ascii="Times New Roman" w:hAnsi="Times New Roman" w:cs="Times New Roman"/>
          <w:kern w:val="2"/>
          <w:sz w:val="24"/>
          <w:szCs w:val="24"/>
          <w:lang w:val="sv-SE"/>
          <w14:ligatures w14:val="standardContextual"/>
        </w:rPr>
        <w:t xml:space="preserve">gjatë periudhës korrik-dhjetor. </w:t>
      </w:r>
    </w:p>
    <w:p w14:paraId="789636EE" w14:textId="77777777" w:rsidR="00C8275C" w:rsidRP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p>
    <w:p w14:paraId="7B4A2D61" w14:textId="535D2B04" w:rsidR="00C8275C" w:rsidRDefault="00C8275C" w:rsidP="00C8275C">
      <w:pPr>
        <w:spacing w:after="0" w:line="276" w:lineRule="auto"/>
        <w:jc w:val="both"/>
        <w:rPr>
          <w:rFonts w:ascii="Times New Roman" w:eastAsia="Calibri" w:hAnsi="Times New Roman" w:cs="Times New Roman"/>
          <w:bCs/>
          <w:kern w:val="2"/>
          <w:sz w:val="24"/>
          <w:szCs w:val="24"/>
          <w:lang w:val="sv-SE"/>
          <w14:ligatures w14:val="standardContextual"/>
        </w:rPr>
      </w:pPr>
      <w:r w:rsidRPr="00C8275C">
        <w:rPr>
          <w:rFonts w:ascii="Times New Roman" w:eastAsia="Calibri" w:hAnsi="Times New Roman" w:cs="Times New Roman"/>
          <w:bCs/>
          <w:kern w:val="2"/>
          <w:sz w:val="24"/>
          <w:szCs w:val="24"/>
          <w:lang w:val="sv-SE"/>
          <w14:ligatures w14:val="standardContextual"/>
        </w:rPr>
        <w:t xml:space="preserve">Janë realizuar trajnime edhe për stafin e institucioneve me akses të drejtpërdrejtë në Sistemin Informatik Financiar të Qeverisë, </w:t>
      </w:r>
      <w:r w:rsidR="00B61EC3">
        <w:rPr>
          <w:rFonts w:ascii="Times New Roman" w:eastAsia="Calibri" w:hAnsi="Times New Roman" w:cs="Times New Roman"/>
          <w:bCs/>
          <w:kern w:val="2"/>
          <w:sz w:val="24"/>
          <w:szCs w:val="24"/>
          <w:lang w:val="sv-SE"/>
          <w14:ligatures w14:val="standardContextual"/>
        </w:rPr>
        <w:t xml:space="preserve">në Modulin e Buxhetit, </w:t>
      </w:r>
      <w:r w:rsidRPr="00C8275C">
        <w:rPr>
          <w:rFonts w:ascii="Times New Roman" w:eastAsia="Calibri" w:hAnsi="Times New Roman" w:cs="Times New Roman"/>
          <w:bCs/>
          <w:kern w:val="2"/>
          <w:sz w:val="24"/>
          <w:szCs w:val="24"/>
          <w:lang w:val="sv-SE"/>
          <w14:ligatures w14:val="standardContextual"/>
        </w:rPr>
        <w:t xml:space="preserve">në Modulin e Urdhërave të Blerjes, si dhe Librit të Madh të Kontabilitetit, me qëllim forcimin e njohurive dhe rritjen e aftësisë </w:t>
      </w:r>
      <w:r w:rsidRPr="00C8275C">
        <w:rPr>
          <w:rFonts w:ascii="Times New Roman" w:eastAsia="Calibri" w:hAnsi="Times New Roman" w:cs="Times New Roman"/>
          <w:bCs/>
          <w:kern w:val="2"/>
          <w:sz w:val="24"/>
          <w:szCs w:val="24"/>
          <w:lang w:val="sv-SE"/>
          <w14:ligatures w14:val="standardContextual"/>
        </w:rPr>
        <w:lastRenderedPageBreak/>
        <w:t xml:space="preserve">së tyre për ekzekutimin e proceseve të punës dhe përdorimin e raporteve financiare në SIFQ. </w:t>
      </w:r>
      <w:r w:rsidR="00B61EC3">
        <w:rPr>
          <w:rFonts w:ascii="Times New Roman" w:eastAsia="Calibri" w:hAnsi="Times New Roman" w:cs="Times New Roman"/>
          <w:bCs/>
          <w:kern w:val="2"/>
          <w:sz w:val="24"/>
          <w:szCs w:val="24"/>
          <w:lang w:val="sv-SE"/>
          <w14:ligatures w14:val="standardContextual"/>
        </w:rPr>
        <w:t xml:space="preserve">Stafi i trajnuar gjatë kësaj periudhe i përket institucioneve nga: Ministria e Ekonomisë, Kulturës dhe Inovacionit, Bashkia Tiranë dhe Bashkia Durrës. </w:t>
      </w:r>
      <w:r w:rsidRPr="00C8275C">
        <w:rPr>
          <w:rFonts w:ascii="Times New Roman" w:eastAsia="Calibri" w:hAnsi="Times New Roman" w:cs="Times New Roman"/>
          <w:bCs/>
          <w:kern w:val="2"/>
          <w:sz w:val="24"/>
          <w:szCs w:val="24"/>
          <w:lang w:val="sv-SE"/>
          <w14:ligatures w14:val="standardContextual"/>
        </w:rPr>
        <w:t xml:space="preserve">Trajnimet janë realizuar në </w:t>
      </w:r>
      <w:r w:rsidRPr="00C8275C">
        <w:rPr>
          <w:rFonts w:ascii="Times New Roman" w:hAnsi="Times New Roman" w:cs="Times New Roman"/>
          <w:kern w:val="2"/>
          <w:sz w:val="24"/>
          <w:szCs w:val="24"/>
          <w:lang w:val="sv-SE"/>
          <w14:ligatures w14:val="standardContextual"/>
        </w:rPr>
        <w:t>Ministrinë e Financave,</w:t>
      </w:r>
      <w:r w:rsidRPr="00C8275C">
        <w:rPr>
          <w:rFonts w:ascii="Times New Roman" w:eastAsia="Calibri" w:hAnsi="Times New Roman" w:cs="Times New Roman"/>
          <w:bCs/>
          <w:kern w:val="2"/>
          <w:sz w:val="24"/>
          <w:szCs w:val="24"/>
          <w:lang w:val="sv-SE"/>
          <w14:ligatures w14:val="standardContextual"/>
        </w:rPr>
        <w:t xml:space="preserve"> bazuar në kërkesat specifike për trajnim që ka çdo institucion. </w:t>
      </w:r>
      <w:r w:rsidR="00B61EC3" w:rsidRPr="00C8275C">
        <w:rPr>
          <w:rFonts w:ascii="Times New Roman" w:hAnsi="Times New Roman" w:cs="Times New Roman"/>
          <w:kern w:val="2"/>
          <w:sz w:val="24"/>
          <w:szCs w:val="24"/>
          <w:lang w:val="sv-SE"/>
          <w14:ligatures w14:val="standardContextual"/>
        </w:rPr>
        <w:t xml:space="preserve">Në total gjatë </w:t>
      </w:r>
      <w:r w:rsidR="00B61EC3">
        <w:rPr>
          <w:rFonts w:ascii="Times New Roman" w:hAnsi="Times New Roman" w:cs="Times New Roman"/>
          <w:kern w:val="2"/>
          <w:sz w:val="24"/>
          <w:szCs w:val="24"/>
          <w:lang w:val="sv-SE"/>
          <w14:ligatures w14:val="standardContextual"/>
        </w:rPr>
        <w:t xml:space="preserve">vitit 2024 </w:t>
      </w:r>
      <w:r w:rsidR="00B61EC3" w:rsidRPr="00C8275C">
        <w:rPr>
          <w:rFonts w:ascii="Times New Roman" w:hAnsi="Times New Roman" w:cs="Times New Roman"/>
          <w:kern w:val="2"/>
          <w:sz w:val="24"/>
          <w:szCs w:val="24"/>
          <w:lang w:val="sv-SE"/>
          <w14:ligatures w14:val="standardContextual"/>
        </w:rPr>
        <w:t xml:space="preserve">janë trajnuar </w:t>
      </w:r>
      <w:r w:rsidR="00B61EC3">
        <w:rPr>
          <w:rFonts w:ascii="Times New Roman" w:hAnsi="Times New Roman" w:cs="Times New Roman"/>
          <w:kern w:val="2"/>
          <w:sz w:val="24"/>
          <w:szCs w:val="24"/>
          <w:lang w:val="sv-SE"/>
          <w14:ligatures w14:val="standardContextual"/>
        </w:rPr>
        <w:t>8</w:t>
      </w:r>
      <w:r w:rsidR="00B61EC3" w:rsidRPr="00C8275C">
        <w:rPr>
          <w:rFonts w:ascii="Times New Roman" w:hAnsi="Times New Roman" w:cs="Times New Roman"/>
          <w:kern w:val="2"/>
          <w:sz w:val="24"/>
          <w:szCs w:val="24"/>
          <w:lang w:val="sv-SE"/>
          <w14:ligatures w14:val="standardContextual"/>
        </w:rPr>
        <w:t xml:space="preserve"> përdorues</w:t>
      </w:r>
      <w:r w:rsidR="00B61EC3">
        <w:rPr>
          <w:rFonts w:ascii="Times New Roman" w:hAnsi="Times New Roman" w:cs="Times New Roman"/>
          <w:kern w:val="2"/>
          <w:sz w:val="24"/>
          <w:szCs w:val="24"/>
          <w:lang w:val="sv-SE"/>
          <w14:ligatures w14:val="standardContextual"/>
        </w:rPr>
        <w:t>.</w:t>
      </w:r>
    </w:p>
    <w:p w14:paraId="1BBE363F" w14:textId="77777777" w:rsidR="009C6C74" w:rsidRDefault="009C6C74" w:rsidP="00AB2F52">
      <w:pPr>
        <w:spacing w:after="0" w:line="276" w:lineRule="auto"/>
        <w:contextualSpacing/>
        <w:jc w:val="both"/>
        <w:rPr>
          <w:rFonts w:ascii="Times New Roman" w:eastAsia="Calibri" w:hAnsi="Times New Roman" w:cs="Times New Roman"/>
          <w:kern w:val="2"/>
          <w:sz w:val="24"/>
          <w:szCs w:val="24"/>
          <w:highlight w:val="yellow"/>
          <w:lang w:val="sv-SE"/>
          <w14:ligatures w14:val="standardContextual"/>
        </w:rPr>
      </w:pPr>
    </w:p>
    <w:p w14:paraId="41862E78" w14:textId="63B145A4" w:rsidR="009C6C74" w:rsidRPr="00EC1C81" w:rsidRDefault="009C6C74" w:rsidP="009C6C74">
      <w:pPr>
        <w:spacing w:after="0" w:line="276" w:lineRule="auto"/>
        <w:contextualSpacing/>
        <w:jc w:val="both"/>
        <w:rPr>
          <w:rFonts w:ascii="Times New Roman" w:eastAsia="Calibri" w:hAnsi="Times New Roman" w:cs="Times New Roman"/>
          <w:kern w:val="2"/>
          <w:sz w:val="24"/>
          <w:szCs w:val="24"/>
          <w:lang w:val="sq-AL"/>
          <w14:ligatures w14:val="standardContextual"/>
        </w:rPr>
      </w:pPr>
      <w:r w:rsidRPr="00EC1C81">
        <w:rPr>
          <w:rFonts w:ascii="Times New Roman" w:eastAsia="Calibri" w:hAnsi="Times New Roman" w:cs="Times New Roman"/>
          <w:kern w:val="2"/>
          <w:sz w:val="24"/>
          <w:szCs w:val="24"/>
          <w:lang w:val="sq-AL"/>
          <w14:ligatures w14:val="standardContextual"/>
        </w:rPr>
        <w:t>Lidhur me rastet e ankimuara pranë Avokatit të Tatimpaguesit gjatë vitit 2024 janë trajtuar 70</w:t>
      </w:r>
      <w:r w:rsidR="00EC1C81">
        <w:rPr>
          <w:rFonts w:ascii="Times New Roman" w:eastAsia="Calibri" w:hAnsi="Times New Roman" w:cs="Times New Roman"/>
          <w:kern w:val="2"/>
          <w:sz w:val="24"/>
          <w:szCs w:val="24"/>
          <w:lang w:val="sq-AL"/>
          <w14:ligatures w14:val="standardContextual"/>
        </w:rPr>
        <w:t xml:space="preserve"> </w:t>
      </w:r>
      <w:r w:rsidRPr="00EC1C81">
        <w:rPr>
          <w:rFonts w:ascii="Times New Roman" w:eastAsia="Calibri" w:hAnsi="Times New Roman" w:cs="Times New Roman"/>
          <w:kern w:val="2"/>
          <w:sz w:val="24"/>
          <w:szCs w:val="24"/>
          <w:lang w:val="sq-AL"/>
          <w14:ligatures w14:val="standardContextual"/>
        </w:rPr>
        <w:t xml:space="preserve">ankesa. </w:t>
      </w:r>
      <w:r w:rsidRPr="00EC1C81">
        <w:rPr>
          <w:rFonts w:ascii="Times New Roman" w:eastAsia="Calibri" w:hAnsi="Times New Roman" w:cs="Times New Roman"/>
          <w:kern w:val="2"/>
          <w:sz w:val="24"/>
          <w:szCs w:val="24"/>
          <w:lang w:val="sv-SE"/>
          <w14:ligatures w14:val="standardContextual"/>
        </w:rPr>
        <w:t>Pas vlerësimit të objektit të ankimit janë pranuar 58</w:t>
      </w:r>
      <w:r w:rsidR="00EC1C81">
        <w:rPr>
          <w:rFonts w:ascii="Times New Roman" w:eastAsia="Calibri" w:hAnsi="Times New Roman" w:cs="Times New Roman"/>
          <w:kern w:val="2"/>
          <w:sz w:val="24"/>
          <w:szCs w:val="24"/>
          <w:lang w:val="sv-SE"/>
          <w14:ligatures w14:val="standardContextual"/>
        </w:rPr>
        <w:t xml:space="preserve"> </w:t>
      </w:r>
      <w:r w:rsidRPr="00EC1C81">
        <w:rPr>
          <w:rFonts w:ascii="Times New Roman" w:eastAsia="Calibri" w:hAnsi="Times New Roman" w:cs="Times New Roman"/>
          <w:kern w:val="2"/>
          <w:sz w:val="24"/>
          <w:szCs w:val="24"/>
          <w:lang w:val="sv-SE"/>
          <w14:ligatures w14:val="standardContextual"/>
        </w:rPr>
        <w:t>raste, për të cilat është vijuar me argumentimin dhe zgjidhjen e çështjeve</w:t>
      </w:r>
      <w:r w:rsidRPr="00EC1C81">
        <w:rPr>
          <w:rFonts w:ascii="Times New Roman" w:eastAsia="Calibri" w:hAnsi="Times New Roman" w:cs="Times New Roman"/>
          <w:kern w:val="2"/>
          <w:sz w:val="24"/>
          <w:szCs w:val="24"/>
          <w:lang w:val="sq-AL"/>
          <w14:ligatures w14:val="standardContextual"/>
        </w:rPr>
        <w:t xml:space="preserve"> të parashtruara nga tatimpaguesit. Në përfundim të çështjeve të trajtuara, në bashkëpunim me administratën tatimore, kanë gjetur zgjidhje gjithsej 3</w:t>
      </w:r>
      <w:r w:rsidR="00CC37E0">
        <w:rPr>
          <w:rFonts w:ascii="Times New Roman" w:eastAsia="Calibri" w:hAnsi="Times New Roman" w:cs="Times New Roman"/>
          <w:kern w:val="2"/>
          <w:sz w:val="24"/>
          <w:szCs w:val="24"/>
          <w:lang w:val="sq-AL"/>
          <w14:ligatures w14:val="standardContextual"/>
        </w:rPr>
        <w:t>1</w:t>
      </w:r>
      <w:r w:rsidR="00FC45D5">
        <w:rPr>
          <w:rFonts w:ascii="Times New Roman" w:eastAsia="Calibri" w:hAnsi="Times New Roman" w:cs="Times New Roman"/>
          <w:kern w:val="2"/>
          <w:sz w:val="24"/>
          <w:szCs w:val="24"/>
          <w:lang w:val="sq-AL"/>
          <w14:ligatures w14:val="standardContextual"/>
        </w:rPr>
        <w:t xml:space="preserve"> </w:t>
      </w:r>
      <w:r w:rsidRPr="00EC1C81">
        <w:rPr>
          <w:rFonts w:ascii="Times New Roman" w:eastAsia="Calibri" w:hAnsi="Times New Roman" w:cs="Times New Roman"/>
          <w:kern w:val="2"/>
          <w:sz w:val="24"/>
          <w:szCs w:val="24"/>
          <w:lang w:val="sq-AL"/>
          <w14:ligatures w14:val="standardContextual"/>
        </w:rPr>
        <w:t>raste. Për 7</w:t>
      </w:r>
      <w:r w:rsidR="00FC45D5">
        <w:rPr>
          <w:rFonts w:ascii="Times New Roman" w:eastAsia="Calibri" w:hAnsi="Times New Roman" w:cs="Times New Roman"/>
          <w:kern w:val="2"/>
          <w:sz w:val="24"/>
          <w:szCs w:val="24"/>
          <w:lang w:val="sq-AL"/>
          <w14:ligatures w14:val="standardContextual"/>
        </w:rPr>
        <w:t xml:space="preserve"> </w:t>
      </w:r>
      <w:r w:rsidRPr="00EC1C81">
        <w:rPr>
          <w:rFonts w:ascii="Times New Roman" w:eastAsia="Calibri" w:hAnsi="Times New Roman" w:cs="Times New Roman"/>
          <w:kern w:val="2"/>
          <w:sz w:val="24"/>
          <w:szCs w:val="24"/>
          <w:lang w:val="sq-AL"/>
          <w14:ligatures w14:val="standardContextual"/>
        </w:rPr>
        <w:t xml:space="preserve">raste janë dhënë orientime për zgjidhjen e tyre nëpërmjet Drejtorisë së Apelimit Tatimor ose në Gjykatën Administrative. </w:t>
      </w:r>
      <w:r w:rsidR="00EC1C81" w:rsidRPr="00FC45D5">
        <w:rPr>
          <w:rFonts w:ascii="Times New Roman" w:eastAsia="Calibri" w:hAnsi="Times New Roman" w:cs="Times New Roman"/>
          <w:kern w:val="2"/>
          <w:sz w:val="24"/>
          <w:szCs w:val="24"/>
          <w:lang w:val="sq-AL"/>
          <w14:ligatures w14:val="standardContextual"/>
        </w:rPr>
        <w:t xml:space="preserve">Ndërsa për rastet e tjera </w:t>
      </w:r>
      <w:r w:rsidRPr="00FC45D5">
        <w:rPr>
          <w:rFonts w:ascii="Times New Roman" w:eastAsia="Calibri" w:hAnsi="Times New Roman" w:cs="Times New Roman"/>
          <w:kern w:val="2"/>
          <w:sz w:val="24"/>
          <w:szCs w:val="24"/>
          <w:lang w:val="sq-AL"/>
          <w14:ligatures w14:val="standardContextual"/>
        </w:rPr>
        <w:t>janë dhënë rekomandime për rregullime</w:t>
      </w:r>
      <w:r w:rsidR="00EC1C81" w:rsidRPr="00FC45D5">
        <w:rPr>
          <w:rFonts w:ascii="Times New Roman" w:eastAsia="Calibri" w:hAnsi="Times New Roman" w:cs="Times New Roman"/>
          <w:kern w:val="2"/>
          <w:sz w:val="24"/>
          <w:szCs w:val="24"/>
          <w:lang w:val="sq-AL"/>
          <w14:ligatures w14:val="standardContextual"/>
        </w:rPr>
        <w:t xml:space="preserve"> </w:t>
      </w:r>
      <w:r w:rsidRPr="00FC45D5">
        <w:rPr>
          <w:rFonts w:ascii="Times New Roman" w:eastAsia="Calibri" w:hAnsi="Times New Roman" w:cs="Times New Roman"/>
          <w:kern w:val="2"/>
          <w:sz w:val="24"/>
          <w:szCs w:val="24"/>
          <w:lang w:val="sq-AL"/>
          <w14:ligatures w14:val="standardContextual"/>
        </w:rPr>
        <w:t xml:space="preserve">si në legjislacionin tatimor, ashtu </w:t>
      </w:r>
      <w:r w:rsidR="00FC45D5" w:rsidRPr="00FC45D5">
        <w:rPr>
          <w:rFonts w:ascii="Times New Roman" w:eastAsia="Calibri" w:hAnsi="Times New Roman" w:cs="Times New Roman"/>
          <w:kern w:val="2"/>
          <w:sz w:val="24"/>
          <w:szCs w:val="24"/>
          <w:lang w:val="sq-AL"/>
          <w14:ligatures w14:val="standardContextual"/>
        </w:rPr>
        <w:t>e</w:t>
      </w:r>
      <w:r w:rsidRPr="00FC45D5">
        <w:rPr>
          <w:rFonts w:ascii="Times New Roman" w:eastAsia="Calibri" w:hAnsi="Times New Roman" w:cs="Times New Roman"/>
          <w:kern w:val="2"/>
          <w:sz w:val="24"/>
          <w:szCs w:val="24"/>
          <w:lang w:val="sq-AL"/>
          <w14:ligatures w14:val="standardContextual"/>
        </w:rPr>
        <w:t>dhe për përmirësime në procedurat zbatuese nga administrata tatimore në manualet e saj proceduriale.</w:t>
      </w:r>
    </w:p>
    <w:p w14:paraId="0B3CFA1E" w14:textId="77777777" w:rsidR="009C6C74" w:rsidRPr="00EC1C81" w:rsidRDefault="009C6C74" w:rsidP="009C6C74">
      <w:pPr>
        <w:spacing w:after="0" w:line="276" w:lineRule="auto"/>
        <w:contextualSpacing/>
        <w:jc w:val="both"/>
        <w:rPr>
          <w:rFonts w:ascii="Times New Roman" w:eastAsia="Calibri" w:hAnsi="Times New Roman" w:cs="Times New Roman"/>
          <w:kern w:val="2"/>
          <w:sz w:val="24"/>
          <w:szCs w:val="24"/>
          <w:lang w:val="sq-AL"/>
          <w14:ligatures w14:val="standardContextual"/>
        </w:rPr>
      </w:pPr>
    </w:p>
    <w:p w14:paraId="3D540BF1" w14:textId="25D5566E" w:rsidR="009C6C74" w:rsidRPr="00E43400" w:rsidRDefault="009C6C74" w:rsidP="009C6C74">
      <w:pPr>
        <w:spacing w:after="0" w:line="276" w:lineRule="auto"/>
        <w:contextualSpacing/>
        <w:jc w:val="both"/>
        <w:rPr>
          <w:rFonts w:ascii="Times New Roman" w:eastAsia="Calibri" w:hAnsi="Times New Roman" w:cs="Times New Roman"/>
          <w:kern w:val="2"/>
          <w:sz w:val="24"/>
          <w:szCs w:val="24"/>
          <w:lang w:val="sq-AL"/>
          <w14:ligatures w14:val="standardContextual"/>
        </w:rPr>
      </w:pPr>
      <w:r w:rsidRPr="00EC1C81">
        <w:rPr>
          <w:rFonts w:ascii="Times New Roman" w:eastAsia="Calibri" w:hAnsi="Times New Roman" w:cs="Times New Roman"/>
          <w:kern w:val="2"/>
          <w:sz w:val="24"/>
          <w:szCs w:val="24"/>
          <w:lang w:val="sq-AL"/>
          <w14:ligatures w14:val="standardContextual"/>
        </w:rPr>
        <w:t>Gjatë periudhës së raportimit, Drejtoria e Avokatit të Tatimpaguesit, referuar rasteve të trajtuara, ka dhënë 12 rekomandime, nga të cilat 8 janë pranuar dhe 4</w:t>
      </w:r>
      <w:r w:rsidR="00EC1C81">
        <w:rPr>
          <w:rFonts w:ascii="Times New Roman" w:eastAsia="Calibri" w:hAnsi="Times New Roman" w:cs="Times New Roman"/>
          <w:kern w:val="2"/>
          <w:sz w:val="24"/>
          <w:szCs w:val="24"/>
          <w:lang w:val="sq-AL"/>
          <w14:ligatures w14:val="standardContextual"/>
        </w:rPr>
        <w:t xml:space="preserve"> </w:t>
      </w:r>
      <w:r w:rsidRPr="00EC1C81">
        <w:rPr>
          <w:rFonts w:ascii="Times New Roman" w:eastAsia="Calibri" w:hAnsi="Times New Roman" w:cs="Times New Roman"/>
          <w:kern w:val="2"/>
          <w:sz w:val="24"/>
          <w:szCs w:val="24"/>
          <w:lang w:val="sq-AL"/>
          <w14:ligatures w14:val="standardContextual"/>
        </w:rPr>
        <w:t>janë refuzuar nga administrata tatimore, pasi kërkonin rregullime</w:t>
      </w:r>
      <w:r w:rsidR="00EC1C81">
        <w:rPr>
          <w:rFonts w:ascii="Times New Roman" w:eastAsia="Calibri" w:hAnsi="Times New Roman" w:cs="Times New Roman"/>
          <w:kern w:val="2"/>
          <w:sz w:val="24"/>
          <w:szCs w:val="24"/>
          <w:lang w:val="sq-AL"/>
          <w14:ligatures w14:val="standardContextual"/>
        </w:rPr>
        <w:t xml:space="preserve"> të mëtejshme </w:t>
      </w:r>
      <w:r w:rsidRPr="00EC1C81">
        <w:rPr>
          <w:rFonts w:ascii="Times New Roman" w:eastAsia="Calibri" w:hAnsi="Times New Roman" w:cs="Times New Roman"/>
          <w:kern w:val="2"/>
          <w:sz w:val="24"/>
          <w:szCs w:val="24"/>
          <w:lang w:val="sq-AL"/>
          <w14:ligatures w14:val="standardContextual"/>
        </w:rPr>
        <w:t>në legjislacionin tatimor. Në përfundim të procesit të monitorimit, mbi zbatimin e rekomandimeve të lëna, si dhe të problematikave të konstatuara, Avokati i Tatimpaguesit ka dhënë vlerësimet  për përmirësime në legjislacionin tatimor, si dhe në procedura</w:t>
      </w:r>
      <w:r w:rsidR="00CC6EB3" w:rsidRPr="00EC1C81">
        <w:rPr>
          <w:rFonts w:ascii="Times New Roman" w:eastAsia="Calibri" w:hAnsi="Times New Roman" w:cs="Times New Roman"/>
          <w:kern w:val="2"/>
          <w:sz w:val="24"/>
          <w:szCs w:val="24"/>
          <w:lang w:val="sq-AL"/>
          <w14:ligatures w14:val="standardContextual"/>
        </w:rPr>
        <w:t>t</w:t>
      </w:r>
      <w:r w:rsidRPr="00EC1C81">
        <w:rPr>
          <w:rFonts w:ascii="Times New Roman" w:eastAsia="Calibri" w:hAnsi="Times New Roman" w:cs="Times New Roman"/>
          <w:kern w:val="2"/>
          <w:sz w:val="24"/>
          <w:szCs w:val="24"/>
          <w:lang w:val="sq-AL"/>
          <w14:ligatures w14:val="standardContextual"/>
        </w:rPr>
        <w:t xml:space="preserve"> zbatuese nga administrata tatimore. </w:t>
      </w:r>
    </w:p>
    <w:p w14:paraId="3F98E11C" w14:textId="77777777" w:rsidR="008864DB" w:rsidRDefault="008864DB" w:rsidP="00C8275C">
      <w:pPr>
        <w:spacing w:after="0" w:line="276" w:lineRule="auto"/>
        <w:jc w:val="both"/>
        <w:rPr>
          <w:rFonts w:ascii="Times New Roman" w:eastAsia="Calibri" w:hAnsi="Times New Roman" w:cs="Times New Roman"/>
          <w:bCs/>
          <w:kern w:val="2"/>
          <w:sz w:val="24"/>
          <w:szCs w:val="24"/>
          <w:lang w:val="sv-SE"/>
          <w14:ligatures w14:val="standardContextual"/>
        </w:rPr>
      </w:pPr>
    </w:p>
    <w:p w14:paraId="7AC252CB" w14:textId="15258ABA" w:rsidR="0071234C" w:rsidRDefault="0071234C" w:rsidP="0071234C">
      <w:pPr>
        <w:spacing w:after="0" w:line="276" w:lineRule="auto"/>
        <w:jc w:val="both"/>
        <w:rPr>
          <w:rFonts w:ascii="Times New Roman" w:eastAsiaTheme="majorEastAsia" w:hAnsi="Times New Roman" w:cs="Times New Roman"/>
          <w:kern w:val="2"/>
          <w:sz w:val="24"/>
          <w:szCs w:val="24"/>
          <w:lang w:val="sq-AL"/>
          <w14:ligatures w14:val="standardContextual"/>
        </w:rPr>
      </w:pPr>
      <w:r w:rsidRPr="00EC1C81">
        <w:rPr>
          <w:rFonts w:ascii="Times New Roman" w:eastAsia="Calibri" w:hAnsi="Times New Roman" w:cs="Times New Roman"/>
          <w:bCs/>
          <w:kern w:val="2"/>
          <w:sz w:val="24"/>
          <w:szCs w:val="24"/>
          <w:lang w:val="sv-SE"/>
          <w14:ligatures w14:val="standardContextual"/>
        </w:rPr>
        <w:t xml:space="preserve">Me qëllim përmirësimin e </w:t>
      </w:r>
      <w:r w:rsidRPr="00EC1C81">
        <w:rPr>
          <w:rFonts w:ascii="Times New Roman" w:eastAsiaTheme="majorEastAsia" w:hAnsi="Times New Roman" w:cs="Times New Roman"/>
          <w:kern w:val="2"/>
          <w:sz w:val="24"/>
          <w:szCs w:val="24"/>
          <w:lang w:val="sq-AL"/>
          <w14:ligatures w14:val="standardContextual"/>
        </w:rPr>
        <w:t>mëtejshëm të njohurive,</w:t>
      </w:r>
      <w:r>
        <w:rPr>
          <w:rFonts w:ascii="Times New Roman" w:eastAsiaTheme="majorEastAsia" w:hAnsi="Times New Roman" w:cs="Times New Roman"/>
          <w:kern w:val="2"/>
          <w:sz w:val="24"/>
          <w:szCs w:val="24"/>
          <w:lang w:val="sq-AL"/>
          <w14:ligatures w14:val="standardContextual"/>
        </w:rPr>
        <w:t xml:space="preserve"> gjatë vitit 2024</w:t>
      </w:r>
      <w:r w:rsidRPr="00C8275C">
        <w:rPr>
          <w:rFonts w:ascii="Times New Roman" w:eastAsia="Calibri" w:hAnsi="Times New Roman" w:cs="Times New Roman"/>
          <w:bCs/>
          <w:kern w:val="2"/>
          <w:sz w:val="24"/>
          <w:szCs w:val="24"/>
          <w:lang w:val="sv-SE"/>
          <w14:ligatures w14:val="standardContextual"/>
        </w:rPr>
        <w:t xml:space="preserve"> </w:t>
      </w:r>
      <w:r w:rsidRPr="00C8275C">
        <w:rPr>
          <w:rFonts w:ascii="Times New Roman" w:eastAsiaTheme="majorEastAsia" w:hAnsi="Times New Roman" w:cs="Times New Roman"/>
          <w:kern w:val="2"/>
          <w:sz w:val="24"/>
          <w:szCs w:val="24"/>
          <w:lang w:val="sv-SE"/>
          <w14:ligatures w14:val="standardContextual"/>
        </w:rPr>
        <w:t xml:space="preserve">stafi i </w:t>
      </w:r>
      <w:r w:rsidRPr="00C8275C">
        <w:rPr>
          <w:rFonts w:ascii="Times New Roman" w:eastAsiaTheme="majorEastAsia" w:hAnsi="Times New Roman" w:cs="Times New Roman"/>
          <w:kern w:val="2"/>
          <w:sz w:val="24"/>
          <w:szCs w:val="24"/>
          <w:lang w:val="sq-AL"/>
          <w14:ligatures w14:val="standardContextual"/>
        </w:rPr>
        <w:t xml:space="preserve">Drejtorisë së Marrëveshjeve dhe Sigurimit të Ndihmës së Huaj ka marrë pjesë në trajnimet si më poshtë vijon: </w:t>
      </w:r>
    </w:p>
    <w:p w14:paraId="38A706F2" w14:textId="77777777" w:rsidR="0071234C" w:rsidRPr="0071234C" w:rsidRDefault="0071234C" w:rsidP="00C8275C">
      <w:pPr>
        <w:spacing w:after="0" w:line="276" w:lineRule="auto"/>
        <w:jc w:val="both"/>
        <w:rPr>
          <w:rFonts w:ascii="Times New Roman" w:eastAsia="Calibri" w:hAnsi="Times New Roman" w:cs="Times New Roman"/>
          <w:bCs/>
          <w:kern w:val="2"/>
          <w:sz w:val="24"/>
          <w:szCs w:val="24"/>
          <w:lang w:val="sq-AL"/>
          <w14:ligatures w14:val="standardContextual"/>
        </w:rPr>
      </w:pPr>
    </w:p>
    <w:p w14:paraId="4ACF18E6" w14:textId="77777777" w:rsidR="00C8275C" w:rsidRPr="00EC1C81" w:rsidRDefault="00C8275C" w:rsidP="00C8275C">
      <w:pPr>
        <w:numPr>
          <w:ilvl w:val="0"/>
          <w:numId w:val="8"/>
        </w:numPr>
        <w:spacing w:after="0" w:line="276" w:lineRule="auto"/>
        <w:jc w:val="both"/>
        <w:rPr>
          <w:rFonts w:ascii="Times New Roman" w:eastAsia="Times New Roman" w:hAnsi="Times New Roman" w:cs="Times New Roman"/>
          <w:sz w:val="24"/>
          <w:szCs w:val="24"/>
        </w:rPr>
      </w:pPr>
      <w:r w:rsidRPr="00EC1C81">
        <w:rPr>
          <w:rFonts w:ascii="Times New Roman" w:eastAsiaTheme="majorEastAsia" w:hAnsi="Times New Roman" w:cs="Times New Roman"/>
          <w:sz w:val="24"/>
          <w:szCs w:val="24"/>
        </w:rPr>
        <w:t>“Government Debt and Risk Management (GDRM) Program Guarantees and On-lending Risk Management”;</w:t>
      </w:r>
    </w:p>
    <w:p w14:paraId="05FB1E27" w14:textId="4E92E9F0" w:rsidR="00C8275C" w:rsidRPr="00EC1C81" w:rsidRDefault="00C8275C" w:rsidP="00C8275C">
      <w:pPr>
        <w:numPr>
          <w:ilvl w:val="0"/>
          <w:numId w:val="8"/>
        </w:numPr>
        <w:spacing w:after="0" w:line="276" w:lineRule="auto"/>
        <w:jc w:val="both"/>
        <w:rPr>
          <w:rFonts w:ascii="Times New Roman" w:eastAsia="Times New Roman" w:hAnsi="Times New Roman" w:cs="Times New Roman"/>
          <w:sz w:val="24"/>
          <w:szCs w:val="24"/>
          <w:lang w:val="pt-BR"/>
        </w:rPr>
      </w:pPr>
      <w:r w:rsidRPr="00EC1C81">
        <w:rPr>
          <w:rFonts w:ascii="Times New Roman" w:eastAsiaTheme="majorEastAsia" w:hAnsi="Times New Roman" w:cs="Times New Roman"/>
          <w:sz w:val="24"/>
          <w:szCs w:val="24"/>
          <w:lang w:val="pt-BR"/>
        </w:rPr>
        <w:t xml:space="preserve">“Transformimi </w:t>
      </w:r>
      <w:r w:rsidR="00D573E6" w:rsidRPr="00EC1C81">
        <w:rPr>
          <w:rFonts w:ascii="Times New Roman" w:eastAsiaTheme="majorEastAsia" w:hAnsi="Times New Roman" w:cs="Times New Roman"/>
          <w:sz w:val="24"/>
          <w:szCs w:val="24"/>
          <w:lang w:val="pt-BR"/>
        </w:rPr>
        <w:t>d</w:t>
      </w:r>
      <w:r w:rsidRPr="00EC1C81">
        <w:rPr>
          <w:rFonts w:ascii="Times New Roman" w:eastAsiaTheme="majorEastAsia" w:hAnsi="Times New Roman" w:cs="Times New Roman"/>
          <w:sz w:val="24"/>
          <w:szCs w:val="24"/>
          <w:lang w:val="pt-BR"/>
        </w:rPr>
        <w:t xml:space="preserve">igjital i </w:t>
      </w:r>
      <w:r w:rsidR="00D573E6" w:rsidRPr="00EC1C81">
        <w:rPr>
          <w:rFonts w:ascii="Times New Roman" w:eastAsiaTheme="majorEastAsia" w:hAnsi="Times New Roman" w:cs="Times New Roman"/>
          <w:sz w:val="24"/>
          <w:szCs w:val="24"/>
          <w:lang w:val="pt-BR"/>
        </w:rPr>
        <w:t>p</w:t>
      </w:r>
      <w:r w:rsidRPr="00EC1C81">
        <w:rPr>
          <w:rFonts w:ascii="Times New Roman" w:eastAsiaTheme="majorEastAsia" w:hAnsi="Times New Roman" w:cs="Times New Roman"/>
          <w:sz w:val="24"/>
          <w:szCs w:val="24"/>
          <w:lang w:val="pt-BR"/>
        </w:rPr>
        <w:t xml:space="preserve">unës në </w:t>
      </w:r>
      <w:r w:rsidR="00D573E6" w:rsidRPr="00EC1C81">
        <w:rPr>
          <w:rFonts w:ascii="Times New Roman" w:eastAsiaTheme="majorEastAsia" w:hAnsi="Times New Roman" w:cs="Times New Roman"/>
          <w:sz w:val="24"/>
          <w:szCs w:val="24"/>
          <w:lang w:val="pt-BR"/>
        </w:rPr>
        <w:t>a</w:t>
      </w:r>
      <w:r w:rsidRPr="00EC1C81">
        <w:rPr>
          <w:rFonts w:ascii="Times New Roman" w:eastAsiaTheme="majorEastAsia" w:hAnsi="Times New Roman" w:cs="Times New Roman"/>
          <w:sz w:val="24"/>
          <w:szCs w:val="24"/>
          <w:lang w:val="pt-BR"/>
        </w:rPr>
        <w:t xml:space="preserve">dministratën </w:t>
      </w:r>
      <w:r w:rsidR="00D573E6" w:rsidRPr="00EC1C81">
        <w:rPr>
          <w:rFonts w:ascii="Times New Roman" w:eastAsiaTheme="majorEastAsia" w:hAnsi="Times New Roman" w:cs="Times New Roman"/>
          <w:sz w:val="24"/>
          <w:szCs w:val="24"/>
          <w:lang w:val="pt-BR"/>
        </w:rPr>
        <w:t>p</w:t>
      </w:r>
      <w:r w:rsidRPr="00EC1C81">
        <w:rPr>
          <w:rFonts w:ascii="Times New Roman" w:eastAsiaTheme="majorEastAsia" w:hAnsi="Times New Roman" w:cs="Times New Roman"/>
          <w:sz w:val="24"/>
          <w:szCs w:val="24"/>
          <w:lang w:val="pt-BR"/>
        </w:rPr>
        <w:t>ublike”;</w:t>
      </w:r>
    </w:p>
    <w:p w14:paraId="0DC0758B" w14:textId="77777777" w:rsidR="00C8275C" w:rsidRPr="00EC1C81" w:rsidRDefault="00C8275C" w:rsidP="00C8275C">
      <w:pPr>
        <w:numPr>
          <w:ilvl w:val="0"/>
          <w:numId w:val="8"/>
        </w:numPr>
        <w:spacing w:after="0" w:line="276" w:lineRule="auto"/>
        <w:jc w:val="both"/>
        <w:rPr>
          <w:rFonts w:ascii="Times New Roman" w:eastAsia="Times New Roman" w:hAnsi="Times New Roman" w:cs="Times New Roman"/>
          <w:sz w:val="24"/>
          <w:szCs w:val="24"/>
        </w:rPr>
      </w:pPr>
      <w:r w:rsidRPr="00EC1C81">
        <w:rPr>
          <w:rFonts w:ascii="Times New Roman" w:eastAsiaTheme="majorEastAsia" w:hAnsi="Times New Roman" w:cs="Times New Roman"/>
          <w:sz w:val="24"/>
          <w:szCs w:val="24"/>
        </w:rPr>
        <w:t>Trajnim mbi programin EDRMS (Electronic Document and Records Management);</w:t>
      </w:r>
    </w:p>
    <w:p w14:paraId="2B6A11E4" w14:textId="5592C5C4" w:rsidR="00C8275C" w:rsidRPr="00EC1C81" w:rsidRDefault="00C8275C" w:rsidP="00C8275C">
      <w:pPr>
        <w:numPr>
          <w:ilvl w:val="0"/>
          <w:numId w:val="8"/>
        </w:numPr>
        <w:spacing w:after="0" w:line="276" w:lineRule="auto"/>
        <w:jc w:val="both"/>
        <w:rPr>
          <w:rFonts w:ascii="Times New Roman" w:eastAsia="Times New Roman" w:hAnsi="Times New Roman" w:cs="Times New Roman"/>
          <w:sz w:val="24"/>
          <w:szCs w:val="24"/>
        </w:rPr>
      </w:pPr>
      <w:r w:rsidRPr="00EC1C81">
        <w:rPr>
          <w:rFonts w:ascii="Times New Roman" w:eastAsiaTheme="majorEastAsia" w:hAnsi="Times New Roman" w:cs="Times New Roman"/>
          <w:sz w:val="24"/>
          <w:szCs w:val="24"/>
        </w:rPr>
        <w:t xml:space="preserve">Prezantimi me </w:t>
      </w:r>
      <w:r w:rsidR="00D573E6" w:rsidRPr="00EC1C81">
        <w:rPr>
          <w:rFonts w:ascii="Times New Roman" w:eastAsiaTheme="majorEastAsia" w:hAnsi="Times New Roman" w:cs="Times New Roman"/>
          <w:sz w:val="24"/>
          <w:szCs w:val="24"/>
        </w:rPr>
        <w:t>a</w:t>
      </w:r>
      <w:r w:rsidRPr="00EC1C81">
        <w:rPr>
          <w:rFonts w:ascii="Times New Roman" w:eastAsiaTheme="majorEastAsia" w:hAnsi="Times New Roman" w:cs="Times New Roman"/>
          <w:sz w:val="24"/>
          <w:szCs w:val="24"/>
        </w:rPr>
        <w:t xml:space="preserve">dministratën </w:t>
      </w:r>
      <w:r w:rsidR="00D573E6" w:rsidRPr="00EC1C81">
        <w:rPr>
          <w:rFonts w:ascii="Times New Roman" w:eastAsiaTheme="majorEastAsia" w:hAnsi="Times New Roman" w:cs="Times New Roman"/>
          <w:sz w:val="24"/>
          <w:szCs w:val="24"/>
        </w:rPr>
        <w:t>p</w:t>
      </w:r>
      <w:r w:rsidRPr="00EC1C81">
        <w:rPr>
          <w:rFonts w:ascii="Times New Roman" w:eastAsiaTheme="majorEastAsia" w:hAnsi="Times New Roman" w:cs="Times New Roman"/>
          <w:sz w:val="24"/>
          <w:szCs w:val="24"/>
        </w:rPr>
        <w:t>ublike</w:t>
      </w:r>
      <w:r w:rsidR="0071234C" w:rsidRPr="00EC1C81">
        <w:rPr>
          <w:rFonts w:ascii="Times New Roman" w:eastAsiaTheme="majorEastAsia" w:hAnsi="Times New Roman" w:cs="Times New Roman"/>
          <w:sz w:val="24"/>
          <w:szCs w:val="24"/>
        </w:rPr>
        <w:t>;</w:t>
      </w:r>
    </w:p>
    <w:p w14:paraId="2D714109" w14:textId="2FC83414" w:rsidR="0071234C" w:rsidRPr="00EC1C81" w:rsidRDefault="0071234C" w:rsidP="0071234C">
      <w:pPr>
        <w:numPr>
          <w:ilvl w:val="0"/>
          <w:numId w:val="8"/>
        </w:numPr>
        <w:spacing w:after="0" w:line="276" w:lineRule="auto"/>
        <w:jc w:val="both"/>
        <w:rPr>
          <w:rFonts w:ascii="Times New Roman" w:eastAsia="Times New Roman" w:hAnsi="Times New Roman" w:cs="Times New Roman"/>
          <w:sz w:val="24"/>
          <w:szCs w:val="24"/>
        </w:rPr>
      </w:pPr>
      <w:r w:rsidRPr="00EC1C81">
        <w:rPr>
          <w:rFonts w:ascii="Times New Roman" w:eastAsia="Times New Roman" w:hAnsi="Times New Roman" w:cs="Times New Roman"/>
          <w:sz w:val="24"/>
          <w:szCs w:val="24"/>
        </w:rPr>
        <w:t>Inteligjenca artificiale dhe impakti i ligjit evropian mbi IA (Pjesa II).</w:t>
      </w:r>
    </w:p>
    <w:p w14:paraId="776EB224" w14:textId="77777777" w:rsidR="00C8275C" w:rsidRPr="00C8275C" w:rsidRDefault="00C8275C" w:rsidP="0071234C">
      <w:pPr>
        <w:spacing w:after="0" w:line="276" w:lineRule="auto"/>
        <w:jc w:val="both"/>
        <w:rPr>
          <w:rFonts w:ascii="Times New Roman" w:eastAsia="Times New Roman" w:hAnsi="Times New Roman" w:cs="Times New Roman"/>
          <w:i/>
          <w:iCs/>
          <w:sz w:val="24"/>
          <w:szCs w:val="24"/>
        </w:rPr>
      </w:pPr>
    </w:p>
    <w:p w14:paraId="1F3D1ABE" w14:textId="77777777" w:rsidR="00C8275C" w:rsidRDefault="00C8275C" w:rsidP="00C8275C">
      <w:pPr>
        <w:spacing w:after="0" w:line="276" w:lineRule="auto"/>
        <w:jc w:val="both"/>
        <w:rPr>
          <w:rFonts w:ascii="Times New Roman" w:eastAsiaTheme="majorEastAsia" w:hAnsi="Times New Roman" w:cs="Times New Roman"/>
          <w:sz w:val="24"/>
          <w:szCs w:val="24"/>
        </w:rPr>
      </w:pPr>
      <w:r w:rsidRPr="00C8275C">
        <w:rPr>
          <w:rFonts w:ascii="Times New Roman" w:eastAsiaTheme="majorEastAsia" w:hAnsi="Times New Roman" w:cs="Times New Roman"/>
          <w:sz w:val="24"/>
          <w:szCs w:val="24"/>
        </w:rPr>
        <w:t>Stafi i Drejtorisë së Strategjisë, Regjistrimit, Shërbimit dhe Raportimit të Treguesve të Borxhit ka ndjekur trajnimet si më poshtë vijon:</w:t>
      </w:r>
    </w:p>
    <w:p w14:paraId="75E7B3A1" w14:textId="77777777" w:rsidR="00C8275C" w:rsidRPr="00C8275C" w:rsidRDefault="00C8275C" w:rsidP="00C8275C">
      <w:pPr>
        <w:spacing w:after="0" w:line="276" w:lineRule="auto"/>
        <w:jc w:val="both"/>
        <w:rPr>
          <w:rFonts w:ascii="Times New Roman" w:eastAsia="Times New Roman" w:hAnsi="Times New Roman" w:cs="Times New Roman"/>
          <w:sz w:val="24"/>
          <w:szCs w:val="24"/>
        </w:rPr>
      </w:pPr>
    </w:p>
    <w:p w14:paraId="55D4CC8A" w14:textId="2373FE85" w:rsidR="0071234C" w:rsidRPr="00EC1C81" w:rsidRDefault="0071234C" w:rsidP="00222F80">
      <w:pPr>
        <w:numPr>
          <w:ilvl w:val="0"/>
          <w:numId w:val="9"/>
        </w:numPr>
        <w:spacing w:after="0" w:line="276" w:lineRule="auto"/>
        <w:jc w:val="both"/>
        <w:rPr>
          <w:rFonts w:ascii="Times New Roman" w:eastAsia="Times New Roman" w:hAnsi="Times New Roman" w:cs="Times New Roman"/>
          <w:iCs/>
          <w:sz w:val="24"/>
          <w:szCs w:val="24"/>
        </w:rPr>
      </w:pPr>
      <w:r w:rsidRPr="00EC1C81">
        <w:rPr>
          <w:rFonts w:ascii="Times New Roman" w:eastAsia="Times New Roman" w:hAnsi="Times New Roman" w:cs="Times New Roman"/>
          <w:iCs/>
          <w:sz w:val="24"/>
          <w:szCs w:val="24"/>
        </w:rPr>
        <w:t>Drejt Kornizave Kombëtare të Integruara të Financimit”</w:t>
      </w:r>
      <w:r w:rsidR="00FC45D5">
        <w:rPr>
          <w:rFonts w:ascii="Times New Roman" w:eastAsia="Times New Roman" w:hAnsi="Times New Roman" w:cs="Times New Roman"/>
          <w:iCs/>
          <w:sz w:val="24"/>
          <w:szCs w:val="24"/>
        </w:rPr>
        <w:t xml:space="preserve"> </w:t>
      </w:r>
      <w:r w:rsidRPr="00EC1C81">
        <w:rPr>
          <w:rFonts w:ascii="Times New Roman" w:eastAsia="Times New Roman" w:hAnsi="Times New Roman" w:cs="Times New Roman"/>
          <w:iCs/>
          <w:sz w:val="24"/>
          <w:szCs w:val="24"/>
        </w:rPr>
        <w:t>zhvilluar më 31 mars 2024.</w:t>
      </w:r>
      <w:r w:rsidR="00EC1C81">
        <w:rPr>
          <w:rFonts w:ascii="Times New Roman" w:eastAsia="Times New Roman" w:hAnsi="Times New Roman" w:cs="Times New Roman"/>
          <w:iCs/>
          <w:sz w:val="24"/>
          <w:szCs w:val="24"/>
        </w:rPr>
        <w:t xml:space="preserve"> Tema e trajnimit</w:t>
      </w:r>
      <w:r w:rsidRPr="00EC1C81">
        <w:rPr>
          <w:rFonts w:ascii="Times New Roman" w:eastAsia="Times New Roman" w:hAnsi="Times New Roman" w:cs="Times New Roman"/>
          <w:iCs/>
          <w:sz w:val="24"/>
          <w:szCs w:val="24"/>
        </w:rPr>
        <w:t xml:space="preserve"> ishte shkëmbim</w:t>
      </w:r>
      <w:r w:rsidR="00EC1C81">
        <w:rPr>
          <w:rFonts w:ascii="Times New Roman" w:eastAsia="Times New Roman" w:hAnsi="Times New Roman" w:cs="Times New Roman"/>
          <w:iCs/>
          <w:sz w:val="24"/>
          <w:szCs w:val="24"/>
        </w:rPr>
        <w:t>i</w:t>
      </w:r>
      <w:r w:rsidRPr="00EC1C81">
        <w:rPr>
          <w:rFonts w:ascii="Times New Roman" w:eastAsia="Times New Roman" w:hAnsi="Times New Roman" w:cs="Times New Roman"/>
          <w:iCs/>
          <w:sz w:val="24"/>
          <w:szCs w:val="24"/>
        </w:rPr>
        <w:t xml:space="preserve"> </w:t>
      </w:r>
      <w:r w:rsidR="00BA1A7C">
        <w:rPr>
          <w:rFonts w:ascii="Times New Roman" w:eastAsia="Times New Roman" w:hAnsi="Times New Roman" w:cs="Times New Roman"/>
          <w:iCs/>
          <w:sz w:val="24"/>
          <w:szCs w:val="24"/>
        </w:rPr>
        <w:t xml:space="preserve">i </w:t>
      </w:r>
      <w:r w:rsidRPr="00EC1C81">
        <w:rPr>
          <w:rFonts w:ascii="Times New Roman" w:eastAsia="Times New Roman" w:hAnsi="Times New Roman" w:cs="Times New Roman"/>
          <w:iCs/>
          <w:sz w:val="24"/>
          <w:szCs w:val="24"/>
        </w:rPr>
        <w:t>përvoja</w:t>
      </w:r>
      <w:r w:rsidR="00EC1C81">
        <w:rPr>
          <w:rFonts w:ascii="Times New Roman" w:eastAsia="Times New Roman" w:hAnsi="Times New Roman" w:cs="Times New Roman"/>
          <w:iCs/>
          <w:sz w:val="24"/>
          <w:szCs w:val="24"/>
        </w:rPr>
        <w:t xml:space="preserve">ve dhe </w:t>
      </w:r>
      <w:r w:rsidRPr="00EC1C81">
        <w:rPr>
          <w:rFonts w:ascii="Times New Roman" w:eastAsia="Times New Roman" w:hAnsi="Times New Roman" w:cs="Times New Roman"/>
          <w:iCs/>
          <w:sz w:val="24"/>
          <w:szCs w:val="24"/>
        </w:rPr>
        <w:t>diskutime</w:t>
      </w:r>
      <w:r w:rsidR="00EC1C81">
        <w:rPr>
          <w:rFonts w:ascii="Times New Roman" w:eastAsia="Times New Roman" w:hAnsi="Times New Roman" w:cs="Times New Roman"/>
          <w:iCs/>
          <w:sz w:val="24"/>
          <w:szCs w:val="24"/>
        </w:rPr>
        <w:t>ve</w:t>
      </w:r>
      <w:r w:rsidRPr="00EC1C81">
        <w:rPr>
          <w:rFonts w:ascii="Times New Roman" w:eastAsia="Times New Roman" w:hAnsi="Times New Roman" w:cs="Times New Roman"/>
          <w:iCs/>
          <w:sz w:val="24"/>
          <w:szCs w:val="24"/>
        </w:rPr>
        <w:t xml:space="preserve"> mbi Kornizat Kombëtare të Integruara të Financimit.</w:t>
      </w:r>
    </w:p>
    <w:p w14:paraId="0637A65F" w14:textId="0E545F32" w:rsidR="00C8275C" w:rsidRPr="00EC1C81" w:rsidRDefault="00C8275C" w:rsidP="00C8275C">
      <w:pPr>
        <w:numPr>
          <w:ilvl w:val="0"/>
          <w:numId w:val="9"/>
        </w:numPr>
        <w:spacing w:after="0" w:line="276" w:lineRule="auto"/>
        <w:jc w:val="both"/>
        <w:rPr>
          <w:rFonts w:ascii="Times New Roman" w:eastAsia="Times New Roman" w:hAnsi="Times New Roman" w:cs="Times New Roman"/>
          <w:iCs/>
          <w:sz w:val="24"/>
          <w:szCs w:val="24"/>
        </w:rPr>
      </w:pPr>
      <w:r w:rsidRPr="00EC1C81">
        <w:rPr>
          <w:rFonts w:ascii="Times New Roman" w:eastAsiaTheme="majorEastAsia" w:hAnsi="Times New Roman" w:cs="Times New Roman"/>
          <w:iCs/>
          <w:sz w:val="24"/>
          <w:szCs w:val="24"/>
        </w:rPr>
        <w:t>“Assessing and Managing Debt-Related Fiscal Risks”. Trajnim</w:t>
      </w:r>
      <w:r w:rsidR="00FA7488" w:rsidRPr="00EC1C81">
        <w:rPr>
          <w:rFonts w:ascii="Times New Roman" w:eastAsiaTheme="majorEastAsia" w:hAnsi="Times New Roman" w:cs="Times New Roman"/>
          <w:iCs/>
          <w:sz w:val="24"/>
          <w:szCs w:val="24"/>
        </w:rPr>
        <w:t>i</w:t>
      </w:r>
      <w:r w:rsidRPr="00EC1C81">
        <w:rPr>
          <w:rFonts w:ascii="Times New Roman" w:eastAsiaTheme="majorEastAsia" w:hAnsi="Times New Roman" w:cs="Times New Roman"/>
          <w:iCs/>
          <w:sz w:val="24"/>
          <w:szCs w:val="24"/>
        </w:rPr>
        <w:t xml:space="preserve"> është zhvilluar në datat 8-12 prill 2024, me në fokus garancitë shtetërore.</w:t>
      </w:r>
    </w:p>
    <w:p w14:paraId="1FF63898" w14:textId="00116D89" w:rsidR="00C8275C" w:rsidRPr="00EC1C81" w:rsidRDefault="00C8275C" w:rsidP="00C8275C">
      <w:pPr>
        <w:numPr>
          <w:ilvl w:val="0"/>
          <w:numId w:val="9"/>
        </w:numPr>
        <w:spacing w:after="0" w:line="276" w:lineRule="auto"/>
        <w:jc w:val="both"/>
        <w:rPr>
          <w:rFonts w:ascii="Times New Roman" w:eastAsia="Times New Roman" w:hAnsi="Times New Roman" w:cs="Times New Roman"/>
          <w:iCs/>
          <w:sz w:val="24"/>
          <w:szCs w:val="24"/>
        </w:rPr>
      </w:pPr>
      <w:r w:rsidRPr="00EC1C81">
        <w:rPr>
          <w:rFonts w:ascii="Times New Roman" w:eastAsiaTheme="majorEastAsia" w:hAnsi="Times New Roman" w:cs="Times New Roman"/>
          <w:iCs/>
          <w:sz w:val="24"/>
          <w:szCs w:val="24"/>
        </w:rPr>
        <w:lastRenderedPageBreak/>
        <w:t xml:space="preserve">“Government Debt and Risk Management (GDRM)” </w:t>
      </w:r>
      <w:r w:rsidR="00EC1C81">
        <w:rPr>
          <w:rFonts w:ascii="Times New Roman" w:eastAsiaTheme="majorEastAsia" w:hAnsi="Times New Roman" w:cs="Times New Roman"/>
          <w:iCs/>
          <w:sz w:val="24"/>
          <w:szCs w:val="24"/>
        </w:rPr>
        <w:t xml:space="preserve">është </w:t>
      </w:r>
      <w:r w:rsidRPr="00EC1C81">
        <w:rPr>
          <w:rFonts w:ascii="Times New Roman" w:eastAsiaTheme="majorEastAsia" w:hAnsi="Times New Roman" w:cs="Times New Roman"/>
          <w:iCs/>
          <w:sz w:val="24"/>
          <w:szCs w:val="24"/>
        </w:rPr>
        <w:t>zhvilluar në datat 23-31 maj 2024. Tema kryesore e këtij trajnimi ishte vlerësimi dhe kuantifikimi i riskut të kredisë për garanci/huadhënie për ndërmarrjet shtetërore dhe rritja e transparencës së borxhit përmes analizës së përmirësuar të borxhit parlamentar.</w:t>
      </w:r>
    </w:p>
    <w:p w14:paraId="21A3867C" w14:textId="6D04A4AC" w:rsidR="00222F80" w:rsidRPr="00EC1C81" w:rsidRDefault="00222F80" w:rsidP="00222F80">
      <w:pPr>
        <w:numPr>
          <w:ilvl w:val="0"/>
          <w:numId w:val="9"/>
        </w:numPr>
        <w:spacing w:after="0" w:line="276" w:lineRule="auto"/>
        <w:jc w:val="both"/>
        <w:rPr>
          <w:rFonts w:ascii="Times New Roman" w:eastAsia="Times New Roman" w:hAnsi="Times New Roman" w:cs="Times New Roman"/>
          <w:iCs/>
          <w:sz w:val="24"/>
          <w:szCs w:val="24"/>
        </w:rPr>
      </w:pPr>
      <w:r w:rsidRPr="00EC1C81">
        <w:rPr>
          <w:rFonts w:ascii="Times New Roman" w:eastAsia="Times New Roman" w:hAnsi="Times New Roman" w:cs="Times New Roman"/>
          <w:iCs/>
          <w:sz w:val="24"/>
          <w:szCs w:val="24"/>
        </w:rPr>
        <w:t>“Comprehensive Training for Cyber Hygiene, Open-Source Intelligence (OSINT) and Social Engineering: Protection of Your Digital Presence”, zhvilluar më 28 maj 2024.</w:t>
      </w:r>
    </w:p>
    <w:p w14:paraId="43E5EDE5" w14:textId="77777777" w:rsidR="00C8275C" w:rsidRPr="00EC1C81" w:rsidRDefault="00C8275C" w:rsidP="00C8275C">
      <w:pPr>
        <w:numPr>
          <w:ilvl w:val="0"/>
          <w:numId w:val="10"/>
        </w:numPr>
        <w:spacing w:after="0" w:line="276" w:lineRule="auto"/>
        <w:jc w:val="both"/>
        <w:rPr>
          <w:rFonts w:ascii="Times New Roman" w:eastAsia="Times New Roman" w:hAnsi="Times New Roman" w:cs="Times New Roman"/>
          <w:iCs/>
          <w:sz w:val="24"/>
          <w:szCs w:val="24"/>
        </w:rPr>
      </w:pPr>
      <w:r w:rsidRPr="00EC1C81">
        <w:rPr>
          <w:rFonts w:ascii="Times New Roman" w:eastAsiaTheme="majorEastAsia" w:hAnsi="Times New Roman" w:cs="Times New Roman"/>
          <w:iCs/>
          <w:sz w:val="24"/>
          <w:szCs w:val="24"/>
        </w:rPr>
        <w:t>“Special Data Dissemination Standard” zhvilluar në datat 10-14 qershor 2024. Trajnimi kishte për qëllim njohjen dhe zbatimin e praktikave më të mira në shpërndarjen e të dhënave ekonomike, konkretisht kalimin për vendet e rajonit nga shpërndarja e të dhënave në e-GDDS në formatin SDDS.</w:t>
      </w:r>
    </w:p>
    <w:p w14:paraId="66E43963" w14:textId="003702A1" w:rsidR="00C8275C" w:rsidRPr="00EC1C81" w:rsidRDefault="00C8275C" w:rsidP="00C8275C">
      <w:pPr>
        <w:numPr>
          <w:ilvl w:val="0"/>
          <w:numId w:val="10"/>
        </w:numPr>
        <w:spacing w:after="0" w:line="276" w:lineRule="auto"/>
        <w:jc w:val="both"/>
        <w:rPr>
          <w:rFonts w:ascii="Times New Roman" w:eastAsia="Times New Roman" w:hAnsi="Times New Roman" w:cs="Times New Roman"/>
          <w:iCs/>
          <w:sz w:val="24"/>
          <w:szCs w:val="24"/>
        </w:rPr>
      </w:pPr>
      <w:r w:rsidRPr="00EC1C81">
        <w:rPr>
          <w:rFonts w:ascii="Times New Roman" w:eastAsiaTheme="majorEastAsia" w:hAnsi="Times New Roman" w:cs="Times New Roman"/>
          <w:iCs/>
          <w:sz w:val="24"/>
          <w:szCs w:val="24"/>
        </w:rPr>
        <w:t>“Applied Economic Policy”</w:t>
      </w:r>
      <w:r w:rsidR="00EC1C81">
        <w:rPr>
          <w:rFonts w:ascii="Times New Roman" w:eastAsiaTheme="majorEastAsia" w:hAnsi="Times New Roman" w:cs="Times New Roman"/>
          <w:iCs/>
          <w:sz w:val="24"/>
          <w:szCs w:val="24"/>
        </w:rPr>
        <w:t xml:space="preserve"> është </w:t>
      </w:r>
      <w:r w:rsidRPr="00EC1C81">
        <w:rPr>
          <w:rFonts w:ascii="Times New Roman" w:eastAsiaTheme="majorEastAsia" w:hAnsi="Times New Roman" w:cs="Times New Roman"/>
          <w:iCs/>
          <w:sz w:val="24"/>
          <w:szCs w:val="24"/>
        </w:rPr>
        <w:t>zhvilluar nga data 17 qershor deri në 12 korrik 2024. Tema e</w:t>
      </w:r>
      <w:r w:rsidR="00EC1C81">
        <w:rPr>
          <w:rFonts w:ascii="Times New Roman" w:eastAsiaTheme="majorEastAsia" w:hAnsi="Times New Roman" w:cs="Times New Roman"/>
          <w:iCs/>
          <w:sz w:val="24"/>
          <w:szCs w:val="24"/>
        </w:rPr>
        <w:t xml:space="preserve"> </w:t>
      </w:r>
      <w:r w:rsidRPr="00EC1C81">
        <w:rPr>
          <w:rFonts w:ascii="Times New Roman" w:eastAsiaTheme="majorEastAsia" w:hAnsi="Times New Roman" w:cs="Times New Roman"/>
          <w:iCs/>
          <w:sz w:val="24"/>
          <w:szCs w:val="24"/>
        </w:rPr>
        <w:t>trajnimit ishin metodat e vlerësimit të politikave fiskale dhe monetare, ndikimi i tyre në inflacion dhe papunësi, si dhe rëndësia e rregullimit të tregjeve financiare.</w:t>
      </w:r>
    </w:p>
    <w:p w14:paraId="528BEA24" w14:textId="384FF9B6" w:rsidR="00222F80" w:rsidRPr="00EC1C81" w:rsidRDefault="00222F80" w:rsidP="00222F80">
      <w:pPr>
        <w:numPr>
          <w:ilvl w:val="0"/>
          <w:numId w:val="10"/>
        </w:numPr>
        <w:spacing w:after="0" w:line="276" w:lineRule="auto"/>
        <w:jc w:val="both"/>
        <w:rPr>
          <w:rFonts w:ascii="Times New Roman" w:eastAsia="Times New Roman" w:hAnsi="Times New Roman" w:cs="Times New Roman"/>
          <w:iCs/>
          <w:sz w:val="24"/>
          <w:szCs w:val="24"/>
        </w:rPr>
      </w:pPr>
      <w:r w:rsidRPr="00EC1C81">
        <w:rPr>
          <w:rFonts w:ascii="Times New Roman" w:eastAsia="Times New Roman" w:hAnsi="Times New Roman" w:cs="Times New Roman"/>
          <w:iCs/>
          <w:sz w:val="24"/>
          <w:szCs w:val="24"/>
        </w:rPr>
        <w:t>''Government Debt and Risk Management on Retail Borrowing”, zhvilluar në datat 8-9 nëntor 2024. Fokusi i takimit ishte mbi zhvillimin, sukseset dhe sfidat e programeve të huamarrjes në nivel global, duke theksuar rëndësinë e tyre në strategjitë e menaxhimit të borxhit dhe përdorimin e teknologjisë së re për optimizimin e proceseve.</w:t>
      </w:r>
    </w:p>
    <w:p w14:paraId="37445400" w14:textId="288DBFE3" w:rsidR="00222F80" w:rsidRPr="007C78D1" w:rsidRDefault="00222F80" w:rsidP="00222F80">
      <w:pPr>
        <w:numPr>
          <w:ilvl w:val="0"/>
          <w:numId w:val="10"/>
        </w:numPr>
        <w:spacing w:after="0" w:line="276" w:lineRule="auto"/>
        <w:jc w:val="both"/>
        <w:rPr>
          <w:rFonts w:ascii="Times New Roman" w:eastAsia="Times New Roman" w:hAnsi="Times New Roman" w:cs="Times New Roman"/>
          <w:sz w:val="24"/>
          <w:szCs w:val="24"/>
        </w:rPr>
      </w:pPr>
      <w:r w:rsidRPr="00EC1C81">
        <w:rPr>
          <w:rFonts w:ascii="Times New Roman" w:eastAsia="Times New Roman" w:hAnsi="Times New Roman" w:cs="Times New Roman"/>
          <w:iCs/>
          <w:sz w:val="24"/>
          <w:szCs w:val="24"/>
        </w:rPr>
        <w:t>''Debt Management, Debt Reporting, and Investor Relations”</w:t>
      </w:r>
      <w:r w:rsidR="003566EE" w:rsidRPr="00EC1C81">
        <w:rPr>
          <w:rFonts w:ascii="Times New Roman" w:eastAsia="Times New Roman" w:hAnsi="Times New Roman" w:cs="Times New Roman"/>
          <w:iCs/>
          <w:sz w:val="24"/>
          <w:szCs w:val="24"/>
        </w:rPr>
        <w:t xml:space="preserve">, </w:t>
      </w:r>
      <w:r w:rsidRPr="00EC1C81">
        <w:rPr>
          <w:rFonts w:ascii="Times New Roman" w:eastAsia="Times New Roman" w:hAnsi="Times New Roman" w:cs="Times New Roman"/>
          <w:iCs/>
          <w:sz w:val="24"/>
          <w:szCs w:val="24"/>
        </w:rPr>
        <w:t xml:space="preserve">trajnim online zhvilluar në 13 nëntor 2024. </w:t>
      </w:r>
      <w:r w:rsidR="003566EE" w:rsidRPr="00EC1C81">
        <w:rPr>
          <w:rFonts w:ascii="Times New Roman" w:eastAsia="Times New Roman" w:hAnsi="Times New Roman" w:cs="Times New Roman"/>
          <w:iCs/>
          <w:sz w:val="24"/>
          <w:szCs w:val="24"/>
        </w:rPr>
        <w:t xml:space="preserve">Tema e trajnimit ishte </w:t>
      </w:r>
      <w:r w:rsidRPr="00EC1C81">
        <w:rPr>
          <w:rFonts w:ascii="Times New Roman" w:eastAsia="Times New Roman" w:hAnsi="Times New Roman" w:cs="Times New Roman"/>
          <w:iCs/>
          <w:sz w:val="24"/>
          <w:szCs w:val="24"/>
        </w:rPr>
        <w:t>rëndësia e marrëdhënieve me investitorët dhe raportimi</w:t>
      </w:r>
      <w:r w:rsidR="00BA1A7C">
        <w:rPr>
          <w:rFonts w:ascii="Times New Roman" w:eastAsia="Times New Roman" w:hAnsi="Times New Roman" w:cs="Times New Roman"/>
          <w:iCs/>
          <w:sz w:val="24"/>
          <w:szCs w:val="24"/>
        </w:rPr>
        <w:t xml:space="preserve"> i</w:t>
      </w:r>
      <w:r w:rsidRPr="00EC1C81">
        <w:rPr>
          <w:rFonts w:ascii="Times New Roman" w:eastAsia="Times New Roman" w:hAnsi="Times New Roman" w:cs="Times New Roman"/>
          <w:iCs/>
          <w:sz w:val="24"/>
          <w:szCs w:val="24"/>
        </w:rPr>
        <w:t xml:space="preserve"> borxhit, përdorimi </w:t>
      </w:r>
      <w:r w:rsidR="00BA1A7C">
        <w:rPr>
          <w:rFonts w:ascii="Times New Roman" w:eastAsia="Times New Roman" w:hAnsi="Times New Roman" w:cs="Times New Roman"/>
          <w:iCs/>
          <w:sz w:val="24"/>
          <w:szCs w:val="24"/>
        </w:rPr>
        <w:t xml:space="preserve">i </w:t>
      </w:r>
      <w:r w:rsidRPr="00EC1C81">
        <w:rPr>
          <w:rFonts w:ascii="Times New Roman" w:eastAsia="Times New Roman" w:hAnsi="Times New Roman" w:cs="Times New Roman"/>
          <w:iCs/>
          <w:sz w:val="24"/>
          <w:szCs w:val="24"/>
        </w:rPr>
        <w:t xml:space="preserve">treguesve të kostos dhe riskut, </w:t>
      </w:r>
      <w:r w:rsidR="003566EE" w:rsidRPr="00EC1C81">
        <w:rPr>
          <w:rFonts w:ascii="Times New Roman" w:eastAsia="Times New Roman" w:hAnsi="Times New Roman" w:cs="Times New Roman"/>
          <w:iCs/>
          <w:sz w:val="24"/>
          <w:szCs w:val="24"/>
        </w:rPr>
        <w:t xml:space="preserve">si </w:t>
      </w:r>
      <w:r w:rsidRPr="00EC1C81">
        <w:rPr>
          <w:rFonts w:ascii="Times New Roman" w:eastAsia="Times New Roman" w:hAnsi="Times New Roman" w:cs="Times New Roman"/>
          <w:iCs/>
          <w:sz w:val="24"/>
          <w:szCs w:val="24"/>
        </w:rPr>
        <w:t>dhe përgatitj</w:t>
      </w:r>
      <w:r w:rsidR="003566EE" w:rsidRPr="00EC1C81">
        <w:rPr>
          <w:rFonts w:ascii="Times New Roman" w:eastAsia="Times New Roman" w:hAnsi="Times New Roman" w:cs="Times New Roman"/>
          <w:iCs/>
          <w:sz w:val="24"/>
          <w:szCs w:val="24"/>
        </w:rPr>
        <w:t>a</w:t>
      </w:r>
      <w:r w:rsidRPr="00EC1C81">
        <w:rPr>
          <w:rFonts w:ascii="Times New Roman" w:eastAsia="Times New Roman" w:hAnsi="Times New Roman" w:cs="Times New Roman"/>
          <w:iCs/>
          <w:sz w:val="24"/>
          <w:szCs w:val="24"/>
        </w:rPr>
        <w:t xml:space="preserve"> e botimeve kyçe </w:t>
      </w:r>
      <w:r w:rsidR="003566EE" w:rsidRPr="00EC1C81">
        <w:rPr>
          <w:rFonts w:ascii="Times New Roman" w:eastAsia="Times New Roman" w:hAnsi="Times New Roman" w:cs="Times New Roman"/>
          <w:iCs/>
          <w:sz w:val="24"/>
          <w:szCs w:val="24"/>
        </w:rPr>
        <w:t>t</w:t>
      </w:r>
      <w:r w:rsidRPr="00EC1C81">
        <w:rPr>
          <w:rFonts w:ascii="Times New Roman" w:eastAsia="Times New Roman" w:hAnsi="Times New Roman" w:cs="Times New Roman"/>
          <w:iCs/>
          <w:sz w:val="24"/>
          <w:szCs w:val="24"/>
        </w:rPr>
        <w:t>ë menaxhimi</w:t>
      </w:r>
      <w:r w:rsidR="003566EE" w:rsidRPr="00EC1C81">
        <w:rPr>
          <w:rFonts w:ascii="Times New Roman" w:eastAsia="Times New Roman" w:hAnsi="Times New Roman" w:cs="Times New Roman"/>
          <w:iCs/>
          <w:sz w:val="24"/>
          <w:szCs w:val="24"/>
        </w:rPr>
        <w:t>t</w:t>
      </w:r>
      <w:r w:rsidRPr="00EC1C81">
        <w:rPr>
          <w:rFonts w:ascii="Times New Roman" w:eastAsia="Times New Roman" w:hAnsi="Times New Roman" w:cs="Times New Roman"/>
          <w:iCs/>
          <w:sz w:val="24"/>
          <w:szCs w:val="24"/>
        </w:rPr>
        <w:t xml:space="preserve"> efektiv të borxhit</w:t>
      </w:r>
      <w:r w:rsidRPr="007C78D1">
        <w:rPr>
          <w:rFonts w:ascii="Times New Roman" w:eastAsia="Times New Roman" w:hAnsi="Times New Roman" w:cs="Times New Roman"/>
          <w:sz w:val="24"/>
          <w:szCs w:val="24"/>
        </w:rPr>
        <w:t>.</w:t>
      </w:r>
    </w:p>
    <w:p w14:paraId="660CB9C7" w14:textId="77777777" w:rsidR="00222F80" w:rsidRPr="00BA1A7C" w:rsidRDefault="00222F80" w:rsidP="00222F80">
      <w:pPr>
        <w:spacing w:after="0" w:line="276" w:lineRule="auto"/>
        <w:jc w:val="both"/>
        <w:rPr>
          <w:rFonts w:ascii="Times New Roman" w:eastAsia="Times New Roman" w:hAnsi="Times New Roman" w:cs="Times New Roman"/>
          <w:sz w:val="28"/>
          <w:szCs w:val="28"/>
        </w:rPr>
      </w:pPr>
    </w:p>
    <w:p w14:paraId="65C0FACD" w14:textId="4222CC9C" w:rsidR="0063193C" w:rsidRDefault="00CC6EB3" w:rsidP="00695FC2">
      <w:pPr>
        <w:spacing w:after="200" w:line="276" w:lineRule="auto"/>
        <w:contextualSpacing/>
        <w:jc w:val="both"/>
        <w:rPr>
          <w:rFonts w:ascii="Times New Roman" w:eastAsia="SimSun" w:hAnsi="Times New Roman" w:cs="Times New Roman"/>
          <w:sz w:val="24"/>
          <w:szCs w:val="24"/>
          <w:lang w:val="sq-AL"/>
        </w:rPr>
      </w:pPr>
      <w:r w:rsidRPr="0063193C">
        <w:rPr>
          <w:rFonts w:ascii="Times New Roman" w:eastAsia="Times New Roman" w:hAnsi="Times New Roman" w:cs="Times New Roman"/>
          <w:sz w:val="24"/>
          <w:szCs w:val="24"/>
          <w:lang w:val="sq-AL" w:eastAsia="en-GB"/>
        </w:rPr>
        <w:t>Është realizuar edhe masa nr.7 e këtij objektivi e cila lidhej me plotësimin e vendeve vakante në Drejtorinë e  Avokatit të Tatimpaguesit, si dhe z</w:t>
      </w:r>
      <w:r w:rsidRPr="0063193C">
        <w:rPr>
          <w:rFonts w:ascii="Times New Roman" w:eastAsia="Times New Roman" w:hAnsi="Times New Roman" w:cs="Times New Roman"/>
          <w:sz w:val="24"/>
          <w:szCs w:val="24"/>
          <w:lang w:eastAsia="en-GB"/>
        </w:rPr>
        <w:t>hvillimin e trajnimeve të vazhdueshme</w:t>
      </w:r>
      <w:r w:rsidR="00695FC2" w:rsidRPr="0063193C">
        <w:rPr>
          <w:rFonts w:ascii="Times New Roman" w:eastAsia="Times New Roman" w:hAnsi="Times New Roman" w:cs="Times New Roman"/>
          <w:sz w:val="24"/>
          <w:szCs w:val="24"/>
          <w:lang w:eastAsia="en-GB"/>
        </w:rPr>
        <w:t xml:space="preserve"> nga kjo drejtori</w:t>
      </w:r>
      <w:r w:rsidRPr="0063193C">
        <w:rPr>
          <w:rFonts w:ascii="Times New Roman" w:eastAsia="Times New Roman" w:hAnsi="Times New Roman" w:cs="Times New Roman"/>
          <w:sz w:val="24"/>
          <w:szCs w:val="24"/>
          <w:lang w:eastAsia="en-GB"/>
        </w:rPr>
        <w:t xml:space="preserve">. </w:t>
      </w:r>
      <w:r w:rsidR="0063193C" w:rsidRPr="0063193C">
        <w:rPr>
          <w:rFonts w:ascii="Times New Roman" w:eastAsia="Times New Roman" w:hAnsi="Times New Roman" w:cs="Times New Roman"/>
          <w:sz w:val="24"/>
          <w:szCs w:val="24"/>
          <w:lang w:eastAsia="en-GB"/>
        </w:rPr>
        <w:t>N</w:t>
      </w:r>
      <w:r w:rsidR="00695FC2" w:rsidRPr="0063193C">
        <w:rPr>
          <w:rFonts w:ascii="Times New Roman" w:eastAsia="Times New Roman" w:hAnsi="Times New Roman" w:cs="Times New Roman"/>
          <w:sz w:val="24"/>
          <w:szCs w:val="24"/>
          <w:lang w:eastAsia="en-GB"/>
        </w:rPr>
        <w:t>ë gjashtëmujorin e dytë të vitit 2024, në Drejtorinë e Avokatit të Tatimpaguesit është plotësuar 1 vend vakant në pozicionin specialist, në bashkëpunim me Drejtorinë e Burimeve Njerëzore si dhe Departamentin e Administratës Publike. Linku në të cilin është publikuar</w:t>
      </w:r>
      <w:r w:rsidR="00695FC2" w:rsidRPr="0063193C">
        <w:rPr>
          <w:rFonts w:ascii="Times New Roman" w:eastAsia="SimSun" w:hAnsi="Times New Roman" w:cs="Times New Roman"/>
          <w:sz w:val="24"/>
          <w:szCs w:val="24"/>
          <w:lang w:val="sq-AL"/>
        </w:rPr>
        <w:t xml:space="preserve"> çdo njoftim duke filluar nga shpallja e vendit vakant deri në fazën përfundimtare të shpalljes së kandidatit fitues është si vijon: </w:t>
      </w:r>
    </w:p>
    <w:p w14:paraId="38F31C3D" w14:textId="3762710D" w:rsidR="00695FC2" w:rsidRDefault="00695FC2" w:rsidP="00695FC2">
      <w:pPr>
        <w:spacing w:after="200" w:line="276" w:lineRule="auto"/>
        <w:contextualSpacing/>
        <w:jc w:val="both"/>
        <w:rPr>
          <w:rFonts w:ascii="Times New Roman" w:eastAsia="SimSun" w:hAnsi="Times New Roman" w:cs="Times New Roman"/>
          <w:sz w:val="24"/>
          <w:szCs w:val="24"/>
          <w:lang w:val="sq-AL"/>
        </w:rPr>
      </w:pPr>
      <w:r w:rsidRPr="0063193C">
        <w:rPr>
          <w:rFonts w:ascii="Times New Roman" w:eastAsia="SimSun" w:hAnsi="Times New Roman" w:cs="Times New Roman"/>
          <w:sz w:val="24"/>
          <w:szCs w:val="24"/>
          <w:lang w:val="sq-AL"/>
        </w:rPr>
        <w:t xml:space="preserve"> </w:t>
      </w:r>
      <w:hyperlink r:id="rId22" w:history="1">
        <w:r w:rsidR="0063193C" w:rsidRPr="00E320A5">
          <w:rPr>
            <w:rStyle w:val="Hyperlink"/>
            <w:rFonts w:ascii="Times New Roman" w:eastAsiaTheme="majorEastAsia" w:hAnsi="Times New Roman" w:cs="Times New Roman"/>
            <w:sz w:val="24"/>
            <w:szCs w:val="24"/>
            <w:lang w:val="sq-AL"/>
          </w:rPr>
          <w:t>https://rekrutimi.administrata.al/shpalljet</w:t>
        </w:r>
      </w:hyperlink>
      <w:r w:rsidR="0063193C">
        <w:rPr>
          <w:rFonts w:ascii="Times New Roman" w:eastAsiaTheme="majorEastAsia" w:hAnsi="Times New Roman" w:cs="Times New Roman"/>
          <w:color w:val="467886" w:themeColor="hyperlink"/>
          <w:sz w:val="24"/>
          <w:szCs w:val="24"/>
          <w:u w:val="single"/>
          <w:lang w:val="sq-AL"/>
        </w:rPr>
        <w:t xml:space="preserve">   </w:t>
      </w:r>
      <w:r w:rsidR="0063193C" w:rsidRPr="00CE544F">
        <w:rPr>
          <w:rFonts w:ascii="Times New Roman" w:eastAsiaTheme="majorEastAsia" w:hAnsi="Times New Roman" w:cs="Times New Roman"/>
          <w:sz w:val="24"/>
          <w:szCs w:val="24"/>
          <w:u w:val="single"/>
          <w:lang w:val="sq-AL"/>
        </w:rPr>
        <w:t xml:space="preserve"> </w:t>
      </w:r>
    </w:p>
    <w:p w14:paraId="1E90F4BB" w14:textId="77777777" w:rsidR="0063193C" w:rsidRPr="000E5901" w:rsidRDefault="0063193C" w:rsidP="00695FC2">
      <w:pPr>
        <w:spacing w:after="200" w:line="276" w:lineRule="auto"/>
        <w:contextualSpacing/>
        <w:jc w:val="both"/>
        <w:rPr>
          <w:rFonts w:ascii="Times New Roman" w:eastAsia="Times New Roman" w:hAnsi="Times New Roman" w:cs="Times New Roman"/>
          <w:sz w:val="24"/>
          <w:szCs w:val="24"/>
          <w:lang w:val="sq-AL" w:eastAsia="en-GB"/>
        </w:rPr>
      </w:pPr>
    </w:p>
    <w:p w14:paraId="79038A24" w14:textId="77D83A2F" w:rsidR="00695FC2" w:rsidRDefault="00695FC2" w:rsidP="00BA1A7C">
      <w:pPr>
        <w:spacing w:after="200" w:line="276" w:lineRule="auto"/>
        <w:contextualSpacing/>
        <w:jc w:val="both"/>
        <w:rPr>
          <w:rFonts w:ascii="Times New Roman" w:eastAsia="Times New Roman" w:hAnsi="Times New Roman" w:cs="Times New Roman"/>
          <w:sz w:val="24"/>
          <w:szCs w:val="24"/>
          <w:lang w:val="sq-AL" w:eastAsia="en-GB"/>
        </w:rPr>
      </w:pPr>
      <w:r w:rsidRPr="000E5901">
        <w:rPr>
          <w:rFonts w:ascii="Times New Roman" w:eastAsia="Times New Roman" w:hAnsi="Times New Roman" w:cs="Times New Roman"/>
          <w:sz w:val="24"/>
          <w:szCs w:val="24"/>
          <w:lang w:val="sq-AL" w:eastAsia="en-GB"/>
        </w:rPr>
        <w:t xml:space="preserve">Gjithashtu </w:t>
      </w:r>
      <w:r w:rsidR="00CC6EB3" w:rsidRPr="000E5901">
        <w:rPr>
          <w:rFonts w:ascii="Times New Roman" w:eastAsia="Times New Roman" w:hAnsi="Times New Roman" w:cs="Times New Roman"/>
          <w:sz w:val="24"/>
          <w:szCs w:val="24"/>
          <w:lang w:val="sq-AL" w:eastAsia="en-GB"/>
        </w:rPr>
        <w:t>gjatë vitit 2024, Drejtoria e Avokatit të Tatimpaguesit n</w:t>
      </w:r>
      <w:r w:rsidRPr="000E5901">
        <w:rPr>
          <w:rFonts w:ascii="Times New Roman" w:eastAsia="Times New Roman" w:hAnsi="Times New Roman" w:cs="Times New Roman"/>
          <w:sz w:val="24"/>
          <w:szCs w:val="24"/>
          <w:lang w:val="sq-AL" w:eastAsia="en-GB"/>
        </w:rPr>
        <w:t>ë</w:t>
      </w:r>
      <w:r w:rsidR="00CC6EB3" w:rsidRPr="000E5901">
        <w:rPr>
          <w:rFonts w:ascii="Times New Roman" w:eastAsia="Times New Roman" w:hAnsi="Times New Roman" w:cs="Times New Roman"/>
          <w:sz w:val="24"/>
          <w:szCs w:val="24"/>
          <w:lang w:val="sq-AL" w:eastAsia="en-GB"/>
        </w:rPr>
        <w:t xml:space="preserve"> bashkëpunim me Drejtorin</w:t>
      </w:r>
      <w:r w:rsidRPr="000E5901">
        <w:rPr>
          <w:rFonts w:ascii="Times New Roman" w:eastAsia="Times New Roman" w:hAnsi="Times New Roman" w:cs="Times New Roman"/>
          <w:sz w:val="24"/>
          <w:szCs w:val="24"/>
          <w:lang w:val="sq-AL" w:eastAsia="en-GB"/>
        </w:rPr>
        <w:t>ë</w:t>
      </w:r>
      <w:r w:rsidR="00CC6EB3" w:rsidRPr="000E5901">
        <w:rPr>
          <w:rFonts w:ascii="Times New Roman" w:eastAsia="Times New Roman" w:hAnsi="Times New Roman" w:cs="Times New Roman"/>
          <w:sz w:val="24"/>
          <w:szCs w:val="24"/>
          <w:lang w:val="sq-AL" w:eastAsia="en-GB"/>
        </w:rPr>
        <w:t xml:space="preserve"> e Burimeve Njerëzore</w:t>
      </w:r>
      <w:r w:rsidRPr="000E5901">
        <w:rPr>
          <w:rFonts w:ascii="Times New Roman" w:eastAsia="Times New Roman" w:hAnsi="Times New Roman" w:cs="Times New Roman"/>
          <w:sz w:val="24"/>
          <w:szCs w:val="24"/>
          <w:lang w:val="sq-AL" w:eastAsia="en-GB"/>
        </w:rPr>
        <w:t xml:space="preserve"> ka zhvilluar 2 trajnime me temë ligjin nr.29/2023 “Për tatimin mbi të ardhurat”, i ndryshuar. </w:t>
      </w:r>
    </w:p>
    <w:p w14:paraId="69E9FD5F" w14:textId="77777777" w:rsidR="00BA1A7C" w:rsidRDefault="00BA1A7C" w:rsidP="00BA1A7C">
      <w:pPr>
        <w:spacing w:after="200" w:line="276" w:lineRule="auto"/>
        <w:contextualSpacing/>
        <w:jc w:val="both"/>
        <w:rPr>
          <w:rFonts w:ascii="Times New Roman" w:eastAsia="Times New Roman" w:hAnsi="Times New Roman" w:cs="Times New Roman"/>
          <w:sz w:val="24"/>
          <w:szCs w:val="24"/>
          <w:lang w:val="sq-AL" w:eastAsia="en-GB"/>
        </w:rPr>
      </w:pPr>
    </w:p>
    <w:p w14:paraId="5A1E465C" w14:textId="77777777" w:rsidR="00BA1A7C" w:rsidRPr="00BA1A7C" w:rsidRDefault="00BA1A7C" w:rsidP="00222F80">
      <w:pPr>
        <w:spacing w:after="0" w:line="276" w:lineRule="auto"/>
        <w:jc w:val="both"/>
        <w:rPr>
          <w:rFonts w:ascii="Times New Roman" w:eastAsia="Times New Roman" w:hAnsi="Times New Roman" w:cs="Times New Roman"/>
          <w:sz w:val="2"/>
          <w:szCs w:val="2"/>
          <w:lang w:val="sq-AL"/>
        </w:rPr>
      </w:pPr>
    </w:p>
    <w:p w14:paraId="2A30ACBC" w14:textId="77777777" w:rsidR="0063193C" w:rsidRPr="00ED25CF" w:rsidRDefault="00C8275C" w:rsidP="0063193C">
      <w:pPr>
        <w:spacing w:after="0" w:line="276" w:lineRule="auto"/>
        <w:jc w:val="both"/>
        <w:rPr>
          <w:rFonts w:ascii="Times New Roman" w:eastAsiaTheme="majorEastAsia" w:hAnsi="Times New Roman" w:cs="Times New Roman"/>
          <w:sz w:val="24"/>
          <w:szCs w:val="24"/>
          <w:lang w:val="sq-AL"/>
        </w:rPr>
      </w:pPr>
      <w:r w:rsidRPr="00C8275C">
        <w:rPr>
          <w:rFonts w:ascii="Times New Roman" w:eastAsia="Times New Roman" w:hAnsi="Times New Roman" w:cs="Times New Roman"/>
          <w:bCs/>
          <w:sz w:val="24"/>
          <w:szCs w:val="24"/>
          <w:lang w:val="sv-SE"/>
        </w:rPr>
        <w:t xml:space="preserve">Lidhur me masën nr.8 të këtij objektivi, </w:t>
      </w:r>
      <w:r w:rsidRPr="00381905">
        <w:rPr>
          <w:rFonts w:ascii="Times New Roman" w:eastAsiaTheme="majorEastAsia" w:hAnsi="Times New Roman" w:cs="Times New Roman"/>
          <w:sz w:val="24"/>
          <w:szCs w:val="24"/>
          <w:lang w:val="sq-AL"/>
        </w:rPr>
        <w:t>Drejtoria e Menaxhimit të Burimeve Njerëzore</w:t>
      </w:r>
      <w:r w:rsidRPr="00C8275C">
        <w:rPr>
          <w:rFonts w:ascii="Times New Roman" w:eastAsiaTheme="majorEastAsia" w:hAnsi="Times New Roman" w:cs="Times New Roman"/>
          <w:sz w:val="24"/>
          <w:szCs w:val="24"/>
          <w:lang w:val="sq-AL"/>
        </w:rPr>
        <w:t xml:space="preserve"> në bashkëpunim me Departamentin e Administratës Publike ka realizuar procedurat e konkurimit për plotësimin e pozicioneve vakante të Ministrisë së Financave</w:t>
      </w:r>
      <w:r w:rsidR="00DA6ED5">
        <w:rPr>
          <w:rFonts w:ascii="Times New Roman" w:eastAsiaTheme="majorEastAsia" w:hAnsi="Times New Roman" w:cs="Times New Roman"/>
          <w:sz w:val="24"/>
          <w:szCs w:val="24"/>
          <w:lang w:val="sq-AL"/>
        </w:rPr>
        <w:t xml:space="preserve">, ku gjatë kësaj periudhe raportimi rezulton </w:t>
      </w:r>
      <w:r w:rsidR="00DA6ED5" w:rsidRPr="00F45E0F">
        <w:rPr>
          <w:rFonts w:ascii="Times New Roman" w:eastAsiaTheme="majorEastAsia" w:hAnsi="Times New Roman" w:cs="Times New Roman"/>
          <w:sz w:val="24"/>
          <w:szCs w:val="24"/>
          <w:lang w:val="sq-AL"/>
        </w:rPr>
        <w:t xml:space="preserve">se janë plotësuar </w:t>
      </w:r>
      <w:r w:rsidR="003566EE" w:rsidRPr="0063193C">
        <w:rPr>
          <w:rFonts w:ascii="Times New Roman" w:eastAsiaTheme="majorEastAsia" w:hAnsi="Times New Roman" w:cs="Times New Roman"/>
          <w:sz w:val="24"/>
          <w:szCs w:val="24"/>
          <w:lang w:val="sq-AL"/>
        </w:rPr>
        <w:t>74</w:t>
      </w:r>
      <w:r w:rsidR="0007166E" w:rsidRPr="0063193C">
        <w:rPr>
          <w:rFonts w:ascii="Times New Roman" w:eastAsiaTheme="majorEastAsia" w:hAnsi="Times New Roman" w:cs="Times New Roman"/>
          <w:sz w:val="24"/>
          <w:szCs w:val="24"/>
          <w:lang w:val="sq-AL"/>
        </w:rPr>
        <w:t xml:space="preserve"> pozicione</w:t>
      </w:r>
      <w:r w:rsidR="0007166E">
        <w:rPr>
          <w:rFonts w:ascii="Times New Roman" w:eastAsiaTheme="majorEastAsia" w:hAnsi="Times New Roman" w:cs="Times New Roman"/>
          <w:sz w:val="24"/>
          <w:szCs w:val="24"/>
          <w:lang w:val="sq-AL"/>
        </w:rPr>
        <w:t xml:space="preserve"> pune </w:t>
      </w:r>
      <w:r w:rsidR="00F45E0F" w:rsidRPr="00F45E0F">
        <w:rPr>
          <w:rFonts w:ascii="Times New Roman" w:eastAsiaTheme="majorEastAsia" w:hAnsi="Times New Roman" w:cs="Times New Roman"/>
          <w:sz w:val="24"/>
          <w:szCs w:val="24"/>
          <w:lang w:val="sq-AL"/>
        </w:rPr>
        <w:t>vakante</w:t>
      </w:r>
      <w:r w:rsidR="00ED25CF" w:rsidRPr="00F45E0F">
        <w:rPr>
          <w:rFonts w:ascii="Times New Roman" w:eastAsiaTheme="majorEastAsia" w:hAnsi="Times New Roman" w:cs="Times New Roman"/>
          <w:sz w:val="24"/>
          <w:szCs w:val="24"/>
          <w:lang w:val="sq-AL"/>
        </w:rPr>
        <w:t>.</w:t>
      </w:r>
      <w:r w:rsidR="00ED25CF">
        <w:rPr>
          <w:rFonts w:ascii="Times New Roman" w:eastAsiaTheme="majorEastAsia" w:hAnsi="Times New Roman" w:cs="Times New Roman"/>
          <w:sz w:val="24"/>
          <w:szCs w:val="24"/>
          <w:lang w:val="sq-AL"/>
        </w:rPr>
        <w:t xml:space="preserve"> </w:t>
      </w:r>
      <w:r w:rsidRPr="00C8275C">
        <w:rPr>
          <w:rFonts w:ascii="Times New Roman" w:eastAsia="SimSun" w:hAnsi="Times New Roman" w:cs="Times New Roman"/>
          <w:sz w:val="24"/>
          <w:szCs w:val="24"/>
          <w:lang w:val="sq-AL"/>
        </w:rPr>
        <w:t xml:space="preserve">Në faqen zyrtare të </w:t>
      </w:r>
      <w:r w:rsidRPr="00C8275C">
        <w:rPr>
          <w:rFonts w:ascii="Times New Roman" w:eastAsia="Times New Roman" w:hAnsi="Times New Roman" w:cs="Times New Roman"/>
          <w:sz w:val="24"/>
          <w:szCs w:val="24"/>
          <w:lang w:val="sq-AL"/>
        </w:rPr>
        <w:lastRenderedPageBreak/>
        <w:t>Departamentit të Administratës Publike</w:t>
      </w:r>
      <w:r w:rsidRPr="00C8275C">
        <w:rPr>
          <w:rFonts w:ascii="Times New Roman" w:eastAsia="SimSun" w:hAnsi="Times New Roman" w:cs="Times New Roman"/>
          <w:sz w:val="24"/>
          <w:szCs w:val="24"/>
          <w:lang w:val="sq-AL"/>
        </w:rPr>
        <w:t xml:space="preserve"> </w:t>
      </w:r>
      <w:r w:rsidRPr="00C8275C">
        <w:rPr>
          <w:rFonts w:ascii="Times New Roman" w:eastAsia="Times New Roman" w:hAnsi="Times New Roman" w:cs="Times New Roman"/>
          <w:sz w:val="24"/>
          <w:szCs w:val="24"/>
          <w:lang w:val="sq-AL"/>
        </w:rPr>
        <w:t>janë publikuar në mënyrë transparente njoftimet duke filluar nga thirrja për shpalljen e vendeve vakan</w:t>
      </w:r>
      <w:r w:rsidR="00ED25CF">
        <w:rPr>
          <w:rFonts w:ascii="Times New Roman" w:eastAsia="Times New Roman" w:hAnsi="Times New Roman" w:cs="Times New Roman"/>
          <w:sz w:val="24"/>
          <w:szCs w:val="24"/>
          <w:lang w:val="sq-AL"/>
        </w:rPr>
        <w:t>t</w:t>
      </w:r>
      <w:r w:rsidRPr="00C8275C">
        <w:rPr>
          <w:rFonts w:ascii="Times New Roman" w:eastAsia="Times New Roman" w:hAnsi="Times New Roman" w:cs="Times New Roman"/>
          <w:sz w:val="24"/>
          <w:szCs w:val="24"/>
          <w:lang w:val="sq-AL"/>
        </w:rPr>
        <w:t>e, ku janë evidentuar kriteret që duhet të përmbushen nga kandidatët aplikues, dokumentacioni dhe afati dorëzimit, si në rastin e ngritjes në detyrë, lëvizjes paralele ashtu edhe pranimit në shërbimin civil</w:t>
      </w:r>
      <w:r w:rsidRPr="00C8275C">
        <w:rPr>
          <w:rFonts w:ascii="Times New Roman" w:eastAsia="SimSun" w:hAnsi="Times New Roman" w:cs="Times New Roman"/>
          <w:sz w:val="24"/>
          <w:szCs w:val="24"/>
          <w:lang w:val="sq-AL"/>
        </w:rPr>
        <w:t xml:space="preserve">. Gjithashtu në këtë faqe është publikuar çdo njoftim lidhur me këto procedura deri në fazën përfundimtare të shpalljes së kandidatëve fitues. Linku në të cilin janë publikuar në mënyrë transparente të gjitha njoftimet që nga faza e parë </w:t>
      </w:r>
      <w:r w:rsidR="003566EE">
        <w:rPr>
          <w:rFonts w:ascii="Times New Roman" w:eastAsia="SimSun" w:hAnsi="Times New Roman" w:cs="Times New Roman"/>
          <w:sz w:val="24"/>
          <w:szCs w:val="24"/>
          <w:lang w:val="sq-AL"/>
        </w:rPr>
        <w:t>e</w:t>
      </w:r>
      <w:r w:rsidRPr="00C8275C">
        <w:rPr>
          <w:rFonts w:ascii="Times New Roman" w:eastAsia="SimSun" w:hAnsi="Times New Roman" w:cs="Times New Roman"/>
          <w:sz w:val="24"/>
          <w:szCs w:val="24"/>
          <w:lang w:val="sq-AL"/>
        </w:rPr>
        <w:t xml:space="preserve"> </w:t>
      </w:r>
      <w:r w:rsidRPr="00C8275C">
        <w:rPr>
          <w:rFonts w:ascii="Times New Roman" w:eastAsia="Times New Roman" w:hAnsi="Times New Roman" w:cs="Times New Roman"/>
          <w:sz w:val="24"/>
          <w:szCs w:val="24"/>
          <w:lang w:val="sq-AL"/>
        </w:rPr>
        <w:t>shpallje</w:t>
      </w:r>
      <w:r w:rsidR="003566EE">
        <w:rPr>
          <w:rFonts w:ascii="Times New Roman" w:eastAsia="Times New Roman" w:hAnsi="Times New Roman" w:cs="Times New Roman"/>
          <w:sz w:val="24"/>
          <w:szCs w:val="24"/>
          <w:lang w:val="sq-AL"/>
        </w:rPr>
        <w:t>s</w:t>
      </w:r>
      <w:r w:rsidRPr="00C8275C">
        <w:rPr>
          <w:rFonts w:ascii="Times New Roman" w:eastAsia="Times New Roman" w:hAnsi="Times New Roman" w:cs="Times New Roman"/>
          <w:sz w:val="24"/>
          <w:szCs w:val="24"/>
          <w:lang w:val="sq-AL"/>
        </w:rPr>
        <w:t xml:space="preserve"> </w:t>
      </w:r>
      <w:r w:rsidR="00D573E6">
        <w:rPr>
          <w:rFonts w:ascii="Times New Roman" w:eastAsia="Times New Roman" w:hAnsi="Times New Roman" w:cs="Times New Roman"/>
          <w:sz w:val="24"/>
          <w:szCs w:val="24"/>
          <w:lang w:val="sq-AL"/>
        </w:rPr>
        <w:t>së</w:t>
      </w:r>
      <w:r w:rsidRPr="00C8275C">
        <w:rPr>
          <w:rFonts w:ascii="Times New Roman" w:eastAsia="Times New Roman" w:hAnsi="Times New Roman" w:cs="Times New Roman"/>
          <w:sz w:val="24"/>
          <w:szCs w:val="24"/>
          <w:lang w:val="sq-AL"/>
        </w:rPr>
        <w:t xml:space="preserve"> procedurave deri në fazën përfundimtare është si vijon:</w:t>
      </w:r>
      <w:r w:rsidR="00F2517C">
        <w:rPr>
          <w:rFonts w:ascii="Times New Roman" w:eastAsia="Times New Roman" w:hAnsi="Times New Roman" w:cs="Times New Roman"/>
          <w:sz w:val="24"/>
          <w:szCs w:val="24"/>
          <w:lang w:val="sq-AL"/>
        </w:rPr>
        <w:t xml:space="preserve">  </w:t>
      </w:r>
      <w:hyperlink r:id="rId23" w:history="1">
        <w:r w:rsidR="0063193C" w:rsidRPr="00E320A5">
          <w:rPr>
            <w:rStyle w:val="Hyperlink"/>
            <w:rFonts w:ascii="Times New Roman" w:eastAsiaTheme="majorEastAsia" w:hAnsi="Times New Roman" w:cs="Times New Roman"/>
            <w:sz w:val="24"/>
            <w:szCs w:val="24"/>
            <w:lang w:val="sq-AL"/>
          </w:rPr>
          <w:t>https://rekrutimi.administrata.al/shpalljet</w:t>
        </w:r>
      </w:hyperlink>
      <w:r w:rsidR="0063193C">
        <w:rPr>
          <w:rFonts w:ascii="Times New Roman" w:eastAsiaTheme="majorEastAsia" w:hAnsi="Times New Roman" w:cs="Times New Roman"/>
          <w:color w:val="467886" w:themeColor="hyperlink"/>
          <w:sz w:val="24"/>
          <w:szCs w:val="24"/>
          <w:u w:val="single"/>
          <w:lang w:val="sq-AL"/>
        </w:rPr>
        <w:t xml:space="preserve">   </w:t>
      </w:r>
      <w:r w:rsidR="0063193C" w:rsidRPr="00CE544F">
        <w:rPr>
          <w:rFonts w:ascii="Times New Roman" w:eastAsiaTheme="majorEastAsia" w:hAnsi="Times New Roman" w:cs="Times New Roman"/>
          <w:sz w:val="24"/>
          <w:szCs w:val="24"/>
          <w:u w:val="single"/>
          <w:lang w:val="sq-AL"/>
        </w:rPr>
        <w:t xml:space="preserve"> </w:t>
      </w:r>
    </w:p>
    <w:p w14:paraId="039B5C00" w14:textId="77777777" w:rsidR="00C8275C" w:rsidRDefault="00C8275C" w:rsidP="00C8275C">
      <w:pPr>
        <w:spacing w:after="0" w:line="276" w:lineRule="auto"/>
        <w:jc w:val="both"/>
        <w:rPr>
          <w:rFonts w:ascii="Times New Roman" w:eastAsia="Times New Roman" w:hAnsi="Times New Roman" w:cs="Times New Roman"/>
          <w:sz w:val="24"/>
          <w:szCs w:val="24"/>
          <w:lang w:val="sq-AL"/>
        </w:rPr>
      </w:pPr>
    </w:p>
    <w:p w14:paraId="7EC4EB03" w14:textId="7E3748A6" w:rsidR="00C8275C" w:rsidRDefault="00D02088" w:rsidP="00C8275C">
      <w:pPr>
        <w:spacing w:after="0" w:line="276" w:lineRule="auto"/>
        <w:jc w:val="both"/>
        <w:rPr>
          <w:rFonts w:ascii="Times New Roman" w:eastAsia="Calibri" w:hAnsi="Times New Roman" w:cs="Times New Roman"/>
          <w:bCs/>
          <w:sz w:val="24"/>
          <w:szCs w:val="24"/>
          <w:lang w:val="sq-AL"/>
        </w:rPr>
      </w:pPr>
      <w:r w:rsidRPr="00CE544F">
        <w:rPr>
          <w:rFonts w:ascii="Times New Roman" w:eastAsia="Calibri" w:hAnsi="Times New Roman" w:cs="Times New Roman"/>
          <w:bCs/>
          <w:sz w:val="24"/>
          <w:szCs w:val="24"/>
          <w:lang w:val="sq-AL"/>
        </w:rPr>
        <w:t>Është realizuar masa nr.9 e planit</w:t>
      </w:r>
      <w:r>
        <w:rPr>
          <w:rFonts w:ascii="Times New Roman" w:eastAsia="Calibri" w:hAnsi="Times New Roman" w:cs="Times New Roman"/>
          <w:bCs/>
          <w:sz w:val="24"/>
          <w:szCs w:val="24"/>
          <w:lang w:val="sq-AL"/>
        </w:rPr>
        <w:t>, ku është plotësuar 1 vend që rezultonte vakan</w:t>
      </w:r>
      <w:r w:rsidR="00ED25CF">
        <w:rPr>
          <w:rFonts w:ascii="Times New Roman" w:eastAsia="Calibri" w:hAnsi="Times New Roman" w:cs="Times New Roman"/>
          <w:bCs/>
          <w:sz w:val="24"/>
          <w:szCs w:val="24"/>
          <w:lang w:val="sq-AL"/>
        </w:rPr>
        <w:t>t</w:t>
      </w:r>
      <w:r>
        <w:rPr>
          <w:rFonts w:ascii="Times New Roman" w:eastAsia="Calibri" w:hAnsi="Times New Roman" w:cs="Times New Roman"/>
          <w:bCs/>
          <w:sz w:val="24"/>
          <w:szCs w:val="24"/>
          <w:lang w:val="sq-AL"/>
        </w:rPr>
        <w:t xml:space="preserve"> në </w:t>
      </w:r>
      <w:r w:rsidRPr="00CE544F">
        <w:rPr>
          <w:rFonts w:ascii="Times New Roman" w:eastAsia="Calibri" w:hAnsi="Times New Roman" w:cs="Times New Roman"/>
          <w:bCs/>
          <w:sz w:val="24"/>
          <w:szCs w:val="24"/>
          <w:lang w:val="sq-AL"/>
        </w:rPr>
        <w:t>Drejtorinë e Apelimit Tatimor</w:t>
      </w:r>
      <w:r>
        <w:rPr>
          <w:rFonts w:ascii="Times New Roman" w:eastAsia="Calibri" w:hAnsi="Times New Roman" w:cs="Times New Roman"/>
          <w:bCs/>
          <w:sz w:val="24"/>
          <w:szCs w:val="24"/>
          <w:lang w:val="sq-AL"/>
        </w:rPr>
        <w:t xml:space="preserve">. </w:t>
      </w:r>
      <w:r w:rsidRPr="00C8275C">
        <w:rPr>
          <w:rFonts w:ascii="Times New Roman" w:eastAsia="Calibri" w:hAnsi="Times New Roman" w:cs="Times New Roman"/>
          <w:bCs/>
          <w:sz w:val="24"/>
          <w:szCs w:val="24"/>
          <w:lang w:val="sq-AL"/>
        </w:rPr>
        <w:t>Në faqen zyrtare të Departamentit të Administratës Publike është publ</w:t>
      </w:r>
      <w:r>
        <w:rPr>
          <w:rFonts w:ascii="Times New Roman" w:eastAsia="Calibri" w:hAnsi="Times New Roman" w:cs="Times New Roman"/>
          <w:bCs/>
          <w:sz w:val="24"/>
          <w:szCs w:val="24"/>
          <w:lang w:val="sq-AL"/>
        </w:rPr>
        <w:t>ik</w:t>
      </w:r>
      <w:r w:rsidRPr="00C8275C">
        <w:rPr>
          <w:rFonts w:ascii="Times New Roman" w:eastAsia="Calibri" w:hAnsi="Times New Roman" w:cs="Times New Roman"/>
          <w:bCs/>
          <w:sz w:val="24"/>
          <w:szCs w:val="24"/>
          <w:lang w:val="sq-AL"/>
        </w:rPr>
        <w:t>uar njoftimi për shpalljen e</w:t>
      </w:r>
      <w:r>
        <w:rPr>
          <w:rFonts w:ascii="Times New Roman" w:eastAsia="Calibri" w:hAnsi="Times New Roman" w:cs="Times New Roman"/>
          <w:bCs/>
          <w:sz w:val="24"/>
          <w:szCs w:val="24"/>
          <w:lang w:val="sq-AL"/>
        </w:rPr>
        <w:t xml:space="preserve"> </w:t>
      </w:r>
      <w:r w:rsidRPr="00C8275C">
        <w:rPr>
          <w:rFonts w:ascii="Times New Roman" w:eastAsia="Calibri" w:hAnsi="Times New Roman" w:cs="Times New Roman"/>
          <w:bCs/>
          <w:sz w:val="24"/>
          <w:szCs w:val="24"/>
          <w:lang w:val="sq-AL"/>
        </w:rPr>
        <w:t>vend</w:t>
      </w:r>
      <w:r>
        <w:rPr>
          <w:rFonts w:ascii="Times New Roman" w:eastAsia="Calibri" w:hAnsi="Times New Roman" w:cs="Times New Roman"/>
          <w:bCs/>
          <w:sz w:val="24"/>
          <w:szCs w:val="24"/>
          <w:lang w:val="sq-AL"/>
        </w:rPr>
        <w:t xml:space="preserve">it </w:t>
      </w:r>
      <w:r w:rsidRPr="00C8275C">
        <w:rPr>
          <w:rFonts w:ascii="Times New Roman" w:eastAsia="Calibri" w:hAnsi="Times New Roman" w:cs="Times New Roman"/>
          <w:bCs/>
          <w:sz w:val="24"/>
          <w:szCs w:val="24"/>
          <w:lang w:val="sq-AL"/>
        </w:rPr>
        <w:t>vakan</w:t>
      </w:r>
      <w:r w:rsidR="00ED25CF">
        <w:rPr>
          <w:rFonts w:ascii="Times New Roman" w:eastAsia="Calibri" w:hAnsi="Times New Roman" w:cs="Times New Roman"/>
          <w:bCs/>
          <w:sz w:val="24"/>
          <w:szCs w:val="24"/>
          <w:lang w:val="sq-AL"/>
        </w:rPr>
        <w:t>t</w:t>
      </w:r>
      <w:r>
        <w:rPr>
          <w:rFonts w:ascii="Times New Roman" w:eastAsia="Calibri" w:hAnsi="Times New Roman" w:cs="Times New Roman"/>
          <w:bCs/>
          <w:sz w:val="24"/>
          <w:szCs w:val="24"/>
          <w:lang w:val="sq-AL"/>
        </w:rPr>
        <w:t xml:space="preserve"> </w:t>
      </w:r>
      <w:r w:rsidRPr="0063193C">
        <w:rPr>
          <w:rFonts w:ascii="Times New Roman" w:eastAsia="Calibri" w:hAnsi="Times New Roman" w:cs="Times New Roman"/>
          <w:bCs/>
          <w:sz w:val="24"/>
          <w:szCs w:val="24"/>
          <w:lang w:val="sq-AL"/>
        </w:rPr>
        <w:t>“Specialist në Sektorin e Apelimit Tatimor”,</w:t>
      </w:r>
      <w:r>
        <w:rPr>
          <w:rStyle w:val="Strong"/>
          <w:lang w:val="sq-AL"/>
        </w:rPr>
        <w:t xml:space="preserve"> </w:t>
      </w:r>
      <w:r w:rsidRPr="00C8275C">
        <w:rPr>
          <w:rFonts w:ascii="Times New Roman" w:eastAsia="Calibri" w:hAnsi="Times New Roman" w:cs="Times New Roman"/>
          <w:bCs/>
          <w:sz w:val="24"/>
          <w:szCs w:val="24"/>
          <w:lang w:val="sq-AL"/>
        </w:rPr>
        <w:t>kriteret që duhet të plotësohe</w:t>
      </w:r>
      <w:r>
        <w:rPr>
          <w:rFonts w:ascii="Times New Roman" w:eastAsia="Calibri" w:hAnsi="Times New Roman" w:cs="Times New Roman"/>
          <w:bCs/>
          <w:sz w:val="24"/>
          <w:szCs w:val="24"/>
          <w:lang w:val="sq-AL"/>
        </w:rPr>
        <w:t>n</w:t>
      </w:r>
      <w:r w:rsidRPr="00C8275C">
        <w:rPr>
          <w:rFonts w:ascii="Times New Roman" w:eastAsia="Calibri" w:hAnsi="Times New Roman" w:cs="Times New Roman"/>
          <w:bCs/>
          <w:sz w:val="24"/>
          <w:szCs w:val="24"/>
          <w:lang w:val="sq-AL"/>
        </w:rPr>
        <w:t xml:space="preserve"> si dhe dokumentacioni dhe afati dorëzimit. </w:t>
      </w:r>
      <w:r w:rsidRPr="00C8275C">
        <w:rPr>
          <w:rFonts w:ascii="Times New Roman" w:eastAsia="SimSun" w:hAnsi="Times New Roman" w:cs="Times New Roman"/>
          <w:sz w:val="24"/>
          <w:szCs w:val="24"/>
          <w:lang w:val="sq-AL"/>
        </w:rPr>
        <w:t xml:space="preserve">Linku në të cilin është publikuar njoftimi që nga faza e parë </w:t>
      </w:r>
      <w:r w:rsidRPr="00C8275C">
        <w:rPr>
          <w:rFonts w:ascii="Times New Roman" w:eastAsia="Times New Roman" w:hAnsi="Times New Roman" w:cs="Times New Roman"/>
          <w:sz w:val="24"/>
          <w:szCs w:val="24"/>
          <w:lang w:val="sq-AL"/>
        </w:rPr>
        <w:t>deri në fazën përfundimtare</w:t>
      </w:r>
      <w:r>
        <w:rPr>
          <w:rFonts w:ascii="Times New Roman" w:eastAsia="Times New Roman" w:hAnsi="Times New Roman" w:cs="Times New Roman"/>
          <w:sz w:val="24"/>
          <w:szCs w:val="24"/>
          <w:lang w:val="sq-AL"/>
        </w:rPr>
        <w:t xml:space="preserve"> të shpalljes së fituesit</w:t>
      </w:r>
      <w:r w:rsidRPr="00C8275C">
        <w:rPr>
          <w:rFonts w:ascii="Times New Roman" w:eastAsia="Times New Roman" w:hAnsi="Times New Roman" w:cs="Times New Roman"/>
          <w:sz w:val="24"/>
          <w:szCs w:val="24"/>
          <w:lang w:val="sq-AL"/>
        </w:rPr>
        <w:t xml:space="preserve"> është si vijon:   </w:t>
      </w:r>
    </w:p>
    <w:p w14:paraId="45FF0A92" w14:textId="77777777" w:rsidR="00D02088" w:rsidRPr="00D02088" w:rsidRDefault="00D02088" w:rsidP="00C8275C">
      <w:pPr>
        <w:spacing w:after="0" w:line="276" w:lineRule="auto"/>
        <w:jc w:val="both"/>
        <w:rPr>
          <w:rFonts w:ascii="Times New Roman" w:eastAsia="Calibri" w:hAnsi="Times New Roman" w:cs="Times New Roman"/>
          <w:bCs/>
          <w:sz w:val="24"/>
          <w:szCs w:val="24"/>
          <w:lang w:val="sq-AL"/>
        </w:rPr>
      </w:pPr>
    </w:p>
    <w:p w14:paraId="4C0C52F7" w14:textId="77777777" w:rsidR="00C8275C" w:rsidRPr="00C8275C" w:rsidRDefault="00462157" w:rsidP="00C8275C">
      <w:pPr>
        <w:spacing w:after="0" w:line="276" w:lineRule="auto"/>
        <w:jc w:val="both"/>
        <w:rPr>
          <w:rFonts w:ascii="Times New Roman" w:eastAsia="Calibri" w:hAnsi="Times New Roman" w:cs="Times New Roman"/>
          <w:bCs/>
          <w:sz w:val="24"/>
          <w:szCs w:val="24"/>
          <w:lang w:val="sq-AL"/>
        </w:rPr>
      </w:pPr>
      <w:hyperlink r:id="rId24" w:history="1">
        <w:r w:rsidR="00C8275C" w:rsidRPr="00C8275C">
          <w:rPr>
            <w:rFonts w:ascii="Times New Roman" w:eastAsia="Calibri" w:hAnsi="Times New Roman" w:cs="Times New Roman"/>
            <w:bCs/>
            <w:color w:val="467886" w:themeColor="hyperlink"/>
            <w:sz w:val="24"/>
            <w:szCs w:val="24"/>
            <w:u w:val="single"/>
            <w:lang w:val="sq-AL"/>
          </w:rPr>
          <w:t>https://rekrutimi.administrata.al/shpalljet/shfaq/4738</w:t>
        </w:r>
      </w:hyperlink>
      <w:r w:rsidR="00C8275C" w:rsidRPr="00C8275C">
        <w:rPr>
          <w:rFonts w:ascii="Times New Roman" w:eastAsia="Calibri" w:hAnsi="Times New Roman" w:cs="Times New Roman"/>
          <w:bCs/>
          <w:sz w:val="24"/>
          <w:szCs w:val="24"/>
          <w:lang w:val="sq-AL"/>
        </w:rPr>
        <w:t xml:space="preserve"> </w:t>
      </w:r>
    </w:p>
    <w:p w14:paraId="0FD79AD6" w14:textId="77777777" w:rsidR="00C8275C" w:rsidRPr="00C8275C" w:rsidRDefault="00462157" w:rsidP="00C8275C">
      <w:pPr>
        <w:spacing w:after="0" w:line="276" w:lineRule="auto"/>
        <w:jc w:val="both"/>
        <w:rPr>
          <w:rFonts w:ascii="Times New Roman" w:eastAsia="Calibri" w:hAnsi="Times New Roman" w:cs="Times New Roman"/>
          <w:bCs/>
          <w:sz w:val="24"/>
          <w:szCs w:val="24"/>
          <w:lang w:val="sq-AL"/>
        </w:rPr>
      </w:pPr>
      <w:hyperlink r:id="rId25" w:history="1">
        <w:r w:rsidR="00C8275C" w:rsidRPr="00C8275C">
          <w:rPr>
            <w:rFonts w:ascii="Times New Roman" w:eastAsia="Calibri" w:hAnsi="Times New Roman" w:cs="Times New Roman"/>
            <w:bCs/>
            <w:color w:val="467886" w:themeColor="hyperlink"/>
            <w:sz w:val="24"/>
            <w:szCs w:val="24"/>
            <w:u w:val="single"/>
            <w:lang w:val="sq-AL"/>
          </w:rPr>
          <w:t>https://rekrutimi.administrata.al/shpalljet/shfaq/4738/1/2</w:t>
        </w:r>
      </w:hyperlink>
      <w:r w:rsidR="00C8275C" w:rsidRPr="00C8275C">
        <w:rPr>
          <w:rFonts w:ascii="Times New Roman" w:eastAsia="Calibri" w:hAnsi="Times New Roman" w:cs="Times New Roman"/>
          <w:bCs/>
          <w:sz w:val="24"/>
          <w:szCs w:val="24"/>
          <w:lang w:val="sq-AL"/>
        </w:rPr>
        <w:t xml:space="preserve"> </w:t>
      </w:r>
    </w:p>
    <w:p w14:paraId="5D5BB3B2" w14:textId="77777777" w:rsidR="00C8275C" w:rsidRPr="00C8275C" w:rsidRDefault="00462157" w:rsidP="00C8275C">
      <w:pPr>
        <w:spacing w:after="0" w:line="276" w:lineRule="auto"/>
        <w:jc w:val="both"/>
        <w:rPr>
          <w:rFonts w:ascii="Times New Roman" w:eastAsia="Calibri" w:hAnsi="Times New Roman" w:cs="Times New Roman"/>
          <w:bCs/>
          <w:sz w:val="24"/>
          <w:szCs w:val="24"/>
          <w:lang w:val="sq-AL"/>
        </w:rPr>
      </w:pPr>
      <w:hyperlink r:id="rId26" w:history="1">
        <w:r w:rsidR="00C8275C" w:rsidRPr="00C8275C">
          <w:rPr>
            <w:rFonts w:ascii="Times New Roman" w:eastAsia="Calibri" w:hAnsi="Times New Roman" w:cs="Times New Roman"/>
            <w:bCs/>
            <w:color w:val="467886" w:themeColor="hyperlink"/>
            <w:sz w:val="24"/>
            <w:szCs w:val="24"/>
            <w:u w:val="single"/>
            <w:lang w:val="sq-AL"/>
          </w:rPr>
          <w:t>https://rekrutimi.administrata.al/shpalljet/shfaq/4738/2/5</w:t>
        </w:r>
      </w:hyperlink>
      <w:r w:rsidR="00C8275C" w:rsidRPr="00C8275C">
        <w:rPr>
          <w:rFonts w:ascii="Times New Roman" w:eastAsia="Calibri" w:hAnsi="Times New Roman" w:cs="Times New Roman"/>
          <w:bCs/>
          <w:sz w:val="24"/>
          <w:szCs w:val="24"/>
          <w:lang w:val="sq-AL"/>
        </w:rPr>
        <w:t xml:space="preserve"> </w:t>
      </w:r>
    </w:p>
    <w:p w14:paraId="22099719" w14:textId="77777777" w:rsidR="00C8275C" w:rsidRPr="00C8275C" w:rsidRDefault="00462157" w:rsidP="00C8275C">
      <w:pPr>
        <w:spacing w:after="0" w:line="276" w:lineRule="auto"/>
        <w:jc w:val="both"/>
        <w:rPr>
          <w:rFonts w:ascii="Times New Roman" w:eastAsia="Calibri" w:hAnsi="Times New Roman" w:cs="Times New Roman"/>
          <w:bCs/>
          <w:sz w:val="24"/>
          <w:szCs w:val="24"/>
          <w:lang w:val="sq-AL"/>
        </w:rPr>
      </w:pPr>
      <w:hyperlink r:id="rId27" w:history="1">
        <w:r w:rsidR="00C8275C" w:rsidRPr="00C8275C">
          <w:rPr>
            <w:rFonts w:ascii="Times New Roman" w:eastAsia="Calibri" w:hAnsi="Times New Roman" w:cs="Times New Roman"/>
            <w:bCs/>
            <w:color w:val="467886" w:themeColor="hyperlink"/>
            <w:sz w:val="24"/>
            <w:szCs w:val="24"/>
            <w:u w:val="single"/>
            <w:lang w:val="sq-AL"/>
          </w:rPr>
          <w:t>https://rekrutimi.administrata.al/shpalljet/shfaq/4738/2/7</w:t>
        </w:r>
      </w:hyperlink>
      <w:r w:rsidR="00C8275C" w:rsidRPr="00C8275C">
        <w:rPr>
          <w:rFonts w:ascii="Times New Roman" w:eastAsia="Calibri" w:hAnsi="Times New Roman" w:cs="Times New Roman"/>
          <w:bCs/>
          <w:sz w:val="24"/>
          <w:szCs w:val="24"/>
          <w:lang w:val="sq-AL"/>
        </w:rPr>
        <w:t xml:space="preserve"> </w:t>
      </w:r>
    </w:p>
    <w:p w14:paraId="785D93F6" w14:textId="77777777" w:rsidR="00D02088" w:rsidRDefault="00D02088" w:rsidP="00D02088">
      <w:pPr>
        <w:spacing w:after="0" w:line="276" w:lineRule="auto"/>
        <w:jc w:val="both"/>
        <w:rPr>
          <w:rFonts w:ascii="Times New Roman" w:eastAsia="Calibri" w:hAnsi="Times New Roman" w:cs="Times New Roman"/>
          <w:bCs/>
          <w:sz w:val="24"/>
          <w:szCs w:val="24"/>
          <w:lang w:val="sq-AL"/>
        </w:rPr>
      </w:pPr>
    </w:p>
    <w:p w14:paraId="39022D7E" w14:textId="39560D87" w:rsidR="00D02088" w:rsidRDefault="00D02088" w:rsidP="00D02088">
      <w:pPr>
        <w:spacing w:after="0" w:line="276" w:lineRule="auto"/>
        <w:jc w:val="both"/>
        <w:rPr>
          <w:rFonts w:ascii="Times New Roman" w:eastAsia="Calibri" w:hAnsi="Times New Roman" w:cs="Times New Roman"/>
          <w:bCs/>
          <w:sz w:val="24"/>
          <w:szCs w:val="24"/>
          <w:lang w:val="sq-AL"/>
        </w:rPr>
      </w:pPr>
      <w:r>
        <w:rPr>
          <w:rFonts w:ascii="Times New Roman" w:eastAsia="Calibri" w:hAnsi="Times New Roman" w:cs="Times New Roman"/>
          <w:bCs/>
          <w:sz w:val="24"/>
          <w:szCs w:val="24"/>
          <w:lang w:val="sq-AL"/>
        </w:rPr>
        <w:t>Aktualisht në Drejtorinë e Apelimit Tatimor nuk ka vende vakan</w:t>
      </w:r>
      <w:r w:rsidR="00ED25CF">
        <w:rPr>
          <w:rFonts w:ascii="Times New Roman" w:eastAsia="Calibri" w:hAnsi="Times New Roman" w:cs="Times New Roman"/>
          <w:bCs/>
          <w:sz w:val="24"/>
          <w:szCs w:val="24"/>
          <w:lang w:val="sq-AL"/>
        </w:rPr>
        <w:t>t</w:t>
      </w:r>
      <w:r>
        <w:rPr>
          <w:rFonts w:ascii="Times New Roman" w:eastAsia="Calibri" w:hAnsi="Times New Roman" w:cs="Times New Roman"/>
          <w:bCs/>
          <w:sz w:val="24"/>
          <w:szCs w:val="24"/>
          <w:lang w:val="sq-AL"/>
        </w:rPr>
        <w:t>e.</w:t>
      </w:r>
    </w:p>
    <w:p w14:paraId="56C655DB" w14:textId="77777777" w:rsidR="00D02088" w:rsidRDefault="00D02088" w:rsidP="00D02088">
      <w:pPr>
        <w:spacing w:line="276" w:lineRule="auto"/>
        <w:rPr>
          <w:rFonts w:ascii="Times New Roman" w:hAnsi="Times New Roman" w:cs="Times New Roman"/>
          <w:b/>
          <w:bCs/>
          <w:color w:val="000000" w:themeColor="text1"/>
          <w:kern w:val="2"/>
          <w:sz w:val="24"/>
          <w:szCs w:val="24"/>
          <w:lang w:val="sq-AL"/>
          <w14:ligatures w14:val="standardContextual"/>
        </w:rPr>
      </w:pPr>
    </w:p>
    <w:p w14:paraId="01F0E4E7" w14:textId="77777777" w:rsidR="00CC6EB3" w:rsidRDefault="00CC6EB3" w:rsidP="00D02088">
      <w:pPr>
        <w:spacing w:line="276" w:lineRule="auto"/>
        <w:rPr>
          <w:rFonts w:ascii="Times New Roman" w:hAnsi="Times New Roman" w:cs="Times New Roman"/>
          <w:b/>
          <w:bCs/>
          <w:color w:val="000000" w:themeColor="text1"/>
          <w:kern w:val="2"/>
          <w:sz w:val="24"/>
          <w:szCs w:val="24"/>
          <w:lang w:val="sq-AL"/>
          <w14:ligatures w14:val="standardContextual"/>
        </w:rPr>
      </w:pPr>
    </w:p>
    <w:p w14:paraId="339871D0" w14:textId="3A1F26EF" w:rsidR="00C8275C" w:rsidRDefault="00C8275C" w:rsidP="00D573E6">
      <w:pPr>
        <w:spacing w:after="0" w:line="276" w:lineRule="auto"/>
        <w:jc w:val="center"/>
        <w:rPr>
          <w:rFonts w:ascii="Times New Roman" w:hAnsi="Times New Roman" w:cs="Times New Roman"/>
          <w:b/>
          <w:kern w:val="2"/>
          <w:sz w:val="24"/>
          <w:szCs w:val="24"/>
          <w:lang w:val="sq-AL"/>
          <w14:ligatures w14:val="standardContextual"/>
        </w:rPr>
      </w:pPr>
      <w:r w:rsidRPr="00920ED0">
        <w:rPr>
          <w:rFonts w:ascii="Times New Roman" w:hAnsi="Times New Roman" w:cs="Times New Roman"/>
          <w:b/>
          <w:kern w:val="2"/>
          <w:sz w:val="24"/>
          <w:szCs w:val="24"/>
          <w:lang w:val="sq-AL"/>
          <w14:ligatures w14:val="standardContextual"/>
        </w:rPr>
        <w:t>OBJEKTIVI  3</w:t>
      </w:r>
    </w:p>
    <w:p w14:paraId="1F476E51" w14:textId="77777777" w:rsidR="0063193C" w:rsidRPr="00920ED0" w:rsidRDefault="0063193C" w:rsidP="00D573E6">
      <w:pPr>
        <w:spacing w:after="0" w:line="276" w:lineRule="auto"/>
        <w:jc w:val="center"/>
        <w:rPr>
          <w:rFonts w:ascii="Times New Roman" w:hAnsi="Times New Roman" w:cs="Times New Roman"/>
          <w:b/>
          <w:kern w:val="2"/>
          <w:sz w:val="24"/>
          <w:szCs w:val="24"/>
          <w:lang w:val="sq-AL"/>
          <w14:ligatures w14:val="standardContextual"/>
        </w:rPr>
      </w:pPr>
    </w:p>
    <w:p w14:paraId="7A531A0A" w14:textId="1E598EF5" w:rsidR="00C8275C" w:rsidRPr="0063193C" w:rsidRDefault="0063193C" w:rsidP="0063193C">
      <w:pPr>
        <w:spacing w:after="0" w:line="276" w:lineRule="auto"/>
        <w:jc w:val="center"/>
        <w:rPr>
          <w:rFonts w:ascii="Times New Roman" w:hAnsi="Times New Roman" w:cs="Times New Roman"/>
          <w:b/>
          <w:kern w:val="2"/>
          <w:sz w:val="24"/>
          <w:szCs w:val="24"/>
          <w:lang w:val="sq-AL"/>
          <w14:ligatures w14:val="standardContextual"/>
        </w:rPr>
      </w:pPr>
      <w:r w:rsidRPr="0063193C">
        <w:rPr>
          <w:rFonts w:ascii="Times New Roman" w:hAnsi="Times New Roman" w:cs="Times New Roman"/>
          <w:b/>
          <w:kern w:val="2"/>
          <w:sz w:val="24"/>
          <w:szCs w:val="24"/>
          <w:lang w:val="sq-AL"/>
          <w14:ligatures w14:val="standardContextual"/>
        </w:rPr>
        <w:t>“PËRMIRËSIMI I KUADRIT RREGULLATOR, ME QËLLIM FORCIMIN E INTEGRITETIT NË INSTITUCION”</w:t>
      </w:r>
    </w:p>
    <w:p w14:paraId="611AFDE6" w14:textId="77777777" w:rsidR="00C8275C" w:rsidRPr="00920ED0"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3366BF87" w14:textId="77777777" w:rsidR="00C8275C" w:rsidRPr="00920ED0" w:rsidRDefault="00C8275C" w:rsidP="00C8275C">
      <w:pPr>
        <w:spacing w:after="0" w:line="276" w:lineRule="auto"/>
        <w:jc w:val="both"/>
        <w:rPr>
          <w:rFonts w:ascii="Times New Roman" w:hAnsi="Times New Roman" w:cs="Times New Roman"/>
          <w:kern w:val="2"/>
          <w:sz w:val="24"/>
          <w:szCs w:val="24"/>
          <w:lang w:val="sq-AL"/>
          <w14:ligatures w14:val="standardContextual"/>
        </w:rPr>
      </w:pPr>
      <w:r w:rsidRPr="00920ED0">
        <w:rPr>
          <w:rFonts w:ascii="Times New Roman" w:hAnsi="Times New Roman" w:cs="Times New Roman"/>
          <w:kern w:val="2"/>
          <w:sz w:val="24"/>
          <w:szCs w:val="24"/>
          <w:lang w:val="sq-AL"/>
          <w14:ligatures w14:val="standardContextual"/>
        </w:rPr>
        <w:t xml:space="preserve">Ky objektiv thekson rëndësinë e rishikimit dhe përmirësimit në mënyrë të vazhdueshme të kuadrit rregullator, me qëllim forcimin e integritetit në institucion. Përmirësimi dhe rishikimi i vazhdueshëm i kuadrit rregullator ndikon në rritjen e efikasitetit, transparencës, llogaridhënies e besueshmërisë publike, si dhe arritjen e objektivave strategjike e specifike tё institucionit. </w:t>
      </w:r>
    </w:p>
    <w:p w14:paraId="7ADE4023" w14:textId="77777777" w:rsidR="00C8275C" w:rsidRPr="00920ED0"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638B3B97" w14:textId="10DF5322" w:rsidR="00C8275C" w:rsidRPr="00920ED0" w:rsidRDefault="00C8275C" w:rsidP="00C8275C">
      <w:pPr>
        <w:spacing w:after="0" w:line="276" w:lineRule="auto"/>
        <w:jc w:val="both"/>
        <w:rPr>
          <w:rFonts w:ascii="Times New Roman" w:eastAsia="Calibri" w:hAnsi="Times New Roman" w:cs="Times New Roman"/>
          <w:bCs/>
          <w:kern w:val="2"/>
          <w:sz w:val="24"/>
          <w:szCs w:val="24"/>
          <w:lang w:val="sq-AL"/>
          <w14:ligatures w14:val="standardContextual"/>
        </w:rPr>
      </w:pPr>
      <w:r w:rsidRPr="00920ED0">
        <w:rPr>
          <w:rFonts w:ascii="Times New Roman" w:hAnsi="Times New Roman" w:cs="Times New Roman"/>
          <w:kern w:val="2"/>
          <w:sz w:val="24"/>
          <w:szCs w:val="24"/>
          <w:lang w:val="sq-AL"/>
          <w14:ligatures w14:val="standardContextual"/>
        </w:rPr>
        <w:t xml:space="preserve">Me qëllim realizimin e këtij objektivi </w:t>
      </w:r>
      <w:r w:rsidRPr="00920ED0">
        <w:rPr>
          <w:rFonts w:ascii="Times New Roman" w:eastAsia="Calibri" w:hAnsi="Times New Roman" w:cs="Times New Roman"/>
          <w:bCs/>
          <w:kern w:val="2"/>
          <w:sz w:val="24"/>
          <w:szCs w:val="24"/>
          <w:lang w:val="sq-AL"/>
          <w14:ligatures w14:val="standardContextual"/>
        </w:rPr>
        <w:t xml:space="preserve">janë </w:t>
      </w:r>
      <w:r w:rsidR="00B86455">
        <w:rPr>
          <w:rFonts w:ascii="Times New Roman" w:eastAsia="Calibri" w:hAnsi="Times New Roman" w:cs="Times New Roman"/>
          <w:bCs/>
          <w:kern w:val="2"/>
          <w:sz w:val="24"/>
          <w:szCs w:val="24"/>
          <w:lang w:val="sq-AL"/>
          <w14:ligatures w14:val="standardContextual"/>
        </w:rPr>
        <w:t xml:space="preserve">përmbushur </w:t>
      </w:r>
      <w:r w:rsidRPr="00920ED0">
        <w:rPr>
          <w:rFonts w:ascii="Times New Roman" w:eastAsia="Calibri" w:hAnsi="Times New Roman" w:cs="Times New Roman"/>
          <w:bCs/>
          <w:kern w:val="2"/>
          <w:sz w:val="24"/>
          <w:szCs w:val="24"/>
          <w:lang w:val="sq-AL"/>
          <w14:ligatures w14:val="standardContextual"/>
        </w:rPr>
        <w:t>masat si më poshtë vijon:</w:t>
      </w:r>
    </w:p>
    <w:p w14:paraId="402CA56E" w14:textId="77777777" w:rsidR="007C6F33" w:rsidRPr="00920ED0" w:rsidRDefault="007C6F33" w:rsidP="007C6F33">
      <w:pPr>
        <w:spacing w:after="0" w:line="276" w:lineRule="auto"/>
        <w:jc w:val="both"/>
        <w:rPr>
          <w:rFonts w:eastAsia="Calibri"/>
          <w:bCs/>
          <w:kern w:val="2"/>
          <w:sz w:val="24"/>
          <w:szCs w:val="24"/>
          <w:lang w:val="sq-AL"/>
          <w14:ligatures w14:val="standardContextual"/>
        </w:rPr>
      </w:pPr>
    </w:p>
    <w:p w14:paraId="0BD35291" w14:textId="50AA18C0" w:rsidR="007C6F33" w:rsidRDefault="007C6F33" w:rsidP="007C6F33">
      <w:pPr>
        <w:spacing w:after="0" w:line="276" w:lineRule="auto"/>
        <w:jc w:val="both"/>
        <w:rPr>
          <w:rFonts w:ascii="Times New Roman" w:hAnsi="Times New Roman" w:cs="Times New Roman"/>
          <w:color w:val="000000"/>
          <w:kern w:val="2"/>
          <w:sz w:val="24"/>
          <w:szCs w:val="24"/>
          <w:lang w:val="sq-AL" w:eastAsia="en-GB"/>
          <w14:ligatures w14:val="standardContextual"/>
        </w:rPr>
      </w:pPr>
      <w:r w:rsidRPr="00C8275C">
        <w:rPr>
          <w:rFonts w:ascii="Times New Roman" w:eastAsiaTheme="majorEastAsia" w:hAnsi="Times New Roman" w:cs="Times New Roman"/>
          <w:kern w:val="2"/>
          <w:sz w:val="24"/>
          <w:szCs w:val="24"/>
          <w:lang w:val="sq-AL"/>
          <w14:ligatures w14:val="standardContextual"/>
        </w:rPr>
        <w:t xml:space="preserve">Drejtoria e Harmonizimit të Menaxhimit Financiar, Kontrollit dhe Kontabilitetit </w:t>
      </w:r>
      <w:r w:rsidRPr="00C8275C">
        <w:rPr>
          <w:rFonts w:ascii="Times New Roman" w:hAnsi="Times New Roman" w:cs="Times New Roman"/>
          <w:color w:val="000000"/>
          <w:kern w:val="2"/>
          <w:sz w:val="24"/>
          <w:szCs w:val="24"/>
          <w:lang w:val="sq-AL" w:eastAsia="en-GB"/>
          <w14:ligatures w14:val="standardContextual"/>
        </w:rPr>
        <w:t xml:space="preserve">gjatë periudhës së raportimit </w:t>
      </w:r>
      <w:r w:rsidRPr="00C8275C">
        <w:rPr>
          <w:rFonts w:ascii="Times New Roman" w:eastAsiaTheme="majorEastAsia" w:hAnsi="Times New Roman" w:cs="Times New Roman"/>
          <w:kern w:val="2"/>
          <w:sz w:val="24"/>
          <w:szCs w:val="24"/>
          <w:lang w:val="sq-AL"/>
          <w14:ligatures w14:val="standardContextual"/>
        </w:rPr>
        <w:t>në bashkëpunim me drejtoritë e tjera të ministrisë</w:t>
      </w:r>
      <w:r w:rsidRPr="00C8275C">
        <w:rPr>
          <w:rFonts w:ascii="Times New Roman" w:eastAsiaTheme="majorEastAsia" w:hAnsi="Times New Roman" w:cs="Times New Roman"/>
          <w:i/>
          <w:iCs/>
          <w:kern w:val="2"/>
          <w:sz w:val="24"/>
          <w:szCs w:val="24"/>
          <w:lang w:val="sq-AL"/>
          <w14:ligatures w14:val="standardContextual"/>
        </w:rPr>
        <w:t xml:space="preserve">, </w:t>
      </w:r>
      <w:r w:rsidRPr="00C8275C">
        <w:rPr>
          <w:rFonts w:ascii="Times New Roman" w:hAnsi="Times New Roman" w:cs="Times New Roman"/>
          <w:color w:val="000000"/>
          <w:kern w:val="2"/>
          <w:sz w:val="24"/>
          <w:szCs w:val="24"/>
          <w:lang w:val="sq-AL" w:eastAsia="en-GB"/>
          <w14:ligatures w14:val="standardContextual"/>
        </w:rPr>
        <w:t xml:space="preserve">ka rishikuar aktet </w:t>
      </w:r>
      <w:r w:rsidR="00DD1710">
        <w:rPr>
          <w:rFonts w:ascii="Times New Roman" w:hAnsi="Times New Roman" w:cs="Times New Roman"/>
          <w:color w:val="000000"/>
          <w:kern w:val="2"/>
          <w:sz w:val="24"/>
          <w:szCs w:val="24"/>
          <w:lang w:val="sq-AL" w:eastAsia="en-GB"/>
          <w14:ligatures w14:val="standardContextual"/>
        </w:rPr>
        <w:t>si vijon</w:t>
      </w:r>
      <w:r w:rsidRPr="00C8275C">
        <w:rPr>
          <w:rFonts w:ascii="Times New Roman" w:hAnsi="Times New Roman" w:cs="Times New Roman"/>
          <w:color w:val="000000"/>
          <w:kern w:val="2"/>
          <w:sz w:val="24"/>
          <w:szCs w:val="24"/>
          <w:lang w:val="sq-AL" w:eastAsia="en-GB"/>
          <w14:ligatures w14:val="standardContextual"/>
        </w:rPr>
        <w:t xml:space="preserve">: </w:t>
      </w:r>
    </w:p>
    <w:p w14:paraId="451343D7" w14:textId="77777777" w:rsidR="007C6F33" w:rsidRPr="00920ED0" w:rsidRDefault="007C6F33" w:rsidP="007C6F33">
      <w:pPr>
        <w:spacing w:after="0" w:line="276" w:lineRule="auto"/>
        <w:jc w:val="both"/>
        <w:rPr>
          <w:rFonts w:ascii="Times New Roman" w:hAnsi="Times New Roman" w:cs="Times New Roman"/>
          <w:kern w:val="2"/>
          <w:sz w:val="24"/>
          <w:szCs w:val="24"/>
          <w:lang w:val="sq-AL"/>
          <w14:ligatures w14:val="standardContextual"/>
        </w:rPr>
      </w:pPr>
    </w:p>
    <w:p w14:paraId="6E89ABE4" w14:textId="4639BD19" w:rsidR="009A0191" w:rsidRPr="009A0191" w:rsidRDefault="009A0191" w:rsidP="007C6F33">
      <w:pPr>
        <w:numPr>
          <w:ilvl w:val="0"/>
          <w:numId w:val="12"/>
        </w:numPr>
        <w:spacing w:after="0" w:line="276" w:lineRule="auto"/>
        <w:contextualSpacing/>
        <w:jc w:val="both"/>
        <w:rPr>
          <w:rFonts w:ascii="Times New Roman" w:eastAsia="Times New Roman" w:hAnsi="Times New Roman" w:cs="Times New Roman"/>
          <w:color w:val="000000"/>
          <w:kern w:val="2"/>
          <w:sz w:val="24"/>
          <w:szCs w:val="24"/>
          <w:lang w:val="sq-AL" w:eastAsia="en-GB"/>
          <w14:ligatures w14:val="standardContextual"/>
        </w:rPr>
      </w:pPr>
      <w:r w:rsidRPr="009A0191">
        <w:rPr>
          <w:rFonts w:ascii="Times New Roman" w:eastAsia="Times New Roman" w:hAnsi="Times New Roman" w:cs="Times New Roman"/>
          <w:color w:val="000000"/>
          <w:kern w:val="2"/>
          <w:sz w:val="24"/>
          <w:szCs w:val="24"/>
          <w:lang w:val="sq-AL" w:eastAsia="en-GB"/>
          <w14:ligatures w14:val="standardContextual"/>
        </w:rPr>
        <w:lastRenderedPageBreak/>
        <w:t xml:space="preserve">Udhëzimin “Për përgjegjësitë dhe detyrat lidhur me koordinimin e menaxhimit financiar dhe kontrollit dhe funksionimin e grupit të menaxhimit të risqeve në njësitë publike”, </w:t>
      </w:r>
      <w:r w:rsidR="00BA1A7C">
        <w:rPr>
          <w:rFonts w:ascii="Times New Roman" w:eastAsia="Times New Roman" w:hAnsi="Times New Roman" w:cs="Times New Roman"/>
          <w:color w:val="000000"/>
          <w:kern w:val="2"/>
          <w:sz w:val="24"/>
          <w:szCs w:val="24"/>
          <w:lang w:val="sq-AL" w:eastAsia="en-GB"/>
          <w14:ligatures w14:val="standardContextual"/>
        </w:rPr>
        <w:t xml:space="preserve">të </w:t>
      </w:r>
      <w:r w:rsidRPr="009A0191">
        <w:rPr>
          <w:rFonts w:ascii="Times New Roman" w:eastAsia="Times New Roman" w:hAnsi="Times New Roman" w:cs="Times New Roman"/>
          <w:color w:val="000000"/>
          <w:kern w:val="2"/>
          <w:sz w:val="24"/>
          <w:szCs w:val="24"/>
          <w:lang w:val="sq-AL" w:eastAsia="en-GB"/>
          <w14:ligatures w14:val="standardContextual"/>
        </w:rPr>
        <w:t xml:space="preserve">miratuar me udhëzimin nr.16, datë 31.12.2024. </w:t>
      </w:r>
    </w:p>
    <w:p w14:paraId="1D61F571" w14:textId="6DBD32EC" w:rsidR="007C6F33" w:rsidRPr="009A0191" w:rsidRDefault="007C6F33" w:rsidP="007C6F33">
      <w:pPr>
        <w:numPr>
          <w:ilvl w:val="0"/>
          <w:numId w:val="12"/>
        </w:numPr>
        <w:spacing w:after="0" w:line="276" w:lineRule="auto"/>
        <w:contextualSpacing/>
        <w:jc w:val="both"/>
        <w:rPr>
          <w:rFonts w:ascii="Times New Roman" w:eastAsia="Times New Roman" w:hAnsi="Times New Roman" w:cs="Times New Roman"/>
          <w:color w:val="000000"/>
          <w:kern w:val="2"/>
          <w:sz w:val="24"/>
          <w:szCs w:val="24"/>
          <w:lang w:val="sq-AL" w:eastAsia="en-GB"/>
          <w14:ligatures w14:val="standardContextual"/>
        </w:rPr>
      </w:pPr>
      <w:r w:rsidRPr="009A0191">
        <w:rPr>
          <w:rFonts w:ascii="Times New Roman" w:eastAsia="Times New Roman" w:hAnsi="Times New Roman" w:cs="Times New Roman"/>
          <w:color w:val="000000"/>
          <w:kern w:val="2"/>
          <w:sz w:val="24"/>
          <w:szCs w:val="24"/>
          <w:lang w:val="sq-AL" w:eastAsia="en-GB"/>
          <w14:ligatures w14:val="standardContextual"/>
        </w:rPr>
        <w:t>Urdhrin “Mbi metodologjinë për vlerësimin e cilësisë së sistemit të kontrollit të brendshëm në njësitë e qeverisjes së përgjithshme"</w:t>
      </w:r>
      <w:r w:rsidR="00BA1A7C">
        <w:rPr>
          <w:rFonts w:ascii="Times New Roman" w:eastAsia="Times New Roman" w:hAnsi="Times New Roman" w:cs="Times New Roman"/>
          <w:color w:val="000000"/>
          <w:kern w:val="2"/>
          <w:sz w:val="24"/>
          <w:szCs w:val="24"/>
          <w:lang w:val="sq-AL" w:eastAsia="en-GB"/>
          <w14:ligatures w14:val="standardContextual"/>
        </w:rPr>
        <w:t xml:space="preserve"> të</w:t>
      </w:r>
      <w:r w:rsidRPr="009A0191">
        <w:rPr>
          <w:rFonts w:ascii="Times New Roman" w:eastAsia="Times New Roman" w:hAnsi="Times New Roman" w:cs="Times New Roman"/>
          <w:color w:val="000000"/>
          <w:kern w:val="2"/>
          <w:sz w:val="24"/>
          <w:szCs w:val="24"/>
          <w:lang w:val="sq-AL" w:eastAsia="en-GB"/>
          <w14:ligatures w14:val="standardContextual"/>
        </w:rPr>
        <w:t xml:space="preserve"> </w:t>
      </w:r>
      <w:r w:rsidR="00DD1710" w:rsidRPr="009A0191">
        <w:rPr>
          <w:rFonts w:ascii="Times New Roman" w:eastAsia="Times New Roman" w:hAnsi="Times New Roman" w:cs="Times New Roman"/>
          <w:color w:val="000000"/>
          <w:kern w:val="2"/>
          <w:sz w:val="24"/>
          <w:szCs w:val="24"/>
          <w:lang w:val="sq-AL" w:eastAsia="en-GB"/>
          <w14:ligatures w14:val="standardContextual"/>
        </w:rPr>
        <w:t xml:space="preserve">miratuar </w:t>
      </w:r>
      <w:r w:rsidRPr="009A0191">
        <w:rPr>
          <w:rFonts w:ascii="Times New Roman" w:eastAsia="Times New Roman" w:hAnsi="Times New Roman" w:cs="Times New Roman"/>
          <w:color w:val="000000"/>
          <w:kern w:val="2"/>
          <w:sz w:val="24"/>
          <w:szCs w:val="24"/>
          <w:lang w:val="sq-AL" w:eastAsia="en-GB"/>
          <w14:ligatures w14:val="standardContextual"/>
        </w:rPr>
        <w:t xml:space="preserve">me urdhrin </w:t>
      </w:r>
      <w:r w:rsidR="009A0191" w:rsidRPr="009A0191">
        <w:rPr>
          <w:rFonts w:ascii="Times New Roman" w:eastAsia="Times New Roman" w:hAnsi="Times New Roman" w:cs="Times New Roman"/>
          <w:color w:val="000000"/>
          <w:kern w:val="2"/>
          <w:sz w:val="24"/>
          <w:szCs w:val="24"/>
          <w:lang w:val="sq-AL" w:eastAsia="en-GB"/>
          <w14:ligatures w14:val="standardContextual"/>
        </w:rPr>
        <w:t>n</w:t>
      </w:r>
      <w:r w:rsidRPr="009A0191">
        <w:rPr>
          <w:rFonts w:ascii="Times New Roman" w:eastAsia="Times New Roman" w:hAnsi="Times New Roman" w:cs="Times New Roman"/>
          <w:color w:val="000000"/>
          <w:kern w:val="2"/>
          <w:sz w:val="24"/>
          <w:szCs w:val="24"/>
          <w:lang w:val="sq-AL" w:eastAsia="en-GB"/>
          <w14:ligatures w14:val="standardContextual"/>
        </w:rPr>
        <w:t>r.159, datë 18.10.2024.</w:t>
      </w:r>
    </w:p>
    <w:p w14:paraId="687A8AD3" w14:textId="77777777" w:rsidR="007C6F33" w:rsidRPr="00C8275C" w:rsidRDefault="007C6F33" w:rsidP="00DD1710">
      <w:pPr>
        <w:spacing w:after="0" w:line="276" w:lineRule="auto"/>
        <w:contextualSpacing/>
        <w:jc w:val="both"/>
        <w:rPr>
          <w:rFonts w:ascii="Times New Roman" w:eastAsia="Times New Roman" w:hAnsi="Times New Roman" w:cs="Times New Roman"/>
          <w:color w:val="000000"/>
          <w:kern w:val="2"/>
          <w:sz w:val="24"/>
          <w:szCs w:val="24"/>
          <w:lang w:val="sq-AL" w:eastAsia="en-GB"/>
          <w14:ligatures w14:val="standardContextual"/>
        </w:rPr>
      </w:pPr>
    </w:p>
    <w:p w14:paraId="4AADF3EE" w14:textId="537510A6" w:rsidR="00C8275C" w:rsidRDefault="00C8275C" w:rsidP="00C8275C">
      <w:pPr>
        <w:spacing w:after="0" w:line="276" w:lineRule="auto"/>
        <w:jc w:val="both"/>
        <w:rPr>
          <w:rFonts w:ascii="Times New Roman" w:eastAsia="Times New Roman" w:hAnsi="Times New Roman" w:cs="Times New Roman"/>
          <w:color w:val="000000"/>
          <w:kern w:val="2"/>
          <w:sz w:val="24"/>
          <w:szCs w:val="24"/>
          <w:lang w:val="sq-AL" w:eastAsia="en-GB"/>
          <w14:ligatures w14:val="standardContextual"/>
        </w:rPr>
      </w:pPr>
      <w:r w:rsidRPr="00C8275C">
        <w:rPr>
          <w:rFonts w:ascii="Times New Roman" w:eastAsia="Calibri" w:hAnsi="Times New Roman" w:cs="Times New Roman"/>
          <w:color w:val="000000"/>
          <w:kern w:val="2"/>
          <w:sz w:val="24"/>
          <w:szCs w:val="24"/>
          <w:lang w:val="sq-AL"/>
          <w14:ligatures w14:val="standardContextual"/>
        </w:rPr>
        <w:t xml:space="preserve">Lidhur me zhvillimin e procesit të vlerësimit të cilësisë së sistemit të kontrollit të brendshëm (në 20 njësi çdo vit), </w:t>
      </w:r>
      <w:r w:rsidRPr="00C8275C">
        <w:rPr>
          <w:rFonts w:ascii="Times New Roman" w:eastAsiaTheme="majorEastAsia" w:hAnsi="Times New Roman" w:cs="Times New Roman"/>
          <w:kern w:val="2"/>
          <w:sz w:val="24"/>
          <w:szCs w:val="24"/>
          <w:lang w:val="sq-AL"/>
          <w14:ligatures w14:val="standardContextual"/>
        </w:rPr>
        <w:t>Drejtoria e Harmonizimit të Menaxhimit Financiar, Kontrollit dhe Kontabilitetit</w:t>
      </w:r>
      <w:r w:rsidRPr="00C8275C">
        <w:rPr>
          <w:rFonts w:ascii="Times New Roman" w:eastAsiaTheme="majorEastAsia" w:hAnsi="Times New Roman" w:cs="Times New Roman"/>
          <w:i/>
          <w:iCs/>
          <w:kern w:val="2"/>
          <w:sz w:val="24"/>
          <w:szCs w:val="24"/>
          <w:lang w:val="sq-AL"/>
          <w14:ligatures w14:val="standardContextual"/>
        </w:rPr>
        <w:t xml:space="preserve"> </w:t>
      </w:r>
      <w:r w:rsidRPr="00C8275C">
        <w:rPr>
          <w:rFonts w:ascii="Times New Roman" w:eastAsiaTheme="majorEastAsia" w:hAnsi="Times New Roman" w:cs="Times New Roman"/>
          <w:kern w:val="2"/>
          <w:sz w:val="24"/>
          <w:szCs w:val="24"/>
          <w:lang w:val="sq-AL"/>
          <w14:ligatures w14:val="standardContextual"/>
        </w:rPr>
        <w:t>ka raportuar se</w:t>
      </w:r>
      <w:r w:rsidRPr="00C8275C">
        <w:rPr>
          <w:rFonts w:ascii="Times New Roman" w:eastAsiaTheme="majorEastAsia" w:hAnsi="Times New Roman" w:cs="Times New Roman"/>
          <w:i/>
          <w:iCs/>
          <w:kern w:val="2"/>
          <w:sz w:val="24"/>
          <w:szCs w:val="24"/>
          <w:lang w:val="sq-AL"/>
          <w14:ligatures w14:val="standardContextual"/>
        </w:rPr>
        <w:t xml:space="preserve"> </w:t>
      </w:r>
      <w:r w:rsidRPr="00C8275C">
        <w:rPr>
          <w:rFonts w:ascii="Times New Roman" w:eastAsia="Times New Roman" w:hAnsi="Times New Roman" w:cs="Times New Roman"/>
          <w:color w:val="000000"/>
          <w:kern w:val="2"/>
          <w:sz w:val="24"/>
          <w:szCs w:val="24"/>
          <w:lang w:val="sq-AL" w:eastAsia="en-GB"/>
          <w14:ligatures w14:val="standardContextual"/>
        </w:rPr>
        <w:t xml:space="preserve">gjatë kësaj periudhe janë realizuar </w:t>
      </w:r>
      <w:r w:rsidR="00DD1710">
        <w:rPr>
          <w:rFonts w:ascii="Times New Roman" w:eastAsia="Times New Roman" w:hAnsi="Times New Roman" w:cs="Times New Roman"/>
          <w:color w:val="000000"/>
          <w:kern w:val="2"/>
          <w:sz w:val="24"/>
          <w:szCs w:val="24"/>
          <w:lang w:val="sq-AL" w:eastAsia="en-GB"/>
          <w14:ligatures w14:val="standardContextual"/>
        </w:rPr>
        <w:t>2</w:t>
      </w:r>
      <w:r w:rsidRPr="00C8275C">
        <w:rPr>
          <w:rFonts w:ascii="Times New Roman" w:eastAsia="Times New Roman" w:hAnsi="Times New Roman" w:cs="Times New Roman"/>
          <w:color w:val="000000"/>
          <w:kern w:val="2"/>
          <w:sz w:val="24"/>
          <w:szCs w:val="24"/>
          <w:lang w:val="sq-AL" w:eastAsia="en-GB"/>
          <w14:ligatures w14:val="standardContextual"/>
        </w:rPr>
        <w:t xml:space="preserve">0 vlerësime cilësie të cilat </w:t>
      </w:r>
      <w:r w:rsidR="00DD1710">
        <w:rPr>
          <w:rFonts w:ascii="Times New Roman" w:eastAsia="Times New Roman" w:hAnsi="Times New Roman" w:cs="Times New Roman"/>
          <w:color w:val="000000"/>
          <w:kern w:val="2"/>
          <w:sz w:val="24"/>
          <w:szCs w:val="24"/>
          <w:lang w:val="sq-AL" w:eastAsia="en-GB"/>
          <w14:ligatures w14:val="standardContextual"/>
        </w:rPr>
        <w:t xml:space="preserve">ishin planifikuar për t’u realizuar brenda vitit 2024. Nga këto njësi të vlerësuara u përzgjodhën 5 njësi për asistencë teknike, për të cilat në 4 prej tyre procesi </w:t>
      </w:r>
      <w:r w:rsidR="00BA1A7C">
        <w:rPr>
          <w:rFonts w:ascii="Times New Roman" w:eastAsia="Times New Roman" w:hAnsi="Times New Roman" w:cs="Times New Roman"/>
          <w:color w:val="000000"/>
          <w:kern w:val="2"/>
          <w:sz w:val="24"/>
          <w:szCs w:val="24"/>
          <w:lang w:val="sq-AL" w:eastAsia="en-GB"/>
          <w14:ligatures w14:val="standardContextual"/>
        </w:rPr>
        <w:t>është</w:t>
      </w:r>
      <w:r w:rsidR="00DD1710">
        <w:rPr>
          <w:rFonts w:ascii="Times New Roman" w:eastAsia="Times New Roman" w:hAnsi="Times New Roman" w:cs="Times New Roman"/>
          <w:color w:val="000000"/>
          <w:kern w:val="2"/>
          <w:sz w:val="24"/>
          <w:szCs w:val="24"/>
          <w:lang w:val="sq-AL" w:eastAsia="en-GB"/>
          <w14:ligatures w14:val="standardContextual"/>
        </w:rPr>
        <w:t xml:space="preserve"> realizua</w:t>
      </w:r>
      <w:r w:rsidR="00BA1A7C">
        <w:rPr>
          <w:rFonts w:ascii="Times New Roman" w:eastAsia="Times New Roman" w:hAnsi="Times New Roman" w:cs="Times New Roman"/>
          <w:color w:val="000000"/>
          <w:kern w:val="2"/>
          <w:sz w:val="24"/>
          <w:szCs w:val="24"/>
          <w:lang w:val="sq-AL" w:eastAsia="en-GB"/>
          <w14:ligatures w14:val="standardContextual"/>
        </w:rPr>
        <w:t>r</w:t>
      </w:r>
      <w:r w:rsidR="00DD1710">
        <w:rPr>
          <w:rFonts w:ascii="Times New Roman" w:eastAsia="Times New Roman" w:hAnsi="Times New Roman" w:cs="Times New Roman"/>
          <w:color w:val="000000"/>
          <w:kern w:val="2"/>
          <w:sz w:val="24"/>
          <w:szCs w:val="24"/>
          <w:lang w:val="sq-AL" w:eastAsia="en-GB"/>
          <w14:ligatures w14:val="standardContextual"/>
        </w:rPr>
        <w:t xml:space="preserve">. </w:t>
      </w:r>
    </w:p>
    <w:p w14:paraId="579CFC36" w14:textId="77777777" w:rsidR="00C8275C" w:rsidRPr="00C8275C" w:rsidRDefault="00C8275C" w:rsidP="00C8275C">
      <w:pPr>
        <w:spacing w:after="0" w:line="276" w:lineRule="auto"/>
        <w:jc w:val="both"/>
        <w:rPr>
          <w:rFonts w:ascii="Times New Roman" w:eastAsia="Times New Roman" w:hAnsi="Times New Roman" w:cs="Times New Roman"/>
          <w:color w:val="000000"/>
          <w:kern w:val="2"/>
          <w:sz w:val="24"/>
          <w:szCs w:val="24"/>
          <w:lang w:val="sq-AL" w:eastAsia="en-GB"/>
          <w14:ligatures w14:val="standardContextual"/>
        </w:rPr>
      </w:pPr>
    </w:p>
    <w:p w14:paraId="0E73C8E8" w14:textId="5B987FF1" w:rsidR="00C8275C" w:rsidRDefault="00BA1A7C" w:rsidP="00C8275C">
      <w:pPr>
        <w:spacing w:after="0" w:line="276" w:lineRule="auto"/>
        <w:jc w:val="both"/>
        <w:rPr>
          <w:rFonts w:ascii="Times New Roman" w:eastAsia="Times New Roman" w:hAnsi="Times New Roman" w:cs="Times New Roman"/>
          <w:color w:val="000000"/>
          <w:sz w:val="24"/>
          <w:szCs w:val="24"/>
          <w:lang w:val="sq-AL" w:eastAsia="en-GB"/>
        </w:rPr>
      </w:pPr>
      <w:r>
        <w:rPr>
          <w:rFonts w:ascii="Times New Roman" w:eastAsiaTheme="majorEastAsia" w:hAnsi="Times New Roman" w:cs="Times New Roman"/>
          <w:sz w:val="24"/>
          <w:szCs w:val="24"/>
          <w:lang w:val="sq-AL"/>
        </w:rPr>
        <w:t xml:space="preserve">Gjithashtu </w:t>
      </w:r>
      <w:r w:rsidR="00C8275C" w:rsidRPr="00C8275C">
        <w:rPr>
          <w:rFonts w:ascii="Times New Roman" w:eastAsiaTheme="majorEastAsia" w:hAnsi="Times New Roman" w:cs="Times New Roman"/>
          <w:sz w:val="24"/>
          <w:szCs w:val="24"/>
          <w:lang w:val="sq-AL"/>
        </w:rPr>
        <w:t>Drejtoria e Harmonizimit të Menaxhimit Financiar, Kontrollit dhe Kontabilitetit</w:t>
      </w:r>
      <w:r w:rsidR="00C8275C" w:rsidRPr="00C8275C">
        <w:rPr>
          <w:rFonts w:ascii="Times New Roman" w:eastAsiaTheme="majorEastAsia" w:hAnsi="Times New Roman" w:cs="Times New Roman"/>
          <w:i/>
          <w:iCs/>
          <w:sz w:val="24"/>
          <w:szCs w:val="24"/>
          <w:lang w:val="sq-AL"/>
        </w:rPr>
        <w:t xml:space="preserve"> </w:t>
      </w:r>
      <w:r w:rsidR="00C8275C" w:rsidRPr="00C8275C">
        <w:rPr>
          <w:rFonts w:ascii="Times New Roman" w:eastAsia="Times New Roman" w:hAnsi="Times New Roman" w:cs="Times New Roman"/>
          <w:color w:val="000000"/>
          <w:sz w:val="24"/>
          <w:szCs w:val="24"/>
          <w:lang w:val="sq-AL" w:eastAsia="en-GB"/>
        </w:rPr>
        <w:t>është në proces hartimi të një metodologjie më të detajuar në lidhje me inventarizimin dhe procesin e vlerësimit të aktiveve në sektorin publik, në kuadër të reformës mbi zhvillimin e kontabilitetit të sektorit publik bazuar në IPSAS të ndërmarrë nga Ministria e Financave</w:t>
      </w:r>
      <w:r w:rsidR="005C3021">
        <w:rPr>
          <w:rFonts w:ascii="Times New Roman" w:eastAsia="Times New Roman" w:hAnsi="Times New Roman" w:cs="Times New Roman"/>
          <w:color w:val="000000"/>
          <w:sz w:val="24"/>
          <w:szCs w:val="24"/>
          <w:lang w:val="sq-AL" w:eastAsia="en-GB"/>
        </w:rPr>
        <w:t xml:space="preserve">, </w:t>
      </w:r>
      <w:r w:rsidR="00B35782">
        <w:rPr>
          <w:rFonts w:ascii="Times New Roman" w:eastAsia="Times New Roman" w:hAnsi="Times New Roman" w:cs="Times New Roman"/>
          <w:color w:val="000000"/>
          <w:sz w:val="24"/>
          <w:szCs w:val="24"/>
          <w:lang w:val="sq-AL" w:eastAsia="en-GB"/>
        </w:rPr>
        <w:t xml:space="preserve">me </w:t>
      </w:r>
      <w:r w:rsidR="00C8275C" w:rsidRPr="00C8275C">
        <w:rPr>
          <w:rFonts w:ascii="Times New Roman" w:eastAsia="Times New Roman" w:hAnsi="Times New Roman" w:cs="Times New Roman"/>
          <w:color w:val="000000"/>
          <w:sz w:val="24"/>
          <w:szCs w:val="24"/>
          <w:lang w:val="sq-AL" w:eastAsia="en-GB"/>
        </w:rPr>
        <w:t>synim</w:t>
      </w:r>
      <w:r w:rsidR="00B35782">
        <w:rPr>
          <w:rFonts w:ascii="Times New Roman" w:eastAsia="Times New Roman" w:hAnsi="Times New Roman" w:cs="Times New Roman"/>
          <w:color w:val="000000"/>
          <w:sz w:val="24"/>
          <w:szCs w:val="24"/>
          <w:lang w:val="sq-AL" w:eastAsia="en-GB"/>
        </w:rPr>
        <w:t xml:space="preserve"> </w:t>
      </w:r>
      <w:r w:rsidR="00C8275C" w:rsidRPr="00C8275C">
        <w:rPr>
          <w:rFonts w:ascii="Times New Roman" w:eastAsia="Times New Roman" w:hAnsi="Times New Roman" w:cs="Times New Roman"/>
          <w:color w:val="000000"/>
          <w:sz w:val="24"/>
          <w:szCs w:val="24"/>
          <w:lang w:val="sq-AL" w:eastAsia="en-GB"/>
        </w:rPr>
        <w:t>kryesor përmirësimin e vendimmarrjes, përgjegjshmërisë, transparencës dhe performancës në sektorin publik.</w:t>
      </w:r>
      <w:r w:rsidR="00DD1710">
        <w:rPr>
          <w:rFonts w:ascii="Times New Roman" w:eastAsia="Times New Roman" w:hAnsi="Times New Roman" w:cs="Times New Roman"/>
          <w:color w:val="000000"/>
          <w:sz w:val="24"/>
          <w:szCs w:val="24"/>
          <w:lang w:val="sq-AL" w:eastAsia="en-GB"/>
        </w:rPr>
        <w:t xml:space="preserve"> Kjo metodologji është pjesë e paketës së kuadrit rregullator të fushës së kontabilitetit të sektorit publik (ligji, udhëzimi dhe manualet e fushës) i cili do të hartohet gjatë fazës së dytë të reformës së mësipërme. </w:t>
      </w:r>
    </w:p>
    <w:p w14:paraId="42D35768" w14:textId="77777777" w:rsidR="00C8275C" w:rsidRPr="00C8275C" w:rsidRDefault="00C8275C" w:rsidP="00C8275C">
      <w:pPr>
        <w:spacing w:after="0" w:line="276" w:lineRule="auto"/>
        <w:jc w:val="both"/>
        <w:rPr>
          <w:rFonts w:ascii="Times New Roman" w:eastAsia="Times New Roman" w:hAnsi="Times New Roman" w:cs="Times New Roman"/>
          <w:color w:val="000000"/>
          <w:sz w:val="24"/>
          <w:szCs w:val="24"/>
          <w:lang w:val="sq-AL" w:eastAsia="en-GB"/>
        </w:rPr>
      </w:pPr>
    </w:p>
    <w:p w14:paraId="0AEF1EC9" w14:textId="77777777" w:rsid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 xml:space="preserve">Gjatë periudhës së raportimit është realizuar përditësimi i manualeve ekzistuese mbi përdorimin e Sistemit Informatik Financiar të Qeverisë (SIFQ), në përshtatje me ndryshimet e  legjislacionit në fuqi. Në muajin shkurt 2024 është përditësuar </w:t>
      </w:r>
      <w:r w:rsidRPr="0063193C">
        <w:rPr>
          <w:rFonts w:ascii="Times New Roman" w:hAnsi="Times New Roman" w:cs="Times New Roman"/>
          <w:kern w:val="2"/>
          <w:sz w:val="24"/>
          <w:szCs w:val="24"/>
          <w:lang w:val="sv-SE"/>
          <w14:ligatures w14:val="standardContextual"/>
        </w:rPr>
        <w:t>“Manuali i Përdorimit të Regjistrimit në Sistem të Detyrimeve të prapambetura” për pjesën e  pagesave  të pjesshme. Qëllimi i përditësimit të këtij manuali është lehtësimi i procedurave për punonjësit e degëve të thesarit dhe institucioneve me akses të drejtpërdrejtë në SIFQ, si dhe përmirësimi raportimit financiar për detyrimet e prapambetura. Ky manual bazohet në:</w:t>
      </w:r>
    </w:p>
    <w:p w14:paraId="16569957" w14:textId="77777777" w:rsidR="00C8275C" w:rsidRP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p>
    <w:p w14:paraId="127CC8D5" w14:textId="676E9897" w:rsidR="00C8275C" w:rsidRPr="0063193C" w:rsidRDefault="00C8275C" w:rsidP="00C8275C">
      <w:pPr>
        <w:numPr>
          <w:ilvl w:val="0"/>
          <w:numId w:val="11"/>
        </w:numPr>
        <w:spacing w:after="0" w:line="276" w:lineRule="auto"/>
        <w:contextualSpacing/>
        <w:jc w:val="both"/>
        <w:rPr>
          <w:rFonts w:ascii="Times New Roman" w:hAnsi="Times New Roman" w:cs="Times New Roman"/>
          <w:kern w:val="2"/>
          <w:sz w:val="24"/>
          <w:szCs w:val="24"/>
          <w:lang w:val="sv-SE"/>
          <w14:ligatures w14:val="standardContextual"/>
        </w:rPr>
      </w:pPr>
      <w:r w:rsidRPr="0063193C">
        <w:rPr>
          <w:rFonts w:ascii="Times New Roman" w:hAnsi="Times New Roman" w:cs="Times New Roman"/>
          <w:kern w:val="2"/>
          <w:sz w:val="24"/>
          <w:szCs w:val="24"/>
          <w:lang w:val="sv-SE"/>
          <w14:ligatures w14:val="standardContextual"/>
        </w:rPr>
        <w:t>Udhëzim</w:t>
      </w:r>
      <w:r w:rsidR="00B35782" w:rsidRPr="0063193C">
        <w:rPr>
          <w:rFonts w:ascii="Times New Roman" w:hAnsi="Times New Roman" w:cs="Times New Roman"/>
          <w:kern w:val="2"/>
          <w:sz w:val="24"/>
          <w:szCs w:val="24"/>
          <w:lang w:val="sv-SE"/>
          <w14:ligatures w14:val="standardContextual"/>
        </w:rPr>
        <w:t>in</w:t>
      </w:r>
      <w:r w:rsidRPr="0063193C">
        <w:rPr>
          <w:rFonts w:ascii="Times New Roman" w:hAnsi="Times New Roman" w:cs="Times New Roman"/>
          <w:kern w:val="2"/>
          <w:sz w:val="24"/>
          <w:szCs w:val="24"/>
          <w:lang w:val="sv-SE"/>
          <w14:ligatures w14:val="standardContextual"/>
        </w:rPr>
        <w:t xml:space="preserve"> nr.5, datë 21.02.2022 “Për disa ndryshime në udhëzimin e Ministrit të Financave dhe Ekonomisë nr.8, datë 09.03.2018, “Për procedurat e përgatitjes, paraqitjes dhe raportimit të pasqyrave financiare vjetore në Njësitë e Qeverisjes së Përgjithshme”.  </w:t>
      </w:r>
    </w:p>
    <w:p w14:paraId="5831559D" w14:textId="04306EEB" w:rsidR="00C8275C" w:rsidRPr="0063193C" w:rsidRDefault="00C8275C" w:rsidP="00C8275C">
      <w:pPr>
        <w:numPr>
          <w:ilvl w:val="0"/>
          <w:numId w:val="11"/>
        </w:numPr>
        <w:spacing w:after="0" w:line="276" w:lineRule="auto"/>
        <w:contextualSpacing/>
        <w:jc w:val="both"/>
        <w:rPr>
          <w:rFonts w:ascii="Times New Roman" w:hAnsi="Times New Roman" w:cs="Times New Roman"/>
          <w:kern w:val="2"/>
          <w:sz w:val="24"/>
          <w:szCs w:val="24"/>
          <w:lang w:val="sv-SE"/>
          <w14:ligatures w14:val="standardContextual"/>
        </w:rPr>
      </w:pPr>
      <w:r w:rsidRPr="0063193C">
        <w:rPr>
          <w:rFonts w:ascii="Times New Roman" w:hAnsi="Times New Roman" w:cs="Times New Roman"/>
          <w:kern w:val="2"/>
          <w:sz w:val="24"/>
          <w:szCs w:val="24"/>
          <w:lang w:val="sv-SE"/>
          <w14:ligatures w14:val="standardContextual"/>
        </w:rPr>
        <w:t>Udhëzim</w:t>
      </w:r>
      <w:r w:rsidR="00B35782" w:rsidRPr="0063193C">
        <w:rPr>
          <w:rFonts w:ascii="Times New Roman" w:hAnsi="Times New Roman" w:cs="Times New Roman"/>
          <w:kern w:val="2"/>
          <w:sz w:val="24"/>
          <w:szCs w:val="24"/>
          <w:lang w:val="sv-SE"/>
          <w14:ligatures w14:val="standardContextual"/>
        </w:rPr>
        <w:t>in</w:t>
      </w:r>
      <w:r w:rsidRPr="0063193C">
        <w:rPr>
          <w:rFonts w:ascii="Times New Roman" w:hAnsi="Times New Roman" w:cs="Times New Roman"/>
          <w:kern w:val="2"/>
          <w:sz w:val="24"/>
          <w:szCs w:val="24"/>
          <w:lang w:val="sv-SE"/>
          <w14:ligatures w14:val="standardContextual"/>
        </w:rPr>
        <w:t xml:space="preserve"> nr.37, datë 06.10.2020 “Për monitorimin dhe publikimin periodik të stokut të detyrimeve të prapambetura të Njësive të Qeverisjes së Përgjithshme”.</w:t>
      </w:r>
    </w:p>
    <w:p w14:paraId="6705CECE" w14:textId="77777777" w:rsidR="00C8275C" w:rsidRPr="00C8275C" w:rsidRDefault="00C8275C" w:rsidP="00C8275C">
      <w:pPr>
        <w:spacing w:after="0" w:line="276" w:lineRule="auto"/>
        <w:ind w:left="720"/>
        <w:contextualSpacing/>
        <w:jc w:val="both"/>
        <w:rPr>
          <w:rFonts w:ascii="Times New Roman" w:hAnsi="Times New Roman" w:cs="Times New Roman"/>
          <w:kern w:val="2"/>
          <w:sz w:val="24"/>
          <w:szCs w:val="24"/>
          <w:lang w:val="sv-SE"/>
          <w14:ligatures w14:val="standardContextual"/>
        </w:rPr>
      </w:pPr>
    </w:p>
    <w:p w14:paraId="77AE57C0" w14:textId="77777777" w:rsidR="00C8275C" w:rsidRPr="00C8275C" w:rsidRDefault="00C8275C" w:rsidP="00C8275C">
      <w:pPr>
        <w:spacing w:after="0" w:line="276" w:lineRule="auto"/>
        <w:jc w:val="both"/>
        <w:rPr>
          <w:rFonts w:ascii="Times New Roman" w:hAnsi="Times New Roman" w:cs="Times New Roman"/>
          <w:kern w:val="2"/>
          <w:sz w:val="24"/>
          <w:szCs w:val="24"/>
          <w:lang w:val="sv-SE"/>
          <w14:ligatures w14:val="standardContextual"/>
        </w:rPr>
      </w:pPr>
      <w:r w:rsidRPr="00C8275C">
        <w:rPr>
          <w:rFonts w:ascii="Times New Roman" w:hAnsi="Times New Roman" w:cs="Times New Roman"/>
          <w:kern w:val="2"/>
          <w:sz w:val="24"/>
          <w:szCs w:val="24"/>
          <w:lang w:val="sv-SE"/>
          <w14:ligatures w14:val="standardContextual"/>
        </w:rPr>
        <w:t xml:space="preserve">Për përditësimin e manualit kanë kontribuar Drejtoria e Procesimit te Biznesit në bashkëpunim me Drejtorinë e Operacioneve të Thesarit. Manuali i përditësuar është dërguar degëve të thesarit dhe institucioneve me akses të drejtpërdrejtë në SIFQ, për zbatim nga ana e tyre.                                                                               </w:t>
      </w:r>
    </w:p>
    <w:p w14:paraId="2D7E951D" w14:textId="77777777" w:rsidR="00C8275C" w:rsidRDefault="00C8275C" w:rsidP="00C8275C">
      <w:pPr>
        <w:spacing w:after="0" w:line="276" w:lineRule="auto"/>
        <w:jc w:val="both"/>
        <w:rPr>
          <w:rFonts w:ascii="Times New Roman" w:hAnsi="Times New Roman" w:cs="Times New Roman"/>
          <w:b/>
          <w:bCs/>
          <w:color w:val="000000" w:themeColor="text1"/>
          <w:kern w:val="2"/>
          <w:sz w:val="24"/>
          <w:szCs w:val="24"/>
          <w:lang w:val="sv-SE"/>
          <w14:ligatures w14:val="standardContextual"/>
        </w:rPr>
      </w:pPr>
    </w:p>
    <w:p w14:paraId="67EB4FE9" w14:textId="77777777" w:rsidR="00956FE5" w:rsidRPr="00C8275C" w:rsidRDefault="00956FE5" w:rsidP="00C8275C">
      <w:pPr>
        <w:spacing w:after="0" w:line="276" w:lineRule="auto"/>
        <w:jc w:val="both"/>
        <w:rPr>
          <w:rFonts w:ascii="Times New Roman" w:hAnsi="Times New Roman" w:cs="Times New Roman"/>
          <w:b/>
          <w:bCs/>
          <w:color w:val="000000" w:themeColor="text1"/>
          <w:kern w:val="2"/>
          <w:sz w:val="24"/>
          <w:szCs w:val="24"/>
          <w:lang w:val="sv-SE"/>
          <w14:ligatures w14:val="standardContextual"/>
        </w:rPr>
      </w:pPr>
    </w:p>
    <w:p w14:paraId="59980B01" w14:textId="4ABBF886" w:rsidR="00C8275C" w:rsidRPr="00C8275C" w:rsidRDefault="00C8275C" w:rsidP="00C8275C">
      <w:pPr>
        <w:pStyle w:val="ListParagraph"/>
        <w:numPr>
          <w:ilvl w:val="0"/>
          <w:numId w:val="3"/>
        </w:numPr>
        <w:spacing w:after="0" w:line="276" w:lineRule="auto"/>
        <w:jc w:val="both"/>
        <w:rPr>
          <w:rFonts w:ascii="Times New Roman" w:hAnsi="Times New Roman" w:cs="Times New Roman"/>
          <w:b/>
          <w:bCs/>
          <w:color w:val="000000" w:themeColor="text1"/>
          <w:kern w:val="2"/>
          <w:sz w:val="24"/>
          <w:szCs w:val="24"/>
          <w:lang w:val="sv-SE"/>
          <w14:ligatures w14:val="standardContextual"/>
        </w:rPr>
      </w:pPr>
      <w:r w:rsidRPr="00C8275C">
        <w:rPr>
          <w:rFonts w:ascii="Times New Roman" w:hAnsi="Times New Roman" w:cs="Times New Roman"/>
          <w:b/>
          <w:bCs/>
          <w:color w:val="000000" w:themeColor="text1"/>
          <w:kern w:val="2"/>
          <w:sz w:val="24"/>
          <w:szCs w:val="24"/>
          <w:lang w:val="sv-SE"/>
          <w14:ligatures w14:val="standardContextual"/>
        </w:rPr>
        <w:t xml:space="preserve">KONKLUZIONE DHE REKOMANDIME </w:t>
      </w:r>
    </w:p>
    <w:p w14:paraId="675F0E46" w14:textId="77777777" w:rsidR="00C8275C" w:rsidRPr="00C8275C" w:rsidRDefault="00C8275C" w:rsidP="00C8275C">
      <w:pPr>
        <w:pStyle w:val="ListParagraph"/>
        <w:spacing w:after="0" w:line="276" w:lineRule="auto"/>
        <w:ind w:left="1080"/>
        <w:jc w:val="both"/>
        <w:rPr>
          <w:rFonts w:ascii="Times New Roman" w:hAnsi="Times New Roman" w:cs="Times New Roman"/>
          <w:b/>
          <w:bCs/>
          <w:color w:val="000000" w:themeColor="text1"/>
          <w:kern w:val="2"/>
          <w:sz w:val="24"/>
          <w:szCs w:val="24"/>
          <w:lang w:val="sv-SE"/>
          <w14:ligatures w14:val="standardContextual"/>
        </w:rPr>
      </w:pPr>
    </w:p>
    <w:p w14:paraId="4DAFC7B3" w14:textId="07166068" w:rsidR="00C8275C" w:rsidRPr="00C8275C" w:rsidRDefault="00C8275C" w:rsidP="00C8275C">
      <w:pPr>
        <w:spacing w:after="0" w:line="276" w:lineRule="auto"/>
        <w:jc w:val="both"/>
        <w:rPr>
          <w:rFonts w:ascii="Times New Roman" w:hAnsi="Times New Roman" w:cs="Times New Roman"/>
          <w:kern w:val="2"/>
          <w:sz w:val="24"/>
          <w:szCs w:val="24"/>
          <w:lang w:val="sq-AL"/>
          <w14:ligatures w14:val="standardContextual"/>
        </w:rPr>
      </w:pPr>
      <w:r w:rsidRPr="00C8275C">
        <w:rPr>
          <w:rFonts w:ascii="Times New Roman" w:hAnsi="Times New Roman" w:cs="Times New Roman"/>
          <w:kern w:val="2"/>
          <w:sz w:val="24"/>
          <w:szCs w:val="24"/>
          <w:lang w:val="sq-AL"/>
          <w14:ligatures w14:val="standardContextual"/>
        </w:rPr>
        <w:t>Raporti monitorimi është kryer në përputhje me Metodologjinë e Monitorimit të Planit për Institucionet e Qeverisjes Qendrore, miratuar me urdhër të Ministrit të Drejtësisë nr.553, datë 30.09.2021</w:t>
      </w:r>
      <w:r w:rsidRPr="00172AFF">
        <w:rPr>
          <w:rFonts w:ascii="Times New Roman" w:hAnsi="Times New Roman" w:cs="Times New Roman"/>
          <w:kern w:val="2"/>
          <w:sz w:val="24"/>
          <w:szCs w:val="24"/>
          <w:lang w:val="sq-AL"/>
          <w14:ligatures w14:val="standardContextual"/>
        </w:rPr>
        <w:t xml:space="preserve">,“Për miratimin e metodologjisë së monitorimit të Planit të Integritetit për institucionet e </w:t>
      </w:r>
      <w:r w:rsidR="00CA0B4A">
        <w:rPr>
          <w:rFonts w:ascii="Times New Roman" w:hAnsi="Times New Roman" w:cs="Times New Roman"/>
          <w:kern w:val="2"/>
          <w:sz w:val="24"/>
          <w:szCs w:val="24"/>
          <w:lang w:val="sq-AL"/>
          <w14:ligatures w14:val="standardContextual"/>
        </w:rPr>
        <w:t>qe</w:t>
      </w:r>
      <w:r w:rsidRPr="00172AFF">
        <w:rPr>
          <w:rFonts w:ascii="Times New Roman" w:hAnsi="Times New Roman" w:cs="Times New Roman"/>
          <w:kern w:val="2"/>
          <w:sz w:val="24"/>
          <w:szCs w:val="24"/>
          <w:lang w:val="sq-AL"/>
          <w14:ligatures w14:val="standardContextual"/>
        </w:rPr>
        <w:t>verisjes qendrore”.</w:t>
      </w:r>
      <w:r w:rsidRPr="00C8275C">
        <w:rPr>
          <w:rFonts w:ascii="Times New Roman" w:hAnsi="Times New Roman" w:cs="Times New Roman"/>
          <w:kern w:val="2"/>
          <w:sz w:val="24"/>
          <w:szCs w:val="24"/>
          <w:lang w:val="sq-AL"/>
          <w14:ligatures w14:val="standardContextual"/>
        </w:rPr>
        <w:t xml:space="preserve"> Në përmbyllje të këtij raporti monitorimi për </w:t>
      </w:r>
      <w:r w:rsidR="00BA1A7C">
        <w:rPr>
          <w:rFonts w:ascii="Times New Roman" w:hAnsi="Times New Roman" w:cs="Times New Roman"/>
          <w:kern w:val="2"/>
          <w:sz w:val="24"/>
          <w:szCs w:val="24"/>
          <w:lang w:val="sq-AL"/>
          <w14:ligatures w14:val="standardContextual"/>
        </w:rPr>
        <w:t>vitin 2024</w:t>
      </w:r>
      <w:r w:rsidRPr="00C8275C">
        <w:rPr>
          <w:rFonts w:ascii="Times New Roman" w:hAnsi="Times New Roman" w:cs="Times New Roman"/>
          <w:iCs/>
          <w:kern w:val="2"/>
          <w:sz w:val="24"/>
          <w:szCs w:val="24"/>
          <w:lang w:val="sq-AL"/>
          <w14:ligatures w14:val="standardContextual"/>
        </w:rPr>
        <w:t>,</w:t>
      </w:r>
      <w:r w:rsidRPr="00C8275C">
        <w:rPr>
          <w:rFonts w:ascii="Times New Roman" w:hAnsi="Times New Roman" w:cs="Times New Roman"/>
          <w:kern w:val="2"/>
          <w:sz w:val="24"/>
          <w:szCs w:val="24"/>
          <w:lang w:val="sq-AL"/>
          <w14:ligatures w14:val="standardContextual"/>
        </w:rPr>
        <w:t xml:space="preserve"> rezulton se:</w:t>
      </w:r>
    </w:p>
    <w:p w14:paraId="6B8CE9A1" w14:textId="77777777" w:rsidR="00C8275C" w:rsidRPr="00C8275C" w:rsidRDefault="00C8275C" w:rsidP="00C8275C">
      <w:pPr>
        <w:spacing w:after="0" w:line="276" w:lineRule="auto"/>
        <w:jc w:val="both"/>
        <w:rPr>
          <w:rFonts w:ascii="Times New Roman" w:hAnsi="Times New Roman" w:cs="Times New Roman"/>
          <w:kern w:val="2"/>
          <w:sz w:val="24"/>
          <w:szCs w:val="24"/>
          <w:lang w:val="sq-AL"/>
          <w14:ligatures w14:val="standardContextual"/>
        </w:rPr>
      </w:pPr>
    </w:p>
    <w:p w14:paraId="0545BEAF" w14:textId="6A1BC134" w:rsidR="000718AE" w:rsidRPr="00BA1A7C" w:rsidRDefault="00C8275C" w:rsidP="000718AE">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BA1A7C">
        <w:rPr>
          <w:rFonts w:ascii="Times New Roman" w:hAnsi="Times New Roman" w:cs="Times New Roman"/>
          <w:kern w:val="2"/>
          <w:sz w:val="24"/>
          <w:szCs w:val="24"/>
          <w:lang w:val="sq-AL"/>
          <w14:ligatures w14:val="standardContextual"/>
        </w:rPr>
        <w:t>Ministria e Financave ka përmbush</w:t>
      </w:r>
      <w:r w:rsidR="00172AFF" w:rsidRPr="00BA1A7C">
        <w:rPr>
          <w:rFonts w:ascii="Times New Roman" w:hAnsi="Times New Roman" w:cs="Times New Roman"/>
          <w:kern w:val="2"/>
          <w:sz w:val="24"/>
          <w:szCs w:val="24"/>
          <w:lang w:val="sq-AL"/>
          <w14:ligatures w14:val="standardContextual"/>
        </w:rPr>
        <w:t>ur</w:t>
      </w:r>
      <w:r w:rsidRPr="00BA1A7C">
        <w:rPr>
          <w:rFonts w:ascii="Times New Roman" w:hAnsi="Times New Roman" w:cs="Times New Roman"/>
          <w:kern w:val="2"/>
          <w:sz w:val="24"/>
          <w:szCs w:val="24"/>
          <w:lang w:val="sq-AL"/>
          <w14:ligatures w14:val="standardContextual"/>
        </w:rPr>
        <w:t xml:space="preserve"> masa</w:t>
      </w:r>
      <w:r w:rsidR="00172AFF" w:rsidRPr="00BA1A7C">
        <w:rPr>
          <w:rFonts w:ascii="Times New Roman" w:hAnsi="Times New Roman" w:cs="Times New Roman"/>
          <w:kern w:val="2"/>
          <w:sz w:val="24"/>
          <w:szCs w:val="24"/>
          <w:lang w:val="sq-AL"/>
          <w14:ligatures w14:val="standardContextual"/>
        </w:rPr>
        <w:t>t e</w:t>
      </w:r>
      <w:r w:rsidRPr="00BA1A7C">
        <w:rPr>
          <w:rFonts w:ascii="Times New Roman" w:hAnsi="Times New Roman" w:cs="Times New Roman"/>
          <w:kern w:val="2"/>
          <w:sz w:val="24"/>
          <w:szCs w:val="24"/>
          <w:lang w:val="sq-AL"/>
          <w14:ligatures w14:val="standardContextual"/>
        </w:rPr>
        <w:t xml:space="preserve"> parashikuara në Planin e Integritetit.</w:t>
      </w:r>
    </w:p>
    <w:p w14:paraId="4A29F6CC" w14:textId="4C29599E" w:rsidR="000718AE" w:rsidRPr="000718AE" w:rsidRDefault="000718AE" w:rsidP="000718AE">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1800A7">
        <w:rPr>
          <w:rFonts w:ascii="Times New Roman" w:hAnsi="Times New Roman" w:cs="Times New Roman"/>
          <w:sz w:val="24"/>
          <w:szCs w:val="24"/>
          <w:lang w:val="sq-AL"/>
        </w:rPr>
        <w:t>Krahasuar me vitet e kaluara</w:t>
      </w:r>
      <w:r>
        <w:rPr>
          <w:rFonts w:ascii="Times New Roman" w:hAnsi="Times New Roman" w:cs="Times New Roman"/>
          <w:sz w:val="24"/>
          <w:szCs w:val="24"/>
          <w:lang w:val="sq-AL"/>
        </w:rPr>
        <w:t>,</w:t>
      </w:r>
      <w:r w:rsidR="00C650A3">
        <w:rPr>
          <w:rFonts w:ascii="Times New Roman" w:hAnsi="Times New Roman" w:cs="Times New Roman"/>
          <w:sz w:val="24"/>
          <w:szCs w:val="24"/>
          <w:lang w:val="sq-AL"/>
        </w:rPr>
        <w:t xml:space="preserve"> </w:t>
      </w:r>
      <w:r>
        <w:rPr>
          <w:rFonts w:ascii="Times New Roman" w:hAnsi="Times New Roman" w:cs="Times New Roman"/>
          <w:sz w:val="24"/>
          <w:szCs w:val="24"/>
          <w:lang w:val="sq-AL"/>
        </w:rPr>
        <w:t>performanca institucionale e Ministrisë së Financave është në rritje, ku gjatë kësaj periudhe evidentohet se është rritur cilësia e menaxhimit të procesi</w:t>
      </w:r>
      <w:r w:rsidR="00C650A3">
        <w:rPr>
          <w:rFonts w:ascii="Times New Roman" w:hAnsi="Times New Roman" w:cs="Times New Roman"/>
          <w:sz w:val="24"/>
          <w:szCs w:val="24"/>
          <w:lang w:val="sq-AL"/>
        </w:rPr>
        <w:t>t të konsultimit publik</w:t>
      </w:r>
      <w:r>
        <w:rPr>
          <w:rFonts w:ascii="Times New Roman" w:hAnsi="Times New Roman" w:cs="Times New Roman"/>
          <w:sz w:val="24"/>
          <w:szCs w:val="24"/>
          <w:lang w:val="sq-AL"/>
        </w:rPr>
        <w:t xml:space="preserve">, si dhe </w:t>
      </w:r>
      <w:r>
        <w:rPr>
          <w:rFonts w:ascii="Times New Roman" w:hAnsi="Times New Roman" w:cs="Times New Roman"/>
          <w:kern w:val="2"/>
          <w:sz w:val="24"/>
          <w:szCs w:val="24"/>
          <w:lang w:val="sq-AL"/>
          <w14:ligatures w14:val="standardContextual"/>
        </w:rPr>
        <w:t>d</w:t>
      </w:r>
      <w:r w:rsidRPr="001800A7">
        <w:rPr>
          <w:rFonts w:ascii="Times New Roman" w:hAnsi="Times New Roman" w:cs="Times New Roman"/>
          <w:kern w:val="2"/>
          <w:sz w:val="24"/>
          <w:szCs w:val="24"/>
          <w:lang w:val="sq-AL"/>
          <w14:ligatures w14:val="standardContextual"/>
        </w:rPr>
        <w:t>igjitalizimi i procesit të konsultimit ka bërë të mundur rritjen e pjesëmarrjes së publikut nëpërmjet Regjistrit Elektronik të Njoftimit dhe Konsultimit Publik.</w:t>
      </w:r>
    </w:p>
    <w:p w14:paraId="463158CF" w14:textId="1D8DD1B3" w:rsidR="00C8275C" w:rsidRDefault="00C8275C" w:rsidP="00C8275C">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C8275C">
        <w:rPr>
          <w:rFonts w:ascii="Times New Roman" w:hAnsi="Times New Roman" w:cs="Times New Roman"/>
          <w:kern w:val="2"/>
          <w:sz w:val="24"/>
          <w:szCs w:val="24"/>
          <w:lang w:val="sq-AL"/>
          <w14:ligatures w14:val="standardContextual"/>
        </w:rPr>
        <w:t xml:space="preserve">Është realizuar </w:t>
      </w:r>
      <w:r w:rsidRPr="00F45E0F">
        <w:rPr>
          <w:rFonts w:ascii="Times New Roman" w:hAnsi="Times New Roman" w:cs="Times New Roman"/>
          <w:kern w:val="2"/>
          <w:sz w:val="24"/>
          <w:szCs w:val="24"/>
          <w:lang w:val="sq-AL"/>
          <w14:ligatures w14:val="standardContextual"/>
        </w:rPr>
        <w:t>plotësimi i vendeve vakan</w:t>
      </w:r>
      <w:r w:rsidR="00ED25CF" w:rsidRPr="00F45E0F">
        <w:rPr>
          <w:rFonts w:ascii="Times New Roman" w:hAnsi="Times New Roman" w:cs="Times New Roman"/>
          <w:kern w:val="2"/>
          <w:sz w:val="24"/>
          <w:szCs w:val="24"/>
          <w:lang w:val="sq-AL"/>
          <w14:ligatures w14:val="standardContextual"/>
        </w:rPr>
        <w:t>t</w:t>
      </w:r>
      <w:r w:rsidRPr="00F45E0F">
        <w:rPr>
          <w:rFonts w:ascii="Times New Roman" w:hAnsi="Times New Roman" w:cs="Times New Roman"/>
          <w:kern w:val="2"/>
          <w:sz w:val="24"/>
          <w:szCs w:val="24"/>
          <w:lang w:val="sq-AL"/>
          <w14:ligatures w14:val="standardContextual"/>
        </w:rPr>
        <w:t>e të</w:t>
      </w:r>
      <w:r w:rsidRPr="00C8275C">
        <w:rPr>
          <w:rFonts w:ascii="Times New Roman" w:hAnsi="Times New Roman" w:cs="Times New Roman"/>
          <w:kern w:val="2"/>
          <w:sz w:val="24"/>
          <w:szCs w:val="24"/>
          <w:lang w:val="sq-AL"/>
          <w14:ligatures w14:val="standardContextual"/>
        </w:rPr>
        <w:t xml:space="preserve"> ministrisë, në bashkëpunim me Departamentin e Administratës Publike sipas një procesi transparent dhe të drejtë, mbështetur në parimet e shanseve të barabarta, mosdiskriminimit, merit</w:t>
      </w:r>
      <w:r w:rsidR="005B7743">
        <w:rPr>
          <w:rFonts w:ascii="Times New Roman" w:hAnsi="Times New Roman" w:cs="Times New Roman"/>
          <w:kern w:val="2"/>
          <w:sz w:val="24"/>
          <w:szCs w:val="24"/>
          <w:lang w:val="sq-AL"/>
          <w14:ligatures w14:val="standardContextual"/>
        </w:rPr>
        <w:t>ës</w:t>
      </w:r>
      <w:r w:rsidRPr="00C8275C">
        <w:rPr>
          <w:rFonts w:ascii="Times New Roman" w:hAnsi="Times New Roman" w:cs="Times New Roman"/>
          <w:kern w:val="2"/>
          <w:sz w:val="24"/>
          <w:szCs w:val="24"/>
          <w:lang w:val="sq-AL"/>
          <w14:ligatures w14:val="standardContextual"/>
        </w:rPr>
        <w:t xml:space="preserve">, profesionalizmit dhe paanësisë politike. </w:t>
      </w:r>
    </w:p>
    <w:p w14:paraId="39EA34D6" w14:textId="18F91477" w:rsidR="00C8275C" w:rsidRPr="005B7743" w:rsidRDefault="00C8275C" w:rsidP="005B7743">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C8275C">
        <w:rPr>
          <w:rFonts w:ascii="Times New Roman" w:hAnsi="Times New Roman" w:cs="Times New Roman"/>
          <w:kern w:val="2"/>
          <w:sz w:val="24"/>
          <w:szCs w:val="24"/>
          <w:lang w:val="sq-AL"/>
          <w14:ligatures w14:val="standardContextual"/>
        </w:rPr>
        <w:t xml:space="preserve">Janë </w:t>
      </w:r>
      <w:r w:rsidR="006F330C">
        <w:rPr>
          <w:rFonts w:ascii="Times New Roman" w:hAnsi="Times New Roman" w:cs="Times New Roman"/>
          <w:kern w:val="2"/>
          <w:sz w:val="24"/>
          <w:szCs w:val="24"/>
          <w:lang w:val="sq-AL"/>
          <w14:ligatures w14:val="standardContextual"/>
        </w:rPr>
        <w:t xml:space="preserve">realizuar </w:t>
      </w:r>
      <w:r w:rsidRPr="00F45E0F">
        <w:rPr>
          <w:rFonts w:ascii="Times New Roman" w:hAnsi="Times New Roman" w:cs="Times New Roman"/>
          <w:kern w:val="2"/>
          <w:sz w:val="24"/>
          <w:szCs w:val="24"/>
          <w:lang w:val="sq-AL"/>
          <w14:ligatures w14:val="standardContextual"/>
        </w:rPr>
        <w:t>trajnime të vazhdueshme me qëllim</w:t>
      </w:r>
      <w:r w:rsidRPr="00C8275C">
        <w:rPr>
          <w:rFonts w:ascii="Times New Roman" w:hAnsi="Times New Roman" w:cs="Times New Roman"/>
          <w:kern w:val="2"/>
          <w:sz w:val="24"/>
          <w:szCs w:val="24"/>
          <w:lang w:val="sq-AL"/>
          <w14:ligatures w14:val="standardContextual"/>
        </w:rPr>
        <w:t xml:space="preserve"> </w:t>
      </w:r>
      <w:r w:rsidRPr="00C8275C">
        <w:rPr>
          <w:rFonts w:ascii="Times New Roman" w:eastAsia="Times New Roman" w:hAnsi="Times New Roman" w:cs="Times New Roman"/>
          <w:color w:val="000000" w:themeColor="text1"/>
          <w:kern w:val="2"/>
          <w:sz w:val="24"/>
          <w:szCs w:val="24"/>
          <w:lang w:val="sq-AL" w:eastAsia="en-GB"/>
          <w14:ligatures w14:val="standardContextual"/>
        </w:rPr>
        <w:t>forcimin e integritetit të punonjësve, si dhe përmirësimin e njohurive të tyre, sipas fushës së veprimtarisë së ministrisë.</w:t>
      </w:r>
    </w:p>
    <w:p w14:paraId="0AEAFF95" w14:textId="28154AC0" w:rsidR="00C8275C" w:rsidRPr="00C8275C" w:rsidRDefault="00C8275C" w:rsidP="00C8275C">
      <w:pPr>
        <w:pStyle w:val="ListParagraph"/>
        <w:numPr>
          <w:ilvl w:val="0"/>
          <w:numId w:val="15"/>
        </w:numPr>
        <w:spacing w:after="0" w:line="276" w:lineRule="auto"/>
        <w:jc w:val="both"/>
        <w:rPr>
          <w:rFonts w:ascii="Times New Roman" w:hAnsi="Times New Roman" w:cs="Times New Roman"/>
          <w:kern w:val="2"/>
          <w:sz w:val="24"/>
          <w:szCs w:val="24"/>
          <w:lang w:val="sq-AL"/>
          <w14:ligatures w14:val="standardContextual"/>
        </w:rPr>
      </w:pPr>
      <w:r w:rsidRPr="00C8275C">
        <w:rPr>
          <w:rFonts w:ascii="Times New Roman" w:eastAsia="Times New Roman" w:hAnsi="Times New Roman" w:cs="Times New Roman"/>
          <w:color w:val="000000" w:themeColor="text1"/>
          <w:kern w:val="2"/>
          <w:sz w:val="24"/>
          <w:szCs w:val="24"/>
          <w:lang w:val="sq-AL" w:eastAsia="en-GB"/>
          <w14:ligatures w14:val="standardContextual"/>
        </w:rPr>
        <w:t xml:space="preserve">Ministria e Financave po vijon </w:t>
      </w:r>
      <w:r w:rsidR="004937B0">
        <w:rPr>
          <w:rFonts w:ascii="Times New Roman" w:eastAsia="Times New Roman" w:hAnsi="Times New Roman" w:cs="Times New Roman"/>
          <w:color w:val="000000" w:themeColor="text1"/>
          <w:kern w:val="2"/>
          <w:sz w:val="24"/>
          <w:szCs w:val="24"/>
          <w:lang w:val="sq-AL" w:eastAsia="en-GB"/>
          <w14:ligatures w14:val="standardContextual"/>
        </w:rPr>
        <w:t>me angazhimin maksimal</w:t>
      </w:r>
      <w:r w:rsidR="004937B0" w:rsidRPr="00C8275C">
        <w:rPr>
          <w:rFonts w:ascii="Times New Roman" w:eastAsia="Times New Roman" w:hAnsi="Times New Roman" w:cs="Times New Roman"/>
          <w:color w:val="000000" w:themeColor="text1"/>
          <w:kern w:val="2"/>
          <w:sz w:val="24"/>
          <w:szCs w:val="24"/>
          <w:lang w:val="sq-AL" w:eastAsia="en-GB"/>
          <w14:ligatures w14:val="standardContextual"/>
        </w:rPr>
        <w:t xml:space="preserve"> </w:t>
      </w:r>
      <w:r w:rsidR="004937B0">
        <w:rPr>
          <w:rFonts w:ascii="Times New Roman" w:eastAsia="Times New Roman" w:hAnsi="Times New Roman" w:cs="Times New Roman"/>
          <w:color w:val="000000" w:themeColor="text1"/>
          <w:kern w:val="2"/>
          <w:sz w:val="24"/>
          <w:szCs w:val="24"/>
          <w:lang w:val="sq-AL" w:eastAsia="en-GB"/>
          <w14:ligatures w14:val="standardContextual"/>
        </w:rPr>
        <w:t xml:space="preserve">për </w:t>
      </w:r>
      <w:r w:rsidRPr="00C8275C">
        <w:rPr>
          <w:rFonts w:ascii="Times New Roman" w:eastAsia="Times New Roman" w:hAnsi="Times New Roman" w:cs="Times New Roman"/>
          <w:color w:val="000000" w:themeColor="text1"/>
          <w:kern w:val="2"/>
          <w:sz w:val="24"/>
          <w:szCs w:val="24"/>
          <w:lang w:val="sq-AL" w:eastAsia="en-GB"/>
          <w14:ligatures w14:val="standardContextual"/>
        </w:rPr>
        <w:t>realizimin e masave të tjera të parashikuara në plan</w:t>
      </w:r>
      <w:r w:rsidR="00952A6B">
        <w:rPr>
          <w:rFonts w:ascii="Times New Roman" w:eastAsia="Times New Roman" w:hAnsi="Times New Roman" w:cs="Times New Roman"/>
          <w:color w:val="000000" w:themeColor="text1"/>
          <w:kern w:val="2"/>
          <w:sz w:val="24"/>
          <w:szCs w:val="24"/>
          <w:lang w:val="sq-AL" w:eastAsia="en-GB"/>
          <w14:ligatures w14:val="standardContextual"/>
        </w:rPr>
        <w:t>,</w:t>
      </w:r>
      <w:r w:rsidRPr="00C8275C">
        <w:rPr>
          <w:rFonts w:ascii="Times New Roman" w:eastAsia="Times New Roman" w:hAnsi="Times New Roman" w:cs="Times New Roman"/>
          <w:color w:val="000000" w:themeColor="text1"/>
          <w:kern w:val="2"/>
          <w:sz w:val="24"/>
          <w:szCs w:val="24"/>
          <w:lang w:val="sq-AL" w:eastAsia="en-GB"/>
          <w14:ligatures w14:val="standardContextual"/>
        </w:rPr>
        <w:t xml:space="preserve"> brenda afateve të caktuara</w:t>
      </w:r>
      <w:r w:rsidR="004937B0">
        <w:rPr>
          <w:rFonts w:ascii="Times New Roman" w:eastAsia="Times New Roman" w:hAnsi="Times New Roman" w:cs="Times New Roman"/>
          <w:color w:val="000000" w:themeColor="text1"/>
          <w:kern w:val="2"/>
          <w:sz w:val="24"/>
          <w:szCs w:val="24"/>
          <w:lang w:val="sq-AL" w:eastAsia="en-GB"/>
          <w14:ligatures w14:val="standardContextual"/>
        </w:rPr>
        <w:t>.</w:t>
      </w:r>
      <w:r w:rsidRPr="00C8275C">
        <w:rPr>
          <w:rFonts w:ascii="Times New Roman" w:eastAsia="Times New Roman" w:hAnsi="Times New Roman" w:cs="Times New Roman"/>
          <w:color w:val="000000" w:themeColor="text1"/>
          <w:kern w:val="2"/>
          <w:sz w:val="24"/>
          <w:szCs w:val="24"/>
          <w:lang w:val="sq-AL" w:eastAsia="en-GB"/>
          <w14:ligatures w14:val="standardContextual"/>
        </w:rPr>
        <w:t xml:space="preserve"> </w:t>
      </w:r>
    </w:p>
    <w:p w14:paraId="373C4AA5" w14:textId="77777777" w:rsidR="00C8275C" w:rsidRPr="00C8275C" w:rsidRDefault="00C8275C" w:rsidP="00C8275C">
      <w:pPr>
        <w:pStyle w:val="ListParagraph"/>
        <w:spacing w:after="0" w:line="276" w:lineRule="auto"/>
        <w:ind w:left="1080"/>
        <w:jc w:val="both"/>
        <w:rPr>
          <w:rFonts w:ascii="Times New Roman" w:hAnsi="Times New Roman" w:cs="Times New Roman"/>
          <w:b/>
          <w:bCs/>
          <w:color w:val="000000" w:themeColor="text1"/>
          <w:kern w:val="2"/>
          <w:sz w:val="24"/>
          <w:szCs w:val="24"/>
          <w:lang w:val="sv-SE"/>
          <w14:ligatures w14:val="standardContextual"/>
        </w:rPr>
      </w:pPr>
    </w:p>
    <w:p w14:paraId="691020D0" w14:textId="29022A8D" w:rsidR="00C8275C" w:rsidRPr="00C8275C" w:rsidRDefault="00C8275C" w:rsidP="00C8275C">
      <w:pPr>
        <w:pStyle w:val="ListParagraph"/>
        <w:numPr>
          <w:ilvl w:val="0"/>
          <w:numId w:val="3"/>
        </w:numPr>
        <w:spacing w:after="0" w:line="276" w:lineRule="auto"/>
        <w:jc w:val="both"/>
        <w:rPr>
          <w:rFonts w:ascii="Times New Roman" w:hAnsi="Times New Roman" w:cs="Times New Roman"/>
          <w:b/>
          <w:bCs/>
          <w:color w:val="000000" w:themeColor="text1"/>
          <w:kern w:val="2"/>
          <w:sz w:val="24"/>
          <w:szCs w:val="24"/>
          <w:lang w:val="sv-SE"/>
          <w14:ligatures w14:val="standardContextual"/>
        </w:rPr>
      </w:pPr>
      <w:r w:rsidRPr="00C8275C">
        <w:rPr>
          <w:rFonts w:ascii="Times New Roman" w:hAnsi="Times New Roman" w:cs="Times New Roman"/>
          <w:b/>
          <w:bCs/>
          <w:color w:val="000000" w:themeColor="text1"/>
          <w:kern w:val="2"/>
          <w:sz w:val="24"/>
          <w:szCs w:val="24"/>
          <w:lang w:val="sv-SE"/>
          <w14:ligatures w14:val="standardContextual"/>
        </w:rPr>
        <w:t>ANEKS</w:t>
      </w:r>
    </w:p>
    <w:p w14:paraId="69E2CF8D" w14:textId="77777777" w:rsidR="00C8275C" w:rsidRPr="00C8275C" w:rsidRDefault="00C8275C" w:rsidP="00C8275C">
      <w:pPr>
        <w:spacing w:after="0" w:line="276" w:lineRule="auto"/>
        <w:contextualSpacing/>
        <w:jc w:val="both"/>
        <w:rPr>
          <w:rFonts w:ascii="Times New Roman" w:eastAsia="Times New Roman" w:hAnsi="Times New Roman" w:cs="Times New Roman"/>
          <w:color w:val="000000"/>
          <w:sz w:val="24"/>
          <w:szCs w:val="24"/>
          <w:lang w:val="sq-AL"/>
        </w:rPr>
      </w:pPr>
    </w:p>
    <w:p w14:paraId="1F22B13E" w14:textId="2D635253" w:rsidR="00C8275C" w:rsidRPr="00DD1710" w:rsidRDefault="00C8275C" w:rsidP="00DD1710">
      <w:pPr>
        <w:spacing w:after="0" w:line="276" w:lineRule="auto"/>
        <w:contextualSpacing/>
        <w:jc w:val="both"/>
        <w:rPr>
          <w:rFonts w:ascii="Times New Roman" w:eastAsia="Times New Roman" w:hAnsi="Times New Roman" w:cs="Times New Roman"/>
          <w:color w:val="000000"/>
          <w:sz w:val="24"/>
          <w:szCs w:val="24"/>
          <w:lang w:val="sq-AL"/>
        </w:rPr>
      </w:pPr>
      <w:r w:rsidRPr="00C8275C">
        <w:rPr>
          <w:rFonts w:ascii="Times New Roman" w:eastAsia="Times New Roman" w:hAnsi="Times New Roman" w:cs="Times New Roman"/>
          <w:color w:val="000000"/>
          <w:sz w:val="24"/>
          <w:szCs w:val="24"/>
          <w:lang w:val="sq-AL"/>
        </w:rPr>
        <w:t>Aneksi i raportimit të informacionit nga njësitë kontribuese.</w:t>
      </w:r>
    </w:p>
    <w:sectPr w:rsidR="00C8275C" w:rsidRPr="00DD1710" w:rsidSect="004E3C03">
      <w:pgSz w:w="12240" w:h="15840"/>
      <w:pgMar w:top="1123" w:right="1699" w:bottom="1123"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CE6E1" w14:textId="77777777" w:rsidR="00462157" w:rsidRDefault="00462157" w:rsidP="00737B35">
      <w:pPr>
        <w:spacing w:after="0" w:line="240" w:lineRule="auto"/>
      </w:pPr>
      <w:r>
        <w:separator/>
      </w:r>
    </w:p>
  </w:endnote>
  <w:endnote w:type="continuationSeparator" w:id="0">
    <w:p w14:paraId="12E3A719" w14:textId="77777777" w:rsidR="00462157" w:rsidRDefault="00462157" w:rsidP="0073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Nova Light">
    <w:charset w:val="00"/>
    <w:family w:val="swiss"/>
    <w:pitch w:val="variable"/>
    <w:sig w:usb0="0000028F" w:usb1="00000002" w:usb2="00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EC142" w14:textId="77777777" w:rsidR="00462157" w:rsidRDefault="00462157" w:rsidP="00737B35">
      <w:pPr>
        <w:spacing w:after="0" w:line="240" w:lineRule="auto"/>
      </w:pPr>
      <w:r>
        <w:separator/>
      </w:r>
    </w:p>
  </w:footnote>
  <w:footnote w:type="continuationSeparator" w:id="0">
    <w:p w14:paraId="2B6D42FA" w14:textId="77777777" w:rsidR="00462157" w:rsidRDefault="00462157" w:rsidP="00737B35">
      <w:pPr>
        <w:spacing w:after="0" w:line="240" w:lineRule="auto"/>
      </w:pPr>
      <w:r>
        <w:continuationSeparator/>
      </w:r>
    </w:p>
  </w:footnote>
  <w:footnote w:id="1">
    <w:p w14:paraId="45531D52" w14:textId="77777777" w:rsidR="00737B35" w:rsidRPr="00DD2662" w:rsidRDefault="00737B35" w:rsidP="00737B35">
      <w:pPr>
        <w:pStyle w:val="footnotedescription"/>
        <w:spacing w:after="0"/>
        <w:rPr>
          <w:lang w:val="sq-AL"/>
        </w:rPr>
      </w:pPr>
      <w:r w:rsidRPr="00DD2662">
        <w:rPr>
          <w:rStyle w:val="footnotemark"/>
          <w:lang w:val="sq-AL"/>
        </w:rPr>
        <w:footnoteRef/>
      </w:r>
      <w:r w:rsidRPr="00DD2662">
        <w:rPr>
          <w:lang w:val="sq-AL"/>
        </w:rPr>
        <w:t xml:space="preserve"> </w:t>
      </w:r>
      <w:hyperlink r:id="rId1" w:history="1">
        <w:r w:rsidRPr="007E2359">
          <w:rPr>
            <w:rStyle w:val="Hyperlink"/>
            <w:lang w:val="sq-AL"/>
          </w:rPr>
          <w:t>https://www.konsultimipublik.gov.al/Konsultime/Institucioni/4</w:t>
        </w:r>
      </w:hyperlink>
      <w:r>
        <w:rPr>
          <w:lang w:val="sq-AL"/>
        </w:rPr>
        <w:t xml:space="preserve"> </w:t>
      </w:r>
      <w:r w:rsidRPr="00DD2662">
        <w:rPr>
          <w:lang w:val="sq-AL"/>
        </w:rPr>
        <w:t xml:space="preserve"> </w:t>
      </w:r>
      <w:r w:rsidRPr="00DD2662">
        <w:rPr>
          <w:rFonts w:ascii="Times New Roman" w:eastAsia="Times New Roman" w:hAnsi="Times New Roman" w:cs="Times New Roman"/>
          <w:sz w:val="24"/>
          <w:lang w:val="sq-AL"/>
        </w:rPr>
        <w:t xml:space="preserve"> </w:t>
      </w:r>
      <w:r>
        <w:rPr>
          <w:rFonts w:ascii="Times New Roman" w:eastAsia="Times New Roman" w:hAnsi="Times New Roman" w:cs="Times New Roman"/>
          <w:sz w:val="24"/>
          <w:lang w:val="sq-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CEF"/>
    <w:multiLevelType w:val="hybridMultilevel"/>
    <w:tmpl w:val="4520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D524E"/>
    <w:multiLevelType w:val="hybridMultilevel"/>
    <w:tmpl w:val="8F982EEE"/>
    <w:lvl w:ilvl="0" w:tplc="AA1A3770">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873530B"/>
    <w:multiLevelType w:val="hybridMultilevel"/>
    <w:tmpl w:val="F614EF0A"/>
    <w:lvl w:ilvl="0" w:tplc="EC7CD6F0">
      <w:start w:val="1"/>
      <w:numFmt w:val="decimal"/>
      <w:lvlText w:val="%1."/>
      <w:lvlJc w:val="left"/>
      <w:pPr>
        <w:ind w:left="990" w:hanging="360"/>
      </w:pPr>
      <w:rPr>
        <w:rFonts w:ascii="Times New Roman" w:eastAsia="MS Mincho" w:hAnsi="Times New Roman" w:cs="Times New Roman"/>
        <w:b w:val="0"/>
        <w:bCs w:val="0"/>
        <w:i w:val="0"/>
        <w:iCs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087F1BB6"/>
    <w:multiLevelType w:val="hybridMultilevel"/>
    <w:tmpl w:val="7A2EBE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92D24DF"/>
    <w:multiLevelType w:val="hybridMultilevel"/>
    <w:tmpl w:val="041E52B8"/>
    <w:lvl w:ilvl="0" w:tplc="9D50A94A">
      <w:start w:val="1"/>
      <w:numFmt w:val="upperRoman"/>
      <w:lvlText w:val="%1."/>
      <w:lvlJc w:val="left"/>
      <w:pPr>
        <w:ind w:left="720" w:hanging="72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nsid w:val="09426283"/>
    <w:multiLevelType w:val="hybridMultilevel"/>
    <w:tmpl w:val="EAF8ECDC"/>
    <w:lvl w:ilvl="0" w:tplc="207A3F4E">
      <w:start w:val="2019"/>
      <w:numFmt w:val="bullet"/>
      <w:lvlText w:val="-"/>
      <w:lvlJc w:val="left"/>
      <w:pPr>
        <w:ind w:left="1440" w:hanging="360"/>
      </w:pPr>
      <w:rPr>
        <w:rFonts w:ascii="Calibri" w:eastAsia="Times New Roman" w:hAnsi="Calibri" w:cs="Calibri" w:hint="default"/>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911F0F"/>
    <w:multiLevelType w:val="hybridMultilevel"/>
    <w:tmpl w:val="88EAED7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0B5F61D4"/>
    <w:multiLevelType w:val="hybridMultilevel"/>
    <w:tmpl w:val="7D301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04201A"/>
    <w:multiLevelType w:val="hybridMultilevel"/>
    <w:tmpl w:val="FA98219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B86F9B"/>
    <w:multiLevelType w:val="hybridMultilevel"/>
    <w:tmpl w:val="B1AEE3A8"/>
    <w:lvl w:ilvl="0" w:tplc="4330E68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52597"/>
    <w:multiLevelType w:val="hybridMultilevel"/>
    <w:tmpl w:val="35987D3C"/>
    <w:lvl w:ilvl="0" w:tplc="DA268346">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E0EA4"/>
    <w:multiLevelType w:val="hybridMultilevel"/>
    <w:tmpl w:val="2FD0B4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06D51"/>
    <w:multiLevelType w:val="hybridMultilevel"/>
    <w:tmpl w:val="4A40F692"/>
    <w:lvl w:ilvl="0" w:tplc="FB2C73F2">
      <w:start w:val="1"/>
      <w:numFmt w:val="decimal"/>
      <w:lvlText w:val="%1."/>
      <w:lvlJc w:val="left"/>
      <w:pPr>
        <w:ind w:left="900" w:hanging="360"/>
      </w:pPr>
      <w:rPr>
        <w:rFonts w:ascii="Times New Roman" w:eastAsia="MS Mincho" w:hAnsi="Times New Roman" w:cs="Times New Roman"/>
        <w:b/>
        <w:bCs/>
        <w:i w:val="0"/>
        <w:iCs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3">
    <w:nsid w:val="2F1564EF"/>
    <w:multiLevelType w:val="hybridMultilevel"/>
    <w:tmpl w:val="71763BAC"/>
    <w:lvl w:ilvl="0" w:tplc="E750A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63776"/>
    <w:multiLevelType w:val="hybridMultilevel"/>
    <w:tmpl w:val="EBEA3944"/>
    <w:lvl w:ilvl="0" w:tplc="207A3F4E">
      <w:start w:val="2019"/>
      <w:numFmt w:val="bullet"/>
      <w:lvlText w:val="-"/>
      <w:lvlJc w:val="left"/>
      <w:pPr>
        <w:ind w:left="780" w:hanging="360"/>
      </w:pPr>
      <w:rPr>
        <w:rFonts w:ascii="Calibri" w:eastAsia="Times New Roman" w:hAnsi="Calibri" w:cs="Calibri" w:hint="default"/>
        <w:i w:val="0"/>
        <w:sz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498692E"/>
    <w:multiLevelType w:val="hybridMultilevel"/>
    <w:tmpl w:val="B31247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36BA3939"/>
    <w:multiLevelType w:val="hybridMultilevel"/>
    <w:tmpl w:val="089C85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14011C"/>
    <w:multiLevelType w:val="hybridMultilevel"/>
    <w:tmpl w:val="285CC870"/>
    <w:lvl w:ilvl="0" w:tplc="F68ACF18">
      <w:start w:val="1"/>
      <w:numFmt w:val="decimal"/>
      <w:lvlText w:val="%1."/>
      <w:lvlJc w:val="left"/>
      <w:pPr>
        <w:ind w:left="1080" w:hanging="360"/>
      </w:pPr>
      <w:rPr>
        <w:rFonts w:ascii="Times New Roman" w:eastAsia="MS Mincho" w:hAnsi="Times New Roman" w:cs="Times New Roman"/>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E778FE"/>
    <w:multiLevelType w:val="hybridMultilevel"/>
    <w:tmpl w:val="386E3786"/>
    <w:lvl w:ilvl="0" w:tplc="C5083744">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B32A04"/>
    <w:multiLevelType w:val="hybridMultilevel"/>
    <w:tmpl w:val="081C8A2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441526EE"/>
    <w:multiLevelType w:val="hybridMultilevel"/>
    <w:tmpl w:val="558074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89A083C"/>
    <w:multiLevelType w:val="hybridMultilevel"/>
    <w:tmpl w:val="9552E562"/>
    <w:lvl w:ilvl="0" w:tplc="16180860">
      <w:start w:val="70"/>
      <w:numFmt w:val="bullet"/>
      <w:lvlText w:val="-"/>
      <w:lvlJc w:val="left"/>
      <w:pPr>
        <w:ind w:left="720" w:hanging="360"/>
      </w:pPr>
      <w:rPr>
        <w:rFonts w:ascii="Arial Nova Light" w:eastAsiaTheme="minorHAnsi" w:hAnsi="Arial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D75E59"/>
    <w:multiLevelType w:val="hybridMultilevel"/>
    <w:tmpl w:val="AB20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6547F2"/>
    <w:multiLevelType w:val="hybridMultilevel"/>
    <w:tmpl w:val="54C45542"/>
    <w:lvl w:ilvl="0" w:tplc="14C29F88">
      <w:start w:val="1"/>
      <w:numFmt w:val="decimal"/>
      <w:lvlText w:val="%1."/>
      <w:lvlJc w:val="left"/>
      <w:pPr>
        <w:ind w:left="900" w:hanging="360"/>
      </w:pPr>
      <w:rPr>
        <w:rFonts w:ascii="Times New Roman" w:eastAsia="MS Mincho" w:hAnsi="Times New Roman" w:cs="Times New Roman"/>
        <w:b/>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541271B5"/>
    <w:multiLevelType w:val="hybridMultilevel"/>
    <w:tmpl w:val="FF3EB1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55F56925"/>
    <w:multiLevelType w:val="hybridMultilevel"/>
    <w:tmpl w:val="CE22AD20"/>
    <w:lvl w:ilvl="0" w:tplc="32043030">
      <w:start w:val="1"/>
      <w:numFmt w:val="decimal"/>
      <w:lvlText w:val="%1."/>
      <w:lvlJc w:val="left"/>
      <w:pPr>
        <w:ind w:left="1170" w:hanging="360"/>
      </w:pPr>
      <w:rPr>
        <w:rFonts w:ascii="Times New Roman" w:eastAsia="MS Mincho" w:hAnsi="Times New Roman" w:cs="Times New Roman"/>
        <w:b w:val="0"/>
        <w:bCs w:val="0"/>
        <w:i w:val="0"/>
        <w:iCs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56041240"/>
    <w:multiLevelType w:val="hybridMultilevel"/>
    <w:tmpl w:val="DBCE325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58B300AD"/>
    <w:multiLevelType w:val="hybridMultilevel"/>
    <w:tmpl w:val="9CE22E14"/>
    <w:lvl w:ilvl="0" w:tplc="FB4AFDC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60A57141"/>
    <w:multiLevelType w:val="hybridMultilevel"/>
    <w:tmpl w:val="AB9E3BCA"/>
    <w:lvl w:ilvl="0" w:tplc="010EE6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1396A"/>
    <w:multiLevelType w:val="hybridMultilevel"/>
    <w:tmpl w:val="2796F676"/>
    <w:lvl w:ilvl="0" w:tplc="FB4AFDC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45419F"/>
    <w:multiLevelType w:val="hybridMultilevel"/>
    <w:tmpl w:val="53C41606"/>
    <w:lvl w:ilvl="0" w:tplc="FB4AFDC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392E74"/>
    <w:multiLevelType w:val="hybridMultilevel"/>
    <w:tmpl w:val="FC7480C6"/>
    <w:lvl w:ilvl="0" w:tplc="FFFFFFFF">
      <w:start w:val="1"/>
      <w:numFmt w:val="decimal"/>
      <w:lvlText w:val="%1."/>
      <w:lvlJc w:val="left"/>
      <w:pPr>
        <w:ind w:left="900" w:hanging="360"/>
      </w:pPr>
      <w:rPr>
        <w:rFonts w:ascii="Times New Roman" w:eastAsia="MS Mincho" w:hAnsi="Times New Roman" w:cs="Times New Roman"/>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2">
    <w:nsid w:val="68A42140"/>
    <w:multiLevelType w:val="hybridMultilevel"/>
    <w:tmpl w:val="5E765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C20F4A"/>
    <w:multiLevelType w:val="hybridMultilevel"/>
    <w:tmpl w:val="9A204FCC"/>
    <w:lvl w:ilvl="0" w:tplc="965E1A20">
      <w:start w:val="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1E4A6C"/>
    <w:multiLevelType w:val="hybridMultilevel"/>
    <w:tmpl w:val="94DC4EAC"/>
    <w:lvl w:ilvl="0" w:tplc="7AB0487C">
      <w:start w:val="1"/>
      <w:numFmt w:val="bullet"/>
      <w:lvlText w:val="-"/>
      <w:lvlJc w:val="left"/>
      <w:pPr>
        <w:ind w:left="1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1423D8">
      <w:start w:val="1"/>
      <w:numFmt w:val="bullet"/>
      <w:lvlText w:val="o"/>
      <w:lvlJc w:val="left"/>
      <w:pPr>
        <w:ind w:left="18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552FF62">
      <w:start w:val="1"/>
      <w:numFmt w:val="bullet"/>
      <w:lvlText w:val="▪"/>
      <w:lvlJc w:val="left"/>
      <w:pPr>
        <w:ind w:left="25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B0337A">
      <w:start w:val="1"/>
      <w:numFmt w:val="bullet"/>
      <w:lvlText w:val="•"/>
      <w:lvlJc w:val="left"/>
      <w:pPr>
        <w:ind w:left="3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FC2460">
      <w:start w:val="1"/>
      <w:numFmt w:val="bullet"/>
      <w:lvlText w:val="o"/>
      <w:lvlJc w:val="left"/>
      <w:pPr>
        <w:ind w:left="39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18A3CC">
      <w:start w:val="1"/>
      <w:numFmt w:val="bullet"/>
      <w:lvlText w:val="▪"/>
      <w:lvlJc w:val="left"/>
      <w:pPr>
        <w:ind w:left="4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944272">
      <w:start w:val="1"/>
      <w:numFmt w:val="bullet"/>
      <w:lvlText w:val="•"/>
      <w:lvlJc w:val="left"/>
      <w:pPr>
        <w:ind w:left="54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241E48">
      <w:start w:val="1"/>
      <w:numFmt w:val="bullet"/>
      <w:lvlText w:val="o"/>
      <w:lvlJc w:val="left"/>
      <w:pPr>
        <w:ind w:left="61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E2DFC6">
      <w:start w:val="1"/>
      <w:numFmt w:val="bullet"/>
      <w:lvlText w:val="▪"/>
      <w:lvlJc w:val="left"/>
      <w:pPr>
        <w:ind w:left="68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71E83490"/>
    <w:multiLevelType w:val="hybridMultilevel"/>
    <w:tmpl w:val="6E82E06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27"/>
  </w:num>
  <w:num w:numId="3">
    <w:abstractNumId w:val="13"/>
  </w:num>
  <w:num w:numId="4">
    <w:abstractNumId w:val="33"/>
  </w:num>
  <w:num w:numId="5">
    <w:abstractNumId w:val="11"/>
  </w:num>
  <w:num w:numId="6">
    <w:abstractNumId w:val="26"/>
  </w:num>
  <w:num w:numId="7">
    <w:abstractNumId w:val="8"/>
  </w:num>
  <w:num w:numId="8">
    <w:abstractNumId w:val="3"/>
  </w:num>
  <w:num w:numId="9">
    <w:abstractNumId w:val="24"/>
  </w:num>
  <w:num w:numId="10">
    <w:abstractNumId w:val="15"/>
  </w:num>
  <w:num w:numId="11">
    <w:abstractNumId w:val="9"/>
  </w:num>
  <w:num w:numId="12">
    <w:abstractNumId w:val="32"/>
  </w:num>
  <w:num w:numId="13">
    <w:abstractNumId w:val="34"/>
  </w:num>
  <w:num w:numId="14">
    <w:abstractNumId w:val="21"/>
  </w:num>
  <w:num w:numId="15">
    <w:abstractNumId w:val="30"/>
  </w:num>
  <w:num w:numId="16">
    <w:abstractNumId w:val="10"/>
  </w:num>
  <w:num w:numId="17">
    <w:abstractNumId w:val="23"/>
  </w:num>
  <w:num w:numId="18">
    <w:abstractNumId w:val="0"/>
  </w:num>
  <w:num w:numId="19">
    <w:abstractNumId w:val="5"/>
  </w:num>
  <w:num w:numId="20">
    <w:abstractNumId w:val="14"/>
  </w:num>
  <w:num w:numId="21">
    <w:abstractNumId w:val="6"/>
  </w:num>
  <w:num w:numId="22">
    <w:abstractNumId w:val="2"/>
  </w:num>
  <w:num w:numId="23">
    <w:abstractNumId w:val="7"/>
  </w:num>
  <w:num w:numId="24">
    <w:abstractNumId w:val="18"/>
  </w:num>
  <w:num w:numId="25">
    <w:abstractNumId w:val="31"/>
  </w:num>
  <w:num w:numId="26">
    <w:abstractNumId w:val="25"/>
  </w:num>
  <w:num w:numId="27">
    <w:abstractNumId w:val="28"/>
  </w:num>
  <w:num w:numId="28">
    <w:abstractNumId w:val="16"/>
  </w:num>
  <w:num w:numId="29">
    <w:abstractNumId w:val="29"/>
  </w:num>
  <w:num w:numId="30">
    <w:abstractNumId w:val="22"/>
  </w:num>
  <w:num w:numId="31">
    <w:abstractNumId w:val="12"/>
  </w:num>
  <w:num w:numId="32">
    <w:abstractNumId w:val="17"/>
  </w:num>
  <w:num w:numId="33">
    <w:abstractNumId w:val="20"/>
  </w:num>
  <w:num w:numId="34">
    <w:abstractNumId w:val="1"/>
  </w:num>
  <w:num w:numId="35">
    <w:abstractNumId w:val="1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3D"/>
    <w:rsid w:val="000050EA"/>
    <w:rsid w:val="000103DF"/>
    <w:rsid w:val="0001628D"/>
    <w:rsid w:val="00023273"/>
    <w:rsid w:val="0003510D"/>
    <w:rsid w:val="00046DAA"/>
    <w:rsid w:val="000512B0"/>
    <w:rsid w:val="00063361"/>
    <w:rsid w:val="0007166E"/>
    <w:rsid w:val="000718AE"/>
    <w:rsid w:val="00081576"/>
    <w:rsid w:val="000B348F"/>
    <w:rsid w:val="000C7E36"/>
    <w:rsid w:val="000E5901"/>
    <w:rsid w:val="000E643D"/>
    <w:rsid w:val="0011080A"/>
    <w:rsid w:val="00112D6F"/>
    <w:rsid w:val="00132C72"/>
    <w:rsid w:val="001403D1"/>
    <w:rsid w:val="00162F9A"/>
    <w:rsid w:val="00172AFF"/>
    <w:rsid w:val="0017665D"/>
    <w:rsid w:val="001800A7"/>
    <w:rsid w:val="001A4469"/>
    <w:rsid w:val="001B2A3C"/>
    <w:rsid w:val="001E008E"/>
    <w:rsid w:val="001E4D3D"/>
    <w:rsid w:val="001F370D"/>
    <w:rsid w:val="001F61F8"/>
    <w:rsid w:val="0020372F"/>
    <w:rsid w:val="002119A3"/>
    <w:rsid w:val="00222F80"/>
    <w:rsid w:val="00243D41"/>
    <w:rsid w:val="0024409F"/>
    <w:rsid w:val="00244331"/>
    <w:rsid w:val="002536E0"/>
    <w:rsid w:val="0029022A"/>
    <w:rsid w:val="00295162"/>
    <w:rsid w:val="00295802"/>
    <w:rsid w:val="00296FFF"/>
    <w:rsid w:val="002A7FEF"/>
    <w:rsid w:val="002B24C2"/>
    <w:rsid w:val="002F4494"/>
    <w:rsid w:val="002F4F99"/>
    <w:rsid w:val="002F5F47"/>
    <w:rsid w:val="002F6B91"/>
    <w:rsid w:val="002F6D6F"/>
    <w:rsid w:val="00305864"/>
    <w:rsid w:val="00330287"/>
    <w:rsid w:val="003530A3"/>
    <w:rsid w:val="003566EE"/>
    <w:rsid w:val="00362BF9"/>
    <w:rsid w:val="00381905"/>
    <w:rsid w:val="003A0D6E"/>
    <w:rsid w:val="003B3E0F"/>
    <w:rsid w:val="003C0097"/>
    <w:rsid w:val="003E34A2"/>
    <w:rsid w:val="003F6D8E"/>
    <w:rsid w:val="003F738B"/>
    <w:rsid w:val="0043027A"/>
    <w:rsid w:val="00445147"/>
    <w:rsid w:val="00462157"/>
    <w:rsid w:val="00466600"/>
    <w:rsid w:val="0047140A"/>
    <w:rsid w:val="0048004B"/>
    <w:rsid w:val="00484011"/>
    <w:rsid w:val="00490D16"/>
    <w:rsid w:val="004937B0"/>
    <w:rsid w:val="00495BB2"/>
    <w:rsid w:val="00495DC3"/>
    <w:rsid w:val="004A01F2"/>
    <w:rsid w:val="004B4E68"/>
    <w:rsid w:val="004D119E"/>
    <w:rsid w:val="004D343B"/>
    <w:rsid w:val="004D35B2"/>
    <w:rsid w:val="004D7C85"/>
    <w:rsid w:val="004E3C03"/>
    <w:rsid w:val="004E6B95"/>
    <w:rsid w:val="004F049A"/>
    <w:rsid w:val="004F16CB"/>
    <w:rsid w:val="004F6EFB"/>
    <w:rsid w:val="005158B9"/>
    <w:rsid w:val="0053703C"/>
    <w:rsid w:val="00540770"/>
    <w:rsid w:val="005544F0"/>
    <w:rsid w:val="00573169"/>
    <w:rsid w:val="00587BF2"/>
    <w:rsid w:val="005B7743"/>
    <w:rsid w:val="005C3021"/>
    <w:rsid w:val="005E4580"/>
    <w:rsid w:val="005E59D7"/>
    <w:rsid w:val="005F553E"/>
    <w:rsid w:val="005F65A9"/>
    <w:rsid w:val="005F6C75"/>
    <w:rsid w:val="005F725C"/>
    <w:rsid w:val="00621FE7"/>
    <w:rsid w:val="00624097"/>
    <w:rsid w:val="0063193C"/>
    <w:rsid w:val="00654843"/>
    <w:rsid w:val="00654981"/>
    <w:rsid w:val="00664004"/>
    <w:rsid w:val="00674CC8"/>
    <w:rsid w:val="00681DFC"/>
    <w:rsid w:val="00693281"/>
    <w:rsid w:val="00695E08"/>
    <w:rsid w:val="00695FC2"/>
    <w:rsid w:val="006A2AD8"/>
    <w:rsid w:val="006A6B01"/>
    <w:rsid w:val="006B4366"/>
    <w:rsid w:val="006B497C"/>
    <w:rsid w:val="006C5700"/>
    <w:rsid w:val="006D3CFD"/>
    <w:rsid w:val="006E3E49"/>
    <w:rsid w:val="006E56D4"/>
    <w:rsid w:val="006F04CC"/>
    <w:rsid w:val="006F330C"/>
    <w:rsid w:val="006F5BB4"/>
    <w:rsid w:val="00703224"/>
    <w:rsid w:val="0071234C"/>
    <w:rsid w:val="00731603"/>
    <w:rsid w:val="00732623"/>
    <w:rsid w:val="00737B35"/>
    <w:rsid w:val="007529CD"/>
    <w:rsid w:val="00775C50"/>
    <w:rsid w:val="007853E9"/>
    <w:rsid w:val="00785478"/>
    <w:rsid w:val="00785E03"/>
    <w:rsid w:val="00787B30"/>
    <w:rsid w:val="007A09CB"/>
    <w:rsid w:val="007C33B7"/>
    <w:rsid w:val="007C3CF5"/>
    <w:rsid w:val="007C6F33"/>
    <w:rsid w:val="007D6A36"/>
    <w:rsid w:val="007F3C95"/>
    <w:rsid w:val="007F4BDC"/>
    <w:rsid w:val="00800C13"/>
    <w:rsid w:val="008153B8"/>
    <w:rsid w:val="008162E3"/>
    <w:rsid w:val="00825686"/>
    <w:rsid w:val="00857130"/>
    <w:rsid w:val="008640EF"/>
    <w:rsid w:val="0086604A"/>
    <w:rsid w:val="00870382"/>
    <w:rsid w:val="00871A1E"/>
    <w:rsid w:val="008806A7"/>
    <w:rsid w:val="008864DB"/>
    <w:rsid w:val="008917AA"/>
    <w:rsid w:val="00892B41"/>
    <w:rsid w:val="008A3059"/>
    <w:rsid w:val="008A496D"/>
    <w:rsid w:val="008C306C"/>
    <w:rsid w:val="008C58E8"/>
    <w:rsid w:val="008C61B3"/>
    <w:rsid w:val="008D134C"/>
    <w:rsid w:val="008D4C08"/>
    <w:rsid w:val="008D5552"/>
    <w:rsid w:val="008E1601"/>
    <w:rsid w:val="008E2F10"/>
    <w:rsid w:val="00906261"/>
    <w:rsid w:val="00906E6A"/>
    <w:rsid w:val="00920ED0"/>
    <w:rsid w:val="009339B8"/>
    <w:rsid w:val="00937E90"/>
    <w:rsid w:val="00941C9F"/>
    <w:rsid w:val="0094381C"/>
    <w:rsid w:val="00952A6B"/>
    <w:rsid w:val="00956FE5"/>
    <w:rsid w:val="00963404"/>
    <w:rsid w:val="009634E5"/>
    <w:rsid w:val="00965DB4"/>
    <w:rsid w:val="00980A0A"/>
    <w:rsid w:val="00992649"/>
    <w:rsid w:val="00993D33"/>
    <w:rsid w:val="009A0191"/>
    <w:rsid w:val="009A53E6"/>
    <w:rsid w:val="009A5A25"/>
    <w:rsid w:val="009B1C8E"/>
    <w:rsid w:val="009C2892"/>
    <w:rsid w:val="009C6C74"/>
    <w:rsid w:val="009C7460"/>
    <w:rsid w:val="009D6E42"/>
    <w:rsid w:val="00A21450"/>
    <w:rsid w:val="00A4390D"/>
    <w:rsid w:val="00A47268"/>
    <w:rsid w:val="00A730D8"/>
    <w:rsid w:val="00A743E4"/>
    <w:rsid w:val="00A83DEF"/>
    <w:rsid w:val="00A83EA5"/>
    <w:rsid w:val="00A85AFB"/>
    <w:rsid w:val="00AB2F52"/>
    <w:rsid w:val="00AB504B"/>
    <w:rsid w:val="00AD3BBC"/>
    <w:rsid w:val="00AE2987"/>
    <w:rsid w:val="00B003C2"/>
    <w:rsid w:val="00B04807"/>
    <w:rsid w:val="00B05A7F"/>
    <w:rsid w:val="00B05E37"/>
    <w:rsid w:val="00B127A6"/>
    <w:rsid w:val="00B13FA1"/>
    <w:rsid w:val="00B35782"/>
    <w:rsid w:val="00B4080A"/>
    <w:rsid w:val="00B47CEF"/>
    <w:rsid w:val="00B61EC3"/>
    <w:rsid w:val="00B62F9B"/>
    <w:rsid w:val="00B67523"/>
    <w:rsid w:val="00B86455"/>
    <w:rsid w:val="00B871FD"/>
    <w:rsid w:val="00B9164D"/>
    <w:rsid w:val="00B9675C"/>
    <w:rsid w:val="00BA1A7C"/>
    <w:rsid w:val="00BC4618"/>
    <w:rsid w:val="00BC7149"/>
    <w:rsid w:val="00BD0E8B"/>
    <w:rsid w:val="00BD5286"/>
    <w:rsid w:val="00BE291E"/>
    <w:rsid w:val="00BE30BF"/>
    <w:rsid w:val="00BE52C1"/>
    <w:rsid w:val="00BF3CEE"/>
    <w:rsid w:val="00C02EE2"/>
    <w:rsid w:val="00C07E3A"/>
    <w:rsid w:val="00C31B50"/>
    <w:rsid w:val="00C650A3"/>
    <w:rsid w:val="00C70A60"/>
    <w:rsid w:val="00C8275C"/>
    <w:rsid w:val="00C832A0"/>
    <w:rsid w:val="00C841CA"/>
    <w:rsid w:val="00CA0B4A"/>
    <w:rsid w:val="00CC0E17"/>
    <w:rsid w:val="00CC37E0"/>
    <w:rsid w:val="00CC4F5E"/>
    <w:rsid w:val="00CC6EB3"/>
    <w:rsid w:val="00CD1658"/>
    <w:rsid w:val="00CD2CCF"/>
    <w:rsid w:val="00CE544F"/>
    <w:rsid w:val="00D02088"/>
    <w:rsid w:val="00D04DC5"/>
    <w:rsid w:val="00D200F2"/>
    <w:rsid w:val="00D4009E"/>
    <w:rsid w:val="00D401A6"/>
    <w:rsid w:val="00D401C7"/>
    <w:rsid w:val="00D436BA"/>
    <w:rsid w:val="00D573E6"/>
    <w:rsid w:val="00D576D5"/>
    <w:rsid w:val="00D72424"/>
    <w:rsid w:val="00D776E3"/>
    <w:rsid w:val="00D82859"/>
    <w:rsid w:val="00D84D9A"/>
    <w:rsid w:val="00D90103"/>
    <w:rsid w:val="00DA444B"/>
    <w:rsid w:val="00DA59BD"/>
    <w:rsid w:val="00DA6E33"/>
    <w:rsid w:val="00DA6ED5"/>
    <w:rsid w:val="00DC6EDB"/>
    <w:rsid w:val="00DD1710"/>
    <w:rsid w:val="00DE7766"/>
    <w:rsid w:val="00E039CB"/>
    <w:rsid w:val="00E0604A"/>
    <w:rsid w:val="00E46A7D"/>
    <w:rsid w:val="00E81C49"/>
    <w:rsid w:val="00EB477D"/>
    <w:rsid w:val="00EC1C81"/>
    <w:rsid w:val="00EC2FAF"/>
    <w:rsid w:val="00ED25CF"/>
    <w:rsid w:val="00EE17E7"/>
    <w:rsid w:val="00F07E6C"/>
    <w:rsid w:val="00F2517C"/>
    <w:rsid w:val="00F337F8"/>
    <w:rsid w:val="00F45E0F"/>
    <w:rsid w:val="00F5264F"/>
    <w:rsid w:val="00F84817"/>
    <w:rsid w:val="00FA02F1"/>
    <w:rsid w:val="00FA5E36"/>
    <w:rsid w:val="00FA7002"/>
    <w:rsid w:val="00FA7488"/>
    <w:rsid w:val="00FA7DBB"/>
    <w:rsid w:val="00FB2403"/>
    <w:rsid w:val="00FB4487"/>
    <w:rsid w:val="00FC45D5"/>
    <w:rsid w:val="00FD716D"/>
    <w:rsid w:val="00FE08CB"/>
    <w:rsid w:val="00FF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1E29"/>
  <w15:chartTrackingRefBased/>
  <w15:docId w15:val="{EA2BFE6D-F414-4D22-8EC2-883EB37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3D"/>
    <w:pPr>
      <w:spacing w:line="259" w:lineRule="auto"/>
    </w:pPr>
    <w:rPr>
      <w:kern w:val="0"/>
      <w:sz w:val="22"/>
      <w:szCs w:val="22"/>
      <w14:ligatures w14:val="none"/>
    </w:rPr>
  </w:style>
  <w:style w:type="paragraph" w:styleId="Heading1">
    <w:name w:val="heading 1"/>
    <w:basedOn w:val="Normal"/>
    <w:next w:val="Normal"/>
    <w:link w:val="Heading1Char"/>
    <w:uiPriority w:val="9"/>
    <w:qFormat/>
    <w:rsid w:val="001E4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D3D"/>
    <w:rPr>
      <w:rFonts w:eastAsiaTheme="majorEastAsia" w:cstheme="majorBidi"/>
      <w:color w:val="272727" w:themeColor="text1" w:themeTint="D8"/>
    </w:rPr>
  </w:style>
  <w:style w:type="paragraph" w:styleId="Title">
    <w:name w:val="Title"/>
    <w:basedOn w:val="Normal"/>
    <w:next w:val="Normal"/>
    <w:link w:val="TitleChar"/>
    <w:uiPriority w:val="10"/>
    <w:qFormat/>
    <w:rsid w:val="001E4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D3D"/>
    <w:pPr>
      <w:spacing w:before="160"/>
      <w:jc w:val="center"/>
    </w:pPr>
    <w:rPr>
      <w:i/>
      <w:iCs/>
      <w:color w:val="404040" w:themeColor="text1" w:themeTint="BF"/>
    </w:rPr>
  </w:style>
  <w:style w:type="character" w:customStyle="1" w:styleId="QuoteChar">
    <w:name w:val="Quote Char"/>
    <w:basedOn w:val="DefaultParagraphFont"/>
    <w:link w:val="Quote"/>
    <w:uiPriority w:val="29"/>
    <w:rsid w:val="001E4D3D"/>
    <w:rPr>
      <w:i/>
      <w:iCs/>
      <w:color w:val="404040" w:themeColor="text1" w:themeTint="BF"/>
    </w:rPr>
  </w:style>
  <w:style w:type="paragraph" w:styleId="ListParagraph">
    <w:name w:val="List Paragraph"/>
    <w:aliases w:val="Table of contents numbered,List Paragraph in table,Colorful List - Accent 11,lp1,Akapit z listą BS,List Paragraph1,List Paragraph nowy,List Paragraph (numbered (a)),Liste 1,Normal 1,List Paragraph 1,Bullets,Paragraphe de liste reco,Dot pt"/>
    <w:basedOn w:val="Normal"/>
    <w:link w:val="ListParagraphChar"/>
    <w:uiPriority w:val="34"/>
    <w:qFormat/>
    <w:rsid w:val="001E4D3D"/>
    <w:pPr>
      <w:ind w:left="720"/>
      <w:contextualSpacing/>
    </w:pPr>
  </w:style>
  <w:style w:type="character" w:styleId="IntenseEmphasis">
    <w:name w:val="Intense Emphasis"/>
    <w:basedOn w:val="DefaultParagraphFont"/>
    <w:uiPriority w:val="21"/>
    <w:qFormat/>
    <w:rsid w:val="001E4D3D"/>
    <w:rPr>
      <w:i/>
      <w:iCs/>
      <w:color w:val="0F4761" w:themeColor="accent1" w:themeShade="BF"/>
    </w:rPr>
  </w:style>
  <w:style w:type="paragraph" w:styleId="IntenseQuote">
    <w:name w:val="Intense Quote"/>
    <w:basedOn w:val="Normal"/>
    <w:next w:val="Normal"/>
    <w:link w:val="IntenseQuoteChar"/>
    <w:uiPriority w:val="30"/>
    <w:qFormat/>
    <w:rsid w:val="001E4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D3D"/>
    <w:rPr>
      <w:i/>
      <w:iCs/>
      <w:color w:val="0F4761" w:themeColor="accent1" w:themeShade="BF"/>
    </w:rPr>
  </w:style>
  <w:style w:type="character" w:styleId="IntenseReference">
    <w:name w:val="Intense Reference"/>
    <w:basedOn w:val="DefaultParagraphFont"/>
    <w:uiPriority w:val="32"/>
    <w:qFormat/>
    <w:rsid w:val="001E4D3D"/>
    <w:rPr>
      <w:b/>
      <w:bCs/>
      <w:smallCaps/>
      <w:color w:val="0F4761" w:themeColor="accent1" w:themeShade="BF"/>
      <w:spacing w:val="5"/>
    </w:rPr>
  </w:style>
  <w:style w:type="paragraph" w:customStyle="1" w:styleId="footnotedescription">
    <w:name w:val="footnote description"/>
    <w:next w:val="Normal"/>
    <w:link w:val="footnotedescriptionChar"/>
    <w:hidden/>
    <w:rsid w:val="00737B35"/>
    <w:pPr>
      <w:spacing w:after="215" w:line="240" w:lineRule="auto"/>
    </w:pPr>
    <w:rPr>
      <w:rFonts w:ascii="Book Antiqua" w:eastAsia="Book Antiqua" w:hAnsi="Book Antiqua" w:cs="Book Antiqua"/>
      <w:color w:val="000000"/>
      <w:kern w:val="0"/>
      <w:sz w:val="19"/>
      <w:szCs w:val="22"/>
      <w14:ligatures w14:val="none"/>
    </w:rPr>
  </w:style>
  <w:style w:type="character" w:customStyle="1" w:styleId="footnotedescriptionChar">
    <w:name w:val="footnote description Char"/>
    <w:link w:val="footnotedescription"/>
    <w:rsid w:val="00737B35"/>
    <w:rPr>
      <w:rFonts w:ascii="Book Antiqua" w:eastAsia="Book Antiqua" w:hAnsi="Book Antiqua" w:cs="Book Antiqua"/>
      <w:color w:val="000000"/>
      <w:kern w:val="0"/>
      <w:sz w:val="19"/>
      <w:szCs w:val="22"/>
      <w14:ligatures w14:val="none"/>
    </w:rPr>
  </w:style>
  <w:style w:type="character" w:customStyle="1" w:styleId="footnotemark">
    <w:name w:val="footnote mark"/>
    <w:hidden/>
    <w:rsid w:val="00737B35"/>
    <w:rPr>
      <w:rFonts w:ascii="Book Antiqua" w:eastAsia="Book Antiqua" w:hAnsi="Book Antiqua" w:cs="Book Antiqua"/>
      <w:color w:val="000000"/>
      <w:sz w:val="19"/>
      <w:vertAlign w:val="superscript"/>
    </w:rPr>
  </w:style>
  <w:style w:type="character" w:styleId="Hyperlink">
    <w:name w:val="Hyperlink"/>
    <w:basedOn w:val="DefaultParagraphFont"/>
    <w:uiPriority w:val="99"/>
    <w:unhideWhenUsed/>
    <w:rsid w:val="00737B35"/>
    <w:rPr>
      <w:color w:val="467886" w:themeColor="hyperlink"/>
      <w:u w:val="single"/>
    </w:rPr>
  </w:style>
  <w:style w:type="character" w:customStyle="1" w:styleId="ListParagraphChar">
    <w:name w:val="List Paragraph Char"/>
    <w:aliases w:val="Table of contents numbered Char,List Paragraph in table Char,Colorful List - Accent 11 Char,lp1 Char,Akapit z listą BS Char,List Paragraph1 Char,List Paragraph nowy Char,List Paragraph (numbered (a)) Char,Liste 1 Char,Normal 1 Char"/>
    <w:link w:val="ListParagraph"/>
    <w:uiPriority w:val="34"/>
    <w:qFormat/>
    <w:rsid w:val="006F04CC"/>
    <w:rPr>
      <w:kern w:val="0"/>
      <w:sz w:val="22"/>
      <w:szCs w:val="22"/>
      <w14:ligatures w14:val="none"/>
    </w:rPr>
  </w:style>
  <w:style w:type="table" w:customStyle="1" w:styleId="GridTable4-Accent51">
    <w:name w:val="Grid Table 4 - Accent 51"/>
    <w:basedOn w:val="TableNormal"/>
    <w:uiPriority w:val="49"/>
    <w:rsid w:val="00EC2FAF"/>
    <w:pPr>
      <w:spacing w:after="0" w:line="240" w:lineRule="auto"/>
    </w:pPr>
    <w:rPr>
      <w:rFonts w:eastAsiaTheme="minorEastAsia"/>
      <w:kern w:val="0"/>
      <w:sz w:val="22"/>
      <w:szCs w:val="22"/>
      <w14:ligatures w14:val="none"/>
    </w:rPr>
    <w:tblPr>
      <w:tblStyleRowBandSize w:val="1"/>
      <w:tblStyleColBandSize w:val="1"/>
      <w:tblInd w:w="0" w:type="dxa"/>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Strong">
    <w:name w:val="Strong"/>
    <w:basedOn w:val="DefaultParagraphFont"/>
    <w:uiPriority w:val="22"/>
    <w:qFormat/>
    <w:rsid w:val="00D02088"/>
    <w:rPr>
      <w:b/>
      <w:bCs/>
    </w:rPr>
  </w:style>
  <w:style w:type="paragraph" w:styleId="NormalWeb">
    <w:name w:val="Normal (Web)"/>
    <w:basedOn w:val="Normal"/>
    <w:uiPriority w:val="99"/>
    <w:unhideWhenUsed/>
    <w:rsid w:val="009C7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25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15924">
      <w:bodyDiv w:val="1"/>
      <w:marLeft w:val="0"/>
      <w:marRight w:val="0"/>
      <w:marTop w:val="0"/>
      <w:marBottom w:val="0"/>
      <w:divBdr>
        <w:top w:val="none" w:sz="0" w:space="0" w:color="auto"/>
        <w:left w:val="none" w:sz="0" w:space="0" w:color="auto"/>
        <w:bottom w:val="none" w:sz="0" w:space="0" w:color="auto"/>
        <w:right w:val="none" w:sz="0" w:space="0" w:color="auto"/>
      </w:divBdr>
    </w:div>
    <w:div w:id="17272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krutimi.administrata.al/shpalljet/shfaq/4790" TargetMode="External"/><Relationship Id="rId18" Type="http://schemas.openxmlformats.org/officeDocument/2006/relationships/hyperlink" Target="https://rekrutimi.administrata.al/shpalljet/shfaq/4791/1/3" TargetMode="External"/><Relationship Id="rId26" Type="http://schemas.openxmlformats.org/officeDocument/2006/relationships/hyperlink" Target="https://rekrutimi.administrata.al/shpalljet/shfaq/4738/2/5" TargetMode="External"/><Relationship Id="rId3" Type="http://schemas.openxmlformats.org/officeDocument/2006/relationships/styles" Target="styles.xml"/><Relationship Id="rId21" Type="http://schemas.openxmlformats.org/officeDocument/2006/relationships/hyperlink" Target="https://rekrutimi.administrata.al/shpalljet/shfaq/6373" TargetMode="External"/><Relationship Id="rId7" Type="http://schemas.openxmlformats.org/officeDocument/2006/relationships/endnotes" Target="endnotes.xml"/><Relationship Id="rId12" Type="http://schemas.openxmlformats.org/officeDocument/2006/relationships/hyperlink" Target="https://financa.gov.al/apelimi-tatimor/" TargetMode="External"/><Relationship Id="rId17" Type="http://schemas.openxmlformats.org/officeDocument/2006/relationships/hyperlink" Target="https://rekrutimi.administrata.al/shpalljet" TargetMode="External"/><Relationship Id="rId25" Type="http://schemas.openxmlformats.org/officeDocument/2006/relationships/hyperlink" Target="https://rekrutimi.administrata.al/shpalljet/shfaq/4738/1/2" TargetMode="External"/><Relationship Id="rId2" Type="http://schemas.openxmlformats.org/officeDocument/2006/relationships/numbering" Target="numbering.xml"/><Relationship Id="rId16" Type="http://schemas.openxmlformats.org/officeDocument/2006/relationships/hyperlink" Target="https://rekrutimi.administrata.al/shpalljet/shfaq/4790/2/7" TargetMode="External"/><Relationship Id="rId20" Type="http://schemas.openxmlformats.org/officeDocument/2006/relationships/hyperlink" Target="https://rekrutimi.administrata.al/shpalljet/shfaq/4791/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rekrutimi.administrata.al/shpalljet/shfaq/4738" TargetMode="External"/><Relationship Id="rId5" Type="http://schemas.openxmlformats.org/officeDocument/2006/relationships/webSettings" Target="webSettings.xml"/><Relationship Id="rId15" Type="http://schemas.openxmlformats.org/officeDocument/2006/relationships/hyperlink" Target="https://rekrutimi.administrata.al/shpalljet/shfaq/4790/2/6" TargetMode="External"/><Relationship Id="rId23" Type="http://schemas.openxmlformats.org/officeDocument/2006/relationships/hyperlink" Target="https://rekrutimi.administrata.al/shpalljet" TargetMode="External"/><Relationship Id="rId28" Type="http://schemas.openxmlformats.org/officeDocument/2006/relationships/fontTable" Target="fontTable.xml"/><Relationship Id="rId10" Type="http://schemas.openxmlformats.org/officeDocument/2006/relationships/hyperlink" Target="https://konsultimipublik.gov.al/Konsultime/InstitucionReports/4" TargetMode="External"/><Relationship Id="rId19" Type="http://schemas.openxmlformats.org/officeDocument/2006/relationships/hyperlink" Target="https://rekrutimi.administrata.al/shpalljet/shfaq/4791/2/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ekrutimi.administrata.al/shpalljet/shfaq/4790/1/3" TargetMode="External"/><Relationship Id="rId22" Type="http://schemas.openxmlformats.org/officeDocument/2006/relationships/hyperlink" Target="https://rekrutimi.administrata.al/shpalljet" TargetMode="External"/><Relationship Id="rId27" Type="http://schemas.openxmlformats.org/officeDocument/2006/relationships/hyperlink" Target="https://rekrutimi.administrata.al/shpalljet/shfaq/4738/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onsultimipublik.gov.al/Konsultime/Institucioni/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all" baseline="0">
                <a:solidFill>
                  <a:schemeClr val="tx1"/>
                </a:solidFill>
                <a:latin typeface="+mn-lt"/>
                <a:ea typeface="+mn-ea"/>
                <a:cs typeface="+mn-cs"/>
              </a:defRPr>
            </a:pPr>
            <a:r>
              <a:rPr lang="en-US" sz="1400">
                <a:latin typeface="Times New Roman" panose="02020603050405020304" pitchFamily="18" charset="0"/>
                <a:cs typeface="Times New Roman" panose="02020603050405020304" pitchFamily="18" charset="0"/>
              </a:rPr>
              <a:t>Statusi zbatimit të masave për</a:t>
            </a:r>
            <a:r>
              <a:rPr lang="en-US" sz="1400" baseline="0">
                <a:latin typeface="Times New Roman" panose="02020603050405020304" pitchFamily="18" charset="0"/>
                <a:cs typeface="Times New Roman" panose="02020603050405020304" pitchFamily="18" charset="0"/>
              </a:rPr>
              <a:t> periudhën </a:t>
            </a:r>
          </a:p>
          <a:p>
            <a:pPr>
              <a:defRPr sz="1400">
                <a:solidFill>
                  <a:schemeClr val="tx1"/>
                </a:solidFill>
              </a:defRPr>
            </a:pPr>
            <a:r>
              <a:rPr lang="en-US" sz="1400" baseline="0">
                <a:latin typeface="Times New Roman" panose="02020603050405020304" pitchFamily="18" charset="0"/>
                <a:cs typeface="Times New Roman" panose="02020603050405020304" pitchFamily="18" charset="0"/>
              </a:rPr>
              <a:t>VITIN 2024</a:t>
            </a:r>
            <a:endParaRPr lang="en-US" sz="1400">
              <a:latin typeface="Times New Roman" panose="02020603050405020304" pitchFamily="18" charset="0"/>
              <a:cs typeface="Times New Roman" panose="02020603050405020304" pitchFamily="18" charset="0"/>
            </a:endParaRPr>
          </a:p>
        </c:rich>
      </c:tx>
      <c:layout>
        <c:manualLayout>
          <c:xMode val="edge"/>
          <c:yMode val="edge"/>
          <c:x val="0.17697557036139716"/>
          <c:y val="8.23045267489712E-3"/>
        </c:manualLayout>
      </c:layout>
      <c:overlay val="0"/>
      <c:spPr>
        <a:noFill/>
        <a:ln>
          <a:noFill/>
        </a:ln>
        <a:effectLst/>
      </c:spPr>
      <c:txPr>
        <a:bodyPr rot="0" spcFirstLastPara="1" vertOverflow="ellipsis" vert="horz" wrap="square" anchor="ctr" anchorCtr="1"/>
        <a:lstStyle/>
        <a:p>
          <a:pPr>
            <a:defRPr sz="1400" b="0" i="0" u="none" strike="noStrike" kern="1200" cap="all"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Sheet1!$I$13</c:f>
              <c:strCache>
                <c:ptCount val="1"/>
                <c:pt idx="0">
                  <c:v>Statusi i zbatimit të masave</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Lbl>
              <c:idx val="0"/>
              <c:layout>
                <c:manualLayout>
                  <c:x val="1.9723865877712004E-2"/>
                  <c:y val="4.1152263374485704E-3"/>
                </c:manualLayout>
              </c:layout>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769F0E67-CD10-4B8C-AC7F-0464E8739F2D}" type="VALUE">
                      <a:rPr lang="en-US" b="1">
                        <a:solidFill>
                          <a:sysClr val="windowText" lastClr="000000"/>
                        </a:solidFill>
                      </a:rPr>
                      <a:pPr>
                        <a:defRPr sz="1200">
                          <a:solidFill>
                            <a:sysClr val="windowText" lastClr="000000"/>
                          </a:solidFill>
                          <a:latin typeface="Times New Roman" panose="02020603050405020304" pitchFamily="18" charset="0"/>
                          <a:cs typeface="Times New Roman" panose="02020603050405020304" pitchFamily="18" charset="0"/>
                        </a:defRPr>
                      </a:pPr>
                      <a:t>[VALUE]</a:t>
                    </a:fld>
                    <a:endParaRPr lang="en-US"/>
                  </a:p>
                </c:rich>
              </c:tx>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33A-4C84-B52C-2879D87DEB70}"/>
                </c:ext>
                <c:ext xmlns:c15="http://schemas.microsoft.com/office/drawing/2012/chart" uri="{CE6537A1-D6FC-4f65-9D91-7224C49458BB}">
                  <c15:layout>
                    <c:manualLayout>
                      <c:w val="7.3635765943458248E-2"/>
                      <c:h val="8.9711934156378625E-2"/>
                    </c:manualLayout>
                  </c15:layout>
                  <c15:dlblFieldTable/>
                  <c15:showDataLabelsRange val="0"/>
                </c:ext>
              </c:extLst>
            </c:dLbl>
            <c:dLbl>
              <c:idx val="1"/>
              <c:layout>
                <c:manualLayout>
                  <c:x val="4.4214384444547977E-2"/>
                  <c:y val="-3.4723113314539394E-2"/>
                </c:manualLayout>
              </c:layout>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33A-4C84-B52C-2879D87DEB70}"/>
                </c:ext>
                <c:ext xmlns:c15="http://schemas.microsoft.com/office/drawing/2012/chart" uri="{CE6537A1-D6FC-4f65-9D91-7224C49458BB}">
                  <c15:layout>
                    <c:manualLayout>
                      <c:w val="8.1525312294543059E-2"/>
                      <c:h val="6.5020576131687241E-2"/>
                    </c:manualLayout>
                  </c15:layout>
                </c:ext>
              </c:extLst>
            </c:dLbl>
            <c:dLbl>
              <c:idx val="2"/>
              <c:layout>
                <c:manualLayout>
                  <c:x val="3.0161052353662891E-2"/>
                  <c:y val="-2.8635818670814446E-2"/>
                </c:manualLayout>
              </c:layout>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33A-4C84-B52C-2879D87DEB70}"/>
                </c:ext>
                <c:ext xmlns:c15="http://schemas.microsoft.com/office/drawing/2012/chart" uri="{CE6537A1-D6FC-4f65-9D91-7224C49458BB}">
                  <c15:layout>
                    <c:manualLayout>
                      <c:w val="5.7856673241288625E-2"/>
                      <c:h val="5.2674897119341563E-2"/>
                    </c:manualLayout>
                  </c15:layout>
                </c:ext>
              </c:extLst>
            </c:dLbl>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Sheet1!$H$14:$H$16</c:f>
              <c:strCache>
                <c:ptCount val="3"/>
                <c:pt idx="0">
                  <c:v>Të zbatuara</c:v>
                </c:pt>
                <c:pt idx="1">
                  <c:v>Në proces</c:v>
                </c:pt>
                <c:pt idx="2">
                  <c:v>Të pazbatuara</c:v>
                </c:pt>
              </c:strCache>
            </c:strRef>
          </c:cat>
          <c:val>
            <c:numRef>
              <c:f>Sheet1!$I$14:$I$16</c:f>
              <c:numCache>
                <c:formatCode>General</c:formatCode>
                <c:ptCount val="3"/>
                <c:pt idx="0">
                  <c:v>13</c:v>
                </c:pt>
                <c:pt idx="1">
                  <c:v>0</c:v>
                </c:pt>
                <c:pt idx="2">
                  <c:v>0</c:v>
                </c:pt>
              </c:numCache>
            </c:numRef>
          </c:val>
          <c:extLst xmlns:c16r2="http://schemas.microsoft.com/office/drawing/2015/06/chart">
            <c:ext xmlns:c16="http://schemas.microsoft.com/office/drawing/2014/chart" uri="{C3380CC4-5D6E-409C-BE32-E72D297353CC}">
              <c16:uniqueId val="{00000003-A33A-4C84-B52C-2879D87DEB70}"/>
            </c:ext>
          </c:extLst>
        </c:ser>
        <c:dLbls>
          <c:showLegendKey val="0"/>
          <c:showVal val="1"/>
          <c:showCatName val="0"/>
          <c:showSerName val="0"/>
          <c:showPercent val="0"/>
          <c:showBubbleSize val="0"/>
        </c:dLbls>
        <c:gapWidth val="124"/>
        <c:gapDepth val="53"/>
        <c:shape val="box"/>
        <c:axId val="1334262176"/>
        <c:axId val="1334255648"/>
        <c:axId val="0"/>
      </c:bar3DChart>
      <c:catAx>
        <c:axId val="1334262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34255648"/>
        <c:crosses val="autoZero"/>
        <c:auto val="1"/>
        <c:lblAlgn val="ctr"/>
        <c:lblOffset val="100"/>
        <c:noMultiLvlLbl val="0"/>
      </c:catAx>
      <c:valAx>
        <c:axId val="1334255648"/>
        <c:scaling>
          <c:orientation val="minMax"/>
        </c:scaling>
        <c:delete val="1"/>
        <c:axPos val="l"/>
        <c:numFmt formatCode="General" sourceLinked="1"/>
        <c:majorTickMark val="out"/>
        <c:minorTickMark val="none"/>
        <c:tickLblPos val="nextTo"/>
        <c:crossAx val="1334262176"/>
        <c:crosses val="autoZero"/>
        <c:crossBetween val="between"/>
      </c:valAx>
      <c:spPr>
        <a:noFill/>
        <a:ln>
          <a:noFill/>
        </a:ln>
        <a:effectLst/>
      </c:spPr>
    </c:plotArea>
    <c:plotVisOnly val="1"/>
    <c:dispBlanksAs val="gap"/>
    <c:showDLblsOverMax val="0"/>
  </c:chart>
  <c:spPr>
    <a:solidFill>
      <a:sysClr val="window" lastClr="FFFFFF"/>
    </a:solidFill>
    <a:ln w="6350" cap="flat" cmpd="sng" algn="ctr">
      <a:solidFill>
        <a:sysClr val="window" lastClr="FFFFFF"/>
      </a:solidFill>
      <a:round/>
    </a:ln>
    <a:effectLst/>
  </c:spPr>
  <c:txPr>
    <a:bodyPr/>
    <a:lstStyle/>
    <a:p>
      <a:pPr>
        <a:defRPr>
          <a:solidFill>
            <a:schemeClr val="bg1"/>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Regjistri Elektronik të Njoftimit dhe Konsultimit Publik</c:v>
                </c:pt>
                <c:pt idx="1">
                  <c:v>Konsultimi nepërmjet postës elektronike</c:v>
                </c:pt>
                <c:pt idx="2">
                  <c:v>Konsultim nëpërmjet mekanizmit IPMG</c:v>
                </c:pt>
                <c:pt idx="3">
                  <c:v>Takime konsultative me prezencë</c:v>
                </c:pt>
              </c:strCache>
            </c:strRef>
          </c:cat>
          <c:val>
            <c:numRef>
              <c:f>Sheet1!$B$2:$B$5</c:f>
              <c:numCache>
                <c:formatCode>General</c:formatCode>
                <c:ptCount val="4"/>
                <c:pt idx="0">
                  <c:v>5</c:v>
                </c:pt>
                <c:pt idx="1">
                  <c:v>4</c:v>
                </c:pt>
                <c:pt idx="2">
                  <c:v>5</c:v>
                </c:pt>
                <c:pt idx="3">
                  <c:v>6</c:v>
                </c:pt>
              </c:numCache>
            </c:numRef>
          </c:val>
          <c:extLst xmlns:c16r2="http://schemas.microsoft.com/office/drawing/2015/06/chart">
            <c:ext xmlns:c16="http://schemas.microsoft.com/office/drawing/2014/chart" uri="{C3380CC4-5D6E-409C-BE32-E72D297353CC}">
              <c16:uniqueId val="{00000000-30FF-40B1-B046-D7893A64A16A}"/>
            </c:ext>
          </c:extLst>
        </c:ser>
        <c:dLbls>
          <c:showLegendKey val="0"/>
          <c:showVal val="0"/>
          <c:showCatName val="0"/>
          <c:showSerName val="0"/>
          <c:showPercent val="0"/>
          <c:showBubbleSize val="0"/>
        </c:dLbls>
        <c:gapWidth val="199"/>
        <c:axId val="1334256192"/>
        <c:axId val="1334261088"/>
      </c:barChart>
      <c:catAx>
        <c:axId val="133425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334261088"/>
        <c:crosses val="autoZero"/>
        <c:auto val="1"/>
        <c:lblAlgn val="ctr"/>
        <c:lblOffset val="100"/>
        <c:noMultiLvlLbl val="0"/>
      </c:catAx>
      <c:valAx>
        <c:axId val="13342610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42561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AE87-81C5-4FD7-A09F-BCADEA81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Marinela Nikolla</dc:creator>
  <cp:keywords/>
  <dc:description/>
  <cp:lastModifiedBy>Blerina Ndoni</cp:lastModifiedBy>
  <cp:revision>2</cp:revision>
  <cp:lastPrinted>2025-01-27T13:38:00Z</cp:lastPrinted>
  <dcterms:created xsi:type="dcterms:W3CDTF">2025-02-07T12:13:00Z</dcterms:created>
  <dcterms:modified xsi:type="dcterms:W3CDTF">2025-02-07T12:13:00Z</dcterms:modified>
</cp:coreProperties>
</file>